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51351AA9" w14:textId="77777777" w:rsidTr="006E444F">
        <w:trPr>
          <w:trHeight w:hRule="exact" w:val="851"/>
        </w:trPr>
        <w:tc>
          <w:tcPr>
            <w:tcW w:w="1274" w:type="dxa"/>
            <w:tcBorders>
              <w:bottom w:val="single" w:sz="4" w:space="0" w:color="auto"/>
            </w:tcBorders>
          </w:tcPr>
          <w:p w14:paraId="3E210760" w14:textId="77777777" w:rsidR="006B3E27" w:rsidRPr="006E4C12" w:rsidRDefault="006B3E27" w:rsidP="006A7345">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1424BE0D"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609BB9D5" w14:textId="6F17DBBD" w:rsidR="006B3E27" w:rsidRPr="00FB4020" w:rsidRDefault="00FB4020" w:rsidP="00FB4020">
            <w:pPr>
              <w:bidi w:val="0"/>
              <w:jc w:val="left"/>
            </w:pPr>
            <w:r w:rsidRPr="00907AC6">
              <w:rPr>
                <w:sz w:val="40"/>
              </w:rPr>
              <w:t>CRC</w:t>
            </w:r>
            <w:r w:rsidRPr="00907AC6">
              <w:t>/C/JOR/Q/</w:t>
            </w:r>
            <w:r w:rsidRPr="005444B6">
              <w:t>6</w:t>
            </w:r>
          </w:p>
        </w:tc>
      </w:tr>
      <w:tr w:rsidR="006B3E27" w:rsidRPr="00DB7679" w14:paraId="165324F0" w14:textId="77777777" w:rsidTr="006E444F">
        <w:trPr>
          <w:trHeight w:hRule="exact" w:val="2835"/>
        </w:trPr>
        <w:tc>
          <w:tcPr>
            <w:tcW w:w="1274" w:type="dxa"/>
            <w:tcBorders>
              <w:top w:val="single" w:sz="4" w:space="0" w:color="auto"/>
              <w:bottom w:val="single" w:sz="12" w:space="0" w:color="auto"/>
            </w:tcBorders>
          </w:tcPr>
          <w:p w14:paraId="7D4CB004" w14:textId="77777777" w:rsidR="006B3E27" w:rsidRPr="00DB7679" w:rsidRDefault="0059622A" w:rsidP="006E444F">
            <w:pPr>
              <w:jc w:val="center"/>
              <w:rPr>
                <w:rtl/>
              </w:rPr>
            </w:pPr>
            <w:r>
              <w:rPr>
                <w:noProof/>
              </w:rPr>
              <w:drawing>
                <wp:inline distT="0" distB="0" distL="0" distR="0" wp14:anchorId="7C89134B" wp14:editId="31B622E0">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2097581" w14:textId="77777777" w:rsidR="006B3E27" w:rsidRPr="005444B6" w:rsidRDefault="001E1CAD" w:rsidP="00073FE2">
            <w:pPr>
              <w:spacing w:before="240" w:after="40" w:line="640" w:lineRule="exact"/>
              <w:ind w:left="57"/>
              <w:jc w:val="left"/>
              <w:rPr>
                <w:rFonts w:ascii="Times New Roman Bold" w:hAnsi="Times New Roman Bold" w:hint="eastAsia"/>
                <w:b/>
                <w:bCs/>
                <w:sz w:val="50"/>
                <w:szCs w:val="50"/>
                <w:rtl/>
              </w:rPr>
            </w:pPr>
            <w:r w:rsidRPr="005444B6">
              <w:rPr>
                <w:rFonts w:ascii="Times New Roman Bold" w:hAnsi="Times New Roman Bold" w:hint="cs"/>
                <w:b/>
                <w:bCs/>
                <w:sz w:val="50"/>
                <w:szCs w:val="50"/>
                <w:rtl/>
              </w:rPr>
              <w:t>ا</w:t>
            </w:r>
            <w:r w:rsidR="004A14A6" w:rsidRPr="005444B6">
              <w:rPr>
                <w:rFonts w:ascii="Times New Roman Bold" w:hAnsi="Times New Roman Bold" w:hint="cs"/>
                <w:b/>
                <w:bCs/>
                <w:sz w:val="50"/>
                <w:szCs w:val="50"/>
                <w:rtl/>
              </w:rPr>
              <w:t>تفاقي</w:t>
            </w:r>
            <w:r w:rsidR="00523BAE" w:rsidRPr="005444B6">
              <w:rPr>
                <w:rFonts w:ascii="Times New Roman Bold" w:hAnsi="Times New Roman Bold" w:hint="cs"/>
                <w:b/>
                <w:bCs/>
                <w:sz w:val="50"/>
                <w:szCs w:val="50"/>
                <w:rtl/>
              </w:rPr>
              <w:t>ـ</w:t>
            </w:r>
            <w:r w:rsidR="004A14A6" w:rsidRPr="005444B6">
              <w:rPr>
                <w:rFonts w:ascii="Times New Roman Bold" w:hAnsi="Times New Roman Bold" w:hint="cs"/>
                <w:b/>
                <w:bCs/>
                <w:sz w:val="50"/>
                <w:szCs w:val="50"/>
                <w:rtl/>
              </w:rPr>
              <w:t xml:space="preserve">ة </w:t>
            </w:r>
            <w:r w:rsidR="0045649E" w:rsidRPr="005444B6">
              <w:rPr>
                <w:rFonts w:ascii="Times New Roman Bold" w:hAnsi="Times New Roman Bold" w:hint="cs"/>
                <w:b/>
                <w:bCs/>
                <w:sz w:val="50"/>
                <w:szCs w:val="50"/>
                <w:rtl/>
              </w:rPr>
              <w:t xml:space="preserve">حقوق </w:t>
            </w:r>
            <w:r w:rsidR="00A65558" w:rsidRPr="005444B6">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281E9337" w14:textId="2B4B1B54" w:rsidR="006B3E27" w:rsidRDefault="00FB4020" w:rsidP="006E444F">
            <w:pPr>
              <w:bidi w:val="0"/>
              <w:spacing w:before="240"/>
              <w:jc w:val="left"/>
            </w:pPr>
            <w:r>
              <w:t>Dist</w:t>
            </w:r>
            <w:r w:rsidR="00907AC6" w:rsidRPr="00907AC6">
              <w:t>r.:</w:t>
            </w:r>
            <w:r>
              <w:t xml:space="preserve"> General</w:t>
            </w:r>
          </w:p>
          <w:p w14:paraId="6E816C2A" w14:textId="15AFC10E" w:rsidR="00FB4020" w:rsidRDefault="003766EC" w:rsidP="00FB4020">
            <w:pPr>
              <w:bidi w:val="0"/>
              <w:spacing w:line="240" w:lineRule="exact"/>
              <w:jc w:val="left"/>
            </w:pPr>
            <w:r w:rsidRPr="005444B6">
              <w:t>26</w:t>
            </w:r>
            <w:r>
              <w:t xml:space="preserve"> October </w:t>
            </w:r>
            <w:r w:rsidR="00FB4020" w:rsidRPr="005444B6">
              <w:t>2022</w:t>
            </w:r>
          </w:p>
          <w:p w14:paraId="64876D85" w14:textId="77777777" w:rsidR="00FB4020" w:rsidRDefault="00FB4020" w:rsidP="00FB4020">
            <w:pPr>
              <w:bidi w:val="0"/>
              <w:spacing w:line="240" w:lineRule="exact"/>
              <w:jc w:val="left"/>
            </w:pPr>
            <w:r>
              <w:t>Arabic</w:t>
            </w:r>
          </w:p>
          <w:p w14:paraId="6850D51B" w14:textId="1188A199" w:rsidR="00FB4020" w:rsidRDefault="00FB4020" w:rsidP="00FB4020">
            <w:pPr>
              <w:bidi w:val="0"/>
              <w:spacing w:line="240" w:lineRule="exact"/>
              <w:jc w:val="left"/>
            </w:pPr>
            <w:r>
              <w:t>Origina</w:t>
            </w:r>
            <w:r w:rsidR="00907AC6" w:rsidRPr="00907AC6">
              <w:t xml:space="preserve">l: </w:t>
            </w:r>
            <w:r>
              <w:t>English</w:t>
            </w:r>
          </w:p>
          <w:p w14:paraId="3CCF4739" w14:textId="51EBA031" w:rsidR="003766EC" w:rsidRDefault="003766EC" w:rsidP="003766EC">
            <w:pPr>
              <w:bidi w:val="0"/>
              <w:spacing w:line="240" w:lineRule="exact"/>
              <w:jc w:val="left"/>
            </w:pPr>
            <w:r>
              <w:t>Arabi</w:t>
            </w:r>
            <w:r w:rsidR="00907AC6" w:rsidRPr="00907AC6">
              <w:t xml:space="preserve">c, </w:t>
            </w:r>
            <w:r>
              <w:t>Englis</w:t>
            </w:r>
            <w:r w:rsidR="00907AC6" w:rsidRPr="00907AC6">
              <w:t xml:space="preserve">h, </w:t>
            </w:r>
            <w:r>
              <w:t xml:space="preserve">French and </w:t>
            </w:r>
          </w:p>
          <w:p w14:paraId="3FED86A4" w14:textId="312D958E" w:rsidR="003766EC" w:rsidRPr="00FB4020" w:rsidRDefault="003766EC" w:rsidP="003766EC">
            <w:pPr>
              <w:bidi w:val="0"/>
              <w:spacing w:line="240" w:lineRule="exact"/>
              <w:jc w:val="left"/>
            </w:pPr>
            <w:r>
              <w:t>Spanish only</w:t>
            </w:r>
          </w:p>
        </w:tc>
      </w:tr>
    </w:tbl>
    <w:p w14:paraId="091CA85F" w14:textId="0B88ACCC" w:rsidR="003766EC" w:rsidRPr="005444B6" w:rsidRDefault="003766EC" w:rsidP="003766EC">
      <w:pPr>
        <w:pStyle w:val="SingleTxtGA"/>
        <w:spacing w:before="120" w:after="0"/>
        <w:ind w:left="0" w:right="283"/>
        <w:jc w:val="left"/>
        <w:rPr>
          <w:rFonts w:eastAsiaTheme="minorEastAsia"/>
          <w:b/>
          <w:bCs/>
          <w:sz w:val="26"/>
          <w:szCs w:val="26"/>
          <w:lang w:val="ar-SA" w:eastAsia="zh-TW" w:bidi="en-GB"/>
        </w:rPr>
      </w:pPr>
      <w:bookmarkStart w:id="0" w:name="_Hlk118976065"/>
      <w:r w:rsidRPr="005444B6">
        <w:rPr>
          <w:b/>
          <w:bCs/>
          <w:sz w:val="26"/>
          <w:szCs w:val="26"/>
          <w:rtl/>
        </w:rPr>
        <w:t>لجنة حقوق الطفل</w:t>
      </w:r>
    </w:p>
    <w:p w14:paraId="2B740B05" w14:textId="73E5C67A" w:rsidR="003766EC" w:rsidRPr="005444B6" w:rsidRDefault="003766EC" w:rsidP="003766EC">
      <w:pPr>
        <w:pStyle w:val="HChGA"/>
        <w:rPr>
          <w:sz w:val="34"/>
          <w:szCs w:val="34"/>
          <w:lang w:val="en-US" w:eastAsia="zh-TW" w:bidi="en-GB"/>
        </w:rPr>
      </w:pPr>
      <w:r w:rsidRPr="005444B6">
        <w:rPr>
          <w:rtl/>
        </w:rPr>
        <w:tab/>
      </w:r>
      <w:r w:rsidRPr="005444B6">
        <w:rPr>
          <w:rtl/>
        </w:rPr>
        <w:tab/>
        <w:t>قائمة المسائل المتصلة بالتقرير الدوري السادس للأردن</w:t>
      </w:r>
      <w:r w:rsidRPr="005444B6">
        <w:rPr>
          <w:rStyle w:val="FootnoteReference"/>
          <w:sz w:val="26"/>
          <w:szCs w:val="26"/>
          <w:vertAlign w:val="baseline"/>
          <w:rtl/>
          <w:lang w:val="en-US" w:eastAsia="zh-TW"/>
        </w:rPr>
        <w:footnoteReference w:customMarkFollows="1" w:id="1"/>
        <w:t>*</w:t>
      </w:r>
    </w:p>
    <w:p w14:paraId="1DD795BC"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w:t>
      </w:r>
      <w:r w:rsidRPr="003766EC">
        <w:rPr>
          <w:rFonts w:eastAsiaTheme="minorEastAsia"/>
          <w:rtl/>
        </w:rPr>
        <w:t>-</w:t>
      </w:r>
      <w:r w:rsidRPr="003766EC">
        <w:rPr>
          <w:rFonts w:eastAsiaTheme="minorEastAsia"/>
          <w:rtl/>
        </w:rPr>
        <w:tab/>
        <w:t>يُطلب إلى الدولة الطرف أن تقـدّم كتابةً معلومـات إضافيـة ومحدّثـة (</w:t>
      </w:r>
      <w:r w:rsidRPr="005444B6">
        <w:rPr>
          <w:rFonts w:eastAsiaTheme="minorEastAsia"/>
          <w:rtl/>
        </w:rPr>
        <w:t>700</w:t>
      </w:r>
      <w:r w:rsidRPr="003766EC">
        <w:rPr>
          <w:rFonts w:eastAsiaTheme="minorEastAsia"/>
          <w:rtl/>
        </w:rPr>
        <w:t xml:space="preserve"> </w:t>
      </w:r>
      <w:r w:rsidRPr="005444B6">
        <w:rPr>
          <w:rFonts w:eastAsiaTheme="minorEastAsia"/>
          <w:rtl/>
        </w:rPr>
        <w:t>10</w:t>
      </w:r>
      <w:r w:rsidRPr="003766EC">
        <w:rPr>
          <w:rFonts w:eastAsiaTheme="minorEastAsia"/>
          <w:rtl/>
        </w:rPr>
        <w:t xml:space="preserve"> كلمة كحد أقصى) قبل </w:t>
      </w:r>
      <w:r w:rsidRPr="005444B6">
        <w:rPr>
          <w:rFonts w:eastAsiaTheme="minorEastAsia"/>
          <w:rtl/>
        </w:rPr>
        <w:t>15</w:t>
      </w:r>
      <w:r w:rsidRPr="003766EC">
        <w:rPr>
          <w:rFonts w:eastAsiaTheme="minorEastAsia"/>
          <w:rtl/>
        </w:rPr>
        <w:t xml:space="preserve"> شباط/فبراير </w:t>
      </w:r>
      <w:r w:rsidRPr="005444B6">
        <w:rPr>
          <w:rFonts w:eastAsiaTheme="minorEastAsia"/>
          <w:rtl/>
        </w:rPr>
        <w:t>2023</w:t>
      </w:r>
      <w:r w:rsidRPr="003766EC">
        <w:rPr>
          <w:rFonts w:eastAsiaTheme="minorEastAsia"/>
          <w:rtl/>
        </w:rPr>
        <w:t>، إن أمكن. وقد تتناول اللجنة في حوارها مع الدولة الطرف جميع جوانب حقوق الطفل المنصوص عليها في الاتفاقية.</w:t>
      </w:r>
    </w:p>
    <w:p w14:paraId="72981BBE" w14:textId="2109BCC9" w:rsidR="003766EC" w:rsidRPr="003766EC" w:rsidRDefault="003766EC" w:rsidP="003766EC">
      <w:pPr>
        <w:pStyle w:val="HChGA"/>
        <w:rPr>
          <w:lang w:val="en-US" w:eastAsia="zh-TW" w:bidi="en-GB"/>
        </w:rPr>
      </w:pPr>
      <w:r w:rsidRPr="003766EC">
        <w:rPr>
          <w:rtl/>
        </w:rPr>
        <w:tab/>
      </w:r>
      <w:r w:rsidRPr="003766EC">
        <w:rPr>
          <w:rtl/>
        </w:rPr>
        <w:tab/>
        <w:t>الجزء الأول</w:t>
      </w:r>
    </w:p>
    <w:p w14:paraId="506D4F0B"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2</w:t>
      </w:r>
      <w:r w:rsidRPr="003766EC">
        <w:rPr>
          <w:rFonts w:eastAsiaTheme="minorEastAsia"/>
          <w:rtl/>
        </w:rPr>
        <w:t>-</w:t>
      </w:r>
      <w:r w:rsidRPr="003766EC">
        <w:rPr>
          <w:rFonts w:eastAsiaTheme="minorEastAsia"/>
          <w:rtl/>
        </w:rPr>
        <w:tab/>
        <w:t>يرجى توضيح التدابير المتخذة أو المزمع اتخاذها من أجل ما يلي:</w:t>
      </w:r>
    </w:p>
    <w:p w14:paraId="0C7E3F20" w14:textId="0D9C1C2D"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التعجيل بتنفيذ قانون حقوق الطفل تنفيذاً كاملاً؛</w:t>
      </w:r>
    </w:p>
    <w:p w14:paraId="62487834" w14:textId="1948F2F2"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ضمان إسناد الاختصاصات والصلاحيات اللازمة للمجلس الوطني لشؤون الأسرة بما</w:t>
      </w:r>
      <w:r w:rsidR="00907AC6">
        <w:rPr>
          <w:rFonts w:eastAsiaTheme="minorEastAsia" w:hint="cs"/>
          <w:rtl/>
        </w:rPr>
        <w:t> </w:t>
      </w:r>
      <w:r w:rsidRPr="003766EC">
        <w:rPr>
          <w:rFonts w:eastAsiaTheme="minorEastAsia"/>
          <w:rtl/>
        </w:rPr>
        <w:t>يكفل تنسيق جميع الأنشطة ذات الصلة بتنفيذ الاتفاقية في جميع القطاعات تنسيقاً فعالاً؛</w:t>
      </w:r>
    </w:p>
    <w:p w14:paraId="2C65870B" w14:textId="752E1536" w:rsidR="00907AC6" w:rsidRPr="002A5561" w:rsidRDefault="003766EC" w:rsidP="003766EC">
      <w:pPr>
        <w:pStyle w:val="SingleTxtGA"/>
        <w:rPr>
          <w:rFonts w:eastAsiaTheme="minorEastAsia"/>
          <w:lang w:val="en-US" w:eastAsia="zh-TW" w:bidi="en-GB"/>
        </w:rPr>
      </w:pPr>
      <w:r>
        <w:rPr>
          <w:rFonts w:eastAsiaTheme="minorEastAsia"/>
          <w:rtl/>
        </w:rPr>
        <w:tab/>
      </w:r>
      <w:r w:rsidRPr="003766EC">
        <w:rPr>
          <w:rFonts w:eastAsiaTheme="minorEastAsia"/>
          <w:rtl/>
        </w:rPr>
        <w:t>(ج)</w:t>
      </w:r>
      <w:r w:rsidRPr="003766EC">
        <w:rPr>
          <w:rFonts w:eastAsiaTheme="minorEastAsia"/>
          <w:rtl/>
        </w:rPr>
        <w:tab/>
        <w:t xml:space="preserve">وضع </w:t>
      </w:r>
      <w:r w:rsidRPr="005444B6">
        <w:rPr>
          <w:rFonts w:eastAsiaTheme="minorEastAsia"/>
          <w:rtl/>
        </w:rPr>
        <w:t>استراتيجية لتنفيذ نموذج الميزانية ونتائج الدراسة المتعلقة بمخصصات الميزانية</w:t>
      </w:r>
      <w:r w:rsidRPr="003766EC">
        <w:rPr>
          <w:rFonts w:eastAsiaTheme="minorEastAsia"/>
          <w:rtl/>
        </w:rPr>
        <w:t xml:space="preserve"> المرصودة للطفل</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2"/>
      </w:r>
      <w:r w:rsidR="00907AC6" w:rsidRPr="00907AC6">
        <w:rPr>
          <w:rFonts w:eastAsiaTheme="minorEastAsia" w:hint="cs"/>
          <w:vertAlign w:val="superscript"/>
          <w:rtl/>
        </w:rPr>
        <w:t>)</w:t>
      </w:r>
      <w:r w:rsidR="00907AC6" w:rsidRPr="00907AC6">
        <w:rPr>
          <w:rFonts w:eastAsiaTheme="minorEastAsia"/>
          <w:rtl/>
        </w:rPr>
        <w:t>؛</w:t>
      </w:r>
    </w:p>
    <w:p w14:paraId="37A0CB09" w14:textId="4DFA82E4"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ضمان أن يتمكن الأطفال ومنظمات المجتمع المدني والمدافعون عن حقوق الإنسان من ممارسة حقوقهم في حرية التعبير وتكوين الجمعيات والتجمع السلمي؛</w:t>
      </w:r>
    </w:p>
    <w:p w14:paraId="2E99E1ED" w14:textId="7D50EDDB"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(هـ)</w:t>
      </w:r>
      <w:r w:rsidRPr="003766EC">
        <w:rPr>
          <w:rFonts w:eastAsiaTheme="minorEastAsia"/>
          <w:rtl/>
        </w:rPr>
        <w:tab/>
        <w:t>ضمان امتثال قطاع الأعمال، بما في ذلك قطاع السياحة وقطاع الزراعة والقطاع غير الرسمي، للمعايير الدولية في مجالات حقوق الطفل والصحة والعمل والبيئة.</w:t>
      </w:r>
    </w:p>
    <w:p w14:paraId="607D09C7"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3</w:t>
      </w:r>
      <w:r w:rsidRPr="003766EC">
        <w:rPr>
          <w:rFonts w:eastAsiaTheme="minorEastAsia"/>
          <w:rtl/>
        </w:rPr>
        <w:t>-</w:t>
      </w:r>
      <w:r w:rsidRPr="003766EC">
        <w:rPr>
          <w:rFonts w:eastAsiaTheme="minorEastAsia"/>
          <w:rtl/>
        </w:rPr>
        <w:tab/>
        <w:t>ويرجى وصف التدابير المتخذة من أجل ما يلي:</w:t>
      </w:r>
    </w:p>
    <w:p w14:paraId="0CAEE6C6" w14:textId="22873B74" w:rsidR="00907AC6" w:rsidRPr="00907AC6"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تنفيذ التوصية السابقة الصادرة عن اللجنة والداعية إلى إلغاء التصنيفات التمييزية للأطفال بوصفهم "غير شرعيين" أو "أطفالاً ضحايا للسفاح"</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3"/>
      </w:r>
      <w:r w:rsidR="00907AC6" w:rsidRPr="00907AC6">
        <w:rPr>
          <w:rFonts w:ascii="Simplified Arabic" w:eastAsiaTheme="minorEastAsia" w:hAnsi="Simplified Arabic" w:hint="cs"/>
          <w:vertAlign w:val="superscript"/>
          <w:rtl/>
        </w:rPr>
        <w:t>)</w:t>
      </w:r>
      <w:r w:rsidR="00907AC6" w:rsidRPr="00907AC6">
        <w:rPr>
          <w:rFonts w:eastAsiaTheme="minorEastAsia"/>
          <w:rtl/>
        </w:rPr>
        <w:t>؛</w:t>
      </w:r>
    </w:p>
    <w:p w14:paraId="19052A5A" w14:textId="7546F896"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اعتماد استراتيجية شاملة للقضاء على التمييز ضد جميع فئات الأطفال المهمشين أو</w:t>
      </w:r>
      <w:r w:rsidR="00907AC6">
        <w:rPr>
          <w:rFonts w:eastAsiaTheme="minorEastAsia" w:hint="cs"/>
          <w:rtl/>
        </w:rPr>
        <w:t> </w:t>
      </w:r>
      <w:r w:rsidRPr="003766EC">
        <w:rPr>
          <w:rFonts w:eastAsiaTheme="minorEastAsia"/>
          <w:rtl/>
        </w:rPr>
        <w:t xml:space="preserve">المحرومين، بمن فيهم طالبو اللجوء، والأطفال اللاجئون والمهاجرون، والأطفال المنحدرون من أصل </w:t>
      </w:r>
      <w:r w:rsidRPr="003766EC">
        <w:rPr>
          <w:rFonts w:eastAsiaTheme="minorEastAsia"/>
          <w:rtl/>
        </w:rPr>
        <w:lastRenderedPageBreak/>
        <w:t xml:space="preserve">فلسطيني، والأطفال المقيمين إقامة غير منتظمة، والأطفال </w:t>
      </w:r>
      <w:proofErr w:type="spellStart"/>
      <w:r w:rsidRPr="003766EC">
        <w:rPr>
          <w:rFonts w:eastAsiaTheme="minorEastAsia"/>
          <w:rtl/>
        </w:rPr>
        <w:t>المولودون</w:t>
      </w:r>
      <w:proofErr w:type="spellEnd"/>
      <w:r w:rsidRPr="003766EC">
        <w:rPr>
          <w:rFonts w:eastAsiaTheme="minorEastAsia"/>
          <w:rtl/>
        </w:rPr>
        <w:t xml:space="preserve"> لأبوين غير متزوجين، والأطفال المعوقون، والأطفال المودعون في مؤسسات الرعاية البديلة، والأطفال الذين يعيشون في أوضاع حرمان اجتماعي</w:t>
      </w:r>
      <w:r>
        <w:rPr>
          <w:rFonts w:eastAsiaTheme="minorEastAsia" w:hint="cs"/>
          <w:rtl/>
        </w:rPr>
        <w:t xml:space="preserve"> </w:t>
      </w:r>
      <w:r w:rsidR="00091A29">
        <w:rPr>
          <w:rFonts w:eastAsiaTheme="minorEastAsia"/>
          <w:rtl/>
        </w:rPr>
        <w:t>–</w:t>
      </w:r>
      <w:r>
        <w:rPr>
          <w:rFonts w:eastAsiaTheme="minorEastAsia" w:hint="cs"/>
          <w:rtl/>
        </w:rPr>
        <w:t xml:space="preserve"> </w:t>
      </w:r>
      <w:r w:rsidRPr="003766EC">
        <w:rPr>
          <w:rFonts w:eastAsiaTheme="minorEastAsia"/>
          <w:rtl/>
        </w:rPr>
        <w:t>اقتصادي</w:t>
      </w:r>
      <w:r w:rsidR="00091A29">
        <w:rPr>
          <w:rFonts w:eastAsiaTheme="minorEastAsia" w:hint="cs"/>
          <w:rtl/>
        </w:rPr>
        <w:t>؛</w:t>
      </w:r>
    </w:p>
    <w:p w14:paraId="763683DA" w14:textId="49B06F05"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t>إلغاء جميع التشريعات التي تميز ضد الفتيات، ومعالجة الأسباب الجذرية للتمييز ضدهن، وتنظيم حملات توعية لمعالجة الأعراف والسلوكيات الاجتماعية والجنسانية الراسخة التي تعد الأسباب الجذرية لهذا التمييز.</w:t>
      </w:r>
      <w:bookmarkStart w:id="1" w:name="_Hlk117677648"/>
    </w:p>
    <w:bookmarkEnd w:id="1"/>
    <w:p w14:paraId="246D3523"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4</w:t>
      </w:r>
      <w:r w:rsidRPr="003766EC">
        <w:rPr>
          <w:rFonts w:eastAsiaTheme="minorEastAsia"/>
          <w:rtl/>
        </w:rPr>
        <w:t>-</w:t>
      </w:r>
      <w:r w:rsidRPr="003766EC">
        <w:rPr>
          <w:rFonts w:eastAsiaTheme="minorEastAsia"/>
          <w:rtl/>
        </w:rPr>
        <w:tab/>
        <w:t>ويرجى وصف التدابير المتخذة من أجل ما يلي:</w:t>
      </w:r>
    </w:p>
    <w:p w14:paraId="0C9C4BC5" w14:textId="3242DB49"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 xml:space="preserve">إنفاذ المرسوم الصادر في عام </w:t>
      </w:r>
      <w:r w:rsidRPr="005444B6">
        <w:rPr>
          <w:rFonts w:eastAsiaTheme="minorEastAsia"/>
          <w:rtl/>
        </w:rPr>
        <w:t>2013</w:t>
      </w:r>
      <w:r w:rsidRPr="003766EC">
        <w:rPr>
          <w:rFonts w:eastAsiaTheme="minorEastAsia"/>
          <w:rtl/>
        </w:rPr>
        <w:t xml:space="preserve"> والقاضي بعدم سحب الجنسية من الأسر الفلسطينية اللاجئة المقيمة في الأردن</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4"/>
      </w:r>
      <w:r w:rsidRPr="005444B6">
        <w:rPr>
          <w:rStyle w:val="FootnoteReference"/>
          <w:rFonts w:eastAsiaTheme="minorEastAsia"/>
          <w:sz w:val="22"/>
          <w:rtl/>
        </w:rPr>
        <w:t>)</w:t>
      </w:r>
      <w:r w:rsidR="00907AC6">
        <w:rPr>
          <w:rFonts w:eastAsiaTheme="minorEastAsia" w:hint="cs"/>
          <w:rtl/>
        </w:rPr>
        <w:t>،</w:t>
      </w:r>
      <w:r w:rsidRPr="003766EC">
        <w:rPr>
          <w:rFonts w:ascii="Cambria" w:eastAsiaTheme="minorEastAsia" w:hAnsi="Cambria" w:hint="cs"/>
          <w:rtl/>
        </w:rPr>
        <w:t> </w:t>
      </w:r>
      <w:r w:rsidRPr="003766EC">
        <w:rPr>
          <w:rFonts w:eastAsiaTheme="minorEastAsia" w:hint="cs"/>
          <w:rtl/>
        </w:rPr>
        <w:t>وبتمكين</w:t>
      </w:r>
      <w:r w:rsidRPr="003766EC">
        <w:rPr>
          <w:rFonts w:eastAsiaTheme="minorEastAsia"/>
          <w:rtl/>
        </w:rPr>
        <w:t xml:space="preserve"> </w:t>
      </w:r>
      <w:r w:rsidRPr="003766EC">
        <w:rPr>
          <w:rFonts w:eastAsiaTheme="minorEastAsia" w:hint="cs"/>
          <w:rtl/>
        </w:rPr>
        <w:t>الأطفال</w:t>
      </w:r>
      <w:r w:rsidRPr="003766EC">
        <w:rPr>
          <w:rFonts w:eastAsiaTheme="minorEastAsia"/>
          <w:rtl/>
        </w:rPr>
        <w:t xml:space="preserve"> </w:t>
      </w:r>
      <w:r w:rsidRPr="003766EC">
        <w:rPr>
          <w:rFonts w:eastAsiaTheme="minorEastAsia" w:hint="cs"/>
          <w:rtl/>
        </w:rPr>
        <w:t>اللاجئين</w:t>
      </w:r>
      <w:r w:rsidRPr="003766EC">
        <w:rPr>
          <w:rFonts w:eastAsiaTheme="minorEastAsia"/>
          <w:rtl/>
        </w:rPr>
        <w:t xml:space="preserve"> </w:t>
      </w:r>
      <w:r w:rsidRPr="003766EC">
        <w:rPr>
          <w:rFonts w:eastAsiaTheme="minorEastAsia" w:hint="cs"/>
          <w:rtl/>
        </w:rPr>
        <w:t>من</w:t>
      </w:r>
      <w:r w:rsidRPr="003766EC">
        <w:rPr>
          <w:rFonts w:eastAsiaTheme="minorEastAsia"/>
          <w:rtl/>
        </w:rPr>
        <w:t xml:space="preserve"> </w:t>
      </w:r>
      <w:r w:rsidRPr="003766EC">
        <w:rPr>
          <w:rFonts w:eastAsiaTheme="minorEastAsia" w:hint="cs"/>
          <w:rtl/>
        </w:rPr>
        <w:t>الحصول</w:t>
      </w:r>
      <w:r w:rsidRPr="003766EC">
        <w:rPr>
          <w:rFonts w:eastAsiaTheme="minorEastAsia"/>
          <w:rtl/>
        </w:rPr>
        <w:t xml:space="preserve"> </w:t>
      </w:r>
      <w:r w:rsidRPr="003766EC">
        <w:rPr>
          <w:rFonts w:eastAsiaTheme="minorEastAsia" w:hint="cs"/>
          <w:rtl/>
        </w:rPr>
        <w:t>على</w:t>
      </w:r>
      <w:r w:rsidRPr="003766EC">
        <w:rPr>
          <w:rFonts w:eastAsiaTheme="minorEastAsia"/>
          <w:rtl/>
        </w:rPr>
        <w:t xml:space="preserve"> </w:t>
      </w:r>
      <w:r w:rsidRPr="003766EC">
        <w:rPr>
          <w:rFonts w:eastAsiaTheme="minorEastAsia" w:hint="cs"/>
          <w:rtl/>
        </w:rPr>
        <w:t>وضع</w:t>
      </w:r>
      <w:r w:rsidRPr="003766EC">
        <w:rPr>
          <w:rFonts w:eastAsiaTheme="minorEastAsia"/>
          <w:rtl/>
        </w:rPr>
        <w:t xml:space="preserve"> </w:t>
      </w:r>
      <w:r w:rsidRPr="003766EC">
        <w:rPr>
          <w:rFonts w:eastAsiaTheme="minorEastAsia" w:hint="cs"/>
          <w:rtl/>
        </w:rPr>
        <w:t>قانوني؛</w:t>
      </w:r>
    </w:p>
    <w:p w14:paraId="6313860D" w14:textId="6D882BB5"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 xml:space="preserve">ضمان حصول جميع الأطفال، بمن فيهم الأطفال </w:t>
      </w:r>
      <w:proofErr w:type="spellStart"/>
      <w:r w:rsidRPr="003766EC">
        <w:rPr>
          <w:rFonts w:eastAsiaTheme="minorEastAsia"/>
          <w:rtl/>
        </w:rPr>
        <w:t>المولودون</w:t>
      </w:r>
      <w:proofErr w:type="spellEnd"/>
      <w:r w:rsidRPr="003766EC">
        <w:rPr>
          <w:rFonts w:eastAsiaTheme="minorEastAsia"/>
          <w:rtl/>
        </w:rPr>
        <w:t xml:space="preserve"> لآباء وأمهات غير</w:t>
      </w:r>
      <w:r w:rsidR="00907AC6">
        <w:rPr>
          <w:rFonts w:eastAsiaTheme="minorEastAsia" w:hint="cs"/>
          <w:rtl/>
        </w:rPr>
        <w:t> </w:t>
      </w:r>
      <w:r w:rsidRPr="003766EC">
        <w:rPr>
          <w:rFonts w:eastAsiaTheme="minorEastAsia"/>
          <w:rtl/>
        </w:rPr>
        <w:t>متزوجين ولآباء غير أردنيين ولأمهات أردنيات، على الجنسية وبطاقات الهوية على قدم المساواة مع</w:t>
      </w:r>
      <w:r w:rsidR="00907AC6">
        <w:rPr>
          <w:rFonts w:eastAsiaTheme="minorEastAsia" w:hint="cs"/>
          <w:rtl/>
        </w:rPr>
        <w:t> </w:t>
      </w:r>
      <w:r w:rsidRPr="003766EC">
        <w:rPr>
          <w:rFonts w:eastAsiaTheme="minorEastAsia"/>
          <w:rtl/>
        </w:rPr>
        <w:t>غيرهم.</w:t>
      </w:r>
    </w:p>
    <w:p w14:paraId="7F0A977B"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5</w:t>
      </w:r>
      <w:r w:rsidRPr="003766EC">
        <w:rPr>
          <w:rFonts w:eastAsiaTheme="minorEastAsia"/>
          <w:rtl/>
        </w:rPr>
        <w:t>-</w:t>
      </w:r>
      <w:r w:rsidRPr="003766EC">
        <w:rPr>
          <w:rFonts w:eastAsiaTheme="minorEastAsia"/>
          <w:rtl/>
        </w:rPr>
        <w:tab/>
        <w:t>ويرجى توضيح التدابير المتخذة أو المزمع اتخاذها من أجل ما يلي:</w:t>
      </w:r>
    </w:p>
    <w:p w14:paraId="27272007" w14:textId="3424A7D8" w:rsidR="00907AC6" w:rsidRPr="00907AC6"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 xml:space="preserve">إلغاء الأحكام القانونية، بما فيها المادة </w:t>
      </w:r>
      <w:r w:rsidRPr="005444B6">
        <w:rPr>
          <w:rFonts w:eastAsiaTheme="minorEastAsia"/>
          <w:rtl/>
        </w:rPr>
        <w:t>62</w:t>
      </w:r>
      <w:r w:rsidRPr="003766EC">
        <w:rPr>
          <w:rFonts w:eastAsiaTheme="minorEastAsia"/>
          <w:rtl/>
        </w:rPr>
        <w:t xml:space="preserve"> من القانون الجنائي، التي تجيز للوالدين تأديب أطفالهما</w:t>
      </w:r>
      <w:r>
        <w:rPr>
          <w:rFonts w:ascii="Cambria" w:eastAsiaTheme="minorEastAsia" w:hAnsi="Cambria" w:hint="cs"/>
          <w:rtl/>
        </w:rPr>
        <w:t xml:space="preserve"> </w:t>
      </w:r>
      <w:r w:rsidRPr="003766EC">
        <w:rPr>
          <w:rFonts w:eastAsiaTheme="minorEastAsia"/>
          <w:rtl/>
        </w:rPr>
        <w:t>"</w:t>
      </w:r>
      <w:r w:rsidRPr="003766EC">
        <w:rPr>
          <w:rFonts w:eastAsiaTheme="minorEastAsia" w:hint="cs"/>
          <w:rtl/>
        </w:rPr>
        <w:t>وفق</w:t>
      </w:r>
      <w:r w:rsidRPr="003766EC">
        <w:rPr>
          <w:rFonts w:eastAsiaTheme="minorEastAsia"/>
          <w:rtl/>
        </w:rPr>
        <w:t xml:space="preserve"> </w:t>
      </w:r>
      <w:r w:rsidRPr="003766EC">
        <w:rPr>
          <w:rFonts w:eastAsiaTheme="minorEastAsia" w:hint="cs"/>
          <w:rtl/>
        </w:rPr>
        <w:t>ما</w:t>
      </w:r>
      <w:r w:rsidRPr="003766EC">
        <w:rPr>
          <w:rFonts w:eastAsiaTheme="minorEastAsia"/>
          <w:rtl/>
        </w:rPr>
        <w:t xml:space="preserve"> </w:t>
      </w:r>
      <w:r w:rsidRPr="003766EC">
        <w:rPr>
          <w:rFonts w:eastAsiaTheme="minorEastAsia" w:hint="cs"/>
          <w:rtl/>
        </w:rPr>
        <w:t>يبيحه</w:t>
      </w:r>
      <w:r w:rsidRPr="003766EC">
        <w:rPr>
          <w:rFonts w:eastAsiaTheme="minorEastAsia"/>
          <w:rtl/>
        </w:rPr>
        <w:t xml:space="preserve"> </w:t>
      </w:r>
      <w:r w:rsidRPr="003766EC">
        <w:rPr>
          <w:rFonts w:eastAsiaTheme="minorEastAsia" w:hint="cs"/>
          <w:rtl/>
        </w:rPr>
        <w:t>العرف</w:t>
      </w:r>
      <w:r w:rsidRPr="003766EC">
        <w:rPr>
          <w:rFonts w:eastAsiaTheme="minorEastAsia"/>
          <w:rtl/>
        </w:rPr>
        <w:t xml:space="preserve"> </w:t>
      </w:r>
      <w:r w:rsidRPr="003766EC">
        <w:rPr>
          <w:rFonts w:eastAsiaTheme="minorEastAsia" w:hint="cs"/>
          <w:rtl/>
        </w:rPr>
        <w:t>الع</w:t>
      </w:r>
      <w:r w:rsidRPr="003766EC">
        <w:rPr>
          <w:rFonts w:eastAsiaTheme="minorEastAsia"/>
          <w:rtl/>
        </w:rPr>
        <w:t>ام"</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5"/>
      </w:r>
      <w:r w:rsidR="00907AC6" w:rsidRPr="005444B6">
        <w:rPr>
          <w:rStyle w:val="FootnoteReference"/>
          <w:rFonts w:eastAsiaTheme="minorEastAsia"/>
          <w:sz w:val="22"/>
          <w:rtl/>
        </w:rPr>
        <w:t>)</w:t>
      </w:r>
      <w:r w:rsidR="00907AC6" w:rsidRPr="00907AC6">
        <w:rPr>
          <w:rFonts w:eastAsiaTheme="minorEastAsia"/>
          <w:rtl/>
        </w:rPr>
        <w:t>؛</w:t>
      </w:r>
    </w:p>
    <w:p w14:paraId="5926C1BB" w14:textId="230465B7"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اعتماد حظر كامل على العنف ضد الأطفال في جميع السياقات وتنفيذ برامج توعية تهدف إلى تعزيز الأشكال التشاركية وغير العنيفة في تنشئة الأطفال؛</w:t>
      </w:r>
    </w:p>
    <w:p w14:paraId="3EE30EAE" w14:textId="0BEC55BC"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t>مكافحة وصم الأطفال ضحايا الاستغلال والاعتداء الجنسيين، وضمان التعامل مع</w:t>
      </w:r>
      <w:r>
        <w:rPr>
          <w:rFonts w:eastAsiaTheme="minorEastAsia" w:hint="cs"/>
          <w:rtl/>
        </w:rPr>
        <w:t> </w:t>
      </w:r>
      <w:r w:rsidRPr="003766EC">
        <w:rPr>
          <w:rFonts w:eastAsiaTheme="minorEastAsia"/>
          <w:rtl/>
        </w:rPr>
        <w:t>هذه الحالات بطريقة سرية وملائمة للأطفال، وضمان حصول الضحايا على الدعم وسبل الانتصاف</w:t>
      </w:r>
      <w:r>
        <w:rPr>
          <w:rFonts w:eastAsiaTheme="minorEastAsia" w:hint="cs"/>
          <w:rtl/>
        </w:rPr>
        <w:t> </w:t>
      </w:r>
      <w:r w:rsidRPr="003766EC">
        <w:rPr>
          <w:rFonts w:eastAsiaTheme="minorEastAsia"/>
          <w:rtl/>
        </w:rPr>
        <w:t>الفعالة؛</w:t>
      </w:r>
    </w:p>
    <w:p w14:paraId="27B70AB2" w14:textId="04A1B949"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 xml:space="preserve">منع تعرض الأطفال ضحايا العنف للإيذاء مرة أخرى وضمان عدم مواجهتهم أي عواقب، بموجب المادة </w:t>
      </w:r>
      <w:r w:rsidRPr="005444B6">
        <w:rPr>
          <w:rFonts w:eastAsiaTheme="minorEastAsia"/>
          <w:rtl/>
        </w:rPr>
        <w:t>214</w:t>
      </w:r>
      <w:r w:rsidRPr="003766EC">
        <w:rPr>
          <w:rFonts w:eastAsiaTheme="minorEastAsia"/>
          <w:rtl/>
        </w:rPr>
        <w:t xml:space="preserve"> من قانون العقوبات، جراء أي تغيير في أقوالهم.</w:t>
      </w:r>
    </w:p>
    <w:p w14:paraId="1152D4C1" w14:textId="3441C80E" w:rsidR="00907AC6" w:rsidRPr="00907AC6" w:rsidRDefault="003766EC" w:rsidP="003766EC">
      <w:pPr>
        <w:pStyle w:val="SingleTxtGA"/>
        <w:rPr>
          <w:rFonts w:eastAsiaTheme="minorEastAsia"/>
          <w:lang w:val="ar-SA" w:eastAsia="zh-TW" w:bidi="en-GB"/>
        </w:rPr>
      </w:pPr>
      <w:r w:rsidRPr="005444B6">
        <w:rPr>
          <w:rFonts w:eastAsiaTheme="minorEastAsia"/>
          <w:rtl/>
        </w:rPr>
        <w:t>6</w:t>
      </w:r>
      <w:r w:rsidRPr="003766EC">
        <w:rPr>
          <w:rFonts w:eastAsiaTheme="minorEastAsia"/>
          <w:rtl/>
        </w:rPr>
        <w:t>-</w:t>
      </w:r>
      <w:r w:rsidRPr="003766EC">
        <w:rPr>
          <w:rFonts w:eastAsiaTheme="minorEastAsia"/>
          <w:rtl/>
        </w:rPr>
        <w:tab/>
        <w:t>ويرجى موافاة اللجنة بآخر المستجدات فيما يخص إقرار المصفوفة وخطة العمل الوطنية لمكافحة زواج الأطفال واعتمادهما</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6"/>
      </w:r>
      <w:r w:rsidR="00907AC6" w:rsidRPr="005444B6">
        <w:rPr>
          <w:rStyle w:val="FootnoteReference"/>
          <w:rFonts w:eastAsiaTheme="minorEastAsia"/>
          <w:sz w:val="22"/>
          <w:rtl/>
        </w:rPr>
        <w:t>)</w:t>
      </w:r>
      <w:r w:rsidR="00907AC6" w:rsidRPr="00907AC6">
        <w:rPr>
          <w:rFonts w:eastAsiaTheme="minorEastAsia"/>
          <w:rtl/>
        </w:rPr>
        <w:t>.</w:t>
      </w:r>
    </w:p>
    <w:p w14:paraId="1987BBEE" w14:textId="31B8A64A" w:rsidR="003766EC" w:rsidRPr="003766EC" w:rsidRDefault="003766EC" w:rsidP="003766EC">
      <w:pPr>
        <w:pStyle w:val="SingleTxtGA"/>
        <w:rPr>
          <w:rFonts w:eastAsiaTheme="minorEastAsia"/>
          <w:lang w:val="ar-SA" w:eastAsia="zh-TW" w:bidi="en-GB"/>
        </w:rPr>
      </w:pPr>
      <w:r w:rsidRPr="005444B6">
        <w:rPr>
          <w:rFonts w:eastAsiaTheme="minorEastAsia"/>
          <w:rtl/>
        </w:rPr>
        <w:t>7</w:t>
      </w:r>
      <w:r w:rsidRPr="003766EC">
        <w:rPr>
          <w:rFonts w:eastAsiaTheme="minorEastAsia"/>
          <w:rtl/>
        </w:rPr>
        <w:t>-</w:t>
      </w:r>
      <w:r w:rsidRPr="003766EC">
        <w:rPr>
          <w:rFonts w:eastAsiaTheme="minorEastAsia"/>
          <w:rtl/>
        </w:rPr>
        <w:tab/>
        <w:t>ويرجى وصف التدابير المتخذة من أجل ما يلي:</w:t>
      </w:r>
    </w:p>
    <w:p w14:paraId="0741678A" w14:textId="4B4DCA89" w:rsidR="003766EC" w:rsidRPr="003766EC" w:rsidRDefault="003766EC" w:rsidP="003766EC">
      <w:pPr>
        <w:pStyle w:val="SingleTxtGA"/>
        <w:rPr>
          <w:rFonts w:eastAsiaTheme="minorEastAsia"/>
          <w:lang w:val="ar-SA" w:eastAsia="zh-TW" w:bidi="en-GB"/>
        </w:rPr>
      </w:pPr>
      <w:r w:rsidRPr="00907AC6">
        <w:rPr>
          <w:rFonts w:eastAsiaTheme="minorEastAsia"/>
          <w:spacing w:val="-4"/>
          <w:rtl/>
        </w:rPr>
        <w:tab/>
        <w:t>(أ)</w:t>
      </w:r>
      <w:r w:rsidRPr="00907AC6">
        <w:rPr>
          <w:rFonts w:eastAsiaTheme="minorEastAsia"/>
          <w:spacing w:val="-4"/>
          <w:rtl/>
        </w:rPr>
        <w:tab/>
        <w:t>تعزيز المساواة في الأبوة والأمومة وتقاسم مسؤوليات الوالدين المشتركة بين كلا الوالدين،</w:t>
      </w:r>
      <w:r w:rsidRPr="003766EC">
        <w:rPr>
          <w:rFonts w:eastAsiaTheme="minorEastAsia"/>
          <w:rtl/>
        </w:rPr>
        <w:t xml:space="preserve"> بصرف النظر عن حالتهما الاجتماعية، قانوناً وممارسةً؛</w:t>
      </w:r>
    </w:p>
    <w:p w14:paraId="732DD6F2" w14:textId="025FB946"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الاستثمار في نظام كفالة الأطفال الذين لا يستطيعون البقاء مع والديهم وتعزيزه؛</w:t>
      </w:r>
    </w:p>
    <w:p w14:paraId="409BFC7F" w14:textId="6A752481" w:rsidR="003766EC" w:rsidRPr="003766EC" w:rsidRDefault="003766EC" w:rsidP="003766EC">
      <w:pPr>
        <w:pStyle w:val="SingleTxtGA"/>
        <w:rPr>
          <w:rFonts w:eastAsiaTheme="minorEastAsia"/>
          <w:lang w:val="ar-SA" w:eastAsia="zh-TW" w:bidi="en-GB"/>
        </w:rPr>
      </w:pPr>
      <w:r>
        <w:rPr>
          <w:rFonts w:eastAsiaTheme="minorEastAsia"/>
          <w:rtl/>
        </w:rPr>
        <w:lastRenderedPageBreak/>
        <w:tab/>
      </w:r>
      <w:r w:rsidRPr="003766EC">
        <w:rPr>
          <w:rFonts w:eastAsiaTheme="minorEastAsia"/>
          <w:rtl/>
        </w:rPr>
        <w:t>(ج)</w:t>
      </w:r>
      <w:r w:rsidRPr="003766EC">
        <w:rPr>
          <w:rFonts w:eastAsiaTheme="minorEastAsia"/>
          <w:rtl/>
        </w:rPr>
        <w:tab/>
        <w:t>منع فصل الأطفال عن ذويهم، بمن فيهم الأمهات العازبات، ولا سيما عند الولادة، بسبب الفقر أو الإعاقة أو والحالة الاجتماعية للأم أو سجن أحد الوالدين أو كليهما أو افتقارهما إلى وثائق</w:t>
      </w:r>
      <w:r>
        <w:rPr>
          <w:rFonts w:eastAsiaTheme="minorEastAsia" w:hint="cs"/>
          <w:rtl/>
        </w:rPr>
        <w:t> </w:t>
      </w:r>
      <w:r w:rsidRPr="003766EC">
        <w:rPr>
          <w:rFonts w:eastAsiaTheme="minorEastAsia"/>
          <w:rtl/>
        </w:rPr>
        <w:t>هوية؛</w:t>
      </w:r>
    </w:p>
    <w:p w14:paraId="3B327445" w14:textId="71DE3972"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تدريب العاملين في مجال الرعاية الاجتماعية وفي مجال حماية الطفل على إعمال حق الطفل في أن تُولى مصالحه الفضلى الاعتبار الأول في القرارات ذات الصلة بإيداع الأطفال دُور رعاية بديلة.</w:t>
      </w:r>
    </w:p>
    <w:p w14:paraId="19A356A2"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8</w:t>
      </w:r>
      <w:r w:rsidRPr="003766EC">
        <w:rPr>
          <w:rFonts w:eastAsiaTheme="minorEastAsia"/>
          <w:rtl/>
        </w:rPr>
        <w:t>-</w:t>
      </w:r>
      <w:r w:rsidRPr="003766EC">
        <w:rPr>
          <w:rFonts w:eastAsiaTheme="minorEastAsia"/>
          <w:rtl/>
        </w:rPr>
        <w:tab/>
        <w:t>ويُرجى تقديم معلومات عما يلي:</w:t>
      </w:r>
    </w:p>
    <w:p w14:paraId="2A3F36FB" w14:textId="2B0667B8"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الآلية القائمة لكفالة تنفيذ الاستراتيجية الوطنية للأشخاص ذوي الإعاقة وخطة العمل المرتبطة بها تنفيذاً فعالاً ولضمان تنسيق جميع الأنشطة ذات الصلة؛</w:t>
      </w:r>
    </w:p>
    <w:p w14:paraId="562D0284" w14:textId="20F6D930"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 xml:space="preserve">تنفيذ نظام التدخل المبكر رقم </w:t>
      </w:r>
      <w:r w:rsidRPr="005444B6">
        <w:rPr>
          <w:rFonts w:eastAsiaTheme="minorEastAsia"/>
          <w:rtl/>
        </w:rPr>
        <w:t>10</w:t>
      </w:r>
      <w:r w:rsidRPr="003766EC">
        <w:rPr>
          <w:rFonts w:eastAsiaTheme="minorEastAsia"/>
          <w:rtl/>
        </w:rPr>
        <w:t xml:space="preserve"> لسنة </w:t>
      </w:r>
      <w:r w:rsidRPr="005444B6">
        <w:rPr>
          <w:rFonts w:eastAsiaTheme="minorEastAsia"/>
          <w:rtl/>
        </w:rPr>
        <w:t>2018</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7"/>
      </w:r>
      <w:r w:rsidR="00907AC6" w:rsidRPr="005444B6">
        <w:rPr>
          <w:rStyle w:val="FootnoteReference"/>
          <w:rFonts w:eastAsiaTheme="minorEastAsia"/>
          <w:sz w:val="22"/>
          <w:rtl/>
        </w:rPr>
        <w:t>)</w:t>
      </w:r>
      <w:r w:rsidR="00907AC6" w:rsidRPr="00907AC6">
        <w:rPr>
          <w:rFonts w:eastAsiaTheme="minorEastAsia"/>
          <w:rtl/>
        </w:rPr>
        <w:t xml:space="preserve">، </w:t>
      </w:r>
      <w:r w:rsidRPr="003766EC">
        <w:rPr>
          <w:rFonts w:eastAsiaTheme="minorEastAsia"/>
          <w:rtl/>
        </w:rPr>
        <w:t>والنظام المعمول به لضمان الكشف المبكر عن الأطفال ذوي الإعاقة واتخاذ إجراءات التدخل اللازمة وإحالتهم إلى خدمات الدعم اللازمة، بما</w:t>
      </w:r>
      <w:r w:rsidR="00907AC6">
        <w:rPr>
          <w:rFonts w:eastAsiaTheme="minorEastAsia" w:hint="cs"/>
          <w:rtl/>
        </w:rPr>
        <w:t> </w:t>
      </w:r>
      <w:r w:rsidRPr="003766EC">
        <w:rPr>
          <w:rFonts w:eastAsiaTheme="minorEastAsia"/>
          <w:rtl/>
        </w:rPr>
        <w:t>فيها خدمات الرعاية الصحية المتخصصة.</w:t>
      </w:r>
    </w:p>
    <w:p w14:paraId="17C658CC"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9</w:t>
      </w:r>
      <w:r w:rsidRPr="003766EC">
        <w:rPr>
          <w:rFonts w:eastAsiaTheme="minorEastAsia"/>
          <w:rtl/>
        </w:rPr>
        <w:t>-</w:t>
      </w:r>
      <w:r w:rsidRPr="003766EC">
        <w:rPr>
          <w:rFonts w:eastAsiaTheme="minorEastAsia"/>
          <w:rtl/>
        </w:rPr>
        <w:tab/>
        <w:t>ويرجى توضيح التدابير المتخذة أو المزمع اتخاذها من أجل ما يلي</w:t>
      </w:r>
      <w:r w:rsidRPr="003766EC">
        <w:rPr>
          <w:rFonts w:eastAsiaTheme="minorEastAsia"/>
        </w:rPr>
        <w:t>:</w:t>
      </w:r>
      <w:r w:rsidRPr="003766EC">
        <w:rPr>
          <w:rFonts w:eastAsiaTheme="minorEastAsia"/>
          <w:rtl/>
        </w:rPr>
        <w:t xml:space="preserve"> </w:t>
      </w:r>
    </w:p>
    <w:p w14:paraId="2F495198" w14:textId="512A2630"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تذليل العقبات التي تعترض الأطفال الذين يعيشون في حالات حرمان، بمن فيهم طالبو اللجوء والأطفال اللاجئون والمهاجرون والأطفال المنحدرون من أصل فلسطيني، في الحصول على خدمات التعليم والرعاية الصحية؛</w:t>
      </w:r>
    </w:p>
    <w:p w14:paraId="2ACBF2A3" w14:textId="5907ED48"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ضمان حصول المراهقين على خدمات الصحة النفسية وتنظيم الأسرة ووسائل منع الحمل بأسعار معقولة وحصول المراهقات على خدمات الإجهاض المأمون؛</w:t>
      </w:r>
    </w:p>
    <w:p w14:paraId="6D281674" w14:textId="2026C7F0"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r>
      <w:r w:rsidRPr="005444B6">
        <w:rPr>
          <w:rFonts w:eastAsiaTheme="minorEastAsia"/>
          <w:rtl/>
        </w:rPr>
        <w:t xml:space="preserve">منع ترحيل الأطفال المهاجرين المصابين بفيروس نقص المناعة البشرية وضمان حصول جميع الأطفال المهاجرين المصابين بفيروس نقص المناعة البشرية على العلاج بمضادات الفيروسات </w:t>
      </w:r>
      <w:proofErr w:type="spellStart"/>
      <w:r w:rsidRPr="005444B6">
        <w:rPr>
          <w:rFonts w:eastAsiaTheme="minorEastAsia"/>
          <w:rtl/>
        </w:rPr>
        <w:t>القهقرية</w:t>
      </w:r>
      <w:proofErr w:type="spellEnd"/>
      <w:r w:rsidRPr="005444B6">
        <w:rPr>
          <w:rFonts w:eastAsiaTheme="minorEastAsia"/>
          <w:rtl/>
        </w:rPr>
        <w:t>؛</w:t>
      </w:r>
    </w:p>
    <w:p w14:paraId="35F245AB" w14:textId="0AD1016E"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r>
      <w:r w:rsidRPr="005444B6">
        <w:rPr>
          <w:rFonts w:eastAsiaTheme="minorEastAsia"/>
          <w:rtl/>
        </w:rPr>
        <w:t>ضمان مراعاة آراء الأطفال وأوجه ضعفهم الخاصة عند وضع السياسات والبرامج الرامية إلى التصدي لتغير المناخ وإدارة مخاطر الكوارث؛</w:t>
      </w:r>
    </w:p>
    <w:p w14:paraId="2A678FC2" w14:textId="0F309821"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(هـ)</w:t>
      </w:r>
      <w:r w:rsidRPr="003766EC">
        <w:rPr>
          <w:rFonts w:eastAsiaTheme="minorEastAsia"/>
          <w:rtl/>
        </w:rPr>
        <w:tab/>
      </w:r>
      <w:r w:rsidRPr="005444B6">
        <w:rPr>
          <w:rFonts w:eastAsiaTheme="minorEastAsia"/>
          <w:rtl/>
        </w:rPr>
        <w:t>ضمان حق الأطفال الذين يعيشون في ظل أوضاع هشة، بمن فيهم الأطفال الذين يعيشون في مخيمات عشوائية والأطفال طالبو اللجوء والأطفال اللاجئون والمهاجرون، في مستوى معيشي لائق، بما في ذلك من حيث خدمات الصحة والصرف الصحي والتعليم والسكن.</w:t>
      </w:r>
    </w:p>
    <w:p w14:paraId="6202C8C3"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10</w:t>
      </w:r>
      <w:r w:rsidRPr="003766EC">
        <w:rPr>
          <w:rFonts w:eastAsiaTheme="minorEastAsia"/>
          <w:rtl/>
        </w:rPr>
        <w:t>-</w:t>
      </w:r>
      <w:r w:rsidRPr="003766EC">
        <w:rPr>
          <w:rFonts w:eastAsiaTheme="minorEastAsia"/>
          <w:rtl/>
        </w:rPr>
        <w:tab/>
        <w:t>ويرجى وصف التدابير المتخذة أو المزمع اتخاذها من أجل ما يلي:</w:t>
      </w:r>
    </w:p>
    <w:p w14:paraId="1FDCBF07" w14:textId="5648E22F"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زيادة موارد الميزانية المخصصة للتعليم، بالنظر إلى العدد الكبير من الأطفال الذين انتقلوا من مدارس خاصة إلى مدارس حكومية في السنوات الأخيرة؛</w:t>
      </w:r>
    </w:p>
    <w:p w14:paraId="72992F61" w14:textId="15585889"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ضمان حصول الأطفال اللاجئين الفلسطينيين والأطفال ذوي الإعاقة والأطفال غير</w:t>
      </w:r>
      <w:r w:rsidR="00907AC6">
        <w:rPr>
          <w:rFonts w:eastAsiaTheme="minorEastAsia" w:hint="eastAsia"/>
          <w:rtl/>
        </w:rPr>
        <w:t> </w:t>
      </w:r>
      <w:r w:rsidRPr="003766EC">
        <w:rPr>
          <w:rFonts w:eastAsiaTheme="minorEastAsia"/>
          <w:rtl/>
        </w:rPr>
        <w:t>الحاصلين على إقامة قانونية على التعليم العام الجامع مجاناً؛</w:t>
      </w:r>
    </w:p>
    <w:p w14:paraId="79BB9325" w14:textId="12A8596C" w:rsidR="003766EC" w:rsidRPr="003766EC" w:rsidRDefault="003766EC" w:rsidP="003766EC">
      <w:pPr>
        <w:pStyle w:val="SingleTxtGA"/>
        <w:rPr>
          <w:rFonts w:eastAsiaTheme="minorEastAsia"/>
          <w:lang w:val="ar-SA" w:eastAsia="zh-TW" w:bidi="en-GB"/>
        </w:rPr>
      </w:pPr>
      <w:r>
        <w:rPr>
          <w:rFonts w:eastAsiaTheme="minorEastAsia"/>
          <w:rtl/>
        </w:rPr>
        <w:lastRenderedPageBreak/>
        <w:tab/>
      </w:r>
      <w:r w:rsidRPr="003766EC">
        <w:rPr>
          <w:rFonts w:eastAsiaTheme="minorEastAsia"/>
          <w:rtl/>
        </w:rPr>
        <w:t>(ج)</w:t>
      </w:r>
      <w:r w:rsidRPr="003766EC">
        <w:rPr>
          <w:rFonts w:eastAsiaTheme="minorEastAsia"/>
          <w:rtl/>
        </w:rPr>
        <w:tab/>
        <w:t>توسيع نطاق برامج التعليم غير النظامي ليشمل العديد الكبير من الأطفال غير الملتحقين بمدارس؛</w:t>
      </w:r>
    </w:p>
    <w:p w14:paraId="2C08FCD6" w14:textId="5F7B43B2"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 xml:space="preserve">التصدي للتنميط </w:t>
      </w:r>
      <w:proofErr w:type="spellStart"/>
      <w:r w:rsidRPr="003766EC">
        <w:rPr>
          <w:rFonts w:eastAsiaTheme="minorEastAsia"/>
          <w:rtl/>
        </w:rPr>
        <w:t>الجنساني</w:t>
      </w:r>
      <w:proofErr w:type="spellEnd"/>
      <w:r w:rsidRPr="003766EC">
        <w:rPr>
          <w:rFonts w:eastAsiaTheme="minorEastAsia"/>
          <w:rtl/>
        </w:rPr>
        <w:t xml:space="preserve"> في مجال التعليم وتحسين فرص التعليم والتحصيل العلمي لكل من الفتيان والفتيات، بمن فيهن المراهقات الحوامل والأمهات المراهقات، على جميع المستويات؛</w:t>
      </w:r>
    </w:p>
    <w:p w14:paraId="6FD86419" w14:textId="16E0FE1A"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(هـ)</w:t>
      </w:r>
      <w:r w:rsidRPr="003766EC">
        <w:rPr>
          <w:rFonts w:eastAsiaTheme="minorEastAsia"/>
          <w:rtl/>
        </w:rPr>
        <w:tab/>
        <w:t>التصدي للعقوبة الجسدية والتنمر وغير ذلك من أشكال العنف في المدارس، بما في ذلك من خلال إنشاء آليات لتقديم الشكاوى في المدارس تتيح للأطفال إمكانية</w:t>
      </w:r>
      <w:r>
        <w:rPr>
          <w:rFonts w:ascii="Cambria" w:eastAsiaTheme="minorEastAsia" w:hAnsi="Cambria" w:hint="cs"/>
          <w:rtl/>
        </w:rPr>
        <w:t xml:space="preserve"> </w:t>
      </w:r>
      <w:r w:rsidRPr="003766EC">
        <w:rPr>
          <w:rFonts w:eastAsiaTheme="minorEastAsia" w:hint="cs"/>
          <w:rtl/>
        </w:rPr>
        <w:t>الإبلاغ</w:t>
      </w:r>
      <w:r w:rsidRPr="003766EC">
        <w:rPr>
          <w:rFonts w:eastAsiaTheme="minorEastAsia"/>
          <w:rtl/>
        </w:rPr>
        <w:t xml:space="preserve"> عن هذه الحالات ومن خلال بناء قدرات المعلمين على منع العنف في المدارس والتصدي له؛</w:t>
      </w:r>
    </w:p>
    <w:p w14:paraId="5B85026D" w14:textId="5080D747" w:rsidR="003766EC" w:rsidRPr="003766EC" w:rsidRDefault="003766EC" w:rsidP="003766EC">
      <w:pPr>
        <w:pStyle w:val="SingleTxtGA"/>
        <w:rPr>
          <w:rFonts w:eastAsiaTheme="minorEastAsia"/>
          <w:rtl/>
          <w:lang w:val="ar-SA" w:eastAsia="zh-TW"/>
        </w:rPr>
      </w:pPr>
      <w:r>
        <w:rPr>
          <w:rFonts w:eastAsiaTheme="minorEastAsia"/>
          <w:rtl/>
        </w:rPr>
        <w:tab/>
      </w:r>
      <w:r w:rsidRPr="003766EC">
        <w:rPr>
          <w:rFonts w:eastAsiaTheme="minorEastAsia"/>
          <w:rtl/>
        </w:rPr>
        <w:t>(و)</w:t>
      </w:r>
      <w:r w:rsidRPr="003766EC">
        <w:rPr>
          <w:rFonts w:eastAsiaTheme="minorEastAsia"/>
          <w:rtl/>
        </w:rPr>
        <w:tab/>
      </w:r>
      <w:r w:rsidRPr="005444B6">
        <w:rPr>
          <w:rFonts w:eastAsiaTheme="minorEastAsia"/>
          <w:rtl/>
        </w:rPr>
        <w:t>ضمان حق الأطفال في الراحة والترفيه والمشاركة في الأنشطة الترفيهية، بما في ذلك من خلال توفير ساحات لعب آمنة يسهل عليهم الوصول إليها.</w:t>
      </w:r>
    </w:p>
    <w:p w14:paraId="18BAE671"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11</w:t>
      </w:r>
      <w:r w:rsidRPr="003766EC">
        <w:rPr>
          <w:rFonts w:eastAsiaTheme="minorEastAsia"/>
          <w:rtl/>
        </w:rPr>
        <w:t>-</w:t>
      </w:r>
      <w:r w:rsidRPr="003766EC">
        <w:rPr>
          <w:rFonts w:eastAsiaTheme="minorEastAsia"/>
          <w:rtl/>
        </w:rPr>
        <w:tab/>
        <w:t>ويُرجى موافاة اللجنة بمعلومات عن التدابير المتخذة من أجل ما يلي:</w:t>
      </w:r>
    </w:p>
    <w:p w14:paraId="55274488" w14:textId="79CFA298"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ضمان تسجيل جميع الأطفال غير السوريين من الأطفال طالبي اللجوء واللاجئين وأطفال الأفراد الذين يلتمسون الحماية الدولية؛</w:t>
      </w:r>
    </w:p>
    <w:p w14:paraId="5E7CFA2F" w14:textId="2D9D9F53"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ضمان حماية الأطفال الفلسطينيين الذين فروا من الجمهورية العربية السورية وأسرهم وضمان احترام المبدأ الأساسي المتمثل في عدم الإعادة القسرية احتراماً تاماً؛</w:t>
      </w:r>
    </w:p>
    <w:p w14:paraId="7B96C2AC" w14:textId="12F6019B"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r>
      <w:r w:rsidRPr="005444B6">
        <w:rPr>
          <w:rFonts w:eastAsiaTheme="minorEastAsia"/>
          <w:rtl/>
        </w:rPr>
        <w:t>توفير حلول دائمة للأطفال الفلسطينيين، بما وضعهم من حيث الإقامة والدعم اللازم لإدماجهم في المجتمع، وضمان عدم تعرضهم لأي عقوبة أو غرامة بسبب وضعهم من حيث الإقامة.</w:t>
      </w:r>
    </w:p>
    <w:p w14:paraId="61B74C60"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12</w:t>
      </w:r>
      <w:r w:rsidRPr="003766EC">
        <w:rPr>
          <w:rFonts w:eastAsiaTheme="minorEastAsia"/>
          <w:rtl/>
        </w:rPr>
        <w:t>-</w:t>
      </w:r>
      <w:r w:rsidRPr="003766EC">
        <w:rPr>
          <w:rFonts w:eastAsiaTheme="minorEastAsia"/>
          <w:rtl/>
        </w:rPr>
        <w:tab/>
        <w:t>ويُرجى تقديم معلومات عما يلي:</w:t>
      </w:r>
    </w:p>
    <w:p w14:paraId="4FF9DD82" w14:textId="02A8519B"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 xml:space="preserve">استراتيجية القضاء على عمل الأطفال للفترة </w:t>
      </w:r>
      <w:r w:rsidRPr="005444B6">
        <w:rPr>
          <w:rFonts w:eastAsiaTheme="minorEastAsia"/>
          <w:rtl/>
        </w:rPr>
        <w:t>2020</w:t>
      </w:r>
      <w:r w:rsidRPr="003766EC">
        <w:rPr>
          <w:rFonts w:eastAsiaTheme="minorEastAsia"/>
          <w:rtl/>
        </w:rPr>
        <w:t>-</w:t>
      </w:r>
      <w:r w:rsidRPr="005444B6">
        <w:rPr>
          <w:rFonts w:eastAsiaTheme="minorEastAsia"/>
          <w:rtl/>
        </w:rPr>
        <w:t>2030</w:t>
      </w:r>
      <w:r w:rsidRPr="003766EC">
        <w:rPr>
          <w:rFonts w:eastAsiaTheme="minorEastAsia"/>
          <w:rtl/>
        </w:rPr>
        <w:t>، بما في ذلك الموارد المخصصة لتنفيذها؛</w:t>
      </w:r>
    </w:p>
    <w:p w14:paraId="3FB3ADE0" w14:textId="0E4F66ED" w:rsidR="003766EC" w:rsidRPr="00907AC6" w:rsidRDefault="003766EC" w:rsidP="003766EC">
      <w:pPr>
        <w:pStyle w:val="SingleTxtGA"/>
        <w:rPr>
          <w:rFonts w:eastAsiaTheme="minorEastAsia"/>
          <w:rtl/>
          <w:lang w:val="en-US" w:eastAsia="zh-TW"/>
        </w:rPr>
      </w:pPr>
      <w:r>
        <w:rPr>
          <w:rFonts w:eastAsiaTheme="minorEastAsia"/>
          <w:rtl/>
        </w:rPr>
        <w:tab/>
      </w:r>
      <w:r w:rsidRPr="003766EC">
        <w:rPr>
          <w:rFonts w:eastAsiaTheme="minorEastAsia"/>
          <w:rtl/>
        </w:rPr>
        <w:t>(ب)</w:t>
      </w:r>
      <w:r w:rsidRPr="003766EC">
        <w:rPr>
          <w:rFonts w:eastAsiaTheme="minorEastAsia"/>
          <w:rtl/>
        </w:rPr>
        <w:tab/>
      </w:r>
      <w:r w:rsidRPr="005444B6">
        <w:rPr>
          <w:rFonts w:eastAsiaTheme="minorEastAsia"/>
          <w:rtl/>
        </w:rPr>
        <w:t>التدابير المتخذة لتعزيز قدرات وحدتي عمل الأطفال ومكافحة التسول التابعتين لوزارة التنمية الاجتماعية وضمان حصول أطفال الشوارع على الدعم من دوائر الرعاية الاجتماعية.</w:t>
      </w:r>
    </w:p>
    <w:p w14:paraId="6B22488F"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13</w:t>
      </w:r>
      <w:r w:rsidRPr="003766EC">
        <w:rPr>
          <w:rFonts w:eastAsiaTheme="minorEastAsia"/>
          <w:rtl/>
        </w:rPr>
        <w:t>-</w:t>
      </w:r>
      <w:r w:rsidRPr="003766EC">
        <w:rPr>
          <w:rFonts w:eastAsiaTheme="minorEastAsia"/>
          <w:rtl/>
        </w:rPr>
        <w:tab/>
        <w:t>ويرجى وصف التدابير المتخذة من أجل ما يلي:</w:t>
      </w:r>
    </w:p>
    <w:p w14:paraId="1D467C27" w14:textId="172C4DBF"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إقرار قانون الأحداث المعدل وضمان تنفيذه بفعالية؛</w:t>
      </w:r>
    </w:p>
    <w:p w14:paraId="3415B4B8" w14:textId="6657222D"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إنشاء محاكم متخصصة أو تعيين قضاة ومدعين عامين متخصصين في قضايا الأطفال وضمان حصول الأطفال المتهمين بانتهاك أحكام قانون العقوبات على المساعدة القانونية</w:t>
      </w:r>
      <w:r>
        <w:rPr>
          <w:rFonts w:eastAsiaTheme="minorEastAsia" w:hint="cs"/>
          <w:rtl/>
        </w:rPr>
        <w:t> </w:t>
      </w:r>
      <w:r w:rsidRPr="003766EC">
        <w:rPr>
          <w:rFonts w:eastAsiaTheme="minorEastAsia"/>
          <w:rtl/>
        </w:rPr>
        <w:t>المجانية؛</w:t>
      </w:r>
    </w:p>
    <w:p w14:paraId="3FC2B46F" w14:textId="7A18708F"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r>
      <w:r w:rsidRPr="005444B6">
        <w:rPr>
          <w:rFonts w:eastAsiaTheme="minorEastAsia"/>
          <w:rtl/>
        </w:rPr>
        <w:t>تعزيز التدابير غير القضائية مثل عدم اللجوء إلى القضاء، والوساطة، والمشورة</w:t>
      </w:r>
      <w:r w:rsidRPr="005444B6">
        <w:rPr>
          <w:rFonts w:eastAsiaTheme="minorEastAsia" w:hint="cs"/>
          <w:rtl/>
        </w:rPr>
        <w:t> </w:t>
      </w:r>
      <w:r w:rsidRPr="005444B6">
        <w:rPr>
          <w:rFonts w:eastAsiaTheme="minorEastAsia"/>
          <w:rtl/>
        </w:rPr>
        <w:t>المتخصصة.</w:t>
      </w:r>
    </w:p>
    <w:p w14:paraId="2B90EC01" w14:textId="11ECAE30" w:rsidR="003766EC" w:rsidRPr="003766EC" w:rsidRDefault="003766EC" w:rsidP="003766EC">
      <w:pPr>
        <w:pStyle w:val="SingleTxtGA"/>
        <w:rPr>
          <w:rFonts w:eastAsiaTheme="minorEastAsia"/>
          <w:lang w:val="ar-SA" w:eastAsia="zh-TW" w:bidi="en-GB"/>
        </w:rPr>
      </w:pPr>
      <w:r w:rsidRPr="005444B6">
        <w:rPr>
          <w:rFonts w:eastAsiaTheme="minorEastAsia"/>
          <w:rtl/>
        </w:rPr>
        <w:t>14</w:t>
      </w:r>
      <w:r w:rsidRPr="003766EC">
        <w:rPr>
          <w:rFonts w:eastAsiaTheme="minorEastAsia"/>
          <w:rtl/>
        </w:rPr>
        <w:t>-</w:t>
      </w:r>
      <w:r w:rsidRPr="003766EC">
        <w:rPr>
          <w:rFonts w:eastAsiaTheme="minorEastAsia"/>
          <w:rtl/>
        </w:rPr>
        <w:tab/>
        <w:t>وبالإشارة إلى الملاحظات الختامية للجنة بشأن التقرير المقدم من الدولة الطرف بموجب البروتوكول الاختياري المتعلق ببيع الأطفال واستغلال الأطفال في البغاء وفي المواد الإباحية</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8"/>
      </w:r>
      <w:r w:rsidR="00907AC6" w:rsidRPr="005444B6">
        <w:rPr>
          <w:rStyle w:val="FootnoteReference"/>
          <w:rFonts w:eastAsiaTheme="minorEastAsia"/>
          <w:sz w:val="22"/>
          <w:rtl/>
        </w:rPr>
        <w:t>)</w:t>
      </w:r>
      <w:r w:rsidR="00907AC6" w:rsidRPr="00907AC6">
        <w:rPr>
          <w:rFonts w:eastAsiaTheme="minorEastAsia"/>
          <w:rtl/>
        </w:rPr>
        <w:t xml:space="preserve">، </w:t>
      </w:r>
      <w:r w:rsidRPr="003766EC">
        <w:rPr>
          <w:rFonts w:eastAsiaTheme="minorEastAsia"/>
          <w:rtl/>
        </w:rPr>
        <w:t>يرجى توضيح التدابير المتخذة من أجل ما يلي:</w:t>
      </w:r>
    </w:p>
    <w:p w14:paraId="71BAA87E" w14:textId="16A31517" w:rsidR="003766EC" w:rsidRPr="003766EC" w:rsidRDefault="003766EC" w:rsidP="003766EC">
      <w:pPr>
        <w:pStyle w:val="SingleTxtGA"/>
        <w:rPr>
          <w:rFonts w:eastAsiaTheme="minorEastAsia"/>
          <w:lang w:val="ar-SA" w:eastAsia="zh-TW" w:bidi="en-GB"/>
        </w:rPr>
      </w:pPr>
      <w:r>
        <w:rPr>
          <w:rFonts w:eastAsiaTheme="minorEastAsia"/>
          <w:rtl/>
        </w:rPr>
        <w:lastRenderedPageBreak/>
        <w:tab/>
      </w:r>
      <w:r w:rsidRPr="003766EC">
        <w:rPr>
          <w:rFonts w:eastAsiaTheme="minorEastAsia"/>
          <w:rtl/>
        </w:rPr>
        <w:t>(أ)</w:t>
      </w:r>
      <w:r w:rsidRPr="003766EC">
        <w:rPr>
          <w:rFonts w:eastAsiaTheme="minorEastAsia"/>
          <w:rtl/>
        </w:rPr>
        <w:tab/>
      </w:r>
      <w:r w:rsidRPr="005444B6">
        <w:rPr>
          <w:rFonts w:eastAsiaTheme="minorEastAsia"/>
          <w:rtl/>
        </w:rPr>
        <w:t>تعريف وتجريم جميع أشكال بيع الأطفال المحظورة بموجب البروتوكول الاختياري تعريفاً وتجريماً صريحين؛</w:t>
      </w:r>
    </w:p>
    <w:p w14:paraId="20DEEA94" w14:textId="096CBFA4"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ضمان التحقيق الفعال في بيع الفتيات لأغراض الزواج القسري والاعتداء والاستغلال الجنسيين، بما في ذلك في البغاء وفي صناعة السياحة؛</w:t>
      </w:r>
    </w:p>
    <w:p w14:paraId="22D9EC89" w14:textId="2C00B778"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t>ضمان معاملة الأطفال ضحايا الجرائم المشمولة بالبروتوكول الاختياري كضحايا، ونقلهم من مرافق الاحتجاز، وحصولهم على خدمات دعم متخصصة وملائمة لهم؛</w:t>
      </w:r>
    </w:p>
    <w:p w14:paraId="1D540329" w14:textId="56F1922B"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r>
      <w:r w:rsidRPr="005444B6">
        <w:rPr>
          <w:rFonts w:eastAsiaTheme="minorEastAsia"/>
          <w:rtl/>
        </w:rPr>
        <w:t>فرض الولاية القضائية خارج الحدود الإقليمية على جميع الجرائم المشمولة بالبروتوكول</w:t>
      </w:r>
      <w:r w:rsidRPr="005444B6">
        <w:rPr>
          <w:rFonts w:eastAsiaTheme="minorEastAsia" w:hint="cs"/>
          <w:rtl/>
        </w:rPr>
        <w:t> </w:t>
      </w:r>
      <w:r w:rsidRPr="005444B6">
        <w:rPr>
          <w:rFonts w:eastAsiaTheme="minorEastAsia"/>
          <w:rtl/>
        </w:rPr>
        <w:t>الاختياري.</w:t>
      </w:r>
    </w:p>
    <w:p w14:paraId="3B0A08FF" w14:textId="59C8F594" w:rsidR="003766EC" w:rsidRPr="003766EC" w:rsidRDefault="003766EC" w:rsidP="003766EC">
      <w:pPr>
        <w:pStyle w:val="SingleTxtGA"/>
        <w:rPr>
          <w:rFonts w:eastAsiaTheme="minorEastAsia"/>
          <w:lang w:val="ar-SA" w:eastAsia="zh-TW" w:bidi="en-GB"/>
        </w:rPr>
      </w:pPr>
      <w:bookmarkStart w:id="2" w:name="_Hlk65649448"/>
      <w:r w:rsidRPr="005444B6">
        <w:rPr>
          <w:rFonts w:eastAsiaTheme="minorEastAsia"/>
          <w:rtl/>
        </w:rPr>
        <w:t>15</w:t>
      </w:r>
      <w:r w:rsidRPr="003766EC">
        <w:rPr>
          <w:rFonts w:eastAsiaTheme="minorEastAsia"/>
          <w:rtl/>
        </w:rPr>
        <w:t>-</w:t>
      </w:r>
      <w:r w:rsidRPr="003766EC">
        <w:rPr>
          <w:rFonts w:eastAsiaTheme="minorEastAsia"/>
          <w:rtl/>
        </w:rPr>
        <w:tab/>
        <w:t>وبالإشارة إلى الملاحظات الختامية للجنة بشأن التقرير المقدم من الدولة الطرف بموجب البروتوكول الاختياري المتعلق باشتراك الأطفال في المنازعات المسلحة</w:t>
      </w:r>
      <w:r w:rsidR="00907AC6" w:rsidRPr="005444B6">
        <w:rPr>
          <w:rStyle w:val="FootnoteReference"/>
          <w:rFonts w:eastAsiaTheme="minorEastAsia"/>
          <w:sz w:val="22"/>
          <w:rtl/>
        </w:rPr>
        <w:t>(</w:t>
      </w:r>
      <w:r w:rsidR="00907AC6" w:rsidRPr="005444B6">
        <w:rPr>
          <w:rStyle w:val="FootnoteReference"/>
          <w:rFonts w:eastAsiaTheme="minorEastAsia"/>
          <w:sz w:val="22"/>
          <w:lang w:val="en-US"/>
        </w:rPr>
        <w:footnoteReference w:id="9"/>
      </w:r>
      <w:r w:rsidR="00907AC6" w:rsidRPr="005444B6">
        <w:rPr>
          <w:rStyle w:val="FootnoteReference"/>
          <w:rFonts w:eastAsiaTheme="minorEastAsia"/>
          <w:sz w:val="22"/>
          <w:rtl/>
        </w:rPr>
        <w:t>)</w:t>
      </w:r>
      <w:r w:rsidR="00907AC6" w:rsidRPr="00907AC6">
        <w:rPr>
          <w:rFonts w:eastAsiaTheme="minorEastAsia"/>
          <w:rtl/>
        </w:rPr>
        <w:t xml:space="preserve">، </w:t>
      </w:r>
      <w:r w:rsidRPr="003766EC">
        <w:rPr>
          <w:rFonts w:eastAsiaTheme="minorEastAsia"/>
          <w:rtl/>
        </w:rPr>
        <w:t>يرجى توضيح التدابير المتخذة من أجل ما يلي:</w:t>
      </w:r>
      <w:bookmarkEnd w:id="2"/>
    </w:p>
    <w:p w14:paraId="0B07F4F5" w14:textId="0C815D2E"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تعيين كيان حكومي مسؤول عن تنفيذ البروتوكول الاختياري وإنشاء آلية مؤسسية تعنى بالتنسيق الفعال بين الوزارات وسائر الكيانات الحكومية والشركاء الحكوميين؛</w:t>
      </w:r>
    </w:p>
    <w:p w14:paraId="4B4D1812" w14:textId="59E07438"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 xml:space="preserve">حظر وتجريم تجنيد الأطفال الذين تقل أعمارهم عن </w:t>
      </w:r>
      <w:r w:rsidRPr="005444B6">
        <w:rPr>
          <w:rFonts w:eastAsiaTheme="minorEastAsia"/>
          <w:rtl/>
        </w:rPr>
        <w:t>18</w:t>
      </w:r>
      <w:r w:rsidRPr="003766EC">
        <w:rPr>
          <w:rFonts w:eastAsiaTheme="minorEastAsia"/>
          <w:rtl/>
        </w:rPr>
        <w:t xml:space="preserve"> عاماً من جانب القوات المسلحة والجماعات المسلحة غير التابعة للدولة والشركات الأمنية؛</w:t>
      </w:r>
    </w:p>
    <w:p w14:paraId="67A145CD" w14:textId="12D75F43"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t xml:space="preserve">رفع السن الدنيا للتجنيد الطوعي لضباط الأمن العام إلى </w:t>
      </w:r>
      <w:r w:rsidRPr="005444B6">
        <w:rPr>
          <w:rFonts w:eastAsiaTheme="minorEastAsia"/>
          <w:rtl/>
        </w:rPr>
        <w:t>18</w:t>
      </w:r>
      <w:r w:rsidRPr="003766EC">
        <w:rPr>
          <w:rFonts w:eastAsiaTheme="minorEastAsia"/>
          <w:rtl/>
        </w:rPr>
        <w:t xml:space="preserve"> عاماً؛</w:t>
      </w:r>
    </w:p>
    <w:p w14:paraId="30FFAC74" w14:textId="4F9334A0"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توسيع نطاق الولاية القضائية خارج الحدود الإقليمية ليشمل الجرائم ذات الصلة بتجنيد الأطفال و</w:t>
      </w:r>
      <w:r w:rsidR="003566A4">
        <w:rPr>
          <w:rFonts w:eastAsiaTheme="minorEastAsia" w:hint="cs"/>
          <w:rtl/>
        </w:rPr>
        <w:t>إ</w:t>
      </w:r>
      <w:r w:rsidRPr="003766EC">
        <w:rPr>
          <w:rFonts w:eastAsiaTheme="minorEastAsia"/>
          <w:rtl/>
        </w:rPr>
        <w:t>شراكهم في الأعمال القتالية من دون إخضاع هذه الولاية لشرط التجريم المزدوج.</w:t>
      </w:r>
    </w:p>
    <w:p w14:paraId="5B87B5F5" w14:textId="77777777" w:rsidR="003766EC" w:rsidRPr="00D87654" w:rsidRDefault="003766EC" w:rsidP="003766EC">
      <w:pPr>
        <w:pStyle w:val="HChGA"/>
        <w:rPr>
          <w:lang w:val="en-US" w:eastAsia="zh-TW" w:bidi="en-GB"/>
        </w:rPr>
      </w:pPr>
      <w:r w:rsidRPr="003766EC">
        <w:rPr>
          <w:rtl/>
        </w:rPr>
        <w:tab/>
      </w:r>
      <w:r w:rsidRPr="003766EC">
        <w:rPr>
          <w:rtl/>
        </w:rPr>
        <w:tab/>
        <w:t>الجزء الثاني</w:t>
      </w:r>
    </w:p>
    <w:p w14:paraId="005C4D5A"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16</w:t>
      </w:r>
      <w:r w:rsidRPr="003766EC">
        <w:rPr>
          <w:rFonts w:eastAsiaTheme="minorEastAsia"/>
          <w:rtl/>
        </w:rPr>
        <w:t>-</w:t>
      </w:r>
      <w:r w:rsidRPr="003766EC">
        <w:rPr>
          <w:rFonts w:eastAsiaTheme="minorEastAsia"/>
          <w:rtl/>
        </w:rPr>
        <w:tab/>
        <w:t>تدعو اللجنة الدولة الطرف إلى تقديم تحديث موجز، لا يزيد على ثلاث صفحات، للمعلومات المقدّمة في تقريرها عما يلي:</w:t>
      </w:r>
    </w:p>
    <w:p w14:paraId="701024E6" w14:textId="6163BA4C"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مشاريع القوانين الجديدة أو القوانين الجديدة، ولوائحها التنظيمية؛</w:t>
      </w:r>
    </w:p>
    <w:p w14:paraId="36647608" w14:textId="5505FA64"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المؤسسات الجديدة وولاياتها أو الإصلاحات المؤسسية؛</w:t>
      </w:r>
    </w:p>
    <w:p w14:paraId="4710D71D" w14:textId="72CA46AB" w:rsidR="003766EC" w:rsidRPr="003766EC" w:rsidRDefault="003766EC" w:rsidP="003766EC">
      <w:pPr>
        <w:pStyle w:val="SingleTxtGA"/>
        <w:rPr>
          <w:rFonts w:eastAsiaTheme="minorEastAsia"/>
          <w:spacing w:val="-6"/>
          <w:lang w:val="ar-SA" w:eastAsia="zh-TW" w:bidi="en-GB"/>
        </w:rPr>
      </w:pPr>
      <w:r w:rsidRPr="003766EC">
        <w:rPr>
          <w:rFonts w:eastAsiaTheme="minorEastAsia"/>
          <w:spacing w:val="-6"/>
          <w:rtl/>
        </w:rPr>
        <w:tab/>
        <w:t>(ج)</w:t>
      </w:r>
      <w:r w:rsidRPr="003766EC">
        <w:rPr>
          <w:rFonts w:eastAsiaTheme="minorEastAsia"/>
          <w:spacing w:val="-6"/>
          <w:rtl/>
        </w:rPr>
        <w:tab/>
        <w:t>السياسات والبرامج وخطط العمل التي وُضِعت مؤخّراً، ونطاقها والتمويل المخصص لتنفيذها؛</w:t>
      </w:r>
    </w:p>
    <w:p w14:paraId="6C1954F1" w14:textId="24B9464A"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صكوك حقوق الإنسان التي صدقت عليها مؤخراً.</w:t>
      </w:r>
    </w:p>
    <w:p w14:paraId="22DC807D" w14:textId="77777777" w:rsidR="003766EC" w:rsidRPr="003766EC" w:rsidRDefault="003766EC" w:rsidP="003766EC">
      <w:pPr>
        <w:pStyle w:val="HChGA"/>
        <w:rPr>
          <w:lang w:val="ar-SA" w:eastAsia="zh-TW" w:bidi="en-GB"/>
        </w:rPr>
      </w:pPr>
      <w:r w:rsidRPr="003766EC">
        <w:rPr>
          <w:rtl/>
        </w:rPr>
        <w:tab/>
      </w:r>
      <w:r w:rsidRPr="003766EC">
        <w:rPr>
          <w:rtl/>
        </w:rPr>
        <w:tab/>
        <w:t>الجزء الثالث</w:t>
      </w:r>
    </w:p>
    <w:p w14:paraId="0039F449" w14:textId="77777777" w:rsidR="003766EC" w:rsidRPr="003766EC" w:rsidRDefault="003766EC" w:rsidP="003766EC">
      <w:pPr>
        <w:pStyle w:val="H1GA"/>
        <w:rPr>
          <w:lang w:val="ar-SA" w:eastAsia="zh-TW" w:bidi="en-GB"/>
        </w:rPr>
      </w:pPr>
      <w:r w:rsidRPr="003766EC">
        <w:rPr>
          <w:rtl/>
        </w:rPr>
        <w:tab/>
      </w:r>
      <w:r w:rsidRPr="003766EC">
        <w:rPr>
          <w:rtl/>
        </w:rPr>
        <w:tab/>
        <w:t>البيانات والإحصاءات والمعلومات الأخرى</w:t>
      </w:r>
    </w:p>
    <w:p w14:paraId="4A5D42D3" w14:textId="16FA8B28" w:rsidR="003766EC" w:rsidRPr="003766EC" w:rsidRDefault="003766EC" w:rsidP="003766EC">
      <w:pPr>
        <w:pStyle w:val="SingleTxtGA"/>
        <w:rPr>
          <w:rFonts w:eastAsiaTheme="minorEastAsia"/>
          <w:lang w:val="en-US" w:eastAsia="zh-TW" w:bidi="en-GB"/>
        </w:rPr>
      </w:pPr>
      <w:r w:rsidRPr="005444B6">
        <w:rPr>
          <w:rFonts w:eastAsiaTheme="minorEastAsia"/>
          <w:rtl/>
        </w:rPr>
        <w:t>17</w:t>
      </w:r>
      <w:r w:rsidRPr="003766EC">
        <w:rPr>
          <w:rFonts w:eastAsiaTheme="minorEastAsia"/>
          <w:rtl/>
        </w:rPr>
        <w:t>-</w:t>
      </w:r>
      <w:r w:rsidRPr="003766EC">
        <w:rPr>
          <w:rFonts w:eastAsiaTheme="minorEastAsia"/>
          <w:rtl/>
        </w:rPr>
        <w:tab/>
        <w:t xml:space="preserve">يُرجى تقديم معلومات موحّدة عن البنود الخاصة بالأطفال والقطاعات الاجتماعية في ميزانيات السنوات الثلاث الماضية، وذلك ببيان النسبة المئوية المخصّصة لكل بند من بنود الميزانية بالنسبة إلى </w:t>
      </w:r>
      <w:r w:rsidRPr="003766EC">
        <w:rPr>
          <w:rFonts w:eastAsiaTheme="minorEastAsia"/>
          <w:rtl/>
        </w:rPr>
        <w:lastRenderedPageBreak/>
        <w:t>الميزانية الوطنية الكلية والناتج القومي الإجمالي. ويُرجى أيضاً تقديم معلومات عن التوزيع الجغرافي لتلك</w:t>
      </w:r>
      <w:r>
        <w:rPr>
          <w:rFonts w:eastAsiaTheme="minorEastAsia" w:hint="cs"/>
          <w:rtl/>
        </w:rPr>
        <w:t> </w:t>
      </w:r>
      <w:r w:rsidRPr="003766EC">
        <w:rPr>
          <w:rFonts w:eastAsiaTheme="minorEastAsia"/>
          <w:rtl/>
        </w:rPr>
        <w:t>الموارد.</w:t>
      </w:r>
    </w:p>
    <w:p w14:paraId="76D97C3B" w14:textId="284C3951" w:rsidR="003766EC" w:rsidRPr="003766EC" w:rsidRDefault="003766EC" w:rsidP="003766EC">
      <w:pPr>
        <w:pStyle w:val="SingleTxtGA"/>
        <w:rPr>
          <w:rFonts w:eastAsiaTheme="minorEastAsia"/>
          <w:lang w:val="ar-SA" w:eastAsia="zh-TW" w:bidi="en-GB"/>
        </w:rPr>
      </w:pPr>
      <w:r w:rsidRPr="005444B6">
        <w:rPr>
          <w:rFonts w:eastAsiaTheme="minorEastAsia"/>
          <w:rtl/>
        </w:rPr>
        <w:t>18</w:t>
      </w:r>
      <w:r w:rsidRPr="003766EC">
        <w:rPr>
          <w:rFonts w:eastAsiaTheme="minorEastAsia"/>
          <w:rtl/>
        </w:rPr>
        <w:t>-</w:t>
      </w:r>
      <w:r w:rsidRPr="003766EC">
        <w:rPr>
          <w:rFonts w:eastAsiaTheme="minorEastAsia"/>
          <w:rtl/>
        </w:rPr>
        <w:tab/>
        <w:t>ويُرجى تقديم بيانات إحصائية محدّثة، مصنّفة بحسب السن والجنس والأصل الإثني والأصل</w:t>
      </w:r>
      <w:r>
        <w:rPr>
          <w:rFonts w:eastAsiaTheme="minorEastAsia" w:hint="cs"/>
          <w:rtl/>
        </w:rPr>
        <w:t> </w:t>
      </w:r>
      <w:r w:rsidRPr="003766EC">
        <w:rPr>
          <w:rFonts w:eastAsiaTheme="minorEastAsia"/>
          <w:rtl/>
        </w:rPr>
        <w:t>القومي والموقع الجغرافي والوضع الاجتماعي - الاقتصادي، تغطي السنوات الثلاث الماضية، بشأن ما يلي:</w:t>
      </w:r>
    </w:p>
    <w:p w14:paraId="107FDB06" w14:textId="3BAAD140"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(أ)</w:t>
      </w:r>
      <w:r w:rsidRPr="003766EC">
        <w:rPr>
          <w:rFonts w:eastAsiaTheme="minorEastAsia"/>
          <w:rtl/>
        </w:rPr>
        <w:tab/>
        <w:t>الأطفال المنحدرون من أصل فلسطيني الذين سحبت جنسيتهم أو جنسية والديهم، والطعون المقدمة أمام المحكمة الإدارية العليا ونتائج تلك الطعون؛</w:t>
      </w:r>
    </w:p>
    <w:p w14:paraId="140224C3" w14:textId="76003179"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(ب)</w:t>
      </w:r>
      <w:r w:rsidRPr="003766EC">
        <w:rPr>
          <w:rFonts w:eastAsiaTheme="minorEastAsia"/>
          <w:rtl/>
        </w:rPr>
        <w:tab/>
        <w:t>حالات العنف ضد الأطفال، بما في ذلك الإيذاء والإهمال والعنف المنزلي والاستغلال الجنسي والاعتداء والاستغلال في البغاء القسري، التي أُبلغت بها السلطات وحققت فيها ومقاضاة الجناة فيها، مع إدراج معلومات عن العقوبات التي أُنزلت بالجناة؛</w:t>
      </w:r>
    </w:p>
    <w:p w14:paraId="31490D6E" w14:textId="54204B93"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(ج)</w:t>
      </w:r>
      <w:r w:rsidRPr="003766EC">
        <w:rPr>
          <w:rFonts w:eastAsiaTheme="minorEastAsia"/>
          <w:rtl/>
        </w:rPr>
        <w:tab/>
        <w:t>الأطفال ذوو الإعاقة الملتحقون بالمدارس العامة الذين انقطعوا عن الدراسة وأبلغوا عن تعرضهم للعنف؛</w:t>
      </w:r>
    </w:p>
    <w:p w14:paraId="5A94FE77" w14:textId="63913161"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(د)</w:t>
      </w:r>
      <w:r w:rsidRPr="003766EC">
        <w:rPr>
          <w:rFonts w:eastAsiaTheme="minorEastAsia"/>
          <w:rtl/>
        </w:rPr>
        <w:tab/>
        <w:t>حالات استغلال الأطفال في العمل، بما في ذلك العمل غير الرسمي والمنزلي؛</w:t>
      </w:r>
    </w:p>
    <w:p w14:paraId="20F2FC57" w14:textId="367FE56C"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(هـ)</w:t>
      </w:r>
      <w:r w:rsidRPr="003766EC">
        <w:rPr>
          <w:rFonts w:eastAsiaTheme="minorEastAsia"/>
          <w:rtl/>
        </w:rPr>
        <w:tab/>
        <w:t>التحقيقات التي أُجريت في قضايا الاتجار بالأطفال ومحاكمات الجناة فيها، مع إدراج معلومات عن الأحكام الصادرة في حق الجناة والتعويضات الممنوحة للضحايا؛</w:t>
      </w:r>
    </w:p>
    <w:p w14:paraId="24C758AB" w14:textId="79BF2F20"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(و)</w:t>
      </w:r>
      <w:r w:rsidRPr="003766EC">
        <w:rPr>
          <w:rFonts w:eastAsiaTheme="minorEastAsia"/>
          <w:rtl/>
        </w:rPr>
        <w:tab/>
        <w:t>عدد الأطفال طالبي اللجوء واللاجئين والمهاجرين الذين وفدوا على الدولة الطرف من مناطق قد يكون الأطفال جُندوا أو استخدموا في أعمال قتالية فيها؛</w:t>
      </w:r>
    </w:p>
    <w:p w14:paraId="0EA16168" w14:textId="6B40C667" w:rsidR="003766EC" w:rsidRPr="003766EC" w:rsidRDefault="003766EC" w:rsidP="003766EC">
      <w:pPr>
        <w:pStyle w:val="SingleTxtGA"/>
        <w:rPr>
          <w:rFonts w:eastAsiaTheme="minorEastAsia"/>
          <w:lang w:val="ar-SA" w:eastAsia="zh-TW" w:bidi="en-GB"/>
        </w:rPr>
      </w:pPr>
      <w:r>
        <w:rPr>
          <w:rFonts w:eastAsiaTheme="minorEastAsia"/>
          <w:rtl/>
        </w:rPr>
        <w:tab/>
      </w:r>
      <w:r w:rsidRPr="003766EC">
        <w:rPr>
          <w:rFonts w:eastAsiaTheme="minorEastAsia"/>
          <w:rtl/>
        </w:rPr>
        <w:t>(ز)</w:t>
      </w:r>
      <w:r w:rsidRPr="003766EC">
        <w:rPr>
          <w:rFonts w:eastAsiaTheme="minorEastAsia"/>
          <w:rtl/>
        </w:rPr>
        <w:tab/>
        <w:t>الأطفال الخاضعون لولاية الدولة الطرف الذين جندوا أو استخدموا في أعمال قتالية في</w:t>
      </w:r>
      <w:r>
        <w:rPr>
          <w:rFonts w:eastAsiaTheme="minorEastAsia" w:hint="cs"/>
          <w:rtl/>
        </w:rPr>
        <w:t> </w:t>
      </w:r>
      <w:r w:rsidRPr="003766EC">
        <w:rPr>
          <w:rFonts w:eastAsiaTheme="minorEastAsia"/>
          <w:rtl/>
        </w:rPr>
        <w:t>الخارج.</w:t>
      </w:r>
    </w:p>
    <w:p w14:paraId="6022789E"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19</w:t>
      </w:r>
      <w:r w:rsidRPr="003766EC">
        <w:rPr>
          <w:rFonts w:eastAsiaTheme="minorEastAsia"/>
          <w:rtl/>
        </w:rPr>
        <w:t>-</w:t>
      </w:r>
      <w:r w:rsidRPr="003766EC">
        <w:rPr>
          <w:rFonts w:eastAsiaTheme="minorEastAsia"/>
          <w:rtl/>
        </w:rPr>
        <w:tab/>
        <w:t>ويرجى تقديم معلومات عن كيفية إدماج نهج قائم على حقوق الطفل في تخطيط وتنفيذ ورصد التدابير الرامية إلى تحقيق أهداف التنمية المستدامة، بما في ذلك ما يتعلق بمشاركة الأطفال وجمع البيانات، وكيف تعزز هذه التدابير إعمال حقوق الطفل بموجب الاتفاقية وبروتوكوليها الاختياريين.</w:t>
      </w:r>
    </w:p>
    <w:p w14:paraId="257A3B30" w14:textId="77777777" w:rsidR="003766EC" w:rsidRPr="003766EC" w:rsidRDefault="003766EC" w:rsidP="003766EC">
      <w:pPr>
        <w:pStyle w:val="SingleTxtGA"/>
        <w:rPr>
          <w:rFonts w:eastAsiaTheme="minorEastAsia"/>
          <w:lang w:val="ar-SA" w:eastAsia="zh-TW" w:bidi="en-GB"/>
        </w:rPr>
      </w:pPr>
      <w:r w:rsidRPr="005444B6">
        <w:rPr>
          <w:rFonts w:eastAsiaTheme="minorEastAsia"/>
          <w:rtl/>
        </w:rPr>
        <w:t>20</w:t>
      </w:r>
      <w:r w:rsidRPr="003766EC">
        <w:rPr>
          <w:rFonts w:eastAsiaTheme="minorEastAsia"/>
          <w:rtl/>
        </w:rPr>
        <w:t>-</w:t>
      </w:r>
      <w:r w:rsidRPr="003766EC">
        <w:rPr>
          <w:rFonts w:eastAsiaTheme="minorEastAsia"/>
          <w:rtl/>
        </w:rPr>
        <w:tab/>
        <w:t>ويُرجى موافاة اللجنة بتحديث لأيّ بيانات في التقرير يمكن أن تكون تقادمت بسبب جمع بيانات أحدث أو</w:t>
      </w:r>
      <w:r w:rsidRPr="003766EC">
        <w:rPr>
          <w:rFonts w:ascii="Cambria" w:eastAsiaTheme="minorEastAsia" w:hAnsi="Cambria" w:hint="cs"/>
          <w:rtl/>
        </w:rPr>
        <w:t> </w:t>
      </w:r>
      <w:r w:rsidRPr="003766EC">
        <w:rPr>
          <w:rFonts w:eastAsiaTheme="minorEastAsia" w:hint="cs"/>
          <w:rtl/>
        </w:rPr>
        <w:t>بسبب</w:t>
      </w:r>
      <w:r w:rsidRPr="003766EC">
        <w:rPr>
          <w:rFonts w:eastAsiaTheme="minorEastAsia"/>
          <w:rtl/>
        </w:rPr>
        <w:t xml:space="preserve"> </w:t>
      </w:r>
      <w:r w:rsidRPr="003766EC">
        <w:rPr>
          <w:rFonts w:eastAsiaTheme="minorEastAsia" w:hint="cs"/>
          <w:rtl/>
        </w:rPr>
        <w:t>حدوث</w:t>
      </w:r>
      <w:r w:rsidRPr="003766EC">
        <w:rPr>
          <w:rFonts w:eastAsiaTheme="minorEastAsia"/>
          <w:rtl/>
        </w:rPr>
        <w:t xml:space="preserve"> </w:t>
      </w:r>
      <w:r w:rsidRPr="003766EC">
        <w:rPr>
          <w:rFonts w:eastAsiaTheme="minorEastAsia" w:hint="cs"/>
          <w:rtl/>
        </w:rPr>
        <w:t>تطورات</w:t>
      </w:r>
      <w:r w:rsidRPr="003766EC">
        <w:rPr>
          <w:rFonts w:eastAsiaTheme="minorEastAsia"/>
          <w:rtl/>
        </w:rPr>
        <w:t xml:space="preserve"> </w:t>
      </w:r>
      <w:r w:rsidRPr="003766EC">
        <w:rPr>
          <w:rFonts w:eastAsiaTheme="minorEastAsia" w:hint="cs"/>
          <w:rtl/>
        </w:rPr>
        <w:t>جديدة</w:t>
      </w:r>
      <w:r w:rsidRPr="003766EC">
        <w:rPr>
          <w:rFonts w:eastAsiaTheme="minorEastAsia"/>
          <w:rtl/>
        </w:rPr>
        <w:t xml:space="preserve"> </w:t>
      </w:r>
      <w:r w:rsidRPr="003766EC">
        <w:rPr>
          <w:rFonts w:eastAsiaTheme="minorEastAsia" w:hint="cs"/>
          <w:rtl/>
        </w:rPr>
        <w:t>أخرى</w:t>
      </w:r>
      <w:r w:rsidRPr="003766EC">
        <w:rPr>
          <w:rFonts w:eastAsiaTheme="minorEastAsia"/>
          <w:rtl/>
        </w:rPr>
        <w:t>.</w:t>
      </w:r>
    </w:p>
    <w:p w14:paraId="4B807F38" w14:textId="00864FAA" w:rsidR="003766EC" w:rsidRDefault="003766EC" w:rsidP="003766EC">
      <w:pPr>
        <w:pStyle w:val="SingleTxtGA"/>
        <w:rPr>
          <w:rFonts w:eastAsiaTheme="minorEastAsia"/>
          <w:u w:val="single"/>
          <w:rtl/>
          <w:lang w:val="en-US"/>
        </w:rPr>
      </w:pPr>
      <w:r w:rsidRPr="005444B6">
        <w:rPr>
          <w:rFonts w:eastAsiaTheme="minorEastAsia"/>
          <w:rtl/>
        </w:rPr>
        <w:t>21</w:t>
      </w:r>
      <w:r w:rsidRPr="003766EC">
        <w:rPr>
          <w:rFonts w:eastAsiaTheme="minorEastAsia"/>
          <w:rtl/>
        </w:rPr>
        <w:t>-</w:t>
      </w:r>
      <w:r w:rsidRPr="003766EC">
        <w:rPr>
          <w:rFonts w:eastAsiaTheme="minorEastAsia"/>
          <w:rtl/>
        </w:rPr>
        <w:tab/>
      </w:r>
      <w:r w:rsidRPr="005444B6">
        <w:rPr>
          <w:rFonts w:eastAsiaTheme="minorEastAsia"/>
          <w:rtl/>
        </w:rPr>
        <w:t>وبالإضافة إلى ذلك، يمكن للدولة الطرف أن تذكر مجالات تؤثّر في الأطفال وتعدّها ذات أولوية فيما</w:t>
      </w:r>
      <w:r w:rsidRPr="005444B6">
        <w:rPr>
          <w:rFonts w:ascii="Cambria" w:eastAsiaTheme="minorEastAsia" w:hAnsi="Cambria" w:hint="cs"/>
          <w:rtl/>
        </w:rPr>
        <w:t> </w:t>
      </w:r>
      <w:r w:rsidRPr="005444B6">
        <w:rPr>
          <w:rFonts w:eastAsiaTheme="minorEastAsia" w:hint="cs"/>
          <w:rtl/>
        </w:rPr>
        <w:t>يتعلّق</w:t>
      </w:r>
      <w:r w:rsidRPr="005444B6">
        <w:rPr>
          <w:rFonts w:eastAsiaTheme="minorEastAsia"/>
          <w:rtl/>
        </w:rPr>
        <w:t xml:space="preserve"> </w:t>
      </w:r>
      <w:r w:rsidRPr="005444B6">
        <w:rPr>
          <w:rFonts w:eastAsiaTheme="minorEastAsia" w:hint="cs"/>
          <w:rtl/>
        </w:rPr>
        <w:t>بتنفيذ</w:t>
      </w:r>
      <w:r w:rsidRPr="005444B6">
        <w:rPr>
          <w:rFonts w:eastAsiaTheme="minorEastAsia"/>
          <w:rtl/>
        </w:rPr>
        <w:t xml:space="preserve"> </w:t>
      </w:r>
      <w:r w:rsidRPr="005444B6">
        <w:rPr>
          <w:rFonts w:eastAsiaTheme="minorEastAsia" w:hint="cs"/>
          <w:rtl/>
        </w:rPr>
        <w:t>الاتفاقية</w:t>
      </w:r>
      <w:r w:rsidRPr="005444B6">
        <w:rPr>
          <w:rFonts w:eastAsiaTheme="minorEastAsia"/>
          <w:rtl/>
        </w:rPr>
        <w:t>.</w:t>
      </w:r>
      <w:bookmarkEnd w:id="0"/>
    </w:p>
    <w:p w14:paraId="673BA62B" w14:textId="1B9D6708" w:rsidR="00B54045" w:rsidRPr="003766EC" w:rsidRDefault="003766EC" w:rsidP="003766EC">
      <w:pPr>
        <w:pStyle w:val="SingleTxtGA"/>
        <w:jc w:val="center"/>
        <w:rPr>
          <w:u w:val="single"/>
          <w:rtl/>
        </w:rPr>
      </w:pPr>
      <w:r>
        <w:rPr>
          <w:u w:val="single"/>
          <w:rtl/>
        </w:rPr>
        <w:tab/>
      </w:r>
      <w:r>
        <w:rPr>
          <w:u w:val="single"/>
          <w:rtl/>
        </w:rPr>
        <w:tab/>
      </w:r>
      <w:r>
        <w:rPr>
          <w:u w:val="single"/>
          <w:rtl/>
        </w:rPr>
        <w:tab/>
      </w:r>
    </w:p>
    <w:sectPr w:rsidR="00B54045" w:rsidRPr="003766EC" w:rsidSect="00FB402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592C" w14:textId="77777777" w:rsidR="008B40D9" w:rsidRPr="002901D9" w:rsidRDefault="008B40D9" w:rsidP="00A749D0">
      <w:pPr>
        <w:spacing w:after="60" w:line="240" w:lineRule="auto"/>
        <w:ind w:left="57"/>
        <w:rPr>
          <w:i/>
          <w:iCs/>
        </w:rPr>
      </w:pPr>
      <w:r>
        <w:rPr>
          <w:rFonts w:hint="cs"/>
          <w:i/>
          <w:iCs/>
          <w:rtl/>
        </w:rPr>
        <w:t>الحواشي</w:t>
      </w:r>
    </w:p>
  </w:endnote>
  <w:endnote w:type="continuationSeparator" w:id="0">
    <w:p w14:paraId="1580F8C4" w14:textId="77777777" w:rsidR="008B40D9" w:rsidRDefault="008B40D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0BA1" w14:textId="207021A5" w:rsidR="006A7345" w:rsidRPr="006A7345" w:rsidRDefault="006A7345" w:rsidP="006A7345">
    <w:pPr>
      <w:pStyle w:val="Footer"/>
      <w:tabs>
        <w:tab w:val="right" w:pos="9638"/>
      </w:tabs>
      <w:rPr>
        <w:b/>
        <w:sz w:val="18"/>
        <w:lang w:val="en-US"/>
      </w:rPr>
    </w:pPr>
    <w:r>
      <w:rPr>
        <w:lang w:val="en-US"/>
      </w:rPr>
      <w:t>GE.22-17565</w:t>
    </w:r>
    <w:r>
      <w:rPr>
        <w:lang w:val="en-US"/>
      </w:rPr>
      <w:tab/>
    </w:r>
    <w:r w:rsidRPr="006A7345">
      <w:rPr>
        <w:b/>
        <w:sz w:val="18"/>
        <w:lang w:val="en-US"/>
      </w:rPr>
      <w:fldChar w:fldCharType="begin"/>
    </w:r>
    <w:r w:rsidRPr="006A7345">
      <w:rPr>
        <w:b/>
        <w:sz w:val="18"/>
        <w:lang w:val="en-US"/>
      </w:rPr>
      <w:instrText xml:space="preserve"> PAGE  \* MERGEFORMAT </w:instrText>
    </w:r>
    <w:r w:rsidRPr="006A7345">
      <w:rPr>
        <w:b/>
        <w:sz w:val="18"/>
        <w:lang w:val="en-US"/>
      </w:rPr>
      <w:fldChar w:fldCharType="separate"/>
    </w:r>
    <w:r w:rsidRPr="006A7345">
      <w:rPr>
        <w:b/>
        <w:noProof/>
        <w:sz w:val="18"/>
        <w:lang w:val="en-US"/>
      </w:rPr>
      <w:t>2</w:t>
    </w:r>
    <w:r w:rsidRPr="006A734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6E70" w14:textId="78FA03C1" w:rsidR="006959B0" w:rsidRPr="006A7345" w:rsidRDefault="006A7345" w:rsidP="006A7345">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GE.22-17565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3753" w14:textId="1616DC65" w:rsidR="001D5AC0" w:rsidRPr="006A7345" w:rsidRDefault="006A7345" w:rsidP="006A7345">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4CF0706E" wp14:editId="373D8B2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22-17565 (A)</w:t>
    </w:r>
    <w:r>
      <w:rPr>
        <w:noProof/>
        <w:sz w:val="20"/>
        <w:lang w:val="en-US"/>
      </w:rPr>
      <w:drawing>
        <wp:anchor distT="0" distB="0" distL="114300" distR="114300" simplePos="0" relativeHeight="251659264" behindDoc="0" locked="0" layoutInCell="1" allowOverlap="1" wp14:anchorId="6310E6C7" wp14:editId="0725246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C451" w14:textId="77777777" w:rsidR="008B40D9" w:rsidRPr="00FB280F" w:rsidRDefault="008B40D9"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149095F" w14:textId="77777777" w:rsidR="008B40D9" w:rsidRDefault="008B40D9" w:rsidP="00656392">
      <w:pPr>
        <w:spacing w:line="240" w:lineRule="auto"/>
      </w:pPr>
      <w:r>
        <w:continuationSeparator/>
      </w:r>
    </w:p>
  </w:footnote>
  <w:footnote w:id="1">
    <w:p w14:paraId="60DD2829" w14:textId="32407387" w:rsidR="003766EC" w:rsidRPr="003766EC" w:rsidRDefault="003766EC" w:rsidP="003766EC">
      <w:pPr>
        <w:pStyle w:val="FootnoteText1"/>
        <w:rPr>
          <w:rFonts w:eastAsiaTheme="majorEastAsia"/>
          <w:rtl/>
        </w:rPr>
      </w:pPr>
      <w:r w:rsidRPr="00A50BEE">
        <w:rPr>
          <w:rFonts w:eastAsiaTheme="majorEastAsia"/>
          <w:sz w:val="20"/>
          <w:szCs w:val="20"/>
          <w:rtl/>
        </w:rPr>
        <w:t>*</w:t>
      </w:r>
      <w:r w:rsidRPr="003766EC">
        <w:rPr>
          <w:rFonts w:eastAsiaTheme="majorEastAsia"/>
          <w:rtl/>
        </w:rPr>
        <w:tab/>
        <w:t xml:space="preserve">اعتمدها الفريق العامل لما قبل الدورة في </w:t>
      </w:r>
      <w:r w:rsidRPr="005444B6">
        <w:rPr>
          <w:rFonts w:eastAsiaTheme="majorEastAsia"/>
          <w:rtl/>
        </w:rPr>
        <w:t>30</w:t>
      </w:r>
      <w:r w:rsidRPr="003766EC">
        <w:rPr>
          <w:rFonts w:eastAsiaTheme="majorEastAsia"/>
          <w:rtl/>
        </w:rPr>
        <w:t xml:space="preserve"> أيلول/سبتمبر </w:t>
      </w:r>
      <w:r w:rsidRPr="005444B6">
        <w:rPr>
          <w:rFonts w:eastAsiaTheme="majorEastAsia"/>
          <w:rtl/>
        </w:rPr>
        <w:t>202</w:t>
      </w:r>
      <w:r w:rsidR="00907AC6" w:rsidRPr="005444B6">
        <w:rPr>
          <w:rFonts w:eastAsiaTheme="majorEastAsia"/>
          <w:rtl/>
        </w:rPr>
        <w:t>2</w:t>
      </w:r>
      <w:r w:rsidR="00907AC6" w:rsidRPr="00907AC6">
        <w:rPr>
          <w:rFonts w:eastAsiaTheme="majorEastAsia"/>
          <w:rtl/>
        </w:rPr>
        <w:t xml:space="preserve">. </w:t>
      </w:r>
    </w:p>
  </w:footnote>
  <w:footnote w:id="2">
    <w:p w14:paraId="03F09D06" w14:textId="77777777" w:rsidR="00907AC6" w:rsidRPr="003766EC" w:rsidRDefault="00907AC6" w:rsidP="00907AC6">
      <w:pPr>
        <w:pStyle w:val="FootnoteText1"/>
        <w:textDirection w:val="tbRlV"/>
        <w:rPr>
          <w:rFonts w:eastAsiaTheme="majorEastAsia"/>
          <w:lang w:val="ar-SA"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r>
      <w:hyperlink r:id="rId1" w:history="1">
        <w:r w:rsidRPr="00907AC6">
          <w:rPr>
            <w:rStyle w:val="Hyperlink"/>
          </w:rPr>
          <w:t>CRC/C/JOR/</w:t>
        </w:r>
        <w:r w:rsidRPr="005444B6">
          <w:rPr>
            <w:rStyle w:val="Hyperlink"/>
          </w:rPr>
          <w:t>6</w:t>
        </w:r>
      </w:hyperlink>
      <w:r w:rsidRPr="003766EC">
        <w:rPr>
          <w:rFonts w:eastAsiaTheme="majorEastAsia"/>
          <w:rtl/>
        </w:rPr>
        <w:t xml:space="preserve">، الفقرتان </w:t>
      </w:r>
      <w:r w:rsidRPr="005444B6">
        <w:rPr>
          <w:rFonts w:eastAsiaTheme="majorEastAsia"/>
          <w:rtl/>
        </w:rPr>
        <w:t>55</w:t>
      </w:r>
      <w:r w:rsidRPr="003766EC">
        <w:rPr>
          <w:rFonts w:eastAsiaTheme="majorEastAsia"/>
          <w:rtl/>
        </w:rPr>
        <w:t xml:space="preserve"> و</w:t>
      </w:r>
      <w:r w:rsidRPr="005444B6">
        <w:rPr>
          <w:rFonts w:eastAsiaTheme="majorEastAsia"/>
          <w:rtl/>
        </w:rPr>
        <w:t>57</w:t>
      </w:r>
      <w:r w:rsidRPr="00907AC6">
        <w:rPr>
          <w:rFonts w:eastAsiaTheme="majorEastAsia"/>
          <w:rtl/>
        </w:rPr>
        <w:t xml:space="preserve">. </w:t>
      </w:r>
    </w:p>
  </w:footnote>
  <w:footnote w:id="3">
    <w:p w14:paraId="39008A29" w14:textId="77777777" w:rsidR="00907AC6" w:rsidRPr="003766EC" w:rsidRDefault="00907AC6" w:rsidP="00907AC6">
      <w:pPr>
        <w:pStyle w:val="FootnoteText1"/>
        <w:textDirection w:val="tbRlV"/>
        <w:rPr>
          <w:rFonts w:eastAsiaTheme="majorEastAsia"/>
          <w:lang w:val="ar-SA"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r>
      <w:hyperlink r:id="rId2" w:history="1">
        <w:r w:rsidRPr="00907AC6">
          <w:rPr>
            <w:rStyle w:val="Hyperlink"/>
          </w:rPr>
          <w:t>CRC/C/JOR/CO/</w:t>
        </w:r>
        <w:r w:rsidRPr="005444B6">
          <w:rPr>
            <w:rStyle w:val="Hyperlink"/>
          </w:rPr>
          <w:t>4</w:t>
        </w:r>
        <w:r w:rsidRPr="00907AC6">
          <w:rPr>
            <w:rStyle w:val="Hyperlink"/>
          </w:rPr>
          <w:t>-</w:t>
        </w:r>
        <w:r w:rsidRPr="005444B6">
          <w:rPr>
            <w:rStyle w:val="Hyperlink"/>
          </w:rPr>
          <w:t>5</w:t>
        </w:r>
      </w:hyperlink>
      <w:r w:rsidRPr="003766EC">
        <w:rPr>
          <w:rFonts w:eastAsiaTheme="majorEastAsia"/>
          <w:rtl/>
        </w:rPr>
        <w:t xml:space="preserve">، الفقرة </w:t>
      </w:r>
      <w:r w:rsidRPr="005444B6">
        <w:rPr>
          <w:rFonts w:eastAsiaTheme="majorEastAsia"/>
          <w:rtl/>
        </w:rPr>
        <w:t>16</w:t>
      </w:r>
      <w:r w:rsidRPr="00907AC6">
        <w:rPr>
          <w:rFonts w:eastAsiaTheme="majorEastAsia"/>
          <w:rtl/>
        </w:rPr>
        <w:t xml:space="preserve">. </w:t>
      </w:r>
    </w:p>
  </w:footnote>
  <w:footnote w:id="4">
    <w:p w14:paraId="7F6FCCAC" w14:textId="77777777" w:rsidR="00907AC6" w:rsidRPr="003766EC" w:rsidRDefault="00907AC6" w:rsidP="00907AC6">
      <w:pPr>
        <w:pStyle w:val="FootnoteText1"/>
        <w:textDirection w:val="tbRlV"/>
        <w:rPr>
          <w:rFonts w:eastAsiaTheme="majorEastAsia"/>
          <w:lang w:val="ar-SA"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r>
      <w:hyperlink r:id="rId3" w:history="1">
        <w:r w:rsidRPr="00907AC6">
          <w:rPr>
            <w:rStyle w:val="Hyperlink"/>
          </w:rPr>
          <w:t>CRC/C/JOR/</w:t>
        </w:r>
        <w:r w:rsidRPr="005444B6">
          <w:rPr>
            <w:rStyle w:val="Hyperlink"/>
          </w:rPr>
          <w:t>6</w:t>
        </w:r>
      </w:hyperlink>
      <w:r w:rsidRPr="003766EC">
        <w:rPr>
          <w:rFonts w:eastAsiaTheme="majorEastAsia"/>
          <w:rtl/>
        </w:rPr>
        <w:t xml:space="preserve">، الفقرة </w:t>
      </w:r>
      <w:r w:rsidRPr="005444B6">
        <w:rPr>
          <w:rFonts w:eastAsiaTheme="majorEastAsia"/>
          <w:rtl/>
        </w:rPr>
        <w:t>86</w:t>
      </w:r>
      <w:r w:rsidRPr="00907AC6">
        <w:rPr>
          <w:rFonts w:eastAsiaTheme="majorEastAsia"/>
          <w:rtl/>
        </w:rPr>
        <w:t xml:space="preserve">. </w:t>
      </w:r>
    </w:p>
  </w:footnote>
  <w:footnote w:id="5">
    <w:p w14:paraId="7D47D25F" w14:textId="77777777" w:rsidR="00907AC6" w:rsidRPr="003766EC" w:rsidRDefault="00907AC6" w:rsidP="003766EC">
      <w:pPr>
        <w:pStyle w:val="FootnoteText1"/>
        <w:textDirection w:val="tbRlV"/>
        <w:rPr>
          <w:rFonts w:eastAsiaTheme="majorEastAsia"/>
          <w:lang w:val="ar-SA"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t xml:space="preserve">المرجع نفسه، الفقرة </w:t>
      </w:r>
      <w:r w:rsidRPr="005444B6">
        <w:rPr>
          <w:rFonts w:eastAsiaTheme="majorEastAsia"/>
          <w:rtl/>
        </w:rPr>
        <w:t>87</w:t>
      </w:r>
      <w:r w:rsidRPr="00907AC6">
        <w:rPr>
          <w:rFonts w:eastAsiaTheme="majorEastAsia"/>
          <w:rtl/>
        </w:rPr>
        <w:t xml:space="preserve">. </w:t>
      </w:r>
    </w:p>
  </w:footnote>
  <w:footnote w:id="6">
    <w:p w14:paraId="5AA48B43" w14:textId="77777777" w:rsidR="00907AC6" w:rsidRPr="003766EC" w:rsidRDefault="00907AC6" w:rsidP="003766EC">
      <w:pPr>
        <w:pStyle w:val="FootnoteText1"/>
        <w:textDirection w:val="tbRlV"/>
        <w:rPr>
          <w:rFonts w:eastAsiaTheme="majorEastAsia"/>
          <w:lang w:val="ar-SA"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t xml:space="preserve">المرجع نفسه، الفقرة </w:t>
      </w:r>
      <w:r w:rsidRPr="005444B6">
        <w:rPr>
          <w:rFonts w:eastAsiaTheme="majorEastAsia"/>
          <w:rtl/>
        </w:rPr>
        <w:t>118</w:t>
      </w:r>
      <w:r w:rsidRPr="00907AC6">
        <w:rPr>
          <w:rFonts w:eastAsiaTheme="majorEastAsia"/>
          <w:rtl/>
        </w:rPr>
        <w:t xml:space="preserve">. </w:t>
      </w:r>
    </w:p>
  </w:footnote>
  <w:footnote w:id="7">
    <w:p w14:paraId="38F6B8CA" w14:textId="77777777" w:rsidR="00907AC6" w:rsidRPr="003766EC" w:rsidRDefault="00907AC6" w:rsidP="003766EC">
      <w:pPr>
        <w:pStyle w:val="FootnoteText1"/>
        <w:textDirection w:val="tbRlV"/>
        <w:rPr>
          <w:rFonts w:eastAsiaTheme="majorEastAsia"/>
          <w:lang w:val="ar-SA" w:eastAsia="zh-TW" w:bidi="en-GB"/>
        </w:rPr>
      </w:pPr>
      <w:r w:rsidRPr="005444B6">
        <w:rPr>
          <w:rStyle w:val="FootnoteReference"/>
          <w:rFonts w:eastAsiaTheme="majorEastAsia"/>
          <w:vertAlign w:val="baseline"/>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t xml:space="preserve">المرجع نفسه، الفقرة </w:t>
      </w:r>
      <w:r w:rsidRPr="005444B6">
        <w:rPr>
          <w:rFonts w:eastAsiaTheme="majorEastAsia"/>
          <w:rtl/>
        </w:rPr>
        <w:t>148</w:t>
      </w:r>
      <w:r w:rsidRPr="00907AC6">
        <w:rPr>
          <w:rFonts w:eastAsiaTheme="majorEastAsia"/>
          <w:rtl/>
        </w:rPr>
        <w:t xml:space="preserve">. </w:t>
      </w:r>
    </w:p>
  </w:footnote>
  <w:footnote w:id="8">
    <w:p w14:paraId="3FE3307E" w14:textId="2F860335" w:rsidR="00907AC6" w:rsidRPr="003766EC" w:rsidRDefault="00907AC6" w:rsidP="003766EC">
      <w:pPr>
        <w:pStyle w:val="FootnoteText1"/>
        <w:textDirection w:val="tbRlV"/>
        <w:rPr>
          <w:rFonts w:eastAsiaTheme="majorEastAsia"/>
          <w:lang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r>
      <w:hyperlink r:id="rId4" w:history="1">
        <w:r w:rsidRPr="00907AC6">
          <w:rPr>
            <w:rStyle w:val="Hyperlink"/>
            <w:rFonts w:eastAsiaTheme="majorEastAsia"/>
          </w:rPr>
          <w:t>CRC</w:t>
        </w:r>
        <w:r w:rsidR="00A50BEE">
          <w:rPr>
            <w:rStyle w:val="Hyperlink"/>
            <w:rFonts w:eastAsiaTheme="majorEastAsia" w:cs="Times New Roman"/>
          </w:rPr>
          <w:t>/</w:t>
        </w:r>
        <w:r w:rsidRPr="00907AC6">
          <w:rPr>
            <w:rStyle w:val="Hyperlink"/>
            <w:rFonts w:eastAsiaTheme="majorEastAsia"/>
          </w:rPr>
          <w:t>C/OPSC/JOR/CO/</w:t>
        </w:r>
        <w:r w:rsidRPr="005444B6">
          <w:rPr>
            <w:rStyle w:val="Hyperlink"/>
            <w:rFonts w:eastAsiaTheme="majorEastAsia"/>
          </w:rPr>
          <w:t>1</w:t>
        </w:r>
      </w:hyperlink>
      <w:r w:rsidRPr="00907AC6">
        <w:rPr>
          <w:rFonts w:eastAsiaTheme="majorEastAsia"/>
          <w:rtl/>
        </w:rPr>
        <w:t xml:space="preserve">. </w:t>
      </w:r>
    </w:p>
  </w:footnote>
  <w:footnote w:id="9">
    <w:p w14:paraId="0D822289" w14:textId="6F34DA64" w:rsidR="00907AC6" w:rsidRPr="003766EC" w:rsidRDefault="00907AC6" w:rsidP="003766EC">
      <w:pPr>
        <w:pStyle w:val="FootnoteText1"/>
        <w:textDirection w:val="tbRlV"/>
        <w:rPr>
          <w:rFonts w:eastAsiaTheme="majorEastAsia"/>
          <w:lang w:eastAsia="zh-TW" w:bidi="en-GB"/>
        </w:rPr>
      </w:pPr>
      <w:r w:rsidRPr="003766EC">
        <w:rPr>
          <w:rFonts w:eastAsiaTheme="majorEastAsia"/>
          <w:rtl/>
        </w:rPr>
        <w:t>(</w:t>
      </w:r>
      <w:r w:rsidRPr="005444B6">
        <w:rPr>
          <w:rStyle w:val="FootnoteReference"/>
          <w:rFonts w:eastAsiaTheme="majorEastAsia"/>
          <w:vertAlign w:val="baseline"/>
        </w:rPr>
        <w:footnoteRef/>
      </w:r>
      <w:r w:rsidRPr="005444B6">
        <w:rPr>
          <w:rStyle w:val="FootnoteReference"/>
          <w:rFonts w:eastAsiaTheme="majorEastAsia"/>
          <w:vertAlign w:val="baseline"/>
          <w:rtl/>
        </w:rPr>
        <w:t>)</w:t>
      </w:r>
      <w:r w:rsidRPr="003766EC">
        <w:rPr>
          <w:rFonts w:eastAsiaTheme="majorEastAsia"/>
          <w:rtl/>
        </w:rPr>
        <w:tab/>
      </w:r>
      <w:hyperlink r:id="rId5" w:history="1">
        <w:r w:rsidRPr="00907AC6">
          <w:rPr>
            <w:rStyle w:val="Hyperlink"/>
            <w:rFonts w:eastAsiaTheme="majorEastAsia"/>
          </w:rPr>
          <w:t>CRC</w:t>
        </w:r>
        <w:r w:rsidRPr="00907AC6">
          <w:rPr>
            <w:rStyle w:val="Hyperlink"/>
            <w:rFonts w:eastAsiaTheme="majorEastAsia" w:cs="Times New Roman"/>
          </w:rPr>
          <w:t>/</w:t>
        </w:r>
        <w:r w:rsidRPr="00907AC6">
          <w:rPr>
            <w:rStyle w:val="Hyperlink"/>
            <w:rFonts w:eastAsiaTheme="majorEastAsia"/>
          </w:rPr>
          <w:t>C/OPAC/JOR/CO/</w:t>
        </w:r>
        <w:r w:rsidRPr="005444B6">
          <w:rPr>
            <w:rStyle w:val="Hyperlink"/>
            <w:rFonts w:eastAsiaTheme="majorEastAsia"/>
          </w:rPr>
          <w:t>1</w:t>
        </w:r>
      </w:hyperlink>
      <w:r w:rsidRPr="00907AC6">
        <w:rPr>
          <w:rFonts w:eastAsiaTheme="maj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AC8E" w14:textId="61151F45" w:rsidR="006A7345" w:rsidRPr="006A7345" w:rsidRDefault="006A7345" w:rsidP="006A734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CRC/C/JOR/Q/6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1AC5" w14:textId="45B11C4E" w:rsidR="006A7345" w:rsidRPr="006A7345" w:rsidRDefault="006A7345" w:rsidP="006A734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CRC/C/JOR/Q/6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D9"/>
    <w:rsid w:val="000076D5"/>
    <w:rsid w:val="00043663"/>
    <w:rsid w:val="000505CF"/>
    <w:rsid w:val="00073FE2"/>
    <w:rsid w:val="00091A29"/>
    <w:rsid w:val="000A40EF"/>
    <w:rsid w:val="000B6B9A"/>
    <w:rsid w:val="000D701C"/>
    <w:rsid w:val="000E2A71"/>
    <w:rsid w:val="00114E93"/>
    <w:rsid w:val="00120506"/>
    <w:rsid w:val="001571D5"/>
    <w:rsid w:val="00160263"/>
    <w:rsid w:val="00181F96"/>
    <w:rsid w:val="00184C73"/>
    <w:rsid w:val="001A1371"/>
    <w:rsid w:val="001B346A"/>
    <w:rsid w:val="001C7D82"/>
    <w:rsid w:val="001D5AC0"/>
    <w:rsid w:val="001E1CAD"/>
    <w:rsid w:val="001E290D"/>
    <w:rsid w:val="001E5A9B"/>
    <w:rsid w:val="001F222B"/>
    <w:rsid w:val="001F322E"/>
    <w:rsid w:val="00211FFB"/>
    <w:rsid w:val="002144FA"/>
    <w:rsid w:val="0023469A"/>
    <w:rsid w:val="00243C8A"/>
    <w:rsid w:val="00267A0E"/>
    <w:rsid w:val="002901D9"/>
    <w:rsid w:val="002976C2"/>
    <w:rsid w:val="002A0BA3"/>
    <w:rsid w:val="002A5561"/>
    <w:rsid w:val="002D2D42"/>
    <w:rsid w:val="002E7E64"/>
    <w:rsid w:val="003260FF"/>
    <w:rsid w:val="0033251A"/>
    <w:rsid w:val="00343D95"/>
    <w:rsid w:val="003566A4"/>
    <w:rsid w:val="003651CA"/>
    <w:rsid w:val="00374341"/>
    <w:rsid w:val="003766EC"/>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23BAE"/>
    <w:rsid w:val="005444B6"/>
    <w:rsid w:val="0054472E"/>
    <w:rsid w:val="005662A9"/>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A7345"/>
    <w:rsid w:val="006B3E27"/>
    <w:rsid w:val="006B6507"/>
    <w:rsid w:val="006C104C"/>
    <w:rsid w:val="006E444F"/>
    <w:rsid w:val="006E4C12"/>
    <w:rsid w:val="006E5093"/>
    <w:rsid w:val="00733704"/>
    <w:rsid w:val="00780047"/>
    <w:rsid w:val="0078071A"/>
    <w:rsid w:val="00852A9A"/>
    <w:rsid w:val="008661B5"/>
    <w:rsid w:val="008B40D9"/>
    <w:rsid w:val="008F49E1"/>
    <w:rsid w:val="0090370F"/>
    <w:rsid w:val="00907AC6"/>
    <w:rsid w:val="00910CCA"/>
    <w:rsid w:val="009269D2"/>
    <w:rsid w:val="009317AA"/>
    <w:rsid w:val="00942135"/>
    <w:rsid w:val="00950085"/>
    <w:rsid w:val="009521B0"/>
    <w:rsid w:val="00994130"/>
    <w:rsid w:val="009A7E9F"/>
    <w:rsid w:val="009E5018"/>
    <w:rsid w:val="00A12B37"/>
    <w:rsid w:val="00A50BEE"/>
    <w:rsid w:val="00A65558"/>
    <w:rsid w:val="00A66DEA"/>
    <w:rsid w:val="00A737DB"/>
    <w:rsid w:val="00A749D0"/>
    <w:rsid w:val="00AB6758"/>
    <w:rsid w:val="00AD4EE8"/>
    <w:rsid w:val="00B13763"/>
    <w:rsid w:val="00B177F9"/>
    <w:rsid w:val="00B477A4"/>
    <w:rsid w:val="00B54045"/>
    <w:rsid w:val="00B9024B"/>
    <w:rsid w:val="00B92C13"/>
    <w:rsid w:val="00C04C24"/>
    <w:rsid w:val="00C438D7"/>
    <w:rsid w:val="00C81B50"/>
    <w:rsid w:val="00C83D67"/>
    <w:rsid w:val="00C94084"/>
    <w:rsid w:val="00C97DB1"/>
    <w:rsid w:val="00CB28F9"/>
    <w:rsid w:val="00CD1801"/>
    <w:rsid w:val="00D10EF1"/>
    <w:rsid w:val="00D42810"/>
    <w:rsid w:val="00D735C9"/>
    <w:rsid w:val="00D87654"/>
    <w:rsid w:val="00D914A7"/>
    <w:rsid w:val="00DB0957"/>
    <w:rsid w:val="00DB2132"/>
    <w:rsid w:val="00DD13C3"/>
    <w:rsid w:val="00DD596E"/>
    <w:rsid w:val="00DD621E"/>
    <w:rsid w:val="00DF0575"/>
    <w:rsid w:val="00E0104F"/>
    <w:rsid w:val="00E01E1A"/>
    <w:rsid w:val="00E7070E"/>
    <w:rsid w:val="00E70E04"/>
    <w:rsid w:val="00E76499"/>
    <w:rsid w:val="00EC05A7"/>
    <w:rsid w:val="00EC0BB5"/>
    <w:rsid w:val="00EC4B6B"/>
    <w:rsid w:val="00EF1A9A"/>
    <w:rsid w:val="00EF1EE5"/>
    <w:rsid w:val="00F763B4"/>
    <w:rsid w:val="00F900C3"/>
    <w:rsid w:val="00FB280F"/>
    <w:rsid w:val="00FB4020"/>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B4545"/>
  <w15:docId w15:val="{4CBCD856-643A-4088-AFC0-5146010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A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9317AA"/>
    <w:pPr>
      <w:bidi w:val="0"/>
      <w:outlineLvl w:val="0"/>
    </w:pPr>
  </w:style>
  <w:style w:type="paragraph" w:styleId="Heading2">
    <w:name w:val="heading 2"/>
    <w:basedOn w:val="Normal"/>
    <w:next w:val="Normal"/>
    <w:link w:val="Heading2Char"/>
    <w:uiPriority w:val="9"/>
    <w:unhideWhenUsed/>
    <w:rsid w:val="009317A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317AA"/>
    <w:pPr>
      <w:keepNext/>
      <w:keepLines/>
      <w:spacing w:before="200"/>
      <w:outlineLvl w:val="2"/>
    </w:pPr>
    <w:rPr>
      <w:b/>
      <w:bCs/>
      <w:color w:val="4F81BD"/>
    </w:rPr>
  </w:style>
  <w:style w:type="paragraph" w:styleId="Heading4">
    <w:name w:val="heading 4"/>
    <w:basedOn w:val="Normal"/>
    <w:next w:val="Normal"/>
    <w:link w:val="Heading4Char"/>
    <w:uiPriority w:val="9"/>
    <w:unhideWhenUsed/>
    <w:rsid w:val="009317A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317AA"/>
    <w:pPr>
      <w:keepNext/>
      <w:keepLines/>
      <w:spacing w:before="200"/>
      <w:outlineLvl w:val="4"/>
    </w:pPr>
    <w:rPr>
      <w:color w:val="243F60"/>
    </w:rPr>
  </w:style>
  <w:style w:type="paragraph" w:styleId="Heading6">
    <w:name w:val="heading 6"/>
    <w:basedOn w:val="Normal"/>
    <w:next w:val="Normal"/>
    <w:link w:val="Heading6Char"/>
    <w:uiPriority w:val="9"/>
    <w:unhideWhenUsed/>
    <w:rsid w:val="009317AA"/>
    <w:pPr>
      <w:keepNext/>
      <w:keepLines/>
      <w:spacing w:before="200"/>
      <w:outlineLvl w:val="5"/>
    </w:pPr>
    <w:rPr>
      <w:i/>
      <w:iCs/>
      <w:color w:val="243F60"/>
    </w:rPr>
  </w:style>
  <w:style w:type="paragraph" w:styleId="Heading7">
    <w:name w:val="heading 7"/>
    <w:basedOn w:val="Normal"/>
    <w:next w:val="Normal"/>
    <w:link w:val="Heading7Char"/>
    <w:uiPriority w:val="9"/>
    <w:unhideWhenUsed/>
    <w:rsid w:val="009317AA"/>
    <w:pPr>
      <w:keepNext/>
      <w:keepLines/>
      <w:spacing w:before="200"/>
      <w:outlineLvl w:val="6"/>
    </w:pPr>
    <w:rPr>
      <w:i/>
      <w:iCs/>
      <w:color w:val="404040"/>
    </w:rPr>
  </w:style>
  <w:style w:type="paragraph" w:styleId="Heading8">
    <w:name w:val="heading 8"/>
    <w:basedOn w:val="Normal"/>
    <w:next w:val="Normal"/>
    <w:link w:val="Heading8Char"/>
    <w:uiPriority w:val="9"/>
    <w:unhideWhenUsed/>
    <w:rsid w:val="009317A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317A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9317A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317A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317A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317A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317A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317A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317A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317A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317A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317A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317A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317A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317A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317AA"/>
    <w:pPr>
      <w:numPr>
        <w:numId w:val="5"/>
      </w:numPr>
      <w:bidi w:val="0"/>
    </w:pPr>
    <w:rPr>
      <w:lang w:val="en-US"/>
    </w:rPr>
  </w:style>
  <w:style w:type="paragraph" w:customStyle="1" w:styleId="Roman1GA">
    <w:name w:val="_Roman 1_GA"/>
    <w:basedOn w:val="Bullet1GA"/>
    <w:qFormat/>
    <w:rsid w:val="009317AA"/>
    <w:pPr>
      <w:numPr>
        <w:numId w:val="6"/>
      </w:numPr>
      <w:tabs>
        <w:tab w:val="clear" w:pos="2310"/>
        <w:tab w:val="left" w:pos="2486"/>
      </w:tabs>
      <w:ind w:left="2486" w:hanging="378"/>
    </w:pPr>
  </w:style>
  <w:style w:type="paragraph" w:customStyle="1" w:styleId="Roman2GA">
    <w:name w:val="_Roman 2_GA"/>
    <w:basedOn w:val="Bullet2GA"/>
    <w:qFormat/>
    <w:rsid w:val="009317A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317A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317AA"/>
    <w:rPr>
      <w:rFonts w:ascii="Times New Roman" w:eastAsia="PMingLiU" w:hAnsi="Times New Roman" w:cs="Simplified Arabic"/>
      <w:sz w:val="18"/>
      <w:szCs w:val="20"/>
      <w:lang w:val="en-GB"/>
    </w:rPr>
  </w:style>
  <w:style w:type="character" w:customStyle="1" w:styleId="EndtnoteReference">
    <w:name w:val="Endtnote Reference"/>
    <w:aliases w:val="1_GA"/>
    <w:qFormat/>
    <w:rsid w:val="009317A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317AA"/>
    <w:pPr>
      <w:suppressAutoHyphens/>
      <w:bidi w:val="0"/>
      <w:spacing w:line="240" w:lineRule="auto"/>
    </w:pPr>
    <w:rPr>
      <w:sz w:val="16"/>
      <w:lang w:val="en-GB"/>
    </w:rPr>
  </w:style>
  <w:style w:type="character" w:customStyle="1" w:styleId="FooterChar">
    <w:name w:val="Footer Char"/>
    <w:aliases w:val="3_GA Char,3_G Char"/>
    <w:link w:val="Footer"/>
    <w:rsid w:val="009317AA"/>
    <w:rPr>
      <w:rFonts w:ascii="Times New Roman" w:eastAsia="PMingLiU" w:hAnsi="Times New Roman" w:cs="Simplified Arabic"/>
      <w:sz w:val="16"/>
      <w:lang w:val="en-GB"/>
    </w:rPr>
  </w:style>
  <w:style w:type="paragraph" w:customStyle="1" w:styleId="FootnoteText1">
    <w:name w:val="Footnote Text1"/>
    <w:aliases w:val="5_GA"/>
    <w:basedOn w:val="Normal"/>
    <w:qFormat/>
    <w:rsid w:val="009317A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317A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317A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9317AA"/>
    <w:rPr>
      <w:rFonts w:ascii="Times New Roman" w:eastAsia="PMingLiU" w:hAnsi="Times New Roman" w:cs="Simplified Arabic"/>
      <w:lang w:val="en-GB"/>
    </w:rPr>
  </w:style>
  <w:style w:type="character" w:styleId="PageNumber">
    <w:name w:val="page number"/>
    <w:aliases w:val="7_GA,7_G"/>
    <w:qFormat/>
    <w:rsid w:val="009317AA"/>
    <w:rPr>
      <w:rFonts w:ascii="Times New Roman Bold" w:hAnsi="Times New Roman Bold"/>
      <w:b/>
      <w:i w:val="0"/>
      <w:sz w:val="18"/>
      <w:szCs w:val="18"/>
    </w:rPr>
  </w:style>
  <w:style w:type="paragraph" w:customStyle="1" w:styleId="XXLargeGA">
    <w:name w:val="XXLarge_GA"/>
    <w:basedOn w:val="Normal"/>
    <w:next w:val="SingleTxtGA"/>
    <w:qFormat/>
    <w:rsid w:val="009317AA"/>
    <w:pPr>
      <w:suppressAutoHyphens/>
      <w:spacing w:line="820" w:lineRule="exact"/>
    </w:pPr>
    <w:rPr>
      <w:spacing w:val="-8"/>
      <w:w w:val="96"/>
      <w:sz w:val="57"/>
      <w:szCs w:val="86"/>
      <w:lang w:val="en-GB"/>
    </w:rPr>
  </w:style>
  <w:style w:type="character" w:customStyle="1" w:styleId="Heading2Char">
    <w:name w:val="Heading 2 Char"/>
    <w:link w:val="Heading2"/>
    <w:uiPriority w:val="9"/>
    <w:rsid w:val="009317AA"/>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9317AA"/>
    <w:rPr>
      <w:rFonts w:ascii="Times New Roman" w:eastAsia="PMingLiU" w:hAnsi="Times New Roman" w:cs="Simplified Arabic"/>
      <w:b/>
      <w:bCs/>
      <w:color w:val="4F81BD"/>
      <w:sz w:val="20"/>
    </w:rPr>
  </w:style>
  <w:style w:type="character" w:customStyle="1" w:styleId="Heading4Char">
    <w:name w:val="Heading 4 Char"/>
    <w:link w:val="Heading4"/>
    <w:uiPriority w:val="9"/>
    <w:rsid w:val="009317A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9317AA"/>
    <w:rPr>
      <w:rFonts w:ascii="Times New Roman" w:eastAsia="PMingLiU" w:hAnsi="Times New Roman" w:cs="Simplified Arabic"/>
      <w:color w:val="243F60"/>
      <w:sz w:val="20"/>
    </w:rPr>
  </w:style>
  <w:style w:type="character" w:customStyle="1" w:styleId="Heading6Char">
    <w:name w:val="Heading 6 Char"/>
    <w:link w:val="Heading6"/>
    <w:uiPriority w:val="9"/>
    <w:rsid w:val="009317AA"/>
    <w:rPr>
      <w:rFonts w:ascii="Times New Roman" w:eastAsia="PMingLiU" w:hAnsi="Times New Roman" w:cs="Simplified Arabic"/>
      <w:i/>
      <w:iCs/>
      <w:color w:val="243F60"/>
      <w:sz w:val="20"/>
    </w:rPr>
  </w:style>
  <w:style w:type="character" w:customStyle="1" w:styleId="Heading7Char">
    <w:name w:val="Heading 7 Char"/>
    <w:link w:val="Heading7"/>
    <w:uiPriority w:val="9"/>
    <w:rsid w:val="009317AA"/>
    <w:rPr>
      <w:rFonts w:ascii="Times New Roman" w:eastAsia="PMingLiU" w:hAnsi="Times New Roman" w:cs="Simplified Arabic"/>
      <w:i/>
      <w:iCs/>
      <w:color w:val="404040"/>
      <w:sz w:val="20"/>
    </w:rPr>
  </w:style>
  <w:style w:type="character" w:customStyle="1" w:styleId="Heading8Char">
    <w:name w:val="Heading 8 Char"/>
    <w:link w:val="Heading8"/>
    <w:uiPriority w:val="9"/>
    <w:rsid w:val="009317A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9317A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317A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317A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317AA"/>
    <w:pPr>
      <w:numPr>
        <w:ilvl w:val="1"/>
      </w:numPr>
    </w:pPr>
    <w:rPr>
      <w:i/>
      <w:iCs/>
      <w:color w:val="4F81BD"/>
      <w:spacing w:val="15"/>
      <w:sz w:val="24"/>
      <w:szCs w:val="24"/>
    </w:rPr>
  </w:style>
  <w:style w:type="character" w:customStyle="1" w:styleId="SubtitleChar">
    <w:name w:val="Subtitle Char"/>
    <w:link w:val="Subtitle"/>
    <w:uiPriority w:val="11"/>
    <w:rsid w:val="009317AA"/>
    <w:rPr>
      <w:rFonts w:ascii="Times New Roman" w:eastAsia="PMingLiU" w:hAnsi="Times New Roman" w:cs="Simplified Arabic"/>
      <w:i/>
      <w:iCs/>
      <w:color w:val="4F81BD"/>
      <w:spacing w:val="15"/>
      <w:sz w:val="24"/>
      <w:szCs w:val="24"/>
    </w:rPr>
  </w:style>
  <w:style w:type="character" w:styleId="Strong">
    <w:name w:val="Strong"/>
    <w:uiPriority w:val="22"/>
    <w:rsid w:val="009317AA"/>
    <w:rPr>
      <w:b/>
      <w:bCs/>
    </w:rPr>
  </w:style>
  <w:style w:type="table" w:styleId="TableGrid">
    <w:name w:val="Table Grid"/>
    <w:basedOn w:val="TableNormal"/>
    <w:rsid w:val="009317A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7AA"/>
    <w:rPr>
      <w:color w:val="0000FF"/>
      <w:u w:val="none"/>
    </w:rPr>
  </w:style>
  <w:style w:type="paragraph" w:styleId="TOC1">
    <w:name w:val="toc 1"/>
    <w:basedOn w:val="Normal"/>
    <w:link w:val="TOC1Char"/>
    <w:autoRedefine/>
    <w:uiPriority w:val="39"/>
    <w:unhideWhenUsed/>
    <w:rsid w:val="009317A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317A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317A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317AA"/>
    <w:rPr>
      <w:rFonts w:eastAsia="DengXian"/>
      <w:color w:val="auto"/>
      <w:sz w:val="20"/>
      <w:szCs w:val="20"/>
      <w:u w:val="none"/>
      <w:lang w:eastAsia="zh-CN" w:bidi="ar-EG"/>
    </w:rPr>
  </w:style>
  <w:style w:type="paragraph" w:styleId="TOC4">
    <w:name w:val="toc 4"/>
    <w:basedOn w:val="Normal"/>
    <w:link w:val="TOC4Char"/>
    <w:autoRedefine/>
    <w:uiPriority w:val="39"/>
    <w:unhideWhenUsed/>
    <w:rsid w:val="009317A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317A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317A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9317A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317AA"/>
    <w:rPr>
      <w:rFonts w:ascii="Times New Roman" w:eastAsia="PMingLiU" w:hAnsi="Times New Roman" w:cs="Simplified Arabic"/>
      <w:lang w:val="en-GB"/>
    </w:rPr>
  </w:style>
  <w:style w:type="character" w:customStyle="1" w:styleId="TOC1Char">
    <w:name w:val="TOC 1 Char"/>
    <w:basedOn w:val="DefaultParagraphFont"/>
    <w:link w:val="TOC1"/>
    <w:uiPriority w:val="39"/>
    <w:rsid w:val="009317A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317A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317A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317A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317A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317AA"/>
    <w:rPr>
      <w:rFonts w:ascii="Times New Roman" w:eastAsia="PMingLiU" w:hAnsi="Times New Roman" w:cs="Simplified Arabic"/>
      <w:sz w:val="20"/>
      <w:szCs w:val="20"/>
      <w:lang w:val="en-GB"/>
    </w:rPr>
  </w:style>
  <w:style w:type="paragraph" w:customStyle="1" w:styleId="NormalA">
    <w:name w:val="Normal_A"/>
    <w:basedOn w:val="Normal"/>
    <w:qFormat/>
    <w:rsid w:val="009317AA"/>
  </w:style>
  <w:style w:type="paragraph" w:customStyle="1" w:styleId="FootnoteGA">
    <w:name w:val="_Footnote_GA"/>
    <w:basedOn w:val="Normal"/>
    <w:qFormat/>
    <w:rsid w:val="009317A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317AA"/>
    <w:rPr>
      <w:sz w:val="44"/>
      <w:szCs w:val="44"/>
      <w:lang w:val="en-US" w:bidi="ar-DZ"/>
    </w:rPr>
  </w:style>
  <w:style w:type="paragraph" w:customStyle="1" w:styleId="FootnoteGA0">
    <w:name w:val="Footnote_GA"/>
    <w:basedOn w:val="Normal"/>
    <w:qFormat/>
    <w:rsid w:val="009317A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9317A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9317AA"/>
    <w:pPr>
      <w:spacing w:line="240" w:lineRule="exact"/>
    </w:pPr>
    <w:rPr>
      <w:spacing w:val="6"/>
      <w:w w:val="106"/>
      <w:sz w:val="14"/>
      <w:szCs w:val="21"/>
    </w:rPr>
  </w:style>
  <w:style w:type="paragraph" w:customStyle="1" w:styleId="Original">
    <w:name w:val="Original"/>
    <w:basedOn w:val="Normal"/>
    <w:next w:val="Normal"/>
    <w:qFormat/>
    <w:rsid w:val="009317A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9317A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9317A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9317AA"/>
    <w:rPr>
      <w:lang w:val="en-US" w:eastAsia="zh-TW"/>
    </w:rPr>
  </w:style>
  <w:style w:type="paragraph" w:customStyle="1" w:styleId="STitleMGA">
    <w:name w:val="S_Title_M_GA"/>
    <w:basedOn w:val="SMGA"/>
    <w:qFormat/>
    <w:rsid w:val="009317AA"/>
    <w:rPr>
      <w:lang w:eastAsia="zh-TW"/>
    </w:rPr>
  </w:style>
  <w:style w:type="paragraph" w:customStyle="1" w:styleId="STitleSGA">
    <w:name w:val="S_Title_S_GA"/>
    <w:basedOn w:val="SSGA"/>
    <w:qFormat/>
    <w:rsid w:val="009317AA"/>
    <w:rPr>
      <w:lang w:eastAsia="zh-TW"/>
    </w:rPr>
  </w:style>
  <w:style w:type="paragraph" w:customStyle="1" w:styleId="HChG">
    <w:name w:val="_ H _Ch_G"/>
    <w:basedOn w:val="Normal"/>
    <w:next w:val="Normal"/>
    <w:qFormat/>
    <w:rsid w:val="003766EC"/>
    <w:pPr>
      <w:keepNext/>
      <w:keepLines/>
      <w:tabs>
        <w:tab w:val="right" w:pos="851"/>
      </w:tabs>
      <w:suppressAutoHyphens/>
      <w:bidi w:val="0"/>
      <w:spacing w:before="360" w:after="240" w:line="300" w:lineRule="exact"/>
      <w:ind w:left="1134" w:right="1134" w:hanging="1134"/>
      <w:jc w:val="left"/>
      <w:outlineLvl w:val="1"/>
    </w:pPr>
    <w:rPr>
      <w:rFonts w:eastAsia="SimSun" w:hAnsiTheme="minorHAnsi" w:cs="Traditional Arabic" w:hint="cs"/>
      <w:b/>
      <w:sz w:val="28"/>
      <w:szCs w:val="30"/>
      <w:lang w:val="en-GB" w:eastAsia="zh-CN"/>
    </w:rPr>
  </w:style>
  <w:style w:type="paragraph" w:customStyle="1" w:styleId="H1G">
    <w:name w:val="_ H_1_G"/>
    <w:basedOn w:val="Normal"/>
    <w:next w:val="Normal"/>
    <w:qFormat/>
    <w:rsid w:val="003766EC"/>
    <w:pPr>
      <w:keepNext/>
      <w:keepLines/>
      <w:tabs>
        <w:tab w:val="right" w:pos="851"/>
      </w:tabs>
      <w:suppressAutoHyphens/>
      <w:bidi w:val="0"/>
      <w:spacing w:before="360" w:after="240" w:line="270" w:lineRule="exact"/>
      <w:ind w:left="1134" w:right="1134" w:hanging="1134"/>
      <w:jc w:val="left"/>
      <w:outlineLvl w:val="2"/>
    </w:pPr>
    <w:rPr>
      <w:rFonts w:eastAsia="SimSun" w:hAnsiTheme="minorHAnsi" w:cs="Traditional Arabic" w:hint="cs"/>
      <w:b/>
      <w:sz w:val="24"/>
      <w:szCs w:val="30"/>
      <w:lang w:val="en-GB" w:eastAsia="zh-CN"/>
    </w:rPr>
  </w:style>
  <w:style w:type="paragraph" w:customStyle="1" w:styleId="SingleTxtG">
    <w:name w:val="_ Single Txt_G"/>
    <w:basedOn w:val="Normal"/>
    <w:link w:val="SingleTxtGChar"/>
    <w:qFormat/>
    <w:rsid w:val="003766EC"/>
    <w:pPr>
      <w:tabs>
        <w:tab w:val="left" w:pos="1701"/>
        <w:tab w:val="left" w:pos="2268"/>
      </w:tabs>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
    <w:basedOn w:val="Normal"/>
    <w:link w:val="FootnoteTextChar"/>
    <w:qFormat/>
    <w:rsid w:val="003766EC"/>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3766EC"/>
    <w:rPr>
      <w:rFonts w:ascii="Times New Roman" w:eastAsia="SimSun" w:cs="Traditional Arabic"/>
      <w:sz w:val="18"/>
      <w:szCs w:val="30"/>
      <w:lang w:val="en-GB" w:eastAsia="zh-CN"/>
    </w:rPr>
  </w:style>
  <w:style w:type="character" w:styleId="FootnoteReference">
    <w:name w:val="footnote reference"/>
    <w:aliases w:val="4_G,16 Point,Superscript 6 Point,ftref,fr,(NECG) Footnote Reference,Ref,de nota al pie,BVI fnr,Char Char Char Char Car Char,Footnote Reference Number,Footnote,footnote ref,SUPERS,EN Footnote Reference,Style 6,Footnote text,f, BVI fnr"/>
    <w:link w:val="4GCharCharChar"/>
    <w:uiPriority w:val="99"/>
    <w:qFormat/>
    <w:rsid w:val="003766EC"/>
    <w:rPr>
      <w:rFonts w:ascii="Times New Roman" w:hAnsi="Times New Roman"/>
      <w:sz w:val="18"/>
      <w:vertAlign w:val="superscript"/>
    </w:rPr>
  </w:style>
  <w:style w:type="character" w:customStyle="1" w:styleId="SingleTxtGChar">
    <w:name w:val="_ Single Txt_G Char"/>
    <w:link w:val="SingleTxtG"/>
    <w:locked/>
    <w:rsid w:val="003766EC"/>
    <w:rPr>
      <w:rFonts w:ascii="Times New Roman" w:eastAsia="SimSun" w:cs="Traditional Arabic"/>
      <w:sz w:val="20"/>
      <w:szCs w:val="30"/>
      <w:lang w:val="en-GB"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NRefe Char Char"/>
    <w:basedOn w:val="Normal"/>
    <w:link w:val="FootnoteReference"/>
    <w:uiPriority w:val="99"/>
    <w:rsid w:val="003766EC"/>
    <w:pPr>
      <w:bidi w:val="0"/>
      <w:spacing w:before="100" w:after="200" w:line="240" w:lineRule="exact"/>
      <w:jc w:val="both"/>
    </w:pPr>
    <w:rPr>
      <w:rFonts w:eastAsia="Times New Roman" w:cstheme="minorBidi"/>
      <w:sz w:val="18"/>
      <w:vertAlign w:val="superscript"/>
    </w:rPr>
  </w:style>
  <w:style w:type="character" w:styleId="UnresolvedMention">
    <w:name w:val="Unresolved Mention"/>
    <w:basedOn w:val="DefaultParagraphFont"/>
    <w:uiPriority w:val="99"/>
    <w:semiHidden/>
    <w:unhideWhenUsed/>
    <w:rsid w:val="0090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RC/C/JOR/6" TargetMode="External"/><Relationship Id="rId2" Type="http://schemas.openxmlformats.org/officeDocument/2006/relationships/hyperlink" Target="https://undocs.org/ar/CRC/C/JOR/CO/4-5" TargetMode="External"/><Relationship Id="rId1" Type="http://schemas.openxmlformats.org/officeDocument/2006/relationships/hyperlink" Target="https://undocs.org/ar/CRC/C/JOR/6" TargetMode="External"/><Relationship Id="rId5" Type="http://schemas.openxmlformats.org/officeDocument/2006/relationships/hyperlink" Target="CRC/C/OPAC/JOR/CO/1" TargetMode="External"/><Relationship Id="rId4" Type="http://schemas.openxmlformats.org/officeDocument/2006/relationships/hyperlink" Target="CRC/C/OPSC/JOR/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CRC/C/JOR/Q/6</vt:lpstr>
    </vt:vector>
  </TitlesOfParts>
  <Company>DCM</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CRC/C/JOR/Q/6</dc:title>
  <dc:subject>GE.2217565(A)</dc:subject>
  <dc:creator>Muntaha BUHNAM - Safa Duhab</dc:creator>
  <cp:keywords>GE.(A)</cp:keywords>
  <dc:description>Distr.: General
26 October 2022
Arabic
Original: English
Arabic, English, French and 
Spanish only</dc:description>
  <cp:lastModifiedBy>Jamal Alkahlout</cp:lastModifiedBy>
  <cp:revision>2</cp:revision>
  <dcterms:created xsi:type="dcterms:W3CDTF">2022-11-10T14:20:00Z</dcterms:created>
  <dcterms:modified xsi:type="dcterms:W3CDTF">2022-11-10T14:20:00Z</dcterms:modified>
</cp:coreProperties>
</file>