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338A5" w:rsidRPr="00DB58B5" w:rsidTr="003C586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B338A5" w:rsidRPr="00DB58B5" w:rsidRDefault="00B338A5" w:rsidP="0002044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338A5" w:rsidRPr="00DB58B5" w:rsidRDefault="00B338A5" w:rsidP="003C586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338A5" w:rsidRPr="00DB58B5" w:rsidRDefault="00020449" w:rsidP="00020449">
            <w:pPr>
              <w:jc w:val="right"/>
            </w:pPr>
            <w:r w:rsidRPr="00020449">
              <w:rPr>
                <w:sz w:val="40"/>
              </w:rPr>
              <w:t>CRPD</w:t>
            </w:r>
            <w:r>
              <w:t>/C/22/4</w:t>
            </w:r>
          </w:p>
        </w:tc>
      </w:tr>
      <w:tr w:rsidR="00B338A5" w:rsidRPr="00DB58B5" w:rsidTr="003C586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338A5" w:rsidRPr="00DB58B5" w:rsidRDefault="00B338A5" w:rsidP="003C586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E61643" wp14:editId="5EF100D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338A5" w:rsidRPr="00F10076" w:rsidRDefault="00B338A5" w:rsidP="003C5869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F10076">
              <w:rPr>
                <w:b/>
                <w:sz w:val="34"/>
              </w:rPr>
              <w:t>Convention relative</w:t>
            </w:r>
            <w:r>
              <w:rPr>
                <w:b/>
                <w:sz w:val="34"/>
              </w:rPr>
              <w:t xml:space="preserve"> </w:t>
            </w:r>
            <w:r w:rsidRPr="00F10076">
              <w:rPr>
                <w:b/>
                <w:sz w:val="34"/>
              </w:rPr>
              <w:t>aux droits</w:t>
            </w:r>
            <w:r>
              <w:rPr>
                <w:b/>
                <w:sz w:val="34"/>
              </w:rPr>
              <w:br/>
            </w:r>
            <w:r w:rsidRPr="00F10076">
              <w:rPr>
                <w:b/>
                <w:sz w:val="34"/>
              </w:rPr>
              <w:t>des personnes handicapées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338A5" w:rsidRDefault="00020449" w:rsidP="003C586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020449" w:rsidRDefault="00020449" w:rsidP="00020449">
            <w:pPr>
              <w:spacing w:line="240" w:lineRule="exact"/>
            </w:pPr>
            <w:r>
              <w:t>8 novembre 2019</w:t>
            </w:r>
          </w:p>
          <w:p w:rsidR="00020449" w:rsidRDefault="00020449" w:rsidP="00020449">
            <w:pPr>
              <w:spacing w:line="240" w:lineRule="exact"/>
            </w:pPr>
            <w:r>
              <w:t>Français</w:t>
            </w:r>
          </w:p>
          <w:p w:rsidR="00020449" w:rsidRPr="00DB58B5" w:rsidRDefault="00020449" w:rsidP="00020449">
            <w:pPr>
              <w:spacing w:line="240" w:lineRule="exact"/>
            </w:pPr>
            <w:r>
              <w:t>Original</w:t>
            </w:r>
            <w:r w:rsidR="00505D82">
              <w:t> :</w:t>
            </w:r>
            <w:r>
              <w:t xml:space="preserve"> anglais</w:t>
            </w:r>
          </w:p>
        </w:tc>
      </w:tr>
    </w:tbl>
    <w:p w:rsidR="00275896" w:rsidRDefault="00275896" w:rsidP="00275896">
      <w:pPr>
        <w:spacing w:before="120"/>
        <w:rPr>
          <w:b/>
          <w:sz w:val="24"/>
          <w:szCs w:val="24"/>
        </w:rPr>
      </w:pPr>
      <w:r w:rsidRPr="004407B7">
        <w:rPr>
          <w:b/>
          <w:sz w:val="24"/>
          <w:szCs w:val="24"/>
        </w:rPr>
        <w:t>Comité des droits des personnes handicapées</w:t>
      </w:r>
    </w:p>
    <w:p w:rsidR="00EF0A8C" w:rsidRPr="00B85E59" w:rsidRDefault="00EF0A8C" w:rsidP="00EF0A8C">
      <w:pPr>
        <w:pStyle w:val="HChG"/>
        <w:rPr>
          <w:lang w:val="fr-FR"/>
        </w:rPr>
      </w:pPr>
      <w:r w:rsidRPr="00B85E59">
        <w:rPr>
          <w:lang w:val="fr-FR"/>
        </w:rPr>
        <w:tab/>
      </w:r>
      <w:r w:rsidRPr="00B85E59">
        <w:rPr>
          <w:lang w:val="fr-FR"/>
        </w:rPr>
        <w:tab/>
        <w:t xml:space="preserve">Rapport intérimaire sur la suite donnée </w:t>
      </w:r>
      <w:r>
        <w:rPr>
          <w:lang w:val="fr-FR"/>
        </w:rPr>
        <w:br/>
      </w:r>
      <w:r w:rsidRPr="00B85E59">
        <w:rPr>
          <w:lang w:val="fr-FR"/>
        </w:rPr>
        <w:t>aux communications individuelles</w:t>
      </w:r>
      <w:r w:rsidRPr="005C69B4">
        <w:rPr>
          <w:rStyle w:val="Appelnotedebasdep"/>
          <w:b w:val="0"/>
          <w:sz w:val="20"/>
          <w:vertAlign w:val="baseline"/>
          <w:lang w:val="fr-FR"/>
        </w:rPr>
        <w:footnoteReference w:customMarkFollows="1" w:id="2"/>
        <w:t>*</w:t>
      </w:r>
    </w:p>
    <w:p w:rsidR="00EF0A8C" w:rsidRPr="00B85E59" w:rsidRDefault="00EF0A8C" w:rsidP="00EF0A8C">
      <w:pPr>
        <w:pStyle w:val="H1G"/>
        <w:rPr>
          <w:lang w:val="fr-FR"/>
        </w:rPr>
      </w:pPr>
      <w:r w:rsidRPr="00B85E59">
        <w:rPr>
          <w:lang w:val="fr-FR"/>
        </w:rPr>
        <w:tab/>
        <w:t>A.</w:t>
      </w:r>
      <w:r w:rsidRPr="00B85E59">
        <w:rPr>
          <w:lang w:val="fr-FR"/>
        </w:rPr>
        <w:tab/>
        <w:t>Introduction</w:t>
      </w:r>
    </w:p>
    <w:p w:rsidR="00EF0A8C" w:rsidRPr="00B85E59" w:rsidRDefault="00EF0A8C" w:rsidP="005C69B4">
      <w:pPr>
        <w:pStyle w:val="SingleTxtG"/>
        <w:rPr>
          <w:lang w:val="fr-FR"/>
        </w:rPr>
      </w:pPr>
      <w:r w:rsidRPr="00B85E59">
        <w:rPr>
          <w:lang w:val="fr-FR"/>
        </w:rPr>
        <w:t>1.</w:t>
      </w:r>
      <w:r w:rsidRPr="00B85E59">
        <w:rPr>
          <w:lang w:val="fr-FR"/>
        </w:rPr>
        <w:tab/>
        <w:t>Le présent rapport a été élaboré conformément à l</w:t>
      </w:r>
      <w:r>
        <w:rPr>
          <w:lang w:val="fr-FR"/>
        </w:rPr>
        <w:t>’</w:t>
      </w:r>
      <w:r w:rsidRPr="00B85E59">
        <w:rPr>
          <w:lang w:val="fr-FR"/>
        </w:rPr>
        <w:t>article</w:t>
      </w:r>
      <w:r>
        <w:rPr>
          <w:lang w:val="fr-FR"/>
        </w:rPr>
        <w:t> </w:t>
      </w:r>
      <w:r w:rsidRPr="00B85E59">
        <w:rPr>
          <w:lang w:val="fr-FR"/>
        </w:rPr>
        <w:t>5 du Protocole facultatif se rapportant à la Convention, qui dispose que le Comité examine à huis clos les communications qui lui sont adressées en vertu du Protocole et qu</w:t>
      </w:r>
      <w:r>
        <w:rPr>
          <w:lang w:val="fr-FR"/>
        </w:rPr>
        <w:t>’</w:t>
      </w:r>
      <w:r w:rsidRPr="00B85E59">
        <w:rPr>
          <w:lang w:val="fr-FR"/>
        </w:rPr>
        <w:t>après avoir examiné une communication, le Comité transmet ses suggestions et recommandations éventuelles à l</w:t>
      </w:r>
      <w:r>
        <w:rPr>
          <w:lang w:val="fr-FR"/>
        </w:rPr>
        <w:t>’</w:t>
      </w:r>
      <w:r w:rsidRPr="00B85E59">
        <w:rPr>
          <w:lang w:val="fr-FR"/>
        </w:rPr>
        <w:t>État partie intéressé et à l</w:t>
      </w:r>
      <w:r>
        <w:rPr>
          <w:lang w:val="fr-FR"/>
        </w:rPr>
        <w:t>’</w:t>
      </w:r>
      <w:r w:rsidRPr="00B85E59">
        <w:rPr>
          <w:lang w:val="fr-FR"/>
        </w:rPr>
        <w:t>auteur. Le rapport est aussi établi conformément au paragraphe</w:t>
      </w:r>
      <w:r w:rsidR="009D124E">
        <w:rPr>
          <w:lang w:val="fr-FR"/>
        </w:rPr>
        <w:t> </w:t>
      </w:r>
      <w:r w:rsidRPr="00B85E59">
        <w:rPr>
          <w:lang w:val="fr-FR"/>
        </w:rPr>
        <w:t>7 de l</w:t>
      </w:r>
      <w:r>
        <w:rPr>
          <w:lang w:val="fr-FR"/>
        </w:rPr>
        <w:t>’</w:t>
      </w:r>
      <w:r w:rsidRPr="00B85E59">
        <w:rPr>
          <w:lang w:val="fr-FR"/>
        </w:rPr>
        <w:t>article</w:t>
      </w:r>
      <w:r w:rsidR="009D124E">
        <w:rPr>
          <w:lang w:val="fr-FR"/>
        </w:rPr>
        <w:t> </w:t>
      </w:r>
      <w:r w:rsidRPr="00B85E59">
        <w:rPr>
          <w:lang w:val="fr-FR"/>
        </w:rPr>
        <w:t>75 du Règlement intérieur du Comité, qui prévoit que le Rapporteur spécial ou le groupe de travail fasse périodiquement rapport au Comité sur ses activités de suivi, afin que le Comité puisse s</w:t>
      </w:r>
      <w:r>
        <w:rPr>
          <w:lang w:val="fr-FR"/>
        </w:rPr>
        <w:t>’</w:t>
      </w:r>
      <w:r w:rsidRPr="00B85E59">
        <w:rPr>
          <w:lang w:val="fr-FR"/>
        </w:rPr>
        <w:t xml:space="preserve">assurer que les États parties ont pris des mesures pour donner effet à ses constatations. </w:t>
      </w:r>
    </w:p>
    <w:p w:rsidR="00EF0A8C" w:rsidRPr="00B85E59" w:rsidRDefault="00EF0A8C" w:rsidP="005C69B4">
      <w:pPr>
        <w:pStyle w:val="SingleTxtG"/>
        <w:rPr>
          <w:lang w:val="fr-FR"/>
        </w:rPr>
      </w:pPr>
      <w:r w:rsidRPr="00B85E59">
        <w:rPr>
          <w:lang w:val="fr-FR"/>
        </w:rPr>
        <w:t>2.</w:t>
      </w:r>
      <w:r w:rsidRPr="00B85E59">
        <w:rPr>
          <w:lang w:val="fr-FR"/>
        </w:rPr>
        <w:tab/>
        <w:t>Dans le présent rapport, il est rendu compte des renseignements reçus par la Rapporteuse spéciale chargée du suivi des constatations du Comité, entre les vingt et unième et vingt-deuxième sessions, conformément au Règlement intérieur du Comité, ainsi que des analyses et décisions adoptées par le Comité au cours de sa vingt-deuxième session. Les critères d</w:t>
      </w:r>
      <w:r>
        <w:rPr>
          <w:lang w:val="fr-FR"/>
        </w:rPr>
        <w:t>’</w:t>
      </w:r>
      <w:r w:rsidRPr="00B85E59">
        <w:rPr>
          <w:lang w:val="fr-FR"/>
        </w:rPr>
        <w:t>évaluation étaient les suivants</w:t>
      </w:r>
      <w:r w:rsidR="00505D82">
        <w:rPr>
          <w:lang w:val="fr-FR"/>
        </w:rPr>
        <w:t> :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0"/>
      </w:tblGrid>
      <w:tr w:rsidR="00EF0A8C" w:rsidRPr="00B85E59" w:rsidTr="006C4E60">
        <w:trPr>
          <w:tblHeader/>
        </w:trPr>
        <w:tc>
          <w:tcPr>
            <w:tcW w:w="73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EF0A8C" w:rsidRPr="00B85E59" w:rsidRDefault="00EF0A8C" w:rsidP="006C4E60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B85E59">
              <w:rPr>
                <w:i/>
                <w:iCs/>
                <w:sz w:val="16"/>
                <w:lang w:val="fr-FR"/>
              </w:rPr>
              <w:t>Critères d</w:t>
            </w:r>
            <w:r>
              <w:rPr>
                <w:i/>
                <w:iCs/>
                <w:sz w:val="16"/>
                <w:lang w:val="fr-FR"/>
              </w:rPr>
              <w:t>’</w:t>
            </w:r>
            <w:r w:rsidRPr="00B85E59">
              <w:rPr>
                <w:i/>
                <w:iCs/>
                <w:sz w:val="16"/>
                <w:lang w:val="fr-FR"/>
              </w:rPr>
              <w:t>évaluation</w:t>
            </w:r>
          </w:p>
        </w:tc>
      </w:tr>
      <w:tr w:rsidR="00EF0A8C" w:rsidRPr="00B85E59" w:rsidTr="006C4E60">
        <w:tc>
          <w:tcPr>
            <w:tcW w:w="7370" w:type="dxa"/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 w:line="220" w:lineRule="exact"/>
              <w:ind w:right="113"/>
              <w:rPr>
                <w:i/>
                <w:lang w:val="fr-FR"/>
              </w:rPr>
            </w:pPr>
            <w:r w:rsidRPr="00B85E59">
              <w:rPr>
                <w:i/>
                <w:iCs/>
                <w:lang w:val="fr-FR"/>
              </w:rPr>
              <w:t xml:space="preserve">Respect des recommandations </w:t>
            </w:r>
          </w:p>
        </w:tc>
      </w:tr>
      <w:tr w:rsidR="00EF0A8C" w:rsidRPr="003F194D" w:rsidTr="006C4E60">
        <w:tc>
          <w:tcPr>
            <w:tcW w:w="7370" w:type="dxa"/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B85E59">
              <w:rPr>
                <w:b/>
                <w:bCs/>
                <w:lang w:val="fr-FR"/>
              </w:rPr>
              <w:t>A</w:t>
            </w:r>
            <w:r w:rsidRPr="00B85E59">
              <w:rPr>
                <w:lang w:val="fr-FR"/>
              </w:rPr>
              <w:tab/>
              <w:t>Réponse satisfaisante dans l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>ensemble</w:t>
            </w:r>
          </w:p>
        </w:tc>
      </w:tr>
      <w:tr w:rsidR="00EF0A8C" w:rsidRPr="00B85E59" w:rsidTr="006C4E60">
        <w:tc>
          <w:tcPr>
            <w:tcW w:w="7370" w:type="dxa"/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 w:line="220" w:lineRule="exact"/>
              <w:ind w:right="113"/>
              <w:rPr>
                <w:i/>
                <w:lang w:val="fr-FR"/>
              </w:rPr>
            </w:pPr>
            <w:r w:rsidRPr="00B85E59">
              <w:rPr>
                <w:i/>
                <w:iCs/>
                <w:lang w:val="fr-FR"/>
              </w:rPr>
              <w:t xml:space="preserve">Respect partiel des recommandations </w:t>
            </w:r>
          </w:p>
        </w:tc>
      </w:tr>
      <w:tr w:rsidR="00EF0A8C" w:rsidRPr="003F194D" w:rsidTr="006C4E60">
        <w:tc>
          <w:tcPr>
            <w:tcW w:w="7370" w:type="dxa"/>
            <w:shd w:val="clear" w:color="auto" w:fill="auto"/>
            <w:hideMark/>
          </w:tcPr>
          <w:p w:rsidR="00EF0A8C" w:rsidRPr="00B85E59" w:rsidRDefault="00EF0A8C" w:rsidP="005409FC">
            <w:pPr>
              <w:suppressAutoHyphens w:val="0"/>
              <w:spacing w:before="40" w:after="120" w:line="220" w:lineRule="exact"/>
              <w:ind w:left="567" w:right="113" w:hanging="567"/>
              <w:rPr>
                <w:lang w:val="fr-FR"/>
              </w:rPr>
            </w:pPr>
            <w:r w:rsidRPr="00B85E59">
              <w:rPr>
                <w:b/>
                <w:bCs/>
                <w:lang w:val="fr-FR"/>
              </w:rPr>
              <w:t>B</w:t>
            </w:r>
            <w:r w:rsidRPr="00B85E59">
              <w:rPr>
                <w:lang w:val="fr-FR"/>
              </w:rPr>
              <w:tab/>
              <w:t xml:space="preserve">Des mesures concrètes ont été prises, mais des renseignements et/ou mesures </w:t>
            </w:r>
            <w:r w:rsidR="005409FC">
              <w:rPr>
                <w:lang w:val="fr-FR"/>
              </w:rPr>
              <w:br/>
            </w:r>
            <w:r w:rsidRPr="00B85E59">
              <w:rPr>
                <w:lang w:val="fr-FR"/>
              </w:rPr>
              <w:t>supplémentaires sont nécessaires</w:t>
            </w:r>
          </w:p>
        </w:tc>
      </w:tr>
      <w:tr w:rsidR="00EF0A8C" w:rsidRPr="00B85E59" w:rsidTr="006C4E60">
        <w:tc>
          <w:tcPr>
            <w:tcW w:w="7370" w:type="dxa"/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 w:line="220" w:lineRule="exact"/>
              <w:ind w:right="113"/>
              <w:rPr>
                <w:i/>
                <w:lang w:val="fr-FR"/>
              </w:rPr>
            </w:pPr>
            <w:r w:rsidRPr="00B85E59">
              <w:rPr>
                <w:i/>
                <w:iCs/>
                <w:lang w:val="fr-FR"/>
              </w:rPr>
              <w:t>Non-respect des recommandations</w:t>
            </w:r>
          </w:p>
        </w:tc>
      </w:tr>
      <w:tr w:rsidR="00EF0A8C" w:rsidRPr="003F194D" w:rsidTr="006C4E60">
        <w:tc>
          <w:tcPr>
            <w:tcW w:w="7370" w:type="dxa"/>
            <w:shd w:val="clear" w:color="auto" w:fill="auto"/>
            <w:hideMark/>
          </w:tcPr>
          <w:p w:rsidR="00EF0A8C" w:rsidRPr="00B85E59" w:rsidRDefault="00EF0A8C" w:rsidP="005409FC">
            <w:pPr>
              <w:suppressAutoHyphens w:val="0"/>
              <w:spacing w:before="40" w:after="120" w:line="220" w:lineRule="exact"/>
              <w:ind w:left="567" w:right="113" w:hanging="567"/>
              <w:rPr>
                <w:lang w:val="fr-FR"/>
              </w:rPr>
            </w:pPr>
            <w:r w:rsidRPr="00B85E59">
              <w:rPr>
                <w:b/>
                <w:bCs/>
                <w:lang w:val="fr-FR"/>
              </w:rPr>
              <w:t>C</w:t>
            </w:r>
            <w:r w:rsidRPr="00B85E59">
              <w:rPr>
                <w:lang w:val="fr-FR"/>
              </w:rPr>
              <w:tab/>
              <w:t xml:space="preserve">Une réponse a été reçue, mais les mesures prises ne permettent pas de mettre </w:t>
            </w:r>
            <w:r w:rsidR="005409FC">
              <w:rPr>
                <w:lang w:val="fr-FR"/>
              </w:rPr>
              <w:br/>
            </w:r>
            <w:r w:rsidRPr="00B85E59">
              <w:rPr>
                <w:lang w:val="fr-FR"/>
              </w:rPr>
              <w:t>en œuvre les constatations ou recommandations</w:t>
            </w:r>
          </w:p>
        </w:tc>
      </w:tr>
      <w:tr w:rsidR="00EF0A8C" w:rsidRPr="00B85E59" w:rsidTr="006C4E60">
        <w:tc>
          <w:tcPr>
            <w:tcW w:w="7370" w:type="dxa"/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 w:line="220" w:lineRule="exact"/>
              <w:ind w:right="113"/>
              <w:rPr>
                <w:i/>
                <w:lang w:val="fr-FR"/>
              </w:rPr>
            </w:pPr>
            <w:r w:rsidRPr="00B85E59">
              <w:rPr>
                <w:i/>
                <w:iCs/>
                <w:lang w:val="fr-FR"/>
              </w:rPr>
              <w:t>Absence de réponse</w:t>
            </w:r>
          </w:p>
        </w:tc>
      </w:tr>
      <w:tr w:rsidR="00EF0A8C" w:rsidRPr="003F194D" w:rsidTr="006C4E60">
        <w:tc>
          <w:tcPr>
            <w:tcW w:w="7370" w:type="dxa"/>
            <w:shd w:val="clear" w:color="auto" w:fill="auto"/>
            <w:hideMark/>
          </w:tcPr>
          <w:p w:rsidR="00EF0A8C" w:rsidRPr="00B85E59" w:rsidRDefault="00EF0A8C" w:rsidP="005409FC">
            <w:pPr>
              <w:suppressAutoHyphens w:val="0"/>
              <w:spacing w:before="40" w:after="120" w:line="220" w:lineRule="exact"/>
              <w:ind w:left="567" w:right="113" w:hanging="567"/>
              <w:rPr>
                <w:lang w:val="fr-FR"/>
              </w:rPr>
            </w:pPr>
            <w:r w:rsidRPr="00B85E59">
              <w:rPr>
                <w:b/>
                <w:bCs/>
                <w:lang w:val="fr-FR"/>
              </w:rPr>
              <w:t>D</w:t>
            </w:r>
            <w:r w:rsidRPr="00B85E59">
              <w:rPr>
                <w:lang w:val="fr-FR"/>
              </w:rPr>
              <w:tab/>
              <w:t>Aucune réponse n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>a été reçue à l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 xml:space="preserve">ensemble ou à une partie des recommandations </w:t>
            </w:r>
            <w:r w:rsidR="005409FC">
              <w:rPr>
                <w:lang w:val="fr-FR"/>
              </w:rPr>
              <w:br/>
            </w:r>
            <w:r w:rsidRPr="00B85E59">
              <w:rPr>
                <w:lang w:val="fr-FR"/>
              </w:rPr>
              <w:t>après un ou plusieurs rappel(s)</w:t>
            </w:r>
          </w:p>
        </w:tc>
      </w:tr>
    </w:tbl>
    <w:p w:rsidR="00EF0A8C" w:rsidRPr="00B85E59" w:rsidRDefault="00EF0A8C" w:rsidP="005C69B4">
      <w:pPr>
        <w:pStyle w:val="H1G"/>
        <w:rPr>
          <w:lang w:val="fr-FR"/>
        </w:rPr>
      </w:pPr>
      <w:r w:rsidRPr="00B85E59">
        <w:rPr>
          <w:lang w:val="fr-FR"/>
        </w:rPr>
        <w:lastRenderedPageBreak/>
        <w:tab/>
        <w:t>B.</w:t>
      </w:r>
      <w:r w:rsidRPr="00B85E59">
        <w:rPr>
          <w:lang w:val="fr-FR"/>
        </w:rPr>
        <w:tab/>
        <w:t>Communications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251"/>
      </w:tblGrid>
      <w:tr w:rsidR="00EF0A8C" w:rsidRPr="003F194D" w:rsidTr="006C4E60">
        <w:trPr>
          <w:tblHeader/>
        </w:trPr>
        <w:tc>
          <w:tcPr>
            <w:tcW w:w="737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EF0A8C" w:rsidRPr="00B85E59" w:rsidRDefault="00EF0A8C" w:rsidP="006C4E60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 w:rsidRPr="00B85E59">
              <w:rPr>
                <w:i/>
                <w:sz w:val="16"/>
                <w:szCs w:val="16"/>
                <w:lang w:val="fr-FR"/>
              </w:rPr>
              <w:t>1.</w:t>
            </w:r>
            <w:r w:rsidRPr="00B85E59">
              <w:rPr>
                <w:sz w:val="16"/>
                <w:szCs w:val="16"/>
                <w:lang w:val="fr-FR"/>
              </w:rPr>
              <w:tab/>
            </w:r>
            <w:proofErr w:type="spellStart"/>
            <w:r w:rsidRPr="00B85E59">
              <w:rPr>
                <w:i/>
                <w:iCs/>
                <w:sz w:val="16"/>
                <w:szCs w:val="16"/>
                <w:lang w:val="fr-FR"/>
              </w:rPr>
              <w:t>Bujdosó</w:t>
            </w:r>
            <w:proofErr w:type="spellEnd"/>
            <w:r w:rsidRPr="00B85E59">
              <w:rPr>
                <w:i/>
                <w:iCs/>
                <w:sz w:val="16"/>
                <w:szCs w:val="16"/>
                <w:lang w:val="fr-FR"/>
              </w:rPr>
              <w:t xml:space="preserve"> et consorts c. Hongrie</w:t>
            </w:r>
            <w:r w:rsidRPr="00B85E59">
              <w:rPr>
                <w:sz w:val="16"/>
                <w:szCs w:val="16"/>
                <w:lang w:val="fr-FR"/>
              </w:rPr>
              <w:t xml:space="preserve"> (CRPD/C/10/D/4/2011)</w:t>
            </w:r>
          </w:p>
        </w:tc>
      </w:tr>
      <w:tr w:rsidR="00EF0A8C" w:rsidRPr="003F194D" w:rsidTr="006C4E60">
        <w:trPr>
          <w:trHeight w:hRule="exact" w:val="113"/>
          <w:tblHeader/>
        </w:trPr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</w:tcPr>
          <w:p w:rsidR="00EF0A8C" w:rsidRPr="00B85E59" w:rsidRDefault="00EF0A8C" w:rsidP="006C4E60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4251" w:type="dxa"/>
            <w:tcBorders>
              <w:top w:val="single" w:sz="12" w:space="0" w:color="auto"/>
            </w:tcBorders>
            <w:shd w:val="clear" w:color="auto" w:fill="auto"/>
          </w:tcPr>
          <w:p w:rsidR="00EF0A8C" w:rsidRPr="00B85E59" w:rsidRDefault="00EF0A8C" w:rsidP="006C4E60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</w:p>
        </w:tc>
      </w:tr>
      <w:tr w:rsidR="00EF0A8C" w:rsidRPr="00B85E59" w:rsidTr="006C4E60">
        <w:tc>
          <w:tcPr>
            <w:tcW w:w="3119" w:type="dxa"/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>Adoption des constatations</w:t>
            </w:r>
            <w:r w:rsidR="00505D82">
              <w:rPr>
                <w:lang w:val="fr-FR"/>
              </w:rPr>
              <w:t> :</w:t>
            </w:r>
          </w:p>
        </w:tc>
        <w:tc>
          <w:tcPr>
            <w:tcW w:w="4251" w:type="dxa"/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>9 septembre 2013</w:t>
            </w:r>
            <w:r w:rsidR="003F0B0B">
              <w:rPr>
                <w:lang w:val="fr-FR"/>
              </w:rPr>
              <w:t>.</w:t>
            </w:r>
          </w:p>
        </w:tc>
      </w:tr>
      <w:tr w:rsidR="00EF0A8C" w:rsidRPr="003F194D" w:rsidTr="006C4E60">
        <w:tc>
          <w:tcPr>
            <w:tcW w:w="3119" w:type="dxa"/>
            <w:tcBorders>
              <w:bottom w:val="nil"/>
            </w:tcBorders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>Première réponse de l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>État partie</w:t>
            </w:r>
            <w:r w:rsidR="00505D82">
              <w:rPr>
                <w:lang w:val="fr-FR"/>
              </w:rPr>
              <w:t> :</w:t>
            </w:r>
          </w:p>
        </w:tc>
        <w:tc>
          <w:tcPr>
            <w:tcW w:w="4251" w:type="dxa"/>
            <w:tcBorders>
              <w:bottom w:val="nil"/>
            </w:tcBorders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>Reçue le 26 mars 2014 (voir CRPD/C/12/3)</w:t>
            </w:r>
            <w:r w:rsidR="003F0B0B">
              <w:rPr>
                <w:lang w:val="fr-FR"/>
              </w:rPr>
              <w:t>.</w:t>
            </w:r>
          </w:p>
        </w:tc>
      </w:tr>
      <w:tr w:rsidR="00EF0A8C" w:rsidRPr="003F194D" w:rsidTr="006C4E60"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 xml:space="preserve">Commentaires des auteurs </w:t>
            </w:r>
            <w:r w:rsidR="005C69B4">
              <w:rPr>
                <w:lang w:val="fr-FR"/>
              </w:rPr>
              <w:br/>
            </w:r>
            <w:r w:rsidRPr="00B85E59">
              <w:rPr>
                <w:lang w:val="fr-FR"/>
              </w:rPr>
              <w:t>(première série)</w:t>
            </w:r>
            <w:r w:rsidR="00505D82">
              <w:rPr>
                <w:lang w:val="fr-FR"/>
              </w:rPr>
              <w:t> :</w:t>
            </w:r>
          </w:p>
        </w:tc>
        <w:tc>
          <w:tcPr>
            <w:tcW w:w="42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>Reçus le 5 mai 2014 (voir CRPD/C/12/3)</w:t>
            </w:r>
            <w:r w:rsidR="003F0B0B">
              <w:rPr>
                <w:lang w:val="fr-FR"/>
              </w:rPr>
              <w:t>.</w:t>
            </w:r>
          </w:p>
        </w:tc>
      </w:tr>
      <w:tr w:rsidR="00EF0A8C" w:rsidRPr="003F194D" w:rsidTr="006C4E60"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>Décision adoptée à la onzième session</w:t>
            </w:r>
            <w:r w:rsidR="00505D82">
              <w:rPr>
                <w:lang w:val="fr-FR"/>
              </w:rPr>
              <w:t> :</w:t>
            </w:r>
          </w:p>
        </w:tc>
        <w:tc>
          <w:tcPr>
            <w:tcW w:w="4251" w:type="dxa"/>
            <w:tcBorders>
              <w:top w:val="nil"/>
            </w:tcBorders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>Lettre de suivi adressée à l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>État partie le 8</w:t>
            </w:r>
            <w:r w:rsidR="00505D82">
              <w:rPr>
                <w:lang w:val="fr-FR"/>
              </w:rPr>
              <w:t> </w:t>
            </w:r>
            <w:r w:rsidRPr="00B85E59">
              <w:rPr>
                <w:lang w:val="fr-FR"/>
              </w:rPr>
              <w:t>mai 2014 (voir CRPD/C/12/3), avec un délai fixé au 7 novembre 2014 pour les commentaires</w:t>
            </w:r>
            <w:r w:rsidR="003F0B0B">
              <w:rPr>
                <w:lang w:val="fr-FR"/>
              </w:rPr>
              <w:t>.</w:t>
            </w:r>
          </w:p>
        </w:tc>
      </w:tr>
      <w:tr w:rsidR="00EF0A8C" w:rsidRPr="003F194D" w:rsidTr="006C4E60">
        <w:tc>
          <w:tcPr>
            <w:tcW w:w="3119" w:type="dxa"/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>Deuxième réponse de l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>État partie</w:t>
            </w:r>
            <w:r w:rsidR="00505D82">
              <w:rPr>
                <w:lang w:val="fr-FR"/>
              </w:rPr>
              <w:t> :</w:t>
            </w:r>
          </w:p>
        </w:tc>
        <w:tc>
          <w:tcPr>
            <w:tcW w:w="4251" w:type="dxa"/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>Reçue le 8 juillet 2014 (voir CRPD/C/12/3)</w:t>
            </w:r>
            <w:r w:rsidR="003F0B0B">
              <w:rPr>
                <w:lang w:val="fr-FR"/>
              </w:rPr>
              <w:t>.</w:t>
            </w:r>
          </w:p>
        </w:tc>
      </w:tr>
      <w:tr w:rsidR="00EF0A8C" w:rsidRPr="00B85E59" w:rsidTr="006C4E60">
        <w:tc>
          <w:tcPr>
            <w:tcW w:w="3119" w:type="dxa"/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 xml:space="preserve">Commentaires des auteurs </w:t>
            </w:r>
            <w:r w:rsidR="00E176F2">
              <w:rPr>
                <w:lang w:val="fr-FR"/>
              </w:rPr>
              <w:br/>
            </w:r>
            <w:r w:rsidRPr="00B85E59">
              <w:rPr>
                <w:lang w:val="fr-FR"/>
              </w:rPr>
              <w:t>(deuxième série)</w:t>
            </w:r>
            <w:r w:rsidR="00505D82">
              <w:rPr>
                <w:lang w:val="fr-FR"/>
              </w:rPr>
              <w:t> :</w:t>
            </w:r>
          </w:p>
        </w:tc>
        <w:tc>
          <w:tcPr>
            <w:tcW w:w="4251" w:type="dxa"/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>Reçus le 25 août 2015</w:t>
            </w:r>
            <w:r w:rsidR="003F0B0B">
              <w:rPr>
                <w:lang w:val="fr-FR"/>
              </w:rPr>
              <w:t>.</w:t>
            </w:r>
          </w:p>
        </w:tc>
      </w:tr>
      <w:tr w:rsidR="00EF0A8C" w:rsidRPr="003F194D" w:rsidTr="006C4E60">
        <w:tc>
          <w:tcPr>
            <w:tcW w:w="3119" w:type="dxa"/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>Troisième réponse de l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>État partie</w:t>
            </w:r>
            <w:r w:rsidR="00505D82">
              <w:rPr>
                <w:lang w:val="fr-FR"/>
              </w:rPr>
              <w:t> :</w:t>
            </w:r>
          </w:p>
        </w:tc>
        <w:tc>
          <w:tcPr>
            <w:tcW w:w="4251" w:type="dxa"/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>Reçue le 29 juin 2015 (voir CRPD/C/16/3)</w:t>
            </w:r>
            <w:r w:rsidR="003F0B0B">
              <w:rPr>
                <w:lang w:val="fr-FR"/>
              </w:rPr>
              <w:t>.</w:t>
            </w:r>
          </w:p>
        </w:tc>
      </w:tr>
      <w:tr w:rsidR="00EF0A8C" w:rsidRPr="003F194D" w:rsidTr="006C4E60">
        <w:tc>
          <w:tcPr>
            <w:tcW w:w="3119" w:type="dxa"/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>Décision adoptée à la quinzième session</w:t>
            </w:r>
            <w:r w:rsidR="00505D82">
              <w:rPr>
                <w:lang w:val="fr-FR"/>
              </w:rPr>
              <w:t> :</w:t>
            </w:r>
          </w:p>
        </w:tc>
        <w:tc>
          <w:tcPr>
            <w:tcW w:w="4251" w:type="dxa"/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>Poursuivre le dialogue. Lettre de suivi adressée à l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>État partie le 14 juin 2016 (voir CRPD/C/16/3), avec un délai fixé au 9 août 2016 pour les commentaires</w:t>
            </w:r>
            <w:r w:rsidR="003F0B0B">
              <w:rPr>
                <w:lang w:val="fr-FR"/>
              </w:rPr>
              <w:t>.</w:t>
            </w:r>
          </w:p>
        </w:tc>
      </w:tr>
      <w:tr w:rsidR="00EF0A8C" w:rsidRPr="003F194D" w:rsidTr="006C4E60">
        <w:tc>
          <w:tcPr>
            <w:tcW w:w="3119" w:type="dxa"/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>Quatrième réponse de l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>État partie</w:t>
            </w:r>
            <w:r w:rsidR="00505D82">
              <w:rPr>
                <w:lang w:val="fr-FR"/>
              </w:rPr>
              <w:t> :</w:t>
            </w:r>
          </w:p>
        </w:tc>
        <w:tc>
          <w:tcPr>
            <w:tcW w:w="4251" w:type="dxa"/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>Reçue le 12 août 2016 (voir CRPD/C/16/3)</w:t>
            </w:r>
            <w:r w:rsidR="003F0B0B">
              <w:rPr>
                <w:lang w:val="fr-FR"/>
              </w:rPr>
              <w:t>.</w:t>
            </w:r>
          </w:p>
        </w:tc>
      </w:tr>
      <w:tr w:rsidR="00EF0A8C" w:rsidRPr="003F194D" w:rsidTr="006C4E60">
        <w:tc>
          <w:tcPr>
            <w:tcW w:w="3119" w:type="dxa"/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 xml:space="preserve">Commentaires des auteurs </w:t>
            </w:r>
            <w:r w:rsidR="00E176F2">
              <w:rPr>
                <w:lang w:val="fr-FR"/>
              </w:rPr>
              <w:br/>
            </w:r>
            <w:r w:rsidRPr="00B85E59">
              <w:rPr>
                <w:lang w:val="fr-FR"/>
              </w:rPr>
              <w:t>(troisième série)</w:t>
            </w:r>
            <w:r w:rsidR="00505D82">
              <w:rPr>
                <w:lang w:val="fr-FR"/>
              </w:rPr>
              <w:t> :</w:t>
            </w:r>
          </w:p>
        </w:tc>
        <w:tc>
          <w:tcPr>
            <w:tcW w:w="4251" w:type="dxa"/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>Reçus le 17 août 2016 (voir CRPD/C/16/3)</w:t>
            </w:r>
            <w:r w:rsidR="003F0B0B">
              <w:rPr>
                <w:lang w:val="fr-FR"/>
              </w:rPr>
              <w:t>.</w:t>
            </w:r>
          </w:p>
        </w:tc>
      </w:tr>
      <w:tr w:rsidR="00EF0A8C" w:rsidRPr="003F194D" w:rsidTr="006C4E60">
        <w:tc>
          <w:tcPr>
            <w:tcW w:w="3119" w:type="dxa"/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>Mesures prises</w:t>
            </w:r>
            <w:r w:rsidR="00505D82">
              <w:rPr>
                <w:lang w:val="fr-FR"/>
              </w:rPr>
              <w:t> :</w:t>
            </w:r>
          </w:p>
        </w:tc>
        <w:tc>
          <w:tcPr>
            <w:tcW w:w="4251" w:type="dxa"/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>Lettre de suivi adressée à l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>État partie le 18 novembre 2016 (voir CRPD/C/17/3)</w:t>
            </w:r>
            <w:r w:rsidR="003F0B0B">
              <w:rPr>
                <w:lang w:val="fr-FR"/>
              </w:rPr>
              <w:t>.</w:t>
            </w:r>
          </w:p>
        </w:tc>
      </w:tr>
      <w:tr w:rsidR="00EF0A8C" w:rsidRPr="003F194D" w:rsidTr="006C4E60">
        <w:tc>
          <w:tcPr>
            <w:tcW w:w="3119" w:type="dxa"/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>Cinquième réponse de l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>État partie</w:t>
            </w:r>
            <w:r w:rsidR="00505D82">
              <w:rPr>
                <w:lang w:val="fr-FR"/>
              </w:rPr>
              <w:t> :</w:t>
            </w:r>
          </w:p>
        </w:tc>
        <w:tc>
          <w:tcPr>
            <w:tcW w:w="4251" w:type="dxa"/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>Reçue le 17 janvier 2017 (voir CRPD/C/17/3)</w:t>
            </w:r>
            <w:r w:rsidR="003F0B0B">
              <w:rPr>
                <w:lang w:val="fr-FR"/>
              </w:rPr>
              <w:t>.</w:t>
            </w:r>
          </w:p>
        </w:tc>
      </w:tr>
      <w:tr w:rsidR="00EF0A8C" w:rsidRPr="003F194D" w:rsidTr="006C4E60">
        <w:tc>
          <w:tcPr>
            <w:tcW w:w="3119" w:type="dxa"/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>Commentaires des auteurs (quatrième série)</w:t>
            </w:r>
            <w:r w:rsidR="00505D82">
              <w:rPr>
                <w:lang w:val="fr-FR"/>
              </w:rPr>
              <w:t> :</w:t>
            </w:r>
          </w:p>
        </w:tc>
        <w:tc>
          <w:tcPr>
            <w:tcW w:w="4251" w:type="dxa"/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>Reçus le 10 mars 2017 (voir CRPD/C/17/3)</w:t>
            </w:r>
            <w:r w:rsidR="003F0B0B">
              <w:rPr>
                <w:lang w:val="fr-FR"/>
              </w:rPr>
              <w:t>.</w:t>
            </w:r>
          </w:p>
        </w:tc>
      </w:tr>
      <w:tr w:rsidR="00EF0A8C" w:rsidRPr="00B85E59" w:rsidTr="006C4E60">
        <w:tc>
          <w:tcPr>
            <w:tcW w:w="3119" w:type="dxa"/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>Réunion à huis clos entre la Rapporteuse spéciale et l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>État partie</w:t>
            </w:r>
            <w:r w:rsidR="00505D82">
              <w:rPr>
                <w:lang w:val="fr-FR"/>
              </w:rPr>
              <w:t> :</w:t>
            </w:r>
          </w:p>
        </w:tc>
        <w:tc>
          <w:tcPr>
            <w:tcW w:w="4251" w:type="dxa"/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>6 avril 2017</w:t>
            </w:r>
            <w:r w:rsidR="003F0B0B">
              <w:rPr>
                <w:lang w:val="fr-FR"/>
              </w:rPr>
              <w:t>.</w:t>
            </w:r>
          </w:p>
        </w:tc>
      </w:tr>
      <w:tr w:rsidR="00EF0A8C" w:rsidRPr="003F194D" w:rsidTr="006C4E60">
        <w:tc>
          <w:tcPr>
            <w:tcW w:w="3119" w:type="dxa"/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>Décision adoptée à la dix-septième session</w:t>
            </w:r>
            <w:r w:rsidR="00505D82">
              <w:rPr>
                <w:lang w:val="fr-FR"/>
              </w:rPr>
              <w:t> :</w:t>
            </w:r>
          </w:p>
        </w:tc>
        <w:tc>
          <w:tcPr>
            <w:tcW w:w="4251" w:type="dxa"/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 xml:space="preserve">Évaluation </w:t>
            </w:r>
            <w:r>
              <w:rPr>
                <w:lang w:val="fr-FR"/>
              </w:rPr>
              <w:t>« </w:t>
            </w:r>
            <w:r w:rsidRPr="00B85E59">
              <w:rPr>
                <w:lang w:val="fr-FR"/>
              </w:rPr>
              <w:t>D</w:t>
            </w:r>
            <w:r>
              <w:rPr>
                <w:lang w:val="fr-FR"/>
              </w:rPr>
              <w:t> »</w:t>
            </w:r>
            <w:r w:rsidR="00505D82">
              <w:rPr>
                <w:lang w:val="fr-FR"/>
              </w:rPr>
              <w:t> :</w:t>
            </w:r>
            <w:r w:rsidRPr="00B85E59">
              <w:rPr>
                <w:lang w:val="fr-FR"/>
              </w:rPr>
              <w:t xml:space="preserve"> Poursuivre le dialogue au titre du suivi. Lettre de suivi de la Rapporteuse spéciale envoyée le 23 novembre 2017, avec un délai fixé au 23 janvier 2018 pour la réponse</w:t>
            </w:r>
            <w:r w:rsidR="003F0B0B">
              <w:rPr>
                <w:lang w:val="fr-FR"/>
              </w:rPr>
              <w:t>.</w:t>
            </w:r>
          </w:p>
        </w:tc>
      </w:tr>
      <w:tr w:rsidR="00EF0A8C" w:rsidRPr="003F194D" w:rsidTr="006C4E60">
        <w:tc>
          <w:tcPr>
            <w:tcW w:w="3119" w:type="dxa"/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>Sixième réponse de l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>État partie</w:t>
            </w:r>
            <w:r w:rsidR="00505D82">
              <w:rPr>
                <w:lang w:val="fr-FR"/>
              </w:rPr>
              <w:t> :</w:t>
            </w:r>
          </w:p>
        </w:tc>
        <w:tc>
          <w:tcPr>
            <w:tcW w:w="4251" w:type="dxa"/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>Reçue le 10 juillet 2018 (voir CRPD/C/21/3)</w:t>
            </w:r>
            <w:r w:rsidR="003F0B0B">
              <w:rPr>
                <w:lang w:val="fr-FR"/>
              </w:rPr>
              <w:t>.</w:t>
            </w:r>
          </w:p>
        </w:tc>
      </w:tr>
      <w:tr w:rsidR="00EF0A8C" w:rsidRPr="00B85E59" w:rsidTr="003C2A2A">
        <w:tc>
          <w:tcPr>
            <w:tcW w:w="3119" w:type="dxa"/>
            <w:tcBorders>
              <w:bottom w:val="nil"/>
            </w:tcBorders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>Commentaires des auteurs (cinquième série)</w:t>
            </w:r>
            <w:r w:rsidR="00505D82">
              <w:rPr>
                <w:lang w:val="fr-FR"/>
              </w:rPr>
              <w:t> :</w:t>
            </w:r>
          </w:p>
        </w:tc>
        <w:tc>
          <w:tcPr>
            <w:tcW w:w="4251" w:type="dxa"/>
            <w:tcBorders>
              <w:bottom w:val="nil"/>
            </w:tcBorders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>Reçus le 18 juin 2019</w:t>
            </w:r>
            <w:r w:rsidR="003F0B0B">
              <w:rPr>
                <w:lang w:val="fr-FR"/>
              </w:rPr>
              <w:t>.</w:t>
            </w:r>
          </w:p>
        </w:tc>
      </w:tr>
      <w:tr w:rsidR="00EF0A8C" w:rsidRPr="003F194D" w:rsidTr="003C2A2A">
        <w:tc>
          <w:tcPr>
            <w:tcW w:w="7370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>Les auteurs ont confirmé que les montants des indemnisations avaient été transférés sur leurs comptes bancaires. Cependant, les quatre auteurs qui jouissaient d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>une capacité juridique restreinte en ce qui concernait l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>administration de biens n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>ont pas eu accès à ces sommes, toute mesure en la matière devant être prise par leurs tuteurs respectifs ou les autorités de tutelle, en contravention des dispositions du paragraphe 2 de l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>article 12 de la Convention en vertu duquel les États parties ont reconnu que les personnes handicapées jouissaient de la capacité juridique dans tous les domaines, sur la base de l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>égalité avec les autres. Les auteurs ont fait observer que d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>après le Code civil, les décisions d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>un tuteur concernant l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 xml:space="preserve">administration de biens </w:t>
            </w:r>
            <w:r>
              <w:rPr>
                <w:lang w:val="fr-FR"/>
              </w:rPr>
              <w:t>devaient</w:t>
            </w:r>
            <w:r w:rsidRPr="00B85E59">
              <w:rPr>
                <w:lang w:val="fr-FR"/>
              </w:rPr>
              <w:t xml:space="preserve"> servir l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 xml:space="preserve">intérêt de la personne placée sous tutelle, et que le tuteur </w:t>
            </w:r>
            <w:r>
              <w:rPr>
                <w:lang w:val="fr-FR"/>
              </w:rPr>
              <w:t>devait</w:t>
            </w:r>
            <w:r w:rsidRPr="00B85E59">
              <w:rPr>
                <w:lang w:val="fr-FR"/>
              </w:rPr>
              <w:t xml:space="preserve"> tenir compte de l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 xml:space="preserve">avis de cette personne, mais </w:t>
            </w:r>
            <w:r>
              <w:rPr>
                <w:lang w:val="fr-FR"/>
              </w:rPr>
              <w:t>n’était</w:t>
            </w:r>
            <w:r w:rsidRPr="00B85E59">
              <w:rPr>
                <w:lang w:val="fr-FR"/>
              </w:rPr>
              <w:t xml:space="preserve"> pas tenu par celui-ci.</w:t>
            </w:r>
          </w:p>
        </w:tc>
      </w:tr>
      <w:tr w:rsidR="00EF0A8C" w:rsidRPr="003F194D" w:rsidTr="003C2A2A">
        <w:tc>
          <w:tcPr>
            <w:tcW w:w="7370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EF0A8C" w:rsidRPr="00B85E59" w:rsidRDefault="00EF0A8C" w:rsidP="003C2A2A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b/>
                <w:bCs/>
                <w:lang w:val="fr-FR"/>
              </w:rPr>
              <w:lastRenderedPageBreak/>
              <w:t>Mesures prises</w:t>
            </w:r>
          </w:p>
        </w:tc>
      </w:tr>
      <w:tr w:rsidR="003C2A2A" w:rsidRPr="003F194D" w:rsidTr="003C2A2A">
        <w:tc>
          <w:tcPr>
            <w:tcW w:w="73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C2A2A" w:rsidRPr="00B85E59" w:rsidRDefault="003C2A2A" w:rsidP="006C4E60">
            <w:pPr>
              <w:suppressAutoHyphens w:val="0"/>
              <w:spacing w:before="40" w:after="120"/>
              <w:ind w:right="113"/>
              <w:rPr>
                <w:b/>
                <w:bCs/>
                <w:lang w:val="fr-FR"/>
              </w:rPr>
            </w:pPr>
            <w:r w:rsidRPr="00B85E59">
              <w:rPr>
                <w:lang w:val="fr-FR"/>
              </w:rPr>
              <w:t>Les commentaires des auteurs ont été transmis à l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>État partie, avec un délai fixé au 20 août 2019 pour la réponse.</w:t>
            </w:r>
          </w:p>
        </w:tc>
      </w:tr>
      <w:tr w:rsidR="003C2A2A" w:rsidRPr="003F194D" w:rsidTr="006C4E60">
        <w:tc>
          <w:tcPr>
            <w:tcW w:w="7370" w:type="dxa"/>
            <w:gridSpan w:val="2"/>
            <w:tcBorders>
              <w:bottom w:val="nil"/>
            </w:tcBorders>
            <w:shd w:val="clear" w:color="auto" w:fill="auto"/>
          </w:tcPr>
          <w:p w:rsidR="003C2A2A" w:rsidRPr="00B85E59" w:rsidRDefault="003C2A2A" w:rsidP="003C2A2A">
            <w:pPr>
              <w:pStyle w:val="SingleTxtG"/>
              <w:spacing w:before="40"/>
              <w:ind w:left="0" w:right="113"/>
              <w:jc w:val="left"/>
              <w:rPr>
                <w:b/>
                <w:bCs/>
                <w:lang w:val="fr-FR"/>
              </w:rPr>
            </w:pPr>
            <w:r w:rsidRPr="00B85E59">
              <w:rPr>
                <w:b/>
                <w:bCs/>
                <w:lang w:val="fr-FR"/>
              </w:rPr>
              <w:t>Décision</w:t>
            </w:r>
          </w:p>
        </w:tc>
      </w:tr>
      <w:tr w:rsidR="00EF0A8C" w:rsidRPr="003F194D" w:rsidTr="006C4E60">
        <w:tc>
          <w:tcPr>
            <w:tcW w:w="7370" w:type="dxa"/>
            <w:gridSpan w:val="2"/>
            <w:tcBorders>
              <w:bottom w:val="nil"/>
            </w:tcBorders>
            <w:shd w:val="clear" w:color="auto" w:fill="auto"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b/>
                <w:lang w:val="fr-FR"/>
              </w:rPr>
            </w:pPr>
            <w:r w:rsidRPr="00B85E59">
              <w:rPr>
                <w:lang w:val="fr-FR"/>
              </w:rPr>
              <w:t xml:space="preserve">Le 20 septembre 2019, la Rapporteuse spéciale a rencontré une représentante de la </w:t>
            </w:r>
            <w:r>
              <w:rPr>
                <w:lang w:val="fr-FR"/>
              </w:rPr>
              <w:t>M</w:t>
            </w:r>
            <w:r w:rsidRPr="00B85E59">
              <w:rPr>
                <w:lang w:val="fr-FR"/>
              </w:rPr>
              <w:t>ission permanente de l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>État partie pour s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>entretenir avec elle des moyens envisageables pour faire en sorte que les auteurs aient effectivement accès aux indemnisations qu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>ils avaient reçues et garantir le respect de l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 xml:space="preserve">article 12 de la Convention. Lors de cette rencontre, la Rapporteuse </w:t>
            </w:r>
            <w:r w:rsidR="00126D86">
              <w:rPr>
                <w:lang w:val="fr-FR"/>
              </w:rPr>
              <w:t xml:space="preserve">spéciale </w:t>
            </w:r>
            <w:r w:rsidRPr="00B85E59">
              <w:rPr>
                <w:lang w:val="fr-FR"/>
              </w:rPr>
              <w:t xml:space="preserve">a fait le point </w:t>
            </w:r>
            <w:r>
              <w:rPr>
                <w:lang w:val="fr-FR"/>
              </w:rPr>
              <w:t>sur</w:t>
            </w:r>
            <w:r w:rsidRPr="00B85E59">
              <w:rPr>
                <w:lang w:val="fr-FR"/>
              </w:rPr>
              <w:t xml:space="preserve"> la suite donnée aux constatations du Comité et </w:t>
            </w:r>
            <w:r>
              <w:rPr>
                <w:lang w:val="fr-FR"/>
              </w:rPr>
              <w:t xml:space="preserve">a </w:t>
            </w:r>
            <w:r w:rsidRPr="00B85E59">
              <w:rPr>
                <w:lang w:val="fr-FR"/>
              </w:rPr>
              <w:t>fait part des préoccupations de celui-ci quant au fait que les auteurs n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 xml:space="preserve">avaient pas eu accès aux indemnisations qui avaient été transférées sur leurs comptes bancaires respectifs. Elle a également rappelé </w:t>
            </w:r>
            <w:r>
              <w:rPr>
                <w:lang w:val="fr-FR"/>
              </w:rPr>
              <w:t>qu’il était important</w:t>
            </w:r>
            <w:r w:rsidRPr="00B85E59">
              <w:rPr>
                <w:lang w:val="fr-FR"/>
              </w:rPr>
              <w:t xml:space="preserve"> que les États parties revoient leur conception du régime de tutelle. À cet égard, elle a souligné qu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 xml:space="preserve">il </w:t>
            </w:r>
            <w:r>
              <w:rPr>
                <w:lang w:val="fr-FR"/>
              </w:rPr>
              <w:t>importait</w:t>
            </w:r>
            <w:r w:rsidRPr="00B85E59">
              <w:rPr>
                <w:lang w:val="fr-FR"/>
              </w:rPr>
              <w:t xml:space="preserve"> </w:t>
            </w:r>
            <w:r>
              <w:rPr>
                <w:lang w:val="fr-FR"/>
              </w:rPr>
              <w:t>d’envisager</w:t>
            </w:r>
            <w:r w:rsidRPr="00B85E59">
              <w:rPr>
                <w:lang w:val="fr-FR"/>
              </w:rPr>
              <w:t xml:space="preserve"> l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 xml:space="preserve">aide dont les personnes présentant un handicap psychosocial avaient besoin en matière de prise de décisions comme un accompagnement et non comme une </w:t>
            </w:r>
            <w:r>
              <w:rPr>
                <w:lang w:val="fr-FR"/>
              </w:rPr>
              <w:t>solution venant se substituer</w:t>
            </w:r>
            <w:r w:rsidRPr="00B85E59">
              <w:rPr>
                <w:lang w:val="fr-FR"/>
              </w:rPr>
              <w:t xml:space="preserve"> à leur capacité de décider. Enfin, elle a rappelé que des informations étaient attendues depuis août 2019 au titre du suivi. La </w:t>
            </w:r>
            <w:r>
              <w:rPr>
                <w:lang w:val="fr-FR"/>
              </w:rPr>
              <w:t>R</w:t>
            </w:r>
            <w:r w:rsidRPr="00B85E59">
              <w:rPr>
                <w:lang w:val="fr-FR"/>
              </w:rPr>
              <w:t>eprésentante de l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>État partie a indiqué qu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>elle ferait part des préoccupations exprimées aux autorités de son pays.</w:t>
            </w:r>
          </w:p>
        </w:tc>
      </w:tr>
      <w:tr w:rsidR="00EF0A8C" w:rsidRPr="003F194D" w:rsidTr="006C4E60">
        <w:tc>
          <w:tcPr>
            <w:tcW w:w="73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F0A8C" w:rsidRPr="00B85E59" w:rsidRDefault="00EF0A8C" w:rsidP="006C4E60">
            <w:pPr>
              <w:pStyle w:val="SingleTxtG"/>
              <w:spacing w:before="40"/>
              <w:ind w:left="0" w:right="113"/>
              <w:jc w:val="left"/>
              <w:rPr>
                <w:lang w:val="fr-FR"/>
              </w:rPr>
            </w:pPr>
            <w:r w:rsidRPr="00B85E59">
              <w:rPr>
                <w:lang w:val="fr-FR"/>
              </w:rPr>
              <w:t>Poursuivre le dialogue au titre du suivi. Un rappel formel sera envoyé à l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>État partie au sujet des informations attendues depuis le 20 août 2019 au titre du suivi.</w:t>
            </w:r>
          </w:p>
        </w:tc>
      </w:tr>
    </w:tbl>
    <w:p w:rsidR="00EF0A8C" w:rsidRPr="00B85E59" w:rsidRDefault="00EF0A8C" w:rsidP="00EF0A8C">
      <w:pPr>
        <w:rPr>
          <w:lang w:val="fr-FR"/>
        </w:rPr>
      </w:pP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251"/>
      </w:tblGrid>
      <w:tr w:rsidR="00EF0A8C" w:rsidRPr="003F194D" w:rsidTr="006C4E60">
        <w:trPr>
          <w:tblHeader/>
        </w:trPr>
        <w:tc>
          <w:tcPr>
            <w:tcW w:w="737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EF0A8C" w:rsidRPr="00B85E59" w:rsidRDefault="00EF0A8C" w:rsidP="006C4E60">
            <w:pPr>
              <w:suppressAutoHyphens w:val="0"/>
              <w:spacing w:before="80" w:after="80"/>
              <w:ind w:right="113"/>
              <w:rPr>
                <w:i/>
                <w:sz w:val="16"/>
                <w:lang w:val="fr-FR"/>
              </w:rPr>
            </w:pPr>
            <w:r w:rsidRPr="00B85E59">
              <w:rPr>
                <w:lang w:val="fr-FR"/>
              </w:rPr>
              <w:t>2.</w:t>
            </w:r>
            <w:r w:rsidRPr="00B85E59">
              <w:rPr>
                <w:lang w:val="fr-FR"/>
              </w:rPr>
              <w:tab/>
            </w:r>
            <w:r w:rsidRPr="00B85E59">
              <w:rPr>
                <w:i/>
                <w:iCs/>
                <w:lang w:val="fr-FR"/>
              </w:rPr>
              <w:t>F. c. Autriche</w:t>
            </w:r>
            <w:r w:rsidRPr="00B85E59">
              <w:rPr>
                <w:lang w:val="fr-FR"/>
              </w:rPr>
              <w:t xml:space="preserve"> (CRPD/C/14/D/21/2014)</w:t>
            </w:r>
          </w:p>
        </w:tc>
      </w:tr>
      <w:tr w:rsidR="00EF0A8C" w:rsidRPr="003F194D" w:rsidTr="006C4E60">
        <w:trPr>
          <w:trHeight w:hRule="exact" w:val="113"/>
          <w:tblHeader/>
        </w:trPr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4251" w:type="dxa"/>
            <w:tcBorders>
              <w:top w:val="single" w:sz="12" w:space="0" w:color="auto"/>
            </w:tcBorders>
            <w:shd w:val="clear" w:color="auto" w:fill="auto"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</w:p>
        </w:tc>
      </w:tr>
      <w:tr w:rsidR="00EF0A8C" w:rsidRPr="00B85E59" w:rsidTr="006C4E60">
        <w:tc>
          <w:tcPr>
            <w:tcW w:w="3119" w:type="dxa"/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>Adoption des constatations</w:t>
            </w:r>
            <w:r w:rsidR="00505D82">
              <w:rPr>
                <w:lang w:val="fr-FR"/>
              </w:rPr>
              <w:t> :</w:t>
            </w:r>
          </w:p>
        </w:tc>
        <w:tc>
          <w:tcPr>
            <w:tcW w:w="4251" w:type="dxa"/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>21 août 2015</w:t>
            </w:r>
          </w:p>
        </w:tc>
      </w:tr>
      <w:tr w:rsidR="00EF0A8C" w:rsidRPr="003F194D" w:rsidTr="006C4E60">
        <w:tc>
          <w:tcPr>
            <w:tcW w:w="3119" w:type="dxa"/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>Première réponse de l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>État partie</w:t>
            </w:r>
            <w:r w:rsidR="00505D82">
              <w:rPr>
                <w:lang w:val="fr-FR"/>
              </w:rPr>
              <w:t> :</w:t>
            </w:r>
          </w:p>
        </w:tc>
        <w:tc>
          <w:tcPr>
            <w:tcW w:w="4251" w:type="dxa"/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>Attendue le 9 mars 2016. Reçue le 24 février 2016 (voir CRPD/C/16/3).</w:t>
            </w:r>
          </w:p>
        </w:tc>
      </w:tr>
      <w:tr w:rsidR="00EF0A8C" w:rsidRPr="003F194D" w:rsidTr="006C4E60">
        <w:tc>
          <w:tcPr>
            <w:tcW w:w="3119" w:type="dxa"/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>Commentaires de l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 xml:space="preserve">auteur </w:t>
            </w:r>
            <w:r w:rsidR="003C2A2A">
              <w:rPr>
                <w:lang w:val="fr-FR"/>
              </w:rPr>
              <w:br/>
            </w:r>
            <w:r w:rsidRPr="00B85E59">
              <w:rPr>
                <w:lang w:val="fr-FR"/>
              </w:rPr>
              <w:t>(première série)</w:t>
            </w:r>
            <w:r w:rsidR="00505D82">
              <w:rPr>
                <w:lang w:val="fr-FR"/>
              </w:rPr>
              <w:t> :</w:t>
            </w:r>
          </w:p>
        </w:tc>
        <w:tc>
          <w:tcPr>
            <w:tcW w:w="4251" w:type="dxa"/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>Reçus le 22 juin 2016 (voir CRPD/C/16/3).</w:t>
            </w:r>
          </w:p>
        </w:tc>
      </w:tr>
      <w:tr w:rsidR="00EF0A8C" w:rsidRPr="003F194D" w:rsidTr="006C4E60">
        <w:tc>
          <w:tcPr>
            <w:tcW w:w="3119" w:type="dxa"/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>Mesures prises</w:t>
            </w:r>
            <w:r w:rsidR="00505D82">
              <w:rPr>
                <w:lang w:val="fr-FR"/>
              </w:rPr>
              <w:t> :</w:t>
            </w:r>
          </w:p>
        </w:tc>
        <w:tc>
          <w:tcPr>
            <w:tcW w:w="4251" w:type="dxa"/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>Lettre de suivi adressée par la Rapporteuse spéciale à l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>État partie le 5 décembre 2016 (voir CRPD/C/17/3).</w:t>
            </w:r>
          </w:p>
        </w:tc>
      </w:tr>
      <w:tr w:rsidR="00EF0A8C" w:rsidRPr="003F194D" w:rsidTr="006C4E60">
        <w:tc>
          <w:tcPr>
            <w:tcW w:w="3119" w:type="dxa"/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>Deuxième réponse de l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>État partie</w:t>
            </w:r>
            <w:r w:rsidR="00505D82">
              <w:rPr>
                <w:lang w:val="fr-FR"/>
              </w:rPr>
              <w:t> :</w:t>
            </w:r>
          </w:p>
        </w:tc>
        <w:tc>
          <w:tcPr>
            <w:tcW w:w="4251" w:type="dxa"/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>Reçue le 24 janvier 2017 (voir CRPD/C/17/3).</w:t>
            </w:r>
          </w:p>
        </w:tc>
      </w:tr>
      <w:tr w:rsidR="00EF0A8C" w:rsidRPr="003F194D" w:rsidTr="006C4E60">
        <w:tc>
          <w:tcPr>
            <w:tcW w:w="3119" w:type="dxa"/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>Mesures prises</w:t>
            </w:r>
            <w:r w:rsidR="00505D82">
              <w:rPr>
                <w:lang w:val="fr-FR"/>
              </w:rPr>
              <w:t> :</w:t>
            </w:r>
          </w:p>
        </w:tc>
        <w:tc>
          <w:tcPr>
            <w:tcW w:w="4251" w:type="dxa"/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>Les observations formulées par l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>État partie dans le cadre du suivi ont été transmises à l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>auteur, pour commentaires, avec un délai fixé au 13 avril 2017.</w:t>
            </w:r>
          </w:p>
        </w:tc>
      </w:tr>
      <w:tr w:rsidR="00EF0A8C" w:rsidRPr="003F194D" w:rsidTr="006C4E60">
        <w:tc>
          <w:tcPr>
            <w:tcW w:w="3119" w:type="dxa"/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>Commentaires de l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 xml:space="preserve">auteur </w:t>
            </w:r>
            <w:r w:rsidR="00126D86">
              <w:rPr>
                <w:lang w:val="fr-FR"/>
              </w:rPr>
              <w:br/>
            </w:r>
            <w:r w:rsidRPr="00B85E59">
              <w:rPr>
                <w:lang w:val="fr-FR"/>
              </w:rPr>
              <w:t>(deuxième série)</w:t>
            </w:r>
            <w:r w:rsidR="00505D82">
              <w:rPr>
                <w:lang w:val="fr-FR"/>
              </w:rPr>
              <w:t> :</w:t>
            </w:r>
          </w:p>
        </w:tc>
        <w:tc>
          <w:tcPr>
            <w:tcW w:w="4251" w:type="dxa"/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>Reçus le 27 janvier 2017 (voir CRPD/C/17/3).</w:t>
            </w:r>
          </w:p>
        </w:tc>
      </w:tr>
      <w:tr w:rsidR="00EF0A8C" w:rsidRPr="003F194D" w:rsidTr="006C4E60">
        <w:tc>
          <w:tcPr>
            <w:tcW w:w="3119" w:type="dxa"/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>Décision adoptée à la dix-septième session</w:t>
            </w:r>
            <w:r w:rsidR="00505D82">
              <w:rPr>
                <w:lang w:val="fr-FR"/>
              </w:rPr>
              <w:t> :</w:t>
            </w:r>
          </w:p>
        </w:tc>
        <w:tc>
          <w:tcPr>
            <w:tcW w:w="4251" w:type="dxa"/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 xml:space="preserve">Évaluation </w:t>
            </w:r>
            <w:r>
              <w:rPr>
                <w:lang w:val="fr-FR"/>
              </w:rPr>
              <w:t>« </w:t>
            </w:r>
            <w:r w:rsidRPr="00B85E59">
              <w:rPr>
                <w:lang w:val="fr-FR"/>
              </w:rPr>
              <w:t>B</w:t>
            </w:r>
            <w:r>
              <w:rPr>
                <w:lang w:val="fr-FR"/>
              </w:rPr>
              <w:t> »</w:t>
            </w:r>
            <w:r w:rsidR="00505D82">
              <w:rPr>
                <w:lang w:val="fr-FR"/>
              </w:rPr>
              <w:t> :</w:t>
            </w:r>
            <w:r w:rsidRPr="00B85E59">
              <w:rPr>
                <w:lang w:val="fr-FR"/>
              </w:rPr>
              <w:t xml:space="preserve"> Poursuivre le dialogue au titre du suivi. Lettre de suivi de la Rapporteuse spéciale envoyée le 21 novembre 2017, avec un délai fixé au 23 janvier 2018 pour la réponse.</w:t>
            </w:r>
          </w:p>
        </w:tc>
      </w:tr>
      <w:tr w:rsidR="00EF0A8C" w:rsidRPr="003F194D" w:rsidTr="006C4E60">
        <w:tc>
          <w:tcPr>
            <w:tcW w:w="3119" w:type="dxa"/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>Troisième réponse de l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>État partie</w:t>
            </w:r>
            <w:r w:rsidR="00505D82">
              <w:rPr>
                <w:lang w:val="fr-FR"/>
              </w:rPr>
              <w:t> :</w:t>
            </w:r>
          </w:p>
        </w:tc>
        <w:tc>
          <w:tcPr>
            <w:tcW w:w="4251" w:type="dxa"/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>Reçue le 20 janvier 2018 (voir CRPD/C/21/3).</w:t>
            </w:r>
          </w:p>
        </w:tc>
      </w:tr>
      <w:tr w:rsidR="00EF0A8C" w:rsidRPr="00B85E59" w:rsidTr="003C2A2A">
        <w:tc>
          <w:tcPr>
            <w:tcW w:w="3119" w:type="dxa"/>
            <w:tcBorders>
              <w:bottom w:val="nil"/>
            </w:tcBorders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>Commentaires de l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 xml:space="preserve">auteur </w:t>
            </w:r>
            <w:r w:rsidR="00126D86">
              <w:rPr>
                <w:lang w:val="fr-FR"/>
              </w:rPr>
              <w:br/>
            </w:r>
            <w:bookmarkStart w:id="0" w:name="_GoBack"/>
            <w:bookmarkEnd w:id="0"/>
            <w:r w:rsidRPr="00B85E59">
              <w:rPr>
                <w:lang w:val="fr-FR"/>
              </w:rPr>
              <w:t>(troisième série)</w:t>
            </w:r>
            <w:r w:rsidR="00505D82">
              <w:rPr>
                <w:lang w:val="fr-FR"/>
              </w:rPr>
              <w:t> :</w:t>
            </w:r>
          </w:p>
        </w:tc>
        <w:tc>
          <w:tcPr>
            <w:tcW w:w="4251" w:type="dxa"/>
            <w:tcBorders>
              <w:bottom w:val="nil"/>
            </w:tcBorders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>Reçus le 19 juin 2019.</w:t>
            </w:r>
          </w:p>
        </w:tc>
      </w:tr>
      <w:tr w:rsidR="00EF0A8C" w:rsidRPr="003F194D" w:rsidTr="003C2A2A">
        <w:tc>
          <w:tcPr>
            <w:tcW w:w="7370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>L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>auteur a confirmé que le décret sur les tramways avait été pris et a demandé qu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>il soit mis fin à la procédure de suivi.</w:t>
            </w:r>
          </w:p>
        </w:tc>
      </w:tr>
      <w:tr w:rsidR="00B47007" w:rsidRPr="003F194D" w:rsidTr="003C2A2A">
        <w:tc>
          <w:tcPr>
            <w:tcW w:w="7370" w:type="dxa"/>
            <w:gridSpan w:val="2"/>
            <w:tcBorders>
              <w:top w:val="nil"/>
            </w:tcBorders>
            <w:shd w:val="clear" w:color="auto" w:fill="auto"/>
          </w:tcPr>
          <w:p w:rsidR="00B47007" w:rsidRPr="00B85E59" w:rsidRDefault="00B47007" w:rsidP="00B47007">
            <w:pPr>
              <w:suppressAutoHyphens w:val="0"/>
              <w:spacing w:before="40" w:after="120"/>
              <w:ind w:right="113"/>
              <w:rPr>
                <w:b/>
                <w:bCs/>
                <w:lang w:val="fr-FR"/>
              </w:rPr>
            </w:pPr>
            <w:r w:rsidRPr="00B85E59">
              <w:rPr>
                <w:b/>
                <w:bCs/>
                <w:lang w:val="fr-FR"/>
              </w:rPr>
              <w:lastRenderedPageBreak/>
              <w:t>Décision</w:t>
            </w:r>
          </w:p>
        </w:tc>
      </w:tr>
      <w:tr w:rsidR="00EF0A8C" w:rsidRPr="003F194D" w:rsidTr="003C2A2A">
        <w:tc>
          <w:tcPr>
            <w:tcW w:w="7370" w:type="dxa"/>
            <w:gridSpan w:val="2"/>
            <w:tcBorders>
              <w:top w:val="nil"/>
            </w:tcBorders>
            <w:shd w:val="clear" w:color="auto" w:fill="auto"/>
            <w:hideMark/>
          </w:tcPr>
          <w:p w:rsidR="00EF0A8C" w:rsidRPr="00B85E59" w:rsidRDefault="00EF0A8C" w:rsidP="006C4E60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  <w:r w:rsidRPr="00B85E59">
              <w:rPr>
                <w:lang w:val="fr-FR"/>
              </w:rPr>
              <w:t xml:space="preserve">Le Comité regrette que les recommandations </w:t>
            </w:r>
            <w:r>
              <w:rPr>
                <w:lang w:val="fr-FR"/>
              </w:rPr>
              <w:t>portant sur des points précis</w:t>
            </w:r>
            <w:r w:rsidRPr="00B85E59">
              <w:rPr>
                <w:lang w:val="fr-FR"/>
              </w:rPr>
              <w:t xml:space="preserve"> n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>aient pas été mises en œuvre, s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>agissant en particulier d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>indemniser l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>auteur. Parallèlement, le Comité prend note avec satisfaction de la modification apportée au décret sur les tramways, notamment de l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>adoption d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 xml:space="preserve">une disposition visant à </w:t>
            </w:r>
            <w:r>
              <w:rPr>
                <w:lang w:val="fr-FR"/>
              </w:rPr>
              <w:t xml:space="preserve">en </w:t>
            </w:r>
            <w:r w:rsidRPr="00B85E59">
              <w:rPr>
                <w:lang w:val="fr-FR"/>
              </w:rPr>
              <w:t xml:space="preserve">garantir </w:t>
            </w:r>
            <w:r>
              <w:rPr>
                <w:lang w:val="fr-FR"/>
              </w:rPr>
              <w:t>l’</w:t>
            </w:r>
            <w:r w:rsidRPr="00B85E59">
              <w:rPr>
                <w:lang w:val="fr-FR"/>
              </w:rPr>
              <w:t>accès sans entrave. Au vu de ce qui précède et compte tenu de la demande de l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>auteur tendant à ce qu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 xml:space="preserve">il soit mis fin à la procédure de suivi, le Comité décide de mettre fin à ladite procédure, avec une évaluation </w:t>
            </w:r>
            <w:r>
              <w:rPr>
                <w:lang w:val="fr-FR"/>
              </w:rPr>
              <w:t>« </w:t>
            </w:r>
            <w:r w:rsidRPr="00B85E59">
              <w:rPr>
                <w:lang w:val="fr-FR"/>
              </w:rPr>
              <w:t>C</w:t>
            </w:r>
            <w:r>
              <w:rPr>
                <w:lang w:val="fr-FR"/>
              </w:rPr>
              <w:t> »</w:t>
            </w:r>
            <w:r w:rsidRPr="00B85E59">
              <w:rPr>
                <w:lang w:val="fr-FR"/>
              </w:rPr>
              <w:t xml:space="preserve"> s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 xml:space="preserve">agissant de la réparation </w:t>
            </w:r>
            <w:r>
              <w:rPr>
                <w:lang w:val="fr-FR"/>
              </w:rPr>
              <w:t>à titre personnel</w:t>
            </w:r>
            <w:r w:rsidRPr="00B85E59">
              <w:rPr>
                <w:lang w:val="fr-FR"/>
              </w:rPr>
              <w:t xml:space="preserve"> et une évaluation </w:t>
            </w:r>
            <w:r>
              <w:rPr>
                <w:lang w:val="fr-FR"/>
              </w:rPr>
              <w:t>« </w:t>
            </w:r>
            <w:r w:rsidRPr="00B85E59">
              <w:rPr>
                <w:lang w:val="fr-FR"/>
              </w:rPr>
              <w:t>A</w:t>
            </w:r>
            <w:r>
              <w:rPr>
                <w:lang w:val="fr-FR"/>
              </w:rPr>
              <w:t> »</w:t>
            </w:r>
            <w:r w:rsidRPr="00B85E59">
              <w:rPr>
                <w:lang w:val="fr-FR"/>
              </w:rPr>
              <w:t xml:space="preserve"> s</w:t>
            </w:r>
            <w:r>
              <w:rPr>
                <w:lang w:val="fr-FR"/>
              </w:rPr>
              <w:t>’</w:t>
            </w:r>
            <w:r w:rsidRPr="00B85E59">
              <w:rPr>
                <w:lang w:val="fr-FR"/>
              </w:rPr>
              <w:t>agissant de la réparation générale.</w:t>
            </w:r>
          </w:p>
        </w:tc>
      </w:tr>
    </w:tbl>
    <w:p w:rsidR="00EB5942" w:rsidRPr="00EF0A8C" w:rsidRDefault="00EF0A8C" w:rsidP="00EF0A8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B5942" w:rsidRPr="00EF0A8C" w:rsidSect="0002044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F67" w:rsidRDefault="00E35F67" w:rsidP="00F95C08">
      <w:pPr>
        <w:spacing w:line="240" w:lineRule="auto"/>
      </w:pPr>
    </w:p>
  </w:endnote>
  <w:endnote w:type="continuationSeparator" w:id="0">
    <w:p w:rsidR="00E35F67" w:rsidRPr="00AC3823" w:rsidRDefault="00E35F67" w:rsidP="00AC3823">
      <w:pPr>
        <w:pStyle w:val="Pieddepage"/>
      </w:pPr>
    </w:p>
  </w:endnote>
  <w:endnote w:type="continuationNotice" w:id="1">
    <w:p w:rsidR="00E35F67" w:rsidRDefault="00E35F6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449" w:rsidRPr="00020449" w:rsidRDefault="00020449" w:rsidP="00020449">
    <w:pPr>
      <w:pStyle w:val="Pieddepage"/>
      <w:tabs>
        <w:tab w:val="right" w:pos="9638"/>
      </w:tabs>
    </w:pPr>
    <w:r w:rsidRPr="00020449">
      <w:rPr>
        <w:b/>
        <w:sz w:val="18"/>
      </w:rPr>
      <w:fldChar w:fldCharType="begin"/>
    </w:r>
    <w:r w:rsidRPr="00020449">
      <w:rPr>
        <w:b/>
        <w:sz w:val="18"/>
      </w:rPr>
      <w:instrText xml:space="preserve"> PAGE  \* MERGEFORMAT </w:instrText>
    </w:r>
    <w:r w:rsidRPr="00020449">
      <w:rPr>
        <w:b/>
        <w:sz w:val="18"/>
      </w:rPr>
      <w:fldChar w:fldCharType="separate"/>
    </w:r>
    <w:r w:rsidRPr="00020449">
      <w:rPr>
        <w:b/>
        <w:noProof/>
        <w:sz w:val="18"/>
      </w:rPr>
      <w:t>2</w:t>
    </w:r>
    <w:r w:rsidRPr="00020449">
      <w:rPr>
        <w:b/>
        <w:sz w:val="18"/>
      </w:rPr>
      <w:fldChar w:fldCharType="end"/>
    </w:r>
    <w:r>
      <w:rPr>
        <w:b/>
        <w:sz w:val="18"/>
      </w:rPr>
      <w:tab/>
    </w:r>
    <w:r>
      <w:t>GE.19-19344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449" w:rsidRPr="00020449" w:rsidRDefault="00020449" w:rsidP="00020449">
    <w:pPr>
      <w:pStyle w:val="Pieddepage"/>
      <w:tabs>
        <w:tab w:val="right" w:pos="9638"/>
      </w:tabs>
      <w:rPr>
        <w:b/>
        <w:sz w:val="18"/>
      </w:rPr>
    </w:pPr>
    <w:r>
      <w:t>GE.19-19344</w:t>
    </w:r>
    <w:r>
      <w:tab/>
    </w:r>
    <w:r w:rsidRPr="00020449">
      <w:rPr>
        <w:b/>
        <w:sz w:val="18"/>
      </w:rPr>
      <w:fldChar w:fldCharType="begin"/>
    </w:r>
    <w:r w:rsidRPr="00020449">
      <w:rPr>
        <w:b/>
        <w:sz w:val="18"/>
      </w:rPr>
      <w:instrText xml:space="preserve"> PAGE  \* MERGEFORMAT </w:instrText>
    </w:r>
    <w:r w:rsidRPr="00020449">
      <w:rPr>
        <w:b/>
        <w:sz w:val="18"/>
      </w:rPr>
      <w:fldChar w:fldCharType="separate"/>
    </w:r>
    <w:r w:rsidRPr="00020449">
      <w:rPr>
        <w:b/>
        <w:noProof/>
        <w:sz w:val="18"/>
      </w:rPr>
      <w:t>3</w:t>
    </w:r>
    <w:r w:rsidRPr="0002044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3BC" w:rsidRPr="00020449" w:rsidRDefault="00020449" w:rsidP="00020449">
    <w:pPr>
      <w:pStyle w:val="Pieddepage"/>
      <w:spacing w:before="120"/>
      <w:rPr>
        <w:sz w:val="20"/>
      </w:rPr>
    </w:pPr>
    <w:r>
      <w:rPr>
        <w:sz w:val="20"/>
      </w:rPr>
      <w:t>GE.</w:t>
    </w:r>
    <w:r w:rsidR="001273BC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369A6CF5" wp14:editId="5D52D6C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19-19344  (F)    131219    131219</w:t>
    </w:r>
    <w:r>
      <w:rPr>
        <w:sz w:val="20"/>
      </w:rPr>
      <w:br/>
    </w:r>
    <w:r w:rsidRPr="00020449">
      <w:rPr>
        <w:rFonts w:ascii="C39T30Lfz" w:hAnsi="C39T30Lfz"/>
        <w:sz w:val="56"/>
      </w:rPr>
      <w:t></w:t>
    </w:r>
    <w:r w:rsidRPr="00020449">
      <w:rPr>
        <w:rFonts w:ascii="C39T30Lfz" w:hAnsi="C39T30Lfz"/>
        <w:sz w:val="56"/>
      </w:rPr>
      <w:t></w:t>
    </w:r>
    <w:r w:rsidRPr="00020449">
      <w:rPr>
        <w:rFonts w:ascii="C39T30Lfz" w:hAnsi="C39T30Lfz"/>
        <w:sz w:val="56"/>
      </w:rPr>
      <w:t></w:t>
    </w:r>
    <w:r w:rsidRPr="00020449">
      <w:rPr>
        <w:rFonts w:ascii="C39T30Lfz" w:hAnsi="C39T30Lfz"/>
        <w:sz w:val="56"/>
      </w:rPr>
      <w:t></w:t>
    </w:r>
    <w:r w:rsidRPr="00020449">
      <w:rPr>
        <w:rFonts w:ascii="C39T30Lfz" w:hAnsi="C39T30Lfz"/>
        <w:sz w:val="56"/>
      </w:rPr>
      <w:t></w:t>
    </w:r>
    <w:r w:rsidRPr="00020449">
      <w:rPr>
        <w:rFonts w:ascii="C39T30Lfz" w:hAnsi="C39T30Lfz"/>
        <w:sz w:val="56"/>
      </w:rPr>
      <w:t></w:t>
    </w:r>
    <w:r w:rsidRPr="00020449">
      <w:rPr>
        <w:rFonts w:ascii="C39T30Lfz" w:hAnsi="C39T30Lfz"/>
        <w:sz w:val="56"/>
      </w:rPr>
      <w:t></w:t>
    </w:r>
    <w:r w:rsidRPr="00020449">
      <w:rPr>
        <w:rFonts w:ascii="C39T30Lfz" w:hAnsi="C39T30Lfz"/>
        <w:sz w:val="56"/>
      </w:rPr>
      <w:t></w:t>
    </w:r>
    <w:r w:rsidRPr="00020449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 descr="https://undocs.org/m2/QRCode.ashx?DS=CRPD/C/22/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22/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F67" w:rsidRPr="00AC3823" w:rsidRDefault="00E35F6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35F67" w:rsidRPr="00AC3823" w:rsidRDefault="00E35F6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35F67" w:rsidRPr="00AC3823" w:rsidRDefault="00E35F67">
      <w:pPr>
        <w:spacing w:line="240" w:lineRule="auto"/>
        <w:rPr>
          <w:sz w:val="2"/>
          <w:szCs w:val="2"/>
        </w:rPr>
      </w:pPr>
    </w:p>
  </w:footnote>
  <w:footnote w:id="2">
    <w:p w:rsidR="00EF0A8C" w:rsidRPr="00EF4A2C" w:rsidRDefault="00EF0A8C" w:rsidP="00EF0A8C">
      <w:pPr>
        <w:pStyle w:val="Notedebasdepage"/>
      </w:pPr>
      <w:r>
        <w:rPr>
          <w:lang w:val="fr-FR"/>
        </w:rPr>
        <w:tab/>
        <w:t>*</w:t>
      </w:r>
      <w:r>
        <w:rPr>
          <w:lang w:val="fr-FR"/>
        </w:rPr>
        <w:tab/>
        <w:t>Adopté par le Comité à sa vingt-deuxième session (26 août-20 septembre 2019).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449" w:rsidRPr="00020449" w:rsidRDefault="00020449">
    <w:pPr>
      <w:pStyle w:val="En-tte"/>
    </w:pPr>
    <w:fldSimple w:instr=" TITLE  \* MERGEFORMAT ">
      <w:r w:rsidR="003F0B0B">
        <w:t>CRPD/C/22/4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449" w:rsidRPr="00020449" w:rsidRDefault="00020449" w:rsidP="00020449">
    <w:pPr>
      <w:pStyle w:val="En-tte"/>
      <w:jc w:val="right"/>
    </w:pPr>
    <w:fldSimple w:instr=" TITLE  \* MERGEFORMAT ">
      <w:r w:rsidR="003F0B0B">
        <w:t>CRPD/C/22/4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76D06BD8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CD4C5FE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7B980DE0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35F67"/>
    <w:rsid w:val="00017F94"/>
    <w:rsid w:val="00020449"/>
    <w:rsid w:val="00023842"/>
    <w:rsid w:val="000334F9"/>
    <w:rsid w:val="0007796D"/>
    <w:rsid w:val="000B7790"/>
    <w:rsid w:val="00111F2F"/>
    <w:rsid w:val="00126D86"/>
    <w:rsid w:val="001273BC"/>
    <w:rsid w:val="0014365E"/>
    <w:rsid w:val="00176178"/>
    <w:rsid w:val="001F525A"/>
    <w:rsid w:val="00223272"/>
    <w:rsid w:val="0024779E"/>
    <w:rsid w:val="00275896"/>
    <w:rsid w:val="00336EDE"/>
    <w:rsid w:val="003C2A2A"/>
    <w:rsid w:val="003C5869"/>
    <w:rsid w:val="003F0B0B"/>
    <w:rsid w:val="00446FE5"/>
    <w:rsid w:val="00452396"/>
    <w:rsid w:val="00505D82"/>
    <w:rsid w:val="005409FC"/>
    <w:rsid w:val="005505B7"/>
    <w:rsid w:val="00573BE5"/>
    <w:rsid w:val="00586ED3"/>
    <w:rsid w:val="00596AA9"/>
    <w:rsid w:val="005C69B4"/>
    <w:rsid w:val="0071601D"/>
    <w:rsid w:val="007A62E6"/>
    <w:rsid w:val="0080684C"/>
    <w:rsid w:val="00871C75"/>
    <w:rsid w:val="008776DC"/>
    <w:rsid w:val="009705C8"/>
    <w:rsid w:val="009D124E"/>
    <w:rsid w:val="00A30353"/>
    <w:rsid w:val="00A974B5"/>
    <w:rsid w:val="00AC3823"/>
    <w:rsid w:val="00AE323C"/>
    <w:rsid w:val="00AF02B5"/>
    <w:rsid w:val="00B00181"/>
    <w:rsid w:val="00B338A5"/>
    <w:rsid w:val="00B47007"/>
    <w:rsid w:val="00B765F7"/>
    <w:rsid w:val="00BA0CA9"/>
    <w:rsid w:val="00C02897"/>
    <w:rsid w:val="00D3439C"/>
    <w:rsid w:val="00DB1831"/>
    <w:rsid w:val="00DD3BFD"/>
    <w:rsid w:val="00DF6678"/>
    <w:rsid w:val="00E1227A"/>
    <w:rsid w:val="00E176F2"/>
    <w:rsid w:val="00E35F67"/>
    <w:rsid w:val="00EB5942"/>
    <w:rsid w:val="00EF0A8C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B071054"/>
  <w15:docId w15:val="{4044576A-AC13-45E8-84F5-330626DA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2B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AF02B5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AF02B5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AF02B5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AF02B5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AF02B5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AF02B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F02B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AF02B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AF02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F02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F02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AF02B5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AF02B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AF02B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AF02B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AF02B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F02B5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AF02B5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AF02B5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AF02B5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AF02B5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AF02B5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AF02B5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AF02B5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AF02B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AF02B5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AF02B5"/>
  </w:style>
  <w:style w:type="character" w:customStyle="1" w:styleId="NotedefinCar">
    <w:name w:val="Note de fin Car"/>
    <w:aliases w:val="2_G Car"/>
    <w:basedOn w:val="Policepardfaut"/>
    <w:link w:val="Notedefin"/>
    <w:rsid w:val="00AF02B5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AF02B5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AF02B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38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8A5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EB5942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EB5942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locked/>
    <w:rsid w:val="00EB5942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0</TotalTime>
  <Pages>4</Pages>
  <Words>1065</Words>
  <Characters>7096</Characters>
  <Application>Microsoft Office Word</Application>
  <DocSecurity>0</DocSecurity>
  <Lines>591</Lines>
  <Paragraphs>240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CRPD/C/22/4</vt:lpstr>
    </vt:vector>
  </TitlesOfParts>
  <Company>DCM</Company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CRPD/C/22/4</dc:title>
  <dc:subject/>
  <dc:creator>Nathalie VITTOZ</dc:creator>
  <cp:keywords/>
  <cp:lastModifiedBy>Nathalie Vittoz</cp:lastModifiedBy>
  <cp:revision>2</cp:revision>
  <cp:lastPrinted>2019-12-13T21:51:00Z</cp:lastPrinted>
  <dcterms:created xsi:type="dcterms:W3CDTF">2019-12-13T22:17:00Z</dcterms:created>
  <dcterms:modified xsi:type="dcterms:W3CDTF">2019-12-13T22:17:00Z</dcterms:modified>
</cp:coreProperties>
</file>