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320"/>
        <w:gridCol w:w="2420"/>
        <w:gridCol w:w="2619"/>
      </w:tblGrid>
      <w:tr w:rsidR="00F90607" w:rsidRPr="00BA5D7F" w:rsidTr="00A325A9">
        <w:trPr>
          <w:cnfStyle w:val="100000000000"/>
          <w:trHeight w:hRule="exact" w:val="851"/>
        </w:trPr>
        <w:tc>
          <w:tcPr>
            <w:tcW w:w="4600" w:type="dxa"/>
            <w:gridSpan w:val="2"/>
            <w:tcBorders>
              <w:bottom w:val="single" w:sz="4" w:space="0" w:color="auto"/>
            </w:tcBorders>
            <w:vAlign w:val="bottom"/>
          </w:tcPr>
          <w:p w:rsidR="00F90607" w:rsidRPr="00260E88" w:rsidRDefault="00F90607" w:rsidP="00A325A9">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F90607" w:rsidRPr="004E6131" w:rsidRDefault="00F90607" w:rsidP="00A325A9">
            <w:pPr>
              <w:jc w:val="right"/>
              <w:rPr>
                <w:sz w:val="20"/>
                <w:lang w:val="en-US"/>
              </w:rPr>
            </w:pPr>
            <w:r w:rsidRPr="00230EEB">
              <w:rPr>
                <w:sz w:val="40"/>
                <w:szCs w:val="40"/>
                <w:lang w:val="en-US"/>
              </w:rPr>
              <w:t>CAT</w:t>
            </w:r>
            <w:r w:rsidRPr="004E6131">
              <w:rPr>
                <w:sz w:val="20"/>
                <w:lang w:val="en-US"/>
              </w:rPr>
              <w:t>/</w:t>
            </w:r>
            <w:fldSimple w:instr=" FILLIN  &quot;Введите часть символа после CAT/&quot;  \* MERGEFORMAT ">
              <w:r w:rsidR="00BA5D7F">
                <w:rPr>
                  <w:sz w:val="20"/>
                  <w:lang w:val="en-US"/>
                </w:rPr>
                <w:t>C/52/D/483/2011−</w:t>
              </w:r>
              <w:r w:rsidR="00BA5D7F" w:rsidRPr="00BA5D7F">
                <w:rPr>
                  <w:sz w:val="40"/>
                  <w:szCs w:val="40"/>
                  <w:lang w:val="en-US"/>
                </w:rPr>
                <w:t>CAT</w:t>
              </w:r>
              <w:r w:rsidR="00BA5D7F">
                <w:rPr>
                  <w:sz w:val="20"/>
                  <w:lang w:val="en-US"/>
                </w:rPr>
                <w:t>/C/52/D/485/2011</w:t>
              </w:r>
            </w:fldSimple>
          </w:p>
        </w:tc>
      </w:tr>
      <w:tr w:rsidR="00F90607" w:rsidRPr="00767C58" w:rsidTr="00A325A9">
        <w:trPr>
          <w:trHeight w:hRule="exact" w:val="2835"/>
        </w:trPr>
        <w:tc>
          <w:tcPr>
            <w:tcW w:w="1280" w:type="dxa"/>
            <w:tcBorders>
              <w:top w:val="single" w:sz="4" w:space="0" w:color="auto"/>
              <w:bottom w:val="single" w:sz="12" w:space="0" w:color="auto"/>
            </w:tcBorders>
          </w:tcPr>
          <w:p w:rsidR="00F90607" w:rsidRPr="00635870" w:rsidRDefault="00F90607" w:rsidP="00A325A9">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740" w:type="dxa"/>
            <w:gridSpan w:val="2"/>
            <w:tcBorders>
              <w:top w:val="single" w:sz="4" w:space="0" w:color="auto"/>
              <w:bottom w:val="single" w:sz="12" w:space="0" w:color="auto"/>
            </w:tcBorders>
          </w:tcPr>
          <w:p w:rsidR="00F90607" w:rsidRPr="00F90607" w:rsidRDefault="00F90607" w:rsidP="00F90607">
            <w:pPr>
              <w:suppressAutoHyphens/>
              <w:spacing w:before="120" w:line="360" w:lineRule="exact"/>
              <w:rPr>
                <w:b/>
                <w:spacing w:val="-4"/>
                <w:w w:val="100"/>
                <w:sz w:val="34"/>
                <w:szCs w:val="34"/>
              </w:rPr>
            </w:pPr>
            <w:r w:rsidRPr="00F90607">
              <w:rPr>
                <w:b/>
                <w:spacing w:val="-4"/>
                <w:w w:val="100"/>
                <w:sz w:val="34"/>
                <w:szCs w:val="34"/>
              </w:rPr>
              <w:t xml:space="preserve">Конвенция против пыток и </w:t>
            </w:r>
            <w:r w:rsidRPr="00F90607">
              <w:rPr>
                <w:b/>
                <w:spacing w:val="-4"/>
                <w:w w:val="100"/>
                <w:sz w:val="34"/>
                <w:szCs w:val="34"/>
              </w:rPr>
              <w:br/>
              <w:t xml:space="preserve">других жестоких, бесчеловечных </w:t>
            </w:r>
            <w:r w:rsidRPr="00F90607">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F90607" w:rsidRPr="004E6131" w:rsidRDefault="00F90607" w:rsidP="00A325A9">
            <w:pPr>
              <w:spacing w:before="240" w:after="0"/>
              <w:rPr>
                <w:sz w:val="20"/>
              </w:rPr>
            </w:pPr>
            <w:r w:rsidRPr="004E6131">
              <w:rPr>
                <w:sz w:val="20"/>
                <w:lang w:val="en-US"/>
              </w:rPr>
              <w:t>Distr</w:t>
            </w:r>
            <w:r w:rsidRPr="004E6131">
              <w:rPr>
                <w:sz w:val="20"/>
              </w:rPr>
              <w:t xml:space="preserve">.: </w:t>
            </w:r>
            <w:bookmarkStart w:id="0" w:name="ПолеСоСписком1"/>
            <w:r w:rsidRPr="004E6131">
              <w:rPr>
                <w:sz w:val="20"/>
                <w:lang w:val="en-US"/>
              </w:rPr>
              <w:fldChar w:fldCharType="begin">
                <w:ffData>
                  <w:name w:val="ПолеСоСписком1"/>
                  <w:enabled/>
                  <w:calcOnExit w:val="0"/>
                  <w:ddList>
                    <w:listEntry w:val="General"/>
                    <w:listEntry w:val="Limited"/>
                    <w:listEntry w:val="Restricted"/>
                  </w:ddList>
                </w:ffData>
              </w:fldChar>
            </w:r>
            <w:r w:rsidRPr="004E6131">
              <w:rPr>
                <w:sz w:val="20"/>
              </w:rPr>
              <w:instrText xml:space="preserve"> </w:instrText>
            </w:r>
            <w:r w:rsidRPr="004E6131">
              <w:rPr>
                <w:sz w:val="20"/>
                <w:lang w:val="en-US"/>
              </w:rPr>
              <w:instrText>FORMDROPDOWN</w:instrText>
            </w:r>
            <w:r w:rsidRPr="004E6131">
              <w:rPr>
                <w:sz w:val="20"/>
              </w:rPr>
              <w:instrText xml:space="preserve"> </w:instrText>
            </w:r>
            <w:r w:rsidRPr="004E6131">
              <w:rPr>
                <w:sz w:val="20"/>
                <w:lang w:val="en-US"/>
              </w:rPr>
            </w:r>
            <w:r w:rsidRPr="004E6131">
              <w:rPr>
                <w:sz w:val="20"/>
                <w:lang w:val="en-US"/>
              </w:rPr>
              <w:fldChar w:fldCharType="end"/>
            </w:r>
            <w:bookmarkEnd w:id="0"/>
          </w:p>
          <w:p w:rsidR="00F90607" w:rsidRPr="004E6131" w:rsidRDefault="00F90607" w:rsidP="00A325A9">
            <w:pPr>
              <w:spacing w:before="0" w:after="0"/>
              <w:rPr>
                <w:sz w:val="20"/>
              </w:rPr>
            </w:pPr>
            <w:fldSimple w:instr=" FILLIN  &quot;Введите дату документа&quot; \* MERGEFORMAT ">
              <w:r w:rsidR="00BA5D7F">
                <w:rPr>
                  <w:sz w:val="20"/>
                  <w:lang w:val="en-US"/>
                </w:rPr>
                <w:t>5 August 2014</w:t>
              </w:r>
            </w:fldSimple>
          </w:p>
          <w:p w:rsidR="00F90607" w:rsidRPr="004E6131" w:rsidRDefault="00F90607" w:rsidP="00A325A9">
            <w:pPr>
              <w:spacing w:before="0" w:after="0"/>
              <w:rPr>
                <w:sz w:val="20"/>
              </w:rPr>
            </w:pPr>
            <w:r w:rsidRPr="004E6131">
              <w:rPr>
                <w:sz w:val="20"/>
                <w:lang w:val="en-US"/>
              </w:rPr>
              <w:t>Russian</w:t>
            </w:r>
          </w:p>
          <w:p w:rsidR="00F90607" w:rsidRPr="004E6131" w:rsidRDefault="00F90607" w:rsidP="00A325A9">
            <w:pPr>
              <w:spacing w:before="0" w:after="0"/>
              <w:rPr>
                <w:sz w:val="20"/>
              </w:rPr>
            </w:pPr>
            <w:r w:rsidRPr="004E6131">
              <w:rPr>
                <w:sz w:val="20"/>
                <w:lang w:val="en-US"/>
              </w:rPr>
              <w:t>Original</w:t>
            </w:r>
            <w:r w:rsidRPr="004E6131">
              <w:rPr>
                <w:sz w:val="20"/>
              </w:rPr>
              <w:t xml:space="preserve">: </w:t>
            </w:r>
            <w:bookmarkStart w:id="1" w:name="ПолеСоСписком2"/>
            <w:r w:rsidRPr="004E6131">
              <w:rPr>
                <w:sz w:val="20"/>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4E6131">
              <w:rPr>
                <w:sz w:val="20"/>
              </w:rPr>
              <w:instrText xml:space="preserve"> </w:instrText>
            </w:r>
            <w:r w:rsidRPr="004E6131">
              <w:rPr>
                <w:sz w:val="20"/>
                <w:lang w:val="en-US"/>
              </w:rPr>
              <w:instrText>FORMDROPDOWN</w:instrText>
            </w:r>
            <w:r w:rsidRPr="004E6131">
              <w:rPr>
                <w:sz w:val="20"/>
              </w:rPr>
              <w:instrText xml:space="preserve"> </w:instrText>
            </w:r>
            <w:r w:rsidRPr="004E6131">
              <w:rPr>
                <w:sz w:val="20"/>
                <w:lang w:val="en-US"/>
              </w:rPr>
            </w:r>
            <w:r w:rsidRPr="004E6131">
              <w:rPr>
                <w:sz w:val="20"/>
                <w:lang w:val="en-US"/>
              </w:rPr>
              <w:fldChar w:fldCharType="end"/>
            </w:r>
            <w:bookmarkEnd w:id="1"/>
          </w:p>
          <w:p w:rsidR="00F90607" w:rsidRPr="00767C58" w:rsidRDefault="00F90607" w:rsidP="00A325A9"/>
        </w:tc>
      </w:tr>
    </w:tbl>
    <w:p w:rsidR="00C26DB9" w:rsidRPr="00C26DB9" w:rsidRDefault="00C26DB9" w:rsidP="00C26DB9">
      <w:pPr>
        <w:spacing w:before="120"/>
        <w:rPr>
          <w:b/>
          <w:sz w:val="24"/>
          <w:szCs w:val="24"/>
        </w:rPr>
      </w:pPr>
      <w:r w:rsidRPr="00C26DB9">
        <w:rPr>
          <w:b/>
          <w:sz w:val="24"/>
          <w:szCs w:val="24"/>
        </w:rPr>
        <w:t>Комитет против пыток</w:t>
      </w:r>
    </w:p>
    <w:p w:rsidR="00C26DB9" w:rsidRPr="00C26DB9" w:rsidRDefault="00C26DB9" w:rsidP="00C26DB9">
      <w:pPr>
        <w:pStyle w:val="HChGR"/>
      </w:pPr>
      <w:r w:rsidRPr="00C26DB9">
        <w:tab/>
      </w:r>
      <w:r w:rsidRPr="00C26DB9">
        <w:tab/>
        <w:t xml:space="preserve">Сообщения № 483/2011 и № 485/2011 </w:t>
      </w:r>
    </w:p>
    <w:p w:rsidR="00D56812" w:rsidRDefault="00C26DB9" w:rsidP="00C26DB9">
      <w:pPr>
        <w:pStyle w:val="H1GR"/>
      </w:pPr>
      <w:r w:rsidRPr="00C26DB9">
        <w:tab/>
      </w:r>
      <w:r w:rsidRPr="00C26DB9">
        <w:tab/>
        <w:t>Решение, принятое Комитетом на своей</w:t>
      </w:r>
      <w:r>
        <w:t xml:space="preserve"> </w:t>
      </w:r>
      <w:r w:rsidRPr="00C26DB9">
        <w:t>пятьдесят второй сессии (28 апреля − 23 мая 2014 года)</w:t>
      </w:r>
    </w:p>
    <w:tbl>
      <w:tblPr>
        <w:tblStyle w:val="TableGrid"/>
        <w:tblW w:w="6804" w:type="dxa"/>
        <w:tblInd w:w="1701" w:type="dxa"/>
        <w:tblBorders>
          <w:top w:val="none" w:sz="0" w:space="0" w:color="auto"/>
          <w:bottom w:val="none" w:sz="0" w:space="0" w:color="auto"/>
        </w:tblBorders>
        <w:tblLayout w:type="fixed"/>
        <w:tblCellMar>
          <w:left w:w="0" w:type="dxa"/>
          <w:right w:w="0" w:type="dxa"/>
        </w:tblCellMar>
        <w:tblLook w:val="01E0"/>
      </w:tblPr>
      <w:tblGrid>
        <w:gridCol w:w="2933"/>
        <w:gridCol w:w="3871"/>
      </w:tblGrid>
      <w:tr w:rsidR="00B303E8" w:rsidRPr="00B303E8" w:rsidTr="002C1160">
        <w:trPr>
          <w:cnfStyle w:val="100000000000"/>
        </w:trPr>
        <w:tc>
          <w:tcPr>
            <w:tcW w:w="2933" w:type="dxa"/>
          </w:tcPr>
          <w:p w:rsidR="00B303E8" w:rsidRPr="00B303E8" w:rsidRDefault="00B303E8" w:rsidP="002C1160">
            <w:pPr>
              <w:spacing w:after="120"/>
              <w:rPr>
                <w:i/>
                <w:sz w:val="20"/>
              </w:rPr>
            </w:pPr>
            <w:r w:rsidRPr="00B303E8">
              <w:rPr>
                <w:i/>
                <w:sz w:val="20"/>
              </w:rPr>
              <w:t>Представлено:</w:t>
            </w:r>
          </w:p>
        </w:tc>
        <w:tc>
          <w:tcPr>
            <w:tcW w:w="3871" w:type="dxa"/>
          </w:tcPr>
          <w:p w:rsidR="00B303E8" w:rsidRPr="00B303E8" w:rsidRDefault="00B303E8" w:rsidP="002C1160">
            <w:pPr>
              <w:spacing w:after="120"/>
              <w:rPr>
                <w:sz w:val="20"/>
              </w:rPr>
            </w:pPr>
            <w:r w:rsidRPr="00B303E8">
              <w:rPr>
                <w:sz w:val="20"/>
              </w:rPr>
              <w:t xml:space="preserve">Г-ном Х и г-ном </w:t>
            </w:r>
            <w:r w:rsidRPr="00B303E8">
              <w:rPr>
                <w:sz w:val="20"/>
                <w:lang w:val="en-US"/>
              </w:rPr>
              <w:t>Z</w:t>
            </w:r>
            <w:r w:rsidRPr="00B303E8">
              <w:rPr>
                <w:sz w:val="20"/>
              </w:rPr>
              <w:t>, которых представляет Марианна Лейн из центра консультати</w:t>
            </w:r>
            <w:r w:rsidRPr="00B303E8">
              <w:rPr>
                <w:sz w:val="20"/>
              </w:rPr>
              <w:t>в</w:t>
            </w:r>
            <w:r w:rsidRPr="00B303E8">
              <w:rPr>
                <w:sz w:val="20"/>
              </w:rPr>
              <w:t>ной помощи беженцам</w:t>
            </w:r>
          </w:p>
        </w:tc>
      </w:tr>
      <w:tr w:rsidR="00B303E8" w:rsidRPr="00B303E8" w:rsidTr="002C1160">
        <w:tc>
          <w:tcPr>
            <w:tcW w:w="2933" w:type="dxa"/>
          </w:tcPr>
          <w:p w:rsidR="00B303E8" w:rsidRPr="00B303E8" w:rsidRDefault="00B303E8" w:rsidP="002C1160">
            <w:pPr>
              <w:spacing w:after="120"/>
              <w:rPr>
                <w:i/>
                <w:sz w:val="20"/>
              </w:rPr>
            </w:pPr>
            <w:r w:rsidRPr="00B303E8">
              <w:rPr>
                <w:i/>
                <w:sz w:val="20"/>
              </w:rPr>
              <w:t>Предполагаемая жертва:</w:t>
            </w:r>
          </w:p>
        </w:tc>
        <w:tc>
          <w:tcPr>
            <w:tcW w:w="3871" w:type="dxa"/>
          </w:tcPr>
          <w:p w:rsidR="00B303E8" w:rsidRPr="00B303E8" w:rsidRDefault="00B303E8" w:rsidP="002C1160">
            <w:pPr>
              <w:spacing w:after="120"/>
              <w:rPr>
                <w:sz w:val="20"/>
              </w:rPr>
            </w:pPr>
            <w:r w:rsidRPr="001B70DC">
              <w:rPr>
                <w:sz w:val="20"/>
              </w:rPr>
              <w:t>Заявитель</w:t>
            </w:r>
          </w:p>
        </w:tc>
      </w:tr>
      <w:tr w:rsidR="00B303E8" w:rsidRPr="00B303E8" w:rsidTr="002C1160">
        <w:tc>
          <w:tcPr>
            <w:tcW w:w="2933" w:type="dxa"/>
          </w:tcPr>
          <w:p w:rsidR="00B303E8" w:rsidRPr="00B303E8" w:rsidRDefault="00B303E8" w:rsidP="002C1160">
            <w:pPr>
              <w:spacing w:after="120"/>
              <w:rPr>
                <w:i/>
                <w:sz w:val="20"/>
              </w:rPr>
            </w:pPr>
            <w:r w:rsidRPr="00B303E8">
              <w:rPr>
                <w:i/>
                <w:sz w:val="20"/>
              </w:rPr>
              <w:t>Государство-участник:</w:t>
            </w:r>
          </w:p>
        </w:tc>
        <w:tc>
          <w:tcPr>
            <w:tcW w:w="3871" w:type="dxa"/>
          </w:tcPr>
          <w:p w:rsidR="00B303E8" w:rsidRPr="00B303E8" w:rsidRDefault="00B303E8" w:rsidP="002C1160">
            <w:pPr>
              <w:spacing w:after="120"/>
              <w:rPr>
                <w:sz w:val="20"/>
              </w:rPr>
            </w:pPr>
            <w:r w:rsidRPr="00B303E8">
              <w:rPr>
                <w:sz w:val="20"/>
              </w:rPr>
              <w:t>Финляндия</w:t>
            </w:r>
          </w:p>
        </w:tc>
      </w:tr>
      <w:tr w:rsidR="00B303E8" w:rsidRPr="00B303E8" w:rsidTr="002C1160">
        <w:tc>
          <w:tcPr>
            <w:tcW w:w="2933" w:type="dxa"/>
          </w:tcPr>
          <w:p w:rsidR="00B303E8" w:rsidRPr="00B303E8" w:rsidRDefault="00B303E8" w:rsidP="002C1160">
            <w:pPr>
              <w:spacing w:after="120"/>
              <w:rPr>
                <w:i/>
                <w:sz w:val="20"/>
              </w:rPr>
            </w:pPr>
            <w:r w:rsidRPr="00B303E8">
              <w:rPr>
                <w:i/>
                <w:sz w:val="20"/>
              </w:rPr>
              <w:t xml:space="preserve">Дата </w:t>
            </w:r>
            <w:r>
              <w:rPr>
                <w:i/>
                <w:sz w:val="20"/>
              </w:rPr>
              <w:t>представления жалобы</w:t>
            </w:r>
            <w:r w:rsidRPr="00B303E8">
              <w:rPr>
                <w:i/>
                <w:sz w:val="20"/>
              </w:rPr>
              <w:t>:</w:t>
            </w:r>
          </w:p>
        </w:tc>
        <w:tc>
          <w:tcPr>
            <w:tcW w:w="3871" w:type="dxa"/>
          </w:tcPr>
          <w:p w:rsidR="00B303E8" w:rsidRPr="00AF57BB" w:rsidRDefault="00B303E8" w:rsidP="002C1160">
            <w:pPr>
              <w:suppressAutoHyphens/>
              <w:spacing w:before="0" w:after="120"/>
              <w:rPr>
                <w:sz w:val="20"/>
              </w:rPr>
            </w:pPr>
            <w:r w:rsidRPr="00184FA4">
              <w:rPr>
                <w:sz w:val="20"/>
              </w:rPr>
              <w:t>14 ноября 2011 года</w:t>
            </w:r>
            <w:r w:rsidRPr="00184FA4">
              <w:rPr>
                <w:sz w:val="20"/>
                <w:lang/>
              </w:rPr>
              <w:t xml:space="preserve"> </w:t>
            </w:r>
            <w:r w:rsidRPr="00184FA4">
              <w:rPr>
                <w:sz w:val="20"/>
              </w:rPr>
              <w:t>(начальное представление)</w:t>
            </w:r>
          </w:p>
        </w:tc>
      </w:tr>
      <w:tr w:rsidR="00B303E8" w:rsidRPr="00B303E8" w:rsidTr="002C1160">
        <w:tc>
          <w:tcPr>
            <w:tcW w:w="2933" w:type="dxa"/>
          </w:tcPr>
          <w:p w:rsidR="00B303E8" w:rsidRPr="00B303E8" w:rsidRDefault="00B303E8" w:rsidP="002C1160">
            <w:pPr>
              <w:spacing w:after="120"/>
              <w:rPr>
                <w:i/>
                <w:sz w:val="20"/>
              </w:rPr>
            </w:pPr>
            <w:r w:rsidRPr="00B303E8">
              <w:rPr>
                <w:i/>
                <w:sz w:val="20"/>
              </w:rPr>
              <w:t xml:space="preserve">Дата </w:t>
            </w:r>
            <w:r w:rsidR="00017811">
              <w:rPr>
                <w:i/>
                <w:sz w:val="20"/>
              </w:rPr>
              <w:t>настоящего решения</w:t>
            </w:r>
            <w:r w:rsidRPr="00B303E8">
              <w:rPr>
                <w:i/>
                <w:sz w:val="20"/>
              </w:rPr>
              <w:t>:</w:t>
            </w:r>
          </w:p>
        </w:tc>
        <w:tc>
          <w:tcPr>
            <w:tcW w:w="3871" w:type="dxa"/>
            <w:vAlign w:val="bottom"/>
          </w:tcPr>
          <w:p w:rsidR="00B303E8" w:rsidRPr="00B303E8" w:rsidRDefault="00017811" w:rsidP="002C1160">
            <w:pPr>
              <w:spacing w:after="120"/>
              <w:rPr>
                <w:sz w:val="20"/>
              </w:rPr>
            </w:pPr>
            <w:r>
              <w:rPr>
                <w:sz w:val="20"/>
              </w:rPr>
              <w:t>12 мая 2014</w:t>
            </w:r>
            <w:r w:rsidRPr="001B70DC">
              <w:rPr>
                <w:sz w:val="20"/>
              </w:rPr>
              <w:t xml:space="preserve"> года</w:t>
            </w:r>
          </w:p>
        </w:tc>
      </w:tr>
      <w:tr w:rsidR="00B303E8" w:rsidRPr="00B303E8" w:rsidTr="002C1160">
        <w:tc>
          <w:tcPr>
            <w:tcW w:w="2933" w:type="dxa"/>
          </w:tcPr>
          <w:p w:rsidR="00B303E8" w:rsidRPr="00B303E8" w:rsidRDefault="00B303E8" w:rsidP="002C1160">
            <w:pPr>
              <w:spacing w:after="120"/>
              <w:rPr>
                <w:i/>
                <w:sz w:val="20"/>
              </w:rPr>
            </w:pPr>
            <w:r w:rsidRPr="00B303E8">
              <w:rPr>
                <w:i/>
                <w:iCs/>
                <w:sz w:val="20"/>
              </w:rPr>
              <w:t>Тема сообщения:</w:t>
            </w:r>
          </w:p>
        </w:tc>
        <w:tc>
          <w:tcPr>
            <w:tcW w:w="3871" w:type="dxa"/>
          </w:tcPr>
          <w:p w:rsidR="00B303E8" w:rsidRPr="00B303E8" w:rsidRDefault="00017811" w:rsidP="002C1160">
            <w:pPr>
              <w:spacing w:after="120"/>
              <w:rPr>
                <w:sz w:val="20"/>
              </w:rPr>
            </w:pPr>
            <w:r w:rsidRPr="00017811">
              <w:rPr>
                <w:sz w:val="20"/>
              </w:rPr>
              <w:t>депортация в Исламскую Республику Иран</w:t>
            </w:r>
          </w:p>
        </w:tc>
      </w:tr>
      <w:tr w:rsidR="00B303E8" w:rsidRPr="00B303E8" w:rsidTr="002C1160">
        <w:tc>
          <w:tcPr>
            <w:tcW w:w="2933" w:type="dxa"/>
          </w:tcPr>
          <w:p w:rsidR="00B303E8" w:rsidRPr="00B303E8" w:rsidRDefault="00B303E8" w:rsidP="002C1160">
            <w:pPr>
              <w:spacing w:after="120"/>
              <w:rPr>
                <w:i/>
                <w:iCs/>
                <w:sz w:val="20"/>
              </w:rPr>
            </w:pPr>
            <w:r w:rsidRPr="00B303E8">
              <w:rPr>
                <w:i/>
                <w:iCs/>
                <w:sz w:val="20"/>
              </w:rPr>
              <w:t>Процедурные вопросы</w:t>
            </w:r>
            <w:r w:rsidRPr="00B303E8">
              <w:rPr>
                <w:i/>
                <w:sz w:val="20"/>
              </w:rPr>
              <w:t>:</w:t>
            </w:r>
          </w:p>
        </w:tc>
        <w:tc>
          <w:tcPr>
            <w:tcW w:w="3871" w:type="dxa"/>
          </w:tcPr>
          <w:p w:rsidR="00B303E8" w:rsidRPr="00B303E8" w:rsidRDefault="00017811" w:rsidP="002C1160">
            <w:pPr>
              <w:spacing w:after="120"/>
              <w:rPr>
                <w:sz w:val="20"/>
              </w:rPr>
            </w:pPr>
            <w:r>
              <w:rPr>
                <w:sz w:val="20"/>
              </w:rPr>
              <w:t>−</w:t>
            </w:r>
          </w:p>
        </w:tc>
      </w:tr>
      <w:tr w:rsidR="00017811" w:rsidRPr="00B303E8" w:rsidTr="002C1160">
        <w:tc>
          <w:tcPr>
            <w:tcW w:w="2933" w:type="dxa"/>
          </w:tcPr>
          <w:p w:rsidR="00017811" w:rsidRPr="00B303E8" w:rsidRDefault="00017811" w:rsidP="002C1160">
            <w:pPr>
              <w:spacing w:after="120"/>
              <w:rPr>
                <w:i/>
                <w:iCs/>
                <w:sz w:val="20"/>
              </w:rPr>
            </w:pPr>
            <w:r w:rsidRPr="00B303E8">
              <w:rPr>
                <w:i/>
                <w:iCs/>
                <w:sz w:val="20"/>
              </w:rPr>
              <w:t>Вопросы существа:</w:t>
            </w:r>
          </w:p>
        </w:tc>
        <w:tc>
          <w:tcPr>
            <w:tcW w:w="3871" w:type="dxa"/>
          </w:tcPr>
          <w:p w:rsidR="00017811" w:rsidRPr="00AF57BB" w:rsidRDefault="00017811" w:rsidP="002C1160">
            <w:pPr>
              <w:suppressAutoHyphens/>
              <w:spacing w:before="0" w:after="120"/>
              <w:rPr>
                <w:sz w:val="20"/>
              </w:rPr>
            </w:pPr>
            <w:r>
              <w:rPr>
                <w:sz w:val="20"/>
              </w:rPr>
              <w:t>Невысылка</w:t>
            </w:r>
          </w:p>
        </w:tc>
      </w:tr>
      <w:tr w:rsidR="00017811" w:rsidRPr="00B303E8" w:rsidTr="002C1160">
        <w:tc>
          <w:tcPr>
            <w:tcW w:w="2933" w:type="dxa"/>
          </w:tcPr>
          <w:p w:rsidR="00017811" w:rsidRPr="00B303E8" w:rsidRDefault="00017811" w:rsidP="002C1160">
            <w:pPr>
              <w:spacing w:after="120"/>
              <w:rPr>
                <w:i/>
                <w:iCs/>
                <w:sz w:val="20"/>
              </w:rPr>
            </w:pPr>
            <w:r>
              <w:rPr>
                <w:i/>
                <w:iCs/>
                <w:sz w:val="20"/>
              </w:rPr>
              <w:t>Статья Конвенции:</w:t>
            </w:r>
          </w:p>
        </w:tc>
        <w:tc>
          <w:tcPr>
            <w:tcW w:w="3871" w:type="dxa"/>
          </w:tcPr>
          <w:p w:rsidR="00017811" w:rsidRPr="00B303E8" w:rsidRDefault="00017811" w:rsidP="002C1160">
            <w:pPr>
              <w:spacing w:after="120"/>
              <w:rPr>
                <w:sz w:val="20"/>
              </w:rPr>
            </w:pPr>
            <w:r>
              <w:rPr>
                <w:sz w:val="20"/>
              </w:rPr>
              <w:t>3</w:t>
            </w:r>
          </w:p>
        </w:tc>
      </w:tr>
    </w:tbl>
    <w:p w:rsidR="00017811" w:rsidRDefault="00017811" w:rsidP="00B303E8"/>
    <w:p w:rsidR="00063AF6" w:rsidRPr="00063AF6" w:rsidRDefault="00017811" w:rsidP="00063AF6">
      <w:pPr>
        <w:pStyle w:val="HChGR"/>
      </w:pPr>
      <w:r>
        <w:br w:type="page"/>
      </w:r>
      <w:r w:rsidR="00063AF6" w:rsidRPr="00063AF6">
        <w:t>Приложение</w:t>
      </w:r>
    </w:p>
    <w:p w:rsidR="00B65EEC" w:rsidRDefault="00063AF6" w:rsidP="00B65EEC">
      <w:pPr>
        <w:pStyle w:val="HChGR"/>
        <w:spacing w:after="0"/>
        <w:rPr>
          <w:lang w:val="en-US"/>
        </w:rPr>
      </w:pPr>
      <w:r w:rsidRPr="00063AF6">
        <w:tab/>
      </w:r>
      <w:r w:rsidRPr="00063AF6">
        <w:tab/>
        <w:t>Решение Комитета против пыток в соответствии</w:t>
      </w:r>
      <w:r w:rsidRPr="00063AF6">
        <w:br/>
        <w:t>со статьей 22 Конвенции против пыток и других жестоких, бесчеловечных или унижающих достоинство видов обращения и наказания</w:t>
      </w:r>
    </w:p>
    <w:p w:rsidR="00063AF6" w:rsidRPr="00063AF6" w:rsidRDefault="00B65EEC" w:rsidP="00B65EEC">
      <w:pPr>
        <w:pStyle w:val="HChGR"/>
        <w:spacing w:before="0"/>
      </w:pPr>
      <w:r>
        <w:rPr>
          <w:lang w:val="en-US"/>
        </w:rPr>
        <w:tab/>
      </w:r>
      <w:r>
        <w:rPr>
          <w:lang w:val="en-US"/>
        </w:rPr>
        <w:tab/>
      </w:r>
      <w:r w:rsidR="00063AF6" w:rsidRPr="00063AF6">
        <w:t>(пятьдесят вторая сессия)</w:t>
      </w:r>
    </w:p>
    <w:p w:rsidR="00063AF6" w:rsidRPr="00063AF6" w:rsidRDefault="00063AF6" w:rsidP="00B65EEC">
      <w:pPr>
        <w:pStyle w:val="SingleTxtGR"/>
      </w:pPr>
      <w:r w:rsidRPr="00063AF6">
        <w:t>относительно</w:t>
      </w:r>
    </w:p>
    <w:p w:rsidR="00B303E8" w:rsidRDefault="00063AF6" w:rsidP="00B65EEC">
      <w:pPr>
        <w:pStyle w:val="H1GR"/>
        <w:rPr>
          <w:lang w:val="en-US"/>
        </w:rPr>
      </w:pPr>
      <w:r w:rsidRPr="00063AF6">
        <w:tab/>
      </w:r>
      <w:r w:rsidRPr="00063AF6">
        <w:tab/>
        <w:t>Сообщения № 483/2011 и № 485/2011</w:t>
      </w:r>
    </w:p>
    <w:tbl>
      <w:tblPr>
        <w:tblStyle w:val="TableGrid"/>
        <w:tblW w:w="0" w:type="auto"/>
        <w:tblInd w:w="1701" w:type="dxa"/>
        <w:tblBorders>
          <w:top w:val="none" w:sz="0" w:space="0" w:color="auto"/>
          <w:bottom w:val="none" w:sz="0" w:space="0" w:color="auto"/>
        </w:tblBorders>
        <w:tblLayout w:type="fixed"/>
        <w:tblCellMar>
          <w:left w:w="0" w:type="dxa"/>
          <w:right w:w="0" w:type="dxa"/>
        </w:tblCellMar>
        <w:tblLook w:val="01E0"/>
      </w:tblPr>
      <w:tblGrid>
        <w:gridCol w:w="3119"/>
        <w:gridCol w:w="3685"/>
      </w:tblGrid>
      <w:tr w:rsidR="002C1160" w:rsidRPr="002C1160" w:rsidTr="002C1160">
        <w:trPr>
          <w:cnfStyle w:val="100000000000"/>
        </w:trPr>
        <w:tc>
          <w:tcPr>
            <w:tcW w:w="3119" w:type="dxa"/>
          </w:tcPr>
          <w:p w:rsidR="002C1160" w:rsidRPr="002C1160" w:rsidRDefault="002C1160" w:rsidP="002C1160">
            <w:pPr>
              <w:spacing w:after="120"/>
              <w:rPr>
                <w:i/>
                <w:sz w:val="20"/>
              </w:rPr>
            </w:pPr>
            <w:r w:rsidRPr="002C1160">
              <w:rPr>
                <w:i/>
                <w:sz w:val="20"/>
              </w:rPr>
              <w:t>Представлено:</w:t>
            </w:r>
          </w:p>
        </w:tc>
        <w:tc>
          <w:tcPr>
            <w:tcW w:w="3685" w:type="dxa"/>
          </w:tcPr>
          <w:p w:rsidR="002C1160" w:rsidRPr="00AF57BB" w:rsidRDefault="002C1160" w:rsidP="002C1160">
            <w:pPr>
              <w:suppressAutoHyphens/>
              <w:spacing w:before="0" w:after="120"/>
              <w:rPr>
                <w:sz w:val="20"/>
              </w:rPr>
            </w:pPr>
            <w:r w:rsidRPr="00184FA4">
              <w:rPr>
                <w:sz w:val="20"/>
              </w:rPr>
              <w:t xml:space="preserve">Г-ном Х и г-ном </w:t>
            </w:r>
            <w:r w:rsidRPr="00184FA4">
              <w:rPr>
                <w:sz w:val="20"/>
                <w:lang w:val="en-US"/>
              </w:rPr>
              <w:t>Z</w:t>
            </w:r>
            <w:r w:rsidRPr="00184FA4">
              <w:rPr>
                <w:sz w:val="20"/>
              </w:rPr>
              <w:t>, которых представляет Марианна Лейн из центра консультативной помощи беженцам</w:t>
            </w:r>
          </w:p>
        </w:tc>
      </w:tr>
      <w:tr w:rsidR="002C1160" w:rsidRPr="002C1160" w:rsidTr="002C1160">
        <w:tc>
          <w:tcPr>
            <w:tcW w:w="3119" w:type="dxa"/>
          </w:tcPr>
          <w:p w:rsidR="002C1160" w:rsidRPr="002C1160" w:rsidRDefault="002C1160" w:rsidP="002C1160">
            <w:pPr>
              <w:spacing w:after="120"/>
              <w:rPr>
                <w:i/>
                <w:sz w:val="20"/>
              </w:rPr>
            </w:pPr>
            <w:r w:rsidRPr="002C1160">
              <w:rPr>
                <w:i/>
                <w:sz w:val="20"/>
              </w:rPr>
              <w:t>Предполагаемая жертва:</w:t>
            </w:r>
          </w:p>
        </w:tc>
        <w:tc>
          <w:tcPr>
            <w:tcW w:w="3685" w:type="dxa"/>
          </w:tcPr>
          <w:p w:rsidR="002C1160" w:rsidRPr="002C1160" w:rsidRDefault="002C1160" w:rsidP="002C1160">
            <w:pPr>
              <w:spacing w:after="120"/>
              <w:rPr>
                <w:sz w:val="20"/>
              </w:rPr>
            </w:pPr>
            <w:r w:rsidRPr="001B70DC">
              <w:rPr>
                <w:sz w:val="20"/>
              </w:rPr>
              <w:t>Заявитель</w:t>
            </w:r>
          </w:p>
        </w:tc>
      </w:tr>
      <w:tr w:rsidR="002C1160" w:rsidRPr="002C1160" w:rsidTr="002C1160">
        <w:tc>
          <w:tcPr>
            <w:tcW w:w="3119" w:type="dxa"/>
          </w:tcPr>
          <w:p w:rsidR="002C1160" w:rsidRPr="002C1160" w:rsidRDefault="002C1160" w:rsidP="002C1160">
            <w:pPr>
              <w:spacing w:after="120"/>
              <w:rPr>
                <w:sz w:val="20"/>
              </w:rPr>
            </w:pPr>
            <w:r w:rsidRPr="002C1160">
              <w:rPr>
                <w:i/>
                <w:sz w:val="20"/>
              </w:rPr>
              <w:t>Государство-участник:</w:t>
            </w:r>
          </w:p>
        </w:tc>
        <w:tc>
          <w:tcPr>
            <w:tcW w:w="3685" w:type="dxa"/>
          </w:tcPr>
          <w:p w:rsidR="002C1160" w:rsidRPr="002C1160" w:rsidRDefault="002C1160" w:rsidP="002C1160">
            <w:pPr>
              <w:spacing w:after="120"/>
              <w:rPr>
                <w:sz w:val="20"/>
              </w:rPr>
            </w:pPr>
            <w:r>
              <w:rPr>
                <w:sz w:val="20"/>
              </w:rPr>
              <w:t>Финляндия</w:t>
            </w:r>
          </w:p>
        </w:tc>
      </w:tr>
      <w:tr w:rsidR="002C1160" w:rsidRPr="002C1160" w:rsidTr="002C1160">
        <w:tc>
          <w:tcPr>
            <w:tcW w:w="3119" w:type="dxa"/>
          </w:tcPr>
          <w:p w:rsidR="002C1160" w:rsidRPr="002C1160" w:rsidRDefault="002C1160" w:rsidP="002C1160">
            <w:pPr>
              <w:spacing w:after="120"/>
              <w:rPr>
                <w:sz w:val="20"/>
              </w:rPr>
            </w:pPr>
            <w:r w:rsidRPr="002C1160">
              <w:rPr>
                <w:i/>
                <w:sz w:val="20"/>
              </w:rPr>
              <w:t>Дата сообщения:</w:t>
            </w:r>
          </w:p>
        </w:tc>
        <w:tc>
          <w:tcPr>
            <w:tcW w:w="3685" w:type="dxa"/>
          </w:tcPr>
          <w:p w:rsidR="002C1160" w:rsidRPr="00184FA4" w:rsidRDefault="002C1160" w:rsidP="002C1160">
            <w:pPr>
              <w:suppressAutoHyphens/>
              <w:spacing w:before="0" w:after="120"/>
              <w:rPr>
                <w:sz w:val="20"/>
                <w:lang w:val="en-US"/>
              </w:rPr>
            </w:pPr>
            <w:r w:rsidRPr="00184FA4">
              <w:rPr>
                <w:sz w:val="20"/>
              </w:rPr>
              <w:t>14 ноября 2011</w:t>
            </w:r>
            <w:r w:rsidRPr="00184FA4">
              <w:rPr>
                <w:sz w:val="20"/>
                <w:lang/>
              </w:rPr>
              <w:t xml:space="preserve"> </w:t>
            </w:r>
            <w:r w:rsidRPr="00184FA4">
              <w:rPr>
                <w:sz w:val="20"/>
              </w:rPr>
              <w:t xml:space="preserve">года </w:t>
            </w:r>
            <w:r w:rsidRPr="00184FA4">
              <w:rPr>
                <w:sz w:val="20"/>
                <w:lang/>
              </w:rPr>
              <w:t>(</w:t>
            </w:r>
            <w:r w:rsidRPr="00184FA4">
              <w:rPr>
                <w:sz w:val="20"/>
              </w:rPr>
              <w:t>первоначальное представление</w:t>
            </w:r>
            <w:r w:rsidRPr="00184FA4">
              <w:rPr>
                <w:sz w:val="20"/>
                <w:lang/>
              </w:rPr>
              <w:t>)</w:t>
            </w:r>
          </w:p>
        </w:tc>
      </w:tr>
    </w:tbl>
    <w:p w:rsidR="002C1160" w:rsidRPr="002C1160" w:rsidRDefault="002C1160" w:rsidP="00E604F5">
      <w:pPr>
        <w:pStyle w:val="SingleTxtGR"/>
        <w:spacing w:before="120"/>
        <w:rPr>
          <w:lang w:eastAsia="ru-RU"/>
        </w:rPr>
      </w:pPr>
      <w:r w:rsidRPr="002C1160">
        <w:rPr>
          <w:lang w:eastAsia="ru-RU"/>
        </w:rPr>
        <w:tab/>
      </w:r>
      <w:r w:rsidRPr="002C1160">
        <w:rPr>
          <w:i/>
          <w:lang w:eastAsia="ru-RU"/>
        </w:rPr>
        <w:t>Комитет против пыток,</w:t>
      </w:r>
      <w:r w:rsidRPr="002C1160">
        <w:rPr>
          <w:lang w:eastAsia="ru-RU"/>
        </w:rP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2C1160" w:rsidRPr="002C1160" w:rsidRDefault="002C1160" w:rsidP="002C1160">
      <w:pPr>
        <w:pStyle w:val="SingleTxtGR"/>
        <w:rPr>
          <w:lang w:eastAsia="ru-RU"/>
        </w:rPr>
      </w:pPr>
      <w:r w:rsidRPr="002C1160">
        <w:rPr>
          <w:lang w:eastAsia="ru-RU"/>
        </w:rPr>
        <w:tab/>
      </w:r>
      <w:r w:rsidRPr="002C1160">
        <w:rPr>
          <w:i/>
          <w:lang w:eastAsia="ru-RU"/>
        </w:rPr>
        <w:t>на своем заседании</w:t>
      </w:r>
      <w:r w:rsidRPr="002C1160">
        <w:rPr>
          <w:lang w:eastAsia="ru-RU"/>
        </w:rPr>
        <w:t xml:space="preserve"> 12 мая 2014 года,</w:t>
      </w:r>
    </w:p>
    <w:p w:rsidR="002C1160" w:rsidRPr="002C1160" w:rsidRDefault="002C1160" w:rsidP="002C1160">
      <w:pPr>
        <w:pStyle w:val="SingleTxtGR"/>
        <w:rPr>
          <w:lang w:eastAsia="ru-RU"/>
        </w:rPr>
      </w:pPr>
      <w:r w:rsidRPr="002C1160">
        <w:rPr>
          <w:lang w:eastAsia="ru-RU"/>
        </w:rPr>
        <w:tab/>
      </w:r>
      <w:r w:rsidRPr="002C1160">
        <w:rPr>
          <w:i/>
          <w:lang w:eastAsia="ru-RU"/>
        </w:rPr>
        <w:t>завершив</w:t>
      </w:r>
      <w:r w:rsidRPr="002C1160">
        <w:rPr>
          <w:lang w:eastAsia="ru-RU"/>
        </w:rPr>
        <w:t xml:space="preserve"> рассмотрение жалоб № 483/2011 и № 485/2011, представленных в Комитет против пыток г-ном Х и г-ном </w:t>
      </w:r>
      <w:r w:rsidRPr="002C1160">
        <w:rPr>
          <w:lang w:val="en-US" w:eastAsia="ru-RU"/>
        </w:rPr>
        <w:t>Z</w:t>
      </w:r>
      <w:r w:rsidRPr="002C1160">
        <w:rPr>
          <w:lang w:eastAsia="ru-RU"/>
        </w:rPr>
        <w:t xml:space="preserve"> в соответствии со статьей 22 Ко</w:t>
      </w:r>
      <w:r w:rsidRPr="002C1160">
        <w:rPr>
          <w:lang w:eastAsia="ru-RU"/>
        </w:rPr>
        <w:t>н</w:t>
      </w:r>
      <w:r w:rsidRPr="002C1160">
        <w:rPr>
          <w:lang w:eastAsia="ru-RU"/>
        </w:rPr>
        <w:t>венции против пыток и других жестоких, бесчеловечных или унижающих до</w:t>
      </w:r>
      <w:r w:rsidRPr="002C1160">
        <w:rPr>
          <w:lang w:eastAsia="ru-RU"/>
        </w:rPr>
        <w:t>с</w:t>
      </w:r>
      <w:r w:rsidRPr="002C1160">
        <w:rPr>
          <w:lang w:eastAsia="ru-RU"/>
        </w:rPr>
        <w:t>тоинство видов обращения и наказания,</w:t>
      </w:r>
    </w:p>
    <w:p w:rsidR="002C1160" w:rsidRPr="002C1160" w:rsidRDefault="002C1160" w:rsidP="002C1160">
      <w:pPr>
        <w:pStyle w:val="SingleTxtGR"/>
        <w:rPr>
          <w:lang w:eastAsia="ru-RU"/>
        </w:rPr>
      </w:pPr>
      <w:r w:rsidRPr="002C1160">
        <w:rPr>
          <w:lang w:eastAsia="ru-RU"/>
        </w:rPr>
        <w:tab/>
      </w:r>
      <w:r w:rsidRPr="002C1160">
        <w:rPr>
          <w:i/>
          <w:lang w:eastAsia="ru-RU"/>
        </w:rPr>
        <w:t>приняв во внимание</w:t>
      </w:r>
      <w:r w:rsidRPr="002C1160">
        <w:rPr>
          <w:lang w:eastAsia="ru-RU"/>
        </w:rPr>
        <w:t xml:space="preserve"> всю информацию, которая ему была представлена заявителями и государс</w:t>
      </w:r>
      <w:r w:rsidRPr="002C1160">
        <w:rPr>
          <w:lang w:eastAsia="ru-RU"/>
        </w:rPr>
        <w:t>т</w:t>
      </w:r>
      <w:r w:rsidRPr="002C1160">
        <w:rPr>
          <w:lang w:eastAsia="ru-RU"/>
        </w:rPr>
        <w:t>вом-участником,</w:t>
      </w:r>
    </w:p>
    <w:p w:rsidR="002C1160" w:rsidRPr="002C1160" w:rsidRDefault="002C1160" w:rsidP="002C1160">
      <w:pPr>
        <w:pStyle w:val="SingleTxtGR"/>
        <w:rPr>
          <w:lang w:eastAsia="ru-RU"/>
        </w:rPr>
      </w:pPr>
      <w:r w:rsidRPr="002C1160">
        <w:rPr>
          <w:lang w:eastAsia="ru-RU"/>
        </w:rPr>
        <w:tab/>
      </w:r>
      <w:r w:rsidRPr="002C1160">
        <w:rPr>
          <w:i/>
          <w:lang w:eastAsia="ru-RU"/>
        </w:rPr>
        <w:t>принимает</w:t>
      </w:r>
      <w:r w:rsidRPr="002C1160">
        <w:rPr>
          <w:lang w:eastAsia="ru-RU"/>
        </w:rPr>
        <w:t xml:space="preserve"> следующее:</w:t>
      </w:r>
    </w:p>
    <w:p w:rsidR="002C1160" w:rsidRPr="002C1160" w:rsidRDefault="002C1160" w:rsidP="00E604F5">
      <w:pPr>
        <w:pStyle w:val="H1GR"/>
      </w:pPr>
      <w:r w:rsidRPr="002C1160">
        <w:tab/>
      </w:r>
      <w:r w:rsidRPr="002C1160">
        <w:tab/>
        <w:t xml:space="preserve">Решение согласно пункту 7 статьи 22 Конвенции против пыток </w:t>
      </w:r>
    </w:p>
    <w:p w:rsidR="002C1160" w:rsidRPr="002C1160" w:rsidRDefault="002C1160" w:rsidP="002C1160">
      <w:pPr>
        <w:pStyle w:val="SingleTxtGR"/>
        <w:rPr>
          <w:lang w:eastAsia="ru-RU"/>
        </w:rPr>
      </w:pPr>
      <w:r w:rsidRPr="002C1160">
        <w:rPr>
          <w:lang w:eastAsia="ru-RU"/>
        </w:rPr>
        <w:t>1.1</w:t>
      </w:r>
      <w:r w:rsidRPr="002C1160">
        <w:rPr>
          <w:lang w:eastAsia="ru-RU"/>
        </w:rPr>
        <w:tab/>
        <w:t>Заявителями 14 ноября 2011 года и 16 ноября 2011</w:t>
      </w:r>
      <w:r w:rsidR="001B0769">
        <w:rPr>
          <w:lang w:eastAsia="ru-RU"/>
        </w:rPr>
        <w:t xml:space="preserve"> </w:t>
      </w:r>
      <w:r w:rsidRPr="002C1160">
        <w:rPr>
          <w:lang w:eastAsia="ru-RU"/>
        </w:rPr>
        <w:t xml:space="preserve">года являются г-н Х и г-н </w:t>
      </w:r>
      <w:r w:rsidRPr="002C1160">
        <w:rPr>
          <w:lang w:val="en-US" w:eastAsia="ru-RU"/>
        </w:rPr>
        <w:t>Z</w:t>
      </w:r>
      <w:r w:rsidRPr="002C1160">
        <w:rPr>
          <w:lang w:eastAsia="ru-RU"/>
        </w:rPr>
        <w:t>, оба из которых являются гражданами Ирана курдского происхождения, рожденными в 1983 и 1984 годах соответственно. Их прошение о предоставл</w:t>
      </w:r>
      <w:r w:rsidRPr="002C1160">
        <w:rPr>
          <w:lang w:eastAsia="ru-RU"/>
        </w:rPr>
        <w:t>е</w:t>
      </w:r>
      <w:r w:rsidRPr="002C1160">
        <w:rPr>
          <w:lang w:eastAsia="ru-RU"/>
        </w:rPr>
        <w:t>нии убежища в Финляндии было отклонено, и им угрожает депортация в И</w:t>
      </w:r>
      <w:r w:rsidRPr="002C1160">
        <w:rPr>
          <w:lang w:eastAsia="ru-RU"/>
        </w:rPr>
        <w:t>с</w:t>
      </w:r>
      <w:r w:rsidRPr="002C1160">
        <w:rPr>
          <w:lang w:eastAsia="ru-RU"/>
        </w:rPr>
        <w:t>ламскую Республику Иран. Они утверждают, что их депортация в Исламскую Республику Иран станет нарушением Финляндией статьи 3 Конвенции против пыток. Заявителей представляет адвокат М</w:t>
      </w:r>
      <w:r w:rsidRPr="002C1160">
        <w:rPr>
          <w:lang w:eastAsia="ru-RU"/>
        </w:rPr>
        <w:t>а</w:t>
      </w:r>
      <w:r w:rsidRPr="002C1160">
        <w:rPr>
          <w:lang w:eastAsia="ru-RU"/>
        </w:rPr>
        <w:t>рианна Лейн.</w:t>
      </w:r>
    </w:p>
    <w:p w:rsidR="002C1160" w:rsidRPr="002C1160" w:rsidRDefault="002C1160" w:rsidP="002C1160">
      <w:pPr>
        <w:pStyle w:val="SingleTxtGR"/>
        <w:rPr>
          <w:lang w:eastAsia="ru-RU"/>
        </w:rPr>
      </w:pPr>
      <w:r w:rsidRPr="002C1160">
        <w:rPr>
          <w:lang w:eastAsia="ru-RU"/>
        </w:rPr>
        <w:t>1.2</w:t>
      </w:r>
      <w:r w:rsidRPr="002C1160">
        <w:rPr>
          <w:lang w:eastAsia="ru-RU"/>
        </w:rPr>
        <w:tab/>
        <w:t>15 ноября 2011 года государству-участнику была направлена просьба в соответствии с пунктом 1 правила 114 (бывший пункт 1 правила 108), правил Комитета (</w:t>
      </w:r>
      <w:r w:rsidRPr="002C1160">
        <w:rPr>
          <w:lang w:val="en-GB" w:eastAsia="ru-RU"/>
        </w:rPr>
        <w:t>CAT</w:t>
      </w:r>
      <w:r w:rsidRPr="002C1160">
        <w:rPr>
          <w:lang w:eastAsia="ru-RU"/>
        </w:rPr>
        <w:t>/</w:t>
      </w:r>
      <w:r w:rsidRPr="002C1160">
        <w:rPr>
          <w:lang w:val="en-GB" w:eastAsia="ru-RU"/>
        </w:rPr>
        <w:t>C</w:t>
      </w:r>
      <w:r w:rsidRPr="002C1160">
        <w:rPr>
          <w:lang w:eastAsia="ru-RU"/>
        </w:rPr>
        <w:t>/3/</w:t>
      </w:r>
      <w:r w:rsidRPr="002C1160">
        <w:rPr>
          <w:lang w:val="en-GB" w:eastAsia="ru-RU"/>
        </w:rPr>
        <w:t>Rev</w:t>
      </w:r>
      <w:r w:rsidR="00164F99">
        <w:rPr>
          <w:lang w:eastAsia="ru-RU"/>
        </w:rPr>
        <w:t>.</w:t>
      </w:r>
      <w:r w:rsidR="00E15AA7">
        <w:rPr>
          <w:lang w:eastAsia="ru-RU"/>
        </w:rPr>
        <w:t>5</w:t>
      </w:r>
      <w:r w:rsidRPr="002C1160">
        <w:rPr>
          <w:lang w:eastAsia="ru-RU"/>
        </w:rPr>
        <w:t>) не высылать заявителей, пока их жалоба рассматр</w:t>
      </w:r>
      <w:r w:rsidRPr="002C1160">
        <w:rPr>
          <w:lang w:eastAsia="ru-RU"/>
        </w:rPr>
        <w:t>и</w:t>
      </w:r>
      <w:r w:rsidRPr="002C1160">
        <w:rPr>
          <w:lang w:eastAsia="ru-RU"/>
        </w:rPr>
        <w:t>вается Комитетом. 12 января 2012 года государство-участник проинформиров</w:t>
      </w:r>
      <w:r w:rsidRPr="002C1160">
        <w:rPr>
          <w:lang w:eastAsia="ru-RU"/>
        </w:rPr>
        <w:t>а</w:t>
      </w:r>
      <w:r w:rsidRPr="002C1160">
        <w:rPr>
          <w:lang w:eastAsia="ru-RU"/>
        </w:rPr>
        <w:t>ло Комитет о том, что оно предприняло необходимые шаги для выполнения просьбы Комитета о пр</w:t>
      </w:r>
      <w:r w:rsidRPr="002C1160">
        <w:rPr>
          <w:lang w:eastAsia="ru-RU"/>
        </w:rPr>
        <w:t>и</w:t>
      </w:r>
      <w:r w:rsidRPr="002C1160">
        <w:rPr>
          <w:lang w:eastAsia="ru-RU"/>
        </w:rPr>
        <w:t>менении временных мер защиты.</w:t>
      </w:r>
    </w:p>
    <w:p w:rsidR="002C1160" w:rsidRPr="002C1160" w:rsidRDefault="002C1160" w:rsidP="002C1160">
      <w:pPr>
        <w:pStyle w:val="SingleTxtGR"/>
        <w:rPr>
          <w:lang w:eastAsia="ru-RU"/>
        </w:rPr>
      </w:pPr>
      <w:r w:rsidRPr="002C1160">
        <w:rPr>
          <w:lang w:eastAsia="ru-RU"/>
        </w:rPr>
        <w:t>1.3</w:t>
      </w:r>
      <w:r w:rsidRPr="002C1160">
        <w:rPr>
          <w:lang w:eastAsia="ru-RU"/>
        </w:rPr>
        <w:tab/>
        <w:t>12 мая 2014 года, согласно пункту 4 правила 111 обновленных правил процедуры (</w:t>
      </w:r>
      <w:r w:rsidRPr="002C1160">
        <w:rPr>
          <w:lang w:val="en-GB" w:eastAsia="ru-RU"/>
        </w:rPr>
        <w:t>CAT</w:t>
      </w:r>
      <w:r w:rsidRPr="002C1160">
        <w:rPr>
          <w:lang w:eastAsia="ru-RU"/>
        </w:rPr>
        <w:t>/</w:t>
      </w:r>
      <w:r w:rsidRPr="002C1160">
        <w:rPr>
          <w:lang w:val="en-GB" w:eastAsia="ru-RU"/>
        </w:rPr>
        <w:t>C</w:t>
      </w:r>
      <w:r w:rsidRPr="002C1160">
        <w:rPr>
          <w:lang w:eastAsia="ru-RU"/>
        </w:rPr>
        <w:t>/3/</w:t>
      </w:r>
      <w:r w:rsidRPr="002C1160">
        <w:rPr>
          <w:lang w:val="en-GB" w:eastAsia="ru-RU"/>
        </w:rPr>
        <w:t>Rev</w:t>
      </w:r>
      <w:r w:rsidRPr="002C1160">
        <w:rPr>
          <w:lang w:eastAsia="ru-RU"/>
        </w:rPr>
        <w:t>.6), Комитет принял решение о совместном рассмотр</w:t>
      </w:r>
      <w:r w:rsidRPr="002C1160">
        <w:rPr>
          <w:lang w:eastAsia="ru-RU"/>
        </w:rPr>
        <w:t>е</w:t>
      </w:r>
      <w:r w:rsidRPr="002C1160">
        <w:rPr>
          <w:lang w:eastAsia="ru-RU"/>
        </w:rPr>
        <w:t>нии двух сообщений.</w:t>
      </w:r>
    </w:p>
    <w:p w:rsidR="002C1160" w:rsidRPr="002C1160" w:rsidRDefault="002C1160" w:rsidP="00B9023C">
      <w:pPr>
        <w:pStyle w:val="H23GR"/>
      </w:pPr>
      <w:r w:rsidRPr="002C1160">
        <w:tab/>
      </w:r>
      <w:r w:rsidRPr="002C1160">
        <w:tab/>
        <w:t>Фактическая сторона дела</w:t>
      </w:r>
    </w:p>
    <w:p w:rsidR="002C1160" w:rsidRPr="002C1160" w:rsidRDefault="002C1160" w:rsidP="002C1160">
      <w:pPr>
        <w:pStyle w:val="SingleTxtGR"/>
        <w:rPr>
          <w:lang w:eastAsia="ru-RU"/>
        </w:rPr>
      </w:pPr>
      <w:r w:rsidRPr="002C1160">
        <w:rPr>
          <w:lang w:eastAsia="ru-RU"/>
        </w:rPr>
        <w:t>2.1</w:t>
      </w:r>
      <w:r w:rsidRPr="002C1160">
        <w:rPr>
          <w:lang w:eastAsia="ru-RU"/>
        </w:rPr>
        <w:tab/>
        <w:t>Заявители являются братьями и гражданами Ирана из Махабада, по пр</w:t>
      </w:r>
      <w:r w:rsidRPr="002C1160">
        <w:rPr>
          <w:lang w:eastAsia="ru-RU"/>
        </w:rPr>
        <w:t>о</w:t>
      </w:r>
      <w:r w:rsidRPr="002C1160">
        <w:rPr>
          <w:lang w:eastAsia="ru-RU"/>
        </w:rPr>
        <w:t>исхождению принадлежащие к курдскому меньшинству. Оба утверждают, что они были политическими активистами в Исламской Республике Иран, Ираке и Финляндии. Они происходят из политически активных и высокопоставленных семейных кругов; их отец и дяди являлись членами партии Комала и подверг</w:t>
      </w:r>
      <w:r w:rsidRPr="002C1160">
        <w:rPr>
          <w:lang w:eastAsia="ru-RU"/>
        </w:rPr>
        <w:t>а</w:t>
      </w:r>
      <w:r w:rsidRPr="002C1160">
        <w:rPr>
          <w:lang w:eastAsia="ru-RU"/>
        </w:rPr>
        <w:t>лись преследованиям за свои политические убеждения и деятельность. Один дядя</w:t>
      </w:r>
      <w:r w:rsidR="001B0769">
        <w:rPr>
          <w:lang w:eastAsia="ru-RU"/>
        </w:rPr>
        <w:t xml:space="preserve"> </w:t>
      </w:r>
      <w:r w:rsidRPr="002C1160">
        <w:rPr>
          <w:lang w:eastAsia="ru-RU"/>
        </w:rPr>
        <w:t xml:space="preserve">был </w:t>
      </w:r>
      <w:r w:rsidRPr="004D3ADA">
        <w:rPr>
          <w:iCs/>
          <w:lang w:val="en-GB" w:eastAsia="ru-RU"/>
        </w:rPr>
        <w:t>peshmerga</w:t>
      </w:r>
      <w:r w:rsidRPr="002C1160">
        <w:rPr>
          <w:i/>
          <w:iCs/>
          <w:lang w:eastAsia="ru-RU"/>
        </w:rPr>
        <w:t xml:space="preserve"> </w:t>
      </w:r>
      <w:r w:rsidRPr="002C1160">
        <w:rPr>
          <w:iCs/>
          <w:lang w:eastAsia="ru-RU"/>
        </w:rPr>
        <w:t>(вооруженные бойцы Курдистана), и другой дядя был чл</w:t>
      </w:r>
      <w:r w:rsidRPr="002C1160">
        <w:rPr>
          <w:iCs/>
          <w:lang w:eastAsia="ru-RU"/>
        </w:rPr>
        <w:t>е</w:t>
      </w:r>
      <w:r w:rsidRPr="002C1160">
        <w:rPr>
          <w:iCs/>
          <w:lang w:eastAsia="ru-RU"/>
        </w:rPr>
        <w:t>ном центрального комитета партии Комала. Их отец и один из их дядей в н</w:t>
      </w:r>
      <w:r w:rsidRPr="002C1160">
        <w:rPr>
          <w:iCs/>
          <w:lang w:eastAsia="ru-RU"/>
        </w:rPr>
        <w:t>а</w:t>
      </w:r>
      <w:r w:rsidRPr="002C1160">
        <w:rPr>
          <w:iCs/>
          <w:lang w:eastAsia="ru-RU"/>
        </w:rPr>
        <w:t>стоящее время являются гражданами Финляндии, которые получили разреш</w:t>
      </w:r>
      <w:r w:rsidRPr="002C1160">
        <w:rPr>
          <w:iCs/>
          <w:lang w:eastAsia="ru-RU"/>
        </w:rPr>
        <w:t>е</w:t>
      </w:r>
      <w:r w:rsidRPr="002C1160">
        <w:rPr>
          <w:iCs/>
          <w:lang w:eastAsia="ru-RU"/>
        </w:rPr>
        <w:t>ние на проживание в Финляндии, поскольку они нуждались в международной защите.</w:t>
      </w:r>
    </w:p>
    <w:p w:rsidR="002C1160" w:rsidRPr="002C1160" w:rsidRDefault="002C1160" w:rsidP="002C1160">
      <w:pPr>
        <w:pStyle w:val="SingleTxtGR"/>
        <w:rPr>
          <w:lang w:eastAsia="ru-RU"/>
        </w:rPr>
      </w:pPr>
      <w:r w:rsidRPr="002C1160">
        <w:rPr>
          <w:lang w:eastAsia="ru-RU"/>
        </w:rPr>
        <w:t>2.2</w:t>
      </w:r>
      <w:r w:rsidRPr="002C1160">
        <w:rPr>
          <w:lang w:eastAsia="ru-RU"/>
        </w:rPr>
        <w:tab/>
        <w:t>Заявители утверждают, что в 1999 году, когда они были подростками, они были вынуждены покинуть Исламскую Республику Иран вместе со своей сем</w:t>
      </w:r>
      <w:r w:rsidRPr="002C1160">
        <w:rPr>
          <w:lang w:eastAsia="ru-RU"/>
        </w:rPr>
        <w:t>ь</w:t>
      </w:r>
      <w:r w:rsidRPr="002C1160">
        <w:rPr>
          <w:lang w:eastAsia="ru-RU"/>
        </w:rPr>
        <w:t>ей. Семья обратилась за предоставлением убежища в Турции в 2003 году, а их отец выехал в Финляндию и получил в этой стране защиту. Авторы обеих ж</w:t>
      </w:r>
      <w:r w:rsidRPr="002C1160">
        <w:rPr>
          <w:lang w:eastAsia="ru-RU"/>
        </w:rPr>
        <w:t>а</w:t>
      </w:r>
      <w:r w:rsidRPr="002C1160">
        <w:rPr>
          <w:lang w:eastAsia="ru-RU"/>
        </w:rPr>
        <w:t>лоб и остальные члены семьи возвратились в Исламскую Республику Иран в 2004 году. По возвращению их допрашивали иранские власти относительно м</w:t>
      </w:r>
      <w:r w:rsidRPr="002C1160">
        <w:rPr>
          <w:lang w:eastAsia="ru-RU"/>
        </w:rPr>
        <w:t>е</w:t>
      </w:r>
      <w:r w:rsidRPr="002C1160">
        <w:rPr>
          <w:lang w:eastAsia="ru-RU"/>
        </w:rPr>
        <w:t>стонахождения их отца и о</w:t>
      </w:r>
      <w:r w:rsidR="00B9023C">
        <w:rPr>
          <w:lang w:eastAsia="ru-RU"/>
        </w:rPr>
        <w:t>б</w:t>
      </w:r>
      <w:r w:rsidRPr="002C1160">
        <w:rPr>
          <w:lang w:eastAsia="ru-RU"/>
        </w:rPr>
        <w:t xml:space="preserve"> их заявлении о предоставлении политического уб</w:t>
      </w:r>
      <w:r w:rsidRPr="002C1160">
        <w:rPr>
          <w:lang w:eastAsia="ru-RU"/>
        </w:rPr>
        <w:t>е</w:t>
      </w:r>
      <w:r w:rsidRPr="002C1160">
        <w:rPr>
          <w:lang w:eastAsia="ru-RU"/>
        </w:rPr>
        <w:t>жища в Турции. На один месяц они были заключены в тюрьму и выплатили штрафы за незаконный выезд из Республики Иран без получения предварител</w:t>
      </w:r>
      <w:r w:rsidRPr="002C1160">
        <w:rPr>
          <w:lang w:eastAsia="ru-RU"/>
        </w:rPr>
        <w:t>ь</w:t>
      </w:r>
      <w:r w:rsidRPr="002C1160">
        <w:rPr>
          <w:lang w:eastAsia="ru-RU"/>
        </w:rPr>
        <w:t>ного разрешения органов власти.</w:t>
      </w:r>
    </w:p>
    <w:p w:rsidR="002C1160" w:rsidRPr="002C1160" w:rsidRDefault="002C1160" w:rsidP="002C1160">
      <w:pPr>
        <w:pStyle w:val="SingleTxtGR"/>
        <w:rPr>
          <w:lang w:eastAsia="ru-RU"/>
        </w:rPr>
      </w:pPr>
      <w:r w:rsidRPr="002C1160">
        <w:rPr>
          <w:lang w:eastAsia="ru-RU"/>
        </w:rPr>
        <w:t>2.3</w:t>
      </w:r>
      <w:r w:rsidRPr="002C1160">
        <w:rPr>
          <w:lang w:eastAsia="ru-RU"/>
        </w:rPr>
        <w:tab/>
        <w:t>Заявители утверждают, что после их освобождения они начали занимат</w:t>
      </w:r>
      <w:r w:rsidRPr="002C1160">
        <w:rPr>
          <w:lang w:eastAsia="ru-RU"/>
        </w:rPr>
        <w:t>ь</w:t>
      </w:r>
      <w:r w:rsidRPr="002C1160">
        <w:rPr>
          <w:lang w:eastAsia="ru-RU"/>
        </w:rPr>
        <w:t>ся политической деятел</w:t>
      </w:r>
      <w:r w:rsidRPr="002C1160">
        <w:rPr>
          <w:lang w:eastAsia="ru-RU"/>
        </w:rPr>
        <w:t>ь</w:t>
      </w:r>
      <w:r w:rsidRPr="002C1160">
        <w:rPr>
          <w:lang w:eastAsia="ru-RU"/>
        </w:rPr>
        <w:t>ностью в Исламской Республике Иран, вступив в ряды незаконной партии Комала. Цель их нахождения в партии состояла в распред</w:t>
      </w:r>
      <w:r w:rsidRPr="002C1160">
        <w:rPr>
          <w:lang w:eastAsia="ru-RU"/>
        </w:rPr>
        <w:t>е</w:t>
      </w:r>
      <w:r w:rsidRPr="002C1160">
        <w:rPr>
          <w:lang w:eastAsia="ru-RU"/>
        </w:rPr>
        <w:t xml:space="preserve">лении партийных брошюр и других материалов. </w:t>
      </w:r>
    </w:p>
    <w:p w:rsidR="002C1160" w:rsidRPr="002C1160" w:rsidRDefault="002C1160" w:rsidP="002C1160">
      <w:pPr>
        <w:pStyle w:val="SingleTxtGR"/>
        <w:rPr>
          <w:lang w:eastAsia="ru-RU"/>
        </w:rPr>
      </w:pPr>
      <w:r w:rsidRPr="002C1160">
        <w:rPr>
          <w:lang w:eastAsia="ru-RU"/>
        </w:rPr>
        <w:t>2.4</w:t>
      </w:r>
      <w:r w:rsidRPr="002C1160">
        <w:rPr>
          <w:lang w:eastAsia="ru-RU"/>
        </w:rPr>
        <w:tab/>
        <w:t>23 июня 2007 года заявители были арестованы в городе Махабад орган</w:t>
      </w:r>
      <w:r w:rsidRPr="002C1160">
        <w:rPr>
          <w:lang w:eastAsia="ru-RU"/>
        </w:rPr>
        <w:t>а</w:t>
      </w:r>
      <w:r w:rsidRPr="002C1160">
        <w:rPr>
          <w:lang w:eastAsia="ru-RU"/>
        </w:rPr>
        <w:t>ми безопасности. На глаза им одели повязки и увезли в центр содержания под стражей. Они содержались в этом центре примерно два месяца и постоянно допрашивались об их отце и политической деятельности их родственников. За</w:t>
      </w:r>
      <w:r w:rsidRPr="002C1160">
        <w:rPr>
          <w:lang w:eastAsia="ru-RU"/>
        </w:rPr>
        <w:t>я</w:t>
      </w:r>
      <w:r w:rsidRPr="002C1160">
        <w:rPr>
          <w:lang w:eastAsia="ru-RU"/>
        </w:rPr>
        <w:t>вителей принудили признаться в том, что они принадлежали к партии Комала, сообщить сведении о де</w:t>
      </w:r>
      <w:r w:rsidRPr="002C1160">
        <w:rPr>
          <w:lang w:eastAsia="ru-RU"/>
        </w:rPr>
        <w:t>я</w:t>
      </w:r>
      <w:r w:rsidRPr="002C1160">
        <w:rPr>
          <w:lang w:eastAsia="ru-RU"/>
        </w:rPr>
        <w:t>тельности партии, а также фамилии других ее членов. В</w:t>
      </w:r>
      <w:r w:rsidR="001B0769">
        <w:rPr>
          <w:lang w:eastAsia="ru-RU"/>
        </w:rPr>
        <w:t xml:space="preserve"> </w:t>
      </w:r>
      <w:r w:rsidRPr="002C1160">
        <w:rPr>
          <w:lang w:eastAsia="ru-RU"/>
        </w:rPr>
        <w:t>период между допросами их содержали в усл</w:t>
      </w:r>
      <w:r w:rsidRPr="002C1160">
        <w:rPr>
          <w:lang w:eastAsia="ru-RU"/>
        </w:rPr>
        <w:t>о</w:t>
      </w:r>
      <w:r w:rsidRPr="002C1160">
        <w:rPr>
          <w:lang w:eastAsia="ru-RU"/>
        </w:rPr>
        <w:t xml:space="preserve">виях одиночного заключения в течение длительных периодов. </w:t>
      </w:r>
    </w:p>
    <w:p w:rsidR="002C1160" w:rsidRPr="002C1160" w:rsidRDefault="00B9023C" w:rsidP="00B9023C">
      <w:pPr>
        <w:pStyle w:val="H4GR"/>
      </w:pPr>
      <w:r>
        <w:tab/>
      </w:r>
      <w:r>
        <w:tab/>
      </w:r>
      <w:r w:rsidR="002C1160" w:rsidRPr="002C1160">
        <w:t xml:space="preserve">Предполагаемое ненадлежащее обращение с г-ном Х </w:t>
      </w:r>
    </w:p>
    <w:p w:rsidR="002C1160" w:rsidRPr="002C1160" w:rsidRDefault="002C1160" w:rsidP="002C1160">
      <w:pPr>
        <w:pStyle w:val="SingleTxtGR"/>
        <w:rPr>
          <w:lang w:eastAsia="ru-RU"/>
        </w:rPr>
      </w:pPr>
      <w:r w:rsidRPr="002C1160">
        <w:rPr>
          <w:lang w:eastAsia="ru-RU"/>
        </w:rPr>
        <w:t>2.5</w:t>
      </w:r>
      <w:r w:rsidRPr="002C1160">
        <w:rPr>
          <w:lang w:eastAsia="ru-RU"/>
        </w:rPr>
        <w:tab/>
        <w:t>Во время нахождения в заключении г-н Х постоянно подвергался пыткам, а также физическим и вербальным издевательствам. Он был лишен одежды, и его обливали холодной водой. Его также обжигали горячими предметами, в р</w:t>
      </w:r>
      <w:r w:rsidRPr="002C1160">
        <w:rPr>
          <w:lang w:eastAsia="ru-RU"/>
        </w:rPr>
        <w:t>е</w:t>
      </w:r>
      <w:r w:rsidRPr="002C1160">
        <w:rPr>
          <w:lang w:eastAsia="ru-RU"/>
        </w:rPr>
        <w:t>зультате чего он терял сознание. Его подвешивали за руки и за ноги. Офицеры издевались над ним и пытали его, особенно использую при этом левую часть его тела, заявляя, что он был коммунистом и должен потерять левую часть св</w:t>
      </w:r>
      <w:r w:rsidRPr="002C1160">
        <w:rPr>
          <w:lang w:eastAsia="ru-RU"/>
        </w:rPr>
        <w:t>о</w:t>
      </w:r>
      <w:r w:rsidRPr="002C1160">
        <w:rPr>
          <w:lang w:eastAsia="ru-RU"/>
        </w:rPr>
        <w:t>его тела.</w:t>
      </w:r>
    </w:p>
    <w:p w:rsidR="002C1160" w:rsidRPr="002C1160" w:rsidRDefault="00B9023C" w:rsidP="00B9023C">
      <w:pPr>
        <w:pStyle w:val="H4GR"/>
      </w:pPr>
      <w:r>
        <w:tab/>
      </w:r>
      <w:r>
        <w:tab/>
      </w:r>
      <w:r w:rsidR="002C1160" w:rsidRPr="002C1160">
        <w:t xml:space="preserve">Предполагаемое ненадлежащее обращение с г-ном </w:t>
      </w:r>
      <w:r w:rsidR="002C1160" w:rsidRPr="002C1160">
        <w:rPr>
          <w:lang w:val="en-US"/>
        </w:rPr>
        <w:t>Z</w:t>
      </w:r>
      <w:r w:rsidR="002C1160" w:rsidRPr="002C1160">
        <w:t xml:space="preserve"> </w:t>
      </w:r>
    </w:p>
    <w:p w:rsidR="002C1160" w:rsidRPr="002C1160" w:rsidRDefault="002C1160" w:rsidP="002C1160">
      <w:pPr>
        <w:pStyle w:val="SingleTxtGR"/>
        <w:rPr>
          <w:lang w:eastAsia="ru-RU"/>
        </w:rPr>
      </w:pPr>
      <w:r w:rsidRPr="002C1160">
        <w:rPr>
          <w:lang w:eastAsia="ru-RU"/>
        </w:rPr>
        <w:t>2.6</w:t>
      </w:r>
      <w:r w:rsidRPr="002C1160">
        <w:rPr>
          <w:lang w:eastAsia="ru-RU"/>
        </w:rPr>
        <w:tab/>
        <w:t xml:space="preserve">Когда г-н </w:t>
      </w:r>
      <w:r w:rsidRPr="002C1160">
        <w:rPr>
          <w:lang w:val="en-US" w:eastAsia="ru-RU"/>
        </w:rPr>
        <w:t>Z</w:t>
      </w:r>
      <w:r w:rsidRPr="002C1160">
        <w:rPr>
          <w:lang w:eastAsia="ru-RU"/>
        </w:rPr>
        <w:t xml:space="preserve"> находился в заключении, его часто избивали по голове. Ему также угрожали изнасилованием и смертью. В одном случае его привязали к палке, его ноги были подняты выше его тела и ему вливали воду в нос. Пальцы его левой руки были повреждены, и его направили в больницу для хирургич</w:t>
      </w:r>
      <w:r w:rsidRPr="002C1160">
        <w:rPr>
          <w:lang w:eastAsia="ru-RU"/>
        </w:rPr>
        <w:t>е</w:t>
      </w:r>
      <w:r w:rsidRPr="002C1160">
        <w:rPr>
          <w:lang w:eastAsia="ru-RU"/>
        </w:rPr>
        <w:t>ской операции, прежде чем вернуть его в центр временного заключения.</w:t>
      </w:r>
    </w:p>
    <w:p w:rsidR="002C1160" w:rsidRPr="005D4E59" w:rsidRDefault="002C1160" w:rsidP="002C1160">
      <w:pPr>
        <w:pStyle w:val="SingleTxtGR"/>
        <w:rPr>
          <w:lang w:eastAsia="ru-RU"/>
        </w:rPr>
      </w:pPr>
      <w:r w:rsidRPr="002C1160">
        <w:rPr>
          <w:lang w:eastAsia="ru-RU"/>
        </w:rPr>
        <w:t>2.7</w:t>
      </w:r>
      <w:r w:rsidRPr="002C1160">
        <w:rPr>
          <w:lang w:eastAsia="ru-RU"/>
        </w:rPr>
        <w:tab/>
        <w:t>Оба заявителя также утверждали, что во время нахождения под стражей их три раза вызывали в суд</w:t>
      </w:r>
      <w:r w:rsidR="00B9023C">
        <w:rPr>
          <w:rStyle w:val="FootnoteReference"/>
          <w:lang w:eastAsia="ru-RU"/>
        </w:rPr>
        <w:footnoteReference w:id="1"/>
      </w:r>
      <w:r w:rsidR="00B9023C">
        <w:rPr>
          <w:lang w:eastAsia="ru-RU"/>
        </w:rPr>
        <w:t>.</w:t>
      </w:r>
      <w:r w:rsidRPr="002C1160">
        <w:rPr>
          <w:lang w:eastAsia="ru-RU"/>
        </w:rPr>
        <w:t xml:space="preserve"> Им обоим были предъявлены обвинения и вынес</w:t>
      </w:r>
      <w:r w:rsidRPr="002C1160">
        <w:rPr>
          <w:lang w:eastAsia="ru-RU"/>
        </w:rPr>
        <w:t>е</w:t>
      </w:r>
      <w:r w:rsidRPr="002C1160">
        <w:rPr>
          <w:lang w:eastAsia="ru-RU"/>
        </w:rPr>
        <w:t xml:space="preserve">ны обвинительные приговоры за их членство и деятельность в партии Комала. За то, что они были коммунистами и выступали против ислама, а так же за то, что они являлись так называемыми </w:t>
      </w:r>
      <w:r w:rsidRPr="001B0769">
        <w:rPr>
          <w:iCs/>
          <w:lang w:val="en-GB" w:eastAsia="ru-RU"/>
        </w:rPr>
        <w:t>mohareb</w:t>
      </w:r>
      <w:r w:rsidRPr="002C1160">
        <w:rPr>
          <w:i/>
          <w:iCs/>
          <w:lang w:eastAsia="ru-RU"/>
        </w:rPr>
        <w:t xml:space="preserve"> </w:t>
      </w:r>
      <w:r w:rsidRPr="002C1160">
        <w:rPr>
          <w:iCs/>
          <w:lang w:eastAsia="ru-RU"/>
        </w:rPr>
        <w:t xml:space="preserve">(врагами бога). </w:t>
      </w:r>
      <w:r w:rsidRPr="002C1160">
        <w:rPr>
          <w:lang w:eastAsia="ru-RU"/>
        </w:rPr>
        <w:t>После их третьего вызова в суд, их перевезли в тюрьму Мохабад, где их содержали в течение о</w:t>
      </w:r>
      <w:r w:rsidRPr="002C1160">
        <w:rPr>
          <w:lang w:eastAsia="ru-RU"/>
        </w:rPr>
        <w:t>д</w:t>
      </w:r>
      <w:r w:rsidRPr="002C1160">
        <w:rPr>
          <w:lang w:eastAsia="ru-RU"/>
        </w:rPr>
        <w:t>ной недели. Впоследствии они были освобождены за выкуп, их дядя заплатил в эквиваленте 45</w:t>
      </w:r>
      <w:r w:rsidR="00420FEE">
        <w:rPr>
          <w:lang w:eastAsia="ru-RU"/>
        </w:rPr>
        <w:t> </w:t>
      </w:r>
      <w:r w:rsidRPr="002C1160">
        <w:rPr>
          <w:lang w:eastAsia="ru-RU"/>
        </w:rPr>
        <w:t>000</w:t>
      </w:r>
      <w:r w:rsidR="001B0769">
        <w:rPr>
          <w:lang w:eastAsia="ru-RU"/>
        </w:rPr>
        <w:t xml:space="preserve"> </w:t>
      </w:r>
      <w:r w:rsidRPr="002C1160">
        <w:rPr>
          <w:lang w:eastAsia="ru-RU"/>
        </w:rPr>
        <w:t>евро, до следующего судебного слушания. После их осв</w:t>
      </w:r>
      <w:r w:rsidRPr="002C1160">
        <w:rPr>
          <w:lang w:eastAsia="ru-RU"/>
        </w:rPr>
        <w:t>о</w:t>
      </w:r>
      <w:r w:rsidRPr="002C1160">
        <w:rPr>
          <w:lang w:eastAsia="ru-RU"/>
        </w:rPr>
        <w:t xml:space="preserve">бождения они уехали из Ирака, где они содержались в лагере Комала </w:t>
      </w:r>
      <w:r w:rsidRPr="005D4E59">
        <w:rPr>
          <w:iCs/>
          <w:lang w:val="en-GB" w:eastAsia="ru-RU"/>
        </w:rPr>
        <w:t>peshmerga</w:t>
      </w:r>
      <w:r w:rsidRPr="005D4E59">
        <w:rPr>
          <w:iCs/>
          <w:lang w:eastAsia="ru-RU"/>
        </w:rPr>
        <w:t xml:space="preserve"> в течение одного года и 16</w:t>
      </w:r>
      <w:r w:rsidR="001B0769" w:rsidRPr="005D4E59">
        <w:rPr>
          <w:iCs/>
          <w:lang w:eastAsia="ru-RU"/>
        </w:rPr>
        <w:t xml:space="preserve"> </w:t>
      </w:r>
      <w:r w:rsidRPr="005D4E59">
        <w:rPr>
          <w:iCs/>
          <w:lang w:eastAsia="ru-RU"/>
        </w:rPr>
        <w:t>дней.</w:t>
      </w:r>
    </w:p>
    <w:p w:rsidR="002C1160" w:rsidRPr="002C1160" w:rsidRDefault="002C1160" w:rsidP="002C1160">
      <w:pPr>
        <w:pStyle w:val="SingleTxtGR"/>
        <w:rPr>
          <w:lang w:eastAsia="ru-RU"/>
        </w:rPr>
      </w:pPr>
      <w:r w:rsidRPr="002C1160">
        <w:rPr>
          <w:lang w:eastAsia="ru-RU"/>
        </w:rPr>
        <w:t>2.8</w:t>
      </w:r>
      <w:r w:rsidRPr="002C1160">
        <w:rPr>
          <w:lang w:eastAsia="ru-RU"/>
        </w:rPr>
        <w:tab/>
        <w:t>Заявители прибыли в Финляндию 4 октября 2008 года и подали прошение о предоставлении убежища на следующий день по приезду</w:t>
      </w:r>
      <w:r w:rsidR="00B9023C">
        <w:rPr>
          <w:rStyle w:val="FootnoteReference"/>
          <w:lang w:eastAsia="ru-RU"/>
        </w:rPr>
        <w:footnoteReference w:id="2"/>
      </w:r>
      <w:r w:rsidR="00B9023C">
        <w:rPr>
          <w:lang w:eastAsia="ru-RU"/>
        </w:rPr>
        <w:t>.</w:t>
      </w:r>
      <w:r w:rsidRPr="002C1160">
        <w:rPr>
          <w:lang w:eastAsia="ru-RU"/>
        </w:rPr>
        <w:t xml:space="preserve"> Они представили свои первоначальные удостоверения личности иммиграционной службе в док</w:t>
      </w:r>
      <w:r w:rsidRPr="002C1160">
        <w:rPr>
          <w:lang w:eastAsia="ru-RU"/>
        </w:rPr>
        <w:t>а</w:t>
      </w:r>
      <w:r w:rsidRPr="002C1160">
        <w:rPr>
          <w:lang w:eastAsia="ru-RU"/>
        </w:rPr>
        <w:t>зательство своих личных данных, а также предъявили заявление представ</w:t>
      </w:r>
      <w:r w:rsidRPr="002C1160">
        <w:rPr>
          <w:lang w:eastAsia="ru-RU"/>
        </w:rPr>
        <w:t>и</w:t>
      </w:r>
      <w:r w:rsidRPr="002C1160">
        <w:rPr>
          <w:lang w:eastAsia="ru-RU"/>
        </w:rPr>
        <w:t>тельства партии Комала за рубежом в поддержку своих убеждений о том, что они занимались политической деятельностью. Заявители также представили иммиграционной службе медицинские спра</w:t>
      </w:r>
      <w:r w:rsidRPr="002C1160">
        <w:rPr>
          <w:lang w:eastAsia="ru-RU"/>
        </w:rPr>
        <w:t>в</w:t>
      </w:r>
      <w:r w:rsidR="00B9023C">
        <w:rPr>
          <w:lang w:eastAsia="ru-RU"/>
        </w:rPr>
        <w:t>ки от 8 декабря 2008 года</w:t>
      </w:r>
      <w:r w:rsidR="00B9023C">
        <w:rPr>
          <w:rStyle w:val="FootnoteReference"/>
          <w:lang w:eastAsia="ru-RU"/>
        </w:rPr>
        <w:footnoteReference w:id="3"/>
      </w:r>
      <w:r w:rsidR="00B9023C">
        <w:rPr>
          <w:lang w:eastAsia="ru-RU"/>
        </w:rPr>
        <w:t>.</w:t>
      </w:r>
    </w:p>
    <w:p w:rsidR="002C1160" w:rsidRPr="002C1160" w:rsidRDefault="002C1160" w:rsidP="002C1160">
      <w:pPr>
        <w:pStyle w:val="SingleTxtGR"/>
        <w:rPr>
          <w:lang w:eastAsia="ru-RU"/>
        </w:rPr>
      </w:pPr>
      <w:r w:rsidRPr="002C1160">
        <w:rPr>
          <w:lang w:eastAsia="ru-RU"/>
        </w:rPr>
        <w:t>2.9</w:t>
      </w:r>
      <w:r w:rsidRPr="002C1160">
        <w:rPr>
          <w:lang w:eastAsia="ru-RU"/>
        </w:rPr>
        <w:tab/>
        <w:t>5 мая 2010 года иммиграционная служба Финляндии отклонила прошение о предоставлении убежища на основании фактов, сообщенных заявителями, к</w:t>
      </w:r>
      <w:r w:rsidRPr="002C1160">
        <w:rPr>
          <w:lang w:eastAsia="ru-RU"/>
        </w:rPr>
        <w:t>о</w:t>
      </w:r>
      <w:r w:rsidRPr="002C1160">
        <w:rPr>
          <w:lang w:eastAsia="ru-RU"/>
        </w:rPr>
        <w:t>торые, по ее мнению, не были достоверными, и заявители не представили уб</w:t>
      </w:r>
      <w:r w:rsidRPr="002C1160">
        <w:rPr>
          <w:lang w:eastAsia="ru-RU"/>
        </w:rPr>
        <w:t>е</w:t>
      </w:r>
      <w:r w:rsidRPr="002C1160">
        <w:rPr>
          <w:lang w:eastAsia="ru-RU"/>
        </w:rPr>
        <w:t>дительных доказательств в подтверждение своих заявлений. Иммиграционная служба отметила, что заявители не обосновали свои утверждения о</w:t>
      </w:r>
      <w:r w:rsidR="00C33431">
        <w:rPr>
          <w:lang w:eastAsia="ru-RU"/>
        </w:rPr>
        <w:t>б</w:t>
      </w:r>
      <w:r w:rsidRPr="002C1160">
        <w:rPr>
          <w:lang w:eastAsia="ru-RU"/>
        </w:rPr>
        <w:t xml:space="preserve"> их де</w:t>
      </w:r>
      <w:r w:rsidRPr="002C1160">
        <w:rPr>
          <w:lang w:eastAsia="ru-RU"/>
        </w:rPr>
        <w:t>я</w:t>
      </w:r>
      <w:r w:rsidRPr="002C1160">
        <w:rPr>
          <w:lang w:eastAsia="ru-RU"/>
        </w:rPr>
        <w:t>тельности в рамках партии Комала. 2 июля 2010 года оба заявителя подали апелл</w:t>
      </w:r>
      <w:r w:rsidRPr="002C1160">
        <w:rPr>
          <w:lang w:eastAsia="ru-RU"/>
        </w:rPr>
        <w:t>я</w:t>
      </w:r>
      <w:r w:rsidRPr="002C1160">
        <w:rPr>
          <w:lang w:eastAsia="ru-RU"/>
        </w:rPr>
        <w:t>ции в административный суд Хельсинки.</w:t>
      </w:r>
    </w:p>
    <w:p w:rsidR="002C1160" w:rsidRPr="002C1160" w:rsidRDefault="002C1160" w:rsidP="002C1160">
      <w:pPr>
        <w:pStyle w:val="SingleTxtGR"/>
        <w:rPr>
          <w:lang w:eastAsia="ru-RU"/>
        </w:rPr>
      </w:pPr>
      <w:r w:rsidRPr="002C1160">
        <w:rPr>
          <w:lang w:eastAsia="ru-RU"/>
        </w:rPr>
        <w:t>2.10</w:t>
      </w:r>
      <w:r w:rsidRPr="002C1160">
        <w:rPr>
          <w:lang w:eastAsia="ru-RU"/>
        </w:rPr>
        <w:tab/>
        <w:t>В июле 2010 года г-н Х из информации в интернете узнал, что его друг и находящееся с ним на связи лицо в партии Комала в Исламской Республике Иран О.Н. был казнен в Исламской Республике Иран в</w:t>
      </w:r>
      <w:r w:rsidR="00C33431">
        <w:rPr>
          <w:lang w:eastAsia="ru-RU"/>
        </w:rPr>
        <w:t xml:space="preserve"> этот же месяц</w:t>
      </w:r>
      <w:r w:rsidR="00C33431">
        <w:rPr>
          <w:rStyle w:val="FootnoteReference"/>
          <w:lang w:eastAsia="ru-RU"/>
        </w:rPr>
        <w:footnoteReference w:id="4"/>
      </w:r>
      <w:r w:rsidR="00C33431">
        <w:rPr>
          <w:lang w:eastAsia="ru-RU"/>
        </w:rPr>
        <w:t>.</w:t>
      </w:r>
      <w:r w:rsidRPr="002C1160">
        <w:rPr>
          <w:vertAlign w:val="superscript"/>
          <w:lang w:eastAsia="ru-RU"/>
        </w:rPr>
        <w:t xml:space="preserve"> </w:t>
      </w:r>
      <w:r w:rsidRPr="002C1160">
        <w:rPr>
          <w:lang w:eastAsia="ru-RU"/>
        </w:rPr>
        <w:t>Будучи напуганными, заявители решили покинуть Финляндию, в которой их ходата</w:t>
      </w:r>
      <w:r w:rsidRPr="002C1160">
        <w:rPr>
          <w:lang w:eastAsia="ru-RU"/>
        </w:rPr>
        <w:t>й</w:t>
      </w:r>
      <w:r w:rsidRPr="002C1160">
        <w:rPr>
          <w:lang w:eastAsia="ru-RU"/>
        </w:rPr>
        <w:t>ства были отклонены. Они обратились с просьбой о предоставлении убежища в Дании. Однако, получив информацию относительно процедуры Дублинского правила Европейского союза</w:t>
      </w:r>
      <w:r w:rsidR="00C33431">
        <w:rPr>
          <w:rStyle w:val="FootnoteReference"/>
          <w:lang w:eastAsia="ru-RU"/>
        </w:rPr>
        <w:footnoteReference w:id="5"/>
      </w:r>
      <w:r w:rsidR="00C33431">
        <w:rPr>
          <w:lang w:eastAsia="ru-RU"/>
        </w:rPr>
        <w:t>,</w:t>
      </w:r>
      <w:r w:rsidRPr="002C1160">
        <w:rPr>
          <w:vertAlign w:val="superscript"/>
          <w:lang w:eastAsia="ru-RU"/>
        </w:rPr>
        <w:t xml:space="preserve"> </w:t>
      </w:r>
      <w:r w:rsidRPr="002C1160">
        <w:rPr>
          <w:lang w:eastAsia="ru-RU"/>
        </w:rPr>
        <w:t>они добровольно вернулись в Финляндию в н</w:t>
      </w:r>
      <w:r w:rsidRPr="002C1160">
        <w:rPr>
          <w:lang w:eastAsia="ru-RU"/>
        </w:rPr>
        <w:t>о</w:t>
      </w:r>
      <w:r w:rsidRPr="002C1160">
        <w:rPr>
          <w:lang w:eastAsia="ru-RU"/>
        </w:rPr>
        <w:t>ябре 2010 года.</w:t>
      </w:r>
    </w:p>
    <w:p w:rsidR="002C1160" w:rsidRPr="002C1160" w:rsidRDefault="002C1160" w:rsidP="002C1160">
      <w:pPr>
        <w:pStyle w:val="SingleTxtGR"/>
        <w:rPr>
          <w:lang w:eastAsia="ru-RU"/>
        </w:rPr>
      </w:pPr>
      <w:r w:rsidRPr="002C1160">
        <w:rPr>
          <w:lang w:eastAsia="ru-RU"/>
        </w:rPr>
        <w:t>2.11</w:t>
      </w:r>
      <w:r w:rsidRPr="002C1160">
        <w:rPr>
          <w:lang w:eastAsia="ru-RU"/>
        </w:rPr>
        <w:tab/>
        <w:t>Г-н Х также утверждает, что 4 февраля 2011 года и 19 октября 2011 года его осматривали два пс</w:t>
      </w:r>
      <w:r w:rsidRPr="002C1160">
        <w:rPr>
          <w:lang w:eastAsia="ru-RU"/>
        </w:rPr>
        <w:t>и</w:t>
      </w:r>
      <w:r w:rsidRPr="002C1160">
        <w:rPr>
          <w:lang w:eastAsia="ru-RU"/>
        </w:rPr>
        <w:t>хиатра, которые пришли к выводу о том, что он до сих пор страдает от посттравматического стресса и симптомов депрессии. 31 о</w:t>
      </w:r>
      <w:r w:rsidRPr="002C1160">
        <w:rPr>
          <w:lang w:eastAsia="ru-RU"/>
        </w:rPr>
        <w:t>к</w:t>
      </w:r>
      <w:r w:rsidRPr="002C1160">
        <w:rPr>
          <w:lang w:eastAsia="ru-RU"/>
        </w:rPr>
        <w:t>тября 2011 года психотерапевт признал, что он страдает от болей в правой ча</w:t>
      </w:r>
      <w:r w:rsidRPr="002C1160">
        <w:rPr>
          <w:lang w:eastAsia="ru-RU"/>
        </w:rPr>
        <w:t>с</w:t>
      </w:r>
      <w:r w:rsidRPr="002C1160">
        <w:rPr>
          <w:lang w:eastAsia="ru-RU"/>
        </w:rPr>
        <w:t xml:space="preserve">ти половых органов и в левой ноге. По утверждению психотерапевта, эти боли могли объясняться методами пыток, о которых заявил заявитель. Г-н </w:t>
      </w:r>
      <w:r w:rsidRPr="002C1160">
        <w:rPr>
          <w:lang w:val="en-US" w:eastAsia="ru-RU"/>
        </w:rPr>
        <w:t>Z</w:t>
      </w:r>
      <w:r w:rsidRPr="002C1160">
        <w:rPr>
          <w:lang w:eastAsia="ru-RU"/>
        </w:rPr>
        <w:t xml:space="preserve"> предст</w:t>
      </w:r>
      <w:r w:rsidRPr="002C1160">
        <w:rPr>
          <w:lang w:eastAsia="ru-RU"/>
        </w:rPr>
        <w:t>а</w:t>
      </w:r>
      <w:r w:rsidRPr="002C1160">
        <w:rPr>
          <w:lang w:eastAsia="ru-RU"/>
        </w:rPr>
        <w:t>вил заявление от врача общей практи</w:t>
      </w:r>
      <w:r w:rsidR="00C33431">
        <w:rPr>
          <w:lang w:eastAsia="ru-RU"/>
        </w:rPr>
        <w:t>ки, в котором указывалось, что "</w:t>
      </w:r>
      <w:r w:rsidRPr="002C1160">
        <w:rPr>
          <w:lang w:eastAsia="ru-RU"/>
        </w:rPr>
        <w:t>в целом причиненные раны носят незначительный характер… и нет оснований сомн</w:t>
      </w:r>
      <w:r w:rsidRPr="002C1160">
        <w:rPr>
          <w:lang w:eastAsia="ru-RU"/>
        </w:rPr>
        <w:t>е</w:t>
      </w:r>
      <w:r w:rsidRPr="002C1160">
        <w:rPr>
          <w:lang w:eastAsia="ru-RU"/>
        </w:rPr>
        <w:t>ваться в том, что они были причинены во время нахождения в заключении в п</w:t>
      </w:r>
      <w:r w:rsidRPr="002C1160">
        <w:rPr>
          <w:lang w:eastAsia="ru-RU"/>
        </w:rPr>
        <w:t>е</w:t>
      </w:r>
      <w:r w:rsidRPr="002C1160">
        <w:rPr>
          <w:lang w:eastAsia="ru-RU"/>
        </w:rPr>
        <w:t>риод с апреля по май</w:t>
      </w:r>
      <w:r w:rsidR="001B0769">
        <w:rPr>
          <w:lang w:eastAsia="ru-RU"/>
        </w:rPr>
        <w:t xml:space="preserve"> </w:t>
      </w:r>
      <w:r w:rsidRPr="002C1160">
        <w:rPr>
          <w:lang w:eastAsia="ru-RU"/>
        </w:rPr>
        <w:t>2007</w:t>
      </w:r>
      <w:r w:rsidR="001B0769">
        <w:rPr>
          <w:lang w:eastAsia="ru-RU"/>
        </w:rPr>
        <w:t xml:space="preserve"> </w:t>
      </w:r>
      <w:r w:rsidRPr="002C1160">
        <w:rPr>
          <w:lang w:eastAsia="ru-RU"/>
        </w:rPr>
        <w:t>года, а также явились следствием пыток, которым он был подвергнут в этот же период</w:t>
      </w:r>
      <w:r w:rsidR="00C33431">
        <w:rPr>
          <w:lang w:eastAsia="ru-RU"/>
        </w:rPr>
        <w:t>"</w:t>
      </w:r>
      <w:r w:rsidRPr="002C1160">
        <w:rPr>
          <w:lang w:eastAsia="ru-RU"/>
        </w:rPr>
        <w:t>.</w:t>
      </w:r>
    </w:p>
    <w:p w:rsidR="002C1160" w:rsidRPr="002C1160" w:rsidRDefault="002C1160" w:rsidP="002C1160">
      <w:pPr>
        <w:pStyle w:val="SingleTxtGR"/>
        <w:rPr>
          <w:lang w:eastAsia="ru-RU"/>
        </w:rPr>
      </w:pPr>
      <w:r w:rsidRPr="002C1160">
        <w:rPr>
          <w:lang w:eastAsia="ru-RU"/>
        </w:rPr>
        <w:t>2.12</w:t>
      </w:r>
      <w:r w:rsidRPr="002C1160">
        <w:rPr>
          <w:lang w:eastAsia="ru-RU"/>
        </w:rPr>
        <w:tab/>
        <w:t>Оба заявителя продолжали свою политическую деятельность в Финля</w:t>
      </w:r>
      <w:r w:rsidRPr="002C1160">
        <w:rPr>
          <w:lang w:eastAsia="ru-RU"/>
        </w:rPr>
        <w:t>н</w:t>
      </w:r>
      <w:r w:rsidRPr="002C1160">
        <w:rPr>
          <w:lang w:eastAsia="ru-RU"/>
        </w:rPr>
        <w:t>дии. Они регулярно участвовали в демонстрациях против режима Исламской Республики Иран, неоднократно выступая перед посольством Ирана в Хельси</w:t>
      </w:r>
      <w:r w:rsidRPr="002C1160">
        <w:rPr>
          <w:lang w:eastAsia="ru-RU"/>
        </w:rPr>
        <w:t>н</w:t>
      </w:r>
      <w:r w:rsidRPr="002C1160">
        <w:rPr>
          <w:lang w:eastAsia="ru-RU"/>
        </w:rPr>
        <w:t>ки, в том числе 20</w:t>
      </w:r>
      <w:r w:rsidR="001B0769">
        <w:rPr>
          <w:lang w:eastAsia="ru-RU"/>
        </w:rPr>
        <w:t xml:space="preserve"> </w:t>
      </w:r>
      <w:r w:rsidRPr="002C1160">
        <w:rPr>
          <w:lang w:eastAsia="ru-RU"/>
        </w:rPr>
        <w:t>июня 2011 года. Они несли плакаты, активно участвовали в организации демонстрации и распространяли информацию о деятельности па</w:t>
      </w:r>
      <w:r w:rsidRPr="002C1160">
        <w:rPr>
          <w:lang w:eastAsia="ru-RU"/>
        </w:rPr>
        <w:t>р</w:t>
      </w:r>
      <w:r w:rsidRPr="002C1160">
        <w:rPr>
          <w:lang w:eastAsia="ru-RU"/>
        </w:rPr>
        <w:t>тии Комала. Эти пояснения были представлены по требованию Хельсинского административного суда.</w:t>
      </w:r>
    </w:p>
    <w:p w:rsidR="002C1160" w:rsidRPr="002C1160" w:rsidRDefault="002C1160" w:rsidP="002C1160">
      <w:pPr>
        <w:pStyle w:val="SingleTxtGR"/>
        <w:rPr>
          <w:lang w:eastAsia="ru-RU"/>
        </w:rPr>
      </w:pPr>
      <w:r w:rsidRPr="002C1160">
        <w:rPr>
          <w:lang w:eastAsia="ru-RU"/>
        </w:rPr>
        <w:t xml:space="preserve">2.13 </w:t>
      </w:r>
      <w:r w:rsidRPr="002C1160">
        <w:rPr>
          <w:lang w:eastAsia="ru-RU"/>
        </w:rPr>
        <w:tab/>
        <w:t>17 мая 2011 года Административный суд Хельсинки провел устные сл</w:t>
      </w:r>
      <w:r w:rsidRPr="002C1160">
        <w:rPr>
          <w:lang w:eastAsia="ru-RU"/>
        </w:rPr>
        <w:t>у</w:t>
      </w:r>
      <w:r w:rsidRPr="002C1160">
        <w:rPr>
          <w:lang w:eastAsia="ru-RU"/>
        </w:rPr>
        <w:t>шания и рассмотрел дело заявителей. Тремя голосами против одного 23 июня 2011 года их ходатайство было отклонено. 8 июля 2011 года заявители обрат</w:t>
      </w:r>
      <w:r w:rsidRPr="002C1160">
        <w:rPr>
          <w:lang w:eastAsia="ru-RU"/>
        </w:rPr>
        <w:t>и</w:t>
      </w:r>
      <w:r w:rsidRPr="002C1160">
        <w:rPr>
          <w:lang w:eastAsia="ru-RU"/>
        </w:rPr>
        <w:t>лись с ходатайствами в Высший административный суд с просьбой о пересмо</w:t>
      </w:r>
      <w:r w:rsidRPr="002C1160">
        <w:rPr>
          <w:lang w:eastAsia="ru-RU"/>
        </w:rPr>
        <w:t>т</w:t>
      </w:r>
      <w:r w:rsidRPr="002C1160">
        <w:rPr>
          <w:lang w:eastAsia="ru-RU"/>
        </w:rPr>
        <w:t>ре дела и о предоставлении временных мер защиты. 15 июля 2011 года Высший административный суд принял особое решение и приостановил их высылку. Однако Высший административный суд в своем окончательном решении от 26</w:t>
      </w:r>
      <w:r w:rsidR="005D4E59">
        <w:rPr>
          <w:lang w:eastAsia="ru-RU"/>
        </w:rPr>
        <w:t> </w:t>
      </w:r>
      <w:r w:rsidRPr="002C1160">
        <w:rPr>
          <w:lang w:eastAsia="ru-RU"/>
        </w:rPr>
        <w:t>октября 2011 года отклонил их ходатайство. Заявители считают, что они и</w:t>
      </w:r>
      <w:r w:rsidRPr="002C1160">
        <w:rPr>
          <w:lang w:eastAsia="ru-RU"/>
        </w:rPr>
        <w:t>с</w:t>
      </w:r>
      <w:r w:rsidRPr="002C1160">
        <w:rPr>
          <w:lang w:eastAsia="ru-RU"/>
        </w:rPr>
        <w:t>черпали все имеющиеся средства внутренней правовой защиты. Вместе с тем решение о</w:t>
      </w:r>
      <w:r w:rsidR="00C33431">
        <w:rPr>
          <w:lang w:eastAsia="ru-RU"/>
        </w:rPr>
        <w:t>б</w:t>
      </w:r>
      <w:r w:rsidRPr="002C1160">
        <w:rPr>
          <w:lang w:eastAsia="ru-RU"/>
        </w:rPr>
        <w:t xml:space="preserve"> их высылке вступило в силу и может подлежать исполнению в л</w:t>
      </w:r>
      <w:r w:rsidRPr="002C1160">
        <w:rPr>
          <w:lang w:eastAsia="ru-RU"/>
        </w:rPr>
        <w:t>ю</w:t>
      </w:r>
      <w:r w:rsidRPr="002C1160">
        <w:rPr>
          <w:lang w:eastAsia="ru-RU"/>
        </w:rPr>
        <w:t>бое время.</w:t>
      </w:r>
    </w:p>
    <w:p w:rsidR="002C1160" w:rsidRPr="002C1160" w:rsidRDefault="002C1160" w:rsidP="00C33431">
      <w:pPr>
        <w:pStyle w:val="H23GR"/>
      </w:pPr>
      <w:r w:rsidRPr="002C1160">
        <w:tab/>
      </w:r>
      <w:r w:rsidRPr="002C1160">
        <w:tab/>
        <w:t>Жалоба</w:t>
      </w:r>
    </w:p>
    <w:p w:rsidR="002C1160" w:rsidRPr="002C1160" w:rsidRDefault="002C1160" w:rsidP="002C1160">
      <w:pPr>
        <w:pStyle w:val="SingleTxtGR"/>
        <w:rPr>
          <w:lang w:eastAsia="ru-RU"/>
        </w:rPr>
      </w:pPr>
      <w:r w:rsidRPr="002C1160">
        <w:rPr>
          <w:lang w:eastAsia="ru-RU"/>
        </w:rPr>
        <w:t>3.</w:t>
      </w:r>
      <w:r w:rsidRPr="002C1160">
        <w:rPr>
          <w:lang w:eastAsia="ru-RU"/>
        </w:rPr>
        <w:tab/>
        <w:t>Заявители утверждают, что их высылка в Исламскую Республику Иран, где их ранее подвергали пыткам и в отношении которой, по их мнению, имею</w:t>
      </w:r>
      <w:r w:rsidRPr="002C1160">
        <w:rPr>
          <w:lang w:eastAsia="ru-RU"/>
        </w:rPr>
        <w:t>т</w:t>
      </w:r>
      <w:r w:rsidRPr="002C1160">
        <w:rPr>
          <w:lang w:eastAsia="ru-RU"/>
        </w:rPr>
        <w:t>ся существенные основания полагать, что они подвергнуться вновь пыткам, стало нарушением Финляндией их прав по статье 3 Конвенции. Они считают, что их жалобы являются достоверными и утверждают, что их заявления по</w:t>
      </w:r>
      <w:r w:rsidRPr="002C1160">
        <w:rPr>
          <w:lang w:eastAsia="ru-RU"/>
        </w:rPr>
        <w:t>д</w:t>
      </w:r>
      <w:r w:rsidRPr="002C1160">
        <w:rPr>
          <w:lang w:eastAsia="ru-RU"/>
        </w:rPr>
        <w:t>тверждаются докуме</w:t>
      </w:r>
      <w:r w:rsidRPr="002C1160">
        <w:rPr>
          <w:lang w:eastAsia="ru-RU"/>
        </w:rPr>
        <w:t>н</w:t>
      </w:r>
      <w:r w:rsidRPr="002C1160">
        <w:rPr>
          <w:lang w:eastAsia="ru-RU"/>
        </w:rPr>
        <w:t>тальными свидетельствами, в том числе касающимися их политической деятельности в партии Комала, а также недавними сообщениями о положении в области прав челов</w:t>
      </w:r>
      <w:r w:rsidR="00C33431">
        <w:rPr>
          <w:lang w:eastAsia="ru-RU"/>
        </w:rPr>
        <w:t>ека в Исламской Республике Иран</w:t>
      </w:r>
      <w:r w:rsidR="00C33431">
        <w:rPr>
          <w:rStyle w:val="FootnoteReference"/>
          <w:lang w:eastAsia="ru-RU"/>
        </w:rPr>
        <w:footnoteReference w:id="6"/>
      </w:r>
      <w:r w:rsidR="00C33431">
        <w:rPr>
          <w:lang w:eastAsia="ru-RU"/>
        </w:rPr>
        <w:t>.</w:t>
      </w:r>
    </w:p>
    <w:p w:rsidR="002C1160" w:rsidRPr="002C1160" w:rsidRDefault="002C1160" w:rsidP="00420FEE">
      <w:pPr>
        <w:pStyle w:val="H23GR"/>
      </w:pPr>
      <w:r w:rsidRPr="002C1160">
        <w:tab/>
      </w:r>
      <w:r w:rsidRPr="002C1160">
        <w:tab/>
        <w:t>Замечания государства-участника по существу дела</w:t>
      </w:r>
    </w:p>
    <w:p w:rsidR="002C1160" w:rsidRPr="002C1160" w:rsidRDefault="002C1160" w:rsidP="002C1160">
      <w:pPr>
        <w:pStyle w:val="SingleTxtGR"/>
        <w:rPr>
          <w:lang w:eastAsia="ru-RU"/>
        </w:rPr>
      </w:pPr>
      <w:r w:rsidRPr="002C1160">
        <w:rPr>
          <w:lang w:eastAsia="ru-RU"/>
        </w:rPr>
        <w:t>4.1</w:t>
      </w:r>
      <w:r w:rsidRPr="002C1160">
        <w:rPr>
          <w:lang w:eastAsia="ru-RU"/>
        </w:rPr>
        <w:tab/>
        <w:t>15 мая 2012 года государство-участник представило свои замечания по существу дела. В них рассматриваются факты по данному делу, а также прив</w:t>
      </w:r>
      <w:r w:rsidRPr="002C1160">
        <w:rPr>
          <w:lang w:eastAsia="ru-RU"/>
        </w:rPr>
        <w:t>о</w:t>
      </w:r>
      <w:r w:rsidRPr="002C1160">
        <w:rPr>
          <w:lang w:eastAsia="ru-RU"/>
        </w:rPr>
        <w:t>дится выдержка из соответствующих внутренних законодательных актов. Закон государства-участника о</w:t>
      </w:r>
      <w:r w:rsidR="00FD5B29">
        <w:rPr>
          <w:lang w:eastAsia="ru-RU"/>
        </w:rPr>
        <w:t>б</w:t>
      </w:r>
      <w:r w:rsidRPr="002C1160">
        <w:rPr>
          <w:lang w:eastAsia="ru-RU"/>
        </w:rPr>
        <w:t xml:space="preserve"> иностранцах предусматривает защиту заявителя при наличии </w:t>
      </w:r>
      <w:r w:rsidR="001B0769">
        <w:rPr>
          <w:lang w:eastAsia="ru-RU"/>
        </w:rPr>
        <w:t>"</w:t>
      </w:r>
      <w:r w:rsidRPr="002C1160">
        <w:rPr>
          <w:lang w:eastAsia="ru-RU"/>
        </w:rPr>
        <w:t>реальной опасности подвергнуться серьезному причинению вр</w:t>
      </w:r>
      <w:r w:rsidRPr="002C1160">
        <w:rPr>
          <w:lang w:eastAsia="ru-RU"/>
        </w:rPr>
        <w:t>е</w:t>
      </w:r>
      <w:r w:rsidRPr="002C1160">
        <w:rPr>
          <w:lang w:eastAsia="ru-RU"/>
        </w:rPr>
        <w:t>да</w:t>
      </w:r>
      <w:r w:rsidR="001B0769">
        <w:rPr>
          <w:lang w:eastAsia="ru-RU"/>
        </w:rPr>
        <w:t>"</w:t>
      </w:r>
      <w:r w:rsidR="00FD5B29">
        <w:rPr>
          <w:rStyle w:val="FootnoteReference"/>
          <w:lang w:eastAsia="ru-RU"/>
        </w:rPr>
        <w:footnoteReference w:id="7"/>
      </w:r>
      <w:r w:rsidR="001054ED" w:rsidRPr="00BC1B1E">
        <w:rPr>
          <w:lang w:eastAsia="ru-RU"/>
        </w:rPr>
        <w:t>.</w:t>
      </w:r>
      <w:r w:rsidR="001054ED">
        <w:rPr>
          <w:b/>
          <w:lang w:eastAsia="ru-RU"/>
        </w:rPr>
        <w:t xml:space="preserve"> </w:t>
      </w:r>
      <w:r w:rsidRPr="002C1160">
        <w:rPr>
          <w:lang w:eastAsia="ru-RU"/>
        </w:rPr>
        <w:t>Далее в законе ук</w:t>
      </w:r>
      <w:r w:rsidRPr="002C1160">
        <w:rPr>
          <w:lang w:eastAsia="ru-RU"/>
        </w:rPr>
        <w:t>а</w:t>
      </w:r>
      <w:r w:rsidRPr="002C1160">
        <w:rPr>
          <w:lang w:eastAsia="ru-RU"/>
        </w:rPr>
        <w:t xml:space="preserve">зывается, что </w:t>
      </w:r>
      <w:r w:rsidR="001B0769">
        <w:rPr>
          <w:lang w:eastAsia="ru-RU"/>
        </w:rPr>
        <w:t>"</w:t>
      </w:r>
      <w:r w:rsidRPr="002C1160">
        <w:rPr>
          <w:lang w:eastAsia="ru-RU"/>
        </w:rPr>
        <w:t>серьезный вред</w:t>
      </w:r>
      <w:r w:rsidR="001B0769">
        <w:rPr>
          <w:lang w:eastAsia="ru-RU"/>
        </w:rPr>
        <w:t>"</w:t>
      </w:r>
      <w:r w:rsidRPr="002C1160">
        <w:rPr>
          <w:lang w:eastAsia="ru-RU"/>
        </w:rPr>
        <w:t xml:space="preserve"> означает смертную казнь или пытки, или другие бесчеловечные либо унижающие достоинство виды обращ</w:t>
      </w:r>
      <w:r w:rsidRPr="002C1160">
        <w:rPr>
          <w:lang w:eastAsia="ru-RU"/>
        </w:rPr>
        <w:t>е</w:t>
      </w:r>
      <w:r w:rsidRPr="002C1160">
        <w:rPr>
          <w:lang w:eastAsia="ru-RU"/>
        </w:rPr>
        <w:t>ния или наказания, а также серьезную и личную угрозу в результате не избир</w:t>
      </w:r>
      <w:r w:rsidRPr="002C1160">
        <w:rPr>
          <w:lang w:eastAsia="ru-RU"/>
        </w:rPr>
        <w:t>а</w:t>
      </w:r>
      <w:r w:rsidRPr="002C1160">
        <w:rPr>
          <w:lang w:eastAsia="ru-RU"/>
        </w:rPr>
        <w:t>тельного применения насилия в условиях международного или внутреннего междунаро</w:t>
      </w:r>
      <w:r w:rsidRPr="002C1160">
        <w:rPr>
          <w:lang w:eastAsia="ru-RU"/>
        </w:rPr>
        <w:t>д</w:t>
      </w:r>
      <w:r w:rsidRPr="002C1160">
        <w:rPr>
          <w:lang w:eastAsia="ru-RU"/>
        </w:rPr>
        <w:t>ного конфликта.</w:t>
      </w:r>
    </w:p>
    <w:p w:rsidR="002C1160" w:rsidRPr="002C1160" w:rsidRDefault="002C1160" w:rsidP="002C1160">
      <w:pPr>
        <w:pStyle w:val="SingleTxtGR"/>
        <w:rPr>
          <w:lang w:eastAsia="ru-RU"/>
        </w:rPr>
      </w:pPr>
      <w:r w:rsidRPr="002C1160">
        <w:rPr>
          <w:lang w:eastAsia="ru-RU"/>
        </w:rPr>
        <w:t>4.2</w:t>
      </w:r>
      <w:r w:rsidRPr="002C1160">
        <w:rPr>
          <w:lang w:eastAsia="ru-RU"/>
        </w:rPr>
        <w:tab/>
        <w:t>Государство-участник утверждает, что защита от высылки из страны пр</w:t>
      </w:r>
      <w:r w:rsidRPr="002C1160">
        <w:rPr>
          <w:lang w:eastAsia="ru-RU"/>
        </w:rPr>
        <w:t>е</w:t>
      </w:r>
      <w:r w:rsidRPr="002C1160">
        <w:rPr>
          <w:lang w:eastAsia="ru-RU"/>
        </w:rPr>
        <w:t xml:space="preserve">дусматривается в том случае, если заявители </w:t>
      </w:r>
      <w:r w:rsidR="001B0769">
        <w:rPr>
          <w:lang w:eastAsia="ru-RU"/>
        </w:rPr>
        <w:t>"</w:t>
      </w:r>
      <w:r w:rsidRPr="002C1160">
        <w:rPr>
          <w:lang w:eastAsia="ru-RU"/>
        </w:rPr>
        <w:t>убеждены в несправедливости применения к ним упомянутых мер</w:t>
      </w:r>
      <w:r w:rsidR="00C33431">
        <w:rPr>
          <w:lang w:eastAsia="ru-RU"/>
        </w:rPr>
        <w:t>"</w:t>
      </w:r>
      <w:r w:rsidR="00FD5B29">
        <w:rPr>
          <w:rStyle w:val="FootnoteReference"/>
          <w:lang w:eastAsia="ru-RU"/>
        </w:rPr>
        <w:footnoteReference w:id="8"/>
      </w:r>
      <w:r w:rsidR="001054ED">
        <w:rPr>
          <w:lang w:eastAsia="ru-RU"/>
        </w:rPr>
        <w:t>.</w:t>
      </w:r>
      <w:r w:rsidRPr="002C1160">
        <w:rPr>
          <w:lang w:eastAsia="ru-RU"/>
        </w:rPr>
        <w:t xml:space="preserve"> Власти делают такое заявление с учетом утверждения заявителей о получении информации в реальном времени относ</w:t>
      </w:r>
      <w:r w:rsidRPr="002C1160">
        <w:rPr>
          <w:lang w:eastAsia="ru-RU"/>
        </w:rPr>
        <w:t>и</w:t>
      </w:r>
      <w:r w:rsidRPr="002C1160">
        <w:rPr>
          <w:lang w:eastAsia="ru-RU"/>
        </w:rPr>
        <w:t>тельно обстоятельств… полученных из различных источников</w:t>
      </w:r>
      <w:r w:rsidR="00C33431">
        <w:rPr>
          <w:lang w:eastAsia="ru-RU"/>
        </w:rPr>
        <w:t>"</w:t>
      </w:r>
      <w:r w:rsidR="00FD5B29">
        <w:rPr>
          <w:rStyle w:val="FootnoteReference"/>
          <w:lang w:eastAsia="ru-RU"/>
        </w:rPr>
        <w:footnoteReference w:id="9"/>
      </w:r>
      <w:r w:rsidR="00C33431">
        <w:rPr>
          <w:lang w:eastAsia="ru-RU"/>
        </w:rPr>
        <w:t>.</w:t>
      </w:r>
    </w:p>
    <w:p w:rsidR="002C1160" w:rsidRPr="002C1160" w:rsidRDefault="002C1160" w:rsidP="002C1160">
      <w:pPr>
        <w:pStyle w:val="SingleTxtGR"/>
        <w:rPr>
          <w:lang w:eastAsia="ru-RU"/>
        </w:rPr>
      </w:pPr>
      <w:r w:rsidRPr="002C1160">
        <w:rPr>
          <w:lang w:eastAsia="ru-RU"/>
        </w:rPr>
        <w:t>4.3.</w:t>
      </w:r>
      <w:r w:rsidRPr="002C1160">
        <w:rPr>
          <w:lang w:eastAsia="ru-RU"/>
        </w:rPr>
        <w:tab/>
        <w:t>Государство-участник, рассмотрев все факты по данному делу, считает, что решение его иммиграционной службы об отклонении ходатайств заявит</w:t>
      </w:r>
      <w:r w:rsidRPr="002C1160">
        <w:rPr>
          <w:lang w:eastAsia="ru-RU"/>
        </w:rPr>
        <w:t>е</w:t>
      </w:r>
      <w:r w:rsidRPr="002C1160">
        <w:rPr>
          <w:lang w:eastAsia="ru-RU"/>
        </w:rPr>
        <w:t>лей основывается на том факте, что политическая деятельность заявителей б</w:t>
      </w:r>
      <w:r w:rsidRPr="002C1160">
        <w:rPr>
          <w:lang w:eastAsia="ru-RU"/>
        </w:rPr>
        <w:t>ы</w:t>
      </w:r>
      <w:r w:rsidRPr="002C1160">
        <w:rPr>
          <w:lang w:eastAsia="ru-RU"/>
        </w:rPr>
        <w:t>ла описана исключительно поверхностно без подтверждающих данных. Анал</w:t>
      </w:r>
      <w:r w:rsidRPr="002C1160">
        <w:rPr>
          <w:lang w:eastAsia="ru-RU"/>
        </w:rPr>
        <w:t>о</w:t>
      </w:r>
      <w:r w:rsidRPr="002C1160">
        <w:rPr>
          <w:lang w:eastAsia="ru-RU"/>
        </w:rPr>
        <w:t>гичным образом не были подтверждены их утверждения о пытках, судебных разбирательствах, судебном приговоре и освобождении заявителей под залог.</w:t>
      </w:r>
    </w:p>
    <w:p w:rsidR="002C1160" w:rsidRPr="002C1160" w:rsidRDefault="002C1160" w:rsidP="002C1160">
      <w:pPr>
        <w:pStyle w:val="SingleTxtGR"/>
        <w:rPr>
          <w:lang w:eastAsia="ru-RU"/>
        </w:rPr>
      </w:pPr>
      <w:r w:rsidRPr="002C1160">
        <w:rPr>
          <w:lang w:eastAsia="ru-RU"/>
        </w:rPr>
        <w:t>4.4.</w:t>
      </w:r>
      <w:r w:rsidRPr="002C1160">
        <w:rPr>
          <w:lang w:eastAsia="ru-RU"/>
        </w:rPr>
        <w:tab/>
        <w:t>Государство-участник согласилось с тем, что имели место серьезные пр</w:t>
      </w:r>
      <w:r w:rsidRPr="002C1160">
        <w:rPr>
          <w:lang w:eastAsia="ru-RU"/>
        </w:rPr>
        <w:t>о</w:t>
      </w:r>
      <w:r w:rsidRPr="002C1160">
        <w:rPr>
          <w:lang w:eastAsia="ru-RU"/>
        </w:rPr>
        <w:t>блемы в отношении положения в области прав человека в Исламской Республ</w:t>
      </w:r>
      <w:r w:rsidRPr="002C1160">
        <w:rPr>
          <w:lang w:eastAsia="ru-RU"/>
        </w:rPr>
        <w:t>и</w:t>
      </w:r>
      <w:r w:rsidRPr="002C1160">
        <w:rPr>
          <w:lang w:eastAsia="ru-RU"/>
        </w:rPr>
        <w:t>ке Иран. Оно соглашается, что члены партии Комала, которая является незако</w:t>
      </w:r>
      <w:r w:rsidRPr="002C1160">
        <w:rPr>
          <w:lang w:eastAsia="ru-RU"/>
        </w:rPr>
        <w:t>н</w:t>
      </w:r>
      <w:r w:rsidRPr="002C1160">
        <w:rPr>
          <w:lang w:eastAsia="ru-RU"/>
        </w:rPr>
        <w:t>ной в Исламской Республике Иран, могут подвергаться жестким мерам, но у</w:t>
      </w:r>
      <w:r w:rsidRPr="002C1160">
        <w:rPr>
          <w:lang w:eastAsia="ru-RU"/>
        </w:rPr>
        <w:t>т</w:t>
      </w:r>
      <w:r w:rsidRPr="002C1160">
        <w:rPr>
          <w:lang w:eastAsia="ru-RU"/>
        </w:rPr>
        <w:t>верждает, однако, что заявители не представили доказательств своего членства в партии Комала. Они предоставили удостоверение о членстве в партии,</w:t>
      </w:r>
      <w:r w:rsidR="001B0769">
        <w:rPr>
          <w:lang w:eastAsia="ru-RU"/>
        </w:rPr>
        <w:t xml:space="preserve"> </w:t>
      </w:r>
      <w:r w:rsidRPr="002C1160">
        <w:rPr>
          <w:lang w:eastAsia="ru-RU"/>
        </w:rPr>
        <w:t>выда</w:t>
      </w:r>
      <w:r w:rsidRPr="002C1160">
        <w:rPr>
          <w:lang w:eastAsia="ru-RU"/>
        </w:rPr>
        <w:t>н</w:t>
      </w:r>
      <w:r w:rsidRPr="002C1160">
        <w:rPr>
          <w:lang w:eastAsia="ru-RU"/>
        </w:rPr>
        <w:t>ное представителем этой партии в Швеции, однако само это свидетельство не позволяет сделать выводы о том, что заявители состояли в партии и пров</w:t>
      </w:r>
      <w:r w:rsidRPr="002C1160">
        <w:rPr>
          <w:lang w:eastAsia="ru-RU"/>
        </w:rPr>
        <w:t>о</w:t>
      </w:r>
      <w:r w:rsidRPr="002C1160">
        <w:rPr>
          <w:lang w:eastAsia="ru-RU"/>
        </w:rPr>
        <w:t>дили активную деятельность, а также об уровне потенциальной угрозы, в случае, е</w:t>
      </w:r>
      <w:r w:rsidRPr="002C1160">
        <w:rPr>
          <w:lang w:eastAsia="ru-RU"/>
        </w:rPr>
        <w:t>с</w:t>
      </w:r>
      <w:r w:rsidRPr="002C1160">
        <w:rPr>
          <w:lang w:eastAsia="ru-RU"/>
        </w:rPr>
        <w:t>ли о</w:t>
      </w:r>
      <w:r w:rsidR="00FD5B29">
        <w:rPr>
          <w:lang w:eastAsia="ru-RU"/>
        </w:rPr>
        <w:t>б</w:t>
      </w:r>
      <w:r w:rsidRPr="002C1160">
        <w:rPr>
          <w:lang w:eastAsia="ru-RU"/>
        </w:rPr>
        <w:t xml:space="preserve"> их членстве в партии станет известно властям Исламской Республ</w:t>
      </w:r>
      <w:r w:rsidRPr="002C1160">
        <w:rPr>
          <w:lang w:eastAsia="ru-RU"/>
        </w:rPr>
        <w:t>и</w:t>
      </w:r>
      <w:r w:rsidRPr="002C1160">
        <w:rPr>
          <w:lang w:eastAsia="ru-RU"/>
        </w:rPr>
        <w:t>ки Иран. Даже если представленную заявителем информацию признать достове</w:t>
      </w:r>
      <w:r w:rsidRPr="002C1160">
        <w:rPr>
          <w:lang w:eastAsia="ru-RU"/>
        </w:rPr>
        <w:t>р</w:t>
      </w:r>
      <w:r w:rsidRPr="002C1160">
        <w:rPr>
          <w:lang w:eastAsia="ru-RU"/>
        </w:rPr>
        <w:t>ным, они не могут рассматриваться как высокопоставленные члены партии и как таковые обращать на себя внимание иранских властей в случае возвращ</w:t>
      </w:r>
      <w:r w:rsidRPr="002C1160">
        <w:rPr>
          <w:lang w:eastAsia="ru-RU"/>
        </w:rPr>
        <w:t>е</w:t>
      </w:r>
      <w:r w:rsidRPr="002C1160">
        <w:rPr>
          <w:lang w:eastAsia="ru-RU"/>
        </w:rPr>
        <w:t>ния домой.</w:t>
      </w:r>
    </w:p>
    <w:p w:rsidR="002C1160" w:rsidRPr="002C1160" w:rsidRDefault="002C1160" w:rsidP="002C1160">
      <w:pPr>
        <w:pStyle w:val="SingleTxtGR"/>
        <w:rPr>
          <w:lang w:eastAsia="ru-RU"/>
        </w:rPr>
      </w:pPr>
      <w:r w:rsidRPr="002C1160">
        <w:rPr>
          <w:lang w:eastAsia="ru-RU"/>
        </w:rPr>
        <w:t>4.5</w:t>
      </w:r>
      <w:r w:rsidRPr="002C1160">
        <w:rPr>
          <w:lang w:eastAsia="ru-RU"/>
        </w:rPr>
        <w:tab/>
        <w:t>Государство-участник далее утверждает, что медицинские справки заяв</w:t>
      </w:r>
      <w:r w:rsidRPr="002C1160">
        <w:rPr>
          <w:lang w:eastAsia="ru-RU"/>
        </w:rPr>
        <w:t>и</w:t>
      </w:r>
      <w:r w:rsidRPr="002C1160">
        <w:rPr>
          <w:lang w:eastAsia="ru-RU"/>
        </w:rPr>
        <w:t>телей, которые были представлены властям в качестве доказательств, свид</w:t>
      </w:r>
      <w:r w:rsidRPr="002C1160">
        <w:rPr>
          <w:lang w:eastAsia="ru-RU"/>
        </w:rPr>
        <w:t>е</w:t>
      </w:r>
      <w:r w:rsidRPr="002C1160">
        <w:rPr>
          <w:lang w:eastAsia="ru-RU"/>
        </w:rPr>
        <w:t>тельствуют только о причинении им незначительных ран и определенным обр</w:t>
      </w:r>
      <w:r w:rsidRPr="002C1160">
        <w:rPr>
          <w:lang w:eastAsia="ru-RU"/>
        </w:rPr>
        <w:t>а</w:t>
      </w:r>
      <w:r w:rsidRPr="002C1160">
        <w:rPr>
          <w:lang w:eastAsia="ru-RU"/>
        </w:rPr>
        <w:t>зом не указывают на то, что эти раны были получены в результате пыток или жестокого обращения. Государство-участник считает, что заявители выехали в Финляндию с целью воссоединения семьи, а не потому, что они подвергались пыткам в Исламской Республике Иран.</w:t>
      </w:r>
    </w:p>
    <w:p w:rsidR="002C1160" w:rsidRPr="002C1160" w:rsidRDefault="002C1160" w:rsidP="002C1160">
      <w:pPr>
        <w:pStyle w:val="SingleTxtGR"/>
        <w:rPr>
          <w:lang w:eastAsia="ru-RU"/>
        </w:rPr>
      </w:pPr>
      <w:r w:rsidRPr="002C1160">
        <w:rPr>
          <w:lang w:eastAsia="ru-RU"/>
        </w:rPr>
        <w:t>4.6.</w:t>
      </w:r>
      <w:r w:rsidRPr="002C1160">
        <w:rPr>
          <w:lang w:eastAsia="ru-RU"/>
        </w:rPr>
        <w:tab/>
        <w:t>Далее утверждается, что, согласно статье 3 Конвенции, государствам-участникам запрещается высылать, возвращать или выдворять лицо в другое государство, если имеются существенные основания полагать, что ему</w:t>
      </w:r>
      <w:r w:rsidR="00FD5B29">
        <w:rPr>
          <w:lang w:eastAsia="ru-RU"/>
        </w:rPr>
        <w:t xml:space="preserve"> </w:t>
      </w:r>
      <w:r w:rsidRPr="002C1160">
        <w:rPr>
          <w:lang w:eastAsia="ru-RU"/>
        </w:rPr>
        <w:t>угрож</w:t>
      </w:r>
      <w:r w:rsidRPr="002C1160">
        <w:rPr>
          <w:lang w:eastAsia="ru-RU"/>
        </w:rPr>
        <w:t>а</w:t>
      </w:r>
      <w:r w:rsidRPr="002C1160">
        <w:rPr>
          <w:lang w:eastAsia="ru-RU"/>
        </w:rPr>
        <w:t>ет опасность подвергнуться пыткам. Ссылаясь на замечания общего по</w:t>
      </w:r>
      <w:r w:rsidR="00FD5B29">
        <w:rPr>
          <w:lang w:eastAsia="ru-RU"/>
        </w:rPr>
        <w:t>ря</w:t>
      </w:r>
      <w:r w:rsidR="00FD5B29">
        <w:rPr>
          <w:lang w:eastAsia="ru-RU"/>
        </w:rPr>
        <w:t>д</w:t>
      </w:r>
      <w:r w:rsidR="00FD5B29">
        <w:rPr>
          <w:lang w:eastAsia="ru-RU"/>
        </w:rPr>
        <w:t>ка </w:t>
      </w:r>
      <w:r w:rsidRPr="002C1160">
        <w:rPr>
          <w:lang w:eastAsia="ru-RU"/>
        </w:rPr>
        <w:t>№</w:t>
      </w:r>
      <w:r w:rsidR="00FD5B29">
        <w:rPr>
          <w:lang w:eastAsia="ru-RU"/>
        </w:rPr>
        <w:t> </w:t>
      </w:r>
      <w:r w:rsidRPr="002C1160">
        <w:rPr>
          <w:lang w:eastAsia="ru-RU"/>
        </w:rPr>
        <w:t>1</w:t>
      </w:r>
      <w:r w:rsidR="001B0769">
        <w:rPr>
          <w:lang w:eastAsia="ru-RU"/>
        </w:rPr>
        <w:t xml:space="preserve"> </w:t>
      </w:r>
      <w:r w:rsidRPr="002C1160">
        <w:rPr>
          <w:lang w:eastAsia="ru-RU"/>
        </w:rPr>
        <w:t>1996</w:t>
      </w:r>
      <w:r w:rsidR="001B0769">
        <w:rPr>
          <w:lang w:eastAsia="ru-RU"/>
        </w:rPr>
        <w:t xml:space="preserve"> </w:t>
      </w:r>
      <w:r w:rsidRPr="002C1160">
        <w:rPr>
          <w:lang w:eastAsia="ru-RU"/>
        </w:rPr>
        <w:t>года К</w:t>
      </w:r>
      <w:r w:rsidRPr="002C1160">
        <w:rPr>
          <w:lang w:eastAsia="ru-RU"/>
        </w:rPr>
        <w:t>о</w:t>
      </w:r>
      <w:r w:rsidRPr="002C1160">
        <w:rPr>
          <w:lang w:eastAsia="ru-RU"/>
        </w:rPr>
        <w:t>митета относительно выполнения статьи 3, государство-участник просит заявителей доказать существование личной текущей и реал</w:t>
      </w:r>
      <w:r w:rsidRPr="002C1160">
        <w:rPr>
          <w:lang w:eastAsia="ru-RU"/>
        </w:rPr>
        <w:t>ь</w:t>
      </w:r>
      <w:r w:rsidRPr="002C1160">
        <w:rPr>
          <w:lang w:eastAsia="ru-RU"/>
        </w:rPr>
        <w:t>ной опасности подвергнуться пыткам по возвращению в страну пребывания. Существование такой опасности должно оцениваться на основаниях, которые выходят за рамки подозрений. Должны существовать дополнительные основ</w:t>
      </w:r>
      <w:r w:rsidRPr="002C1160">
        <w:rPr>
          <w:lang w:eastAsia="ru-RU"/>
        </w:rPr>
        <w:t>а</w:t>
      </w:r>
      <w:r w:rsidRPr="002C1160">
        <w:rPr>
          <w:lang w:eastAsia="ru-RU"/>
        </w:rPr>
        <w:t>ния для рассматривания опасности п</w:t>
      </w:r>
      <w:r w:rsidR="00FD5B29">
        <w:rPr>
          <w:lang w:eastAsia="ru-RU"/>
        </w:rPr>
        <w:t>ыток в качестве реальной угрозы</w:t>
      </w:r>
      <w:r w:rsidR="00FD5B29">
        <w:rPr>
          <w:rStyle w:val="FootnoteReference"/>
          <w:lang w:eastAsia="ru-RU"/>
        </w:rPr>
        <w:footnoteReference w:id="10"/>
      </w:r>
      <w:r w:rsidR="00FD5B29">
        <w:rPr>
          <w:lang w:eastAsia="ru-RU"/>
        </w:rPr>
        <w:t>.</w:t>
      </w:r>
      <w:r w:rsidRPr="002C1160">
        <w:rPr>
          <w:lang w:eastAsia="ru-RU"/>
        </w:rPr>
        <w:t xml:space="preserve"> Сл</w:t>
      </w:r>
      <w:r w:rsidRPr="002C1160">
        <w:rPr>
          <w:lang w:eastAsia="ru-RU"/>
        </w:rPr>
        <w:t>е</w:t>
      </w:r>
      <w:r w:rsidRPr="002C1160">
        <w:rPr>
          <w:lang w:eastAsia="ru-RU"/>
        </w:rPr>
        <w:t>дующие элементы должны также приниматься во внимание для анализа сущ</w:t>
      </w:r>
      <w:r w:rsidRPr="002C1160">
        <w:rPr>
          <w:lang w:eastAsia="ru-RU"/>
        </w:rPr>
        <w:t>е</w:t>
      </w:r>
      <w:r w:rsidRPr="002C1160">
        <w:rPr>
          <w:lang w:eastAsia="ru-RU"/>
        </w:rPr>
        <w:t>ствования такой опасности: свидетельство о наличии практики грубых, вопи</w:t>
      </w:r>
      <w:r w:rsidRPr="002C1160">
        <w:rPr>
          <w:lang w:eastAsia="ru-RU"/>
        </w:rPr>
        <w:t>ю</w:t>
      </w:r>
      <w:r w:rsidRPr="002C1160">
        <w:rPr>
          <w:lang w:eastAsia="ru-RU"/>
        </w:rPr>
        <w:t>щих и массовых нарушений прав человека в стране происхождения; заявления автора о</w:t>
      </w:r>
      <w:r w:rsidR="001B0769">
        <w:rPr>
          <w:lang w:eastAsia="ru-RU"/>
        </w:rPr>
        <w:t xml:space="preserve"> </w:t>
      </w:r>
      <w:r w:rsidRPr="002C1160">
        <w:rPr>
          <w:lang w:eastAsia="ru-RU"/>
        </w:rPr>
        <w:t>пытках или жестоком обращении, подтверждаемые автором в после</w:t>
      </w:r>
      <w:r w:rsidRPr="002C1160">
        <w:rPr>
          <w:lang w:eastAsia="ru-RU"/>
        </w:rPr>
        <w:t>д</w:t>
      </w:r>
      <w:r w:rsidRPr="002C1160">
        <w:rPr>
          <w:lang w:eastAsia="ru-RU"/>
        </w:rPr>
        <w:t>нее время или независимыми доказательствами; политическая деятельность а</w:t>
      </w:r>
      <w:r w:rsidRPr="002C1160">
        <w:rPr>
          <w:lang w:eastAsia="ru-RU"/>
        </w:rPr>
        <w:t>в</w:t>
      </w:r>
      <w:r w:rsidRPr="002C1160">
        <w:rPr>
          <w:lang w:eastAsia="ru-RU"/>
        </w:rPr>
        <w:t>тора в стране происхождения или вокруг нее; доказательства правдивости зая</w:t>
      </w:r>
      <w:r w:rsidRPr="002C1160">
        <w:rPr>
          <w:lang w:eastAsia="ru-RU"/>
        </w:rPr>
        <w:t>в</w:t>
      </w:r>
      <w:r w:rsidRPr="002C1160">
        <w:rPr>
          <w:lang w:eastAsia="ru-RU"/>
        </w:rPr>
        <w:t>лений автора и фактические</w:t>
      </w:r>
      <w:r w:rsidR="00FD5B29">
        <w:rPr>
          <w:lang w:eastAsia="ru-RU"/>
        </w:rPr>
        <w:t xml:space="preserve"> несоответствия в жалобе автора</w:t>
      </w:r>
      <w:r w:rsidR="00FD5B29">
        <w:rPr>
          <w:rStyle w:val="FootnoteReference"/>
          <w:lang w:eastAsia="ru-RU"/>
        </w:rPr>
        <w:footnoteReference w:id="11"/>
      </w:r>
      <w:r w:rsidR="00FD5B29">
        <w:rPr>
          <w:lang w:eastAsia="ru-RU"/>
        </w:rPr>
        <w:t>.</w:t>
      </w:r>
      <w:r w:rsidRPr="002C1160">
        <w:rPr>
          <w:vertAlign w:val="superscript"/>
          <w:lang w:eastAsia="ru-RU"/>
        </w:rPr>
        <w:t xml:space="preserve"> </w:t>
      </w:r>
    </w:p>
    <w:p w:rsidR="002C1160" w:rsidRPr="002C1160" w:rsidRDefault="002C1160" w:rsidP="002C1160">
      <w:pPr>
        <w:pStyle w:val="SingleTxtGR"/>
        <w:rPr>
          <w:lang w:eastAsia="ru-RU"/>
        </w:rPr>
      </w:pPr>
      <w:r w:rsidRPr="002C1160">
        <w:rPr>
          <w:lang w:eastAsia="ru-RU"/>
        </w:rPr>
        <w:t>4.7</w:t>
      </w:r>
      <w:r w:rsidRPr="002C1160">
        <w:rPr>
          <w:lang w:eastAsia="ru-RU"/>
        </w:rPr>
        <w:tab/>
        <w:t>Государство-участник ссылается на решения</w:t>
      </w:r>
      <w:r w:rsidR="001B0769">
        <w:rPr>
          <w:lang w:eastAsia="ru-RU"/>
        </w:rPr>
        <w:t xml:space="preserve"> </w:t>
      </w:r>
      <w:r w:rsidRPr="002C1160">
        <w:rPr>
          <w:lang w:eastAsia="ru-RU"/>
        </w:rPr>
        <w:t>Европейского суда по пр</w:t>
      </w:r>
      <w:r w:rsidRPr="002C1160">
        <w:rPr>
          <w:lang w:eastAsia="ru-RU"/>
        </w:rPr>
        <w:t>а</w:t>
      </w:r>
      <w:r w:rsidRPr="002C1160">
        <w:rPr>
          <w:lang w:eastAsia="ru-RU"/>
        </w:rPr>
        <w:t>вам человека, в которых говорится о личном характере опасности, который н</w:t>
      </w:r>
      <w:r w:rsidRPr="002C1160">
        <w:rPr>
          <w:lang w:eastAsia="ru-RU"/>
        </w:rPr>
        <w:t>е</w:t>
      </w:r>
      <w:r w:rsidRPr="002C1160">
        <w:rPr>
          <w:lang w:eastAsia="ru-RU"/>
        </w:rPr>
        <w:t>обходим для введения мер по защите в соответс</w:t>
      </w:r>
      <w:r w:rsidRPr="002C1160">
        <w:rPr>
          <w:lang w:eastAsia="ru-RU"/>
        </w:rPr>
        <w:t>т</w:t>
      </w:r>
      <w:r w:rsidRPr="002C1160">
        <w:rPr>
          <w:lang w:eastAsia="ru-RU"/>
        </w:rPr>
        <w:t>вии с Европейской конвенцией о правах человека</w:t>
      </w:r>
      <w:r w:rsidR="007B4C6A">
        <w:rPr>
          <w:rStyle w:val="FootnoteReference"/>
          <w:lang w:eastAsia="ru-RU"/>
        </w:rPr>
        <w:footnoteReference w:id="12"/>
      </w:r>
      <w:r w:rsidRPr="002C1160">
        <w:rPr>
          <w:lang w:eastAsia="ru-RU"/>
        </w:rPr>
        <w:t>. Государство-участник заявляет, что в данном случае ничто не указывает на то, что заявитель в настоящее время разыскивается иранскими властями.</w:t>
      </w:r>
    </w:p>
    <w:p w:rsidR="002C1160" w:rsidRPr="002C1160" w:rsidRDefault="002C1160" w:rsidP="002C1160">
      <w:pPr>
        <w:pStyle w:val="SingleTxtGR"/>
        <w:rPr>
          <w:lang w:eastAsia="ru-RU"/>
        </w:rPr>
      </w:pPr>
      <w:r w:rsidRPr="002C1160">
        <w:rPr>
          <w:lang w:eastAsia="ru-RU"/>
        </w:rPr>
        <w:t>4.8</w:t>
      </w:r>
      <w:r w:rsidRPr="002C1160">
        <w:rPr>
          <w:lang w:eastAsia="ru-RU"/>
        </w:rPr>
        <w:tab/>
        <w:t>Что касается заявлений двух психиатров и психотерапевта, которые леч</w:t>
      </w:r>
      <w:r w:rsidRPr="002C1160">
        <w:rPr>
          <w:lang w:eastAsia="ru-RU"/>
        </w:rPr>
        <w:t>и</w:t>
      </w:r>
      <w:r w:rsidRPr="002C1160">
        <w:rPr>
          <w:lang w:eastAsia="ru-RU"/>
        </w:rPr>
        <w:t>ли г-на</w:t>
      </w:r>
      <w:r w:rsidR="001B0769">
        <w:rPr>
          <w:lang w:eastAsia="ru-RU"/>
        </w:rPr>
        <w:t xml:space="preserve"> </w:t>
      </w:r>
      <w:r w:rsidRPr="002C1160">
        <w:rPr>
          <w:lang w:eastAsia="ru-RU"/>
        </w:rPr>
        <w:t>Х, то государство-участник отмечает, что эти заявления не были пре</w:t>
      </w:r>
      <w:r w:rsidRPr="002C1160">
        <w:rPr>
          <w:lang w:eastAsia="ru-RU"/>
        </w:rPr>
        <w:t>д</w:t>
      </w:r>
      <w:r w:rsidRPr="002C1160">
        <w:rPr>
          <w:lang w:eastAsia="ru-RU"/>
        </w:rPr>
        <w:t>ставлены Высшему административному суду. Г-н Х представил только одну м</w:t>
      </w:r>
      <w:r w:rsidRPr="002C1160">
        <w:rPr>
          <w:lang w:eastAsia="ru-RU"/>
        </w:rPr>
        <w:t>е</w:t>
      </w:r>
      <w:r w:rsidRPr="002C1160">
        <w:rPr>
          <w:lang w:eastAsia="ru-RU"/>
        </w:rPr>
        <w:t>дицинскую справку от 8 декабря 2008 года. Согласно этой справке, причина причиненных ему ран не может быть с точностью определена, и в любом сл</w:t>
      </w:r>
      <w:r w:rsidRPr="002C1160">
        <w:rPr>
          <w:lang w:eastAsia="ru-RU"/>
        </w:rPr>
        <w:t>у</w:t>
      </w:r>
      <w:r w:rsidRPr="002C1160">
        <w:rPr>
          <w:lang w:eastAsia="ru-RU"/>
        </w:rPr>
        <w:t>чае медицинские справки не содержат дополнительных новых и существенных данных в подтверждение иной оценки данного д</w:t>
      </w:r>
      <w:r w:rsidRPr="002C1160">
        <w:rPr>
          <w:lang w:eastAsia="ru-RU"/>
        </w:rPr>
        <w:t>е</w:t>
      </w:r>
      <w:r w:rsidRPr="002C1160">
        <w:rPr>
          <w:lang w:eastAsia="ru-RU"/>
        </w:rPr>
        <w:t xml:space="preserve">ла. </w:t>
      </w:r>
    </w:p>
    <w:p w:rsidR="002C1160" w:rsidRPr="002C1160" w:rsidRDefault="002C1160" w:rsidP="00FD5B29">
      <w:pPr>
        <w:pStyle w:val="H23GR"/>
      </w:pPr>
      <w:r w:rsidRPr="002C1160">
        <w:tab/>
      </w:r>
      <w:r w:rsidRPr="002C1160">
        <w:tab/>
        <w:t>Комментарии заявителя относительно замечаний государства-участника</w:t>
      </w:r>
    </w:p>
    <w:p w:rsidR="002C1160" w:rsidRPr="002C1160" w:rsidRDefault="002C1160" w:rsidP="002C1160">
      <w:pPr>
        <w:pStyle w:val="SingleTxtGR"/>
        <w:rPr>
          <w:lang w:eastAsia="ru-RU"/>
        </w:rPr>
      </w:pPr>
      <w:r w:rsidRPr="002C1160">
        <w:rPr>
          <w:lang w:eastAsia="ru-RU"/>
        </w:rPr>
        <w:t>5.1</w:t>
      </w:r>
      <w:r w:rsidRPr="002C1160">
        <w:rPr>
          <w:lang w:eastAsia="ru-RU"/>
        </w:rPr>
        <w:tab/>
        <w:t>21 августа 2012 года в своих комментариях по поводу замечаний госуда</w:t>
      </w:r>
      <w:r w:rsidRPr="002C1160">
        <w:rPr>
          <w:lang w:eastAsia="ru-RU"/>
        </w:rPr>
        <w:t>р</w:t>
      </w:r>
      <w:r w:rsidRPr="002C1160">
        <w:rPr>
          <w:lang w:eastAsia="ru-RU"/>
        </w:rPr>
        <w:t>ства-участника заявители утверждали об отсутствии противоречия между зая</w:t>
      </w:r>
      <w:r w:rsidRPr="002C1160">
        <w:rPr>
          <w:lang w:eastAsia="ru-RU"/>
        </w:rPr>
        <w:t>в</w:t>
      </w:r>
      <w:r w:rsidRPr="002C1160">
        <w:rPr>
          <w:lang w:eastAsia="ru-RU"/>
        </w:rPr>
        <w:t>лениями врачей и самих заявителей. Они также считают, что они оба приняли все необходимые меры для представления и разъяснения всех необходимых д</w:t>
      </w:r>
      <w:r w:rsidRPr="002C1160">
        <w:rPr>
          <w:lang w:eastAsia="ru-RU"/>
        </w:rPr>
        <w:t>о</w:t>
      </w:r>
      <w:r w:rsidRPr="002C1160">
        <w:rPr>
          <w:lang w:eastAsia="ru-RU"/>
        </w:rPr>
        <w:t>казательств в подтверждение своих требований.</w:t>
      </w:r>
    </w:p>
    <w:p w:rsidR="002C1160" w:rsidRPr="002C1160" w:rsidRDefault="002C1160" w:rsidP="002C1160">
      <w:pPr>
        <w:pStyle w:val="SingleTxtGR"/>
        <w:rPr>
          <w:lang w:eastAsia="ru-RU"/>
        </w:rPr>
      </w:pPr>
      <w:r w:rsidRPr="002C1160">
        <w:rPr>
          <w:lang w:eastAsia="ru-RU"/>
        </w:rPr>
        <w:t>5.2</w:t>
      </w:r>
      <w:r w:rsidRPr="002C1160">
        <w:rPr>
          <w:lang w:eastAsia="ru-RU"/>
        </w:rPr>
        <w:tab/>
        <w:t xml:space="preserve">Заявители соглашаются, что их нельзя считать высокопоставленными членами партии Комала. Однако при этом они ссылаются на </w:t>
      </w:r>
      <w:r w:rsidR="001B0769">
        <w:rPr>
          <w:lang w:eastAsia="ru-RU"/>
        </w:rPr>
        <w:t>"</w:t>
      </w:r>
      <w:r w:rsidRPr="002C1160">
        <w:rPr>
          <w:lang w:eastAsia="ru-RU"/>
        </w:rPr>
        <w:t>Оперативное р</w:t>
      </w:r>
      <w:r w:rsidRPr="002C1160">
        <w:rPr>
          <w:lang w:eastAsia="ru-RU"/>
        </w:rPr>
        <w:t>у</w:t>
      </w:r>
      <w:r w:rsidRPr="002C1160">
        <w:rPr>
          <w:lang w:eastAsia="ru-RU"/>
        </w:rPr>
        <w:t>ководство − Иран</w:t>
      </w:r>
      <w:r w:rsidR="001B0769">
        <w:rPr>
          <w:lang w:eastAsia="ru-RU"/>
        </w:rPr>
        <w:t>"</w:t>
      </w:r>
      <w:r w:rsidRPr="002C1160">
        <w:rPr>
          <w:lang w:eastAsia="ru-RU"/>
        </w:rPr>
        <w:t xml:space="preserve">, которое было опубликовано Министерством внутренних дел Соединенного Королевства, в котором указывалось, что </w:t>
      </w:r>
      <w:r w:rsidR="001B0769">
        <w:rPr>
          <w:lang w:eastAsia="ru-RU"/>
        </w:rPr>
        <w:t>"</w:t>
      </w:r>
      <w:r w:rsidRPr="002C1160">
        <w:rPr>
          <w:lang w:eastAsia="ru-RU"/>
        </w:rPr>
        <w:t>заявители могут пр</w:t>
      </w:r>
      <w:r w:rsidRPr="002C1160">
        <w:rPr>
          <w:lang w:eastAsia="ru-RU"/>
        </w:rPr>
        <w:t>о</w:t>
      </w:r>
      <w:r w:rsidRPr="002C1160">
        <w:rPr>
          <w:lang w:eastAsia="ru-RU"/>
        </w:rPr>
        <w:t>демонстрировать, что они являются сторонниками… Комала… а также извес</w:t>
      </w:r>
      <w:r w:rsidRPr="002C1160">
        <w:rPr>
          <w:lang w:eastAsia="ru-RU"/>
        </w:rPr>
        <w:t>т</w:t>
      </w:r>
      <w:r w:rsidRPr="002C1160">
        <w:rPr>
          <w:lang w:eastAsia="ru-RU"/>
        </w:rPr>
        <w:t>ны властям в кач</w:t>
      </w:r>
      <w:r w:rsidRPr="002C1160">
        <w:rPr>
          <w:lang w:eastAsia="ru-RU"/>
        </w:rPr>
        <w:t>е</w:t>
      </w:r>
      <w:r w:rsidRPr="002C1160">
        <w:rPr>
          <w:lang w:eastAsia="ru-RU"/>
        </w:rPr>
        <w:t>стве таковых, что угрожает им опасностью преследования</w:t>
      </w:r>
      <w:r w:rsidR="001B0769">
        <w:rPr>
          <w:lang w:eastAsia="ru-RU"/>
        </w:rPr>
        <w:t>"</w:t>
      </w:r>
      <w:r w:rsidR="007B4C6A">
        <w:rPr>
          <w:rStyle w:val="FootnoteReference"/>
          <w:lang w:eastAsia="ru-RU"/>
        </w:rPr>
        <w:footnoteReference w:id="13"/>
      </w:r>
      <w:r w:rsidR="007B4C6A">
        <w:rPr>
          <w:lang w:eastAsia="ru-RU"/>
        </w:rPr>
        <w:t>.</w:t>
      </w:r>
    </w:p>
    <w:p w:rsidR="002C1160" w:rsidRPr="002C1160" w:rsidRDefault="002C1160" w:rsidP="007B4C6A">
      <w:pPr>
        <w:pStyle w:val="H23GR"/>
      </w:pPr>
      <w:r w:rsidRPr="002C1160">
        <w:tab/>
      </w:r>
      <w:r w:rsidRPr="002C1160">
        <w:tab/>
        <w:t xml:space="preserve">Вопросы и их рассмотрение в Комитете </w:t>
      </w:r>
    </w:p>
    <w:p w:rsidR="002C1160" w:rsidRPr="002C1160" w:rsidRDefault="002C1160" w:rsidP="007B4C6A">
      <w:pPr>
        <w:pStyle w:val="H4GR"/>
      </w:pPr>
      <w:r w:rsidRPr="002C1160">
        <w:tab/>
      </w:r>
      <w:r w:rsidRPr="002C1160">
        <w:tab/>
        <w:t>Рассмотрение вопроса о приемлемости</w:t>
      </w:r>
    </w:p>
    <w:p w:rsidR="002C1160" w:rsidRPr="002C1160" w:rsidRDefault="002C1160" w:rsidP="002C1160">
      <w:pPr>
        <w:pStyle w:val="SingleTxtGR"/>
        <w:rPr>
          <w:lang w:eastAsia="ru-RU"/>
        </w:rPr>
      </w:pPr>
      <w:r w:rsidRPr="002C1160">
        <w:rPr>
          <w:lang w:eastAsia="ru-RU"/>
        </w:rPr>
        <w:t>6.1</w:t>
      </w:r>
      <w:r w:rsidRPr="002C1160">
        <w:rPr>
          <w:lang w:eastAsia="ru-RU"/>
        </w:rPr>
        <w:tab/>
        <w:t>Прежде чем рассматривать жалобу, изложенную в сообщении, Комитет обязан принять решение о ее приемлемости в соответствии со статьей 22 Ко</w:t>
      </w:r>
      <w:r w:rsidRPr="002C1160">
        <w:rPr>
          <w:lang w:eastAsia="ru-RU"/>
        </w:rPr>
        <w:t>н</w:t>
      </w:r>
      <w:r w:rsidRPr="002C1160">
        <w:rPr>
          <w:lang w:eastAsia="ru-RU"/>
        </w:rPr>
        <w:t>венции. Согласно пункту 5</w:t>
      </w:r>
      <w:r w:rsidR="00500FDF">
        <w:rPr>
          <w:lang w:eastAsia="ru-RU"/>
        </w:rPr>
        <w:t xml:space="preserve"> </w:t>
      </w:r>
      <w:r w:rsidRPr="002C1160">
        <w:rPr>
          <w:lang w:eastAsia="ru-RU"/>
        </w:rPr>
        <w:t>а) статьи 22 Конвенции, Комитет установил, что данный вопрос не рассматривается по другим процедурам международного ра</w:t>
      </w:r>
      <w:r w:rsidRPr="002C1160">
        <w:rPr>
          <w:lang w:eastAsia="ru-RU"/>
        </w:rPr>
        <w:t>з</w:t>
      </w:r>
      <w:r w:rsidRPr="002C1160">
        <w:rPr>
          <w:lang w:eastAsia="ru-RU"/>
        </w:rPr>
        <w:t>бирательства и урегулирования.</w:t>
      </w:r>
    </w:p>
    <w:p w:rsidR="002C1160" w:rsidRPr="002C1160" w:rsidRDefault="002C1160" w:rsidP="002C1160">
      <w:pPr>
        <w:pStyle w:val="SingleTxtGR"/>
        <w:rPr>
          <w:lang w:eastAsia="ru-RU"/>
        </w:rPr>
      </w:pPr>
      <w:r w:rsidRPr="002C1160">
        <w:rPr>
          <w:lang w:eastAsia="ru-RU"/>
        </w:rPr>
        <w:t>6.2</w:t>
      </w:r>
      <w:r w:rsidRPr="002C1160">
        <w:rPr>
          <w:lang w:eastAsia="ru-RU"/>
        </w:rPr>
        <w:tab/>
        <w:t>Комитет напоминает, что согласно пункту 5</w:t>
      </w:r>
      <w:r w:rsidR="00500FDF">
        <w:rPr>
          <w:lang w:eastAsia="ru-RU"/>
        </w:rPr>
        <w:t xml:space="preserve"> </w:t>
      </w:r>
      <w:r w:rsidRPr="002C1160">
        <w:rPr>
          <w:lang w:val="en-US" w:eastAsia="ru-RU"/>
        </w:rPr>
        <w:t>b</w:t>
      </w:r>
      <w:r w:rsidRPr="002C1160">
        <w:rPr>
          <w:lang w:eastAsia="ru-RU"/>
        </w:rPr>
        <w:t>) статьи 22 Конвенции он не обязан рассматривать какие-либо сообщения отдельных лиц, если только не было установлено, что это лицо исчерпало все имеющиеся внутренние средства правовой защиты. Комитет отмечает, что в данном случае государство-участник признало, что заявители исчерпали все имеющиеся внутренние средства прав</w:t>
      </w:r>
      <w:r w:rsidRPr="002C1160">
        <w:rPr>
          <w:lang w:eastAsia="ru-RU"/>
        </w:rPr>
        <w:t>о</w:t>
      </w:r>
      <w:r w:rsidRPr="002C1160">
        <w:rPr>
          <w:lang w:eastAsia="ru-RU"/>
        </w:rPr>
        <w:t>вой защиты. Соответственно Комитет не видит более препятствий для призн</w:t>
      </w:r>
      <w:r w:rsidRPr="002C1160">
        <w:rPr>
          <w:lang w:eastAsia="ru-RU"/>
        </w:rPr>
        <w:t>а</w:t>
      </w:r>
      <w:r w:rsidRPr="002C1160">
        <w:rPr>
          <w:lang w:eastAsia="ru-RU"/>
        </w:rPr>
        <w:t>ния приемлемости их сообщений и объявляет их сообщения приемлемыми и приступает к их рассмотрению по существу.</w:t>
      </w:r>
    </w:p>
    <w:p w:rsidR="002C1160" w:rsidRPr="002C1160" w:rsidRDefault="002C1160" w:rsidP="007B4C6A">
      <w:pPr>
        <w:pStyle w:val="H4GR"/>
      </w:pPr>
      <w:r w:rsidRPr="002C1160">
        <w:tab/>
      </w:r>
      <w:r w:rsidRPr="002C1160">
        <w:tab/>
        <w:t>Рассмотрение сообщения по существу</w:t>
      </w:r>
    </w:p>
    <w:p w:rsidR="002C1160" w:rsidRPr="002C1160" w:rsidRDefault="002C1160" w:rsidP="002C1160">
      <w:pPr>
        <w:pStyle w:val="SingleTxtGR"/>
        <w:rPr>
          <w:lang w:eastAsia="ru-RU"/>
        </w:rPr>
      </w:pPr>
      <w:r w:rsidRPr="002C1160">
        <w:rPr>
          <w:lang w:eastAsia="ru-RU"/>
        </w:rPr>
        <w:t>7.1</w:t>
      </w:r>
      <w:r w:rsidRPr="002C1160">
        <w:rPr>
          <w:lang w:eastAsia="ru-RU"/>
        </w:rPr>
        <w:tab/>
        <w:t>В соответствии с пунктом 4 статьи 22 Конвенции Комитет рассмотрел н</w:t>
      </w:r>
      <w:r w:rsidRPr="002C1160">
        <w:rPr>
          <w:lang w:eastAsia="ru-RU"/>
        </w:rPr>
        <w:t>а</w:t>
      </w:r>
      <w:r w:rsidRPr="002C1160">
        <w:rPr>
          <w:lang w:eastAsia="ru-RU"/>
        </w:rPr>
        <w:t>стоящее сообщение в свете всей представленной ему сторонами информации.</w:t>
      </w:r>
    </w:p>
    <w:p w:rsidR="002C1160" w:rsidRPr="002C1160" w:rsidRDefault="002C1160" w:rsidP="002C1160">
      <w:pPr>
        <w:pStyle w:val="SingleTxtGR"/>
        <w:rPr>
          <w:lang w:eastAsia="ru-RU"/>
        </w:rPr>
      </w:pPr>
      <w:r w:rsidRPr="002C1160">
        <w:rPr>
          <w:lang w:eastAsia="ru-RU"/>
        </w:rPr>
        <w:t>7.2</w:t>
      </w:r>
      <w:r w:rsidRPr="002C1160">
        <w:rPr>
          <w:lang w:eastAsia="ru-RU"/>
        </w:rPr>
        <w:tab/>
        <w:t>На рассмотрение Комитета стоит вопрос о том, станет ли высылка заяв</w:t>
      </w:r>
      <w:r w:rsidRPr="002C1160">
        <w:rPr>
          <w:lang w:eastAsia="ru-RU"/>
        </w:rPr>
        <w:t>и</w:t>
      </w:r>
      <w:r w:rsidRPr="002C1160">
        <w:rPr>
          <w:lang w:eastAsia="ru-RU"/>
        </w:rPr>
        <w:t>телей в Исламскую Ре</w:t>
      </w:r>
      <w:r w:rsidRPr="002C1160">
        <w:rPr>
          <w:lang w:eastAsia="ru-RU"/>
        </w:rPr>
        <w:t>с</w:t>
      </w:r>
      <w:r w:rsidRPr="002C1160">
        <w:rPr>
          <w:lang w:eastAsia="ru-RU"/>
        </w:rPr>
        <w:t>публику Иран нарушением обязательства государства-участника по статье 3 Конвенции не высылать и не возвращать (</w:t>
      </w:r>
      <w:r w:rsidRPr="002C1160">
        <w:rPr>
          <w:lang w:val="en-US" w:eastAsia="ru-RU"/>
        </w:rPr>
        <w:t>refouler</w:t>
      </w:r>
      <w:r w:rsidRPr="002C1160">
        <w:rPr>
          <w:lang w:eastAsia="ru-RU"/>
        </w:rPr>
        <w:t>) лицо в другое государство, в отношении которого имеются существенные основания полагать, что оно подвергнется пыткам. Комитет обязан оценить, имеются ли существенные основания полагать, что заявителям будет угрожать личная опа</w:t>
      </w:r>
      <w:r w:rsidRPr="002C1160">
        <w:rPr>
          <w:lang w:eastAsia="ru-RU"/>
        </w:rPr>
        <w:t>с</w:t>
      </w:r>
      <w:r w:rsidRPr="002C1160">
        <w:rPr>
          <w:lang w:eastAsia="ru-RU"/>
        </w:rPr>
        <w:t>ность подвергнуться пыткам по возвращении в Исламскую Республику Иран. При оценке такого риска Комитет должен принимать во внимание все соотве</w:t>
      </w:r>
      <w:r w:rsidRPr="002C1160">
        <w:rPr>
          <w:lang w:eastAsia="ru-RU"/>
        </w:rPr>
        <w:t>т</w:t>
      </w:r>
      <w:r w:rsidRPr="002C1160">
        <w:rPr>
          <w:lang w:eastAsia="ru-RU"/>
        </w:rPr>
        <w:t>ствующие соображения в соответствии с пунктом 2 статьи 3 Конвенции, вкл</w:t>
      </w:r>
      <w:r w:rsidRPr="002C1160">
        <w:rPr>
          <w:lang w:eastAsia="ru-RU"/>
        </w:rPr>
        <w:t>ю</w:t>
      </w:r>
      <w:r w:rsidRPr="002C1160">
        <w:rPr>
          <w:lang w:eastAsia="ru-RU"/>
        </w:rPr>
        <w:t>чая существование практики грубых, вопиющих или массовых нарушений прав человека. Однако практика вопиющих грубых или массовых нарушений прав человека в стране сама по себе не является достаточной причиной для опред</w:t>
      </w:r>
      <w:r w:rsidRPr="002C1160">
        <w:rPr>
          <w:lang w:eastAsia="ru-RU"/>
        </w:rPr>
        <w:t>е</w:t>
      </w:r>
      <w:r w:rsidRPr="002C1160">
        <w:rPr>
          <w:lang w:eastAsia="ru-RU"/>
        </w:rPr>
        <w:t>ления того, что тому или иному конкретному лицу будет угрожать опасность подвергнуться пыткам в случае его возвращения в страну.</w:t>
      </w:r>
      <w:r w:rsidR="001B0769">
        <w:rPr>
          <w:lang w:eastAsia="ru-RU"/>
        </w:rPr>
        <w:t xml:space="preserve"> </w:t>
      </w:r>
      <w:r w:rsidRPr="002C1160">
        <w:rPr>
          <w:lang w:eastAsia="ru-RU"/>
        </w:rPr>
        <w:t>Цель рассмотрения такого вопроса состоит в определении того, будет ли данному конкретному л</w:t>
      </w:r>
      <w:r w:rsidRPr="002C1160">
        <w:rPr>
          <w:lang w:eastAsia="ru-RU"/>
        </w:rPr>
        <w:t>и</w:t>
      </w:r>
      <w:r w:rsidRPr="002C1160">
        <w:rPr>
          <w:lang w:eastAsia="ru-RU"/>
        </w:rPr>
        <w:t>цу угрожать личная опасность в обозримом будущем подвергнуться пыткам в стране, в которую он вернется.</w:t>
      </w:r>
    </w:p>
    <w:p w:rsidR="002C1160" w:rsidRPr="002C1160" w:rsidRDefault="002C1160" w:rsidP="002C1160">
      <w:pPr>
        <w:pStyle w:val="SingleTxtGR"/>
        <w:rPr>
          <w:lang w:eastAsia="ru-RU"/>
        </w:rPr>
      </w:pPr>
      <w:r w:rsidRPr="002C1160">
        <w:rPr>
          <w:bCs/>
          <w:lang w:eastAsia="ru-RU"/>
        </w:rPr>
        <w:t>7.3</w:t>
      </w:r>
      <w:r w:rsidRPr="002C1160">
        <w:rPr>
          <w:bCs/>
          <w:lang w:eastAsia="ru-RU"/>
        </w:rPr>
        <w:tab/>
        <w:t>Комитет отмечает, что само государство-участник признает, что полож</w:t>
      </w:r>
      <w:r w:rsidRPr="002C1160">
        <w:rPr>
          <w:bCs/>
          <w:lang w:eastAsia="ru-RU"/>
        </w:rPr>
        <w:t>е</w:t>
      </w:r>
      <w:r w:rsidRPr="002C1160">
        <w:rPr>
          <w:bCs/>
          <w:lang w:eastAsia="ru-RU"/>
        </w:rPr>
        <w:t>ние в области прав человека в Исламской Республике Иран вызывает обеспок</w:t>
      </w:r>
      <w:r w:rsidRPr="002C1160">
        <w:rPr>
          <w:bCs/>
          <w:lang w:eastAsia="ru-RU"/>
        </w:rPr>
        <w:t>о</w:t>
      </w:r>
      <w:r w:rsidRPr="002C1160">
        <w:rPr>
          <w:bCs/>
          <w:lang w:eastAsia="ru-RU"/>
        </w:rPr>
        <w:t>енность и видные политические оппоненты режима подвергаются опасности пыток. Комитет напоминает свои собственные заключения по поводу выз</w:t>
      </w:r>
      <w:r w:rsidRPr="002C1160">
        <w:rPr>
          <w:bCs/>
          <w:lang w:eastAsia="ru-RU"/>
        </w:rPr>
        <w:t>ы</w:t>
      </w:r>
      <w:r w:rsidRPr="002C1160">
        <w:rPr>
          <w:bCs/>
          <w:lang w:eastAsia="ru-RU"/>
        </w:rPr>
        <w:t>вающего тревогу положения в области прав человека в Исламской Республике Иран, в частности лиц курдской национальности, которое сложилось после в</w:t>
      </w:r>
      <w:r w:rsidRPr="002C1160">
        <w:rPr>
          <w:bCs/>
          <w:lang w:eastAsia="ru-RU"/>
        </w:rPr>
        <w:t>ы</w:t>
      </w:r>
      <w:r w:rsidRPr="002C1160">
        <w:rPr>
          <w:bCs/>
          <w:lang w:eastAsia="ru-RU"/>
        </w:rPr>
        <w:t>боров в стране в 2009 году</w:t>
      </w:r>
      <w:r w:rsidR="007B4C6A">
        <w:rPr>
          <w:rStyle w:val="FootnoteReference"/>
          <w:bCs/>
          <w:lang w:eastAsia="ru-RU"/>
        </w:rPr>
        <w:footnoteReference w:id="14"/>
      </w:r>
      <w:r w:rsidR="007B4C6A">
        <w:rPr>
          <w:bCs/>
          <w:lang w:eastAsia="ru-RU"/>
        </w:rPr>
        <w:t>.</w:t>
      </w:r>
      <w:r w:rsidRPr="002C1160">
        <w:rPr>
          <w:lang w:eastAsia="ru-RU"/>
        </w:rPr>
        <w:t xml:space="preserve"> </w:t>
      </w:r>
      <w:r w:rsidRPr="002C1160">
        <w:rPr>
          <w:bCs/>
          <w:lang w:eastAsia="ru-RU"/>
        </w:rPr>
        <w:t>В этой связи Комитет принимает к сведению до</w:t>
      </w:r>
      <w:r w:rsidRPr="002C1160">
        <w:rPr>
          <w:bCs/>
          <w:lang w:eastAsia="ru-RU"/>
        </w:rPr>
        <w:t>к</w:t>
      </w:r>
      <w:r w:rsidRPr="002C1160">
        <w:rPr>
          <w:bCs/>
          <w:lang w:eastAsia="ru-RU"/>
        </w:rPr>
        <w:t>лад Специального докладчика о положении в области прав человека в Исла</w:t>
      </w:r>
      <w:r w:rsidRPr="002C1160">
        <w:rPr>
          <w:bCs/>
          <w:lang w:eastAsia="ru-RU"/>
        </w:rPr>
        <w:t>м</w:t>
      </w:r>
      <w:r w:rsidRPr="002C1160">
        <w:rPr>
          <w:bCs/>
          <w:lang w:eastAsia="ru-RU"/>
        </w:rPr>
        <w:t xml:space="preserve">ской Республике Иран 2014 года </w:t>
      </w:r>
      <w:r w:rsidRPr="002C1160">
        <w:rPr>
          <w:lang w:eastAsia="ru-RU"/>
        </w:rPr>
        <w:t>(</w:t>
      </w:r>
      <w:r w:rsidRPr="002C1160">
        <w:rPr>
          <w:lang w:val="en-GB" w:eastAsia="ru-RU"/>
        </w:rPr>
        <w:t>A</w:t>
      </w:r>
      <w:r w:rsidRPr="002C1160">
        <w:rPr>
          <w:lang w:eastAsia="ru-RU"/>
        </w:rPr>
        <w:t>/</w:t>
      </w:r>
      <w:r w:rsidRPr="002C1160">
        <w:rPr>
          <w:lang w:val="en-GB" w:eastAsia="ru-RU"/>
        </w:rPr>
        <w:t>HRC</w:t>
      </w:r>
      <w:r w:rsidRPr="002C1160">
        <w:rPr>
          <w:lang w:eastAsia="ru-RU"/>
        </w:rPr>
        <w:t>/25/61), в котором говориться о пр</w:t>
      </w:r>
      <w:r w:rsidRPr="002C1160">
        <w:rPr>
          <w:lang w:eastAsia="ru-RU"/>
        </w:rPr>
        <w:t>е</w:t>
      </w:r>
      <w:r w:rsidRPr="002C1160">
        <w:rPr>
          <w:lang w:eastAsia="ru-RU"/>
        </w:rPr>
        <w:t xml:space="preserve">следованиях, заключениях в тюрьмы и казнях членов курдского меньшинства </w:t>
      </w:r>
      <w:r w:rsidR="001B0769">
        <w:rPr>
          <w:lang w:eastAsia="ru-RU"/>
        </w:rPr>
        <w:t>"</w:t>
      </w:r>
      <w:r w:rsidR="005D4E59">
        <w:rPr>
          <w:lang w:eastAsia="ru-RU"/>
        </w:rPr>
        <w:t>в </w:t>
      </w:r>
      <w:r w:rsidRPr="002C1160">
        <w:rPr>
          <w:lang w:eastAsia="ru-RU"/>
        </w:rPr>
        <w:t>отсутствии стандартов справедливого судебного разбирательства</w:t>
      </w:r>
      <w:r w:rsidR="001B0769">
        <w:rPr>
          <w:lang w:eastAsia="ru-RU"/>
        </w:rPr>
        <w:t>"</w:t>
      </w:r>
      <w:r w:rsidRPr="002C1160">
        <w:rPr>
          <w:bCs/>
          <w:lang w:eastAsia="ru-RU"/>
        </w:rPr>
        <w:t xml:space="preserve"> (</w:t>
      </w:r>
      <w:r w:rsidRPr="002C1160">
        <w:rPr>
          <w:lang w:eastAsia="ru-RU"/>
        </w:rPr>
        <w:t>пун</w:t>
      </w:r>
      <w:r w:rsidRPr="002C1160">
        <w:rPr>
          <w:lang w:eastAsia="ru-RU"/>
        </w:rPr>
        <w:t>к</w:t>
      </w:r>
      <w:r w:rsidRPr="002C1160">
        <w:rPr>
          <w:lang w:eastAsia="ru-RU"/>
        </w:rPr>
        <w:t>ты</w:t>
      </w:r>
      <w:r w:rsidR="005D4E59">
        <w:rPr>
          <w:lang w:eastAsia="ru-RU"/>
        </w:rPr>
        <w:t> </w:t>
      </w:r>
      <w:r w:rsidRPr="002C1160">
        <w:rPr>
          <w:lang w:eastAsia="ru-RU"/>
        </w:rPr>
        <w:t>45, 47, 51, 82 и 83)</w:t>
      </w:r>
      <w:r w:rsidRPr="002C1160">
        <w:rPr>
          <w:bCs/>
          <w:lang w:eastAsia="ru-RU"/>
        </w:rPr>
        <w:t>. Комитет также принимает к сведению доклад Генерал</w:t>
      </w:r>
      <w:r w:rsidRPr="002C1160">
        <w:rPr>
          <w:bCs/>
          <w:lang w:eastAsia="ru-RU"/>
        </w:rPr>
        <w:t>ь</w:t>
      </w:r>
      <w:r w:rsidRPr="002C1160">
        <w:rPr>
          <w:bCs/>
          <w:lang w:eastAsia="ru-RU"/>
        </w:rPr>
        <w:t xml:space="preserve">ного секретаря о положении в области прав человека в Исламской Республике Иран </w:t>
      </w:r>
      <w:r w:rsidRPr="002C1160">
        <w:rPr>
          <w:lang w:eastAsia="ru-RU"/>
        </w:rPr>
        <w:t>(</w:t>
      </w:r>
      <w:r w:rsidRPr="002C1160">
        <w:rPr>
          <w:lang w:val="en-GB" w:eastAsia="ru-RU"/>
        </w:rPr>
        <w:t>A</w:t>
      </w:r>
      <w:r w:rsidRPr="002C1160">
        <w:rPr>
          <w:lang w:eastAsia="ru-RU"/>
        </w:rPr>
        <w:t>/</w:t>
      </w:r>
      <w:r w:rsidRPr="002C1160">
        <w:rPr>
          <w:lang w:val="en-GB" w:eastAsia="ru-RU"/>
        </w:rPr>
        <w:t>HRC</w:t>
      </w:r>
      <w:r w:rsidRPr="002C1160">
        <w:rPr>
          <w:lang w:eastAsia="ru-RU"/>
        </w:rPr>
        <w:t>/25/26) 2014 года</w:t>
      </w:r>
      <w:r w:rsidRPr="002C1160">
        <w:rPr>
          <w:bCs/>
          <w:lang w:eastAsia="ru-RU"/>
        </w:rPr>
        <w:t>, в котором указывается, что несколько курдских заключенных были предположительно казн</w:t>
      </w:r>
      <w:r w:rsidRPr="002C1160">
        <w:rPr>
          <w:bCs/>
          <w:lang w:eastAsia="ru-RU"/>
        </w:rPr>
        <w:t>е</w:t>
      </w:r>
      <w:r w:rsidRPr="002C1160">
        <w:rPr>
          <w:bCs/>
          <w:lang w:eastAsia="ru-RU"/>
        </w:rPr>
        <w:t xml:space="preserve">ны после того, как их приговорили к смерти по обвинениям в </w:t>
      </w:r>
      <w:r w:rsidRPr="001B0769">
        <w:rPr>
          <w:bCs/>
          <w:iCs/>
          <w:lang w:val="en-GB" w:eastAsia="ru-RU"/>
        </w:rPr>
        <w:t>moharebeh</w:t>
      </w:r>
      <w:r w:rsidRPr="002C1160">
        <w:rPr>
          <w:bCs/>
          <w:lang w:eastAsia="ru-RU"/>
        </w:rPr>
        <w:t xml:space="preserve"> (богохульстве) и за предпол</w:t>
      </w:r>
      <w:r w:rsidRPr="002C1160">
        <w:rPr>
          <w:bCs/>
          <w:lang w:eastAsia="ru-RU"/>
        </w:rPr>
        <w:t>а</w:t>
      </w:r>
      <w:r w:rsidRPr="002C1160">
        <w:rPr>
          <w:bCs/>
          <w:lang w:eastAsia="ru-RU"/>
        </w:rPr>
        <w:t xml:space="preserve">гаемые связи с политическими партиями, включая Комала </w:t>
      </w:r>
      <w:r w:rsidRPr="002C1160">
        <w:rPr>
          <w:lang w:eastAsia="ru-RU"/>
        </w:rPr>
        <w:t>(пункт 9)</w:t>
      </w:r>
      <w:r w:rsidRPr="002C1160">
        <w:rPr>
          <w:bCs/>
          <w:lang w:eastAsia="ru-RU"/>
        </w:rPr>
        <w:t>.</w:t>
      </w:r>
    </w:p>
    <w:p w:rsidR="002C1160" w:rsidRPr="002C1160" w:rsidRDefault="002C1160" w:rsidP="002C1160">
      <w:pPr>
        <w:pStyle w:val="SingleTxtGR"/>
        <w:rPr>
          <w:lang w:eastAsia="ru-RU"/>
        </w:rPr>
      </w:pPr>
      <w:r w:rsidRPr="002C1160">
        <w:rPr>
          <w:lang w:eastAsia="ru-RU"/>
        </w:rPr>
        <w:t>7.4</w:t>
      </w:r>
      <w:r w:rsidRPr="002C1160">
        <w:rPr>
          <w:lang w:eastAsia="ru-RU"/>
        </w:rPr>
        <w:tab/>
        <w:t>Комитет также ссылается на свое замечание общего порядка № 1, в соо</w:t>
      </w:r>
      <w:r w:rsidRPr="002C1160">
        <w:rPr>
          <w:lang w:eastAsia="ru-RU"/>
        </w:rPr>
        <w:t>т</w:t>
      </w:r>
      <w:r w:rsidRPr="002C1160">
        <w:rPr>
          <w:lang w:eastAsia="ru-RU"/>
        </w:rPr>
        <w:t>ветствии с которым опа</w:t>
      </w:r>
      <w:r w:rsidRPr="002C1160">
        <w:rPr>
          <w:lang w:eastAsia="ru-RU"/>
        </w:rPr>
        <w:t>с</w:t>
      </w:r>
      <w:r w:rsidRPr="002C1160">
        <w:rPr>
          <w:lang w:eastAsia="ru-RU"/>
        </w:rPr>
        <w:t>ность пыток должна оцениваться на основании причин, выходящих за рамки подозрения. Хотя опасность не должна обязательно соо</w:t>
      </w:r>
      <w:r w:rsidRPr="002C1160">
        <w:rPr>
          <w:lang w:eastAsia="ru-RU"/>
        </w:rPr>
        <w:t>т</w:t>
      </w:r>
      <w:r w:rsidRPr="002C1160">
        <w:rPr>
          <w:lang w:eastAsia="ru-RU"/>
        </w:rPr>
        <w:t xml:space="preserve">ветствовать критерию </w:t>
      </w:r>
      <w:r w:rsidR="001B0769">
        <w:rPr>
          <w:lang w:eastAsia="ru-RU"/>
        </w:rPr>
        <w:t>"</w:t>
      </w:r>
      <w:r w:rsidRPr="002C1160">
        <w:rPr>
          <w:lang w:eastAsia="ru-RU"/>
        </w:rPr>
        <w:t>крайней вероятности</w:t>
      </w:r>
      <w:r w:rsidR="001B0769">
        <w:rPr>
          <w:lang w:eastAsia="ru-RU"/>
        </w:rPr>
        <w:t>"</w:t>
      </w:r>
      <w:r w:rsidRPr="002C1160">
        <w:rPr>
          <w:lang w:eastAsia="ru-RU"/>
        </w:rPr>
        <w:t xml:space="preserve"> (пункт 6), Комитет о</w:t>
      </w:r>
      <w:r w:rsidRPr="002C1160">
        <w:rPr>
          <w:lang w:eastAsia="ru-RU"/>
        </w:rPr>
        <w:t>т</w:t>
      </w:r>
      <w:r w:rsidRPr="002C1160">
        <w:rPr>
          <w:lang w:eastAsia="ru-RU"/>
        </w:rPr>
        <w:t>мечает, что бремя доказывании, как правило, лежит на заявителе, который обязан изложить аргументировано свое дело, обосновав, что ему или ей в предсказуемом буд</w:t>
      </w:r>
      <w:r w:rsidRPr="002C1160">
        <w:rPr>
          <w:lang w:eastAsia="ru-RU"/>
        </w:rPr>
        <w:t>у</w:t>
      </w:r>
      <w:r w:rsidRPr="002C1160">
        <w:rPr>
          <w:lang w:eastAsia="ru-RU"/>
        </w:rPr>
        <w:t>щем угрожает реальная и л</w:t>
      </w:r>
      <w:r w:rsidR="007B4C6A">
        <w:rPr>
          <w:lang w:eastAsia="ru-RU"/>
        </w:rPr>
        <w:t>ичная опасность</w:t>
      </w:r>
      <w:r w:rsidR="007B4C6A">
        <w:rPr>
          <w:rStyle w:val="FootnoteReference"/>
          <w:lang w:eastAsia="ru-RU"/>
        </w:rPr>
        <w:footnoteReference w:id="15"/>
      </w:r>
      <w:r w:rsidR="007B4C6A">
        <w:rPr>
          <w:lang w:eastAsia="ru-RU"/>
        </w:rPr>
        <w:t>.</w:t>
      </w:r>
      <w:r w:rsidRPr="002C1160">
        <w:rPr>
          <w:lang w:eastAsia="ru-RU"/>
        </w:rPr>
        <w:t xml:space="preserve"> Комитет далее напоминает, что в соответствии со своим замечанием общего порядка №</w:t>
      </w:r>
      <w:r w:rsidR="001B0769">
        <w:rPr>
          <w:lang w:eastAsia="ru-RU"/>
        </w:rPr>
        <w:t xml:space="preserve"> </w:t>
      </w:r>
      <w:r w:rsidRPr="002C1160">
        <w:rPr>
          <w:lang w:eastAsia="ru-RU"/>
        </w:rPr>
        <w:t>1 он уделяет существе</w:t>
      </w:r>
      <w:r w:rsidRPr="002C1160">
        <w:rPr>
          <w:lang w:eastAsia="ru-RU"/>
        </w:rPr>
        <w:t>н</w:t>
      </w:r>
      <w:r w:rsidRPr="002C1160">
        <w:rPr>
          <w:lang w:eastAsia="ru-RU"/>
        </w:rPr>
        <w:t>ное внимание доказательствам по фактам, которые были определены соответс</w:t>
      </w:r>
      <w:r w:rsidRPr="002C1160">
        <w:rPr>
          <w:lang w:eastAsia="ru-RU"/>
        </w:rPr>
        <w:t>т</w:t>
      </w:r>
      <w:r w:rsidRPr="002C1160">
        <w:rPr>
          <w:lang w:eastAsia="ru-RU"/>
        </w:rPr>
        <w:t>вующими органами государства-участника, при этом отмечает, что оно не явл</w:t>
      </w:r>
      <w:r w:rsidRPr="002C1160">
        <w:rPr>
          <w:lang w:eastAsia="ru-RU"/>
        </w:rPr>
        <w:t>я</w:t>
      </w:r>
      <w:r w:rsidRPr="002C1160">
        <w:rPr>
          <w:lang w:eastAsia="ru-RU"/>
        </w:rPr>
        <w:t>ется обязанным считать такие факты доказательствами, а также нарушать по</w:t>
      </w:r>
      <w:r w:rsidRPr="002C1160">
        <w:rPr>
          <w:lang w:eastAsia="ru-RU"/>
        </w:rPr>
        <w:t>л</w:t>
      </w:r>
      <w:r w:rsidRPr="002C1160">
        <w:rPr>
          <w:lang w:eastAsia="ru-RU"/>
        </w:rPr>
        <w:t>номочия, предусмотренные пунктом 4 статьи 22 Конвенции о свободе оценки фактов, основанных на учете всех обстоятельств по конкретному делу (пункт</w:t>
      </w:r>
      <w:r w:rsidR="005D4E59">
        <w:rPr>
          <w:lang w:eastAsia="ru-RU"/>
        </w:rPr>
        <w:t> </w:t>
      </w:r>
      <w:r w:rsidRPr="002C1160">
        <w:rPr>
          <w:lang w:eastAsia="ru-RU"/>
        </w:rPr>
        <w:t>9).</w:t>
      </w:r>
    </w:p>
    <w:p w:rsidR="002C1160" w:rsidRPr="002C1160" w:rsidRDefault="002C1160" w:rsidP="002C1160">
      <w:pPr>
        <w:pStyle w:val="SingleTxtGR"/>
        <w:rPr>
          <w:lang w:eastAsia="ru-RU"/>
        </w:rPr>
      </w:pPr>
      <w:r w:rsidRPr="002C1160">
        <w:rPr>
          <w:lang w:eastAsia="ru-RU"/>
        </w:rPr>
        <w:t>7.5</w:t>
      </w:r>
      <w:r w:rsidRPr="002C1160">
        <w:rPr>
          <w:lang w:eastAsia="ru-RU"/>
        </w:rPr>
        <w:tab/>
        <w:t>Комитет принимает к сведению выводы двух психиатрических экспертиз, а также заявление психотерапевта относительно здоровья г-на Х, который, с</w:t>
      </w:r>
      <w:r w:rsidRPr="002C1160">
        <w:rPr>
          <w:lang w:eastAsia="ru-RU"/>
        </w:rPr>
        <w:t>о</w:t>
      </w:r>
      <w:r w:rsidRPr="002C1160">
        <w:rPr>
          <w:lang w:eastAsia="ru-RU"/>
        </w:rPr>
        <w:t>гласно заключению врача, страдает от посттравматического стрессового си</w:t>
      </w:r>
      <w:r w:rsidRPr="002C1160">
        <w:rPr>
          <w:lang w:eastAsia="ru-RU"/>
        </w:rPr>
        <w:t>н</w:t>
      </w:r>
      <w:r w:rsidRPr="002C1160">
        <w:rPr>
          <w:lang w:eastAsia="ru-RU"/>
        </w:rPr>
        <w:t xml:space="preserve">дрома. Вторая жалоба г-на </w:t>
      </w:r>
      <w:r w:rsidRPr="002C1160">
        <w:rPr>
          <w:lang w:val="en-US" w:eastAsia="ru-RU"/>
        </w:rPr>
        <w:t>Z</w:t>
      </w:r>
      <w:r w:rsidRPr="002C1160">
        <w:rPr>
          <w:lang w:eastAsia="ru-RU"/>
        </w:rPr>
        <w:t>, которая прилагалась к заявлению врача о</w:t>
      </w:r>
      <w:r w:rsidRPr="002C1160">
        <w:rPr>
          <w:lang w:eastAsia="ru-RU"/>
        </w:rPr>
        <w:t>б</w:t>
      </w:r>
      <w:r w:rsidRPr="002C1160">
        <w:rPr>
          <w:lang w:eastAsia="ru-RU"/>
        </w:rPr>
        <w:t xml:space="preserve">щей практики и в которой говорилось, что </w:t>
      </w:r>
      <w:r w:rsidR="001B0769">
        <w:rPr>
          <w:lang w:eastAsia="ru-RU"/>
        </w:rPr>
        <w:t>"</w:t>
      </w:r>
      <w:r w:rsidRPr="002C1160">
        <w:rPr>
          <w:lang w:eastAsia="ru-RU"/>
        </w:rPr>
        <w:t>хотя нанесенные ему раны являются н</w:t>
      </w:r>
      <w:r w:rsidRPr="002C1160">
        <w:rPr>
          <w:lang w:eastAsia="ru-RU"/>
        </w:rPr>
        <w:t>е</w:t>
      </w:r>
      <w:r w:rsidRPr="002C1160">
        <w:rPr>
          <w:lang w:eastAsia="ru-RU"/>
        </w:rPr>
        <w:t>значительными..., нет оснований сомневаться в том, что они могли бы быть причинены во время его тюремного заключения в период с апреля по май</w:t>
      </w:r>
      <w:r w:rsidR="001B0769">
        <w:rPr>
          <w:lang w:eastAsia="ru-RU"/>
        </w:rPr>
        <w:t xml:space="preserve"> </w:t>
      </w:r>
      <w:r w:rsidRPr="002C1160">
        <w:rPr>
          <w:lang w:eastAsia="ru-RU"/>
        </w:rPr>
        <w:t>2007</w:t>
      </w:r>
      <w:r w:rsidR="00F85DA1">
        <w:rPr>
          <w:lang w:eastAsia="ru-RU"/>
        </w:rPr>
        <w:t> </w:t>
      </w:r>
      <w:r w:rsidRPr="002C1160">
        <w:rPr>
          <w:lang w:eastAsia="ru-RU"/>
        </w:rPr>
        <w:t>года</w:t>
      </w:r>
      <w:r w:rsidR="001B0769">
        <w:rPr>
          <w:lang w:eastAsia="ru-RU"/>
        </w:rPr>
        <w:t>"</w:t>
      </w:r>
      <w:r w:rsidRPr="002C1160">
        <w:rPr>
          <w:lang w:eastAsia="ru-RU"/>
        </w:rPr>
        <w:t xml:space="preserve">, как об этом говорил г-н </w:t>
      </w:r>
      <w:r w:rsidRPr="002C1160">
        <w:rPr>
          <w:lang w:val="en-US" w:eastAsia="ru-RU"/>
        </w:rPr>
        <w:t>Z</w:t>
      </w:r>
      <w:r w:rsidRPr="002C1160">
        <w:rPr>
          <w:lang w:eastAsia="ru-RU"/>
        </w:rPr>
        <w:t>. Комитет принимает к сведению утве</w:t>
      </w:r>
      <w:r w:rsidRPr="002C1160">
        <w:rPr>
          <w:lang w:eastAsia="ru-RU"/>
        </w:rPr>
        <w:t>р</w:t>
      </w:r>
      <w:r w:rsidRPr="002C1160">
        <w:rPr>
          <w:lang w:eastAsia="ru-RU"/>
        </w:rPr>
        <w:t>ждение государства участника о том, что раны, о которых говорится в медици</w:t>
      </w:r>
      <w:r w:rsidRPr="002C1160">
        <w:rPr>
          <w:lang w:eastAsia="ru-RU"/>
        </w:rPr>
        <w:t>н</w:t>
      </w:r>
      <w:r w:rsidRPr="002C1160">
        <w:rPr>
          <w:lang w:eastAsia="ru-RU"/>
        </w:rPr>
        <w:t>ских справках, являются лишь незначительными и что медицинская документ</w:t>
      </w:r>
      <w:r w:rsidRPr="002C1160">
        <w:rPr>
          <w:lang w:eastAsia="ru-RU"/>
        </w:rPr>
        <w:t>а</w:t>
      </w:r>
      <w:r w:rsidRPr="002C1160">
        <w:rPr>
          <w:lang w:eastAsia="ru-RU"/>
        </w:rPr>
        <w:t>ция, о которой идет речь, не обосновывает в пределах разумных сомнений, что пол</w:t>
      </w:r>
      <w:r w:rsidRPr="002C1160">
        <w:rPr>
          <w:lang w:eastAsia="ru-RU"/>
        </w:rPr>
        <w:t>у</w:t>
      </w:r>
      <w:r w:rsidRPr="002C1160">
        <w:rPr>
          <w:lang w:eastAsia="ru-RU"/>
        </w:rPr>
        <w:t>ченные раны стали результатом пыток или жестокого обращения. Вместе с этим Комитет отмечает, что в медицинском свидетельстве, предста</w:t>
      </w:r>
      <w:r w:rsidRPr="002C1160">
        <w:rPr>
          <w:lang w:eastAsia="ru-RU"/>
        </w:rPr>
        <w:t>в</w:t>
      </w:r>
      <w:r w:rsidR="00F85DA1">
        <w:rPr>
          <w:lang w:eastAsia="ru-RU"/>
        </w:rPr>
        <w:t>ленном г</w:t>
      </w:r>
      <w:r w:rsidR="00F85DA1">
        <w:rPr>
          <w:lang w:eastAsia="ru-RU"/>
        </w:rPr>
        <w:noBreakHyphen/>
      </w:r>
      <w:r w:rsidRPr="002C1160">
        <w:rPr>
          <w:lang w:eastAsia="ru-RU"/>
        </w:rPr>
        <w:t xml:space="preserve">ном Х, указывается, что медицинские симптомы </w:t>
      </w:r>
      <w:r w:rsidR="001B0769">
        <w:rPr>
          <w:lang w:eastAsia="ru-RU"/>
        </w:rPr>
        <w:t>"</w:t>
      </w:r>
      <w:r w:rsidRPr="002C1160">
        <w:rPr>
          <w:lang w:eastAsia="ru-RU"/>
        </w:rPr>
        <w:t>совместимы с симптомами</w:t>
      </w:r>
      <w:r w:rsidR="001B0769">
        <w:rPr>
          <w:lang w:eastAsia="ru-RU"/>
        </w:rPr>
        <w:t>"</w:t>
      </w:r>
      <w:r w:rsidRPr="002C1160">
        <w:rPr>
          <w:lang w:eastAsia="ru-RU"/>
        </w:rPr>
        <w:t>, которые могут наблюдаться у человека, пострадавшего от пыток. Он также сч</w:t>
      </w:r>
      <w:r w:rsidRPr="002C1160">
        <w:rPr>
          <w:lang w:eastAsia="ru-RU"/>
        </w:rPr>
        <w:t>и</w:t>
      </w:r>
      <w:r w:rsidRPr="002C1160">
        <w:rPr>
          <w:lang w:eastAsia="ru-RU"/>
        </w:rPr>
        <w:t>тает, что государство-участник в свете этих сомнений могло бы провести д</w:t>
      </w:r>
      <w:r w:rsidRPr="002C1160">
        <w:rPr>
          <w:lang w:eastAsia="ru-RU"/>
        </w:rPr>
        <w:t>о</w:t>
      </w:r>
      <w:r w:rsidRPr="002C1160">
        <w:rPr>
          <w:lang w:eastAsia="ru-RU"/>
        </w:rPr>
        <w:t>полнительное освидетельствование заявителя в целях получения полностью осознанного заключения по данному вопросу.</w:t>
      </w:r>
    </w:p>
    <w:p w:rsidR="002C1160" w:rsidRPr="002C1160" w:rsidRDefault="002C1160" w:rsidP="002C1160">
      <w:pPr>
        <w:pStyle w:val="SingleTxtGR"/>
        <w:rPr>
          <w:lang w:eastAsia="ru-RU"/>
        </w:rPr>
      </w:pPr>
      <w:r w:rsidRPr="002C1160">
        <w:rPr>
          <w:lang w:eastAsia="ru-RU"/>
        </w:rPr>
        <w:t>7.6</w:t>
      </w:r>
      <w:r w:rsidRPr="002C1160">
        <w:rPr>
          <w:lang w:eastAsia="ru-RU"/>
        </w:rPr>
        <w:tab/>
        <w:t>Комитет отмечает, что два заявителя представили свидетельства о своем членстве в партии Комала, которые были выданы отделением этой партии в Швеции. Он также отмечает, что государство-участник не оспаривает тот факт, что заявители были политическими активистами и принадлежали к высокоп</w:t>
      </w:r>
      <w:r w:rsidRPr="002C1160">
        <w:rPr>
          <w:lang w:eastAsia="ru-RU"/>
        </w:rPr>
        <w:t>о</w:t>
      </w:r>
      <w:r w:rsidRPr="002C1160">
        <w:rPr>
          <w:lang w:eastAsia="ru-RU"/>
        </w:rPr>
        <w:t>ставленным семьям, поскольку их отец и дяди принимали активное участие в деятельности партии Комала и подвергались преследованиям со стороны ира</w:t>
      </w:r>
      <w:r w:rsidRPr="002C1160">
        <w:rPr>
          <w:lang w:eastAsia="ru-RU"/>
        </w:rPr>
        <w:t>н</w:t>
      </w:r>
      <w:r w:rsidRPr="002C1160">
        <w:rPr>
          <w:lang w:eastAsia="ru-RU"/>
        </w:rPr>
        <w:t>ских властей за политические взгляды. Комитет отмечает, что в силу политич</w:t>
      </w:r>
      <w:r w:rsidRPr="002C1160">
        <w:rPr>
          <w:lang w:eastAsia="ru-RU"/>
        </w:rPr>
        <w:t>е</w:t>
      </w:r>
      <w:r w:rsidRPr="002C1160">
        <w:rPr>
          <w:lang w:eastAsia="ru-RU"/>
        </w:rPr>
        <w:t>ской деятельности заявителей и их семейных связей с оппозиционными деят</w:t>
      </w:r>
      <w:r w:rsidRPr="002C1160">
        <w:rPr>
          <w:lang w:eastAsia="ru-RU"/>
        </w:rPr>
        <w:t>е</w:t>
      </w:r>
      <w:r w:rsidRPr="002C1160">
        <w:rPr>
          <w:lang w:eastAsia="ru-RU"/>
        </w:rPr>
        <w:t>лями, равно как и их тюремное заключение до выезда из страны происхождения скорее всего привлекут к себе внимание властей по возвращению в Исламскую Республику Иран, что существенно увеличит опасность их ареста, пыток и пр</w:t>
      </w:r>
      <w:r w:rsidRPr="002C1160">
        <w:rPr>
          <w:lang w:eastAsia="ru-RU"/>
        </w:rPr>
        <w:t>и</w:t>
      </w:r>
      <w:r w:rsidRPr="002C1160">
        <w:rPr>
          <w:lang w:eastAsia="ru-RU"/>
        </w:rPr>
        <w:t>говора их к смерти в случае возвращения.</w:t>
      </w:r>
    </w:p>
    <w:p w:rsidR="002C1160" w:rsidRPr="002C1160" w:rsidRDefault="002C1160" w:rsidP="002C1160">
      <w:pPr>
        <w:pStyle w:val="SingleTxtGR"/>
        <w:rPr>
          <w:lang w:eastAsia="ru-RU"/>
        </w:rPr>
      </w:pPr>
      <w:r w:rsidRPr="002C1160">
        <w:rPr>
          <w:lang w:eastAsia="ru-RU"/>
        </w:rPr>
        <w:t>7.7</w:t>
      </w:r>
      <w:r w:rsidRPr="002C1160">
        <w:rPr>
          <w:lang w:eastAsia="ru-RU"/>
        </w:rPr>
        <w:tab/>
        <w:t>Соответственно в свете общего положения в области прав человека в И</w:t>
      </w:r>
      <w:r w:rsidRPr="002C1160">
        <w:rPr>
          <w:lang w:eastAsia="ru-RU"/>
        </w:rPr>
        <w:t>с</w:t>
      </w:r>
      <w:r w:rsidRPr="002C1160">
        <w:rPr>
          <w:lang w:eastAsia="ru-RU"/>
        </w:rPr>
        <w:t>ламской Республике Иран, которое особенно затрагивает членов оппозиции, а также с учетом политической деятельности заявителей в Исламской Республике Иран и за рубежом, их тюремное заключение, а также подробное описание п</w:t>
      </w:r>
      <w:r w:rsidRPr="002C1160">
        <w:rPr>
          <w:lang w:eastAsia="ru-RU"/>
        </w:rPr>
        <w:t>ы</w:t>
      </w:r>
      <w:r w:rsidRPr="002C1160">
        <w:rPr>
          <w:lang w:eastAsia="ru-RU"/>
        </w:rPr>
        <w:t>ток и жестокого обращения, жертвами которого они стали, подтверждаемое с</w:t>
      </w:r>
      <w:r w:rsidRPr="002C1160">
        <w:rPr>
          <w:lang w:eastAsia="ru-RU"/>
        </w:rPr>
        <w:t>у</w:t>
      </w:r>
      <w:r w:rsidRPr="002C1160">
        <w:rPr>
          <w:lang w:eastAsia="ru-RU"/>
        </w:rPr>
        <w:t>щественными</w:t>
      </w:r>
      <w:r w:rsidR="001B0769">
        <w:rPr>
          <w:lang w:eastAsia="ru-RU"/>
        </w:rPr>
        <w:t xml:space="preserve"> </w:t>
      </w:r>
      <w:r w:rsidRPr="002C1160">
        <w:rPr>
          <w:lang w:eastAsia="ru-RU"/>
        </w:rPr>
        <w:t>доказательствами, которые были приведены заявителями, в час</w:t>
      </w:r>
      <w:r w:rsidRPr="002C1160">
        <w:rPr>
          <w:lang w:eastAsia="ru-RU"/>
        </w:rPr>
        <w:t>т</w:t>
      </w:r>
      <w:r w:rsidRPr="002C1160">
        <w:rPr>
          <w:lang w:eastAsia="ru-RU"/>
        </w:rPr>
        <w:t>ности, медицинскими справками, Комитет считает, что представленный ему м</w:t>
      </w:r>
      <w:r w:rsidRPr="002C1160">
        <w:rPr>
          <w:lang w:eastAsia="ru-RU"/>
        </w:rPr>
        <w:t>а</w:t>
      </w:r>
      <w:r w:rsidRPr="002C1160">
        <w:rPr>
          <w:lang w:eastAsia="ru-RU"/>
        </w:rPr>
        <w:t>териал является достаточным для заключения о том, что имеются существе</w:t>
      </w:r>
      <w:r w:rsidRPr="002C1160">
        <w:rPr>
          <w:lang w:eastAsia="ru-RU"/>
        </w:rPr>
        <w:t>н</w:t>
      </w:r>
      <w:r w:rsidRPr="002C1160">
        <w:rPr>
          <w:lang w:eastAsia="ru-RU"/>
        </w:rPr>
        <w:t>ные основания полагать, что заявителям будет угрожать опасность пыток в сл</w:t>
      </w:r>
      <w:r w:rsidRPr="002C1160">
        <w:rPr>
          <w:lang w:eastAsia="ru-RU"/>
        </w:rPr>
        <w:t>у</w:t>
      </w:r>
      <w:r w:rsidRPr="002C1160">
        <w:rPr>
          <w:lang w:eastAsia="ru-RU"/>
        </w:rPr>
        <w:t>чае возвр</w:t>
      </w:r>
      <w:r w:rsidRPr="002C1160">
        <w:rPr>
          <w:lang w:eastAsia="ru-RU"/>
        </w:rPr>
        <w:t>а</w:t>
      </w:r>
      <w:r w:rsidRPr="002C1160">
        <w:rPr>
          <w:lang w:eastAsia="ru-RU"/>
        </w:rPr>
        <w:t>щения в Исламскую Республику Иран.</w:t>
      </w:r>
    </w:p>
    <w:p w:rsidR="002C1160" w:rsidRPr="002C1160" w:rsidRDefault="002C1160" w:rsidP="002C1160">
      <w:pPr>
        <w:pStyle w:val="SingleTxtGR"/>
        <w:rPr>
          <w:lang w:eastAsia="ru-RU"/>
        </w:rPr>
      </w:pPr>
      <w:r w:rsidRPr="002C1160">
        <w:rPr>
          <w:lang w:eastAsia="ru-RU"/>
        </w:rPr>
        <w:t>8.</w:t>
      </w:r>
      <w:r w:rsidRPr="002C1160">
        <w:rPr>
          <w:lang w:eastAsia="ru-RU"/>
        </w:rPr>
        <w:tab/>
        <w:t>Комитет против пыток, действуя в соответствии с пунктом 7 статьи 22 Конвенции против пыток и других видов жестокого, бесчеловечного или ун</w:t>
      </w:r>
      <w:r w:rsidRPr="002C1160">
        <w:rPr>
          <w:lang w:eastAsia="ru-RU"/>
        </w:rPr>
        <w:t>и</w:t>
      </w:r>
      <w:r w:rsidRPr="002C1160">
        <w:rPr>
          <w:lang w:eastAsia="ru-RU"/>
        </w:rPr>
        <w:t>жающего достоинство наказания признает наличие существенных оснований полагать, что заявителям будет угрожать в ближайшем будущем реальная и ли</w:t>
      </w:r>
      <w:r w:rsidRPr="002C1160">
        <w:rPr>
          <w:lang w:eastAsia="ru-RU"/>
        </w:rPr>
        <w:t>ч</w:t>
      </w:r>
      <w:r w:rsidRPr="002C1160">
        <w:rPr>
          <w:lang w:eastAsia="ru-RU"/>
        </w:rPr>
        <w:t>ная опасность подвергнуться пыткам со стороны государственных должнос</w:t>
      </w:r>
      <w:r w:rsidRPr="002C1160">
        <w:rPr>
          <w:lang w:eastAsia="ru-RU"/>
        </w:rPr>
        <w:t>т</w:t>
      </w:r>
      <w:r w:rsidRPr="002C1160">
        <w:rPr>
          <w:lang w:eastAsia="ru-RU"/>
        </w:rPr>
        <w:t>ных лиц в случае возвращения в Исламскую Республику Иран. Комитет в этой связи считает, что выдача заявителей в Исламскую Республику Иран станет н</w:t>
      </w:r>
      <w:r w:rsidRPr="002C1160">
        <w:rPr>
          <w:lang w:eastAsia="ru-RU"/>
        </w:rPr>
        <w:t>а</w:t>
      </w:r>
      <w:r w:rsidRPr="002C1160">
        <w:rPr>
          <w:lang w:eastAsia="ru-RU"/>
        </w:rPr>
        <w:t>рушением статьи 3 Конвенции.</w:t>
      </w:r>
    </w:p>
    <w:p w:rsidR="002C1160" w:rsidRPr="002C1160" w:rsidRDefault="002C1160" w:rsidP="002C1160">
      <w:pPr>
        <w:pStyle w:val="SingleTxtGR"/>
        <w:rPr>
          <w:lang w:eastAsia="ru-RU"/>
        </w:rPr>
      </w:pPr>
      <w:r w:rsidRPr="002C1160">
        <w:rPr>
          <w:lang w:eastAsia="ru-RU"/>
        </w:rPr>
        <w:t>9.</w:t>
      </w:r>
      <w:r w:rsidRPr="002C1160">
        <w:rPr>
          <w:lang w:eastAsia="ru-RU"/>
        </w:rPr>
        <w:tab/>
        <w:t>Комитет полагает, что государство-участник обязано воздержаться от принудительного возвращ</w:t>
      </w:r>
      <w:r w:rsidRPr="002C1160">
        <w:rPr>
          <w:lang w:eastAsia="ru-RU"/>
        </w:rPr>
        <w:t>е</w:t>
      </w:r>
      <w:r w:rsidRPr="002C1160">
        <w:rPr>
          <w:lang w:eastAsia="ru-RU"/>
        </w:rPr>
        <w:t>ния заявителей в Исламскую Республику Иран либо в любую другую страну, в которой им может угрожать опасность высылки или возвращения в Исламскую Республику Иран. Согласно пункту 5 правил 118 своих правил процедуры Комитет предлагает государству-участнику прои</w:t>
      </w:r>
      <w:r w:rsidRPr="002C1160">
        <w:rPr>
          <w:lang w:eastAsia="ru-RU"/>
        </w:rPr>
        <w:t>н</w:t>
      </w:r>
      <w:r w:rsidRPr="002C1160">
        <w:rPr>
          <w:lang w:eastAsia="ru-RU"/>
        </w:rPr>
        <w:t>формировать его в течение 90 дней с даты препровождения настоящего реш</w:t>
      </w:r>
      <w:r w:rsidRPr="002C1160">
        <w:rPr>
          <w:lang w:eastAsia="ru-RU"/>
        </w:rPr>
        <w:t>е</w:t>
      </w:r>
      <w:r w:rsidRPr="002C1160">
        <w:rPr>
          <w:lang w:eastAsia="ru-RU"/>
        </w:rPr>
        <w:t xml:space="preserve">ния о принятых мерах. </w:t>
      </w:r>
    </w:p>
    <w:p w:rsidR="002C1160" w:rsidRDefault="002C1160" w:rsidP="002C1160">
      <w:pPr>
        <w:pStyle w:val="SingleTxtGR"/>
        <w:rPr>
          <w:lang w:val="en-US" w:eastAsia="ru-RU"/>
        </w:rPr>
      </w:pPr>
      <w:r w:rsidRPr="002C1160">
        <w:rPr>
          <w:lang w:eastAsia="ru-RU"/>
        </w:rPr>
        <w:t>[Принято на английском, испанском и французском языках, причем языком ор</w:t>
      </w:r>
      <w:r w:rsidRPr="002C1160">
        <w:rPr>
          <w:lang w:eastAsia="ru-RU"/>
        </w:rPr>
        <w:t>и</w:t>
      </w:r>
      <w:r w:rsidRPr="002C1160">
        <w:rPr>
          <w:lang w:eastAsia="ru-RU"/>
        </w:rPr>
        <w:t>гинала является английский. Впоследствии будет также издано на арабском, к</w:t>
      </w:r>
      <w:r w:rsidRPr="002C1160">
        <w:rPr>
          <w:lang w:eastAsia="ru-RU"/>
        </w:rPr>
        <w:t>и</w:t>
      </w:r>
      <w:r w:rsidRPr="002C1160">
        <w:rPr>
          <w:lang w:eastAsia="ru-RU"/>
        </w:rPr>
        <w:t>тайском и русском языках в качестве части ежегодного доклада Комитета Ген</w:t>
      </w:r>
      <w:r w:rsidRPr="002C1160">
        <w:rPr>
          <w:lang w:eastAsia="ru-RU"/>
        </w:rPr>
        <w:t>е</w:t>
      </w:r>
      <w:r w:rsidRPr="002C1160">
        <w:rPr>
          <w:lang w:eastAsia="ru-RU"/>
        </w:rPr>
        <w:t>ральной Ассамблее.]</w:t>
      </w:r>
    </w:p>
    <w:p w:rsidR="001155D4" w:rsidRPr="001155D4" w:rsidRDefault="001155D4" w:rsidP="001155D4">
      <w:pPr>
        <w:spacing w:before="240"/>
        <w:jc w:val="center"/>
        <w:rPr>
          <w:u w:val="single"/>
          <w:lang w:val="en-US" w:eastAsia="ru-RU"/>
        </w:rPr>
      </w:pPr>
      <w:r>
        <w:rPr>
          <w:u w:val="single"/>
          <w:lang w:val="en-US" w:eastAsia="ru-RU"/>
        </w:rPr>
        <w:tab/>
      </w:r>
      <w:r>
        <w:rPr>
          <w:u w:val="single"/>
          <w:lang w:val="en-US" w:eastAsia="ru-RU"/>
        </w:rPr>
        <w:tab/>
      </w:r>
      <w:r>
        <w:rPr>
          <w:u w:val="single"/>
          <w:lang w:val="en-US" w:eastAsia="ru-RU"/>
        </w:rPr>
        <w:tab/>
      </w:r>
    </w:p>
    <w:sectPr w:rsidR="001155D4" w:rsidRPr="001155D4" w:rsidSect="00F9060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909" w:rsidRDefault="00386909">
      <w:r>
        <w:rPr>
          <w:lang w:val="en-US"/>
        </w:rPr>
        <w:tab/>
      </w:r>
      <w:r>
        <w:separator/>
      </w:r>
    </w:p>
  </w:endnote>
  <w:endnote w:type="continuationSeparator" w:id="0">
    <w:p w:rsidR="00386909" w:rsidRDefault="00386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09" w:rsidRPr="00B74BE2" w:rsidRDefault="00386909">
    <w:pPr>
      <w:pStyle w:val="Footer"/>
      <w:rPr>
        <w:szCs w:val="16"/>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lang w:val="en-US"/>
      </w:rPr>
      <w:tab/>
    </w:r>
    <w:r>
      <w:rPr>
        <w:rStyle w:val="PageNumber"/>
        <w:b w:val="0"/>
        <w:sz w:val="16"/>
        <w:szCs w:val="16"/>
        <w:lang w:val="en-US"/>
      </w:rPr>
      <w:t>GE.14-10202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09" w:rsidRPr="00B74BE2" w:rsidRDefault="00386909">
    <w:pPr>
      <w:pStyle w:val="Footer"/>
      <w:rPr>
        <w:b/>
        <w:sz w:val="18"/>
        <w:szCs w:val="18"/>
        <w:lang w:val="en-US"/>
      </w:rPr>
    </w:pPr>
    <w:r>
      <w:rPr>
        <w:lang w:val="en-US"/>
      </w:rPr>
      <w:t>GE.1</w:t>
    </w:r>
    <w:r>
      <w:rPr>
        <w:lang w:val="ru-RU"/>
      </w:rPr>
      <w:t>4</w:t>
    </w:r>
    <w:r>
      <w:rPr>
        <w:lang w:val="en-US"/>
      </w:rPr>
      <w:t>-</w:t>
    </w:r>
    <w:r>
      <w:rPr>
        <w:lang w:val="ru-RU"/>
      </w:rPr>
      <w:t>10202</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bottom w:val="none" w:sz="0" w:space="0" w:color="auto"/>
      </w:tblBorders>
      <w:tblLook w:val="01E0"/>
    </w:tblPr>
    <w:tblGrid>
      <w:gridCol w:w="3979"/>
      <w:gridCol w:w="4655"/>
      <w:gridCol w:w="1221"/>
    </w:tblGrid>
    <w:tr w:rsidR="00386909" w:rsidTr="00A87460">
      <w:trPr>
        <w:cnfStyle w:val="100000000000"/>
        <w:trHeight w:val="438"/>
      </w:trPr>
      <w:tc>
        <w:tcPr>
          <w:tcW w:w="4068" w:type="dxa"/>
          <w:vAlign w:val="bottom"/>
        </w:tcPr>
        <w:p w:rsidR="00386909" w:rsidRPr="002B682F" w:rsidRDefault="00386909" w:rsidP="00A87460">
          <w:pPr>
            <w:rPr>
              <w:sz w:val="20"/>
            </w:rPr>
          </w:pPr>
          <w:r w:rsidRPr="002B682F">
            <w:rPr>
              <w:sz w:val="20"/>
              <w:lang w:val="en-US"/>
            </w:rPr>
            <w:t>GE</w:t>
          </w:r>
          <w:r>
            <w:rPr>
              <w:sz w:val="20"/>
              <w:lang w:val="en-US"/>
            </w:rPr>
            <w:t>.14</w:t>
          </w:r>
          <w:r w:rsidRPr="002B682F">
            <w:rPr>
              <w:sz w:val="20"/>
              <w:lang w:val="en-US"/>
            </w:rPr>
            <w:t>-</w:t>
          </w:r>
          <w:r>
            <w:rPr>
              <w:sz w:val="20"/>
              <w:lang w:val="en-US"/>
            </w:rPr>
            <w:t>10202</w:t>
          </w:r>
          <w:r w:rsidRPr="002B682F">
            <w:rPr>
              <w:sz w:val="20"/>
              <w:lang w:val="en-US"/>
            </w:rPr>
            <w:t xml:space="preserve">  (R)</w:t>
          </w:r>
          <w:r>
            <w:rPr>
              <w:sz w:val="20"/>
              <w:lang w:val="en-US"/>
            </w:rPr>
            <w:t xml:space="preserve">  220914  220914</w:t>
          </w:r>
        </w:p>
      </w:tc>
      <w:tc>
        <w:tcPr>
          <w:tcW w:w="4663" w:type="dxa"/>
          <w:vMerge w:val="restart"/>
          <w:vAlign w:val="bottom"/>
        </w:tcPr>
        <w:p w:rsidR="00386909" w:rsidRDefault="00386909" w:rsidP="00A87460">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386909" w:rsidRDefault="00386909" w:rsidP="00A87460">
          <w:pPr>
            <w:jc w:val="right"/>
          </w:pPr>
          <w:r>
            <w:pict>
              <v:shape id="_x0000_i1027" type="#_x0000_t75" style="width:50.25pt;height:50.25pt">
                <v:imagedata r:id="rId2" o:title="2011&amp;Size=2&amp;Lang=R"/>
              </v:shape>
            </w:pict>
          </w:r>
        </w:p>
      </w:tc>
    </w:tr>
    <w:tr w:rsidR="00386909" w:rsidRPr="00797A78" w:rsidTr="00A87460">
      <w:tc>
        <w:tcPr>
          <w:tcW w:w="4068" w:type="dxa"/>
          <w:vAlign w:val="bottom"/>
        </w:tcPr>
        <w:p w:rsidR="00386909" w:rsidRPr="00017811" w:rsidRDefault="00386909" w:rsidP="00A87460">
          <w:pPr>
            <w:rPr>
              <w:rFonts w:ascii="C39T30Lfz" w:hAnsi="C39T30Lfz"/>
              <w:spacing w:val="0"/>
              <w:w w:val="100"/>
              <w:kern w:val="0"/>
              <w:sz w:val="56"/>
              <w:szCs w:val="56"/>
              <w:lang w:val="en-US" w:eastAsia="ru-RU"/>
            </w:rPr>
          </w:pPr>
          <w:r w:rsidRPr="00017811">
            <w:rPr>
              <w:rFonts w:ascii="C39T30Lfz" w:hAnsi="C39T30Lfz"/>
              <w:spacing w:val="0"/>
              <w:w w:val="100"/>
              <w:kern w:val="0"/>
              <w:sz w:val="56"/>
              <w:szCs w:val="56"/>
              <w:lang w:val="en-US" w:eastAsia="ru-RU"/>
            </w:rPr>
            <w:t></w:t>
          </w:r>
          <w:r w:rsidRPr="00017811">
            <w:rPr>
              <w:rFonts w:ascii="C39T30Lfz" w:hAnsi="C39T30Lfz"/>
              <w:spacing w:val="0"/>
              <w:w w:val="100"/>
              <w:kern w:val="0"/>
              <w:sz w:val="56"/>
              <w:szCs w:val="56"/>
              <w:lang w:val="en-US" w:eastAsia="ru-RU"/>
            </w:rPr>
            <w:t></w:t>
          </w:r>
          <w:r w:rsidRPr="00017811">
            <w:rPr>
              <w:rFonts w:ascii="C39T30Lfz" w:hAnsi="C39T30Lfz"/>
              <w:spacing w:val="0"/>
              <w:w w:val="100"/>
              <w:kern w:val="0"/>
              <w:sz w:val="56"/>
              <w:szCs w:val="56"/>
              <w:lang w:val="en-US" w:eastAsia="ru-RU"/>
            </w:rPr>
            <w:t></w:t>
          </w:r>
          <w:r w:rsidRPr="00017811">
            <w:rPr>
              <w:rFonts w:ascii="C39T30Lfz" w:hAnsi="C39T30Lfz"/>
              <w:spacing w:val="0"/>
              <w:w w:val="100"/>
              <w:kern w:val="0"/>
              <w:sz w:val="56"/>
              <w:szCs w:val="56"/>
              <w:lang w:val="en-US" w:eastAsia="ru-RU"/>
            </w:rPr>
            <w:t></w:t>
          </w:r>
          <w:r w:rsidRPr="00017811">
            <w:rPr>
              <w:rFonts w:ascii="C39T30Lfz" w:hAnsi="C39T30Lfz"/>
              <w:spacing w:val="0"/>
              <w:w w:val="100"/>
              <w:kern w:val="0"/>
              <w:sz w:val="56"/>
              <w:szCs w:val="56"/>
              <w:lang w:val="en-US" w:eastAsia="ru-RU"/>
            </w:rPr>
            <w:t></w:t>
          </w:r>
          <w:r w:rsidRPr="00017811">
            <w:rPr>
              <w:rFonts w:ascii="C39T30Lfz" w:hAnsi="C39T30Lfz"/>
              <w:spacing w:val="0"/>
              <w:w w:val="100"/>
              <w:kern w:val="0"/>
              <w:sz w:val="56"/>
              <w:szCs w:val="56"/>
              <w:lang w:val="en-US" w:eastAsia="ru-RU"/>
            </w:rPr>
            <w:t></w:t>
          </w:r>
          <w:r w:rsidRPr="00017811">
            <w:rPr>
              <w:rFonts w:ascii="C39T30Lfz" w:hAnsi="C39T30Lfz"/>
              <w:spacing w:val="0"/>
              <w:w w:val="100"/>
              <w:kern w:val="0"/>
              <w:sz w:val="56"/>
              <w:szCs w:val="56"/>
              <w:lang w:val="en-US" w:eastAsia="ru-RU"/>
            </w:rPr>
            <w:t></w:t>
          </w:r>
          <w:r w:rsidRPr="00017811">
            <w:rPr>
              <w:rFonts w:ascii="C39T30Lfz" w:hAnsi="C39T30Lfz"/>
              <w:spacing w:val="0"/>
              <w:w w:val="100"/>
              <w:kern w:val="0"/>
              <w:sz w:val="56"/>
              <w:szCs w:val="56"/>
              <w:lang w:val="en-US" w:eastAsia="ru-RU"/>
            </w:rPr>
            <w:t></w:t>
          </w:r>
          <w:r w:rsidRPr="00017811">
            <w:rPr>
              <w:rFonts w:ascii="C39T30Lfz" w:hAnsi="C39T30Lfz"/>
              <w:spacing w:val="0"/>
              <w:w w:val="100"/>
              <w:kern w:val="0"/>
              <w:sz w:val="56"/>
              <w:szCs w:val="56"/>
              <w:lang w:val="en-US" w:eastAsia="ru-RU"/>
            </w:rPr>
            <w:t></w:t>
          </w:r>
        </w:p>
      </w:tc>
      <w:tc>
        <w:tcPr>
          <w:tcW w:w="4663" w:type="dxa"/>
          <w:vMerge/>
        </w:tcPr>
        <w:p w:rsidR="00386909" w:rsidRDefault="00386909" w:rsidP="00A87460"/>
      </w:tc>
      <w:tc>
        <w:tcPr>
          <w:tcW w:w="1124" w:type="dxa"/>
          <w:vMerge/>
        </w:tcPr>
        <w:p w:rsidR="00386909" w:rsidRDefault="00386909" w:rsidP="00A87460"/>
      </w:tc>
    </w:tr>
  </w:tbl>
  <w:p w:rsidR="00386909" w:rsidRDefault="00386909" w:rsidP="002B682F">
    <w:pPr>
      <w:spacing w:line="240" w:lineRule="auto"/>
      <w:rPr>
        <w:sz w:val="2"/>
        <w:szCs w:val="2"/>
        <w:lang w:val="en-US"/>
      </w:rPr>
    </w:pPr>
  </w:p>
  <w:p w:rsidR="00386909" w:rsidRDefault="00386909" w:rsidP="001256F0">
    <w:pPr>
      <w:pStyle w:val="Footer"/>
      <w:rPr>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909" w:rsidRPr="00F71F63" w:rsidRDefault="00386909"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386909" w:rsidRPr="00F71F63" w:rsidRDefault="00386909" w:rsidP="00635E86">
      <w:pPr>
        <w:tabs>
          <w:tab w:val="right" w:pos="2155"/>
        </w:tabs>
        <w:spacing w:after="80" w:line="240" w:lineRule="auto"/>
        <w:rPr>
          <w:u w:val="single"/>
          <w:lang w:val="en-US"/>
        </w:rPr>
      </w:pPr>
      <w:r w:rsidRPr="00F71F63">
        <w:rPr>
          <w:u w:val="single"/>
          <w:lang w:val="en-US"/>
        </w:rPr>
        <w:tab/>
      </w:r>
    </w:p>
    <w:p w:rsidR="00386909" w:rsidRPr="00635E86" w:rsidRDefault="00386909" w:rsidP="00635E86">
      <w:pPr>
        <w:pStyle w:val="Footer"/>
      </w:pPr>
    </w:p>
  </w:footnote>
  <w:footnote w:id="1">
    <w:p w:rsidR="00386909" w:rsidRPr="00B9023C" w:rsidRDefault="00386909">
      <w:pPr>
        <w:pStyle w:val="FootnoteText"/>
        <w:rPr>
          <w:lang w:val="ru-RU"/>
        </w:rPr>
      </w:pPr>
      <w:r>
        <w:tab/>
      </w:r>
      <w:r>
        <w:rPr>
          <w:rStyle w:val="FootnoteReference"/>
        </w:rPr>
        <w:footnoteRef/>
      </w:r>
      <w:r w:rsidRPr="00B9023C">
        <w:rPr>
          <w:lang w:val="ru-RU"/>
        </w:rPr>
        <w:tab/>
        <w:t>Из представленных заявителями данных не понятно, в какой суд их вызывали.</w:t>
      </w:r>
    </w:p>
  </w:footnote>
  <w:footnote w:id="2">
    <w:p w:rsidR="00386909" w:rsidRPr="00B9023C" w:rsidRDefault="00386909">
      <w:pPr>
        <w:pStyle w:val="FootnoteText"/>
        <w:rPr>
          <w:lang w:val="ru-RU"/>
        </w:rPr>
      </w:pPr>
      <w:r>
        <w:tab/>
      </w:r>
      <w:r>
        <w:rPr>
          <w:rStyle w:val="FootnoteReference"/>
        </w:rPr>
        <w:footnoteRef/>
      </w:r>
      <w:r w:rsidRPr="00B9023C">
        <w:rPr>
          <w:lang w:val="ru-RU"/>
        </w:rPr>
        <w:tab/>
      </w:r>
      <w:r>
        <w:rPr>
          <w:lang w:val="ru-RU"/>
        </w:rPr>
        <w:t>Из представления не следует очевидной информации о том, каким образом заявители оказ</w:t>
      </w:r>
      <w:r>
        <w:rPr>
          <w:lang w:val="ru-RU"/>
        </w:rPr>
        <w:t>а</w:t>
      </w:r>
      <w:r>
        <w:rPr>
          <w:lang w:val="ru-RU"/>
        </w:rPr>
        <w:t>лись в Финляндии.</w:t>
      </w:r>
    </w:p>
  </w:footnote>
  <w:footnote w:id="3">
    <w:p w:rsidR="00386909" w:rsidRPr="00B9023C" w:rsidRDefault="00386909">
      <w:pPr>
        <w:pStyle w:val="FootnoteText"/>
        <w:rPr>
          <w:lang w:val="ru-RU"/>
        </w:rPr>
      </w:pPr>
      <w:r>
        <w:tab/>
      </w:r>
      <w:r>
        <w:rPr>
          <w:rStyle w:val="FootnoteReference"/>
        </w:rPr>
        <w:footnoteRef/>
      </w:r>
      <w:r w:rsidRPr="00B9023C">
        <w:rPr>
          <w:lang w:val="ru-RU"/>
        </w:rPr>
        <w:tab/>
      </w:r>
      <w:r>
        <w:rPr>
          <w:lang w:val="ru-RU"/>
        </w:rPr>
        <w:t>Согласно медицинскому заключению, г-н Х жаловался на боли в левом колене, когда его сгибали. На среднем пальце его левой руки был также обнаружен шрам, и автор утверждал, что ему больно сжимать руку. Врач также обратил внимание на большой участок покраснения кожи у основания бол</w:t>
      </w:r>
      <w:r>
        <w:rPr>
          <w:lang w:val="ru-RU"/>
        </w:rPr>
        <w:t>ь</w:t>
      </w:r>
      <w:r>
        <w:rPr>
          <w:lang w:val="ru-RU"/>
        </w:rPr>
        <w:t>шого пальца г-на Х на левой ноге и на его левом колене и заявил, что они могли быть провоцированы, например, воздействием горячей или ледяной воды. Согласно мнению врача, у автора наблюдается хорошее психическое здоровье, хотя врач пришел к выводу о том, что раны автора являются мелкими, он не нашел причин для сомнений в том, что они стали результатом применения к нему пыток, о которых он рассказ</w:t>
      </w:r>
      <w:r>
        <w:rPr>
          <w:lang w:val="ru-RU"/>
        </w:rPr>
        <w:t>ы</w:t>
      </w:r>
      <w:r>
        <w:rPr>
          <w:lang w:val="ru-RU"/>
        </w:rPr>
        <w:t>вал.</w:t>
      </w:r>
    </w:p>
  </w:footnote>
  <w:footnote w:id="4">
    <w:p w:rsidR="00386909" w:rsidRPr="00C33431" w:rsidRDefault="00386909">
      <w:pPr>
        <w:pStyle w:val="FootnoteText"/>
        <w:rPr>
          <w:lang w:val="ru-RU"/>
        </w:rPr>
      </w:pPr>
      <w:r>
        <w:tab/>
      </w:r>
      <w:r>
        <w:rPr>
          <w:rStyle w:val="FootnoteReference"/>
        </w:rPr>
        <w:footnoteRef/>
      </w:r>
      <w:r w:rsidRPr="00C33431">
        <w:rPr>
          <w:lang w:val="ru-RU"/>
        </w:rPr>
        <w:tab/>
      </w:r>
      <w:r>
        <w:rPr>
          <w:lang w:val="ru-RU"/>
        </w:rPr>
        <w:t>Г-н Х утверждает, что он упомянул имя г-на О.Н. во время собеседования о предоставлении убежища в иммиграционной службе Финляндии.</w:t>
      </w:r>
    </w:p>
  </w:footnote>
  <w:footnote w:id="5">
    <w:p w:rsidR="00386909" w:rsidRPr="00C33431" w:rsidRDefault="00386909">
      <w:pPr>
        <w:pStyle w:val="FootnoteText"/>
        <w:rPr>
          <w:lang w:val="ru-RU"/>
        </w:rPr>
      </w:pPr>
      <w:r>
        <w:tab/>
      </w:r>
      <w:r>
        <w:rPr>
          <w:rStyle w:val="FootnoteReference"/>
        </w:rPr>
        <w:footnoteRef/>
      </w:r>
      <w:r w:rsidRPr="00C33431">
        <w:rPr>
          <w:lang w:val="ru-RU"/>
        </w:rPr>
        <w:tab/>
      </w:r>
      <w:r>
        <w:rPr>
          <w:lang w:val="ru-RU"/>
        </w:rPr>
        <w:t>Постановление Совета (ЕС) 343/2003 от 18 февраля 2003 года об установлении критериев и механизмов определения государствами-членами решений о рассмотрении ходатайств о предоставлении убежища в одном из государств-членов, поданных гражданином третьей страны.</w:t>
      </w:r>
    </w:p>
  </w:footnote>
  <w:footnote w:id="6">
    <w:p w:rsidR="00386909" w:rsidRPr="00C33431" w:rsidRDefault="00386909">
      <w:pPr>
        <w:pStyle w:val="FootnoteText"/>
        <w:rPr>
          <w:lang w:val="en-US"/>
        </w:rPr>
      </w:pPr>
      <w:r w:rsidRPr="005D4E59">
        <w:rPr>
          <w:lang w:val="ru-RU"/>
        </w:rPr>
        <w:tab/>
      </w:r>
      <w:r>
        <w:rPr>
          <w:rStyle w:val="FootnoteReference"/>
        </w:rPr>
        <w:footnoteRef/>
      </w:r>
      <w:r w:rsidRPr="00C33431">
        <w:rPr>
          <w:lang w:val="ru-RU"/>
        </w:rPr>
        <w:tab/>
      </w:r>
      <w:r>
        <w:rPr>
          <w:szCs w:val="18"/>
          <w:lang w:val="ru-RU"/>
        </w:rPr>
        <w:t>Заявители</w:t>
      </w:r>
      <w:r w:rsidRPr="00D43BAA">
        <w:rPr>
          <w:szCs w:val="18"/>
          <w:lang w:val="ru-RU"/>
        </w:rPr>
        <w:t xml:space="preserve"> </w:t>
      </w:r>
      <w:r>
        <w:rPr>
          <w:szCs w:val="18"/>
          <w:lang w:val="ru-RU"/>
        </w:rPr>
        <w:t>ссылаются</w:t>
      </w:r>
      <w:r w:rsidRPr="00D43BAA">
        <w:rPr>
          <w:szCs w:val="18"/>
          <w:lang w:val="ru-RU"/>
        </w:rPr>
        <w:t xml:space="preserve"> </w:t>
      </w:r>
      <w:r>
        <w:rPr>
          <w:szCs w:val="18"/>
          <w:lang w:val="ru-RU"/>
        </w:rPr>
        <w:t>на</w:t>
      </w:r>
      <w:r w:rsidRPr="00D43BAA">
        <w:rPr>
          <w:szCs w:val="18"/>
          <w:lang w:val="ru-RU"/>
        </w:rPr>
        <w:t xml:space="preserve"> </w:t>
      </w:r>
      <w:r>
        <w:rPr>
          <w:szCs w:val="18"/>
          <w:lang w:val="ru-RU"/>
        </w:rPr>
        <w:t>сообщение</w:t>
      </w:r>
      <w:r w:rsidRPr="00D43BAA">
        <w:rPr>
          <w:szCs w:val="18"/>
          <w:lang w:val="ru-RU"/>
        </w:rPr>
        <w:t xml:space="preserve"> № 357/200</w:t>
      </w:r>
      <w:r>
        <w:rPr>
          <w:szCs w:val="18"/>
          <w:lang w:val="ru-RU"/>
        </w:rPr>
        <w:t xml:space="preserve">8, </w:t>
      </w:r>
      <w:r w:rsidRPr="00F01B39">
        <w:rPr>
          <w:i/>
          <w:szCs w:val="18"/>
          <w:lang w:val="ru-RU"/>
        </w:rPr>
        <w:t>Джахани против Швейцарии</w:t>
      </w:r>
      <w:r>
        <w:rPr>
          <w:szCs w:val="18"/>
          <w:lang w:val="ru-RU"/>
        </w:rPr>
        <w:t xml:space="preserve">, решение от 23 мая 2011 года, а также </w:t>
      </w:r>
      <w:r w:rsidRPr="00F01B39">
        <w:rPr>
          <w:i/>
          <w:szCs w:val="18"/>
          <w:lang w:val="ru-RU"/>
        </w:rPr>
        <w:t>Р.С. против Швеции</w:t>
      </w:r>
      <w:r>
        <w:rPr>
          <w:szCs w:val="18"/>
          <w:lang w:val="ru-RU"/>
        </w:rPr>
        <w:t>, решение Европейского суда по правам человека от 9 июня 2010 года.</w:t>
      </w:r>
      <w:r w:rsidRPr="00F01B39">
        <w:rPr>
          <w:szCs w:val="18"/>
          <w:lang w:val="ru-RU"/>
        </w:rPr>
        <w:t xml:space="preserve"> </w:t>
      </w:r>
      <w:r>
        <w:rPr>
          <w:szCs w:val="18"/>
          <w:lang w:val="ru-RU"/>
        </w:rPr>
        <w:t>Они</w:t>
      </w:r>
      <w:r w:rsidRPr="00D43BAA">
        <w:rPr>
          <w:szCs w:val="18"/>
          <w:lang w:val="en-US"/>
        </w:rPr>
        <w:t xml:space="preserve"> </w:t>
      </w:r>
      <w:r>
        <w:rPr>
          <w:szCs w:val="18"/>
          <w:lang w:val="ru-RU"/>
        </w:rPr>
        <w:t>также</w:t>
      </w:r>
      <w:r w:rsidRPr="00D43BAA">
        <w:rPr>
          <w:szCs w:val="18"/>
          <w:lang w:val="en-US"/>
        </w:rPr>
        <w:t xml:space="preserve"> </w:t>
      </w:r>
      <w:r>
        <w:rPr>
          <w:szCs w:val="18"/>
          <w:lang w:val="ru-RU"/>
        </w:rPr>
        <w:t>ссылаются</w:t>
      </w:r>
      <w:r w:rsidRPr="00D43BAA">
        <w:rPr>
          <w:szCs w:val="18"/>
          <w:lang w:val="en-US"/>
        </w:rPr>
        <w:t xml:space="preserve"> </w:t>
      </w:r>
      <w:r>
        <w:rPr>
          <w:szCs w:val="18"/>
          <w:lang w:val="ru-RU"/>
        </w:rPr>
        <w:t>на</w:t>
      </w:r>
      <w:r w:rsidRPr="00D43BAA">
        <w:rPr>
          <w:szCs w:val="18"/>
          <w:lang w:val="en-US"/>
        </w:rPr>
        <w:t xml:space="preserve"> </w:t>
      </w:r>
      <w:r>
        <w:rPr>
          <w:szCs w:val="18"/>
          <w:lang w:val="ru-RU"/>
        </w:rPr>
        <w:t>несколько</w:t>
      </w:r>
      <w:r w:rsidRPr="00D43BAA">
        <w:rPr>
          <w:szCs w:val="18"/>
          <w:lang w:val="en-US"/>
        </w:rPr>
        <w:t xml:space="preserve"> </w:t>
      </w:r>
      <w:r>
        <w:rPr>
          <w:szCs w:val="18"/>
          <w:lang w:val="ru-RU"/>
        </w:rPr>
        <w:t>источников</w:t>
      </w:r>
      <w:r w:rsidRPr="00D43BAA">
        <w:rPr>
          <w:szCs w:val="18"/>
          <w:lang w:val="en-US"/>
        </w:rPr>
        <w:t xml:space="preserve">, </w:t>
      </w:r>
      <w:r>
        <w:rPr>
          <w:szCs w:val="18"/>
          <w:lang w:val="ru-RU"/>
        </w:rPr>
        <w:t>в</w:t>
      </w:r>
      <w:r w:rsidRPr="00D43BAA">
        <w:rPr>
          <w:szCs w:val="18"/>
          <w:lang w:val="en-US"/>
        </w:rPr>
        <w:t xml:space="preserve"> </w:t>
      </w:r>
      <w:r>
        <w:rPr>
          <w:szCs w:val="18"/>
          <w:lang w:val="ru-RU"/>
        </w:rPr>
        <w:t>части</w:t>
      </w:r>
      <w:r w:rsidRPr="00D43BAA">
        <w:rPr>
          <w:szCs w:val="18"/>
          <w:lang w:val="en-US"/>
        </w:rPr>
        <w:t xml:space="preserve">, </w:t>
      </w:r>
      <w:r>
        <w:rPr>
          <w:szCs w:val="18"/>
          <w:lang w:val="ru-RU"/>
        </w:rPr>
        <w:t>касающейся</w:t>
      </w:r>
      <w:r w:rsidRPr="00D43BAA">
        <w:rPr>
          <w:szCs w:val="18"/>
          <w:lang w:val="en-US"/>
        </w:rPr>
        <w:t xml:space="preserve"> </w:t>
      </w:r>
      <w:r>
        <w:rPr>
          <w:szCs w:val="18"/>
          <w:lang w:val="ru-RU"/>
        </w:rPr>
        <w:t>положения</w:t>
      </w:r>
      <w:r w:rsidRPr="00D43BAA">
        <w:rPr>
          <w:szCs w:val="18"/>
          <w:lang w:val="en-US"/>
        </w:rPr>
        <w:t xml:space="preserve"> </w:t>
      </w:r>
      <w:r>
        <w:rPr>
          <w:szCs w:val="18"/>
          <w:lang w:val="ru-RU"/>
        </w:rPr>
        <w:t>в</w:t>
      </w:r>
      <w:r w:rsidRPr="00D43BAA">
        <w:rPr>
          <w:szCs w:val="18"/>
          <w:lang w:val="en-US"/>
        </w:rPr>
        <w:t xml:space="preserve"> </w:t>
      </w:r>
      <w:r>
        <w:rPr>
          <w:szCs w:val="18"/>
          <w:lang w:val="ru-RU"/>
        </w:rPr>
        <w:t>области</w:t>
      </w:r>
      <w:r w:rsidRPr="00D43BAA">
        <w:rPr>
          <w:szCs w:val="18"/>
          <w:lang w:val="en-US"/>
        </w:rPr>
        <w:t xml:space="preserve"> </w:t>
      </w:r>
      <w:r>
        <w:rPr>
          <w:szCs w:val="18"/>
          <w:lang w:val="ru-RU"/>
        </w:rPr>
        <w:t>прав</w:t>
      </w:r>
      <w:r w:rsidRPr="00D43BAA">
        <w:rPr>
          <w:szCs w:val="18"/>
          <w:lang w:val="en-US"/>
        </w:rPr>
        <w:t xml:space="preserve"> </w:t>
      </w:r>
      <w:r>
        <w:rPr>
          <w:szCs w:val="18"/>
          <w:lang w:val="ru-RU"/>
        </w:rPr>
        <w:t>человека</w:t>
      </w:r>
      <w:r w:rsidRPr="00D43BAA">
        <w:rPr>
          <w:szCs w:val="18"/>
          <w:lang w:val="en-US"/>
        </w:rPr>
        <w:t xml:space="preserve"> </w:t>
      </w:r>
      <w:r>
        <w:rPr>
          <w:szCs w:val="18"/>
          <w:lang w:val="ru-RU"/>
        </w:rPr>
        <w:t>в</w:t>
      </w:r>
      <w:r w:rsidRPr="00D43BAA">
        <w:rPr>
          <w:szCs w:val="18"/>
          <w:lang w:val="en-US"/>
        </w:rPr>
        <w:t xml:space="preserve"> </w:t>
      </w:r>
      <w:r>
        <w:rPr>
          <w:szCs w:val="18"/>
          <w:lang w:val="ru-RU"/>
        </w:rPr>
        <w:t>Исламской</w:t>
      </w:r>
      <w:r w:rsidRPr="00D43BAA">
        <w:rPr>
          <w:szCs w:val="18"/>
          <w:lang w:val="en-US"/>
        </w:rPr>
        <w:t xml:space="preserve"> </w:t>
      </w:r>
      <w:r>
        <w:rPr>
          <w:szCs w:val="18"/>
          <w:lang w:val="ru-RU"/>
        </w:rPr>
        <w:t>Республике</w:t>
      </w:r>
      <w:r w:rsidRPr="00D43BAA">
        <w:rPr>
          <w:szCs w:val="18"/>
          <w:lang w:val="en-US"/>
        </w:rPr>
        <w:t xml:space="preserve"> </w:t>
      </w:r>
      <w:r>
        <w:rPr>
          <w:szCs w:val="18"/>
          <w:lang w:val="ru-RU"/>
        </w:rPr>
        <w:t>Иран</w:t>
      </w:r>
      <w:r w:rsidRPr="00D43BAA">
        <w:rPr>
          <w:szCs w:val="18"/>
          <w:lang w:val="en-US"/>
        </w:rPr>
        <w:t xml:space="preserve">, </w:t>
      </w:r>
      <w:r>
        <w:rPr>
          <w:szCs w:val="18"/>
          <w:lang w:val="ru-RU"/>
        </w:rPr>
        <w:t>в</w:t>
      </w:r>
      <w:r w:rsidRPr="00D43BAA">
        <w:rPr>
          <w:szCs w:val="18"/>
          <w:lang w:val="en-US"/>
        </w:rPr>
        <w:t xml:space="preserve"> </w:t>
      </w:r>
      <w:r>
        <w:rPr>
          <w:szCs w:val="18"/>
          <w:lang w:val="ru-RU"/>
        </w:rPr>
        <w:t>частности</w:t>
      </w:r>
      <w:r w:rsidRPr="00D43BAA">
        <w:rPr>
          <w:szCs w:val="18"/>
          <w:lang w:val="en-US"/>
        </w:rPr>
        <w:t xml:space="preserve"> </w:t>
      </w:r>
      <w:r>
        <w:rPr>
          <w:szCs w:val="18"/>
          <w:lang w:val="ru-RU"/>
        </w:rPr>
        <w:t>доклад</w:t>
      </w:r>
      <w:r w:rsidRPr="00D43BAA">
        <w:rPr>
          <w:szCs w:val="18"/>
          <w:lang w:val="en-US"/>
        </w:rPr>
        <w:t xml:space="preserve"> </w:t>
      </w:r>
      <w:r w:rsidRPr="004F339F">
        <w:rPr>
          <w:i/>
          <w:szCs w:val="18"/>
        </w:rPr>
        <w:t>Country Advice</w:t>
      </w:r>
      <w:r w:rsidRPr="00D43BAA">
        <w:rPr>
          <w:i/>
          <w:szCs w:val="18"/>
          <w:lang w:val="en-US"/>
        </w:rPr>
        <w:t>:</w:t>
      </w:r>
      <w:r w:rsidRPr="004F339F">
        <w:rPr>
          <w:i/>
          <w:szCs w:val="18"/>
        </w:rPr>
        <w:t xml:space="preserve"> Iran</w:t>
      </w:r>
      <w:r w:rsidRPr="00277E23" w:rsidDel="004F339F">
        <w:rPr>
          <w:szCs w:val="18"/>
        </w:rPr>
        <w:t xml:space="preserve"> </w:t>
      </w:r>
      <w:r w:rsidRPr="00277E23">
        <w:rPr>
          <w:i/>
          <w:iCs/>
          <w:szCs w:val="18"/>
        </w:rPr>
        <w:t>2009</w:t>
      </w:r>
      <w:r w:rsidRPr="00D43BAA">
        <w:rPr>
          <w:i/>
          <w:iCs/>
          <w:szCs w:val="18"/>
          <w:lang w:val="en-US"/>
        </w:rPr>
        <w:t xml:space="preserve">, </w:t>
      </w:r>
      <w:r>
        <w:rPr>
          <w:iCs/>
          <w:szCs w:val="18"/>
          <w:lang w:val="ru-RU"/>
        </w:rPr>
        <w:t>опубликованный</w:t>
      </w:r>
      <w:r w:rsidRPr="00D43BAA">
        <w:rPr>
          <w:iCs/>
          <w:szCs w:val="18"/>
          <w:lang w:val="en-US"/>
        </w:rPr>
        <w:t xml:space="preserve"> </w:t>
      </w:r>
      <w:r>
        <w:rPr>
          <w:iCs/>
          <w:szCs w:val="18"/>
          <w:lang w:val="ru-RU"/>
        </w:rPr>
        <w:t>государственным</w:t>
      </w:r>
      <w:r w:rsidRPr="00D43BAA">
        <w:rPr>
          <w:iCs/>
          <w:szCs w:val="18"/>
          <w:lang w:val="en-US"/>
        </w:rPr>
        <w:t xml:space="preserve"> </w:t>
      </w:r>
      <w:r>
        <w:rPr>
          <w:iCs/>
          <w:szCs w:val="18"/>
          <w:lang w:val="ru-RU"/>
        </w:rPr>
        <w:t>судом</w:t>
      </w:r>
      <w:r w:rsidRPr="00D43BAA">
        <w:rPr>
          <w:iCs/>
          <w:szCs w:val="18"/>
          <w:lang w:val="en-US"/>
        </w:rPr>
        <w:t xml:space="preserve"> </w:t>
      </w:r>
      <w:r>
        <w:rPr>
          <w:iCs/>
          <w:szCs w:val="18"/>
          <w:lang w:val="ru-RU"/>
        </w:rPr>
        <w:t>Австралии</w:t>
      </w:r>
      <w:r w:rsidRPr="00D43BAA">
        <w:rPr>
          <w:iCs/>
          <w:szCs w:val="18"/>
          <w:lang w:val="en-US"/>
        </w:rPr>
        <w:t xml:space="preserve"> </w:t>
      </w:r>
      <w:r>
        <w:rPr>
          <w:iCs/>
          <w:szCs w:val="18"/>
          <w:lang w:val="ru-RU"/>
        </w:rPr>
        <w:t>по</w:t>
      </w:r>
      <w:r w:rsidRPr="00D43BAA">
        <w:rPr>
          <w:iCs/>
          <w:szCs w:val="18"/>
          <w:lang w:val="en-US"/>
        </w:rPr>
        <w:t xml:space="preserve"> </w:t>
      </w:r>
      <w:r>
        <w:rPr>
          <w:iCs/>
          <w:szCs w:val="18"/>
          <w:lang w:val="ru-RU"/>
        </w:rPr>
        <w:t>делам</w:t>
      </w:r>
      <w:r w:rsidRPr="00D43BAA">
        <w:rPr>
          <w:iCs/>
          <w:szCs w:val="18"/>
          <w:lang w:val="en-US"/>
        </w:rPr>
        <w:t xml:space="preserve"> </w:t>
      </w:r>
      <w:r>
        <w:rPr>
          <w:iCs/>
          <w:szCs w:val="18"/>
          <w:lang w:val="ru-RU"/>
        </w:rPr>
        <w:t>беженцев</w:t>
      </w:r>
      <w:r w:rsidRPr="00D43BAA">
        <w:rPr>
          <w:iCs/>
          <w:szCs w:val="18"/>
          <w:lang w:val="en-US"/>
        </w:rPr>
        <w:t xml:space="preserve"> </w:t>
      </w:r>
      <w:r>
        <w:rPr>
          <w:iCs/>
          <w:szCs w:val="18"/>
          <w:lang w:val="ru-RU"/>
        </w:rPr>
        <w:t>от</w:t>
      </w:r>
      <w:r w:rsidRPr="00D43BAA">
        <w:rPr>
          <w:iCs/>
          <w:szCs w:val="18"/>
          <w:lang w:val="en-US"/>
        </w:rPr>
        <w:t xml:space="preserve"> 19 </w:t>
      </w:r>
      <w:r>
        <w:rPr>
          <w:iCs/>
          <w:szCs w:val="18"/>
          <w:lang w:val="ru-RU"/>
        </w:rPr>
        <w:t>августа</w:t>
      </w:r>
      <w:r w:rsidRPr="00D43BAA">
        <w:rPr>
          <w:iCs/>
          <w:szCs w:val="18"/>
          <w:lang w:val="en-US"/>
        </w:rPr>
        <w:t xml:space="preserve"> 2010 </w:t>
      </w:r>
      <w:r>
        <w:rPr>
          <w:iCs/>
          <w:szCs w:val="18"/>
          <w:lang w:val="ru-RU"/>
        </w:rPr>
        <w:t>года</w:t>
      </w:r>
      <w:r w:rsidRPr="00D43BAA">
        <w:rPr>
          <w:iCs/>
          <w:szCs w:val="18"/>
          <w:lang w:val="en-US"/>
        </w:rPr>
        <w:t xml:space="preserve">, </w:t>
      </w:r>
      <w:r>
        <w:rPr>
          <w:iCs/>
          <w:szCs w:val="18"/>
          <w:lang w:val="ru-RU"/>
        </w:rPr>
        <w:t>с</w:t>
      </w:r>
      <w:r w:rsidRPr="00D43BAA">
        <w:rPr>
          <w:iCs/>
          <w:szCs w:val="18"/>
          <w:lang w:val="en-US"/>
        </w:rPr>
        <w:t xml:space="preserve"> </w:t>
      </w:r>
      <w:r>
        <w:rPr>
          <w:iCs/>
          <w:szCs w:val="18"/>
          <w:lang w:val="ru-RU"/>
        </w:rPr>
        <w:t>которым</w:t>
      </w:r>
      <w:r w:rsidRPr="00D43BAA">
        <w:rPr>
          <w:iCs/>
          <w:szCs w:val="18"/>
          <w:lang w:val="en-US"/>
        </w:rPr>
        <w:t xml:space="preserve"> </w:t>
      </w:r>
      <w:r>
        <w:rPr>
          <w:iCs/>
          <w:szCs w:val="18"/>
          <w:lang w:val="ru-RU"/>
        </w:rPr>
        <w:t>можно</w:t>
      </w:r>
      <w:r w:rsidRPr="00D43BAA">
        <w:rPr>
          <w:iCs/>
          <w:szCs w:val="18"/>
          <w:lang w:val="en-US"/>
        </w:rPr>
        <w:t xml:space="preserve"> </w:t>
      </w:r>
      <w:r>
        <w:rPr>
          <w:iCs/>
          <w:szCs w:val="18"/>
          <w:lang w:val="ru-RU"/>
        </w:rPr>
        <w:t>ознакомиться</w:t>
      </w:r>
      <w:r w:rsidRPr="00D43BAA">
        <w:rPr>
          <w:iCs/>
          <w:szCs w:val="18"/>
          <w:lang w:val="en-US"/>
        </w:rPr>
        <w:t xml:space="preserve"> </w:t>
      </w:r>
      <w:r>
        <w:rPr>
          <w:iCs/>
          <w:szCs w:val="18"/>
          <w:lang w:val="ru-RU"/>
        </w:rPr>
        <w:t>по</w:t>
      </w:r>
      <w:r w:rsidRPr="00D43BAA">
        <w:rPr>
          <w:iCs/>
          <w:szCs w:val="18"/>
          <w:lang w:val="en-US"/>
        </w:rPr>
        <w:t xml:space="preserve"> </w:t>
      </w:r>
      <w:r>
        <w:rPr>
          <w:iCs/>
          <w:szCs w:val="18"/>
          <w:lang w:val="ru-RU"/>
        </w:rPr>
        <w:t>адресу</w:t>
      </w:r>
      <w:r w:rsidRPr="00D43BAA">
        <w:rPr>
          <w:iCs/>
          <w:szCs w:val="18"/>
          <w:lang w:val="en-US"/>
        </w:rPr>
        <w:t>:</w:t>
      </w:r>
      <w:r w:rsidRPr="00C33431">
        <w:rPr>
          <w:szCs w:val="18"/>
        </w:rPr>
        <w:t xml:space="preserve"> </w:t>
      </w:r>
      <w:hyperlink r:id="rId1" w:history="1">
        <w:r w:rsidRPr="00C33431">
          <w:rPr>
            <w:rStyle w:val="Hyperlink"/>
            <w:szCs w:val="18"/>
            <w:u w:val="none"/>
          </w:rPr>
          <w:t>www.refworld.org/pub</w:t>
        </w:r>
        <w:r>
          <w:rPr>
            <w:rStyle w:val="Hyperlink"/>
            <w:szCs w:val="18"/>
            <w:u w:val="none"/>
          </w:rPr>
          <w:t>lisher,AUS_RRT,,</w:t>
        </w:r>
        <w:r w:rsidRPr="00D6679C">
          <w:rPr>
            <w:rStyle w:val="Hyperlink"/>
            <w:szCs w:val="18"/>
            <w:u w:val="none"/>
            <w:lang w:val="en-US"/>
          </w:rPr>
          <w:br/>
        </w:r>
        <w:r w:rsidRPr="00C33431">
          <w:rPr>
            <w:rStyle w:val="Hyperlink"/>
            <w:szCs w:val="18"/>
            <w:u w:val="none"/>
          </w:rPr>
          <w:t>IRN,4ec4d1d72,0.html</w:t>
        </w:r>
      </w:hyperlink>
      <w:r w:rsidRPr="00C33431">
        <w:rPr>
          <w:szCs w:val="18"/>
        </w:rPr>
        <w:t xml:space="preserve">; a report of the Iranian Intelligence Service; </w:t>
      </w:r>
      <w:r w:rsidRPr="00C33431">
        <w:rPr>
          <w:i/>
          <w:szCs w:val="18"/>
        </w:rPr>
        <w:t>B.A.</w:t>
      </w:r>
      <w:r w:rsidRPr="00C33431">
        <w:rPr>
          <w:i/>
          <w:iCs/>
        </w:rPr>
        <w:t xml:space="preserve"> (Demonstrators in Britain - risk on return)</w:t>
      </w:r>
      <w:r w:rsidRPr="00C33431">
        <w:rPr>
          <w:i/>
          <w:szCs w:val="18"/>
        </w:rPr>
        <w:t xml:space="preserve"> Iran v. Secretary of State for Home Department</w:t>
      </w:r>
      <w:r w:rsidRPr="00C33431">
        <w:rPr>
          <w:iCs/>
          <w:szCs w:val="18"/>
        </w:rPr>
        <w:t>,</w:t>
      </w:r>
      <w:r w:rsidRPr="00C33431">
        <w:rPr>
          <w:szCs w:val="18"/>
        </w:rPr>
        <w:t xml:space="preserve"> </w:t>
      </w:r>
      <w:r>
        <w:t>CG [2011] UKUT</w:t>
      </w:r>
      <w:r w:rsidRPr="005D4E59">
        <w:rPr>
          <w:lang w:val="en-US"/>
        </w:rPr>
        <w:t> </w:t>
      </w:r>
      <w:r w:rsidRPr="00C33431">
        <w:t>36 (IAC), United Kingdom: Upper Tribunal (Immig</w:t>
      </w:r>
      <w:r w:rsidRPr="00EF5F61">
        <w:t xml:space="preserve">ration and </w:t>
      </w:r>
      <w:r>
        <w:t>Asylum Chamber), 1</w:t>
      </w:r>
      <w:r w:rsidRPr="00D6679C">
        <w:rPr>
          <w:lang w:val="en-US"/>
        </w:rPr>
        <w:t> </w:t>
      </w:r>
      <w:r w:rsidRPr="00EF5F61">
        <w:t>February 2011, available from www.ref</w:t>
      </w:r>
      <w:r>
        <w:t>world.org/docid/4d5a8c7d2.html;</w:t>
      </w:r>
      <w:r w:rsidRPr="005D4E59">
        <w:rPr>
          <w:lang w:val="en-US"/>
        </w:rPr>
        <w:t xml:space="preserve"> </w:t>
      </w:r>
      <w:r w:rsidRPr="00EF5F61">
        <w:t>and United Kingdom: Home Office, “Operational guidance note – Iran”, (IRAN OGN v6), 15 March 2011, available from www.refworld.org/docid/4d7f54a42.html.</w:t>
      </w:r>
      <w:r w:rsidRPr="00EF5F61">
        <w:rPr>
          <w:iCs/>
          <w:szCs w:val="18"/>
        </w:rPr>
        <w:t xml:space="preserve"> According to the reports, </w:t>
      </w:r>
      <w:r w:rsidRPr="00EF5F61">
        <w:rPr>
          <w:szCs w:val="18"/>
        </w:rPr>
        <w:t xml:space="preserve">members and supporters of Kurdish opposition groups, such as Komala, are in real danger of being persecuted. </w:t>
      </w:r>
      <w:r w:rsidRPr="00EF5F61">
        <w:t>Kurdish opposition groups suspected of separatist aspirations are brutally suppressed and individuals suspected of being members of those groups are arrested and imprisoned and some of them sentenced to death. Although the Iranian Constitution prohibits arbitrary arrest and detention, the prohibition is not respected. Suspected dissidents are frequently held in unofficial detention centres, and there are numerous credible reports alleging that members of the security forces and prison personnel torture detainees and prisoners.</w:t>
      </w:r>
    </w:p>
  </w:footnote>
  <w:footnote w:id="7">
    <w:p w:rsidR="00386909" w:rsidRPr="00FD5B29" w:rsidRDefault="00386909">
      <w:pPr>
        <w:pStyle w:val="FootnoteText"/>
        <w:rPr>
          <w:lang w:val="ru-RU"/>
        </w:rPr>
      </w:pPr>
      <w:r>
        <w:tab/>
      </w:r>
      <w:r>
        <w:rPr>
          <w:rStyle w:val="FootnoteReference"/>
        </w:rPr>
        <w:footnoteRef/>
      </w:r>
      <w:r w:rsidRPr="00FD5B29">
        <w:rPr>
          <w:lang w:val="ru-RU"/>
        </w:rPr>
        <w:tab/>
      </w:r>
      <w:r>
        <w:rPr>
          <w:lang w:val="ru-RU"/>
        </w:rPr>
        <w:t>Закон</w:t>
      </w:r>
      <w:r w:rsidRPr="00A70CFE">
        <w:rPr>
          <w:lang w:val="ru-RU"/>
        </w:rPr>
        <w:t xml:space="preserve"> </w:t>
      </w:r>
      <w:r>
        <w:rPr>
          <w:lang w:val="ru-RU"/>
        </w:rPr>
        <w:t>об</w:t>
      </w:r>
      <w:r w:rsidRPr="00A70CFE">
        <w:rPr>
          <w:lang w:val="ru-RU"/>
        </w:rPr>
        <w:t xml:space="preserve"> </w:t>
      </w:r>
      <w:r>
        <w:rPr>
          <w:lang w:val="ru-RU"/>
        </w:rPr>
        <w:t>иностранцах</w:t>
      </w:r>
      <w:r w:rsidRPr="00A70CFE">
        <w:rPr>
          <w:lang w:val="ru-RU"/>
        </w:rPr>
        <w:t xml:space="preserve"> (301/2004, </w:t>
      </w:r>
      <w:r>
        <w:rPr>
          <w:lang w:val="ru-RU"/>
        </w:rPr>
        <w:t>поправки до</w:t>
      </w:r>
      <w:r w:rsidRPr="00A70CFE">
        <w:rPr>
          <w:lang w:val="ru-RU"/>
        </w:rPr>
        <w:t xml:space="preserve"> 549/2010 </w:t>
      </w:r>
      <w:r>
        <w:rPr>
          <w:lang w:val="ru-RU"/>
        </w:rPr>
        <w:t>включая</w:t>
      </w:r>
      <w:r w:rsidRPr="00A70CFE">
        <w:rPr>
          <w:lang w:val="ru-RU"/>
        </w:rPr>
        <w:t xml:space="preserve">) </w:t>
      </w:r>
      <w:r>
        <w:rPr>
          <w:lang w:val="ru-RU"/>
        </w:rPr>
        <w:t>раздел</w:t>
      </w:r>
      <w:r w:rsidRPr="00A70CFE">
        <w:rPr>
          <w:lang w:val="ru-RU"/>
        </w:rPr>
        <w:t xml:space="preserve"> 88 (1)</w:t>
      </w:r>
      <w:r>
        <w:rPr>
          <w:lang w:val="ru-RU"/>
        </w:rPr>
        <w:t>.</w:t>
      </w:r>
    </w:p>
  </w:footnote>
  <w:footnote w:id="8">
    <w:p w:rsidR="00386909" w:rsidRPr="00FD5B29" w:rsidRDefault="00386909">
      <w:pPr>
        <w:pStyle w:val="FootnoteText"/>
        <w:rPr>
          <w:lang w:val="ru-RU"/>
        </w:rPr>
      </w:pPr>
      <w:r w:rsidRPr="00FD5B29">
        <w:rPr>
          <w:lang w:val="ru-RU"/>
        </w:rPr>
        <w:tab/>
      </w:r>
      <w:r>
        <w:rPr>
          <w:rStyle w:val="FootnoteReference"/>
        </w:rPr>
        <w:footnoteRef/>
      </w:r>
      <w:r>
        <w:tab/>
      </w:r>
      <w:r>
        <w:rPr>
          <w:lang w:val="ru-RU"/>
        </w:rPr>
        <w:t>Там</w:t>
      </w:r>
      <w:r w:rsidRPr="009E2935">
        <w:rPr>
          <w:lang w:val="ru-RU"/>
        </w:rPr>
        <w:t xml:space="preserve"> </w:t>
      </w:r>
      <w:r>
        <w:rPr>
          <w:lang w:val="ru-RU"/>
        </w:rPr>
        <w:t>же</w:t>
      </w:r>
      <w:r w:rsidRPr="009E2935">
        <w:rPr>
          <w:lang w:val="ru-RU"/>
        </w:rPr>
        <w:t xml:space="preserve">, </w:t>
      </w:r>
      <w:r>
        <w:rPr>
          <w:lang w:val="ru-RU"/>
        </w:rPr>
        <w:t>раздел</w:t>
      </w:r>
      <w:r w:rsidRPr="009E2935">
        <w:rPr>
          <w:lang w:val="ru-RU"/>
        </w:rPr>
        <w:t xml:space="preserve"> 98 (3).</w:t>
      </w:r>
    </w:p>
  </w:footnote>
  <w:footnote w:id="9">
    <w:p w:rsidR="00386909" w:rsidRPr="00FD5B29" w:rsidRDefault="00386909">
      <w:pPr>
        <w:pStyle w:val="FootnoteText"/>
        <w:rPr>
          <w:lang w:val="ru-RU"/>
        </w:rPr>
      </w:pPr>
      <w:r>
        <w:tab/>
      </w:r>
      <w:r>
        <w:rPr>
          <w:rStyle w:val="FootnoteReference"/>
        </w:rPr>
        <w:footnoteRef/>
      </w:r>
      <w:r>
        <w:tab/>
      </w:r>
      <w:r>
        <w:rPr>
          <w:iCs/>
          <w:lang w:val="ru-RU"/>
        </w:rPr>
        <w:t xml:space="preserve">Там же, раздел </w:t>
      </w:r>
      <w:r w:rsidRPr="002C1160">
        <w:rPr>
          <w:iCs/>
          <w:lang w:val="ru-RU"/>
        </w:rPr>
        <w:t>98 (2).</w:t>
      </w:r>
    </w:p>
  </w:footnote>
  <w:footnote w:id="10">
    <w:p w:rsidR="00386909" w:rsidRPr="00FD5B29" w:rsidRDefault="00386909">
      <w:pPr>
        <w:pStyle w:val="FootnoteText"/>
        <w:rPr>
          <w:lang w:val="ru-RU"/>
        </w:rPr>
      </w:pPr>
      <w:r>
        <w:tab/>
      </w:r>
      <w:r>
        <w:rPr>
          <w:rStyle w:val="FootnoteReference"/>
        </w:rPr>
        <w:footnoteRef/>
      </w:r>
      <w:r w:rsidRPr="00FD5B29">
        <w:rPr>
          <w:lang w:val="ru-RU"/>
        </w:rPr>
        <w:tab/>
      </w:r>
      <w:r>
        <w:rPr>
          <w:lang w:val="ru-RU"/>
        </w:rPr>
        <w:t xml:space="preserve">Замечания общего порядка № 1 (1996) о выполнении статьи 3, </w:t>
      </w:r>
      <w:r w:rsidRPr="00FC11AE">
        <w:rPr>
          <w:i/>
          <w:lang w:val="ru-RU"/>
        </w:rPr>
        <w:t>Официальные отчеты Генеральной Ассамблеи, пятьдеся</w:t>
      </w:r>
      <w:r>
        <w:rPr>
          <w:i/>
          <w:lang w:val="ru-RU"/>
        </w:rPr>
        <w:t>т третья сессия, дополнение № 44</w:t>
      </w:r>
      <w:r w:rsidRPr="00FC11AE">
        <w:rPr>
          <w:i/>
          <w:lang w:val="ru-RU"/>
        </w:rPr>
        <w:t>,</w:t>
      </w:r>
      <w:r>
        <w:rPr>
          <w:lang w:val="ru-RU"/>
        </w:rPr>
        <w:t xml:space="preserve"> (А/53/44 </w:t>
      </w:r>
      <w:r>
        <w:rPr>
          <w:lang w:val="en-US"/>
        </w:rPr>
        <w:t>and</w:t>
      </w:r>
      <w:r w:rsidRPr="00CE1598">
        <w:rPr>
          <w:lang w:val="ru-RU"/>
        </w:rPr>
        <w:t xml:space="preserve"> </w:t>
      </w:r>
      <w:r>
        <w:rPr>
          <w:lang w:val="en-US"/>
        </w:rPr>
        <w:t>Corr</w:t>
      </w:r>
      <w:r>
        <w:rPr>
          <w:lang w:val="ru-RU"/>
        </w:rPr>
        <w:t>. </w:t>
      </w:r>
      <w:r w:rsidRPr="00CE1598">
        <w:rPr>
          <w:lang w:val="ru-RU"/>
        </w:rPr>
        <w:t>1</w:t>
      </w:r>
      <w:r>
        <w:rPr>
          <w:lang w:val="ru-RU"/>
        </w:rPr>
        <w:t xml:space="preserve">), добавление </w:t>
      </w:r>
      <w:r>
        <w:rPr>
          <w:lang w:val="en-US"/>
        </w:rPr>
        <w:t>IX</w:t>
      </w:r>
      <w:r>
        <w:rPr>
          <w:lang w:val="ru-RU"/>
        </w:rPr>
        <w:t>, пункты 6 и 7.</w:t>
      </w:r>
    </w:p>
  </w:footnote>
  <w:footnote w:id="11">
    <w:p w:rsidR="00386909" w:rsidRPr="00FD5B29" w:rsidRDefault="00386909">
      <w:pPr>
        <w:pStyle w:val="FootnoteText"/>
        <w:rPr>
          <w:lang w:val="ru-RU"/>
        </w:rPr>
      </w:pPr>
      <w:r w:rsidRPr="00F85DA1">
        <w:rPr>
          <w:lang w:val="ru-RU"/>
        </w:rPr>
        <w:tab/>
      </w:r>
      <w:r>
        <w:rPr>
          <w:rStyle w:val="FootnoteReference"/>
        </w:rPr>
        <w:footnoteRef/>
      </w:r>
      <w:r>
        <w:tab/>
      </w:r>
      <w:r>
        <w:rPr>
          <w:szCs w:val="18"/>
          <w:lang w:val="ru-RU"/>
        </w:rPr>
        <w:t>Там же, пункт</w:t>
      </w:r>
      <w:r w:rsidRPr="002C1160">
        <w:rPr>
          <w:lang w:val="ru-RU"/>
        </w:rPr>
        <w:t xml:space="preserve"> 8</w:t>
      </w:r>
      <w:r w:rsidRPr="002C1160">
        <w:rPr>
          <w:szCs w:val="18"/>
          <w:lang w:val="ru-RU"/>
        </w:rPr>
        <w:t>.</w:t>
      </w:r>
    </w:p>
  </w:footnote>
  <w:footnote w:id="12">
    <w:p w:rsidR="00386909" w:rsidRPr="005F58B8" w:rsidRDefault="00386909">
      <w:pPr>
        <w:pStyle w:val="FootnoteText"/>
        <w:rPr>
          <w:lang w:val="ru-RU"/>
        </w:rPr>
      </w:pPr>
      <w:r>
        <w:tab/>
      </w:r>
      <w:r>
        <w:rPr>
          <w:rStyle w:val="FootnoteReference"/>
        </w:rPr>
        <w:footnoteRef/>
      </w:r>
      <w:r w:rsidRPr="005F58B8">
        <w:rPr>
          <w:lang w:val="ru-RU"/>
        </w:rPr>
        <w:tab/>
      </w:r>
      <w:r>
        <w:rPr>
          <w:lang w:val="ru-RU"/>
        </w:rPr>
        <w:t xml:space="preserve">Государство-участник ссылается на дело </w:t>
      </w:r>
      <w:r w:rsidRPr="005F58B8">
        <w:rPr>
          <w:i/>
          <w:lang w:val="ru-RU"/>
        </w:rPr>
        <w:t>Vilvarajah and Others v. the United Kingdom</w:t>
      </w:r>
      <w:r>
        <w:rPr>
          <w:lang w:val="ru-RU"/>
        </w:rPr>
        <w:t>, Европейский суд по правам человека, решение от 30 октября 1991 года.</w:t>
      </w:r>
    </w:p>
  </w:footnote>
  <w:footnote w:id="13">
    <w:p w:rsidR="00386909" w:rsidRPr="007B4C6A" w:rsidRDefault="00386909">
      <w:pPr>
        <w:pStyle w:val="FootnoteText"/>
        <w:rPr>
          <w:lang w:val="ru-RU"/>
        </w:rPr>
      </w:pPr>
      <w:r w:rsidRPr="005F58B8">
        <w:rPr>
          <w:lang w:val="ru-RU"/>
        </w:rPr>
        <w:tab/>
      </w:r>
      <w:r>
        <w:rPr>
          <w:rStyle w:val="FootnoteReference"/>
        </w:rPr>
        <w:footnoteRef/>
      </w:r>
      <w:r>
        <w:tab/>
      </w:r>
      <w:r>
        <w:rPr>
          <w:lang w:val="ru-RU"/>
        </w:rPr>
        <w:t>См. сноску 6 выше.</w:t>
      </w:r>
    </w:p>
  </w:footnote>
  <w:footnote w:id="14">
    <w:p w:rsidR="00386909" w:rsidRPr="007B4C6A" w:rsidRDefault="00386909">
      <w:pPr>
        <w:pStyle w:val="FootnoteText"/>
        <w:rPr>
          <w:lang w:val="ru-RU"/>
        </w:rPr>
      </w:pPr>
      <w:r>
        <w:tab/>
      </w:r>
      <w:r>
        <w:rPr>
          <w:rStyle w:val="FootnoteReference"/>
        </w:rPr>
        <w:footnoteRef/>
      </w:r>
      <w:r w:rsidRPr="007B4C6A">
        <w:rPr>
          <w:lang w:val="ru-RU"/>
        </w:rPr>
        <w:tab/>
      </w:r>
      <w:r>
        <w:rPr>
          <w:lang w:val="ru-RU"/>
        </w:rPr>
        <w:t xml:space="preserve">См. сообщения № </w:t>
      </w:r>
      <w:r w:rsidRPr="004B7691">
        <w:rPr>
          <w:lang w:val="ru-RU"/>
        </w:rPr>
        <w:t>357/2008</w:t>
      </w:r>
      <w:r>
        <w:rPr>
          <w:lang w:val="ru-RU"/>
        </w:rPr>
        <w:t xml:space="preserve">, </w:t>
      </w:r>
      <w:r w:rsidRPr="003F1C27">
        <w:rPr>
          <w:i/>
          <w:lang w:val="ru-RU"/>
        </w:rPr>
        <w:t>Джахани против Швейцарии</w:t>
      </w:r>
      <w:r>
        <w:rPr>
          <w:i/>
          <w:lang w:val="ru-RU"/>
        </w:rPr>
        <w:t>,</w:t>
      </w:r>
      <w:r>
        <w:rPr>
          <w:lang w:val="ru-RU"/>
        </w:rPr>
        <w:t xml:space="preserve"> решение, принятое 23 мая 2011 года, согласно пункту 9.4, и № </w:t>
      </w:r>
      <w:r w:rsidRPr="00F741FA">
        <w:rPr>
          <w:lang w:val="ru-RU"/>
        </w:rPr>
        <w:t>381/2009</w:t>
      </w:r>
      <w:r>
        <w:rPr>
          <w:lang w:val="ru-RU"/>
        </w:rPr>
        <w:t xml:space="preserve">, решение по делу </w:t>
      </w:r>
      <w:r w:rsidRPr="003F1C27">
        <w:rPr>
          <w:i/>
          <w:lang w:val="ru-RU"/>
        </w:rPr>
        <w:t>Фараголла</w:t>
      </w:r>
      <w:r>
        <w:rPr>
          <w:i/>
          <w:lang w:val="ru-RU"/>
        </w:rPr>
        <w:t xml:space="preserve"> и др. </w:t>
      </w:r>
      <w:r w:rsidRPr="003F1C27">
        <w:rPr>
          <w:i/>
          <w:lang w:val="ru-RU"/>
        </w:rPr>
        <w:t>против Швейцарии</w:t>
      </w:r>
      <w:r>
        <w:rPr>
          <w:lang w:val="ru-RU"/>
        </w:rPr>
        <w:t>, которое было принято 21 ноября 2011, пункт 9.4.</w:t>
      </w:r>
    </w:p>
  </w:footnote>
  <w:footnote w:id="15">
    <w:p w:rsidR="00386909" w:rsidRPr="007B4C6A" w:rsidRDefault="00386909">
      <w:pPr>
        <w:pStyle w:val="FootnoteText"/>
        <w:rPr>
          <w:lang w:val="ru-RU"/>
        </w:rPr>
      </w:pPr>
      <w:r w:rsidRPr="005D4E59">
        <w:rPr>
          <w:lang w:val="ru-RU"/>
        </w:rPr>
        <w:tab/>
      </w:r>
      <w:r>
        <w:rPr>
          <w:rStyle w:val="FootnoteReference"/>
        </w:rPr>
        <w:footnoteRef/>
      </w:r>
      <w:r w:rsidRPr="007B4C6A">
        <w:rPr>
          <w:lang w:val="ru-RU"/>
        </w:rPr>
        <w:tab/>
      </w:r>
      <w:r>
        <w:rPr>
          <w:lang w:val="ru-RU"/>
        </w:rPr>
        <w:t xml:space="preserve">См., в частности, сообщения № 203/2002, </w:t>
      </w:r>
      <w:r w:rsidRPr="003F1C27">
        <w:rPr>
          <w:i/>
          <w:lang w:val="ru-RU"/>
        </w:rPr>
        <w:t>А.Р. против Нидерландов</w:t>
      </w:r>
      <w:r>
        <w:rPr>
          <w:lang w:val="ru-RU"/>
        </w:rPr>
        <w:t xml:space="preserve">, которое было принято 14 ноября 2003 года, а также сообщение № 258/2004, </w:t>
      </w:r>
      <w:r w:rsidRPr="00F741FA">
        <w:rPr>
          <w:i/>
          <w:lang w:val="ru-RU"/>
        </w:rPr>
        <w:t>Дадар против Канады</w:t>
      </w:r>
      <w:r>
        <w:rPr>
          <w:lang w:val="ru-RU"/>
        </w:rPr>
        <w:t>, решение по которому было принято 23 ноября 2005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09" w:rsidRDefault="00386909">
    <w:pPr>
      <w:pStyle w:val="Header"/>
      <w:rPr>
        <w:lang w:val="en-US"/>
      </w:rPr>
    </w:pPr>
    <w:r>
      <w:rPr>
        <w:lang w:val="en-US"/>
      </w:rPr>
      <w:t>CAT/C/52/D/483/2011−CAT/C/52/D/485/2011</w:t>
    </w:r>
  </w:p>
  <w:p w:rsidR="00386909" w:rsidRPr="00872B7F" w:rsidRDefault="00386909" w:rsidP="00872B7F">
    <w:pPr>
      <w:rPr>
        <w:lang w:val="en-US" w:eastAsia="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09" w:rsidRPr="00B74BE2" w:rsidRDefault="00386909" w:rsidP="00B9023C">
    <w:pPr>
      <w:pStyle w:val="Header"/>
      <w:jc w:val="right"/>
      <w:rPr>
        <w:lang w:val="en-US"/>
      </w:rPr>
    </w:pPr>
    <w:r>
      <w:rPr>
        <w:lang w:val="en-US"/>
      </w:rPr>
      <w:tab/>
      <w:t>CAT/C/52/D/483/2011−CAT/C/52/D/485/2011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5D7F"/>
    <w:rsid w:val="000033D8"/>
    <w:rsid w:val="00005C1C"/>
    <w:rsid w:val="00016553"/>
    <w:rsid w:val="00017811"/>
    <w:rsid w:val="000233B3"/>
    <w:rsid w:val="00023E9E"/>
    <w:rsid w:val="00026B0C"/>
    <w:rsid w:val="0003638E"/>
    <w:rsid w:val="00036FF2"/>
    <w:rsid w:val="0004010A"/>
    <w:rsid w:val="00043D88"/>
    <w:rsid w:val="00046E4D"/>
    <w:rsid w:val="00063AF6"/>
    <w:rsid w:val="0006401A"/>
    <w:rsid w:val="00072C27"/>
    <w:rsid w:val="00080A04"/>
    <w:rsid w:val="00086182"/>
    <w:rsid w:val="00090891"/>
    <w:rsid w:val="00092E62"/>
    <w:rsid w:val="00097975"/>
    <w:rsid w:val="000A3DDF"/>
    <w:rsid w:val="000A60A0"/>
    <w:rsid w:val="000C3688"/>
    <w:rsid w:val="000D6863"/>
    <w:rsid w:val="001054ED"/>
    <w:rsid w:val="00111BCF"/>
    <w:rsid w:val="001155D4"/>
    <w:rsid w:val="00117AEE"/>
    <w:rsid w:val="001256F0"/>
    <w:rsid w:val="001463F7"/>
    <w:rsid w:val="0015769C"/>
    <w:rsid w:val="00164F99"/>
    <w:rsid w:val="00180752"/>
    <w:rsid w:val="00185076"/>
    <w:rsid w:val="0018543C"/>
    <w:rsid w:val="00190231"/>
    <w:rsid w:val="00192ABD"/>
    <w:rsid w:val="001A75D5"/>
    <w:rsid w:val="001A7D40"/>
    <w:rsid w:val="001B0769"/>
    <w:rsid w:val="001D07F7"/>
    <w:rsid w:val="001D384C"/>
    <w:rsid w:val="001D7B8F"/>
    <w:rsid w:val="001E48EE"/>
    <w:rsid w:val="001F2D04"/>
    <w:rsid w:val="0020059C"/>
    <w:rsid w:val="002019BD"/>
    <w:rsid w:val="00232D42"/>
    <w:rsid w:val="00237334"/>
    <w:rsid w:val="002444F4"/>
    <w:rsid w:val="002629A0"/>
    <w:rsid w:val="0028492B"/>
    <w:rsid w:val="00291C8F"/>
    <w:rsid w:val="002B682F"/>
    <w:rsid w:val="002C1160"/>
    <w:rsid w:val="002C5036"/>
    <w:rsid w:val="002C6A71"/>
    <w:rsid w:val="002C6D5F"/>
    <w:rsid w:val="002D15EA"/>
    <w:rsid w:val="002D6C07"/>
    <w:rsid w:val="002E0CE6"/>
    <w:rsid w:val="002E1163"/>
    <w:rsid w:val="002E43F3"/>
    <w:rsid w:val="003215F5"/>
    <w:rsid w:val="00332891"/>
    <w:rsid w:val="00352AB4"/>
    <w:rsid w:val="00356BB2"/>
    <w:rsid w:val="00360477"/>
    <w:rsid w:val="00367FC9"/>
    <w:rsid w:val="003711A1"/>
    <w:rsid w:val="00372123"/>
    <w:rsid w:val="00376CDC"/>
    <w:rsid w:val="00386581"/>
    <w:rsid w:val="00386909"/>
    <w:rsid w:val="00387100"/>
    <w:rsid w:val="003951D3"/>
    <w:rsid w:val="003978C6"/>
    <w:rsid w:val="003B40A9"/>
    <w:rsid w:val="003C016E"/>
    <w:rsid w:val="003D5EBD"/>
    <w:rsid w:val="003F770B"/>
    <w:rsid w:val="00401CE0"/>
    <w:rsid w:val="00403234"/>
    <w:rsid w:val="00407AC3"/>
    <w:rsid w:val="00414586"/>
    <w:rsid w:val="00415059"/>
    <w:rsid w:val="00420FEE"/>
    <w:rsid w:val="00424FDD"/>
    <w:rsid w:val="0043033D"/>
    <w:rsid w:val="004313F0"/>
    <w:rsid w:val="00435FE4"/>
    <w:rsid w:val="00457634"/>
    <w:rsid w:val="00474F42"/>
    <w:rsid w:val="0048244D"/>
    <w:rsid w:val="004A0DE8"/>
    <w:rsid w:val="004A4CB7"/>
    <w:rsid w:val="004A57B5"/>
    <w:rsid w:val="004B19DA"/>
    <w:rsid w:val="004C2A53"/>
    <w:rsid w:val="004C3B35"/>
    <w:rsid w:val="004C43EC"/>
    <w:rsid w:val="004D3ADA"/>
    <w:rsid w:val="004E6729"/>
    <w:rsid w:val="004F0E47"/>
    <w:rsid w:val="00500FDF"/>
    <w:rsid w:val="0051339C"/>
    <w:rsid w:val="0051412F"/>
    <w:rsid w:val="00522B6F"/>
    <w:rsid w:val="0052430E"/>
    <w:rsid w:val="005276AD"/>
    <w:rsid w:val="00540A9A"/>
    <w:rsid w:val="00543522"/>
    <w:rsid w:val="00545680"/>
    <w:rsid w:val="005461F6"/>
    <w:rsid w:val="0056618E"/>
    <w:rsid w:val="00576F59"/>
    <w:rsid w:val="00577A34"/>
    <w:rsid w:val="00580AAD"/>
    <w:rsid w:val="00582363"/>
    <w:rsid w:val="005823C0"/>
    <w:rsid w:val="00593A04"/>
    <w:rsid w:val="005A6D5A"/>
    <w:rsid w:val="005B1B28"/>
    <w:rsid w:val="005B7D51"/>
    <w:rsid w:val="005B7F35"/>
    <w:rsid w:val="005C2081"/>
    <w:rsid w:val="005C678A"/>
    <w:rsid w:val="005D346D"/>
    <w:rsid w:val="005D4E59"/>
    <w:rsid w:val="005E74AB"/>
    <w:rsid w:val="005F58B8"/>
    <w:rsid w:val="0060566A"/>
    <w:rsid w:val="00606A3E"/>
    <w:rsid w:val="006115AA"/>
    <w:rsid w:val="006120AE"/>
    <w:rsid w:val="00635E86"/>
    <w:rsid w:val="00636A37"/>
    <w:rsid w:val="006501A5"/>
    <w:rsid w:val="006567B2"/>
    <w:rsid w:val="00662ADE"/>
    <w:rsid w:val="00664106"/>
    <w:rsid w:val="006756F1"/>
    <w:rsid w:val="0067634A"/>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5602"/>
    <w:rsid w:val="0075279B"/>
    <w:rsid w:val="00753748"/>
    <w:rsid w:val="00762446"/>
    <w:rsid w:val="00781ACB"/>
    <w:rsid w:val="007966CC"/>
    <w:rsid w:val="007A79EB"/>
    <w:rsid w:val="007B4C6A"/>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72B7F"/>
    <w:rsid w:val="00886B0F"/>
    <w:rsid w:val="00891C08"/>
    <w:rsid w:val="008A3879"/>
    <w:rsid w:val="008A5FA8"/>
    <w:rsid w:val="008A7575"/>
    <w:rsid w:val="008B0F43"/>
    <w:rsid w:val="008B5F47"/>
    <w:rsid w:val="008C7B87"/>
    <w:rsid w:val="008D6A7A"/>
    <w:rsid w:val="008E3E87"/>
    <w:rsid w:val="008E7F13"/>
    <w:rsid w:val="008F3185"/>
    <w:rsid w:val="00902252"/>
    <w:rsid w:val="00915B0A"/>
    <w:rsid w:val="00926904"/>
    <w:rsid w:val="009372F0"/>
    <w:rsid w:val="00942C17"/>
    <w:rsid w:val="00955022"/>
    <w:rsid w:val="009572AD"/>
    <w:rsid w:val="00957B4D"/>
    <w:rsid w:val="00964EEA"/>
    <w:rsid w:val="00980C86"/>
    <w:rsid w:val="009B1D9B"/>
    <w:rsid w:val="009B4074"/>
    <w:rsid w:val="009C30BB"/>
    <w:rsid w:val="009C60BE"/>
    <w:rsid w:val="009E6279"/>
    <w:rsid w:val="009F00A6"/>
    <w:rsid w:val="009F1C56"/>
    <w:rsid w:val="009F56A7"/>
    <w:rsid w:val="009F5B05"/>
    <w:rsid w:val="00A026CA"/>
    <w:rsid w:val="00A07232"/>
    <w:rsid w:val="00A14800"/>
    <w:rsid w:val="00A156DE"/>
    <w:rsid w:val="00A157ED"/>
    <w:rsid w:val="00A2446A"/>
    <w:rsid w:val="00A325A9"/>
    <w:rsid w:val="00A4025D"/>
    <w:rsid w:val="00A800D1"/>
    <w:rsid w:val="00A87460"/>
    <w:rsid w:val="00A92699"/>
    <w:rsid w:val="00AA6767"/>
    <w:rsid w:val="00AB5BF0"/>
    <w:rsid w:val="00AC1C95"/>
    <w:rsid w:val="00AC2CCB"/>
    <w:rsid w:val="00AC443A"/>
    <w:rsid w:val="00AD664A"/>
    <w:rsid w:val="00AE60E2"/>
    <w:rsid w:val="00B0169F"/>
    <w:rsid w:val="00B05F21"/>
    <w:rsid w:val="00B14EA9"/>
    <w:rsid w:val="00B303E8"/>
    <w:rsid w:val="00B30A3C"/>
    <w:rsid w:val="00B46A1E"/>
    <w:rsid w:val="00B65EEC"/>
    <w:rsid w:val="00B81305"/>
    <w:rsid w:val="00B9023C"/>
    <w:rsid w:val="00BA5D7F"/>
    <w:rsid w:val="00BB17DC"/>
    <w:rsid w:val="00BB1AF9"/>
    <w:rsid w:val="00BB4C4A"/>
    <w:rsid w:val="00BC1B1E"/>
    <w:rsid w:val="00BD2A77"/>
    <w:rsid w:val="00BD3CAE"/>
    <w:rsid w:val="00BD5F3C"/>
    <w:rsid w:val="00C07C0F"/>
    <w:rsid w:val="00C145C4"/>
    <w:rsid w:val="00C20D2F"/>
    <w:rsid w:val="00C2131B"/>
    <w:rsid w:val="00C26DB9"/>
    <w:rsid w:val="00C33431"/>
    <w:rsid w:val="00C37AF8"/>
    <w:rsid w:val="00C37C79"/>
    <w:rsid w:val="00C41BBC"/>
    <w:rsid w:val="00C44429"/>
    <w:rsid w:val="00C51419"/>
    <w:rsid w:val="00C54056"/>
    <w:rsid w:val="00C663A3"/>
    <w:rsid w:val="00C75CB2"/>
    <w:rsid w:val="00C90723"/>
    <w:rsid w:val="00C90D5C"/>
    <w:rsid w:val="00C916AA"/>
    <w:rsid w:val="00CA609E"/>
    <w:rsid w:val="00CA7DA4"/>
    <w:rsid w:val="00CB31FB"/>
    <w:rsid w:val="00CE3D6F"/>
    <w:rsid w:val="00CE79A5"/>
    <w:rsid w:val="00CF0042"/>
    <w:rsid w:val="00CF262F"/>
    <w:rsid w:val="00D025D5"/>
    <w:rsid w:val="00D26B13"/>
    <w:rsid w:val="00D26CC1"/>
    <w:rsid w:val="00D30662"/>
    <w:rsid w:val="00D32A0B"/>
    <w:rsid w:val="00D34CFC"/>
    <w:rsid w:val="00D56812"/>
    <w:rsid w:val="00D6236B"/>
    <w:rsid w:val="00D6679C"/>
    <w:rsid w:val="00D809D1"/>
    <w:rsid w:val="00D84ECF"/>
    <w:rsid w:val="00DA2851"/>
    <w:rsid w:val="00DA2B7C"/>
    <w:rsid w:val="00DA5686"/>
    <w:rsid w:val="00DB2FC0"/>
    <w:rsid w:val="00DF18FA"/>
    <w:rsid w:val="00DF49CA"/>
    <w:rsid w:val="00DF775B"/>
    <w:rsid w:val="00E007F3"/>
    <w:rsid w:val="00E00DEA"/>
    <w:rsid w:val="00E06EF0"/>
    <w:rsid w:val="00E11679"/>
    <w:rsid w:val="00E15AA7"/>
    <w:rsid w:val="00E307D1"/>
    <w:rsid w:val="00E46A04"/>
    <w:rsid w:val="00E604F5"/>
    <w:rsid w:val="00E717F3"/>
    <w:rsid w:val="00E72C5E"/>
    <w:rsid w:val="00E73451"/>
    <w:rsid w:val="00E7489F"/>
    <w:rsid w:val="00E75147"/>
    <w:rsid w:val="00E8167D"/>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71F63"/>
    <w:rsid w:val="00F73600"/>
    <w:rsid w:val="00F85DA1"/>
    <w:rsid w:val="00F87446"/>
    <w:rsid w:val="00F87506"/>
    <w:rsid w:val="00F90607"/>
    <w:rsid w:val="00F92C41"/>
    <w:rsid w:val="00FA5522"/>
    <w:rsid w:val="00FA6E4A"/>
    <w:rsid w:val="00FB1C82"/>
    <w:rsid w:val="00FB2B35"/>
    <w:rsid w:val="00FC4AE1"/>
    <w:rsid w:val="00FD5B29"/>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F9060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Footnote Text Char Char Char Char Char,Footnote Text Char Char Char Char,Footnote reference,FA Fu,Footnote Text Char Char Cha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numbe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refworld.org/publisher,AUS_RRT,,IRN,4ec4d1d7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10</Pages>
  <Words>3805</Words>
  <Characters>21690</Characters>
  <Application>Microsoft Office Outlook</Application>
  <DocSecurity>4</DocSecurity>
  <Lines>180</Lines>
  <Paragraphs>50</Paragraphs>
  <ScaleCrop>false</ScaleCrop>
  <HeadingPairs>
    <vt:vector size="2" baseType="variant">
      <vt:variant>
        <vt:lpstr>Название</vt:lpstr>
      </vt:variant>
      <vt:variant>
        <vt:i4>1</vt:i4>
      </vt:variant>
    </vt:vector>
  </HeadingPairs>
  <TitlesOfParts>
    <vt:vector size="1" baseType="lpstr">
      <vt:lpstr>1410202</vt:lpstr>
    </vt:vector>
  </TitlesOfParts>
  <Manager>Кондрашов</Manager>
  <Company>CSD</Company>
  <LinksUpToDate>false</LinksUpToDate>
  <CharactersWithSpaces>25445</CharactersWithSpaces>
  <SharedDoc>false</SharedDoc>
  <HLinks>
    <vt:vector size="6" baseType="variant">
      <vt:variant>
        <vt:i4>5177466</vt:i4>
      </vt:variant>
      <vt:variant>
        <vt:i4>0</vt:i4>
      </vt:variant>
      <vt:variant>
        <vt:i4>0</vt:i4>
      </vt:variant>
      <vt:variant>
        <vt:i4>5</vt:i4>
      </vt:variant>
      <vt:variant>
        <vt:lpwstr>http://www.refworld.org/publisher,AUS_RRT,,IRN,4ec4d1d72,0.html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1410202</dc:title>
  <dc:subject>CAT/C/52/D/483/2011-CAT/C/52/D/485/2011</dc:subject>
  <dc:creator>Salynskaya Ekaterina</dc:creator>
  <cp:keywords/>
  <dc:description/>
  <cp:lastModifiedBy>Salynskaya Ekaterina</cp:lastModifiedBy>
  <cp:revision>2</cp:revision>
  <cp:lastPrinted>2014-09-22T13:02:00Z</cp:lastPrinted>
  <dcterms:created xsi:type="dcterms:W3CDTF">2014-09-22T13:26:00Z</dcterms:created>
  <dcterms:modified xsi:type="dcterms:W3CDTF">2014-09-22T13:26:00Z</dcterms:modified>
</cp:coreProperties>
</file>