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9AF85A3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7C6F7C" w14:textId="77777777" w:rsidR="002D5AAC" w:rsidRDefault="002D5AAC" w:rsidP="007F08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CD9B27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C5D5FF" w14:textId="1F29332A" w:rsidR="002D5AAC" w:rsidRDefault="007F089C" w:rsidP="007F089C">
            <w:pPr>
              <w:jc w:val="right"/>
            </w:pPr>
            <w:r w:rsidRPr="007F089C">
              <w:rPr>
                <w:sz w:val="40"/>
              </w:rPr>
              <w:t>CRPD</w:t>
            </w:r>
            <w:r>
              <w:t>/C/24/2</w:t>
            </w:r>
          </w:p>
        </w:tc>
      </w:tr>
      <w:tr w:rsidR="002D5AAC" w:rsidRPr="00263428" w14:paraId="727A578E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A66434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5826C9" wp14:editId="6FD4B69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5EFC40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46A785D" w14:textId="77777777" w:rsidR="002D5AAC" w:rsidRDefault="007F089C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7B145C" w14:textId="77777777" w:rsidR="007F089C" w:rsidRDefault="007F089C" w:rsidP="007F08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April 2021</w:t>
            </w:r>
          </w:p>
          <w:p w14:paraId="71FA43C7" w14:textId="77777777" w:rsidR="007F089C" w:rsidRDefault="007F089C" w:rsidP="007F08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000987" w14:textId="0FADC2E5" w:rsidR="007F089C" w:rsidRPr="008934D2" w:rsidRDefault="007F089C" w:rsidP="007F08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AF1413" w14:textId="77777777" w:rsidR="007F089C" w:rsidRPr="00933205" w:rsidRDefault="007F089C" w:rsidP="007F089C">
      <w:pPr>
        <w:spacing w:before="120"/>
        <w:rPr>
          <w:b/>
          <w:bCs/>
          <w:sz w:val="24"/>
          <w:szCs w:val="24"/>
        </w:rPr>
      </w:pPr>
      <w:r w:rsidRPr="00933205">
        <w:rPr>
          <w:b/>
          <w:bCs/>
          <w:sz w:val="24"/>
          <w:szCs w:val="24"/>
        </w:rPr>
        <w:t>Комитет по правам инвалидов</w:t>
      </w:r>
    </w:p>
    <w:p w14:paraId="2DA207FA" w14:textId="2983D5E9" w:rsidR="007F089C" w:rsidRPr="00933205" w:rsidRDefault="007F089C" w:rsidP="007F089C">
      <w:pPr>
        <w:pStyle w:val="HChG"/>
      </w:pPr>
      <w:r>
        <w:tab/>
      </w:r>
      <w:r>
        <w:tab/>
      </w:r>
      <w:r>
        <w:rPr>
          <w:bCs/>
        </w:rPr>
        <w:t xml:space="preserve">Доклад Комитета по правам инвалидов </w:t>
      </w:r>
      <w:r w:rsidR="00023FA9">
        <w:rPr>
          <w:bCs/>
        </w:rPr>
        <w:br/>
      </w:r>
      <w:r>
        <w:rPr>
          <w:bCs/>
        </w:rPr>
        <w:t xml:space="preserve">о работе его двадцать четвертой сессии </w:t>
      </w:r>
      <w:r w:rsidR="00023FA9">
        <w:rPr>
          <w:bCs/>
        </w:rPr>
        <w:br/>
      </w:r>
      <w:r>
        <w:rPr>
          <w:bCs/>
        </w:rPr>
        <w:t xml:space="preserve">(8 марта </w:t>
      </w:r>
      <w:r w:rsidR="00023FA9" w:rsidRPr="00023FA9">
        <w:rPr>
          <w:bCs/>
        </w:rPr>
        <w:t>—</w:t>
      </w:r>
      <w:r>
        <w:rPr>
          <w:bCs/>
        </w:rPr>
        <w:t xml:space="preserve"> 1 апреля 2021 года)</w:t>
      </w:r>
    </w:p>
    <w:p w14:paraId="3C18CAF3" w14:textId="6A56723E" w:rsidR="007F089C" w:rsidRPr="00933205" w:rsidRDefault="007F089C" w:rsidP="007F089C">
      <w:pPr>
        <w:pStyle w:val="HChG"/>
      </w:pPr>
      <w:r w:rsidRPr="007F089C">
        <w:tab/>
      </w:r>
      <w:r>
        <w:rPr>
          <w:lang w:val="en-US"/>
        </w:rPr>
        <w:t>I</w:t>
      </w:r>
      <w:r w:rsidRPr="00933205">
        <w:t>.</w:t>
      </w:r>
      <w:r>
        <w:tab/>
      </w:r>
      <w:r>
        <w:rPr>
          <w:bCs/>
        </w:rPr>
        <w:t xml:space="preserve">Государства </w:t>
      </w:r>
      <w:r w:rsidR="00023FA9" w:rsidRPr="00023FA9">
        <w:rPr>
          <w:bCs/>
        </w:rPr>
        <w:t>—</w:t>
      </w:r>
      <w:r>
        <w:rPr>
          <w:bCs/>
        </w:rPr>
        <w:t xml:space="preserve"> участники Конвенции и</w:t>
      </w:r>
      <w:r w:rsidR="00023FA9">
        <w:rPr>
          <w:bCs/>
          <w:lang w:val="en-US"/>
        </w:rPr>
        <w:t> </w:t>
      </w:r>
      <w:r>
        <w:rPr>
          <w:bCs/>
        </w:rPr>
        <w:t>Факультативного протокола к ней</w:t>
      </w:r>
    </w:p>
    <w:p w14:paraId="1E2EB0E9" w14:textId="7BCDF1C6" w:rsidR="007F089C" w:rsidRPr="00933205" w:rsidRDefault="007F089C" w:rsidP="007F089C">
      <w:pPr>
        <w:pStyle w:val="SingleTxtG"/>
      </w:pPr>
      <w:r w:rsidRPr="00933205">
        <w:t>1.</w:t>
      </w:r>
      <w:r>
        <w:tab/>
        <w:t>По состоянию на 1 апреля 2021 года, дату закрытия двадцать четвертой сессии, насчитывалось 182 государства</w:t>
      </w:r>
      <w:r w:rsidR="00023FA9" w:rsidRPr="00023FA9">
        <w:t xml:space="preserve"> — </w:t>
      </w:r>
      <w:r>
        <w:t>участника Конвенции о правах инвалидов и 97</w:t>
      </w:r>
      <w:r w:rsidR="00023FA9">
        <w:rPr>
          <w:lang w:val="en-US"/>
        </w:rPr>
        <w:t> </w:t>
      </w:r>
      <w:r>
        <w:t>государств</w:t>
      </w:r>
      <w:r w:rsidR="00023FA9" w:rsidRPr="00023FA9">
        <w:t xml:space="preserve"> — </w:t>
      </w:r>
      <w:r>
        <w:t xml:space="preserve">участников Факультативного протокола к ней. Со списками государств </w:t>
      </w:r>
      <w:r w:rsidR="00023FA9" w:rsidRPr="00023FA9">
        <w:t>—</w:t>
      </w:r>
      <w:r>
        <w:t xml:space="preserve"> участников этих документов можно ознакомиться на веб-сайте Управления по правовым вопросам Секретариата.</w:t>
      </w:r>
    </w:p>
    <w:p w14:paraId="00458BF4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II</w:t>
      </w:r>
      <w:r w:rsidRPr="00933205">
        <w:t>.</w:t>
      </w:r>
      <w:r>
        <w:tab/>
      </w:r>
      <w:r>
        <w:rPr>
          <w:bCs/>
        </w:rPr>
        <w:t>Открытие двадцать четвертой сессии Комитета</w:t>
      </w:r>
    </w:p>
    <w:p w14:paraId="0716B0B0" w14:textId="5BEDB3CA" w:rsidR="007F089C" w:rsidRPr="00933205" w:rsidRDefault="007F089C" w:rsidP="007F089C">
      <w:pPr>
        <w:pStyle w:val="SingleTxtG"/>
      </w:pPr>
      <w:r w:rsidRPr="00933205">
        <w:t>2.</w:t>
      </w:r>
      <w:r>
        <w:tab/>
        <w:t>Открытие двадцать четвертой сессии состоялось на открытом заседании, на</w:t>
      </w:r>
      <w:r w:rsidR="00023FA9">
        <w:rPr>
          <w:lang w:val="en-US"/>
        </w:rPr>
        <w:t> </w:t>
      </w:r>
      <w:r>
        <w:t>котором с приветственным словом выступил начальник Сектора по договорам в области прав человека Отдела по механизмам Совета по правам человека и договоров в области прав человека Управления Верховного комиссара ООН по правам человека (УВКПЧ). С приветственным словом можно ознакомиться на сайте Комитета. Председатель представил устный отчет о межсессионной деятельности, с которым можно также ознакомиться на веб-сайте Комитета.</w:t>
      </w:r>
    </w:p>
    <w:p w14:paraId="0C850764" w14:textId="77777777" w:rsidR="007F089C" w:rsidRPr="00933205" w:rsidRDefault="007F089C" w:rsidP="007F089C">
      <w:pPr>
        <w:pStyle w:val="SingleTxtG"/>
      </w:pPr>
      <w:r w:rsidRPr="00933205">
        <w:t>3.</w:t>
      </w:r>
      <w:r>
        <w:tab/>
        <w:t>Комитет рассмотрел и утвердил предварительную повестку дня и предварительную программу работы двадцать четвертой сессии</w:t>
      </w:r>
      <w:r w:rsidRPr="000A6F96">
        <w:rPr>
          <w:rStyle w:val="aa"/>
        </w:rPr>
        <w:footnoteReference w:id="1"/>
      </w:r>
      <w:r>
        <w:t>.</w:t>
      </w:r>
    </w:p>
    <w:p w14:paraId="667932B3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III</w:t>
      </w:r>
      <w:r w:rsidRPr="00933205">
        <w:t>.</w:t>
      </w:r>
      <w:r>
        <w:tab/>
      </w:r>
      <w:r>
        <w:rPr>
          <w:bCs/>
        </w:rPr>
        <w:t>Членский состав Комитета</w:t>
      </w:r>
    </w:p>
    <w:p w14:paraId="529AF47E" w14:textId="77777777" w:rsidR="007F089C" w:rsidRPr="00933205" w:rsidRDefault="007F089C" w:rsidP="007F089C">
      <w:pPr>
        <w:pStyle w:val="SingleTxtG"/>
      </w:pPr>
      <w:r w:rsidRPr="00933205">
        <w:t>4.</w:t>
      </w:r>
      <w:r>
        <w:tab/>
        <w:t xml:space="preserve">На открытии двадцать четвертой сессии 8 марта 2021 года торжественное заявление в соответствии с правилом 14 правил процедуры Комитета сделали следующие вновь избранные члены Комитета: Роза </w:t>
      </w:r>
      <w:proofErr w:type="spellStart"/>
      <w:r>
        <w:t>Идалия</w:t>
      </w:r>
      <w:proofErr w:type="spellEnd"/>
      <w:r>
        <w:t xml:space="preserve"> </w:t>
      </w:r>
      <w:proofErr w:type="spellStart"/>
      <w:r>
        <w:t>Альдана</w:t>
      </w:r>
      <w:proofErr w:type="spellEnd"/>
      <w:r>
        <w:t xml:space="preserve"> </w:t>
      </w:r>
      <w:proofErr w:type="spellStart"/>
      <w:r>
        <w:t>Сальгеро</w:t>
      </w:r>
      <w:proofErr w:type="spellEnd"/>
      <w:r>
        <w:t xml:space="preserve">, </w:t>
      </w:r>
      <w:proofErr w:type="spellStart"/>
      <w:r>
        <w:t>Сумия</w:t>
      </w:r>
      <w:proofErr w:type="spellEnd"/>
      <w:r>
        <w:t xml:space="preserve"> </w:t>
      </w:r>
      <w:proofErr w:type="spellStart"/>
      <w:r>
        <w:t>Амрани</w:t>
      </w:r>
      <w:proofErr w:type="spellEnd"/>
      <w:r>
        <w:t xml:space="preserve">, </w:t>
      </w:r>
      <w:proofErr w:type="spellStart"/>
      <w:r>
        <w:t>Гэрэл</w:t>
      </w:r>
      <w:proofErr w:type="spellEnd"/>
      <w:r>
        <w:t xml:space="preserve"> </w:t>
      </w:r>
      <w:proofErr w:type="spellStart"/>
      <w:r>
        <w:t>Дондовдорж</w:t>
      </w:r>
      <w:proofErr w:type="spellEnd"/>
      <w:r>
        <w:t xml:space="preserve">, Вивиан Фернандес де </w:t>
      </w:r>
      <w:proofErr w:type="spellStart"/>
      <w:r>
        <w:t>Торрихо</w:t>
      </w:r>
      <w:proofErr w:type="spellEnd"/>
      <w:r>
        <w:t xml:space="preserve">, </w:t>
      </w:r>
      <w:proofErr w:type="spellStart"/>
      <w:r>
        <w:t>Оделия</w:t>
      </w:r>
      <w:proofErr w:type="spellEnd"/>
      <w:r>
        <w:t xml:space="preserve"> </w:t>
      </w:r>
      <w:proofErr w:type="spellStart"/>
      <w:r>
        <w:t>Фитусси</w:t>
      </w:r>
      <w:proofErr w:type="spellEnd"/>
      <w:r>
        <w:t xml:space="preserve">, Флойд Моррис и </w:t>
      </w:r>
      <w:proofErr w:type="spellStart"/>
      <w:r>
        <w:t>Саовалак</w:t>
      </w:r>
      <w:proofErr w:type="spellEnd"/>
      <w:r>
        <w:t xml:space="preserve"> </w:t>
      </w:r>
      <w:proofErr w:type="spellStart"/>
      <w:r>
        <w:t>Тонгкуай</w:t>
      </w:r>
      <w:proofErr w:type="spellEnd"/>
      <w:r>
        <w:t>.</w:t>
      </w:r>
    </w:p>
    <w:p w14:paraId="1DA25533" w14:textId="77777777" w:rsidR="007F089C" w:rsidRPr="00933205" w:rsidRDefault="007F089C" w:rsidP="007F089C">
      <w:pPr>
        <w:pStyle w:val="SingleTxtG"/>
      </w:pPr>
      <w:r w:rsidRPr="00933205">
        <w:t>5.</w:t>
      </w:r>
      <w:r>
        <w:tab/>
        <w:t>Список членов Комитета по состоянию на 1 апреля 2021 года с указанием сроков их полномочий размещен на веб-сайте Комитета.</w:t>
      </w:r>
    </w:p>
    <w:p w14:paraId="01D00958" w14:textId="77777777" w:rsidR="007F089C" w:rsidRPr="00933205" w:rsidRDefault="007F089C" w:rsidP="007F089C">
      <w:pPr>
        <w:pStyle w:val="HChG"/>
      </w:pPr>
      <w:r>
        <w:lastRenderedPageBreak/>
        <w:tab/>
      </w:r>
      <w:r>
        <w:rPr>
          <w:lang w:val="en-US"/>
        </w:rPr>
        <w:t>IV</w:t>
      </w:r>
      <w:r w:rsidRPr="00933205">
        <w:t>.</w:t>
      </w:r>
      <w:r w:rsidRPr="00933205">
        <w:tab/>
      </w:r>
      <w:r>
        <w:rPr>
          <w:bCs/>
        </w:rPr>
        <w:t>Выборы Бюро</w:t>
      </w:r>
      <w:r>
        <w:t xml:space="preserve"> </w:t>
      </w:r>
    </w:p>
    <w:p w14:paraId="250335A2" w14:textId="7E05A2B8" w:rsidR="007F089C" w:rsidRDefault="007F089C" w:rsidP="007F089C">
      <w:pPr>
        <w:pStyle w:val="SingleTxtG"/>
      </w:pPr>
      <w:r w:rsidRPr="00933205">
        <w:t>6.</w:t>
      </w:r>
      <w:r>
        <w:tab/>
        <w:t>Избрание членов Бюро проходило под руководством начальника Секции по вопросам целевых групп УВКПЧ. В соответствии с правилами 15, 16 и 17 правил процедуры Комитета на двухгодичный срок были избраны следующие должностные лица:</w:t>
      </w:r>
    </w:p>
    <w:tbl>
      <w:tblPr>
        <w:tblStyle w:val="ac"/>
        <w:tblW w:w="6838" w:type="dxa"/>
        <w:tblInd w:w="1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685"/>
      </w:tblGrid>
      <w:tr w:rsidR="00023FA9" w:rsidRPr="00023FA9" w14:paraId="0395AA08" w14:textId="77777777" w:rsidTr="00263428">
        <w:tc>
          <w:tcPr>
            <w:tcW w:w="3153" w:type="dxa"/>
            <w:shd w:val="clear" w:color="auto" w:fill="auto"/>
          </w:tcPr>
          <w:p w14:paraId="70713138" w14:textId="3B69D87B" w:rsidR="00023FA9" w:rsidRPr="00023FA9" w:rsidRDefault="00023FA9" w:rsidP="00263428">
            <w:pPr>
              <w:spacing w:before="40" w:after="120"/>
              <w:ind w:left="57"/>
            </w:pPr>
            <w:r>
              <w:rPr>
                <w:i/>
                <w:iCs/>
              </w:rPr>
              <w:t>Председатель:</w:t>
            </w:r>
          </w:p>
        </w:tc>
        <w:tc>
          <w:tcPr>
            <w:tcW w:w="3685" w:type="dxa"/>
            <w:shd w:val="clear" w:color="auto" w:fill="auto"/>
          </w:tcPr>
          <w:p w14:paraId="417A1573" w14:textId="606146E8" w:rsidR="00023FA9" w:rsidRPr="00023FA9" w:rsidRDefault="00023FA9" w:rsidP="00263428">
            <w:pPr>
              <w:spacing w:before="40" w:after="120"/>
              <w:ind w:left="57"/>
            </w:pPr>
            <w:r>
              <w:t xml:space="preserve">Розмари </w:t>
            </w:r>
            <w:proofErr w:type="spellStart"/>
            <w:r>
              <w:t>Кейесс</w:t>
            </w:r>
            <w:proofErr w:type="spellEnd"/>
          </w:p>
        </w:tc>
      </w:tr>
      <w:tr w:rsidR="00023FA9" w:rsidRPr="00023FA9" w14:paraId="41BC6306" w14:textId="77777777" w:rsidTr="00263428">
        <w:tc>
          <w:tcPr>
            <w:tcW w:w="3153" w:type="dxa"/>
            <w:shd w:val="clear" w:color="auto" w:fill="auto"/>
          </w:tcPr>
          <w:p w14:paraId="3776A0C5" w14:textId="2225219B" w:rsidR="00023FA9" w:rsidRPr="00023FA9" w:rsidRDefault="00023FA9" w:rsidP="00263428">
            <w:pPr>
              <w:spacing w:before="40" w:after="120"/>
              <w:ind w:left="57"/>
            </w:pPr>
            <w:r>
              <w:rPr>
                <w:i/>
                <w:iCs/>
              </w:rPr>
              <w:t>Заместители Председателя:</w:t>
            </w:r>
          </w:p>
        </w:tc>
        <w:tc>
          <w:tcPr>
            <w:tcW w:w="3685" w:type="dxa"/>
            <w:shd w:val="clear" w:color="auto" w:fill="auto"/>
          </w:tcPr>
          <w:p w14:paraId="5D02712B" w14:textId="6DB4F8BE" w:rsidR="00023FA9" w:rsidRPr="00023FA9" w:rsidRDefault="00023FA9" w:rsidP="00263428">
            <w:pPr>
              <w:spacing w:before="40" w:after="120"/>
              <w:ind w:left="57"/>
            </w:pPr>
            <w:proofErr w:type="gramStart"/>
            <w:r>
              <w:t>Амалия</w:t>
            </w:r>
            <w:proofErr w:type="gramEnd"/>
            <w:r>
              <w:t xml:space="preserve"> Эва </w:t>
            </w:r>
            <w:proofErr w:type="spellStart"/>
            <w:r>
              <w:t>Гамио</w:t>
            </w:r>
            <w:proofErr w:type="spellEnd"/>
            <w:r>
              <w:t xml:space="preserve"> </w:t>
            </w:r>
            <w:proofErr w:type="spellStart"/>
            <w:r>
              <w:t>Риос</w:t>
            </w:r>
            <w:proofErr w:type="spellEnd"/>
            <w:r>
              <w:br/>
              <w:t xml:space="preserve">Ким Ми </w:t>
            </w:r>
            <w:proofErr w:type="spellStart"/>
            <w:r>
              <w:t>Ён</w:t>
            </w:r>
            <w:proofErr w:type="spellEnd"/>
            <w:r>
              <w:t xml:space="preserve"> </w:t>
            </w:r>
            <w:r>
              <w:br/>
              <w:t xml:space="preserve">Йонас </w:t>
            </w:r>
            <w:proofErr w:type="spellStart"/>
            <w:r>
              <w:t>Рускус</w:t>
            </w:r>
            <w:proofErr w:type="spellEnd"/>
          </w:p>
        </w:tc>
      </w:tr>
      <w:tr w:rsidR="00023FA9" w:rsidRPr="00023FA9" w14:paraId="064152A6" w14:textId="77777777" w:rsidTr="00263428">
        <w:tc>
          <w:tcPr>
            <w:tcW w:w="3153" w:type="dxa"/>
            <w:shd w:val="clear" w:color="auto" w:fill="auto"/>
          </w:tcPr>
          <w:p w14:paraId="732FC64D" w14:textId="649FD79A" w:rsidR="00023FA9" w:rsidRPr="00023FA9" w:rsidRDefault="00023FA9" w:rsidP="00263428">
            <w:pPr>
              <w:spacing w:before="40" w:after="120"/>
              <w:ind w:left="57"/>
            </w:pPr>
            <w:r>
              <w:rPr>
                <w:i/>
                <w:iCs/>
              </w:rPr>
              <w:t>Докладчик:</w:t>
            </w:r>
          </w:p>
        </w:tc>
        <w:tc>
          <w:tcPr>
            <w:tcW w:w="3685" w:type="dxa"/>
            <w:shd w:val="clear" w:color="auto" w:fill="auto"/>
          </w:tcPr>
          <w:p w14:paraId="0AD7721C" w14:textId="75E538F2" w:rsidR="00023FA9" w:rsidRPr="00023FA9" w:rsidRDefault="00023FA9" w:rsidP="00263428">
            <w:pPr>
              <w:spacing w:before="40" w:after="120"/>
              <w:ind w:left="57"/>
            </w:pPr>
            <w:proofErr w:type="spellStart"/>
            <w:r>
              <w:t>Оделия</w:t>
            </w:r>
            <w:proofErr w:type="spellEnd"/>
            <w:r>
              <w:t xml:space="preserve"> </w:t>
            </w:r>
            <w:proofErr w:type="spellStart"/>
            <w:r>
              <w:t>Фитусси</w:t>
            </w:r>
            <w:proofErr w:type="spellEnd"/>
          </w:p>
        </w:tc>
      </w:tr>
    </w:tbl>
    <w:p w14:paraId="34A8469B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V</w:t>
      </w:r>
      <w:r w:rsidRPr="00933205">
        <w:t>.</w:t>
      </w:r>
      <w:r w:rsidRPr="00933205">
        <w:tab/>
      </w:r>
      <w:r>
        <w:rPr>
          <w:bCs/>
        </w:rPr>
        <w:t>Методы работы</w:t>
      </w:r>
    </w:p>
    <w:p w14:paraId="36A98598" w14:textId="22E185FA" w:rsidR="007F089C" w:rsidRPr="00933205" w:rsidRDefault="007F089C" w:rsidP="007F089C">
      <w:pPr>
        <w:pStyle w:val="SingleTxtG"/>
      </w:pPr>
      <w:r w:rsidRPr="00933205">
        <w:t>7.</w:t>
      </w:r>
      <w:r>
        <w:tab/>
        <w:t>Комитет обсудил различные вопросы, касающиеся его методов работы, и</w:t>
      </w:r>
      <w:r w:rsidR="007F7EE2">
        <w:rPr>
          <w:lang w:val="en-US"/>
        </w:rPr>
        <w:t> </w:t>
      </w:r>
      <w:r>
        <w:t>принял решения, содержащиеся в приложении к настоящему докладу.</w:t>
      </w:r>
    </w:p>
    <w:p w14:paraId="2076F788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VI</w:t>
      </w:r>
      <w:r w:rsidRPr="00933205">
        <w:t>.</w:t>
      </w:r>
      <w:r>
        <w:tab/>
      </w:r>
      <w:r>
        <w:rPr>
          <w:bCs/>
        </w:rPr>
        <w:t>Деятельность, связанная с замечаниями общего порядка</w:t>
      </w:r>
    </w:p>
    <w:p w14:paraId="0F02D1AF" w14:textId="113965F3" w:rsidR="007F089C" w:rsidRPr="00933205" w:rsidRDefault="007F089C" w:rsidP="007F089C">
      <w:pPr>
        <w:pStyle w:val="SingleTxtG"/>
      </w:pPr>
      <w:r w:rsidRPr="00933205">
        <w:t>8.</w:t>
      </w:r>
      <w:r>
        <w:tab/>
        <w:t xml:space="preserve">Комитет продолжил </w:t>
      </w:r>
      <w:proofErr w:type="gramStart"/>
      <w:r>
        <w:t>работу по подготовке</w:t>
      </w:r>
      <w:proofErr w:type="gramEnd"/>
      <w:r>
        <w:t xml:space="preserve"> замечания общего порядка по статье</w:t>
      </w:r>
      <w:r w:rsidR="007F7EE2">
        <w:rPr>
          <w:lang w:val="en-US"/>
        </w:rPr>
        <w:t> </w:t>
      </w:r>
      <w:r>
        <w:t>27 Конвенции, касающейся права на труд и занятость, и провел два заседания, посвященных общей дискуссии по этому вопросу.</w:t>
      </w:r>
    </w:p>
    <w:p w14:paraId="7A32DFAB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VII</w:t>
      </w:r>
      <w:r w:rsidRPr="00933205">
        <w:t>.</w:t>
      </w:r>
      <w:r>
        <w:tab/>
      </w:r>
      <w:r>
        <w:rPr>
          <w:bCs/>
        </w:rPr>
        <w:t>Деятельность, касающаяся Факультативного протокола</w:t>
      </w:r>
    </w:p>
    <w:p w14:paraId="0CBB8CB3" w14:textId="512F9D1D" w:rsidR="007F089C" w:rsidRPr="00933205" w:rsidRDefault="007F089C" w:rsidP="007F089C">
      <w:pPr>
        <w:pStyle w:val="SingleTxtG"/>
      </w:pPr>
      <w:r w:rsidRPr="007F089C">
        <w:t>9.</w:t>
      </w:r>
      <w:r>
        <w:tab/>
        <w:t xml:space="preserve">Комитет рассмотрел три сообщения. Он объявил два из них неприемлемыми, </w:t>
      </w:r>
      <w:r w:rsidR="007F7EE2">
        <w:br/>
      </w:r>
      <w:r>
        <w:t>а</w:t>
      </w:r>
      <w:r w:rsidR="007F7EE2" w:rsidRPr="007F7EE2">
        <w:t xml:space="preserve"> </w:t>
      </w:r>
      <w:r>
        <w:t>в третьем обнаружил нарушения Конвенции. Мнения и решения, принятые Комитетом по этим сообщениям, будут размещены на веб-сайте Комитета.</w:t>
      </w:r>
    </w:p>
    <w:p w14:paraId="12115FF5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VIII</w:t>
      </w:r>
      <w:r w:rsidRPr="00933205">
        <w:t>.</w:t>
      </w:r>
      <w:r>
        <w:tab/>
      </w:r>
      <w:r>
        <w:rPr>
          <w:bCs/>
        </w:rPr>
        <w:t>Прочие решения</w:t>
      </w:r>
    </w:p>
    <w:p w14:paraId="3F9B04EF" w14:textId="77777777" w:rsidR="007F089C" w:rsidRPr="00933205" w:rsidRDefault="007F089C" w:rsidP="007F089C">
      <w:pPr>
        <w:pStyle w:val="SingleTxtG"/>
      </w:pPr>
      <w:r w:rsidRPr="00933205">
        <w:t>10.</w:t>
      </w:r>
      <w:r>
        <w:tab/>
        <w:t>Комитет утвердил настоящий доклад о работе своей двадцать четвертой сессии.</w:t>
      </w:r>
    </w:p>
    <w:p w14:paraId="391910E1" w14:textId="77777777" w:rsidR="007F089C" w:rsidRPr="00933205" w:rsidRDefault="007F089C" w:rsidP="007F089C">
      <w:pPr>
        <w:pStyle w:val="SingleTxtG"/>
      </w:pPr>
      <w:r w:rsidRPr="00933205">
        <w:t>11.</w:t>
      </w:r>
      <w:r>
        <w:tab/>
        <w:t>Полный перечень принятых Комитетом решений содержится в приложении к настоящему докладу.</w:t>
      </w:r>
    </w:p>
    <w:p w14:paraId="11A9493B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IX</w:t>
      </w:r>
      <w:r w:rsidRPr="00933205">
        <w:t>.</w:t>
      </w:r>
      <w:r>
        <w:tab/>
      </w:r>
      <w:r>
        <w:rPr>
          <w:bCs/>
        </w:rPr>
        <w:t>Будущие сессии</w:t>
      </w:r>
    </w:p>
    <w:p w14:paraId="266B0678" w14:textId="77777777" w:rsidR="007F089C" w:rsidRPr="00933205" w:rsidRDefault="007F089C" w:rsidP="007F089C">
      <w:pPr>
        <w:pStyle w:val="SingleTxtG"/>
      </w:pPr>
      <w:r w:rsidRPr="00C257DE">
        <w:t>1</w:t>
      </w:r>
      <w:r w:rsidRPr="007F089C">
        <w:t>2.</w:t>
      </w:r>
      <w:r>
        <w:tab/>
        <w:t xml:space="preserve">Двадцать пятую сессию Комитета предварительно планируется провести в Женеве с 16 августа по 10 сентября 2021 года, после чего с 13 по 16 сентября 2021 года состоится пятнадцатое совещание </w:t>
      </w:r>
      <w:proofErr w:type="spellStart"/>
      <w:r>
        <w:t>предсессионной</w:t>
      </w:r>
      <w:proofErr w:type="spellEnd"/>
      <w:r>
        <w:t xml:space="preserve"> рабочей группы. В условиях пандемии коронавирусного заболевания (COVID-19) в середине июня 2021 года УВКПЧ проведет оценку возможности проведения очных сессий договорных органов. В случае невозможности проведения очной сессии Председатель Комитета при поддержке Секретаря примет решение о надлежащем порядке действий.</w:t>
      </w:r>
    </w:p>
    <w:p w14:paraId="72E3FF9C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X</w:t>
      </w:r>
      <w:r w:rsidRPr="00933205">
        <w:t>.</w:t>
      </w:r>
      <w:r>
        <w:tab/>
      </w:r>
      <w:r>
        <w:rPr>
          <w:bCs/>
        </w:rPr>
        <w:t>Доступность заседаний Комитета</w:t>
      </w:r>
    </w:p>
    <w:p w14:paraId="2FD1F198" w14:textId="77777777" w:rsidR="007F089C" w:rsidRPr="00933205" w:rsidRDefault="007F089C" w:rsidP="007F089C">
      <w:pPr>
        <w:pStyle w:val="SingleTxtG"/>
      </w:pPr>
      <w:r w:rsidRPr="00C257DE">
        <w:t>13.</w:t>
      </w:r>
      <w:r>
        <w:tab/>
        <w:t>Двадцать четвертая сессия Комитета состоялась в виртуальном формате. Члены Комитета и участники сессии пользовались онлайновой платформой для обеспечения синхронного перевода на три рабочих языка Комитета, перевода с использованием международного жестового языка и удаленного введения субтитров. Открытые заседания транслировались в Интернете. Несмотря на то, что онлайн-платформа стала более доступной для инвалидов, чем та, что использовалась в ходе предыдущей сессии, особенно для лиц с нарушениями зрения, некоторые члены по-прежнему были вынуждены полагаться на поддержку личных помощников, с тем чтобы наравне с другими участвовать в заседаниях. Лишь некоторые личные помощники членов Комитета с инвалидностью могли претендовать на получение компенсации за свою работу в соответствии с правилами Организации Объединенных Наций, касающимися поездок. УВКПЧ прилагает дополнительные усилия для обеспечения во время будущих онлайн-сессий разумных приспособлений для тех членов, которым это необходимо</w:t>
      </w:r>
      <w:r w:rsidRPr="00C257DE">
        <w:t>.</w:t>
      </w:r>
      <w:r>
        <w:t xml:space="preserve"> В ходе сессии доступ к документам в форматах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или шрифта Брайля не обеспечивался.</w:t>
      </w:r>
    </w:p>
    <w:p w14:paraId="242E19AE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XI</w:t>
      </w:r>
      <w:r w:rsidRPr="00933205">
        <w:t>.</w:t>
      </w:r>
      <w:r>
        <w:tab/>
      </w:r>
      <w:r>
        <w:rPr>
          <w:bCs/>
        </w:rPr>
        <w:t>Сотрудничество с соответствующими органами</w:t>
      </w:r>
    </w:p>
    <w:p w14:paraId="179BEA4D" w14:textId="77777777" w:rsidR="007F089C" w:rsidRPr="00933205" w:rsidRDefault="007F089C" w:rsidP="007F089C">
      <w:pPr>
        <w:pStyle w:val="H1G"/>
      </w:pPr>
      <w:r>
        <w:tab/>
      </w:r>
      <w:r>
        <w:rPr>
          <w:lang w:val="en-US"/>
        </w:rPr>
        <w:t>A</w:t>
      </w:r>
      <w:r w:rsidRPr="00933205">
        <w:t>.</w:t>
      </w:r>
      <w:r>
        <w:tab/>
      </w:r>
      <w:r>
        <w:rPr>
          <w:bCs/>
        </w:rPr>
        <w:t>Сотрудничество с органами и специализированными учреждениями Организации Объединенных Наций</w:t>
      </w:r>
    </w:p>
    <w:p w14:paraId="53784764" w14:textId="41258771" w:rsidR="007F089C" w:rsidRPr="00933205" w:rsidRDefault="007F089C" w:rsidP="007F089C">
      <w:pPr>
        <w:pStyle w:val="SingleTxtG"/>
      </w:pPr>
      <w:r w:rsidRPr="00C257DE">
        <w:t>14.</w:t>
      </w:r>
      <w:r>
        <w:tab/>
        <w:t xml:space="preserve">На открытии сессии выступили представители следующих учреждений, департаментов и программ Организации Объединенных Наций: Управления Верховного комиссара Организации Объединенных Наций по делам беженцев, Экономической и социальной комиссии для Азии и Тихого океана, Всемирной организации интеллектуальной собственности, Структуры Организации Объединенных Наций по вопросам гендерного равенства и расширения прав и возможностей женщин </w:t>
      </w:r>
      <w:r w:rsidR="007F7EE2">
        <w:t>«</w:t>
      </w:r>
      <w:r>
        <w:t>ООН-женщины</w:t>
      </w:r>
      <w:r w:rsidR="007F7EE2">
        <w:t>»</w:t>
      </w:r>
      <w:r>
        <w:t xml:space="preserve">, Детского фонда Организации Объединенных Наций, Канцелярии Посланника Генерального секретаря по делам молодежи и Комитета по оказанию помощи жертвам в соответствии с Конвенцией о запрещении применения, накопления запасов, производства и передачи противопехотных мин и об их уничтожении, а также групп УВКПЧ, занимающихся вопросами прав человека и инвалидности и программой по наращиванию потенциала договорных органов. Перед Комитетом также выступили Специальный посланник Генерального секретаря по вопросам инвалидности и </w:t>
      </w:r>
      <w:proofErr w:type="gramStart"/>
      <w:r>
        <w:t>доступности</w:t>
      </w:r>
      <w:proofErr w:type="gramEnd"/>
      <w:r>
        <w:t xml:space="preserve"> и Специальный докладчик по вопросу о торговле людьми, особенно женщинами и детьми.</w:t>
      </w:r>
      <w:bookmarkStart w:id="0" w:name="_Hlk70603994"/>
      <w:bookmarkEnd w:id="0"/>
    </w:p>
    <w:p w14:paraId="4857A2BE" w14:textId="77777777" w:rsidR="007F089C" w:rsidRPr="00933205" w:rsidRDefault="007F089C" w:rsidP="007F089C">
      <w:pPr>
        <w:pStyle w:val="SingleTxtG"/>
      </w:pPr>
      <w:r w:rsidRPr="00C257DE">
        <w:t>15.</w:t>
      </w:r>
      <w:r>
        <w:tab/>
        <w:t>Бюро Комитета провело встречу со Специальным докладчиком по вопросу о правах инвалидов для обсуждения вопросов, касающихся координации исполнения мандата Специального докладчика и мандата Комитета. Бюро также провело двусторонние встречи со Специальным докладчиком по вопросу о торговле людьми, особенно женщинами и детьми, Комитетом по оказанию помощи жертвам и группой УВКПЧ по вопросам прав человека и инвалидности.</w:t>
      </w:r>
      <w:bookmarkStart w:id="1" w:name="_Hlk70604212"/>
      <w:bookmarkEnd w:id="1"/>
    </w:p>
    <w:p w14:paraId="650B1D93" w14:textId="77777777" w:rsidR="007F089C" w:rsidRPr="00933205" w:rsidRDefault="007F089C" w:rsidP="007F089C">
      <w:pPr>
        <w:pStyle w:val="SingleTxtG"/>
      </w:pPr>
      <w:r w:rsidRPr="00C257DE">
        <w:t>16.</w:t>
      </w:r>
      <w:r>
        <w:tab/>
        <w:t xml:space="preserve">Комитет подготовил и представил письменные материалы, касающиеся Повестки дня в области устойчивого развития на период до 2030 года, в ответ на призыв внести свой вклад, прозвучавший на политическом форуме высокого уровня по устойчивому развитию. В своих материалах Комитет подчеркнул важность правозащитных принципов и стандартов, которые должны формировать основу устойчивого и жизнеспособного реагирования и восстановления после пандемии COVID-19 для всех. Комитет также представил ряд рекомендаций государствам, основанных на правозащитном подходе к инвалидности, закрепленном в Конвенции. </w:t>
      </w:r>
    </w:p>
    <w:p w14:paraId="767A8656" w14:textId="74908679" w:rsidR="007F089C" w:rsidRPr="00933205" w:rsidRDefault="007F089C" w:rsidP="007F089C">
      <w:pPr>
        <w:pStyle w:val="H1G"/>
      </w:pPr>
      <w:r>
        <w:tab/>
      </w:r>
      <w:r>
        <w:rPr>
          <w:lang w:val="en-US"/>
        </w:rPr>
        <w:t>B</w:t>
      </w:r>
      <w:r w:rsidRPr="00933205">
        <w:t>.</w:t>
      </w:r>
      <w:r>
        <w:tab/>
      </w:r>
      <w:r>
        <w:rPr>
          <w:bCs/>
        </w:rPr>
        <w:t>Сотрудничество с неправительственными организациями и</w:t>
      </w:r>
      <w:r w:rsidR="007F7EE2">
        <w:rPr>
          <w:bCs/>
        </w:rPr>
        <w:t> </w:t>
      </w:r>
      <w:r>
        <w:rPr>
          <w:bCs/>
        </w:rPr>
        <w:t>другими органами</w:t>
      </w:r>
    </w:p>
    <w:p w14:paraId="55808DB2" w14:textId="77777777" w:rsidR="007F089C" w:rsidRPr="00933205" w:rsidRDefault="007F089C" w:rsidP="007F089C">
      <w:pPr>
        <w:pStyle w:val="SingleTxtG"/>
      </w:pPr>
      <w:r w:rsidRPr="00C257DE">
        <w:t>17.</w:t>
      </w:r>
      <w:r>
        <w:tab/>
        <w:t xml:space="preserve">На заседании, посвященном открытию сессии, перед членами Комитета выступили представители Международного альянса организаций лиц с инвалидностью, Международной федерации ассоциаций по борьбе с проказой, Европейской организации по вопросам охраны психического здоровья, Обсерватории по наблюдению за соблюдением </w:t>
      </w:r>
      <w:proofErr w:type="spellStart"/>
      <w:r>
        <w:t>Марракешского</w:t>
      </w:r>
      <w:proofErr w:type="spellEnd"/>
      <w:r>
        <w:t xml:space="preserve"> договора в Латинской Америке и Центра по правам человека пациентов и бывших пациентов психиатрических учреждений.</w:t>
      </w:r>
    </w:p>
    <w:p w14:paraId="3FC8DAA1" w14:textId="77777777" w:rsidR="007F089C" w:rsidRPr="00933205" w:rsidRDefault="007F089C" w:rsidP="007F089C">
      <w:pPr>
        <w:pStyle w:val="SingleTxtG"/>
      </w:pPr>
      <w:r w:rsidRPr="00C257DE">
        <w:t>18.</w:t>
      </w:r>
      <w:r>
        <w:tab/>
        <w:t xml:space="preserve">На заключительном заседании сессии перед Комитетом выступили представители организации «Хьюман </w:t>
      </w:r>
      <w:proofErr w:type="spellStart"/>
      <w:r>
        <w:t>райтс</w:t>
      </w:r>
      <w:proofErr w:type="spellEnd"/>
      <w:r>
        <w:t xml:space="preserve"> </w:t>
      </w:r>
      <w:proofErr w:type="spellStart"/>
      <w:r>
        <w:t>уотч</w:t>
      </w:r>
      <w:proofErr w:type="spellEnd"/>
      <w:r>
        <w:t xml:space="preserve">», Управления по правам человека и правосудию судебной власти провинции </w:t>
      </w:r>
      <w:proofErr w:type="spellStart"/>
      <w:r>
        <w:t>Ко́рдова</w:t>
      </w:r>
      <w:proofErr w:type="spellEnd"/>
      <w:r>
        <w:t xml:space="preserve"> в Аргентине, Всемирной сети пациентов и бывших пациентов психиатрических учреждений, Европейской сети бывших психиатрических пациентов, Мексиканской конфедерации организаций в поддержку лиц с умственными расстройствами и Всемирной федерации глухих от имени Международного альянса организаций лиц с инвалидностью.</w:t>
      </w:r>
    </w:p>
    <w:p w14:paraId="17781AB9" w14:textId="77777777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XII</w:t>
      </w:r>
      <w:r w:rsidRPr="00933205">
        <w:t>.</w:t>
      </w:r>
      <w:r>
        <w:tab/>
      </w:r>
      <w:r>
        <w:rPr>
          <w:bCs/>
        </w:rPr>
        <w:t>Рассмотрение докладов, представленных в соответствии со статьей 35 Конвенции</w:t>
      </w:r>
    </w:p>
    <w:p w14:paraId="75A5E293" w14:textId="77777777" w:rsidR="007F089C" w:rsidRPr="00933205" w:rsidRDefault="007F089C" w:rsidP="007F089C">
      <w:pPr>
        <w:pStyle w:val="SingleTxtG"/>
      </w:pPr>
      <w:r w:rsidRPr="00C257DE">
        <w:t>19.</w:t>
      </w:r>
      <w:r>
        <w:tab/>
        <w:t>В связи с пандемией COVID-19 Комитет в порядке исключения провел на экспериментальной основе конструктивный диалог в режиме онлайн. Комитет рассмотрел первоначальный доклад Эстонии</w:t>
      </w:r>
      <w:r w:rsidRPr="000A6F96">
        <w:rPr>
          <w:rStyle w:val="aa"/>
        </w:rPr>
        <w:footnoteReference w:id="2"/>
      </w:r>
      <w:r>
        <w:t xml:space="preserve"> и принял по этому докладу заключительные замечания, с которыми можно ознакомиться на веб-сайте Комитета.</w:t>
      </w:r>
    </w:p>
    <w:p w14:paraId="77F22A85" w14:textId="14F7CEE9" w:rsidR="007F089C" w:rsidRPr="00933205" w:rsidRDefault="007F089C" w:rsidP="007F089C">
      <w:pPr>
        <w:pStyle w:val="HChG"/>
      </w:pPr>
      <w:r>
        <w:tab/>
      </w:r>
      <w:r>
        <w:rPr>
          <w:lang w:val="en-US"/>
        </w:rPr>
        <w:t>XIII</w:t>
      </w:r>
      <w:r w:rsidRPr="00933205">
        <w:t>.</w:t>
      </w:r>
      <w:r>
        <w:tab/>
      </w:r>
      <w:r>
        <w:rPr>
          <w:bCs/>
        </w:rPr>
        <w:t xml:space="preserve">Конференция государств </w:t>
      </w:r>
      <w:r w:rsidR="003C4683">
        <w:rPr>
          <w:bCs/>
        </w:rPr>
        <w:t>—</w:t>
      </w:r>
      <w:r>
        <w:rPr>
          <w:bCs/>
        </w:rPr>
        <w:t xml:space="preserve"> участников Конвенции</w:t>
      </w:r>
    </w:p>
    <w:p w14:paraId="5A7DE8C8" w14:textId="50FF4D96" w:rsidR="007F089C" w:rsidRDefault="007F089C" w:rsidP="007F089C">
      <w:pPr>
        <w:pStyle w:val="SingleTxtG"/>
      </w:pPr>
      <w:r>
        <w:t>20.</w:t>
      </w:r>
      <w:r>
        <w:tab/>
        <w:t>Комитет подтвердил, что на четырнадцатой сессии Конференции государств</w:t>
      </w:r>
      <w:r w:rsidR="003C4683">
        <w:t> —</w:t>
      </w:r>
      <w:r>
        <w:t xml:space="preserve"> участников Конвенции его будет представлять Председатель.</w:t>
      </w:r>
    </w:p>
    <w:p w14:paraId="69EB7ABE" w14:textId="09D0C1F0" w:rsidR="009D17D3" w:rsidRDefault="009D17D3" w:rsidP="007F089C">
      <w:pPr>
        <w:pStyle w:val="SingleTxtG"/>
      </w:pPr>
    </w:p>
    <w:p w14:paraId="222FFCB3" w14:textId="77777777" w:rsidR="00E512CA" w:rsidRDefault="00E512CA" w:rsidP="007F089C">
      <w:pPr>
        <w:pStyle w:val="SingleTxtG"/>
        <w:sectPr w:rsidR="00E512CA" w:rsidSect="007F08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D5AE6A8" w14:textId="77777777" w:rsidR="00E512CA" w:rsidRPr="00933205" w:rsidRDefault="00E512CA" w:rsidP="00E512CA">
      <w:pPr>
        <w:pStyle w:val="HChG"/>
      </w:pPr>
      <w:r>
        <w:rPr>
          <w:bCs/>
        </w:rPr>
        <w:t>Приложение</w:t>
      </w:r>
    </w:p>
    <w:p w14:paraId="234FC7C0" w14:textId="77777777" w:rsidR="00E512CA" w:rsidRPr="00933205" w:rsidRDefault="00E512CA" w:rsidP="00E512CA">
      <w:pPr>
        <w:pStyle w:val="HChG"/>
      </w:pPr>
      <w:r>
        <w:tab/>
      </w:r>
      <w:r>
        <w:tab/>
      </w:r>
      <w:r>
        <w:rPr>
          <w:bCs/>
        </w:rPr>
        <w:t>Решения, принятые Комитетом на его двадцать четвертой сессии</w:t>
      </w:r>
    </w:p>
    <w:p w14:paraId="46AEC905" w14:textId="77777777" w:rsidR="00E512CA" w:rsidRPr="00933205" w:rsidRDefault="00E512CA" w:rsidP="00E512CA">
      <w:pPr>
        <w:pStyle w:val="SingleTxtG"/>
      </w:pPr>
      <w:r>
        <w:t>1.</w:t>
      </w:r>
      <w:r>
        <w:tab/>
        <w:t>Комитет принял заключительные замечания по первоначальному докладу Эстонии</w:t>
      </w:r>
      <w:r w:rsidRPr="000A6F96">
        <w:rPr>
          <w:rStyle w:val="aa"/>
        </w:rPr>
        <w:footnoteReference w:id="3"/>
      </w:r>
      <w:r>
        <w:t>.</w:t>
      </w:r>
    </w:p>
    <w:p w14:paraId="3A62AE77" w14:textId="77777777" w:rsidR="00E512CA" w:rsidRPr="00933205" w:rsidRDefault="00E512CA" w:rsidP="00E512CA">
      <w:pPr>
        <w:pStyle w:val="SingleTxtG"/>
      </w:pPr>
      <w:r>
        <w:t>2.</w:t>
      </w:r>
      <w:r>
        <w:tab/>
        <w:t>Комитет рассмотрел три индивидуальных сообщения, представленных на его рассмотрение в соответствии с Факультативным протоколом к Конвенции. Мнения и решения будут препровождены сторонам в кратчайшие сроки и впоследствии будут опубликованы.</w:t>
      </w:r>
    </w:p>
    <w:p w14:paraId="76CBE96A" w14:textId="77777777" w:rsidR="00E512CA" w:rsidRPr="00933205" w:rsidRDefault="00E512CA" w:rsidP="00E512CA">
      <w:pPr>
        <w:pStyle w:val="SingleTxtG"/>
      </w:pPr>
      <w:r>
        <w:t>3.</w:t>
      </w:r>
      <w:r>
        <w:tab/>
        <w:t>Комитет рассмотрел вопросы, связанные с сообщениями и расследованиями в соответствии с Факультативным протоколом.</w:t>
      </w:r>
      <w:bookmarkStart w:id="2" w:name="_Hlk70604741"/>
      <w:bookmarkEnd w:id="2"/>
    </w:p>
    <w:p w14:paraId="07C66DB7" w14:textId="77777777" w:rsidR="00E512CA" w:rsidRPr="00933205" w:rsidRDefault="00E512CA" w:rsidP="00E512CA">
      <w:pPr>
        <w:pStyle w:val="SingleTxtG"/>
      </w:pPr>
      <w:r>
        <w:t>4.</w:t>
      </w:r>
      <w:r>
        <w:tab/>
        <w:t>Комитет постановил, что его рабочими языками в течение двухгодичного периода 2021–2022 годов будут английский, испанский и французский языки.</w:t>
      </w:r>
    </w:p>
    <w:p w14:paraId="626BAFAA" w14:textId="4E644522" w:rsidR="00E512CA" w:rsidRPr="00933205" w:rsidRDefault="00E512CA" w:rsidP="00E512CA">
      <w:pPr>
        <w:pStyle w:val="SingleTxtG"/>
      </w:pPr>
      <w:r>
        <w:t>5.</w:t>
      </w:r>
      <w:r>
        <w:tab/>
        <w:t xml:space="preserve">Комитет постановил продолжить </w:t>
      </w:r>
      <w:proofErr w:type="gramStart"/>
      <w:r>
        <w:t>работу по подготовке</w:t>
      </w:r>
      <w:proofErr w:type="gramEnd"/>
      <w:r>
        <w:t xml:space="preserve"> замечания общего порядка по статье 27 Конвенции, касающейся прав инвалидов на труд и занятость, и</w:t>
      </w:r>
      <w:r w:rsidR="007F2453">
        <w:t> </w:t>
      </w:r>
      <w:r>
        <w:t>провел два заседания для общего обсуждения этого вопроса с заинтересованными сторонами.</w:t>
      </w:r>
    </w:p>
    <w:p w14:paraId="583EF0B6" w14:textId="77777777" w:rsidR="00E512CA" w:rsidRPr="00933205" w:rsidRDefault="00E512CA" w:rsidP="00E512CA">
      <w:pPr>
        <w:pStyle w:val="SingleTxtG"/>
      </w:pPr>
      <w:r>
        <w:t>6.</w:t>
      </w:r>
      <w:r>
        <w:tab/>
        <w:t>Комитет постановил обратиться к Специальному докладчику по вопросу о правах инвалидов и Специальному посланнику Генерального секретаря по вопросам инвалидности и доступности по поводу несовместимости с Конвенцией проекта дополнительного протокола Совета Европы к Конвенции о защите прав и достоинства человека в связи с применением достижений биологии и медицины.</w:t>
      </w:r>
    </w:p>
    <w:p w14:paraId="01A55BCD" w14:textId="77777777" w:rsidR="00E512CA" w:rsidRPr="00933205" w:rsidRDefault="00E512CA" w:rsidP="00E512CA">
      <w:pPr>
        <w:pStyle w:val="SingleTxtG"/>
      </w:pPr>
      <w:r>
        <w:t>7.</w:t>
      </w:r>
      <w:r>
        <w:tab/>
        <w:t>Комитет постановил продолжать сотрудничество с организациями, учреждениями, программами, департаментами и подразделениями Организации Объединенных Наций в деле осуществления Стратегии Организации Объединенных Наций по инклюзии людей с инвалидностью.</w:t>
      </w:r>
    </w:p>
    <w:p w14:paraId="3FBF673E" w14:textId="3A963CF2" w:rsidR="00E512CA" w:rsidRPr="00933205" w:rsidRDefault="00E512CA" w:rsidP="00E512CA">
      <w:pPr>
        <w:pStyle w:val="SingleTxtG"/>
      </w:pPr>
      <w:r>
        <w:t>8.</w:t>
      </w:r>
      <w:r>
        <w:tab/>
        <w:t>Комитет постановил, что его двадцать пятая сессия состоится в Женеве с 16</w:t>
      </w:r>
      <w:r w:rsidR="00B631DB">
        <w:t> </w:t>
      </w:r>
      <w:r>
        <w:t>августа по 10 сентября 2021 года, при условии подтверждения Секретариатом возможности проведения очной сессии. На этой сессии Комитет рассмотрит первоначальные доклады Бангладеш, Венесуэлы (Боливарианской Республики), Джибути, Лаосской Народно-Демократической Республики, Франции, Ямайки и Японии. В случае невозможности проведения очной сессии Председатель Комитета при поддержке Секретаря примет решение о надлежащем порядке действий.</w:t>
      </w:r>
    </w:p>
    <w:p w14:paraId="2CE88FF7" w14:textId="72403D6C" w:rsidR="00E512CA" w:rsidRPr="00933205" w:rsidRDefault="00E512CA" w:rsidP="00E512CA">
      <w:pPr>
        <w:pStyle w:val="SingleTxtG"/>
      </w:pPr>
      <w:r>
        <w:t>9.</w:t>
      </w:r>
      <w:r>
        <w:tab/>
        <w:t xml:space="preserve">Комитет постановил, что пятнадцатая сессия </w:t>
      </w:r>
      <w:proofErr w:type="spellStart"/>
      <w:r>
        <w:t>предсессионной</w:t>
      </w:r>
      <w:proofErr w:type="spellEnd"/>
      <w:r>
        <w:t xml:space="preserve"> рабочей группы будет проведена 13</w:t>
      </w:r>
      <w:r w:rsidR="00B631DB">
        <w:t>–</w:t>
      </w:r>
      <w:r>
        <w:t xml:space="preserve">16 сентября 2021 года. Председатель Комитета при поддержке Секретаря определит перечни вопросов, а также перечни вопросов, предваряющих представление докладов, которые будут приняты </w:t>
      </w:r>
      <w:proofErr w:type="spellStart"/>
      <w:r>
        <w:t>предсессионной</w:t>
      </w:r>
      <w:proofErr w:type="spellEnd"/>
      <w:r>
        <w:t xml:space="preserve"> рабочей группой на этой сессии.</w:t>
      </w:r>
    </w:p>
    <w:p w14:paraId="70E7BEE2" w14:textId="6ED70AAC" w:rsidR="00E512CA" w:rsidRPr="00933205" w:rsidRDefault="00E512CA" w:rsidP="00E512CA">
      <w:pPr>
        <w:pStyle w:val="SingleTxtG"/>
      </w:pPr>
      <w:r>
        <w:t>10.</w:t>
      </w:r>
      <w:r>
        <w:tab/>
        <w:t>Комитет принял свой двухгодичный доклад (за 2019</w:t>
      </w:r>
      <w:r w:rsidR="00B631DB">
        <w:t>–</w:t>
      </w:r>
      <w:r>
        <w:t>2020 годы) Генеральной Ассамблее и Экономическому и Социальному Совету</w:t>
      </w:r>
      <w:r w:rsidRPr="000A6F96">
        <w:rPr>
          <w:rStyle w:val="aa"/>
        </w:rPr>
        <w:footnoteReference w:id="4"/>
      </w:r>
      <w:r>
        <w:t>.</w:t>
      </w:r>
    </w:p>
    <w:p w14:paraId="0592E13C" w14:textId="77777777" w:rsidR="00E512CA" w:rsidRPr="00933205" w:rsidRDefault="00E512CA" w:rsidP="00E512CA">
      <w:pPr>
        <w:pStyle w:val="SingleTxtG"/>
      </w:pPr>
      <w:r>
        <w:t>11.</w:t>
      </w:r>
      <w:r>
        <w:tab/>
        <w:t>Комитет утвердил доклад о работе своей двадцать четвертой сессии.</w:t>
      </w:r>
    </w:p>
    <w:p w14:paraId="28ACD1C8" w14:textId="6D54AD49" w:rsidR="009D17D3" w:rsidRPr="00E512CA" w:rsidRDefault="00E512CA" w:rsidP="00E512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17D3" w:rsidRPr="00E512CA" w:rsidSect="00E512CA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382E" w14:textId="77777777" w:rsidR="00006C8A" w:rsidRPr="00A312BC" w:rsidRDefault="00006C8A" w:rsidP="00A312BC"/>
  </w:endnote>
  <w:endnote w:type="continuationSeparator" w:id="0">
    <w:p w14:paraId="01DF100D" w14:textId="77777777" w:rsidR="00006C8A" w:rsidRPr="00A312BC" w:rsidRDefault="00006C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67B8" w14:textId="0D933082" w:rsidR="007F089C" w:rsidRPr="007F089C" w:rsidRDefault="007F089C">
    <w:pPr>
      <w:pStyle w:val="a8"/>
    </w:pPr>
    <w:r w:rsidRPr="007F089C">
      <w:rPr>
        <w:b/>
        <w:sz w:val="18"/>
      </w:rPr>
      <w:fldChar w:fldCharType="begin"/>
    </w:r>
    <w:r w:rsidRPr="007F089C">
      <w:rPr>
        <w:b/>
        <w:sz w:val="18"/>
      </w:rPr>
      <w:instrText xml:space="preserve"> PAGE  \* MERGEFORMAT </w:instrText>
    </w:r>
    <w:r w:rsidRPr="007F089C">
      <w:rPr>
        <w:b/>
        <w:sz w:val="18"/>
      </w:rPr>
      <w:fldChar w:fldCharType="separate"/>
    </w:r>
    <w:r w:rsidRPr="007F089C">
      <w:rPr>
        <w:b/>
        <w:noProof/>
        <w:sz w:val="18"/>
      </w:rPr>
      <w:t>2</w:t>
    </w:r>
    <w:r w:rsidRPr="007F089C">
      <w:rPr>
        <w:b/>
        <w:sz w:val="18"/>
      </w:rPr>
      <w:fldChar w:fldCharType="end"/>
    </w:r>
    <w:r>
      <w:rPr>
        <w:b/>
        <w:sz w:val="18"/>
      </w:rPr>
      <w:tab/>
    </w:r>
    <w:r>
      <w:t>GE.21-05770</w:t>
    </w:r>
  </w:p>
  <w:p w14:paraId="4AD8E474" w14:textId="77777777" w:rsidR="00A47F0A" w:rsidRDefault="00A47F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206E" w14:textId="000500AE" w:rsidR="007F089C" w:rsidRPr="007F089C" w:rsidRDefault="007F089C" w:rsidP="007F089C">
    <w:pPr>
      <w:pStyle w:val="a8"/>
      <w:tabs>
        <w:tab w:val="clear" w:pos="9639"/>
        <w:tab w:val="right" w:pos="9638"/>
      </w:tabs>
      <w:rPr>
        <w:b/>
        <w:sz w:val="18"/>
      </w:rPr>
    </w:pPr>
    <w:r>
      <w:t>GE.21-05770</w:t>
    </w:r>
    <w:r>
      <w:tab/>
    </w:r>
    <w:r w:rsidRPr="007F089C">
      <w:rPr>
        <w:b/>
        <w:sz w:val="18"/>
      </w:rPr>
      <w:fldChar w:fldCharType="begin"/>
    </w:r>
    <w:r w:rsidRPr="007F089C">
      <w:rPr>
        <w:b/>
        <w:sz w:val="18"/>
      </w:rPr>
      <w:instrText xml:space="preserve"> PAGE  \* MERGEFORMAT </w:instrText>
    </w:r>
    <w:r w:rsidRPr="007F089C">
      <w:rPr>
        <w:b/>
        <w:sz w:val="18"/>
      </w:rPr>
      <w:fldChar w:fldCharType="separate"/>
    </w:r>
    <w:r w:rsidRPr="007F089C">
      <w:rPr>
        <w:b/>
        <w:noProof/>
        <w:sz w:val="18"/>
      </w:rPr>
      <w:t>3</w:t>
    </w:r>
    <w:r w:rsidRPr="007F089C">
      <w:rPr>
        <w:b/>
        <w:sz w:val="18"/>
      </w:rPr>
      <w:fldChar w:fldCharType="end"/>
    </w:r>
  </w:p>
  <w:p w14:paraId="159671AD" w14:textId="77777777" w:rsidR="00A47F0A" w:rsidRDefault="00A47F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67DC" w14:textId="75BB480D" w:rsidR="00042B72" w:rsidRPr="007F089C" w:rsidRDefault="007F089C" w:rsidP="007F089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3B6FAD" wp14:editId="1BBB28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05770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2ADAA6" wp14:editId="338A83C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100521  280521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DBD6" w14:textId="77777777" w:rsidR="00E512CA" w:rsidRPr="007F089C" w:rsidRDefault="00E512CA" w:rsidP="007F089C">
    <w:pPr>
      <w:pStyle w:val="a8"/>
      <w:tabs>
        <w:tab w:val="clear" w:pos="9639"/>
        <w:tab w:val="right" w:pos="9638"/>
      </w:tabs>
      <w:rPr>
        <w:b/>
        <w:sz w:val="18"/>
      </w:rPr>
    </w:pPr>
    <w:r>
      <w:t>GE.21-05770</w:t>
    </w:r>
    <w:r>
      <w:tab/>
    </w:r>
    <w:r w:rsidRPr="007F089C">
      <w:rPr>
        <w:b/>
        <w:sz w:val="18"/>
      </w:rPr>
      <w:fldChar w:fldCharType="begin"/>
    </w:r>
    <w:r w:rsidRPr="007F089C">
      <w:rPr>
        <w:b/>
        <w:sz w:val="18"/>
      </w:rPr>
      <w:instrText xml:space="preserve"> PAGE  \* MERGEFORMAT </w:instrText>
    </w:r>
    <w:r w:rsidRPr="007F089C">
      <w:rPr>
        <w:b/>
        <w:sz w:val="18"/>
      </w:rPr>
      <w:fldChar w:fldCharType="separate"/>
    </w:r>
    <w:r w:rsidRPr="007F089C">
      <w:rPr>
        <w:b/>
        <w:noProof/>
        <w:sz w:val="18"/>
      </w:rPr>
      <w:t>3</w:t>
    </w:r>
    <w:r w:rsidRPr="007F089C">
      <w:rPr>
        <w:b/>
        <w:sz w:val="18"/>
      </w:rPr>
      <w:fldChar w:fldCharType="end"/>
    </w:r>
  </w:p>
  <w:p w14:paraId="24DA6FF2" w14:textId="77777777" w:rsidR="00E512CA" w:rsidRDefault="00E512C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00C1" w14:textId="77777777" w:rsidR="00E512CA" w:rsidRPr="007F089C" w:rsidRDefault="00E512CA" w:rsidP="007F089C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4E86F24F" wp14:editId="2A0AA6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6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05770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75AEDC98" wp14:editId="50519B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100521  280521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F3A8" w14:textId="77777777" w:rsidR="00006C8A" w:rsidRPr="001075E9" w:rsidRDefault="00006C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57E1C5" w14:textId="77777777" w:rsidR="00006C8A" w:rsidRDefault="00006C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265761" w14:textId="77777777" w:rsidR="007F089C" w:rsidRPr="00933205" w:rsidRDefault="007F089C" w:rsidP="007F089C">
      <w:pPr>
        <w:pStyle w:val="ad"/>
        <w:rPr>
          <w:lang w:val="fr-CH"/>
        </w:rPr>
      </w:pPr>
      <w:r>
        <w:tab/>
      </w:r>
      <w:r w:rsidRPr="000A6F96">
        <w:rPr>
          <w:rStyle w:val="aa"/>
        </w:rPr>
        <w:footnoteRef/>
      </w:r>
      <w:r w:rsidRPr="00933205">
        <w:rPr>
          <w:lang w:val="fr-CH"/>
        </w:rPr>
        <w:tab/>
        <w:t>CRPD/C/24/1.</w:t>
      </w:r>
    </w:p>
  </w:footnote>
  <w:footnote w:id="2">
    <w:p w14:paraId="33F2F769" w14:textId="77777777" w:rsidR="007F089C" w:rsidRPr="00933205" w:rsidRDefault="007F089C" w:rsidP="007F089C">
      <w:pPr>
        <w:pStyle w:val="ad"/>
        <w:rPr>
          <w:lang w:val="fr-CH"/>
        </w:rPr>
      </w:pPr>
      <w:r w:rsidRPr="00933205">
        <w:rPr>
          <w:lang w:val="fr-CH"/>
        </w:rPr>
        <w:tab/>
      </w:r>
      <w:r w:rsidRPr="000A6F96">
        <w:rPr>
          <w:rStyle w:val="aa"/>
        </w:rPr>
        <w:footnoteRef/>
      </w:r>
      <w:r w:rsidRPr="00933205">
        <w:rPr>
          <w:lang w:val="fr-CH"/>
        </w:rPr>
        <w:tab/>
        <w:t>CRPD/C/EST/1.</w:t>
      </w:r>
    </w:p>
  </w:footnote>
  <w:footnote w:id="3">
    <w:p w14:paraId="6ED77B75" w14:textId="77777777" w:rsidR="00E512CA" w:rsidRDefault="00E512CA" w:rsidP="00E512CA">
      <w:pPr>
        <w:pStyle w:val="ad"/>
      </w:pPr>
      <w:r w:rsidRPr="00933205">
        <w:rPr>
          <w:lang w:val="fr-CH"/>
        </w:rPr>
        <w:tab/>
      </w:r>
      <w:r w:rsidRPr="000A6F96">
        <w:rPr>
          <w:rStyle w:val="aa"/>
        </w:rPr>
        <w:footnoteRef/>
      </w:r>
      <w:r>
        <w:tab/>
      </w:r>
      <w:r w:rsidRPr="00E512CA">
        <w:t>Там же.</w:t>
      </w:r>
    </w:p>
  </w:footnote>
  <w:footnote w:id="4">
    <w:p w14:paraId="5BA82E57" w14:textId="77777777" w:rsidR="00E512CA" w:rsidRDefault="00E512CA" w:rsidP="00E512CA">
      <w:pPr>
        <w:pStyle w:val="ad"/>
      </w:pPr>
      <w:r>
        <w:tab/>
      </w:r>
      <w:r w:rsidRPr="000A6F96">
        <w:rPr>
          <w:rStyle w:val="aa"/>
        </w:rPr>
        <w:footnoteRef/>
      </w:r>
      <w:r>
        <w:tab/>
        <w:t>A/76/55.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4E36" w14:textId="60AD2FB5" w:rsidR="007F089C" w:rsidRPr="007F089C" w:rsidRDefault="00A03A1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CRPD/C/24/2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AF66" w14:textId="4011C970" w:rsidR="007F089C" w:rsidRPr="007F089C" w:rsidRDefault="00A03A13" w:rsidP="007F089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CRPD/C/24/2</w:t>
    </w:r>
    <w:r>
      <w:fldChar w:fldCharType="end"/>
    </w:r>
  </w:p>
  <w:p w14:paraId="1A05C480" w14:textId="77777777" w:rsidR="00A47F0A" w:rsidRDefault="00A47F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9F87" w14:textId="77777777" w:rsidR="007F089C" w:rsidRDefault="007F089C" w:rsidP="007F089C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A956" w14:textId="40B73E71" w:rsidR="00E512CA" w:rsidRPr="007F089C" w:rsidRDefault="00A03A13" w:rsidP="007F089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CRPD/C/24/2</w:t>
    </w:r>
    <w:r>
      <w:fldChar w:fldCharType="end"/>
    </w:r>
  </w:p>
  <w:p w14:paraId="0E2DEF6F" w14:textId="77777777" w:rsidR="00E512CA" w:rsidRDefault="00E512C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96DD" w14:textId="77777777" w:rsidR="00E512CA" w:rsidRDefault="00E512CA" w:rsidP="007F08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8A"/>
    <w:rsid w:val="00006C8A"/>
    <w:rsid w:val="00011089"/>
    <w:rsid w:val="00023FA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63428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C4683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7F089C"/>
    <w:rsid w:val="007F2453"/>
    <w:rsid w:val="007F7EE2"/>
    <w:rsid w:val="00806737"/>
    <w:rsid w:val="00825F8D"/>
    <w:rsid w:val="00833758"/>
    <w:rsid w:val="00834B71"/>
    <w:rsid w:val="0086445C"/>
    <w:rsid w:val="00867A51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9D17D3"/>
    <w:rsid w:val="00A03A13"/>
    <w:rsid w:val="00A14DA8"/>
    <w:rsid w:val="00A312BC"/>
    <w:rsid w:val="00A47F0A"/>
    <w:rsid w:val="00A50F09"/>
    <w:rsid w:val="00A84021"/>
    <w:rsid w:val="00A84D35"/>
    <w:rsid w:val="00A917B3"/>
    <w:rsid w:val="00AB4B51"/>
    <w:rsid w:val="00AC12E8"/>
    <w:rsid w:val="00B10CC7"/>
    <w:rsid w:val="00B36DF7"/>
    <w:rsid w:val="00B466C1"/>
    <w:rsid w:val="00B539E7"/>
    <w:rsid w:val="00B62458"/>
    <w:rsid w:val="00B631DB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512CA"/>
    <w:rsid w:val="00E73F76"/>
    <w:rsid w:val="00E74465"/>
    <w:rsid w:val="00E77684"/>
    <w:rsid w:val="00E92F15"/>
    <w:rsid w:val="00EA2C9F"/>
    <w:rsid w:val="00EA420E"/>
    <w:rsid w:val="00ED0BDA"/>
    <w:rsid w:val="00EF1360"/>
    <w:rsid w:val="00EF3220"/>
    <w:rsid w:val="00F25B7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D0C6E"/>
  <w15:docId w15:val="{ED889C5C-1843-48C5-BF50-C6D210D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7F089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DB6E-29B3-4B17-83C5-EA2F4552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5</Pages>
  <Words>1422</Words>
  <Characters>9699</Characters>
  <Application>Microsoft Office Word</Application>
  <DocSecurity>0</DocSecurity>
  <Lines>192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CRPD/C/24/2</vt:lpstr>
      <vt:lpstr>A/</vt:lpstr>
      <vt:lpstr>A/</vt:lpstr>
    </vt:vector>
  </TitlesOfParts>
  <Company>DCM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CRPD/C/24/2</dc:title>
  <dc:subject/>
  <dc:creator>Shuvalova NATALIA</dc:creator>
  <cp:keywords/>
  <cp:lastModifiedBy>Natalia Shuvalova</cp:lastModifiedBy>
  <cp:revision>3</cp:revision>
  <cp:lastPrinted>2021-05-28T11:19:00Z</cp:lastPrinted>
  <dcterms:created xsi:type="dcterms:W3CDTF">2021-05-28T11:19:00Z</dcterms:created>
  <dcterms:modified xsi:type="dcterms:W3CDTF">2021-05-28T11:20:00Z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