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6F7C137" w14:textId="77777777" w:rsidTr="00BC3629">
        <w:trPr>
          <w:trHeight w:hRule="exact" w:val="851"/>
        </w:trPr>
        <w:tc>
          <w:tcPr>
            <w:tcW w:w="142" w:type="dxa"/>
            <w:tcBorders>
              <w:bottom w:val="single" w:sz="4" w:space="0" w:color="auto"/>
            </w:tcBorders>
          </w:tcPr>
          <w:p w14:paraId="7FD3FED6" w14:textId="77777777" w:rsidR="002D5AAC" w:rsidRDefault="002D5AAC" w:rsidP="005066A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2E4476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A937B8F" w14:textId="77777777" w:rsidR="002D5AAC" w:rsidRDefault="005066A2" w:rsidP="005066A2">
            <w:pPr>
              <w:jc w:val="right"/>
            </w:pPr>
            <w:r w:rsidRPr="005066A2">
              <w:rPr>
                <w:sz w:val="40"/>
              </w:rPr>
              <w:t>CCPR</w:t>
            </w:r>
            <w:r>
              <w:t>/C/NER/CO/2</w:t>
            </w:r>
          </w:p>
        </w:tc>
      </w:tr>
      <w:tr w:rsidR="002D5AAC" w:rsidRPr="005066A2" w14:paraId="71A21FA2" w14:textId="77777777" w:rsidTr="00BC3629">
        <w:trPr>
          <w:trHeight w:hRule="exact" w:val="2835"/>
        </w:trPr>
        <w:tc>
          <w:tcPr>
            <w:tcW w:w="1280" w:type="dxa"/>
            <w:gridSpan w:val="2"/>
            <w:tcBorders>
              <w:top w:val="single" w:sz="4" w:space="0" w:color="auto"/>
              <w:bottom w:val="single" w:sz="12" w:space="0" w:color="auto"/>
            </w:tcBorders>
          </w:tcPr>
          <w:p w14:paraId="79BC4883" w14:textId="77777777" w:rsidR="002D5AAC" w:rsidRDefault="002E5067" w:rsidP="00BC3629">
            <w:pPr>
              <w:spacing w:before="120"/>
              <w:jc w:val="center"/>
            </w:pPr>
            <w:r>
              <w:rPr>
                <w:noProof/>
                <w:lang w:val="fr-CH" w:eastAsia="fr-CH"/>
              </w:rPr>
              <w:drawing>
                <wp:inline distT="0" distB="0" distL="0" distR="0" wp14:anchorId="029E7F18" wp14:editId="157E62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36CFF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CD3F7E4" w14:textId="77777777" w:rsidR="002D5AAC" w:rsidRPr="005066A2" w:rsidRDefault="005066A2" w:rsidP="00BC3629">
            <w:pPr>
              <w:spacing w:before="240"/>
              <w:rPr>
                <w:lang w:val="en-US"/>
              </w:rPr>
            </w:pPr>
            <w:r w:rsidRPr="005066A2">
              <w:rPr>
                <w:lang w:val="en-US"/>
              </w:rPr>
              <w:t>Distr.: General</w:t>
            </w:r>
          </w:p>
          <w:p w14:paraId="0AD9A72B" w14:textId="77777777" w:rsidR="005066A2" w:rsidRPr="005066A2" w:rsidRDefault="005066A2" w:rsidP="005066A2">
            <w:pPr>
              <w:spacing w:line="240" w:lineRule="exact"/>
              <w:rPr>
                <w:lang w:val="en-US"/>
              </w:rPr>
            </w:pPr>
            <w:r w:rsidRPr="005066A2">
              <w:rPr>
                <w:lang w:val="en-US"/>
              </w:rPr>
              <w:t>16 May 2019</w:t>
            </w:r>
          </w:p>
          <w:p w14:paraId="5AEEDF15" w14:textId="77777777" w:rsidR="005066A2" w:rsidRPr="005066A2" w:rsidRDefault="005066A2" w:rsidP="005066A2">
            <w:pPr>
              <w:spacing w:line="240" w:lineRule="exact"/>
              <w:rPr>
                <w:lang w:val="en-US"/>
              </w:rPr>
            </w:pPr>
            <w:r w:rsidRPr="005066A2">
              <w:rPr>
                <w:lang w:val="en-US"/>
              </w:rPr>
              <w:t>Russian</w:t>
            </w:r>
          </w:p>
          <w:p w14:paraId="18F106E4" w14:textId="77777777" w:rsidR="005066A2" w:rsidRPr="005066A2" w:rsidRDefault="005066A2" w:rsidP="005066A2">
            <w:pPr>
              <w:spacing w:line="240" w:lineRule="exact"/>
              <w:rPr>
                <w:lang w:val="en-US"/>
              </w:rPr>
            </w:pPr>
            <w:r w:rsidRPr="005066A2">
              <w:rPr>
                <w:lang w:val="en-US"/>
              </w:rPr>
              <w:t>Original: French</w:t>
            </w:r>
          </w:p>
        </w:tc>
      </w:tr>
    </w:tbl>
    <w:p w14:paraId="73A47CA4" w14:textId="77777777" w:rsidR="005066A2" w:rsidRPr="008B16A7" w:rsidRDefault="005066A2" w:rsidP="005066A2">
      <w:pPr>
        <w:spacing w:before="120"/>
        <w:rPr>
          <w:b/>
          <w:sz w:val="24"/>
          <w:szCs w:val="24"/>
        </w:rPr>
      </w:pPr>
      <w:r w:rsidRPr="008B16A7">
        <w:rPr>
          <w:b/>
          <w:bCs/>
          <w:sz w:val="24"/>
          <w:szCs w:val="24"/>
        </w:rPr>
        <w:t>Комитет по правам человека</w:t>
      </w:r>
    </w:p>
    <w:p w14:paraId="084E83E9" w14:textId="77777777" w:rsidR="005066A2" w:rsidRPr="008B16A7" w:rsidRDefault="005066A2" w:rsidP="005066A2">
      <w:pPr>
        <w:pStyle w:val="HChG"/>
      </w:pPr>
      <w:r w:rsidRPr="008B16A7">
        <w:tab/>
      </w:r>
      <w:r w:rsidRPr="008B16A7">
        <w:tab/>
      </w:r>
      <w:r w:rsidRPr="008B16A7">
        <w:tab/>
      </w:r>
      <w:r w:rsidRPr="008B16A7">
        <w:rPr>
          <w:bCs/>
        </w:rPr>
        <w:t>Заключительные замечания по второму периодическому докладу Нигера</w:t>
      </w:r>
      <w:r w:rsidRPr="008B16A7">
        <w:rPr>
          <w:b w:val="0"/>
          <w:bCs/>
          <w:sz w:val="20"/>
        </w:rPr>
        <w:footnoteReference w:customMarkFollows="1" w:id="1"/>
        <w:t>*</w:t>
      </w:r>
    </w:p>
    <w:p w14:paraId="47273D83" w14:textId="77777777" w:rsidR="005066A2" w:rsidRPr="008B16A7" w:rsidRDefault="005066A2" w:rsidP="005066A2">
      <w:pPr>
        <w:pStyle w:val="SingleTxtG"/>
      </w:pPr>
      <w:r w:rsidRPr="008B16A7">
        <w:t>1.</w:t>
      </w:r>
      <w:r w:rsidRPr="008B16A7">
        <w:tab/>
        <w:t>Комитет по правам человека рассмотрел второй периодический доклад Нигера (CCPR/C/NER/2) на своих 3574-м и 3575-м заседаниях (см. CCPR/C/SR.3574 и 3575), состоявшихся 6 и 7 марта 2019 года. На своем 3597-м заседании 22 марта 2019 года он принял нижеследующие заключительные замечания.</w:t>
      </w:r>
    </w:p>
    <w:p w14:paraId="476FA973" w14:textId="77777777" w:rsidR="005066A2" w:rsidRPr="008B16A7" w:rsidRDefault="005066A2" w:rsidP="005066A2">
      <w:pPr>
        <w:pStyle w:val="H1G"/>
      </w:pPr>
      <w:r w:rsidRPr="008B16A7">
        <w:rPr>
          <w:bCs/>
        </w:rPr>
        <w:tab/>
        <w:t>A.</w:t>
      </w:r>
      <w:r w:rsidRPr="008B16A7">
        <w:tab/>
      </w:r>
      <w:r w:rsidRPr="008B16A7">
        <w:rPr>
          <w:bCs/>
        </w:rPr>
        <w:t>Введение</w:t>
      </w:r>
    </w:p>
    <w:p w14:paraId="21C478F8" w14:textId="77777777" w:rsidR="005066A2" w:rsidRPr="008B16A7" w:rsidRDefault="005066A2" w:rsidP="005066A2">
      <w:pPr>
        <w:pStyle w:val="SingleTxtG"/>
      </w:pPr>
      <w:r w:rsidRPr="008B16A7">
        <w:t>2.</w:t>
      </w:r>
      <w:r w:rsidRPr="008B16A7">
        <w:tab/>
        <w:t>Комитет признателен государству-участнику за представление, хотя и со значительной задержкой, его второго периодического доклада. Комитет приветствует предоставленную ему возможность наладить с направленной государством-участником делегацией высокого уровня конструктивный диалог о мерах, принятых государством-участником для осуществления положений Пакта. Он также благодарит государство-участник за письменные ответы (CCPR/C/NER/Q/2/Add.1) на свой перечень вопросов (CCPR/C/NER/Q/2), а также за дополнительную письменную информацию, представленную Комитету после диалога.</w:t>
      </w:r>
    </w:p>
    <w:p w14:paraId="096193EB" w14:textId="77777777" w:rsidR="005066A2" w:rsidRPr="008B16A7" w:rsidRDefault="005066A2" w:rsidP="005066A2">
      <w:pPr>
        <w:pStyle w:val="H1G"/>
      </w:pPr>
      <w:r w:rsidRPr="008B16A7">
        <w:rPr>
          <w:bCs/>
        </w:rPr>
        <w:tab/>
        <w:t>B.</w:t>
      </w:r>
      <w:r w:rsidRPr="008B16A7">
        <w:tab/>
      </w:r>
      <w:r w:rsidRPr="008B16A7">
        <w:rPr>
          <w:bCs/>
        </w:rPr>
        <w:t>Позитивные аспекты</w:t>
      </w:r>
    </w:p>
    <w:p w14:paraId="7F745F55" w14:textId="77777777" w:rsidR="005066A2" w:rsidRPr="008B16A7" w:rsidRDefault="005066A2" w:rsidP="005066A2">
      <w:pPr>
        <w:spacing w:after="120"/>
        <w:ind w:left="1134" w:right="1134"/>
        <w:jc w:val="both"/>
        <w:rPr>
          <w:rFonts w:eastAsia="Times New Roman"/>
        </w:rPr>
      </w:pPr>
      <w:r w:rsidRPr="008B16A7">
        <w:t>3.</w:t>
      </w:r>
      <w:r w:rsidRPr="008B16A7">
        <w:tab/>
        <w:t>Комитет приветствует принятые государством-участником следующие законодательные и институциональные меры:</w:t>
      </w:r>
    </w:p>
    <w:p w14:paraId="2E7A2C3A" w14:textId="77777777" w:rsidR="005066A2" w:rsidRPr="008B16A7" w:rsidRDefault="005066A2" w:rsidP="005066A2">
      <w:pPr>
        <w:pStyle w:val="SingleTxtG"/>
        <w:ind w:firstLine="567"/>
      </w:pPr>
      <w:r w:rsidRPr="008B16A7">
        <w:t>a)</w:t>
      </w:r>
      <w:r w:rsidRPr="008B16A7">
        <w:tab/>
        <w:t>принятие закона № 2000-008 от 7 июня 2000 года, дополненного законом</w:t>
      </w:r>
      <w:r>
        <w:rPr>
          <w:lang w:val="en-US"/>
        </w:rPr>
        <w:t> </w:t>
      </w:r>
      <w:r w:rsidRPr="008B16A7">
        <w:t>№ 2014-64 от 5 ноября 2014 года, устанавливающего систему квот для содействия представленности женщин на выборных должностях, в правительстве и в органах управления государства-участника;</w:t>
      </w:r>
    </w:p>
    <w:p w14:paraId="1FFF79B9" w14:textId="77777777" w:rsidR="005066A2" w:rsidRPr="008B16A7" w:rsidRDefault="005066A2" w:rsidP="005066A2">
      <w:pPr>
        <w:pStyle w:val="SingleTxtG"/>
        <w:ind w:firstLine="567"/>
      </w:pPr>
      <w:r w:rsidRPr="008B16A7">
        <w:t>b)</w:t>
      </w:r>
      <w:r w:rsidRPr="008B16A7">
        <w:tab/>
        <w:t>принятие закона № 2003-25 от 13 июня 2003 года о внесении поправок в закон № 61-27 от 15 июля 1961 года, касающийся Уголовного кодекса, который предусматривает уголовную ответственность за калечащие операции на женских половых органах;</w:t>
      </w:r>
    </w:p>
    <w:p w14:paraId="26ED8114" w14:textId="77777777" w:rsidR="005066A2" w:rsidRPr="008B16A7" w:rsidRDefault="005066A2" w:rsidP="005066A2">
      <w:pPr>
        <w:pStyle w:val="SingleTxtG"/>
        <w:ind w:firstLine="567"/>
      </w:pPr>
      <w:r w:rsidRPr="008B16A7">
        <w:t>с)</w:t>
      </w:r>
      <w:r w:rsidRPr="008B16A7">
        <w:tab/>
        <w:t xml:space="preserve">принятие постановления № 2010-86 от 16 декабря 2010 года </w:t>
      </w:r>
      <w:r>
        <w:t>«</w:t>
      </w:r>
      <w:r w:rsidRPr="008B16A7">
        <w:t>О борьбе с торговлей людьми</w:t>
      </w:r>
      <w:r>
        <w:t>»</w:t>
      </w:r>
      <w:r w:rsidRPr="008B16A7">
        <w:t>;</w:t>
      </w:r>
    </w:p>
    <w:p w14:paraId="007DB210" w14:textId="77777777" w:rsidR="005066A2" w:rsidRPr="008B16A7" w:rsidRDefault="005066A2" w:rsidP="005066A2">
      <w:pPr>
        <w:pStyle w:val="SingleTxtG"/>
        <w:ind w:firstLine="567"/>
      </w:pPr>
      <w:r w:rsidRPr="008B16A7">
        <w:t>d)</w:t>
      </w:r>
      <w:r w:rsidRPr="008B16A7">
        <w:tab/>
        <w:t xml:space="preserve">принятие закона № 2014-60 от 5 ноября 2014 года о Кодексе о гражданстве Нигера и о признании права женщин передавать свое </w:t>
      </w:r>
      <w:proofErr w:type="spellStart"/>
      <w:r w:rsidRPr="008B16A7">
        <w:t>нигерское</w:t>
      </w:r>
      <w:proofErr w:type="spellEnd"/>
      <w:r w:rsidRPr="008B16A7">
        <w:t xml:space="preserve"> гражданство мужьям-иностранцам;</w:t>
      </w:r>
    </w:p>
    <w:p w14:paraId="7124C276" w14:textId="77777777" w:rsidR="005066A2" w:rsidRPr="008B16A7" w:rsidRDefault="005066A2" w:rsidP="005066A2">
      <w:pPr>
        <w:pStyle w:val="SingleTxtG"/>
        <w:ind w:firstLine="567"/>
      </w:pPr>
      <w:r w:rsidRPr="008B16A7">
        <w:lastRenderedPageBreak/>
        <w:t>e)</w:t>
      </w:r>
      <w:r w:rsidRPr="008B16A7">
        <w:tab/>
        <w:t xml:space="preserve">принятие закона № 2018-74 от 10 декабря 2018 года </w:t>
      </w:r>
      <w:r>
        <w:t>«</w:t>
      </w:r>
      <w:r w:rsidRPr="008B16A7">
        <w:t>О защите внутренне перемещенных лиц и оказании им помощи</w:t>
      </w:r>
      <w:r>
        <w:t>»</w:t>
      </w:r>
      <w:r w:rsidRPr="008B16A7">
        <w:t>;</w:t>
      </w:r>
    </w:p>
    <w:p w14:paraId="2A4520FB" w14:textId="77777777" w:rsidR="005066A2" w:rsidRPr="008B16A7" w:rsidRDefault="005066A2" w:rsidP="005066A2">
      <w:pPr>
        <w:pStyle w:val="SingleTxtG"/>
        <w:ind w:firstLine="567"/>
      </w:pPr>
      <w:r w:rsidRPr="008B16A7">
        <w:t>f)</w:t>
      </w:r>
      <w:r w:rsidRPr="008B16A7">
        <w:tab/>
        <w:t>создание межведомственного комитета по подготовке периодических докладов для договорных органов.</w:t>
      </w:r>
    </w:p>
    <w:p w14:paraId="390F02CB" w14:textId="77777777" w:rsidR="005066A2" w:rsidRPr="008B16A7" w:rsidRDefault="005066A2" w:rsidP="005066A2">
      <w:pPr>
        <w:pStyle w:val="SingleTxtG"/>
      </w:pPr>
      <w:r w:rsidRPr="008B16A7">
        <w:t>4.</w:t>
      </w:r>
      <w:r w:rsidRPr="008B16A7">
        <w:tab/>
        <w:t>Комитет также приветствует создание государством-участником Национальной комиссии по правам человека в соответствии с законом № 2012-44 от 24 августа 2012</w:t>
      </w:r>
      <w:r>
        <w:t> </w:t>
      </w:r>
      <w:r w:rsidRPr="008B16A7">
        <w:t>года.</w:t>
      </w:r>
    </w:p>
    <w:p w14:paraId="0FEAF5C6" w14:textId="77777777" w:rsidR="005066A2" w:rsidRPr="008B16A7" w:rsidRDefault="005066A2" w:rsidP="005066A2">
      <w:pPr>
        <w:pStyle w:val="SingleTxtG"/>
      </w:pPr>
      <w:r w:rsidRPr="008B16A7">
        <w:t>5.</w:t>
      </w:r>
      <w:r w:rsidRPr="008B16A7">
        <w:tab/>
        <w:t>Кроме того, Комитет приветствует ратификацию государством-участником следующих международных договоров, или присоединение к ним, в период после рассмотрения его первоначального доклада (CCPR/C/45/Add.4):</w:t>
      </w:r>
    </w:p>
    <w:p w14:paraId="43E3601B" w14:textId="77777777" w:rsidR="005066A2" w:rsidRPr="008B16A7" w:rsidRDefault="005066A2" w:rsidP="005066A2">
      <w:pPr>
        <w:pStyle w:val="SingleTxtG"/>
        <w:ind w:firstLine="567"/>
      </w:pPr>
      <w:r w:rsidRPr="008B16A7">
        <w:t>a)</w:t>
      </w:r>
      <w:r w:rsidRPr="008B16A7">
        <w:tab/>
        <w:t>Конвенции о правах инвалидов, в 2008 году;</w:t>
      </w:r>
    </w:p>
    <w:p w14:paraId="04EAC7F9" w14:textId="77777777" w:rsidR="005066A2" w:rsidRPr="008B16A7" w:rsidRDefault="005066A2" w:rsidP="005066A2">
      <w:pPr>
        <w:pStyle w:val="SingleTxtG"/>
        <w:ind w:firstLine="567"/>
      </w:pPr>
      <w:r w:rsidRPr="008B16A7">
        <w:t>b)</w:t>
      </w:r>
      <w:r w:rsidRPr="008B16A7">
        <w:tab/>
        <w:t>Международной конвенции о защите прав всех трудящихся-мигрантов и членов их семей, в 2009 году;</w:t>
      </w:r>
    </w:p>
    <w:p w14:paraId="3E065EF8" w14:textId="77777777" w:rsidR="005066A2" w:rsidRPr="008B16A7" w:rsidRDefault="005066A2" w:rsidP="005066A2">
      <w:pPr>
        <w:pStyle w:val="SingleTxtG"/>
        <w:ind w:firstLine="567"/>
      </w:pPr>
      <w:r w:rsidRPr="008B16A7">
        <w:t>с)</w:t>
      </w:r>
      <w:r w:rsidRPr="008B16A7">
        <w:tab/>
        <w:t>Факультативного протокола к Конвенции о правах ребенка, касающегося участия детей в вооруженных конфликтах, в 2012 году;</w:t>
      </w:r>
    </w:p>
    <w:p w14:paraId="15761CD3" w14:textId="77777777" w:rsidR="005066A2" w:rsidRPr="008B16A7" w:rsidRDefault="005066A2" w:rsidP="005066A2">
      <w:pPr>
        <w:pStyle w:val="SingleTxtG"/>
        <w:ind w:firstLine="567"/>
      </w:pPr>
      <w:r w:rsidRPr="008B16A7">
        <w:t>d)</w:t>
      </w:r>
      <w:r w:rsidRPr="008B16A7">
        <w:tab/>
        <w:t>Конвенции Африканского союза о защите внутренне перемещенных лиц в Африке, в 2012 году;</w:t>
      </w:r>
    </w:p>
    <w:p w14:paraId="6F3C7E20" w14:textId="77777777" w:rsidR="005066A2" w:rsidRPr="008B16A7" w:rsidRDefault="005066A2" w:rsidP="005066A2">
      <w:pPr>
        <w:pStyle w:val="SingleTxtG"/>
        <w:ind w:firstLine="567"/>
      </w:pPr>
      <w:r w:rsidRPr="008B16A7">
        <w:t>e)</w:t>
      </w:r>
      <w:r w:rsidRPr="008B16A7">
        <w:tab/>
        <w:t>Факультативного протокола к Конвенции против пыток и других жестоких, бесчеловечных или унижающих достоинство видов обращения и наказания, в 2014 году;</w:t>
      </w:r>
    </w:p>
    <w:p w14:paraId="7EBF89A8" w14:textId="77777777" w:rsidR="005066A2" w:rsidRPr="008B16A7" w:rsidRDefault="005066A2" w:rsidP="005066A2">
      <w:pPr>
        <w:pStyle w:val="SingleTxtG"/>
        <w:ind w:firstLine="567"/>
      </w:pPr>
      <w:r w:rsidRPr="008B16A7">
        <w:t>f)</w:t>
      </w:r>
      <w:r w:rsidRPr="008B16A7">
        <w:tab/>
        <w:t xml:space="preserve">Факультативного протокола к Международному пакту об экономических, социальных и культурных правах, в 2014 году; </w:t>
      </w:r>
    </w:p>
    <w:p w14:paraId="1510F1F0" w14:textId="77777777" w:rsidR="005066A2" w:rsidRPr="008B16A7" w:rsidRDefault="005066A2" w:rsidP="005066A2">
      <w:pPr>
        <w:pStyle w:val="SingleTxtG"/>
        <w:ind w:firstLine="567"/>
      </w:pPr>
      <w:r w:rsidRPr="008B16A7">
        <w:t>g)</w:t>
      </w:r>
      <w:r w:rsidRPr="008B16A7">
        <w:tab/>
        <w:t>Международной конвенции для защиты всех лиц от насильственных исчезновений, в 2015 году.</w:t>
      </w:r>
    </w:p>
    <w:p w14:paraId="461E3A10" w14:textId="77777777" w:rsidR="005066A2" w:rsidRPr="008B16A7" w:rsidRDefault="005066A2" w:rsidP="005066A2">
      <w:pPr>
        <w:pStyle w:val="H1G"/>
      </w:pPr>
      <w:r w:rsidRPr="008B16A7">
        <w:rPr>
          <w:bCs/>
        </w:rPr>
        <w:tab/>
        <w:t>C.</w:t>
      </w:r>
      <w:r w:rsidRPr="008B16A7">
        <w:tab/>
      </w:r>
      <w:r w:rsidRPr="008B16A7">
        <w:rPr>
          <w:bCs/>
        </w:rPr>
        <w:t>Основные вопросы, вызывающие обеспокоенность, и</w:t>
      </w:r>
      <w:r>
        <w:rPr>
          <w:bCs/>
        </w:rPr>
        <w:t> </w:t>
      </w:r>
      <w:r w:rsidRPr="008B16A7">
        <w:rPr>
          <w:bCs/>
        </w:rPr>
        <w:t>рекомендации</w:t>
      </w:r>
      <w:r w:rsidRPr="008B16A7">
        <w:t xml:space="preserve"> </w:t>
      </w:r>
    </w:p>
    <w:p w14:paraId="10A6424B" w14:textId="77777777" w:rsidR="005066A2" w:rsidRPr="008B16A7" w:rsidRDefault="005066A2" w:rsidP="005066A2">
      <w:pPr>
        <w:pStyle w:val="H23G"/>
      </w:pPr>
      <w:r w:rsidRPr="008B16A7">
        <w:tab/>
      </w:r>
      <w:r w:rsidRPr="008B16A7">
        <w:tab/>
      </w:r>
      <w:r w:rsidRPr="008B16A7">
        <w:rPr>
          <w:bCs/>
        </w:rPr>
        <w:t>Применимость Пакта во внутреннем праве и выполнение рекомендаций, содержащихся в Соображениях Комитета</w:t>
      </w:r>
    </w:p>
    <w:p w14:paraId="5549FFDA" w14:textId="77777777" w:rsidR="005066A2" w:rsidRPr="008B16A7" w:rsidRDefault="005066A2" w:rsidP="005066A2">
      <w:pPr>
        <w:spacing w:after="120"/>
        <w:ind w:left="1134" w:right="1134"/>
        <w:jc w:val="both"/>
        <w:rPr>
          <w:rFonts w:eastAsia="Times New Roman"/>
        </w:rPr>
      </w:pPr>
      <w:r w:rsidRPr="008B16A7">
        <w:t>6.</w:t>
      </w:r>
      <w:r w:rsidRPr="008B16A7">
        <w:tab/>
        <w:t>Комитет принимает к сведению статью 171 Конституции Нигера, в которой закреплен примат международных договоров над внутренним законодательством, и приветствует недавнее принятие закона № 2018-37 от 1 июня 2018 года, статья 72 которого позволяет судье отклонить обычай, отступающий от международных обязательств государства-участника. Вместе с тем Комитет сожалеет об отсутствии информации о конкретных случаях отклонения обычая, отступающего от положений Пакта, в более общем плане, о примерах применения Пакта национальными судами (статья 2).</w:t>
      </w:r>
    </w:p>
    <w:p w14:paraId="12E92869" w14:textId="77777777" w:rsidR="005066A2" w:rsidRPr="008B16A7" w:rsidRDefault="005066A2" w:rsidP="005066A2">
      <w:pPr>
        <w:spacing w:after="120"/>
        <w:ind w:left="1134" w:right="1134"/>
        <w:jc w:val="both"/>
        <w:rPr>
          <w:rFonts w:eastAsia="Times New Roman"/>
          <w:b/>
          <w:bCs/>
        </w:rPr>
      </w:pPr>
      <w:r w:rsidRPr="008B16A7">
        <w:t>7.</w:t>
      </w:r>
      <w:r w:rsidRPr="008B16A7">
        <w:tab/>
      </w:r>
      <w:r w:rsidRPr="008B16A7">
        <w:rPr>
          <w:b/>
          <w:bCs/>
        </w:rPr>
        <w:t>Государству-участнику следует: а) гарантировать на практике примат Пакта над национальным законодательством, а также эффективное средство правовой защиты для отдельных лиц в случае нарушения Пакта;</w:t>
      </w:r>
      <w:r w:rsidRPr="008B16A7">
        <w:t xml:space="preserve"> </w:t>
      </w:r>
      <w:r w:rsidRPr="008B16A7">
        <w:rPr>
          <w:b/>
          <w:bCs/>
        </w:rPr>
        <w:t>b) повысить уровень информированности судей, адвокатов и прокуроров о положениях Пакта, с тем чтобы эти положения учитывались при обращении в национальные суды и самими национальными судами;</w:t>
      </w:r>
      <w:r w:rsidRPr="008B16A7">
        <w:t xml:space="preserve"> </w:t>
      </w:r>
      <w:r w:rsidRPr="008B16A7">
        <w:rPr>
          <w:b/>
          <w:bCs/>
        </w:rPr>
        <w:t>и с) ратифицировать Факультативный протокол к Пакту, устанавливающий процедуру подачи индивидуальных сообщений.</w:t>
      </w:r>
    </w:p>
    <w:p w14:paraId="15C0124C" w14:textId="77777777" w:rsidR="005066A2" w:rsidRPr="008B16A7" w:rsidRDefault="005066A2" w:rsidP="005066A2">
      <w:pPr>
        <w:pStyle w:val="H23G"/>
      </w:pPr>
      <w:r w:rsidRPr="008B16A7">
        <w:tab/>
      </w:r>
      <w:r w:rsidRPr="008B16A7">
        <w:tab/>
      </w:r>
      <w:r w:rsidRPr="008B16A7">
        <w:rPr>
          <w:bCs/>
        </w:rPr>
        <w:t>Национальная комиссия по правам человека</w:t>
      </w:r>
    </w:p>
    <w:p w14:paraId="048AB266" w14:textId="77777777" w:rsidR="005066A2" w:rsidRPr="008B16A7" w:rsidRDefault="005066A2" w:rsidP="005066A2">
      <w:pPr>
        <w:spacing w:after="120"/>
        <w:ind w:left="1134" w:right="1134"/>
        <w:jc w:val="both"/>
        <w:rPr>
          <w:rFonts w:eastAsia="Times New Roman"/>
        </w:rPr>
      </w:pPr>
      <w:r w:rsidRPr="008B16A7">
        <w:t>8.</w:t>
      </w:r>
      <w:r w:rsidRPr="008B16A7">
        <w:tab/>
        <w:t xml:space="preserve">Приветствуя создание Национальной комиссии по правам человека, аккредитованной со статусом А в соответствии с Принципами, касающимися статуса национальных учреждений, занимающихся поощрением и защитой прав человека (Парижскими принципами), и приветствуя создание региональных отделений </w:t>
      </w:r>
      <w:r w:rsidRPr="008B16A7">
        <w:lastRenderedPageBreak/>
        <w:t xml:space="preserve">Национальной комиссии по правам человека в </w:t>
      </w:r>
      <w:proofErr w:type="spellStart"/>
      <w:r w:rsidRPr="008B16A7">
        <w:t>Диффе</w:t>
      </w:r>
      <w:proofErr w:type="spellEnd"/>
      <w:r w:rsidRPr="008B16A7">
        <w:t xml:space="preserve">, </w:t>
      </w:r>
      <w:proofErr w:type="spellStart"/>
      <w:r w:rsidRPr="008B16A7">
        <w:t>Агаде</w:t>
      </w:r>
      <w:r>
        <w:t>с</w:t>
      </w:r>
      <w:r w:rsidRPr="008B16A7">
        <w:t>е</w:t>
      </w:r>
      <w:proofErr w:type="spellEnd"/>
      <w:r w:rsidRPr="008B16A7">
        <w:t xml:space="preserve"> и </w:t>
      </w:r>
      <w:proofErr w:type="spellStart"/>
      <w:r w:rsidRPr="008B16A7">
        <w:t>Тиллабери</w:t>
      </w:r>
      <w:proofErr w:type="spellEnd"/>
      <w:r w:rsidRPr="008B16A7">
        <w:t>, в частности для решения проблем внутренних и трансграничных перемещений, Комитет</w:t>
      </w:r>
      <w:r w:rsidR="00B51DB9">
        <w:t>,</w:t>
      </w:r>
      <w:r w:rsidRPr="008B16A7">
        <w:t xml:space="preserve"> вместе с тем</w:t>
      </w:r>
      <w:r w:rsidR="00B51DB9">
        <w:t>,</w:t>
      </w:r>
      <w:r w:rsidRPr="008B16A7">
        <w:t xml:space="preserve"> подчеркивает свою обеспокоенность низким гендерным равенством в Комиссии. Кроме того, отмечая, что общий годовой бюджет Комиссии на 2019 год составляет приблизительно 300 млн франков КФА (457 000 евро), Комитет выражает свою обеспокоенность в связи с недостаточностью выделяемых ей финансовых ресурсов (статья 2). </w:t>
      </w:r>
    </w:p>
    <w:p w14:paraId="57EA9CCA" w14:textId="77777777" w:rsidR="005066A2" w:rsidRPr="008B16A7" w:rsidRDefault="005066A2" w:rsidP="005066A2">
      <w:pPr>
        <w:spacing w:after="120"/>
        <w:ind w:left="1134" w:right="1134"/>
        <w:jc w:val="both"/>
        <w:rPr>
          <w:rFonts w:eastAsia="Times New Roman"/>
          <w:b/>
          <w:bCs/>
        </w:rPr>
      </w:pPr>
      <w:r w:rsidRPr="008B16A7">
        <w:t>9.</w:t>
      </w:r>
      <w:r w:rsidRPr="008B16A7">
        <w:tab/>
      </w:r>
      <w:r w:rsidRPr="008B16A7">
        <w:rPr>
          <w:b/>
          <w:bCs/>
        </w:rPr>
        <w:t>Государству-участнику следует: а) принять меры по увеличению представленности женщин в Национальной комиссии по правам человека;</w:t>
      </w:r>
      <w:r w:rsidRPr="008B16A7">
        <w:t xml:space="preserve"> </w:t>
      </w:r>
      <w:r>
        <w:br/>
      </w:r>
      <w:r w:rsidRPr="008B16A7">
        <w:rPr>
          <w:b/>
          <w:bCs/>
        </w:rPr>
        <w:t>и b) предоставить Комиссии достаточные ресурсы, с тем чтобы она могла в полном объеме выполнять свой мандат в соответствии с Парижскими принципами.</w:t>
      </w:r>
      <w:r w:rsidRPr="008B16A7">
        <w:t xml:space="preserve"> </w:t>
      </w:r>
    </w:p>
    <w:p w14:paraId="5E8DD1E4" w14:textId="77777777" w:rsidR="005066A2" w:rsidRPr="008B16A7" w:rsidRDefault="005066A2" w:rsidP="005066A2">
      <w:pPr>
        <w:pStyle w:val="H23G"/>
      </w:pPr>
      <w:r w:rsidRPr="008B16A7">
        <w:tab/>
      </w:r>
      <w:r w:rsidRPr="008B16A7">
        <w:tab/>
      </w:r>
      <w:r w:rsidRPr="008B16A7">
        <w:rPr>
          <w:bCs/>
        </w:rPr>
        <w:t>Борьба с коррупцией</w:t>
      </w:r>
    </w:p>
    <w:p w14:paraId="01B9EFDF" w14:textId="77777777" w:rsidR="005066A2" w:rsidRPr="008B16A7" w:rsidRDefault="005066A2" w:rsidP="005066A2">
      <w:pPr>
        <w:spacing w:after="120"/>
        <w:ind w:left="1134" w:right="1134"/>
        <w:jc w:val="both"/>
        <w:rPr>
          <w:rFonts w:eastAsia="Times New Roman"/>
        </w:rPr>
      </w:pPr>
      <w:r w:rsidRPr="008B16A7">
        <w:t>10.</w:t>
      </w:r>
      <w:r w:rsidRPr="008B16A7">
        <w:tab/>
        <w:t>Приветствуя законодательные и институциональные меры, принятые государством-участником для борьбы с коррупцией, включая создание Верховного органа по борьбе с коррупцией и связанными с ней преступлениями, а также создание бесплатной телефонной линии для сообщения соответствующей информации, Комитет в то же время обеспокоен сообщениями о сохраняющейся коррупции в органах управления, в том числе в полиции и в судебном секторе. Комитет также обеспокоен сообщениями о недостаточной транспарентности в управлении природными ресурсами, включая значительные изъятия, предоставляемые международным горнодобывающим компаниям в ущерб государственному бюджету (статьи 1, 2, 14, 25 и 26).</w:t>
      </w:r>
    </w:p>
    <w:p w14:paraId="553401E5" w14:textId="77777777" w:rsidR="005066A2" w:rsidRPr="008B16A7" w:rsidRDefault="005066A2" w:rsidP="005066A2">
      <w:pPr>
        <w:spacing w:after="120"/>
        <w:ind w:left="1134" w:right="1134"/>
        <w:jc w:val="both"/>
        <w:rPr>
          <w:rFonts w:eastAsia="Times New Roman"/>
          <w:b/>
          <w:bCs/>
        </w:rPr>
      </w:pPr>
      <w:r w:rsidRPr="008B16A7">
        <w:t>11.</w:t>
      </w:r>
      <w:r w:rsidRPr="008B16A7">
        <w:tab/>
      </w:r>
      <w:r w:rsidRPr="008B16A7">
        <w:rPr>
          <w:b/>
          <w:bCs/>
        </w:rPr>
        <w:t>Государству-участнику следует: a) активизировать усилия по борьбе с коррупцией и связанной с ней безнаказанностью;</w:t>
      </w:r>
      <w:r w:rsidRPr="008B16A7">
        <w:t xml:space="preserve"> </w:t>
      </w:r>
      <w:r w:rsidRPr="008B16A7">
        <w:rPr>
          <w:b/>
          <w:bCs/>
        </w:rPr>
        <w:t>b) обеспечить независимое и беспристрастное расследование всех случаев коррупции и, в случае необходимости, применение надлежащих судебных мер наказания;</w:t>
      </w:r>
      <w:r w:rsidRPr="008B16A7">
        <w:t xml:space="preserve"> </w:t>
      </w:r>
      <w:r w:rsidRPr="008B16A7">
        <w:rPr>
          <w:b/>
          <w:bCs/>
        </w:rPr>
        <w:t>и с) принять необходимые меры для обеспечения транспарентного управления контрактами с международными горнодобывающими компаниями и получаемыми от них доходами.</w:t>
      </w:r>
      <w:r w:rsidRPr="008B16A7">
        <w:t xml:space="preserve"> </w:t>
      </w:r>
    </w:p>
    <w:p w14:paraId="47399DC3" w14:textId="77777777" w:rsidR="005066A2" w:rsidRPr="008B16A7" w:rsidRDefault="005066A2" w:rsidP="005066A2">
      <w:pPr>
        <w:pStyle w:val="H23G"/>
      </w:pPr>
      <w:r w:rsidRPr="008B16A7">
        <w:tab/>
      </w:r>
      <w:r w:rsidRPr="008B16A7">
        <w:tab/>
      </w:r>
      <w:r w:rsidRPr="008B16A7">
        <w:rPr>
          <w:bCs/>
        </w:rPr>
        <w:t>Борьба с безнаказанностью и нарушениями прав человека в прошлом</w:t>
      </w:r>
    </w:p>
    <w:p w14:paraId="08661E15" w14:textId="77777777" w:rsidR="005066A2" w:rsidRPr="008B16A7" w:rsidRDefault="005066A2" w:rsidP="005066A2">
      <w:pPr>
        <w:spacing w:after="120"/>
        <w:ind w:left="1134" w:right="1134"/>
        <w:jc w:val="both"/>
        <w:rPr>
          <w:rFonts w:eastAsia="Times New Roman"/>
        </w:rPr>
      </w:pPr>
      <w:r w:rsidRPr="008B16A7">
        <w:t>12.</w:t>
      </w:r>
      <w:r w:rsidRPr="008B16A7">
        <w:tab/>
        <w:t xml:space="preserve">Отмечая сложные политические события и события в области безопасности, которые Нигер пережил в 1990-х годах, а также разъяснения государства-участника в связи с предвзятым отношением к политическим урегулированиям и законам об амнистии, Комитет вновь выражает, однако, свою обеспокоенность отсутствием расследований, призванных прояснить ряд случаев нарушений прав человека, включая: а) события в </w:t>
      </w:r>
      <w:proofErr w:type="spellStart"/>
      <w:r w:rsidRPr="008B16A7">
        <w:t>Чинтабарадене</w:t>
      </w:r>
      <w:proofErr w:type="spellEnd"/>
      <w:r w:rsidRPr="008B16A7">
        <w:t xml:space="preserve">, в ходе которых, по сообщениям, в 1990 году погибло большое число </w:t>
      </w:r>
      <w:proofErr w:type="spellStart"/>
      <w:r w:rsidRPr="008B16A7">
        <w:t>туарегских</w:t>
      </w:r>
      <w:proofErr w:type="spellEnd"/>
      <w:r w:rsidRPr="008B16A7">
        <w:t xml:space="preserve"> оппозиционеров; и b) многочисленные нарушения прав человека, совершенные в период 1996</w:t>
      </w:r>
      <w:r w:rsidR="00E23182">
        <w:t>–</w:t>
      </w:r>
      <w:r w:rsidRPr="008B16A7">
        <w:t xml:space="preserve">1999 годов, о чем свидетельствует обнаружение в 1999 году массового захоронения в </w:t>
      </w:r>
      <w:proofErr w:type="spellStart"/>
      <w:r w:rsidRPr="008B16A7">
        <w:t>Бултунгуре</w:t>
      </w:r>
      <w:proofErr w:type="spellEnd"/>
      <w:r w:rsidRPr="008B16A7">
        <w:t xml:space="preserve"> в рамках дела, которое до сих пор не расследовано (статья 2).</w:t>
      </w:r>
    </w:p>
    <w:p w14:paraId="509CAFBE" w14:textId="77777777" w:rsidR="005066A2" w:rsidRPr="008B16A7" w:rsidRDefault="005066A2" w:rsidP="005066A2">
      <w:pPr>
        <w:spacing w:after="120"/>
        <w:ind w:left="1134" w:right="1134"/>
        <w:jc w:val="both"/>
        <w:rPr>
          <w:rFonts w:eastAsia="Times New Roman"/>
          <w:b/>
          <w:bCs/>
        </w:rPr>
      </w:pPr>
      <w:r w:rsidRPr="008B16A7">
        <w:t>13.</w:t>
      </w:r>
      <w:r w:rsidRPr="008B16A7">
        <w:tab/>
      </w:r>
      <w:r w:rsidRPr="008B16A7">
        <w:rPr>
          <w:b/>
          <w:bCs/>
        </w:rPr>
        <w:t>Государству-участнику следует принять необходимые законодательные и судебные меры для обеспечения того, чтобы виновные в нарушениях прав человека в прошлом предстали перед судом и чтобы никто из виновных в серьезных нарушениях прав человека не избежал уголовного преследования.</w:t>
      </w:r>
    </w:p>
    <w:p w14:paraId="260EFAFF" w14:textId="77777777" w:rsidR="005066A2" w:rsidRPr="008B16A7" w:rsidRDefault="005066A2" w:rsidP="005066A2">
      <w:pPr>
        <w:pStyle w:val="H23G"/>
      </w:pPr>
      <w:r w:rsidRPr="008B16A7">
        <w:tab/>
      </w:r>
      <w:r w:rsidRPr="008B16A7">
        <w:tab/>
      </w:r>
      <w:r w:rsidRPr="008B16A7">
        <w:rPr>
          <w:bCs/>
        </w:rPr>
        <w:t>Борьба с терроризмом и чрезвычайное положение</w:t>
      </w:r>
    </w:p>
    <w:p w14:paraId="27BFBC7D" w14:textId="77777777" w:rsidR="005066A2" w:rsidRPr="008B16A7" w:rsidRDefault="005066A2" w:rsidP="005066A2">
      <w:pPr>
        <w:spacing w:after="120"/>
        <w:ind w:left="1134" w:right="1134"/>
        <w:jc w:val="both"/>
        <w:rPr>
          <w:rFonts w:eastAsia="Times New Roman"/>
        </w:rPr>
      </w:pPr>
      <w:r w:rsidRPr="008B16A7">
        <w:t>14.</w:t>
      </w:r>
      <w:r w:rsidRPr="008B16A7">
        <w:tab/>
        <w:t xml:space="preserve">Признавая трудности, связанные с вооруженной борьбой государства-участника против негосударственных групп, которые регулярно совершают нападения на его территорию, Комитет обеспокоен определением терроризма, содержащимся в постановлении № 2011-12 от 27 января 2011 года о внесении поправок в Уголовный кодекс, которое, ссылаясь на деяние, совершенное с намерением нарушить нормальное функционирование государственных служб, может в силу своего неопределенного и двусмысленного характера негативно сказаться на мирной деятельности, проводимой </w:t>
      </w:r>
      <w:r w:rsidRPr="008B16A7">
        <w:lastRenderedPageBreak/>
        <w:t>в рамках осуществления права на свободу слова, ассоциации или собраний. Комитет также обеспокоен тем, что законодательные изменения, касающиеся терроризма, могут привести к отступлениям от общи</w:t>
      </w:r>
      <w:r w:rsidR="00AD255E">
        <w:t>х</w:t>
      </w:r>
      <w:r w:rsidRPr="008B16A7">
        <w:t xml:space="preserve"> норм права в отношении судебных гарантий. Кроме того, Комитет обеспокоен полученными сообщениями о нескольких случаях ареста и осуждения правозащитников в соответствии с антитеррористическим законодательством (статьи 2, 9, 14, 18, 19, 21 и 22).</w:t>
      </w:r>
    </w:p>
    <w:p w14:paraId="01AED591" w14:textId="77777777" w:rsidR="005066A2" w:rsidRPr="008B16A7" w:rsidRDefault="005066A2" w:rsidP="005066A2">
      <w:pPr>
        <w:spacing w:after="120"/>
        <w:ind w:left="1134" w:right="1134"/>
        <w:jc w:val="both"/>
        <w:rPr>
          <w:rFonts w:eastAsia="Times New Roman"/>
          <w:b/>
          <w:bCs/>
        </w:rPr>
      </w:pPr>
      <w:r w:rsidRPr="008B16A7">
        <w:t>15.</w:t>
      </w:r>
      <w:r w:rsidRPr="008B16A7">
        <w:tab/>
      </w:r>
      <w:r w:rsidRPr="008B16A7">
        <w:rPr>
          <w:b/>
          <w:bCs/>
        </w:rPr>
        <w:t>Государству-участнику следует принять необходимые меры для пересмотра своего законодательства о борьбе с терроризмом, с тем чтобы привести его в соответствие с Пактом.</w:t>
      </w:r>
      <w:r w:rsidRPr="008B16A7">
        <w:t xml:space="preserve"> </w:t>
      </w:r>
      <w:r w:rsidRPr="008B16A7">
        <w:rPr>
          <w:b/>
          <w:bCs/>
        </w:rPr>
        <w:t>Ему следует также обеспечить недопущение любого неоправданного или несоразмерного вмешательства в свободу выражения мнений средств массовой информации и правозащитников в соответствии с антитеррористическим законодательством.</w:t>
      </w:r>
    </w:p>
    <w:p w14:paraId="2B43BA19" w14:textId="77777777" w:rsidR="005066A2" w:rsidRPr="008B16A7" w:rsidRDefault="005066A2" w:rsidP="005066A2">
      <w:pPr>
        <w:spacing w:after="120"/>
        <w:ind w:left="1134" w:right="1134"/>
        <w:jc w:val="both"/>
        <w:rPr>
          <w:rFonts w:eastAsia="Times New Roman"/>
        </w:rPr>
      </w:pPr>
      <w:r w:rsidRPr="008B16A7">
        <w:t>16.</w:t>
      </w:r>
      <w:r w:rsidRPr="008B16A7">
        <w:tab/>
        <w:t xml:space="preserve">Комитет обеспокоен введением с 2015 года чрезвычайного положения в регионе </w:t>
      </w:r>
      <w:proofErr w:type="spellStart"/>
      <w:r w:rsidRPr="008B16A7">
        <w:t>Диффа</w:t>
      </w:r>
      <w:proofErr w:type="spellEnd"/>
      <w:r w:rsidRPr="008B16A7">
        <w:t xml:space="preserve">, которое впоследствии было распространено на регионы </w:t>
      </w:r>
      <w:proofErr w:type="spellStart"/>
      <w:r w:rsidRPr="008B16A7">
        <w:t>Тиллабери</w:t>
      </w:r>
      <w:proofErr w:type="spellEnd"/>
      <w:r w:rsidRPr="008B16A7">
        <w:t xml:space="preserve"> и </w:t>
      </w:r>
      <w:proofErr w:type="spellStart"/>
      <w:r w:rsidRPr="008B16A7">
        <w:t>Тахуа</w:t>
      </w:r>
      <w:proofErr w:type="spellEnd"/>
      <w:r w:rsidRPr="008B16A7">
        <w:t>. В</w:t>
      </w:r>
      <w:r>
        <w:t> </w:t>
      </w:r>
      <w:r w:rsidRPr="008B16A7">
        <w:t>частности, Комитет отмечает, что в связи с милитаризацией многих рыболовецких и сельскохозяйственных районов в бассейне озера Чад чрезвычайное положение, как представляется, непропорционально сильно сказывается на свободе передвижения и существенно ограничивает возможности гражданского населения в плане получения средств к существованию (статьи 4, 6 и 12).</w:t>
      </w:r>
    </w:p>
    <w:p w14:paraId="6047212E" w14:textId="77777777" w:rsidR="005066A2" w:rsidRPr="008B16A7" w:rsidRDefault="005066A2" w:rsidP="005066A2">
      <w:pPr>
        <w:spacing w:after="120"/>
        <w:ind w:left="1134" w:right="1134"/>
        <w:jc w:val="both"/>
        <w:rPr>
          <w:rFonts w:eastAsia="Times New Roman"/>
          <w:b/>
          <w:bCs/>
        </w:rPr>
      </w:pPr>
      <w:r w:rsidRPr="008B16A7">
        <w:t>17.</w:t>
      </w:r>
      <w:r w:rsidRPr="008B16A7">
        <w:tab/>
      </w:r>
      <w:r w:rsidRPr="008B16A7">
        <w:rPr>
          <w:b/>
          <w:bCs/>
        </w:rPr>
        <w:t>Государству-участнику следует обеспечить, чтобы меры, принимаемые в целях борьбы с терроризмом, полностью соответствовали статье 4 Пакта и, в</w:t>
      </w:r>
      <w:r>
        <w:rPr>
          <w:b/>
          <w:bCs/>
        </w:rPr>
        <w:t> </w:t>
      </w:r>
      <w:r w:rsidRPr="008B16A7">
        <w:rPr>
          <w:b/>
          <w:bCs/>
        </w:rPr>
        <w:t>частности, чтобы меры, принимаемые в отступление от положений Пакта, были строго необходимы в свете сложившейся ситуации и отвечали требованиям принципа соразмерности.</w:t>
      </w:r>
      <w:r w:rsidRPr="008B16A7">
        <w:t xml:space="preserve"> </w:t>
      </w:r>
    </w:p>
    <w:p w14:paraId="23D0D939" w14:textId="77777777" w:rsidR="005066A2" w:rsidRPr="008B16A7" w:rsidRDefault="005066A2" w:rsidP="005066A2">
      <w:pPr>
        <w:pStyle w:val="H23G"/>
      </w:pPr>
      <w:r w:rsidRPr="008B16A7">
        <w:tab/>
      </w:r>
      <w:r w:rsidRPr="008B16A7">
        <w:tab/>
      </w:r>
      <w:r w:rsidRPr="008B16A7">
        <w:rPr>
          <w:bCs/>
        </w:rPr>
        <w:t>Недопущение дискриминации</w:t>
      </w:r>
      <w:r w:rsidRPr="008B16A7">
        <w:t xml:space="preserve"> </w:t>
      </w:r>
    </w:p>
    <w:p w14:paraId="1E2A2EAF" w14:textId="77777777" w:rsidR="005066A2" w:rsidRPr="008B16A7" w:rsidRDefault="005066A2" w:rsidP="005066A2">
      <w:pPr>
        <w:spacing w:after="120"/>
        <w:ind w:left="1134" w:right="1134"/>
        <w:jc w:val="both"/>
        <w:rPr>
          <w:rFonts w:eastAsia="Times New Roman"/>
        </w:rPr>
      </w:pPr>
      <w:r w:rsidRPr="008B16A7">
        <w:t>18.</w:t>
      </w:r>
      <w:r w:rsidRPr="008B16A7">
        <w:tab/>
        <w:t>Отмечая наличие соответствующей законодательной базы, включая конституционные положения, запрещающие дискриминацию, Комитет</w:t>
      </w:r>
      <w:r w:rsidR="00AC63ED">
        <w:t>,</w:t>
      </w:r>
      <w:r w:rsidRPr="008B16A7">
        <w:t xml:space="preserve"> вместе с тем</w:t>
      </w:r>
      <w:r w:rsidR="00AC63ED">
        <w:t>,</w:t>
      </w:r>
      <w:r w:rsidRPr="008B16A7">
        <w:t xml:space="preserve"> сожалеет об отсутствии законодательства, исчерпывающе определяющего и криминализирующего прямую и косвенную дискриминацию, в том числе по признаку сексуальной ориентации, гендерной идентичности и инвалидности. Комитет также сожалеет о классификации как </w:t>
      </w:r>
      <w:r>
        <w:t>«</w:t>
      </w:r>
      <w:r w:rsidRPr="008B16A7">
        <w:t>противоестественных</w:t>
      </w:r>
      <w:r>
        <w:t>»</w:t>
      </w:r>
      <w:r w:rsidRPr="008B16A7">
        <w:t xml:space="preserve"> сексуальных отношений по обоюдному согласию между взрослыми лицами одного пола в соответствии со статьей</w:t>
      </w:r>
      <w:r>
        <w:t> </w:t>
      </w:r>
      <w:r w:rsidRPr="008B16A7">
        <w:t>282 Уголовного кодекса (статьи 2, 17 и 26).</w:t>
      </w:r>
    </w:p>
    <w:p w14:paraId="534DB448" w14:textId="77777777" w:rsidR="005066A2" w:rsidRPr="008B16A7" w:rsidRDefault="005066A2" w:rsidP="005066A2">
      <w:pPr>
        <w:spacing w:after="120"/>
        <w:ind w:left="1134" w:right="1134"/>
        <w:jc w:val="both"/>
        <w:rPr>
          <w:rFonts w:eastAsia="Times New Roman"/>
          <w:b/>
          <w:bCs/>
        </w:rPr>
      </w:pPr>
      <w:r w:rsidRPr="008B16A7">
        <w:t>19.</w:t>
      </w:r>
      <w:r w:rsidRPr="008B16A7">
        <w:tab/>
      </w:r>
      <w:r w:rsidRPr="008B16A7">
        <w:rPr>
          <w:b/>
          <w:bCs/>
        </w:rPr>
        <w:t>Государству-участнику следует принять надлежащие меры с целью: а)</w:t>
      </w:r>
      <w:r>
        <w:rPr>
          <w:b/>
          <w:bCs/>
        </w:rPr>
        <w:t> </w:t>
      </w:r>
      <w:r w:rsidRPr="008B16A7">
        <w:rPr>
          <w:b/>
          <w:bCs/>
        </w:rPr>
        <w:t>принятия всеобъемлющего законодательства, обеспечивающего полную и эффективную защиту от дискриминации во всех областях и содержащего всеобъемлющий перечень оснований для дискриминации, включая сексуальную ориентацию и гендерную идентичность;</w:t>
      </w:r>
      <w:r w:rsidRPr="008B16A7">
        <w:t xml:space="preserve"> </w:t>
      </w:r>
      <w:r w:rsidR="009D6653" w:rsidRPr="009D6653">
        <w:rPr>
          <w:b/>
        </w:rPr>
        <w:t xml:space="preserve">и </w:t>
      </w:r>
      <w:r w:rsidRPr="008B16A7">
        <w:rPr>
          <w:b/>
          <w:bCs/>
        </w:rPr>
        <w:t>b) пересмотра статьи 282 Уголовного кодекса, с тем чтобы отменить уголовную ответственность за сексуальные отношения по обоюдному согласию между взрослыми лицами одного пола.</w:t>
      </w:r>
    </w:p>
    <w:p w14:paraId="670A1DA6" w14:textId="77777777" w:rsidR="005066A2" w:rsidRPr="008B16A7" w:rsidRDefault="005066A2" w:rsidP="005066A2">
      <w:pPr>
        <w:pStyle w:val="H23G"/>
      </w:pPr>
      <w:r w:rsidRPr="008B16A7">
        <w:tab/>
      </w:r>
      <w:r w:rsidRPr="008B16A7">
        <w:tab/>
      </w:r>
      <w:r w:rsidRPr="008B16A7">
        <w:rPr>
          <w:bCs/>
        </w:rPr>
        <w:t>Гендерное равенство и дискриминация в отношении женщин</w:t>
      </w:r>
      <w:r w:rsidRPr="008B16A7">
        <w:t xml:space="preserve"> </w:t>
      </w:r>
    </w:p>
    <w:p w14:paraId="0A204DF0" w14:textId="77777777" w:rsidR="005066A2" w:rsidRPr="008B16A7" w:rsidRDefault="005066A2" w:rsidP="005066A2">
      <w:pPr>
        <w:spacing w:after="120"/>
        <w:ind w:left="1134" w:right="1134"/>
        <w:jc w:val="both"/>
        <w:rPr>
          <w:rFonts w:eastAsia="Times New Roman"/>
        </w:rPr>
      </w:pPr>
      <w:r w:rsidRPr="008B16A7">
        <w:t>20.</w:t>
      </w:r>
      <w:r w:rsidRPr="008B16A7">
        <w:tab/>
        <w:t xml:space="preserve">Комитет приветствует статью 8 Конституции, устанавливающую равенство перед законом без различия по признаку пола, а также закон № 2000-008 от 7 июня 2000 года, дополненный законом № 2014-64 от 5 ноября 2014 года, в соответствии с которым представительство женщин на выборных должностях и в органах государственного управления составляет соответственно 15% и 25% </w:t>
      </w:r>
      <w:r w:rsidR="006318B9">
        <w:t>–</w:t>
      </w:r>
      <w:r w:rsidRPr="008B16A7">
        <w:t xml:space="preserve"> цели, которых еще предстоит достичь. Комитет также с удовлетворением отмечает усилия государства-участника по реформированию своего внутреннего законодательства, однако констатирует, что закон № 2018-37 от 1 июня 2018 года по-прежнему устанавливает обычное право, которым могут воспользоваться стороны в большинстве гражданских дел и дел о личном статусе, а не гражданское право. Он</w:t>
      </w:r>
      <w:r>
        <w:t> </w:t>
      </w:r>
      <w:r w:rsidRPr="008B16A7">
        <w:t>также обеспокоен продлением срока для принятия проекта Семейного кодекса, подготовленного в 2010 году и направленного на отмену дискриминационных положений в отношении женщин (статьи 2, 3, 25 и 26).</w:t>
      </w:r>
    </w:p>
    <w:p w14:paraId="145AA17E" w14:textId="77777777" w:rsidR="005066A2" w:rsidRPr="008B16A7" w:rsidRDefault="005066A2" w:rsidP="005066A2">
      <w:pPr>
        <w:spacing w:after="120"/>
        <w:ind w:left="1134" w:right="1134"/>
        <w:jc w:val="both"/>
        <w:rPr>
          <w:rFonts w:eastAsia="Times New Roman"/>
          <w:b/>
          <w:bCs/>
        </w:rPr>
      </w:pPr>
      <w:r w:rsidRPr="008B16A7">
        <w:lastRenderedPageBreak/>
        <w:t>21.</w:t>
      </w:r>
      <w:r w:rsidRPr="008B16A7">
        <w:tab/>
      </w:r>
      <w:r w:rsidRPr="008B16A7">
        <w:rPr>
          <w:b/>
          <w:bCs/>
        </w:rPr>
        <w:t>Государству-участнику следует продолжать свои усилия, и в частности: а)</w:t>
      </w:r>
      <w:r>
        <w:rPr>
          <w:b/>
          <w:bCs/>
        </w:rPr>
        <w:t> </w:t>
      </w:r>
      <w:r w:rsidRPr="008B16A7">
        <w:rPr>
          <w:b/>
          <w:bCs/>
        </w:rPr>
        <w:t>незамедлительно принять Семейный кодекс, в котором будет четко определен примат гражданского права над обычным правом;</w:t>
      </w:r>
      <w:r w:rsidRPr="008B16A7">
        <w:t xml:space="preserve"> </w:t>
      </w:r>
      <w:r w:rsidRPr="008B16A7">
        <w:rPr>
          <w:b/>
          <w:bCs/>
        </w:rPr>
        <w:t>b) привести национальное законодательство в соответствие с положениями Пакта, в том числе путем отмены дискриминационных положений своего статутного и обычного права, касающихся, в частности, брака, полигамии, расторжения брака, развода, наследования и землевладения;</w:t>
      </w:r>
      <w:r w:rsidR="006318B9">
        <w:rPr>
          <w:b/>
        </w:rPr>
        <w:t xml:space="preserve"> и </w:t>
      </w:r>
      <w:r w:rsidRPr="008B16A7">
        <w:rPr>
          <w:b/>
          <w:bCs/>
        </w:rPr>
        <w:t>с) стремиться к увеличению на практике и в разумные сроки числа женщин, занимающихся ведением государственных дел.</w:t>
      </w:r>
    </w:p>
    <w:p w14:paraId="73F2262D" w14:textId="77777777" w:rsidR="005066A2" w:rsidRPr="008B16A7" w:rsidRDefault="005066A2" w:rsidP="005066A2">
      <w:pPr>
        <w:pStyle w:val="H23G"/>
      </w:pPr>
      <w:r w:rsidRPr="008B16A7">
        <w:tab/>
      </w:r>
      <w:r w:rsidRPr="008B16A7">
        <w:tab/>
      </w:r>
      <w:r w:rsidRPr="008B16A7">
        <w:rPr>
          <w:bCs/>
        </w:rPr>
        <w:t>Насилие и вредные виды практики в отношении женщин</w:t>
      </w:r>
      <w:r w:rsidRPr="008B16A7">
        <w:t xml:space="preserve"> </w:t>
      </w:r>
    </w:p>
    <w:p w14:paraId="2BAF9086" w14:textId="77777777" w:rsidR="005066A2" w:rsidRPr="008B16A7" w:rsidRDefault="005066A2" w:rsidP="005066A2">
      <w:pPr>
        <w:spacing w:after="120"/>
        <w:ind w:left="1134" w:right="1134"/>
        <w:jc w:val="both"/>
        <w:rPr>
          <w:rFonts w:eastAsia="Times New Roman"/>
        </w:rPr>
      </w:pPr>
      <w:r w:rsidRPr="008B16A7">
        <w:t>22.</w:t>
      </w:r>
      <w:r w:rsidRPr="008B16A7">
        <w:tab/>
        <w:t xml:space="preserve">Отмечая с удовлетворением меры, принятые государством-участником для борьбы с насилием в отношении женщин, включая национальную стратегию по предупреждению гендерного насилия и борьбе с ним и ее план действий (2017 год), и приветствуя выполнение вынесенного в 2008 году постановления Суда Экономического сообщества государств Западной Африки, признавшего Нигер виновным в деле </w:t>
      </w:r>
      <w:r w:rsidRPr="008B16A7">
        <w:rPr>
          <w:i/>
          <w:iCs/>
        </w:rPr>
        <w:t xml:space="preserve">Г-жа </w:t>
      </w:r>
      <w:proofErr w:type="spellStart"/>
      <w:r w:rsidRPr="008B16A7">
        <w:rPr>
          <w:i/>
          <w:iCs/>
        </w:rPr>
        <w:t>Хадижату</w:t>
      </w:r>
      <w:proofErr w:type="spellEnd"/>
      <w:r w:rsidRPr="008B16A7">
        <w:rPr>
          <w:i/>
          <w:iCs/>
        </w:rPr>
        <w:t xml:space="preserve"> Мани </w:t>
      </w:r>
      <w:proofErr w:type="spellStart"/>
      <w:r w:rsidRPr="008B16A7">
        <w:rPr>
          <w:i/>
          <w:iCs/>
        </w:rPr>
        <w:t>Корау</w:t>
      </w:r>
      <w:proofErr w:type="spellEnd"/>
      <w:r w:rsidRPr="008B16A7">
        <w:rPr>
          <w:i/>
          <w:iCs/>
        </w:rPr>
        <w:t xml:space="preserve"> против Республики Нигер</w:t>
      </w:r>
      <w:r w:rsidRPr="008B16A7">
        <w:t>, связанном с практикой</w:t>
      </w:r>
      <w:r w:rsidRPr="00BC5AE9">
        <w:t xml:space="preserve"> </w:t>
      </w:r>
      <w:proofErr w:type="spellStart"/>
      <w:r w:rsidRPr="00BC5AE9">
        <w:rPr>
          <w:iCs/>
        </w:rPr>
        <w:t>вахайя</w:t>
      </w:r>
      <w:proofErr w:type="spellEnd"/>
      <w:r w:rsidRPr="00BC5AE9">
        <w:t>, Комитет по-прежнему обеспокоен сообщениями о низком проценте жалоб, подаваемых жертвами, расследований и вынесенных приговоров. Он</w:t>
      </w:r>
      <w:r w:rsidRPr="00BC5AE9">
        <w:t> </w:t>
      </w:r>
      <w:r w:rsidRPr="00BC5AE9">
        <w:t xml:space="preserve">также сожалеет об отсутствии законодательства, конкретно определяющего и криминализирующего сексуальное насилие, включая изнасилование в браке. Комитет также обеспокоен сохранением практики </w:t>
      </w:r>
      <w:proofErr w:type="spellStart"/>
      <w:r w:rsidRPr="00BC5AE9">
        <w:t>калечения</w:t>
      </w:r>
      <w:proofErr w:type="spellEnd"/>
      <w:r w:rsidRPr="00BC5AE9">
        <w:t xml:space="preserve"> женских половых органов в некоторых регионах и среди некоторых этнических групп, несмотря на ее криминализацию в соответствии со статьей 232.2 Уголовного кодекса, а также практики ранних браков и </w:t>
      </w:r>
      <w:proofErr w:type="spellStart"/>
      <w:r w:rsidRPr="00BC5AE9">
        <w:rPr>
          <w:iCs/>
        </w:rPr>
        <w:t>вахайи</w:t>
      </w:r>
      <w:proofErr w:type="spellEnd"/>
      <w:r w:rsidRPr="00BC5AE9">
        <w:t>, к</w:t>
      </w:r>
      <w:r w:rsidRPr="008B16A7">
        <w:t>оторая сохраняется в некоторых районах страны, хотя она и наказуема согласно статье 270.2 Уголовного кодекса и постановлению</w:t>
      </w:r>
      <w:r>
        <w:t> </w:t>
      </w:r>
      <w:r w:rsidRPr="008B16A7">
        <w:t>№</w:t>
      </w:r>
      <w:r>
        <w:t> </w:t>
      </w:r>
      <w:r w:rsidRPr="008B16A7">
        <w:t>2010-86 о борьбе с торговлей людьми от 16 декабря 2010 года (статьи 2, 3, 7, 8, 24 и 26).</w:t>
      </w:r>
    </w:p>
    <w:p w14:paraId="0948280B" w14:textId="77777777" w:rsidR="005066A2" w:rsidRPr="008B16A7" w:rsidRDefault="005066A2" w:rsidP="005066A2">
      <w:pPr>
        <w:spacing w:after="120"/>
        <w:ind w:left="1134" w:right="1134"/>
        <w:jc w:val="both"/>
        <w:rPr>
          <w:rFonts w:eastAsia="Times New Roman"/>
          <w:b/>
          <w:bCs/>
        </w:rPr>
      </w:pPr>
      <w:r w:rsidRPr="008B16A7">
        <w:t>23.</w:t>
      </w:r>
      <w:r w:rsidRPr="008B16A7">
        <w:tab/>
      </w:r>
      <w:r w:rsidRPr="008B16A7">
        <w:rPr>
          <w:b/>
          <w:bCs/>
        </w:rPr>
        <w:t>Государству-участнику следует: а) собирать и предоставлять дезагрегированные статистические данные о масштабах насилия в отношении женщин, активизировать информационно-просветительские кампании по этому вопросу, увеличить объем и улучшить качество услуг в приютах и учреждениях по оказанию помощи жертвам, а также создать специальный компенсационный фонд для жертв торговли людьми;</w:t>
      </w:r>
      <w:r w:rsidRPr="008B16A7">
        <w:t xml:space="preserve"> </w:t>
      </w:r>
      <w:r w:rsidRPr="008B16A7">
        <w:rPr>
          <w:b/>
          <w:bCs/>
        </w:rPr>
        <w:t>b) обеспечить, чтобы случаи насилия в отношении женщин становились предметом жалоб и тщательных расследований, а виновные преследовались и осуждались в судебном порядке;</w:t>
      </w:r>
      <w:r w:rsidRPr="008B16A7">
        <w:t xml:space="preserve"> </w:t>
      </w:r>
      <w:r w:rsidRPr="008B16A7">
        <w:rPr>
          <w:b/>
          <w:bCs/>
        </w:rPr>
        <w:t>с) пересмотреть свое законодательство с целью установления уголовной ответственности за изнасилование в браке и включить в него наказания, соразмерные тяжести совершенного деяния;</w:t>
      </w:r>
      <w:r w:rsidR="00BC5AE9">
        <w:rPr>
          <w:b/>
        </w:rPr>
        <w:t xml:space="preserve"> и </w:t>
      </w:r>
      <w:r w:rsidRPr="008B16A7">
        <w:rPr>
          <w:b/>
          <w:bCs/>
        </w:rPr>
        <w:t>d) обеспечить, чтобы любое лицо, виновное в калечащих операциях на женских половых органах, подвергалось судебному преследованию и осуждалось.</w:t>
      </w:r>
    </w:p>
    <w:p w14:paraId="3034ECCA" w14:textId="77777777" w:rsidR="005066A2" w:rsidRPr="008B16A7" w:rsidRDefault="005066A2" w:rsidP="005066A2">
      <w:pPr>
        <w:keepNext/>
        <w:keepLines/>
        <w:tabs>
          <w:tab w:val="right" w:pos="851"/>
        </w:tabs>
        <w:spacing w:before="240" w:after="120" w:line="240" w:lineRule="exact"/>
        <w:ind w:left="1134" w:right="1134" w:hanging="1134"/>
        <w:rPr>
          <w:rFonts w:eastAsia="Times New Roman"/>
          <w:b/>
        </w:rPr>
      </w:pPr>
      <w:r w:rsidRPr="008B16A7">
        <w:tab/>
      </w:r>
      <w:r w:rsidRPr="008B16A7">
        <w:tab/>
      </w:r>
      <w:r w:rsidRPr="008B16A7">
        <w:rPr>
          <w:b/>
          <w:bCs/>
        </w:rPr>
        <w:t>Добровольное прерывание беременности, материнская и детская смертность</w:t>
      </w:r>
    </w:p>
    <w:p w14:paraId="796CBD19" w14:textId="77777777" w:rsidR="005066A2" w:rsidRPr="008B16A7" w:rsidRDefault="005066A2" w:rsidP="005066A2">
      <w:pPr>
        <w:spacing w:after="120"/>
        <w:ind w:left="1134" w:right="1134"/>
        <w:jc w:val="both"/>
        <w:rPr>
          <w:rFonts w:eastAsia="Times New Roman"/>
        </w:rPr>
      </w:pPr>
      <w:r w:rsidRPr="008B16A7">
        <w:t>24.</w:t>
      </w:r>
      <w:r w:rsidRPr="008B16A7">
        <w:tab/>
        <w:t>Комитет обеспокоен статьей 295 Уголовного кодекса, которая предусматривает наказание за использование абортов, за исключением случаев, когда существуют ограничительные обстоятельства, предусмотренные законом № 2006-16 от 21 июня 2006 года о репродуктивном здоровье. Комитет обеспокоен тем, что эти ограничения вынуждают женщин прибегать к небезопасным нелегальным абортам в условиях, создающих угрозу для их жизни и здоровья. Комитет далее обеспокоен тем, что, несмотря на значительное улучшение, материнская и детская смертность остается очень высокой, в частности в сельских районах, особенно с учетом того, что сектор здравоохранения остается недофинансированным (статьи 3, 6, 7, 17 и 26).</w:t>
      </w:r>
    </w:p>
    <w:p w14:paraId="5B9F5F5E" w14:textId="77777777" w:rsidR="005066A2" w:rsidRPr="008B16A7" w:rsidRDefault="005066A2" w:rsidP="005066A2">
      <w:pPr>
        <w:spacing w:after="120"/>
        <w:ind w:left="1134" w:right="1134"/>
        <w:jc w:val="both"/>
        <w:rPr>
          <w:rFonts w:eastAsia="Times New Roman"/>
          <w:b/>
          <w:bCs/>
        </w:rPr>
      </w:pPr>
      <w:r w:rsidRPr="008B16A7">
        <w:t>25.</w:t>
      </w:r>
      <w:r w:rsidRPr="008B16A7">
        <w:tab/>
      </w:r>
      <w:r w:rsidRPr="008B16A7">
        <w:rPr>
          <w:b/>
          <w:bCs/>
        </w:rPr>
        <w:t xml:space="preserve">Государству-участнику следует внести поправки в свое законодательство для обеспечения доступа к абортам в приемлемых условиях безопасности, защищая тем самым жизнь и здоровье беременных женщин или девочек, в том числе в следующих случаях: когда </w:t>
      </w:r>
      <w:proofErr w:type="spellStart"/>
      <w:r w:rsidRPr="008B16A7">
        <w:rPr>
          <w:b/>
          <w:bCs/>
        </w:rPr>
        <w:t>донашивание</w:t>
      </w:r>
      <w:proofErr w:type="spellEnd"/>
      <w:r w:rsidRPr="008B16A7">
        <w:rPr>
          <w:b/>
          <w:bCs/>
        </w:rPr>
        <w:t xml:space="preserve"> плода может причинить женщине значительное страдание, когда беременность является следствием изнасилования или инцеста и когда плод нежизнеспособен.</w:t>
      </w:r>
      <w:r w:rsidRPr="008B16A7">
        <w:t xml:space="preserve"> </w:t>
      </w:r>
      <w:r w:rsidRPr="008B16A7">
        <w:rPr>
          <w:b/>
          <w:bCs/>
        </w:rPr>
        <w:t xml:space="preserve">Ему следует также </w:t>
      </w:r>
      <w:r w:rsidRPr="008B16A7">
        <w:rPr>
          <w:b/>
          <w:bCs/>
        </w:rPr>
        <w:lastRenderedPageBreak/>
        <w:t>обеспечить, чтобы женщины и девочки, прибегающие к абортам, и врачи, оказывающие им помощь, не подвергались уголовным санкциям.</w:t>
      </w:r>
      <w:r w:rsidRPr="008B16A7">
        <w:t xml:space="preserve"> </w:t>
      </w:r>
      <w:r w:rsidRPr="008B16A7">
        <w:rPr>
          <w:b/>
          <w:bCs/>
        </w:rPr>
        <w:t>Государству-участнику следует также обеспечить, чтобы все мужчины, женщины и подростки в стране имели доступ к качественным услугам в области сексуального и репродуктивного здоровья, а также к противозачаточным средствам и просвещению в этих вопросах.</w:t>
      </w:r>
      <w:r w:rsidRPr="008B16A7">
        <w:t xml:space="preserve"> </w:t>
      </w:r>
      <w:r w:rsidRPr="008B16A7">
        <w:rPr>
          <w:b/>
          <w:bCs/>
        </w:rPr>
        <w:t>Наконец, ему следует продолжать свои усилия по укреплению репродуктивного здоровья, включая осуществление плана развития здравоохранения на 2017–2021 годы, в том числе в сельских и отдаленных районах, направляя на эти цели достаточные ресурсы.</w:t>
      </w:r>
    </w:p>
    <w:p w14:paraId="0C1A7996" w14:textId="77777777" w:rsidR="005066A2" w:rsidRPr="008B16A7" w:rsidRDefault="005066A2" w:rsidP="005066A2">
      <w:pPr>
        <w:pStyle w:val="H23G"/>
      </w:pPr>
      <w:r w:rsidRPr="008B16A7">
        <w:tab/>
      </w:r>
      <w:r w:rsidRPr="008B16A7">
        <w:tab/>
        <w:t xml:space="preserve">Смертная казнь </w:t>
      </w:r>
    </w:p>
    <w:p w14:paraId="6EB71A33" w14:textId="77777777" w:rsidR="005066A2" w:rsidRPr="008B16A7" w:rsidRDefault="005066A2" w:rsidP="005066A2">
      <w:pPr>
        <w:spacing w:after="120"/>
        <w:ind w:left="1134" w:right="1134"/>
        <w:jc w:val="both"/>
        <w:rPr>
          <w:rFonts w:eastAsia="Times New Roman"/>
        </w:rPr>
      </w:pPr>
      <w:r w:rsidRPr="008B16A7">
        <w:t>26.</w:t>
      </w:r>
      <w:r w:rsidRPr="008B16A7">
        <w:tab/>
        <w:t>Отмечая отсутствие казней с 1976 года и приветствуя начатый процесс отмены смертной казни по закону, а также информацию, которая была в устной форме предоставлена Комитету государством-участником и в соответствии с которой указом Президента от 2018 года были смягчены наказания, включая замену смертных приговоров на пожизненное заключение, Комитет выражает сожаление по поводу того, что смертные приговоры по-прежнему предусмотрены законом за некоторые преступления и продолжают выносится судами и что неисполнение смертных приговоров зависит от решений о помиловании, принимаемых в индивидуальном порядке (статья 6).</w:t>
      </w:r>
    </w:p>
    <w:p w14:paraId="017504E7" w14:textId="77777777" w:rsidR="005066A2" w:rsidRPr="008B16A7" w:rsidRDefault="005066A2" w:rsidP="005066A2">
      <w:pPr>
        <w:spacing w:line="240" w:lineRule="auto"/>
        <w:ind w:left="1134" w:right="1087"/>
        <w:jc w:val="both"/>
        <w:rPr>
          <w:rFonts w:eastAsia="Times New Roman"/>
          <w:b/>
          <w:bCs/>
        </w:rPr>
      </w:pPr>
      <w:r w:rsidRPr="008B16A7">
        <w:t>27.</w:t>
      </w:r>
      <w:r w:rsidRPr="008B16A7">
        <w:tab/>
      </w:r>
      <w:r w:rsidRPr="008B16A7">
        <w:rPr>
          <w:b/>
          <w:bCs/>
        </w:rPr>
        <w:t>Государству-участнику следует: а) официально отменить смертную казнь в законодательном порядке и упразднить положения Уголовного кодекса, предусматривающие применение этого наказания;</w:t>
      </w:r>
      <w:r w:rsidRPr="008B16A7">
        <w:t xml:space="preserve"> </w:t>
      </w:r>
      <w:r w:rsidRPr="008B16A7">
        <w:rPr>
          <w:b/>
          <w:bCs/>
        </w:rPr>
        <w:t>и b) незамедлительно принять законопроект от 23 октября 2014 года, разрешающий Нигеру присоединиться ко второму Факультативному протоколу к Международному пакту о гражданских и политических правах, направленному на отмену смертной казни, и присоединиться к этому договору.</w:t>
      </w:r>
      <w:r w:rsidRPr="008B16A7">
        <w:t xml:space="preserve"> </w:t>
      </w:r>
    </w:p>
    <w:p w14:paraId="0149B477" w14:textId="77777777" w:rsidR="005066A2" w:rsidRPr="008B16A7" w:rsidRDefault="005066A2" w:rsidP="005066A2">
      <w:pPr>
        <w:pStyle w:val="H23G"/>
      </w:pPr>
      <w:r w:rsidRPr="008B16A7">
        <w:tab/>
      </w:r>
      <w:r w:rsidRPr="008B16A7">
        <w:tab/>
      </w:r>
      <w:r w:rsidRPr="008B16A7">
        <w:rPr>
          <w:bCs/>
        </w:rPr>
        <w:t>Защита гражданского населения</w:t>
      </w:r>
    </w:p>
    <w:p w14:paraId="039CE299" w14:textId="77777777" w:rsidR="005066A2" w:rsidRPr="008B16A7" w:rsidRDefault="005066A2" w:rsidP="005066A2">
      <w:pPr>
        <w:spacing w:after="120"/>
        <w:ind w:left="1134" w:right="1134"/>
        <w:jc w:val="both"/>
        <w:rPr>
          <w:rFonts w:eastAsia="Times New Roman"/>
        </w:rPr>
      </w:pPr>
      <w:r w:rsidRPr="008B16A7">
        <w:t>28.</w:t>
      </w:r>
      <w:r w:rsidRPr="008B16A7">
        <w:tab/>
        <w:t xml:space="preserve">Комитет обеспокоен защитой гражданского населения в контексте вооруженного конфликта между силами обороны и безопасности Нигера и негосударственными вооруженными группами в регионах </w:t>
      </w:r>
      <w:proofErr w:type="spellStart"/>
      <w:r w:rsidRPr="008B16A7">
        <w:t>Диффа</w:t>
      </w:r>
      <w:proofErr w:type="spellEnd"/>
      <w:r w:rsidRPr="008B16A7">
        <w:t xml:space="preserve">, на юго-востоке страны, и </w:t>
      </w:r>
      <w:proofErr w:type="spellStart"/>
      <w:r w:rsidRPr="008B16A7">
        <w:t>Тиллабери</w:t>
      </w:r>
      <w:proofErr w:type="spellEnd"/>
      <w:r w:rsidRPr="008B16A7">
        <w:t xml:space="preserve">, вблизи границы с Мали, который приводит к перемещению населения (статьи 2, 3, 6 и 7). </w:t>
      </w:r>
    </w:p>
    <w:p w14:paraId="34ADAA63" w14:textId="77777777" w:rsidR="005066A2" w:rsidRPr="008B16A7" w:rsidRDefault="005066A2" w:rsidP="005066A2">
      <w:pPr>
        <w:spacing w:after="120"/>
        <w:ind w:left="1134" w:right="1134"/>
        <w:jc w:val="both"/>
        <w:rPr>
          <w:rFonts w:eastAsia="Times New Roman"/>
          <w:b/>
          <w:bCs/>
        </w:rPr>
      </w:pPr>
      <w:r w:rsidRPr="008B16A7">
        <w:t>29.</w:t>
      </w:r>
      <w:r w:rsidRPr="008B16A7">
        <w:tab/>
      </w:r>
      <w:r w:rsidRPr="008B16A7">
        <w:rPr>
          <w:b/>
          <w:bCs/>
        </w:rPr>
        <w:t>Государству-участнику следует: а) обеспечить соблюдение принципа избирательности и соразмерности нападений во время военных операций;</w:t>
      </w:r>
      <w:r w:rsidRPr="008B16A7">
        <w:t xml:space="preserve"> </w:t>
      </w:r>
      <w:r w:rsidRPr="008B16A7">
        <w:rPr>
          <w:b/>
          <w:bCs/>
        </w:rPr>
        <w:t>b)</w:t>
      </w:r>
      <w:r>
        <w:rPr>
          <w:b/>
          <w:bCs/>
        </w:rPr>
        <w:t> </w:t>
      </w:r>
      <w:r w:rsidRPr="008B16A7">
        <w:rPr>
          <w:b/>
          <w:bCs/>
        </w:rPr>
        <w:t>продолжать свои усилия по повышению осведомленности и подготовке сотрудников сил безопасности Нигера в области прав человека в контексте военных операций;</w:t>
      </w:r>
      <w:r w:rsidRPr="008B16A7">
        <w:t xml:space="preserve"> </w:t>
      </w:r>
      <w:r w:rsidRPr="008B16A7">
        <w:rPr>
          <w:b/>
          <w:bCs/>
        </w:rPr>
        <w:t>c) проводить транспарентные и эффективные расследования фактов, а также обстоятельств, при которых служащими его вооруженных сил или негосударственными вооруженными группами предположительно совершались нарушения прав человека и международного гуманитарного права по отношению к гражданскому населению;</w:t>
      </w:r>
      <w:r w:rsidRPr="008B16A7">
        <w:t xml:space="preserve"> </w:t>
      </w:r>
      <w:r w:rsidRPr="008B16A7">
        <w:rPr>
          <w:b/>
          <w:bCs/>
        </w:rPr>
        <w:t>d) привлекать к ответственности лиц, совершивших такие нарушения, и в случае признания их виновными приговаривать их к соответствующим мерам наказания;</w:t>
      </w:r>
      <w:r w:rsidR="005220EA" w:rsidRPr="008B16A7">
        <w:rPr>
          <w:b/>
          <w:bCs/>
        </w:rPr>
        <w:t xml:space="preserve"> и</w:t>
      </w:r>
      <w:r w:rsidR="005220EA" w:rsidRPr="008B16A7">
        <w:rPr>
          <w:b/>
          <w:bCs/>
        </w:rPr>
        <w:t xml:space="preserve"> </w:t>
      </w:r>
      <w:r w:rsidRPr="008B16A7">
        <w:rPr>
          <w:b/>
          <w:bCs/>
        </w:rPr>
        <w:t>e) принять все необходимые меры для предоставления полного возмещения семьям жертв.</w:t>
      </w:r>
    </w:p>
    <w:p w14:paraId="056E55E8" w14:textId="77777777" w:rsidR="005066A2" w:rsidRPr="008B16A7" w:rsidRDefault="005066A2" w:rsidP="005066A2">
      <w:pPr>
        <w:pStyle w:val="H23G"/>
      </w:pPr>
      <w:r w:rsidRPr="008B16A7">
        <w:tab/>
      </w:r>
      <w:r w:rsidRPr="008B16A7">
        <w:tab/>
      </w:r>
      <w:r w:rsidRPr="008B16A7">
        <w:rPr>
          <w:bCs/>
        </w:rPr>
        <w:t>Пытки и жестокие, бесчеловечные или унижающие достоинство виды обращения</w:t>
      </w:r>
    </w:p>
    <w:p w14:paraId="74E259A7" w14:textId="77777777" w:rsidR="005066A2" w:rsidRPr="008B16A7" w:rsidRDefault="005066A2" w:rsidP="005066A2">
      <w:pPr>
        <w:spacing w:after="120"/>
        <w:ind w:left="1134" w:right="1134"/>
        <w:jc w:val="both"/>
        <w:rPr>
          <w:rFonts w:eastAsia="Times New Roman"/>
        </w:rPr>
      </w:pPr>
      <w:r w:rsidRPr="008B16A7">
        <w:t>30.</w:t>
      </w:r>
      <w:r w:rsidRPr="008B16A7">
        <w:tab/>
        <w:t>Комитет отмечает отсутствие информации, которая указывала бы на систематическую практику пыток или жестокого обращения со стороны сил безопасности государства-участника. Вместе с тем он по-прежнему обеспокоен отсутствием в Уголовном кодексе</w:t>
      </w:r>
      <w:r w:rsidR="007521B3">
        <w:t xml:space="preserve"> </w:t>
      </w:r>
      <w:r w:rsidRPr="008B16A7">
        <w:t xml:space="preserve">определения пытки и конкретной криминализации преступления пытки и отмечает, что законопроект о криминализации пыток, разработанный в 2014 году Министерством юстиции, до сих пор не принят. </w:t>
      </w:r>
      <w:r>
        <w:br/>
      </w:r>
      <w:r w:rsidRPr="008B16A7">
        <w:t xml:space="preserve">Комитет также выражает озабоченность в связи с утверждениями о насилии со стороны полиции во время демонстраций, например во время студенческих </w:t>
      </w:r>
      <w:r w:rsidRPr="008B16A7">
        <w:lastRenderedPageBreak/>
        <w:t>демонстраций в апреле 2017 года. Комитет далее отмечает, что государство-участник до сих пор не создало механизм предупреждения пыток, несмотря на ратификацию им в 2014 году Факультативного протокола к Конвенции против пыток и других жестоких, бесчеловечных или унижающих достоинство видов обращения и наказания (статьи 2 и 7).</w:t>
      </w:r>
    </w:p>
    <w:p w14:paraId="2A965A99" w14:textId="77777777" w:rsidR="005066A2" w:rsidRPr="008B16A7" w:rsidRDefault="005066A2" w:rsidP="005066A2">
      <w:pPr>
        <w:spacing w:after="120"/>
        <w:ind w:left="1134" w:right="1134"/>
        <w:jc w:val="both"/>
        <w:rPr>
          <w:rFonts w:eastAsia="Times New Roman"/>
          <w:b/>
          <w:bCs/>
        </w:rPr>
      </w:pPr>
      <w:r w:rsidRPr="008B16A7">
        <w:t>31.</w:t>
      </w:r>
      <w:r w:rsidRPr="008B16A7">
        <w:tab/>
      </w:r>
      <w:r w:rsidRPr="008B16A7">
        <w:rPr>
          <w:b/>
          <w:bCs/>
        </w:rPr>
        <w:t>Государству-участнику следует: а) ускорить процесс принятия закона о криминализации пыток, обеспечив его соответствие положениям Пакта и Конвенции против пыток и других жестоких, бесчеловечных или унижающих достоинство видов обращения и наказания;</w:t>
      </w:r>
      <w:r w:rsidRPr="008B16A7">
        <w:t xml:space="preserve"> </w:t>
      </w:r>
      <w:r w:rsidRPr="008B16A7">
        <w:rPr>
          <w:b/>
          <w:bCs/>
        </w:rPr>
        <w:t>b) обеспечить тщательное расследование предполагаемых случаев пыток и жестокого обращения со стороны должностных лиц государства-участника, судебное преследование виновных и, в случае признания их виновными, назначение надлежащих мер наказания, а также предоставление компенсации жертвам, включая меры по реабилитации;</w:t>
      </w:r>
      <w:r w:rsidRPr="008B16A7">
        <w:t xml:space="preserve"> </w:t>
      </w:r>
      <w:r w:rsidRPr="008B16A7">
        <w:rPr>
          <w:b/>
          <w:bCs/>
        </w:rPr>
        <w:t>и с) незамедлительно создать национальный механизм предупреждения пыток.</w:t>
      </w:r>
    </w:p>
    <w:p w14:paraId="651E6E08" w14:textId="77777777" w:rsidR="005066A2" w:rsidRPr="008B16A7" w:rsidRDefault="005066A2" w:rsidP="005066A2">
      <w:pPr>
        <w:pStyle w:val="H23G"/>
      </w:pPr>
      <w:r w:rsidRPr="008B16A7">
        <w:tab/>
      </w:r>
      <w:r w:rsidRPr="008B16A7">
        <w:tab/>
      </w:r>
      <w:r w:rsidRPr="008B16A7">
        <w:rPr>
          <w:bCs/>
        </w:rPr>
        <w:t>Условия содержания под стражей</w:t>
      </w:r>
      <w:r w:rsidRPr="008B16A7">
        <w:t xml:space="preserve"> </w:t>
      </w:r>
    </w:p>
    <w:p w14:paraId="5B700990" w14:textId="77777777" w:rsidR="005066A2" w:rsidRPr="008B16A7" w:rsidRDefault="005066A2" w:rsidP="005066A2">
      <w:pPr>
        <w:pStyle w:val="SingleTxtG"/>
      </w:pPr>
      <w:r w:rsidRPr="008B16A7">
        <w:t>32.</w:t>
      </w:r>
      <w:r w:rsidRPr="008B16A7">
        <w:tab/>
        <w:t>Комитет выражает признательность государству-участнику за статистическую информацию, представленную с разбивкой по исправительным учреждениям. Он</w:t>
      </w:r>
      <w:r>
        <w:t> </w:t>
      </w:r>
      <w:r w:rsidRPr="008B16A7">
        <w:t>также приветствует принятие закона № 2017-05 от 31 марта 2017 года о введении наказания в виде общественных работ вместо тюремного заключения, а также закона</w:t>
      </w:r>
      <w:r w:rsidR="007029A9">
        <w:t> </w:t>
      </w:r>
      <w:r w:rsidRPr="008B16A7">
        <w:t>№ 2017-08 от 31 марта 2017 года о пенитенциарной системе, который предусматривает увеличение суточного довольствия заключенных с двух- до трехразового питания. Вместе с тем Комитет выражает обеспокоенность в связи с неадекватными условиями содержания под стражей, которые, как представляется, преобладают почти во всех пенитенциарных учреждениях государства-участника. Он</w:t>
      </w:r>
      <w:r w:rsidR="007029A9">
        <w:t> </w:t>
      </w:r>
      <w:r w:rsidRPr="008B16A7">
        <w:t>также обеспокоен а)</w:t>
      </w:r>
      <w:r>
        <w:t> </w:t>
      </w:r>
      <w:r w:rsidRPr="008B16A7">
        <w:t>вызывающим тревогу коэффициентом заполнения тюрьмы в Ниамее; b) информацией о неудовлетворительных санитарных, медицинских и продовольственных условиях в большинстве пенитенциарных учреждений; c)</w:t>
      </w:r>
      <w:r w:rsidR="007029A9">
        <w:t> </w:t>
      </w:r>
      <w:r w:rsidRPr="008B16A7">
        <w:t>недостаточными ресурсами, выделяемыми пенитенциарной системе; и d)</w:t>
      </w:r>
      <w:r w:rsidR="000B0A69">
        <w:t> </w:t>
      </w:r>
      <w:r w:rsidRPr="008B16A7">
        <w:t>отсутствием раздельного содержания обвиняемых и осужденных (статьи 6, 7 и 10).</w:t>
      </w:r>
    </w:p>
    <w:p w14:paraId="742BBF49" w14:textId="77777777" w:rsidR="005066A2" w:rsidRPr="008B16A7" w:rsidRDefault="005066A2" w:rsidP="005066A2">
      <w:pPr>
        <w:pStyle w:val="SingleTxtG"/>
      </w:pPr>
      <w:r w:rsidRPr="008B16A7">
        <w:t>33.</w:t>
      </w:r>
      <w:r w:rsidRPr="008B16A7">
        <w:tab/>
      </w:r>
      <w:r w:rsidRPr="008B16A7">
        <w:rPr>
          <w:b/>
          <w:bCs/>
        </w:rPr>
        <w:t>Государству-участнику следует принять необходимые меры, направленные на то, чтобы: а) продолжать усилия по улучшению условий жизни заключенных и обращения с ними в соответствии с принятыми Организацией Объединенных Наций Минимальными стандартными правилами обращения с заключенными;</w:t>
      </w:r>
      <w:r w:rsidRPr="008B16A7">
        <w:t xml:space="preserve"> </w:t>
      </w:r>
      <w:r w:rsidRPr="008B16A7">
        <w:rPr>
          <w:b/>
          <w:bCs/>
        </w:rPr>
        <w:t>b) решить проблему переполненности в гражданской тюрьме Ниамея, в частности путем перевода заключенных в учреждения, которые не являются переполненными, и продолжения усилий по содействию принятию мер, альтернативных лишению свободы;</w:t>
      </w:r>
      <w:r w:rsidRPr="008B16A7">
        <w:t xml:space="preserve"> </w:t>
      </w:r>
      <w:r w:rsidRPr="008B16A7">
        <w:rPr>
          <w:b/>
          <w:bCs/>
        </w:rPr>
        <w:t>с) провести ремонтные работы во всех местах содержания под стражей;</w:t>
      </w:r>
      <w:r w:rsidRPr="008B16A7">
        <w:t xml:space="preserve"> </w:t>
      </w:r>
      <w:r w:rsidRPr="008B16A7">
        <w:rPr>
          <w:b/>
          <w:bCs/>
        </w:rPr>
        <w:t>и d) продолжать гарантировать неограниченное право доступа Национальной комиссии по правам человека ко всем местам лишения свободы.</w:t>
      </w:r>
    </w:p>
    <w:p w14:paraId="4D565BE3" w14:textId="77777777" w:rsidR="005066A2" w:rsidRPr="008B16A7" w:rsidRDefault="005066A2" w:rsidP="005066A2">
      <w:pPr>
        <w:pStyle w:val="H23G"/>
      </w:pPr>
      <w:r w:rsidRPr="008B16A7">
        <w:tab/>
      </w:r>
      <w:r w:rsidRPr="008B16A7">
        <w:tab/>
      </w:r>
      <w:r w:rsidRPr="008B16A7">
        <w:rPr>
          <w:bCs/>
        </w:rPr>
        <w:t>Торговля людьми и рабство</w:t>
      </w:r>
    </w:p>
    <w:p w14:paraId="051003C9" w14:textId="77777777" w:rsidR="005066A2" w:rsidRPr="008B16A7" w:rsidRDefault="005066A2" w:rsidP="005066A2">
      <w:pPr>
        <w:spacing w:after="120"/>
        <w:ind w:left="1134" w:right="1134"/>
        <w:jc w:val="both"/>
        <w:rPr>
          <w:rFonts w:eastAsia="Times New Roman"/>
        </w:rPr>
      </w:pPr>
      <w:r w:rsidRPr="008B16A7">
        <w:t>34.</w:t>
      </w:r>
      <w:r w:rsidRPr="008B16A7">
        <w:tab/>
        <w:t>Принимая к сведению усилия государства-участника по борьбе с торговлей людьми и рабством, в том числе в соответствии со статьями 270.1</w:t>
      </w:r>
      <w:r>
        <w:t>–</w:t>
      </w:r>
      <w:r w:rsidRPr="008B16A7">
        <w:t>270.5 Уголовного кодекса и постановлением № 2010-86 от 16 декабря 2010 года, Комитет</w:t>
      </w:r>
      <w:r w:rsidR="00573799">
        <w:t>,</w:t>
      </w:r>
      <w:r w:rsidRPr="008B16A7">
        <w:t xml:space="preserve"> вместе с тем</w:t>
      </w:r>
      <w:r w:rsidR="00573799">
        <w:t>,</w:t>
      </w:r>
      <w:r w:rsidRPr="008B16A7">
        <w:t xml:space="preserve"> с обеспокоенностью отмечает сохранение явления рабства на практике. Он также выражает сожаление по поводу низкого уровня осуществления вышеупомянутых законодательных положений, поскольку было сообщено только о пяти уголовных делах, по двум из которых, как сообщается, были вынесены обвинительные приговоры. Комитет тем более обеспокоен тем, что наказания, назначенные в обоих случаях, не были соразмерны тяжести преступления рабства. Комитет также сожалеет об отсутствии данных о масштабах рабства на основе родового происхождения, включая детское рабство, принудительный труд и принудительное попрошайничество, а также торговлю людьми. Кроме того, Комитет сожалеет об </w:t>
      </w:r>
      <w:r w:rsidRPr="008B16A7">
        <w:lastRenderedPageBreak/>
        <w:t>ограниченности ресурсов, выделяемых на борьбу с этой практикой и на реабилитацию жертв (статьи 8 и 24).</w:t>
      </w:r>
    </w:p>
    <w:p w14:paraId="526DF436" w14:textId="77777777" w:rsidR="005066A2" w:rsidRPr="008B16A7" w:rsidRDefault="005066A2" w:rsidP="005066A2">
      <w:pPr>
        <w:spacing w:after="120"/>
        <w:ind w:left="1134" w:right="1134"/>
        <w:jc w:val="both"/>
        <w:rPr>
          <w:rFonts w:eastAsia="Times New Roman"/>
          <w:b/>
          <w:bCs/>
        </w:rPr>
      </w:pPr>
      <w:r w:rsidRPr="008B16A7">
        <w:t>35.</w:t>
      </w:r>
      <w:r w:rsidRPr="008B16A7">
        <w:tab/>
      </w:r>
      <w:r w:rsidRPr="008B16A7">
        <w:rPr>
          <w:b/>
          <w:bCs/>
        </w:rPr>
        <w:t>Государству-участнику следует продолжать свои усилия, и в частности: а)</w:t>
      </w:r>
      <w:r>
        <w:rPr>
          <w:b/>
          <w:bCs/>
        </w:rPr>
        <w:t> </w:t>
      </w:r>
      <w:r w:rsidRPr="008B16A7">
        <w:rPr>
          <w:b/>
          <w:bCs/>
        </w:rPr>
        <w:t>обеспечить сбор статистических данных в разбивке по возрасту, полу и происхождению жертв;</w:t>
      </w:r>
      <w:r w:rsidRPr="008B16A7">
        <w:t xml:space="preserve"> </w:t>
      </w:r>
      <w:r w:rsidRPr="008B16A7">
        <w:rPr>
          <w:b/>
          <w:bCs/>
        </w:rPr>
        <w:t>b) обеспечить распространение информации о своем законодательстве, устанавливающем уголовную ответственность за рабство и торговлю людьми, среди частных лиц, а также сотрудников полиции, прокуроров и судей;</w:t>
      </w:r>
      <w:r w:rsidRPr="008B16A7">
        <w:t xml:space="preserve"> </w:t>
      </w:r>
      <w:r w:rsidRPr="008B16A7">
        <w:rPr>
          <w:b/>
          <w:bCs/>
        </w:rPr>
        <w:t>с) укрепить свои институциональные механизмы с точки зрения финансовых и людских ресурсов, в частности Национальное агентство по борьбе с торговлей людьми;</w:t>
      </w:r>
      <w:r w:rsidRPr="008B16A7">
        <w:t xml:space="preserve"> </w:t>
      </w:r>
      <w:r w:rsidRPr="008B16A7">
        <w:rPr>
          <w:b/>
          <w:bCs/>
        </w:rPr>
        <w:t>d) проводить систематическое расследование всех случаев рабства и торговли людьми, в том числе в случаях, когда речь идет о детях, и обеспечивать, чтобы виновные привлекались к ответственности согласно соответствующим положениям уголовного законодательства и, в случае признания их виновными, приговаривались к наказаниям, соизмеримым с тяжестью совершенного преступления;</w:t>
      </w:r>
      <w:r w:rsidRPr="008B16A7">
        <w:t xml:space="preserve"> </w:t>
      </w:r>
      <w:r w:rsidRPr="008B16A7">
        <w:rPr>
          <w:b/>
          <w:bCs/>
        </w:rPr>
        <w:t>и e) принять все надлежащие меры для обеспечения того, чтобы жертвам оказывалась медицинская, психологическая, социальная и правовая помощь, направленная на их полную реабилитацию.</w:t>
      </w:r>
    </w:p>
    <w:p w14:paraId="5F3E8C50" w14:textId="77777777" w:rsidR="005066A2" w:rsidRPr="008B16A7" w:rsidRDefault="005066A2" w:rsidP="005066A2">
      <w:pPr>
        <w:pStyle w:val="H23G"/>
      </w:pPr>
      <w:r w:rsidRPr="008B16A7">
        <w:tab/>
      </w:r>
      <w:r w:rsidRPr="008B16A7">
        <w:tab/>
      </w:r>
      <w:r w:rsidRPr="008B16A7">
        <w:rPr>
          <w:bCs/>
        </w:rPr>
        <w:t>Свобода и личная неприкосновенность</w:t>
      </w:r>
      <w:r w:rsidRPr="008B16A7">
        <w:t xml:space="preserve"> </w:t>
      </w:r>
    </w:p>
    <w:p w14:paraId="7D99CAF3" w14:textId="77777777" w:rsidR="005066A2" w:rsidRPr="008B16A7" w:rsidRDefault="005066A2" w:rsidP="005066A2">
      <w:pPr>
        <w:spacing w:after="120"/>
        <w:ind w:left="1134" w:right="1134"/>
        <w:jc w:val="both"/>
        <w:rPr>
          <w:rFonts w:eastAsia="Times New Roman"/>
        </w:rPr>
      </w:pPr>
      <w:r w:rsidRPr="008B16A7">
        <w:t>36.</w:t>
      </w:r>
      <w:r w:rsidRPr="008B16A7">
        <w:tab/>
        <w:t>Комитет по-прежнему обеспокоен сообщениями о многочисленных арестах без соответствующего ордера журналистов, правозащитников и представителей оппозиции, которые, как сообщается, содержатся под стражей без судебного разбирательства в соответствии с антитеррористическим законодательством. В</w:t>
      </w:r>
      <w:r>
        <w:t> </w:t>
      </w:r>
      <w:r w:rsidRPr="008B16A7">
        <w:t>частности, Комитет обеспокоен утверждениями о превышении установленных законом сроков содержания под стражей в полиции, несоблюдении судебных гарантий и чрезмерном применении предварительного заключения (статьи 9, 14, 19, 21 и 22).</w:t>
      </w:r>
    </w:p>
    <w:p w14:paraId="100BD014" w14:textId="77777777" w:rsidR="005066A2" w:rsidRPr="008B16A7" w:rsidRDefault="005066A2" w:rsidP="005066A2">
      <w:pPr>
        <w:spacing w:after="120"/>
        <w:ind w:left="1134" w:right="1134"/>
        <w:jc w:val="both"/>
        <w:rPr>
          <w:rFonts w:eastAsia="Times New Roman"/>
          <w:b/>
          <w:bCs/>
        </w:rPr>
      </w:pPr>
      <w:r w:rsidRPr="008B16A7">
        <w:t>37.</w:t>
      </w:r>
      <w:r w:rsidRPr="008B16A7">
        <w:tab/>
      </w:r>
      <w:r w:rsidRPr="008B16A7">
        <w:rPr>
          <w:b/>
          <w:bCs/>
        </w:rPr>
        <w:t>Государству-участнику следует принять необходимые меры для обеспечения того, чтобы: a) никто не подвергался произвольному аресту или задержанию, а лишенные свободы лица имели все правовые гарантии в соответствии со статьями 9 и 14 Пакта;</w:t>
      </w:r>
      <w:r w:rsidRPr="008B16A7">
        <w:t xml:space="preserve"> </w:t>
      </w:r>
      <w:r w:rsidRPr="008B16A7">
        <w:rPr>
          <w:b/>
          <w:bCs/>
        </w:rPr>
        <w:t>b) по всем случаям произвольного задержания проводились расследования, виновные подвергались дисциплинарному взысканию и/или судебному преследованию, а потерпевшим возмещался при необходимости ущерб;</w:t>
      </w:r>
      <w:r w:rsidRPr="008B16A7">
        <w:t xml:space="preserve"> </w:t>
      </w:r>
      <w:r w:rsidRPr="008B16A7">
        <w:rPr>
          <w:b/>
          <w:bCs/>
        </w:rPr>
        <w:t>и c) соблюдались положения Уголовно-процессуального кодекса в отношении сроков содержания под стражей в полиции и предварительного заключения.</w:t>
      </w:r>
      <w:r w:rsidRPr="008B16A7">
        <w:t xml:space="preserve"> </w:t>
      </w:r>
    </w:p>
    <w:p w14:paraId="303A5639" w14:textId="77777777" w:rsidR="005066A2" w:rsidRPr="008B16A7" w:rsidRDefault="005066A2" w:rsidP="005066A2">
      <w:pPr>
        <w:pStyle w:val="H23G"/>
      </w:pPr>
      <w:r w:rsidRPr="008B16A7">
        <w:tab/>
      </w:r>
      <w:r w:rsidRPr="008B16A7">
        <w:tab/>
      </w:r>
      <w:r w:rsidRPr="008B16A7">
        <w:rPr>
          <w:bCs/>
        </w:rPr>
        <w:t>Обращение с беженцами и перемещенными лицами</w:t>
      </w:r>
    </w:p>
    <w:p w14:paraId="490AA312" w14:textId="77777777" w:rsidR="005066A2" w:rsidRPr="008B16A7" w:rsidRDefault="005066A2" w:rsidP="005066A2">
      <w:pPr>
        <w:spacing w:after="120"/>
        <w:ind w:left="1134" w:right="1134"/>
        <w:jc w:val="both"/>
        <w:rPr>
          <w:rFonts w:eastAsia="Times New Roman"/>
        </w:rPr>
      </w:pPr>
      <w:r w:rsidRPr="008B16A7">
        <w:t>38.</w:t>
      </w:r>
      <w:r w:rsidRPr="008B16A7">
        <w:tab/>
        <w:t xml:space="preserve">Приветствуя гостеприимство и усилия государства-участника в отношении беженцев, просителей убежища и мигрантов, пересекающих его территорию по пути в Средиземноморье, Комитет выражает обеспокоенность по поводу закона № 2015-36 от 26 мая 2015 года о незаконном ввозе мигрантов, который, по сообщениям, фактически привел к запрету на поездки к северу от </w:t>
      </w:r>
      <w:proofErr w:type="spellStart"/>
      <w:r w:rsidRPr="008B16A7">
        <w:t>Агадеса</w:t>
      </w:r>
      <w:proofErr w:type="spellEnd"/>
      <w:r w:rsidRPr="008B16A7">
        <w:t xml:space="preserve"> и тем самым вынудил мигрантов скрываться, живя в условиях, подвергающих их многочисленным злоупотреблениям и нарушениям прав человека. Признавая усилия, предпринимаемые государством-участником в сотрудничестве с международными организациями с целью обеспечения добровольного возвращения мигрантов, прибывших из Западной Африки, Комитет в то же время обеспокоен тем, что многие жертвы пыток и других жестоких, бесчеловечных или унижающих достоинство видов обращения и наказания, страдающих, кроме того, от физических и психологических травм, могут быть возвращены в страны, где им может угрожать жестокое обращение, в нарушение принципа </w:t>
      </w:r>
      <w:proofErr w:type="spellStart"/>
      <w:r w:rsidRPr="008B16A7">
        <w:t>невыдворения</w:t>
      </w:r>
      <w:proofErr w:type="spellEnd"/>
      <w:r w:rsidRPr="008B16A7">
        <w:t xml:space="preserve"> (статьи 7, 9, 12 и 13).</w:t>
      </w:r>
    </w:p>
    <w:p w14:paraId="381EC5A0" w14:textId="77777777" w:rsidR="005066A2" w:rsidRPr="008B16A7" w:rsidRDefault="005066A2" w:rsidP="005066A2">
      <w:pPr>
        <w:spacing w:after="120"/>
        <w:ind w:left="1134" w:right="1134"/>
        <w:jc w:val="both"/>
        <w:rPr>
          <w:rFonts w:eastAsia="Times New Roman"/>
          <w:b/>
          <w:bCs/>
        </w:rPr>
      </w:pPr>
      <w:r w:rsidRPr="008B16A7">
        <w:t>39.</w:t>
      </w:r>
      <w:r w:rsidRPr="008B16A7">
        <w:tab/>
      </w:r>
      <w:r w:rsidRPr="008B16A7">
        <w:rPr>
          <w:b/>
          <w:bCs/>
        </w:rPr>
        <w:t>Государству-участнику следует: а) обеспечить, чтобы его процедуры определения статуса беженца соответствовали международным стандартам, и осуществить надлежащую профессиональную подготовку пограничников и других соответствующих должностных лиц;</w:t>
      </w:r>
      <w:r w:rsidRPr="008B16A7">
        <w:t xml:space="preserve"> </w:t>
      </w:r>
      <w:r w:rsidR="00573799">
        <w:rPr>
          <w:b/>
          <w:bCs/>
          <w:lang w:val="en-US"/>
        </w:rPr>
        <w:t>b</w:t>
      </w:r>
      <w:r w:rsidRPr="008B16A7">
        <w:rPr>
          <w:b/>
          <w:bCs/>
        </w:rPr>
        <w:t>) обеспечить неукоснительное соблюдение полного запрета на выдворение в соответствии со статьями 6 и 7 Пакта;</w:t>
      </w:r>
      <w:r w:rsidRPr="008B16A7">
        <w:t xml:space="preserve"> </w:t>
      </w:r>
      <w:r w:rsidRPr="008B16A7">
        <w:rPr>
          <w:b/>
          <w:bCs/>
        </w:rPr>
        <w:t xml:space="preserve">и с) проводить беспристрастные расследования и предоставлять </w:t>
      </w:r>
      <w:r w:rsidRPr="008B16A7">
        <w:rPr>
          <w:b/>
          <w:bCs/>
        </w:rPr>
        <w:lastRenderedPageBreak/>
        <w:t>эффективные средства правовой защиты мигрантам, права которых были нарушены.</w:t>
      </w:r>
    </w:p>
    <w:p w14:paraId="0F906E09" w14:textId="77777777" w:rsidR="005066A2" w:rsidRPr="008B16A7" w:rsidRDefault="005066A2" w:rsidP="005066A2">
      <w:pPr>
        <w:pStyle w:val="H23G"/>
      </w:pPr>
      <w:r w:rsidRPr="008B16A7">
        <w:tab/>
      </w:r>
      <w:r w:rsidRPr="008B16A7">
        <w:tab/>
      </w:r>
      <w:r w:rsidRPr="008B16A7">
        <w:rPr>
          <w:bCs/>
        </w:rPr>
        <w:t>Независимость судебных органов и отправление правосудия</w:t>
      </w:r>
    </w:p>
    <w:p w14:paraId="32D9F9C1" w14:textId="77777777" w:rsidR="005066A2" w:rsidRPr="008B16A7" w:rsidRDefault="005066A2" w:rsidP="005066A2">
      <w:pPr>
        <w:spacing w:after="120"/>
        <w:ind w:left="1134" w:right="1134"/>
        <w:jc w:val="both"/>
        <w:rPr>
          <w:rFonts w:eastAsia="Times New Roman"/>
        </w:rPr>
      </w:pPr>
      <w:r w:rsidRPr="008B16A7">
        <w:t>40.</w:t>
      </w:r>
      <w:r w:rsidRPr="008B16A7">
        <w:tab/>
        <w:t>Комитет приветствует усилия государства-участника по реформированию и модернизации судебной системы, включая проведение в ноябре 2012 года Общенационального совещания работников судебной системы, а также принятие закона № 2018-36 от 24 мая 2018 года о статусе судебных органов. Вместе с тем Комитет с обеспокоенностью отмечает недостаточность гарантий независимости судебной власти и первостепенную роль исполнительной власти в ее организации. Комитет также обеспокоен утверждениями о вмешательстве исполнительной власти в судебные решения (статья 14).</w:t>
      </w:r>
    </w:p>
    <w:p w14:paraId="6F4F3A93" w14:textId="77777777" w:rsidR="005066A2" w:rsidRPr="008B16A7" w:rsidRDefault="005066A2" w:rsidP="005066A2">
      <w:pPr>
        <w:spacing w:after="120"/>
        <w:ind w:left="1134" w:right="1134"/>
        <w:jc w:val="both"/>
        <w:rPr>
          <w:rFonts w:eastAsia="Times New Roman"/>
          <w:b/>
          <w:bCs/>
        </w:rPr>
      </w:pPr>
      <w:r w:rsidRPr="008B16A7">
        <w:t>41.</w:t>
      </w:r>
      <w:r w:rsidRPr="008B16A7">
        <w:tab/>
      </w:r>
      <w:r w:rsidRPr="008B16A7">
        <w:rPr>
          <w:b/>
          <w:bCs/>
        </w:rPr>
        <w:t>Государству-участнику следует закрепить принцип независимости судебных органов, гарантируемый статьей 116 его Конституции, путем обеспечения независимого назначения судей и прокуроров на основе объективных и транспарентных критериев, позволяющих оценить качества кандидатов в соответствии с требованиями профессиональной пригодности, компетентности и репутации.</w:t>
      </w:r>
      <w:r w:rsidRPr="008B16A7">
        <w:t xml:space="preserve"> </w:t>
      </w:r>
      <w:r w:rsidRPr="008B16A7">
        <w:rPr>
          <w:b/>
          <w:bCs/>
        </w:rPr>
        <w:t>Ему следует также гарантировать стабильность и независимость судей и самостоятельность прокуроров, оберегая судебную систему от любого вмешательства.</w:t>
      </w:r>
    </w:p>
    <w:p w14:paraId="4D8714F5" w14:textId="77777777" w:rsidR="005066A2" w:rsidRPr="008B16A7" w:rsidRDefault="005066A2" w:rsidP="005066A2">
      <w:pPr>
        <w:pStyle w:val="H23G"/>
      </w:pPr>
      <w:r w:rsidRPr="008B16A7">
        <w:tab/>
      </w:r>
      <w:r w:rsidRPr="008B16A7">
        <w:tab/>
      </w:r>
      <w:r w:rsidRPr="008B16A7">
        <w:rPr>
          <w:bCs/>
        </w:rPr>
        <w:t>Право на свободное выражение мнений и свободу собраний, защита журналистов и правозащитников</w:t>
      </w:r>
    </w:p>
    <w:p w14:paraId="523BE913" w14:textId="77777777" w:rsidR="005066A2" w:rsidRPr="003E0E35" w:rsidRDefault="005066A2" w:rsidP="003E0E35">
      <w:pPr>
        <w:spacing w:after="120"/>
        <w:ind w:left="1134" w:right="1134"/>
        <w:jc w:val="both"/>
      </w:pPr>
      <w:r w:rsidRPr="008B16A7">
        <w:t>42.</w:t>
      </w:r>
      <w:r w:rsidRPr="008B16A7">
        <w:tab/>
        <w:t xml:space="preserve">Принимая к сведению разъяснения государства-участника и приветствуя принятие постановления № 2010-35 от 4 июня 2010 года о свободе печати, Комитет выражает обеспокоенность сообщениями о приостановлении в марте 2018 года деятельности частного радио- и телеканала </w:t>
      </w:r>
      <w:r>
        <w:t>«</w:t>
      </w:r>
      <w:proofErr w:type="spellStart"/>
      <w:r w:rsidRPr="008B16A7">
        <w:t>Лабари</w:t>
      </w:r>
      <w:proofErr w:type="spellEnd"/>
      <w:r>
        <w:t>»</w:t>
      </w:r>
      <w:r w:rsidRPr="008B16A7">
        <w:t xml:space="preserve"> за отказ предоставить полиции копию его телевизионной программы новостей, в которой освещалась демонстрация, состоявшаяся в Ниамее. Комитет также обеспокоен утверждениями о произвольных арестах журналистов, правозащитников, членов политической оппозиции, учителей и учащихся в 2017 и 2018 годах и сообщениями о чрезмерном применении силы сотрудниками полиции для разгона демонстраций. Он также выражает обеспокоенность в связи с запретами муниципальными властями демонстраций, </w:t>
      </w:r>
      <w:r>
        <w:br/>
      </w:r>
      <w:r w:rsidRPr="008B16A7">
        <w:t>на проведение которых было заблаговременно получено разрешение суда (статьи 2, 6, 7, 14, 19 и 21).</w:t>
      </w:r>
    </w:p>
    <w:p w14:paraId="5F695139" w14:textId="77777777" w:rsidR="005066A2" w:rsidRPr="008B16A7" w:rsidRDefault="005066A2" w:rsidP="003E0E35">
      <w:pPr>
        <w:spacing w:after="120"/>
        <w:ind w:left="1134" w:right="1134"/>
        <w:jc w:val="both"/>
        <w:rPr>
          <w:rFonts w:eastAsia="Times New Roman"/>
          <w:b/>
          <w:bCs/>
        </w:rPr>
      </w:pPr>
      <w:r w:rsidRPr="008B16A7">
        <w:t>43.</w:t>
      </w:r>
      <w:r w:rsidRPr="008B16A7">
        <w:tab/>
      </w:r>
      <w:r w:rsidRPr="008B16A7">
        <w:rPr>
          <w:b/>
          <w:bCs/>
        </w:rPr>
        <w:t>В свете принятого Комитетом замечания общего порядка № 34 (2011) о свободе мнений и их выражения государству-участнику следует: a)</w:t>
      </w:r>
      <w:r>
        <w:rPr>
          <w:b/>
          <w:bCs/>
        </w:rPr>
        <w:t> </w:t>
      </w:r>
      <w:r w:rsidRPr="008B16A7">
        <w:rPr>
          <w:b/>
          <w:bCs/>
        </w:rPr>
        <w:t>гарантировать строгое соответствие любого ограничения деятельности прессы и других СМИ положениям пункта 3 статьи 19 Пакта;</w:t>
      </w:r>
      <w:r w:rsidRPr="008B16A7">
        <w:t xml:space="preserve"> </w:t>
      </w:r>
      <w:r w:rsidRPr="008B16A7">
        <w:rPr>
          <w:b/>
          <w:bCs/>
        </w:rPr>
        <w:t>b) не допускать никакого неправомерного и несоразмерного посягательства государственных должностных лиц на право СМИ на свободное выражение мнений и обеспечить защиту журналистов от всех форм неправомерного обращения и расследование соответствующих случаев с целью судебного преследования и привлечения к ответственности виновных;</w:t>
      </w:r>
      <w:r w:rsidRPr="008B16A7">
        <w:t xml:space="preserve"> </w:t>
      </w:r>
      <w:r w:rsidRPr="008B16A7">
        <w:rPr>
          <w:b/>
          <w:bCs/>
        </w:rPr>
        <w:t>c) принять все необходимые меры для обеспечения защиты правозащитников от угроз и запугивания и обеспечить расследование соответствующих случаев с целью судебного преследования и привлечения к ответственности виновных;</w:t>
      </w:r>
      <w:r w:rsidRPr="008B16A7">
        <w:t xml:space="preserve"> </w:t>
      </w:r>
      <w:r w:rsidRPr="008B16A7">
        <w:rPr>
          <w:b/>
          <w:bCs/>
        </w:rPr>
        <w:t>d) ускорить процесс принятия законопроекта о защите правозащитников;</w:t>
      </w:r>
      <w:r w:rsidRPr="008B16A7">
        <w:t xml:space="preserve"> </w:t>
      </w:r>
      <w:r w:rsidRPr="008B16A7">
        <w:rPr>
          <w:b/>
          <w:bCs/>
        </w:rPr>
        <w:t>e) отменить любые ненужные ограничения свободы собраний и демонстраций;</w:t>
      </w:r>
      <w:r w:rsidRPr="008B16A7">
        <w:t xml:space="preserve"> </w:t>
      </w:r>
      <w:r w:rsidRPr="008B16A7">
        <w:rPr>
          <w:b/>
          <w:bCs/>
        </w:rPr>
        <w:t>f) обеспечить проведение оперативных, беспристрастных и эффективных расследований по всем случаям применения чрезмерной силы для разгона демонстраций, а также привлечение к судебной ответственности виновных;</w:t>
      </w:r>
      <w:r w:rsidRPr="008B16A7">
        <w:t xml:space="preserve"> </w:t>
      </w:r>
      <w:r w:rsidRPr="008B16A7">
        <w:rPr>
          <w:b/>
          <w:bCs/>
        </w:rPr>
        <w:t xml:space="preserve">и g) уточнить и, в случае необходимости, пересмотреть свою нормативно-правовую базу, касающуюся разрешений </w:t>
      </w:r>
      <w:r>
        <w:rPr>
          <w:b/>
          <w:bCs/>
        </w:rPr>
        <w:br/>
      </w:r>
      <w:r w:rsidRPr="008B16A7">
        <w:rPr>
          <w:b/>
          <w:bCs/>
        </w:rPr>
        <w:t>на проведение демонстраций, а также роль и полномочия Высшего совета по коммуникациям, обеспечивая соблюдение положений статьи 19 Пакта.</w:t>
      </w:r>
    </w:p>
    <w:p w14:paraId="665DD0F2" w14:textId="77777777" w:rsidR="005066A2" w:rsidRPr="008B16A7" w:rsidRDefault="005066A2" w:rsidP="00544D4A">
      <w:pPr>
        <w:pStyle w:val="H23G"/>
        <w:spacing w:before="0" w:after="100" w:line="240" w:lineRule="atLeast"/>
      </w:pPr>
      <w:r w:rsidRPr="008B16A7">
        <w:lastRenderedPageBreak/>
        <w:tab/>
      </w:r>
      <w:r w:rsidRPr="008B16A7">
        <w:tab/>
      </w:r>
      <w:r w:rsidRPr="008B16A7">
        <w:rPr>
          <w:bCs/>
        </w:rPr>
        <w:t>Защита детей</w:t>
      </w:r>
    </w:p>
    <w:p w14:paraId="3825BA91" w14:textId="77777777" w:rsidR="005066A2" w:rsidRPr="008B16A7" w:rsidRDefault="005066A2" w:rsidP="004020C5">
      <w:pPr>
        <w:spacing w:after="120" w:line="220" w:lineRule="atLeast"/>
        <w:ind w:left="1134" w:right="1134"/>
        <w:jc w:val="both"/>
        <w:rPr>
          <w:rFonts w:eastAsia="Times New Roman"/>
        </w:rPr>
      </w:pPr>
      <w:r w:rsidRPr="008B16A7">
        <w:t>44.</w:t>
      </w:r>
      <w:r w:rsidRPr="008B16A7">
        <w:tab/>
        <w:t>Принимая к сведению представленную государством-участником информацию о нормативно-правовой базе, регулирующей детский труд, Комитет по-прежнему обеспокоен: а) большим числом детей, работающих в качестве домашней прислуги и подвергающихся злоупотреблениям; b) числом беспризорных детей, которые также подвергаются всем формам насилия; с) особы</w:t>
      </w:r>
      <w:r w:rsidR="00D4151E">
        <w:t>м</w:t>
      </w:r>
      <w:r w:rsidRPr="008B16A7">
        <w:t xml:space="preserve"> положением детей</w:t>
      </w:r>
      <w:r w:rsidR="00D4151E">
        <w:t xml:space="preserve"> – </w:t>
      </w:r>
      <w:r w:rsidRPr="008B16A7">
        <w:t xml:space="preserve">учеников религиозных мусульманских школ, переданных марабутам в коранических школах и принуждаемых к попрошайничеству; и d) сохраняющейся практикой детского рабства по признаку родового происхождения. Наконец, Комитет с обеспокоенностью отмечает, что телесные наказания дома и в школах, включая коранические школы, все еще не запрещены (статьи 6, 7, 8, 16 и 24). </w:t>
      </w:r>
    </w:p>
    <w:p w14:paraId="1A7320AC" w14:textId="77777777" w:rsidR="005066A2" w:rsidRPr="008B16A7" w:rsidRDefault="005066A2" w:rsidP="004020C5">
      <w:pPr>
        <w:pStyle w:val="SingleTxtG"/>
        <w:spacing w:after="100" w:line="220" w:lineRule="atLeast"/>
      </w:pPr>
      <w:r w:rsidRPr="008B16A7">
        <w:t>45.</w:t>
      </w:r>
      <w:r w:rsidRPr="008B16A7">
        <w:tab/>
      </w:r>
      <w:r w:rsidRPr="008B16A7">
        <w:rPr>
          <w:b/>
          <w:bCs/>
        </w:rPr>
        <w:t>Государству-участнику следует принять необходимые меры</w:t>
      </w:r>
      <w:r w:rsidR="00D4151E" w:rsidRPr="00D4151E">
        <w:rPr>
          <w:b/>
          <w:bCs/>
        </w:rPr>
        <w:t xml:space="preserve"> </w:t>
      </w:r>
      <w:r w:rsidR="00D4151E" w:rsidRPr="008B16A7">
        <w:rPr>
          <w:b/>
          <w:bCs/>
        </w:rPr>
        <w:t>для</w:t>
      </w:r>
      <w:r w:rsidRPr="008B16A7">
        <w:rPr>
          <w:b/>
          <w:bCs/>
        </w:rPr>
        <w:t>: а)</w:t>
      </w:r>
      <w:r w:rsidR="00D4151E">
        <w:rPr>
          <w:b/>
          <w:bCs/>
        </w:rPr>
        <w:t> </w:t>
      </w:r>
      <w:r w:rsidRPr="008B16A7">
        <w:rPr>
          <w:b/>
          <w:bCs/>
        </w:rPr>
        <w:t xml:space="preserve">защиты несовершеннолетних от всех форм злоупотреблений, в том числе посредством обеспечения ухода за беспризорными детьми </w:t>
      </w:r>
      <w:r>
        <w:rPr>
          <w:b/>
          <w:bCs/>
        </w:rPr>
        <w:t xml:space="preserve">и </w:t>
      </w:r>
      <w:r w:rsidRPr="008B16A7">
        <w:rPr>
          <w:b/>
          <w:bCs/>
        </w:rPr>
        <w:t>детьми, занимающи</w:t>
      </w:r>
      <w:r>
        <w:rPr>
          <w:b/>
          <w:bCs/>
        </w:rPr>
        <w:t>ми</w:t>
      </w:r>
      <w:r w:rsidRPr="008B16A7">
        <w:rPr>
          <w:b/>
          <w:bCs/>
        </w:rPr>
        <w:t>ся попрошайничеством, и их реабилитации;</w:t>
      </w:r>
      <w:r w:rsidRPr="008B16A7">
        <w:t xml:space="preserve"> </w:t>
      </w:r>
      <w:r w:rsidRPr="008B16A7">
        <w:rPr>
          <w:b/>
          <w:bCs/>
        </w:rPr>
        <w:t>b) публичного осуждения практики принудительного попрошайничества и повышения осведомленности религиозных и традиционных лидеров и родителей с целью искоренения этой практики;</w:t>
      </w:r>
      <w:r w:rsidRPr="008B16A7">
        <w:t xml:space="preserve"> </w:t>
      </w:r>
      <w:r w:rsidRPr="008B16A7">
        <w:rPr>
          <w:b/>
          <w:bCs/>
        </w:rPr>
        <w:t>с) продолжения усилий по строгому контролю и регулированию детского труда;</w:t>
      </w:r>
      <w:r w:rsidRPr="008B16A7">
        <w:t xml:space="preserve"> </w:t>
      </w:r>
      <w:r w:rsidRPr="008B16A7">
        <w:rPr>
          <w:b/>
          <w:bCs/>
        </w:rPr>
        <w:t>d) введения уголовной ответственности за рабство, систематического преследования в судебном порядке всех лиц, виновных в преступлении детского рабства по признаку родового происхождения;</w:t>
      </w:r>
      <w:r w:rsidRPr="008B16A7">
        <w:t xml:space="preserve"> </w:t>
      </w:r>
      <w:r w:rsidR="00D4151E" w:rsidRPr="00D4151E">
        <w:rPr>
          <w:b/>
        </w:rPr>
        <w:t xml:space="preserve">и </w:t>
      </w:r>
      <w:r w:rsidRPr="008B16A7">
        <w:rPr>
          <w:b/>
          <w:bCs/>
        </w:rPr>
        <w:t>е) принятия практических мер, включая законодательные меры, с тем чтобы положить конец телесным наказаниям в любых обстоятельствах.</w:t>
      </w:r>
    </w:p>
    <w:p w14:paraId="4DB931B6" w14:textId="77777777" w:rsidR="005066A2" w:rsidRPr="008B16A7" w:rsidRDefault="005066A2" w:rsidP="004020C5">
      <w:pPr>
        <w:pStyle w:val="H1G"/>
        <w:spacing w:before="320" w:line="240" w:lineRule="exact"/>
      </w:pPr>
      <w:r w:rsidRPr="008B16A7">
        <w:tab/>
        <w:t>D.</w:t>
      </w:r>
      <w:r w:rsidRPr="008B16A7">
        <w:tab/>
        <w:t>Распространение информации и последующая деятельность</w:t>
      </w:r>
    </w:p>
    <w:p w14:paraId="54B4FB0B" w14:textId="77777777" w:rsidR="005066A2" w:rsidRPr="008B16A7" w:rsidRDefault="005066A2" w:rsidP="00544D4A">
      <w:pPr>
        <w:spacing w:after="100" w:line="220" w:lineRule="atLeast"/>
        <w:ind w:left="1134" w:right="1134"/>
        <w:jc w:val="both"/>
        <w:rPr>
          <w:rFonts w:eastAsia="Times New Roman"/>
          <w:b/>
          <w:bCs/>
        </w:rPr>
      </w:pPr>
      <w:r w:rsidRPr="008B16A7">
        <w:t>46.</w:t>
      </w:r>
      <w:r w:rsidRPr="008B16A7">
        <w:tab/>
      </w:r>
      <w:r w:rsidRPr="008B16A7">
        <w:rPr>
          <w:b/>
          <w:bCs/>
        </w:rPr>
        <w:t>Государству-участнику следует обеспечить широкое распространение текста Пакта, второго периодического доклада и настоящих заключительных замечаний среди представителей судебных, законодательных и административных органов, гражданского общества, действующих в стране неправительственных организаций и широкой общественности в целях повышения их осведомленности о правах, закрепленных в Пакте.</w:t>
      </w:r>
      <w:r w:rsidRPr="008B16A7">
        <w:t xml:space="preserve"> </w:t>
      </w:r>
      <w:r w:rsidRPr="008B16A7">
        <w:rPr>
          <w:b/>
          <w:bCs/>
        </w:rPr>
        <w:t>Государству-участнику следует обеспечить перевод текста доклада и настоящих заключительных замечаний на официальные языки государства-участника.</w:t>
      </w:r>
    </w:p>
    <w:p w14:paraId="3E0FAC5D" w14:textId="77777777" w:rsidR="005066A2" w:rsidRPr="008B16A7" w:rsidRDefault="005066A2" w:rsidP="00544D4A">
      <w:pPr>
        <w:spacing w:after="100" w:line="220" w:lineRule="atLeast"/>
        <w:ind w:left="1134" w:right="1134"/>
        <w:jc w:val="both"/>
        <w:rPr>
          <w:rFonts w:eastAsia="Times New Roman"/>
          <w:b/>
          <w:bCs/>
        </w:rPr>
      </w:pPr>
      <w:r w:rsidRPr="008B16A7">
        <w:t>47.</w:t>
      </w:r>
      <w:r w:rsidRPr="008B16A7">
        <w:tab/>
      </w:r>
      <w:r w:rsidRPr="008B16A7">
        <w:rPr>
          <w:b/>
          <w:bCs/>
        </w:rPr>
        <w:t xml:space="preserve">В соответствии с </w:t>
      </w:r>
      <w:bookmarkStart w:id="0" w:name="_GoBack"/>
      <w:bookmarkEnd w:id="0"/>
      <w:r w:rsidRPr="008B16A7">
        <w:rPr>
          <w:b/>
          <w:bCs/>
        </w:rPr>
        <w:t xml:space="preserve">пунктом 1 правила 75 правил процедуры Комитета государству-участнику следует представить к 29 марта 2021 года информацию о последующих мерах по выполнению рекомендаций Комитета, изложенных в пунктах 11 (борьба с коррупцией), 33 (условия содержания под стражей) </w:t>
      </w:r>
      <w:r>
        <w:rPr>
          <w:b/>
          <w:bCs/>
        </w:rPr>
        <w:br/>
      </w:r>
      <w:r w:rsidRPr="008B16A7">
        <w:rPr>
          <w:b/>
          <w:bCs/>
        </w:rPr>
        <w:t>и 43 (свобода выражения мнений и собраний, защита журналистов и правозащитников) выше.</w:t>
      </w:r>
      <w:r w:rsidRPr="008B16A7">
        <w:t xml:space="preserve"> </w:t>
      </w:r>
    </w:p>
    <w:p w14:paraId="7A543DAE" w14:textId="77777777" w:rsidR="005066A2" w:rsidRPr="008B16A7" w:rsidRDefault="005066A2" w:rsidP="00544D4A">
      <w:pPr>
        <w:spacing w:after="100" w:line="220" w:lineRule="atLeast"/>
        <w:ind w:left="1134" w:right="1134"/>
        <w:jc w:val="both"/>
        <w:rPr>
          <w:rFonts w:eastAsia="Times New Roman"/>
          <w:b/>
          <w:bCs/>
        </w:rPr>
      </w:pPr>
      <w:r w:rsidRPr="008B16A7">
        <w:t>48.</w:t>
      </w:r>
      <w:r w:rsidRPr="008B16A7">
        <w:tab/>
      </w:r>
      <w:r w:rsidRPr="008B16A7">
        <w:rPr>
          <w:b/>
          <w:bCs/>
        </w:rPr>
        <w:t>Комитет просит государство-участник представить свой следующий периодический доклад к 29 марта 2023 года и включить в него конкретную и обновленную информацию о выполнении рекомендаций, содержащихся в настоящих заключительных замечаниях, а также о применении Пакта в целом.</w:t>
      </w:r>
      <w:r w:rsidRPr="008B16A7">
        <w:t xml:space="preserve"> </w:t>
      </w:r>
      <w:r w:rsidRPr="008B16A7">
        <w:rPr>
          <w:b/>
          <w:bCs/>
        </w:rPr>
        <w:t>Он также просит государство-участник при подготовке своего доклада активно консультироваться с гражданским обществом и действующими в стране неправительственными организациями.</w:t>
      </w:r>
      <w:r w:rsidRPr="008B16A7">
        <w:t xml:space="preserve"> </w:t>
      </w:r>
      <w:r w:rsidRPr="008B16A7">
        <w:rPr>
          <w:b/>
          <w:bCs/>
        </w:rPr>
        <w:t>В соответствии с резолюцией 68/268 Генеральной Ассамблеи объем доклада не должен превышать 21 200 слов.</w:t>
      </w:r>
      <w:r w:rsidRPr="008B16A7">
        <w:t xml:space="preserve"> </w:t>
      </w:r>
      <w:r w:rsidRPr="008B16A7">
        <w:rPr>
          <w:b/>
          <w:bCs/>
        </w:rPr>
        <w:t>Комитет призывает все государства следовать упрощенной процедуре представления докладов.</w:t>
      </w:r>
      <w:r w:rsidRPr="008B16A7">
        <w:t xml:space="preserve"> </w:t>
      </w:r>
      <w:r w:rsidRPr="008B16A7">
        <w:rPr>
          <w:b/>
          <w:bCs/>
        </w:rPr>
        <w:t>В этой связи Комитет просит государство-участник проинформировать его о том, желает ли оно принять упрощенную процедуру представления своего следующего доклада.</w:t>
      </w:r>
      <w:r w:rsidRPr="008B16A7">
        <w:t xml:space="preserve"> </w:t>
      </w:r>
      <w:r w:rsidRPr="008B16A7">
        <w:rPr>
          <w:b/>
          <w:bCs/>
        </w:rPr>
        <w:t>Эта информация должна поступить в Комитет в течение одного года после получения настоящих заключительных замечаний.</w:t>
      </w:r>
      <w:r w:rsidRPr="008B16A7">
        <w:t xml:space="preserve"> </w:t>
      </w:r>
      <w:r w:rsidRPr="008B16A7">
        <w:rPr>
          <w:b/>
          <w:bCs/>
        </w:rPr>
        <w:t>Ответы государства-участника на перечень вопросов, подготовленный Комитетом в соответствии с упрощенной процедурой представления докладов, станут его следующим периодическим докладом, представляемым в соответствии со статьей 40 Пакта.</w:t>
      </w:r>
    </w:p>
    <w:p w14:paraId="0CCF2A82" w14:textId="77777777" w:rsidR="00381C24" w:rsidRPr="005066A2" w:rsidRDefault="005066A2" w:rsidP="004020C5">
      <w:pPr>
        <w:spacing w:before="120" w:after="100"/>
        <w:ind w:left="1134" w:right="1134"/>
        <w:jc w:val="center"/>
      </w:pPr>
      <w:r w:rsidRPr="008B16A7">
        <w:rPr>
          <w:rFonts w:eastAsia="Times New Roman"/>
          <w:u w:val="single"/>
          <w:lang w:eastAsia="fr-CH"/>
        </w:rPr>
        <w:tab/>
      </w:r>
      <w:r w:rsidRPr="008B16A7">
        <w:rPr>
          <w:rFonts w:eastAsia="Times New Roman"/>
          <w:u w:val="single"/>
          <w:lang w:eastAsia="fr-CH"/>
        </w:rPr>
        <w:tab/>
      </w:r>
      <w:r w:rsidRPr="008B16A7">
        <w:rPr>
          <w:rFonts w:eastAsia="Times New Roman"/>
          <w:u w:val="single"/>
          <w:lang w:eastAsia="fr-CH"/>
        </w:rPr>
        <w:tab/>
      </w:r>
      <w:r w:rsidRPr="008B16A7">
        <w:rPr>
          <w:rFonts w:eastAsia="Times New Roman"/>
          <w:u w:val="single"/>
          <w:lang w:eastAsia="fr-CH"/>
        </w:rPr>
        <w:tab/>
      </w:r>
    </w:p>
    <w:sectPr w:rsidR="00381C24" w:rsidRPr="005066A2" w:rsidSect="005066A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F6D84" w14:textId="77777777" w:rsidR="00D272F8" w:rsidRPr="00A312BC" w:rsidRDefault="00D272F8" w:rsidP="00A312BC"/>
  </w:endnote>
  <w:endnote w:type="continuationSeparator" w:id="0">
    <w:p w14:paraId="4114F222" w14:textId="77777777" w:rsidR="00D272F8" w:rsidRPr="00A312BC" w:rsidRDefault="00D272F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558C" w14:textId="77777777" w:rsidR="005066A2" w:rsidRPr="005066A2" w:rsidRDefault="005066A2">
    <w:pPr>
      <w:pStyle w:val="a8"/>
    </w:pPr>
    <w:r w:rsidRPr="005066A2">
      <w:rPr>
        <w:b/>
        <w:sz w:val="18"/>
      </w:rPr>
      <w:fldChar w:fldCharType="begin"/>
    </w:r>
    <w:r w:rsidRPr="005066A2">
      <w:rPr>
        <w:b/>
        <w:sz w:val="18"/>
      </w:rPr>
      <w:instrText xml:space="preserve"> PAGE  \* MERGEFORMAT </w:instrText>
    </w:r>
    <w:r w:rsidRPr="005066A2">
      <w:rPr>
        <w:b/>
        <w:sz w:val="18"/>
      </w:rPr>
      <w:fldChar w:fldCharType="separate"/>
    </w:r>
    <w:r w:rsidRPr="005066A2">
      <w:rPr>
        <w:b/>
        <w:noProof/>
        <w:sz w:val="18"/>
      </w:rPr>
      <w:t>2</w:t>
    </w:r>
    <w:r w:rsidRPr="005066A2">
      <w:rPr>
        <w:b/>
        <w:sz w:val="18"/>
      </w:rPr>
      <w:fldChar w:fldCharType="end"/>
    </w:r>
    <w:r>
      <w:rPr>
        <w:b/>
        <w:sz w:val="18"/>
      </w:rPr>
      <w:tab/>
    </w:r>
    <w:r>
      <w:t>GE.19-08002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1C03" w14:textId="77777777" w:rsidR="005066A2" w:rsidRPr="005066A2" w:rsidRDefault="005066A2" w:rsidP="005066A2">
    <w:pPr>
      <w:pStyle w:val="a8"/>
      <w:tabs>
        <w:tab w:val="clear" w:pos="9639"/>
        <w:tab w:val="right" w:pos="9638"/>
      </w:tabs>
      <w:rPr>
        <w:b/>
        <w:sz w:val="18"/>
      </w:rPr>
    </w:pPr>
    <w:r>
      <w:t>GE.19-08002</w:t>
    </w:r>
    <w:r>
      <w:tab/>
    </w:r>
    <w:r w:rsidRPr="005066A2">
      <w:rPr>
        <w:b/>
        <w:sz w:val="18"/>
      </w:rPr>
      <w:fldChar w:fldCharType="begin"/>
    </w:r>
    <w:r w:rsidRPr="005066A2">
      <w:rPr>
        <w:b/>
        <w:sz w:val="18"/>
      </w:rPr>
      <w:instrText xml:space="preserve"> PAGE  \* MERGEFORMAT </w:instrText>
    </w:r>
    <w:r w:rsidRPr="005066A2">
      <w:rPr>
        <w:b/>
        <w:sz w:val="18"/>
      </w:rPr>
      <w:fldChar w:fldCharType="separate"/>
    </w:r>
    <w:r w:rsidRPr="005066A2">
      <w:rPr>
        <w:b/>
        <w:noProof/>
        <w:sz w:val="18"/>
      </w:rPr>
      <w:t>3</w:t>
    </w:r>
    <w:r w:rsidRPr="005066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0B03" w14:textId="77777777" w:rsidR="00042B72" w:rsidRPr="005066A2" w:rsidRDefault="005066A2" w:rsidP="005066A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F0C6CC8" wp14:editId="0AB5F13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08002  (</w:t>
    </w:r>
    <w:proofErr w:type="gramEnd"/>
    <w:r>
      <w:t>R)</w:t>
    </w:r>
    <w:r w:rsidR="001E70CF">
      <w:t xml:space="preserve">  030619  030619</w:t>
    </w:r>
    <w:r>
      <w:br/>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sidRPr="005066A2">
      <w:rPr>
        <w:rFonts w:ascii="C39T30Lfz" w:hAnsi="C39T30Lfz"/>
        <w:kern w:val="14"/>
        <w:sz w:val="56"/>
      </w:rPr>
      <w:t></w:t>
    </w:r>
    <w:r>
      <w:rPr>
        <w:noProof/>
      </w:rPr>
      <w:drawing>
        <wp:anchor distT="0" distB="0" distL="114300" distR="114300" simplePos="0" relativeHeight="251659264" behindDoc="0" locked="0" layoutInCell="1" allowOverlap="1" wp14:anchorId="1C6251D2" wp14:editId="02E99D9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NER/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1702" w14:textId="77777777" w:rsidR="00D272F8" w:rsidRPr="001075E9" w:rsidRDefault="00D272F8" w:rsidP="001075E9">
      <w:pPr>
        <w:tabs>
          <w:tab w:val="right" w:pos="2155"/>
        </w:tabs>
        <w:spacing w:after="80" w:line="240" w:lineRule="auto"/>
        <w:ind w:left="680"/>
        <w:rPr>
          <w:u w:val="single"/>
        </w:rPr>
      </w:pPr>
      <w:r>
        <w:rPr>
          <w:u w:val="single"/>
        </w:rPr>
        <w:tab/>
      </w:r>
    </w:p>
  </w:footnote>
  <w:footnote w:type="continuationSeparator" w:id="0">
    <w:p w14:paraId="757F6967" w14:textId="77777777" w:rsidR="00D272F8" w:rsidRDefault="00D272F8" w:rsidP="00407B78">
      <w:pPr>
        <w:tabs>
          <w:tab w:val="right" w:pos="2155"/>
        </w:tabs>
        <w:spacing w:after="80"/>
        <w:ind w:left="680"/>
        <w:rPr>
          <w:u w:val="single"/>
        </w:rPr>
      </w:pPr>
      <w:r>
        <w:rPr>
          <w:u w:val="single"/>
        </w:rPr>
        <w:tab/>
      </w:r>
    </w:p>
  </w:footnote>
  <w:footnote w:id="1">
    <w:p w14:paraId="574E6099" w14:textId="77777777" w:rsidR="005066A2" w:rsidRPr="008B16A7" w:rsidRDefault="005066A2" w:rsidP="005066A2">
      <w:pPr>
        <w:pStyle w:val="ad"/>
      </w:pPr>
      <w:r>
        <w:tab/>
      </w:r>
      <w:r w:rsidRPr="005066A2">
        <w:rPr>
          <w:sz w:val="20"/>
        </w:rPr>
        <w:t>*</w:t>
      </w:r>
      <w:r>
        <w:tab/>
        <w:t>Приняты Комитетом на его 125-й сессии (4</w:t>
      </w:r>
      <w:r w:rsidRPr="008B16A7">
        <w:t>–</w:t>
      </w:r>
      <w:r>
        <w:t>29 марта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654F" w14:textId="31DB805D" w:rsidR="005066A2" w:rsidRPr="005066A2" w:rsidRDefault="005066A2">
    <w:pPr>
      <w:pStyle w:val="a5"/>
    </w:pPr>
    <w:fldSimple w:instr=" TITLE  \* MERGEFORMAT ">
      <w:r w:rsidR="00677AFD">
        <w:t>CCPR/C/NER/CO/2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F9E7" w14:textId="1E068DE6" w:rsidR="005066A2" w:rsidRPr="005066A2" w:rsidRDefault="005066A2" w:rsidP="005066A2">
    <w:pPr>
      <w:pStyle w:val="a5"/>
      <w:jc w:val="right"/>
    </w:pPr>
    <w:fldSimple w:instr=" TITLE  \* MERGEFORMAT ">
      <w:r w:rsidR="00677AFD">
        <w:t>CCPR/C/NER/CO/2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F8"/>
    <w:rsid w:val="00033EE1"/>
    <w:rsid w:val="00042B72"/>
    <w:rsid w:val="000558BD"/>
    <w:rsid w:val="000B0A69"/>
    <w:rsid w:val="000B57E7"/>
    <w:rsid w:val="000B6373"/>
    <w:rsid w:val="000F09DF"/>
    <w:rsid w:val="000F61B2"/>
    <w:rsid w:val="001075E9"/>
    <w:rsid w:val="00180183"/>
    <w:rsid w:val="0018024D"/>
    <w:rsid w:val="0018649F"/>
    <w:rsid w:val="00196389"/>
    <w:rsid w:val="001A6932"/>
    <w:rsid w:val="001B3EF6"/>
    <w:rsid w:val="001C7A89"/>
    <w:rsid w:val="001E70CF"/>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0E35"/>
    <w:rsid w:val="004020C5"/>
    <w:rsid w:val="00407B78"/>
    <w:rsid w:val="00424203"/>
    <w:rsid w:val="00452493"/>
    <w:rsid w:val="00454E07"/>
    <w:rsid w:val="00472C5C"/>
    <w:rsid w:val="004969B2"/>
    <w:rsid w:val="0050108D"/>
    <w:rsid w:val="005066A2"/>
    <w:rsid w:val="00513081"/>
    <w:rsid w:val="00517901"/>
    <w:rsid w:val="005220EA"/>
    <w:rsid w:val="00526683"/>
    <w:rsid w:val="00544D4A"/>
    <w:rsid w:val="005709E0"/>
    <w:rsid w:val="00572E19"/>
    <w:rsid w:val="00573799"/>
    <w:rsid w:val="005961C8"/>
    <w:rsid w:val="005D7914"/>
    <w:rsid w:val="005E2B41"/>
    <w:rsid w:val="005F0B42"/>
    <w:rsid w:val="006318B9"/>
    <w:rsid w:val="00666B97"/>
    <w:rsid w:val="00677AFD"/>
    <w:rsid w:val="00681A10"/>
    <w:rsid w:val="006A1ED8"/>
    <w:rsid w:val="006C2031"/>
    <w:rsid w:val="006D461A"/>
    <w:rsid w:val="006F35EE"/>
    <w:rsid w:val="007021FF"/>
    <w:rsid w:val="007029A9"/>
    <w:rsid w:val="00712895"/>
    <w:rsid w:val="007521B3"/>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9D6653"/>
    <w:rsid w:val="00A14DA8"/>
    <w:rsid w:val="00A312BC"/>
    <w:rsid w:val="00A34D07"/>
    <w:rsid w:val="00A84021"/>
    <w:rsid w:val="00A84D35"/>
    <w:rsid w:val="00A917B3"/>
    <w:rsid w:val="00AB4B51"/>
    <w:rsid w:val="00AC63ED"/>
    <w:rsid w:val="00AD255E"/>
    <w:rsid w:val="00AD6F87"/>
    <w:rsid w:val="00B10CC7"/>
    <w:rsid w:val="00B136DB"/>
    <w:rsid w:val="00B51DB9"/>
    <w:rsid w:val="00B539E7"/>
    <w:rsid w:val="00B62458"/>
    <w:rsid w:val="00BC18B2"/>
    <w:rsid w:val="00BC3629"/>
    <w:rsid w:val="00BC5AE9"/>
    <w:rsid w:val="00BD33EE"/>
    <w:rsid w:val="00BF1A04"/>
    <w:rsid w:val="00C0177C"/>
    <w:rsid w:val="00C106D6"/>
    <w:rsid w:val="00C46D5A"/>
    <w:rsid w:val="00C60F0C"/>
    <w:rsid w:val="00C805C9"/>
    <w:rsid w:val="00C92939"/>
    <w:rsid w:val="00CA1679"/>
    <w:rsid w:val="00CB151C"/>
    <w:rsid w:val="00CE5A1A"/>
    <w:rsid w:val="00CF55F6"/>
    <w:rsid w:val="00D272F8"/>
    <w:rsid w:val="00D33D63"/>
    <w:rsid w:val="00D4151E"/>
    <w:rsid w:val="00D90028"/>
    <w:rsid w:val="00D90138"/>
    <w:rsid w:val="00D9090B"/>
    <w:rsid w:val="00DD78D1"/>
    <w:rsid w:val="00DE32CD"/>
    <w:rsid w:val="00DF71B9"/>
    <w:rsid w:val="00E005F7"/>
    <w:rsid w:val="00E06BEE"/>
    <w:rsid w:val="00E23182"/>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25799"/>
  <w15:docId w15:val="{E7641D52-91DE-48B7-902B-C51CB9D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n,f"/>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n Знак,f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5066A2"/>
    <w:rPr>
      <w:lang w:val="ru-RU" w:eastAsia="en-US"/>
    </w:rPr>
  </w:style>
  <w:style w:type="character" w:customStyle="1" w:styleId="H1GChar">
    <w:name w:val="_ H_1_G Char"/>
    <w:link w:val="H1G"/>
    <w:locked/>
    <w:rsid w:val="005066A2"/>
    <w:rPr>
      <w:b/>
      <w:sz w:val="24"/>
      <w:lang w:val="ru-RU" w:eastAsia="ru-RU"/>
    </w:rPr>
  </w:style>
  <w:style w:type="character" w:customStyle="1" w:styleId="H23GChar">
    <w:name w:val="_ H_2/3_G Char"/>
    <w:link w:val="H23G"/>
    <w:locked/>
    <w:rsid w:val="005066A2"/>
    <w:rPr>
      <w:b/>
      <w:lang w:val="ru-RU" w:eastAsia="ru-RU"/>
    </w:rPr>
  </w:style>
  <w:style w:type="character" w:customStyle="1" w:styleId="HChGChar">
    <w:name w:val="_ H _Ch_G Char"/>
    <w:link w:val="HChG"/>
    <w:locked/>
    <w:rsid w:val="005066A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B4FC-ED55-40F7-9F96-15FE084D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4371</Words>
  <Characters>30166</Characters>
  <Application>Microsoft Office Word</Application>
  <DocSecurity>0</DocSecurity>
  <Lines>529</Lines>
  <Paragraphs>106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CCPR/C/NER/CO/2</vt:lpstr>
      <vt:lpstr>A/</vt:lpstr>
      <vt:lpstr>A/</vt:lpstr>
    </vt:vector>
  </TitlesOfParts>
  <Company>DCM</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CCPR/C/NER/CO/2</dc:title>
  <dc:subject/>
  <dc:creator>Ekaterina SALYNSKAYA</dc:creator>
  <cp:keywords/>
  <cp:lastModifiedBy>Ekaterina Salynskaya</cp:lastModifiedBy>
  <cp:revision>3</cp:revision>
  <cp:lastPrinted>2019-06-03T12:47:00Z</cp:lastPrinted>
  <dcterms:created xsi:type="dcterms:W3CDTF">2019-06-03T12:46:00Z</dcterms:created>
  <dcterms:modified xsi:type="dcterms:W3CDTF">2019-06-03T12:47:00Z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