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FC05A1" w14:paraId="5EB31A73" w14:textId="77777777" w:rsidTr="00E6618E">
        <w:trPr>
          <w:trHeight w:hRule="exact" w:val="851"/>
        </w:trPr>
        <w:tc>
          <w:tcPr>
            <w:tcW w:w="1276" w:type="dxa"/>
            <w:tcBorders>
              <w:bottom w:val="single" w:sz="4" w:space="0" w:color="auto"/>
            </w:tcBorders>
          </w:tcPr>
          <w:p w14:paraId="59DF86A9" w14:textId="77777777" w:rsidR="00A12E20" w:rsidRPr="0039758F" w:rsidRDefault="00A12E20" w:rsidP="0047283B">
            <w:pPr>
              <w:rPr>
                <w:lang w:val="en-GB"/>
              </w:rPr>
            </w:pPr>
          </w:p>
        </w:tc>
        <w:tc>
          <w:tcPr>
            <w:tcW w:w="2268" w:type="dxa"/>
            <w:tcBorders>
              <w:bottom w:val="single" w:sz="4" w:space="0" w:color="auto"/>
            </w:tcBorders>
            <w:vAlign w:val="bottom"/>
          </w:tcPr>
          <w:p w14:paraId="6F3DE280"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2731ED" w14:textId="2F15C1CD" w:rsidR="00A12E20" w:rsidRPr="00887ED9" w:rsidRDefault="00865AA7" w:rsidP="00447C7B">
            <w:pPr>
              <w:jc w:val="right"/>
              <w:rPr>
                <w:lang w:val="en-GB"/>
              </w:rPr>
            </w:pPr>
            <w:r w:rsidRPr="00887ED9">
              <w:rPr>
                <w:sz w:val="40"/>
                <w:lang w:val="en-GB"/>
              </w:rPr>
              <w:t>CCPR</w:t>
            </w:r>
            <w:r w:rsidR="00447C7B" w:rsidRPr="00887ED9">
              <w:rPr>
                <w:lang w:val="en-GB"/>
              </w:rPr>
              <w:t>/C/NER</w:t>
            </w:r>
            <w:r w:rsidRPr="00887ED9">
              <w:rPr>
                <w:lang w:val="en-GB"/>
              </w:rPr>
              <w:t>/</w:t>
            </w:r>
            <w:r w:rsidR="00447C7B" w:rsidRPr="00887ED9">
              <w:rPr>
                <w:lang w:val="en-GB"/>
              </w:rPr>
              <w:t>CO</w:t>
            </w:r>
            <w:r w:rsidRPr="00887ED9">
              <w:rPr>
                <w:lang w:val="en-GB"/>
              </w:rPr>
              <w:t>/</w:t>
            </w:r>
            <w:r w:rsidR="00447C7B" w:rsidRPr="00887ED9">
              <w:rPr>
                <w:lang w:val="en-GB"/>
              </w:rPr>
              <w:t>2</w:t>
            </w:r>
          </w:p>
        </w:tc>
      </w:tr>
      <w:tr w:rsidR="00A12E20" w:rsidRPr="00DB58B5" w14:paraId="7F25EAA3" w14:textId="77777777" w:rsidTr="00E6618E">
        <w:trPr>
          <w:trHeight w:hRule="exact" w:val="2835"/>
        </w:trPr>
        <w:tc>
          <w:tcPr>
            <w:tcW w:w="1276" w:type="dxa"/>
            <w:tcBorders>
              <w:top w:val="single" w:sz="4" w:space="0" w:color="auto"/>
              <w:bottom w:val="single" w:sz="12" w:space="0" w:color="auto"/>
            </w:tcBorders>
          </w:tcPr>
          <w:p w14:paraId="180AA750" w14:textId="77777777" w:rsidR="00A12E20" w:rsidRPr="00DB58B5" w:rsidRDefault="00A12E20" w:rsidP="00E6618E">
            <w:pPr>
              <w:spacing w:before="120"/>
              <w:jc w:val="center"/>
            </w:pPr>
            <w:r>
              <w:rPr>
                <w:noProof/>
                <w:lang w:eastAsia="fr-CH"/>
              </w:rPr>
              <w:drawing>
                <wp:inline distT="0" distB="0" distL="0" distR="0" wp14:anchorId="5BA5B088" wp14:editId="7E7248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A7D775" w14:textId="09D07CEE" w:rsidR="00A12E20" w:rsidRPr="00740562" w:rsidRDefault="00770B71" w:rsidP="00E6618E">
            <w:pPr>
              <w:spacing w:before="120" w:line="420" w:lineRule="exact"/>
              <w:rPr>
                <w:b/>
                <w:sz w:val="40"/>
                <w:szCs w:val="40"/>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40175DB" w14:textId="27B30260" w:rsidR="00263EA9" w:rsidRDefault="00263EA9" w:rsidP="00EC5718">
            <w:pPr>
              <w:spacing w:before="120"/>
            </w:pPr>
            <w:proofErr w:type="spellStart"/>
            <w:r>
              <w:t>Distr</w:t>
            </w:r>
            <w:proofErr w:type="spellEnd"/>
            <w:r>
              <w:t>.</w:t>
            </w:r>
            <w:r w:rsidR="0014167C">
              <w:t xml:space="preserve"> </w:t>
            </w:r>
            <w:r w:rsidR="007A4D3C">
              <w:t>g</w:t>
            </w:r>
            <w:r w:rsidR="00EC5718">
              <w:t>é</w:t>
            </w:r>
            <w:r w:rsidR="007A4D3C">
              <w:t>n</w:t>
            </w:r>
            <w:r w:rsidR="00EC5718">
              <w:t>é</w:t>
            </w:r>
            <w:r w:rsidR="007A4D3C">
              <w:t>rale</w:t>
            </w:r>
          </w:p>
          <w:p w14:paraId="4712F793" w14:textId="489D2F03" w:rsidR="00263EA9" w:rsidRDefault="00FF75D0" w:rsidP="00302345">
            <w:pPr>
              <w:spacing w:line="240" w:lineRule="exact"/>
            </w:pPr>
            <w:r>
              <w:t xml:space="preserve">16 </w:t>
            </w:r>
            <w:r w:rsidR="00EC1EA7">
              <w:t>mai</w:t>
            </w:r>
            <w:r w:rsidR="008B1C12">
              <w:t xml:space="preserve"> 2019</w:t>
            </w:r>
          </w:p>
          <w:p w14:paraId="394F4C57" w14:textId="77777777" w:rsidR="008B1C12" w:rsidRDefault="008B1C12" w:rsidP="00263EA9">
            <w:pPr>
              <w:spacing w:line="240" w:lineRule="exact"/>
            </w:pPr>
          </w:p>
          <w:p w14:paraId="3DB091E7" w14:textId="63CA1008" w:rsidR="005F0529" w:rsidRDefault="005F0529" w:rsidP="00263EA9">
            <w:pPr>
              <w:spacing w:line="240" w:lineRule="exact"/>
            </w:pPr>
            <w:r>
              <w:t xml:space="preserve">Original : </w:t>
            </w:r>
            <w:r w:rsidR="008B1C12">
              <w:t>f</w:t>
            </w:r>
            <w:r w:rsidR="00263EA9">
              <w:t>rançais</w:t>
            </w:r>
          </w:p>
          <w:p w14:paraId="39DA1A0B" w14:textId="19C89828" w:rsidR="0047283B" w:rsidRPr="00DB58B5" w:rsidRDefault="0047283B" w:rsidP="005F0529">
            <w:pPr>
              <w:spacing w:line="240" w:lineRule="exact"/>
            </w:pPr>
          </w:p>
        </w:tc>
      </w:tr>
    </w:tbl>
    <w:p w14:paraId="6CA77CD4" w14:textId="48211052" w:rsidR="00D45432" w:rsidRDefault="002654F6" w:rsidP="00D45432">
      <w:pPr>
        <w:spacing w:before="120"/>
        <w:rPr>
          <w:b/>
          <w:sz w:val="24"/>
          <w:szCs w:val="24"/>
        </w:rPr>
      </w:pPr>
      <w:r>
        <w:rPr>
          <w:b/>
          <w:sz w:val="24"/>
          <w:szCs w:val="24"/>
        </w:rPr>
        <w:t>Comité des droits de l’homme</w:t>
      </w:r>
    </w:p>
    <w:p w14:paraId="7E216796" w14:textId="1391F9B6" w:rsidR="00447C7B" w:rsidRPr="00447C7B" w:rsidRDefault="0006221B" w:rsidP="00D542DC">
      <w:pPr>
        <w:pStyle w:val="HChG"/>
      </w:pPr>
      <w:r>
        <w:tab/>
      </w:r>
      <w:r>
        <w:tab/>
      </w:r>
      <w:r w:rsidRPr="00F41E68">
        <w:tab/>
      </w:r>
      <w:r w:rsidR="00447C7B" w:rsidRPr="00447C7B">
        <w:rPr>
          <w:rFonts w:eastAsia="Times New Roman"/>
        </w:rPr>
        <w:t>Observations finales concernant le deuxième rapport périodique du Niger</w:t>
      </w:r>
      <w:r w:rsidR="007A4D3C" w:rsidRPr="00D542DC">
        <w:rPr>
          <w:b w:val="0"/>
          <w:bCs/>
          <w:sz w:val="20"/>
        </w:rPr>
        <w:footnoteReference w:customMarkFollows="1" w:id="2"/>
        <w:t>*</w:t>
      </w:r>
    </w:p>
    <w:p w14:paraId="628FD0F0" w14:textId="1C80E323" w:rsidR="00447C7B" w:rsidRPr="00447C7B" w:rsidRDefault="00447C7B" w:rsidP="00AC67AF">
      <w:pPr>
        <w:pStyle w:val="SingleTxtG"/>
      </w:pPr>
      <w:r w:rsidRPr="00447C7B">
        <w:t>1.</w:t>
      </w:r>
      <w:r w:rsidRPr="00447C7B">
        <w:tab/>
        <w:t xml:space="preserve">Le Comité </w:t>
      </w:r>
      <w:r w:rsidR="00EC5718">
        <w:t xml:space="preserve">des droits de l’homme </w:t>
      </w:r>
      <w:r w:rsidRPr="00447C7B">
        <w:t xml:space="preserve">a examiné le deuxième rapport périodique du Niger (CCPR/C/NER/2) à ses </w:t>
      </w:r>
      <w:r w:rsidRPr="00D3773D">
        <w:t>3574</w:t>
      </w:r>
      <w:r w:rsidRPr="00D3773D">
        <w:rPr>
          <w:vertAlign w:val="superscript"/>
        </w:rPr>
        <w:t>e</w:t>
      </w:r>
      <w:r w:rsidRPr="00D3773D">
        <w:t xml:space="preserve"> et 3575</w:t>
      </w:r>
      <w:r w:rsidRPr="00D3773D">
        <w:rPr>
          <w:vertAlign w:val="superscript"/>
        </w:rPr>
        <w:t>e</w:t>
      </w:r>
      <w:r w:rsidRPr="00D3773D">
        <w:t> séances</w:t>
      </w:r>
      <w:r w:rsidR="009A7039" w:rsidRPr="00D3773D">
        <w:t xml:space="preserve"> (voir CCPR/C/SR.3574 et</w:t>
      </w:r>
      <w:r w:rsidR="00AC67AF" w:rsidRPr="00D3773D">
        <w:t> </w:t>
      </w:r>
      <w:r w:rsidR="009A7039" w:rsidRPr="00D3773D">
        <w:t>3575)</w:t>
      </w:r>
      <w:r w:rsidRPr="00D3773D">
        <w:t xml:space="preserve"> les 6 et 7 mars 2019</w:t>
      </w:r>
      <w:r w:rsidRPr="00447C7B">
        <w:t xml:space="preserve">. À sa </w:t>
      </w:r>
      <w:r w:rsidRPr="00D3773D">
        <w:t>3597</w:t>
      </w:r>
      <w:r w:rsidR="00FB7120" w:rsidRPr="00D542DC">
        <w:rPr>
          <w:vertAlign w:val="superscript"/>
        </w:rPr>
        <w:t>e</w:t>
      </w:r>
      <w:r w:rsidR="00FB7120" w:rsidRPr="00D3773D">
        <w:t xml:space="preserve"> séance</w:t>
      </w:r>
      <w:r w:rsidRPr="00D3773D">
        <w:t>, le 22 mars 2019</w:t>
      </w:r>
      <w:r w:rsidRPr="00447C7B">
        <w:t>, il a adopté les observations finales ci-après.</w:t>
      </w:r>
    </w:p>
    <w:p w14:paraId="424F734F" w14:textId="77777777" w:rsidR="00447C7B" w:rsidRPr="00447C7B" w:rsidRDefault="00447C7B" w:rsidP="00447C7B">
      <w:pPr>
        <w:pStyle w:val="H1G"/>
      </w:pPr>
      <w:r w:rsidRPr="00447C7B">
        <w:tab/>
        <w:t>A.</w:t>
      </w:r>
      <w:r w:rsidRPr="00447C7B">
        <w:tab/>
        <w:t>Introduction</w:t>
      </w:r>
    </w:p>
    <w:p w14:paraId="7D077BA8" w14:textId="03C3A6A5" w:rsidR="00447C7B" w:rsidRPr="00447C7B" w:rsidRDefault="00447C7B" w:rsidP="00EC1EA7">
      <w:pPr>
        <w:pStyle w:val="SingleTxtG"/>
      </w:pPr>
      <w:r w:rsidRPr="00447C7B">
        <w:t>2.</w:t>
      </w:r>
      <w:r w:rsidRPr="00447C7B">
        <w:tab/>
        <w:t xml:space="preserve">Le Comité sait gré à l’État partie </w:t>
      </w:r>
      <w:r w:rsidR="00A7702B">
        <w:t xml:space="preserve">de lui </w:t>
      </w:r>
      <w:r w:rsidRPr="00447C7B">
        <w:t>avoir soumis, quoiqu’avec un retard considérable, son deuxième rapport périodique. Le Comité apprécie l’occasion qui lui a été donnée d’engager un dialogue constructif avec la délégation de haut niveau de l’État partie sur les mesures prises par celui-ci pour donner effet aux dispositions du Pacte. Il remercie également l’État partie pour les réponses</w:t>
      </w:r>
      <w:r w:rsidR="00A7702B">
        <w:t xml:space="preserve"> écrites (CCPR/C/NER/Q/2/Add.1)</w:t>
      </w:r>
      <w:r w:rsidRPr="00447C7B">
        <w:t xml:space="preserve"> à sa liste de points</w:t>
      </w:r>
      <w:r w:rsidR="00A7702B">
        <w:t xml:space="preserve"> (CCP</w:t>
      </w:r>
      <w:r w:rsidR="00EC1EA7">
        <w:t>R</w:t>
      </w:r>
      <w:r w:rsidR="00A7702B">
        <w:t>/C/NER/Q/2)</w:t>
      </w:r>
      <w:r w:rsidRPr="00447C7B">
        <w:t>, ainsi que pour les informations additionnelles écrites transmises au Comité après le dialogue.</w:t>
      </w:r>
    </w:p>
    <w:p w14:paraId="231FD3B2" w14:textId="77777777" w:rsidR="00447C7B" w:rsidRPr="00447C7B" w:rsidRDefault="00447C7B" w:rsidP="00AD166B">
      <w:pPr>
        <w:pStyle w:val="H1G"/>
        <w:spacing w:before="280"/>
      </w:pPr>
      <w:r w:rsidRPr="00447C7B">
        <w:tab/>
        <w:t>B.</w:t>
      </w:r>
      <w:r w:rsidRPr="00447C7B">
        <w:tab/>
        <w:t>Aspe</w:t>
      </w:r>
      <w:bookmarkStart w:id="0" w:name="_GoBack"/>
      <w:bookmarkEnd w:id="0"/>
      <w:r w:rsidRPr="00447C7B">
        <w:t>cts positifs</w:t>
      </w:r>
    </w:p>
    <w:p w14:paraId="17090A4A" w14:textId="3696045A" w:rsidR="00447C7B" w:rsidRPr="00447C7B" w:rsidRDefault="00447C7B" w:rsidP="00AC67AF">
      <w:pPr>
        <w:spacing w:after="120"/>
        <w:ind w:left="1134" w:right="1134"/>
        <w:jc w:val="both"/>
        <w:rPr>
          <w:rFonts w:eastAsia="Times New Roman"/>
        </w:rPr>
      </w:pPr>
      <w:r w:rsidRPr="00447C7B">
        <w:rPr>
          <w:rFonts w:eastAsia="Times New Roman"/>
        </w:rPr>
        <w:t>3.</w:t>
      </w:r>
      <w:r w:rsidRPr="00447C7B">
        <w:rPr>
          <w:rFonts w:eastAsia="Times New Roman"/>
        </w:rPr>
        <w:tab/>
        <w:t xml:space="preserve">Le Comité salue </w:t>
      </w:r>
      <w:r w:rsidR="00AC67AF">
        <w:rPr>
          <w:rFonts w:eastAsia="Times New Roman"/>
        </w:rPr>
        <w:t>l’adoption par l’État partie des</w:t>
      </w:r>
      <w:r w:rsidRPr="00447C7B">
        <w:rPr>
          <w:rFonts w:eastAsia="Times New Roman"/>
        </w:rPr>
        <w:t xml:space="preserve"> mesures législatives et institutionnelles </w:t>
      </w:r>
      <w:r w:rsidR="00EC1EA7">
        <w:rPr>
          <w:rFonts w:eastAsia="Times New Roman"/>
        </w:rPr>
        <w:t>ci-après</w:t>
      </w:r>
      <w:r w:rsidRPr="00447C7B">
        <w:rPr>
          <w:rFonts w:eastAsia="Times New Roman"/>
        </w:rPr>
        <w:t> :</w:t>
      </w:r>
    </w:p>
    <w:p w14:paraId="50DC7C51" w14:textId="750FE8C5" w:rsidR="00447C7B" w:rsidRPr="00447C7B" w:rsidRDefault="00D74CF4" w:rsidP="00D542DC">
      <w:pPr>
        <w:pStyle w:val="SingleTxtG"/>
        <w:ind w:firstLine="567"/>
      </w:pPr>
      <w:r>
        <w:t>a)</w:t>
      </w:r>
      <w:r>
        <w:tab/>
      </w:r>
      <w:r w:rsidR="00447C7B" w:rsidRPr="00447C7B">
        <w:t xml:space="preserve">L’adoption de la </w:t>
      </w:r>
      <w:r w:rsidR="007543C9">
        <w:t>l</w:t>
      </w:r>
      <w:r w:rsidR="00447C7B" w:rsidRPr="00447C7B">
        <w:t xml:space="preserve">oi </w:t>
      </w:r>
      <w:r w:rsidR="004C4F01" w:rsidRPr="00447C7B">
        <w:rPr>
          <w:rFonts w:eastAsia="Times New Roman"/>
        </w:rPr>
        <w:t>n</w:t>
      </w:r>
      <w:r w:rsidR="004C4F01" w:rsidRPr="003E0C87">
        <w:rPr>
          <w:rFonts w:eastAsia="Times New Roman"/>
          <w:vertAlign w:val="superscript"/>
        </w:rPr>
        <w:t>o</w:t>
      </w:r>
      <w:r w:rsidR="004C4F01">
        <w:rPr>
          <w:rFonts w:eastAsia="Times New Roman"/>
        </w:rPr>
        <w:t> </w:t>
      </w:r>
      <w:r w:rsidR="00447C7B" w:rsidRPr="00D3773D">
        <w:t>2000-008 du 7 juin 2000</w:t>
      </w:r>
      <w:r w:rsidR="00447C7B" w:rsidRPr="00447C7B">
        <w:t xml:space="preserve">, complétée par la </w:t>
      </w:r>
      <w:r w:rsidR="007543C9">
        <w:t>l</w:t>
      </w:r>
      <w:r w:rsidR="00447C7B" w:rsidRPr="00447C7B">
        <w:t xml:space="preserve">oi </w:t>
      </w:r>
      <w:r w:rsidR="004C4F01" w:rsidRPr="00447C7B">
        <w:rPr>
          <w:rFonts w:eastAsia="Times New Roman"/>
        </w:rPr>
        <w:t>n</w:t>
      </w:r>
      <w:r w:rsidR="004C4F01" w:rsidRPr="003E0C87">
        <w:rPr>
          <w:rFonts w:eastAsia="Times New Roman"/>
          <w:vertAlign w:val="superscript"/>
        </w:rPr>
        <w:t>o</w:t>
      </w:r>
      <w:r w:rsidR="004C4F01">
        <w:rPr>
          <w:rFonts w:eastAsia="Times New Roman"/>
        </w:rPr>
        <w:t> </w:t>
      </w:r>
      <w:r w:rsidR="00447C7B" w:rsidRPr="00D3773D">
        <w:t>2014-64 du 5 novembre 2014</w:t>
      </w:r>
      <w:r w:rsidR="00447C7B" w:rsidRPr="00447C7B">
        <w:t>, instituant un système de quota en vue de favoriser la représentation des femmes dans les fonctions électives, au Gouvernement et dans l’administration de l’</w:t>
      </w:r>
      <w:r w:rsidR="004D5B81">
        <w:t>É</w:t>
      </w:r>
      <w:r w:rsidR="00447C7B" w:rsidRPr="00447C7B">
        <w:t>tat</w:t>
      </w:r>
      <w:r w:rsidR="00E16E8F">
        <w:t xml:space="preserve"> partie</w:t>
      </w:r>
      <w:r w:rsidR="004D5B81">
        <w:t> </w:t>
      </w:r>
      <w:r w:rsidR="00447C7B" w:rsidRPr="00447C7B">
        <w:t>;</w:t>
      </w:r>
    </w:p>
    <w:p w14:paraId="359A1B8C" w14:textId="13CDBCAF" w:rsidR="00447C7B" w:rsidRPr="00447C7B" w:rsidRDefault="00D74CF4" w:rsidP="00D542DC">
      <w:pPr>
        <w:pStyle w:val="SingleTxtG"/>
        <w:ind w:firstLine="567"/>
      </w:pPr>
      <w:r>
        <w:t>b)</w:t>
      </w:r>
      <w:r>
        <w:tab/>
      </w:r>
      <w:r w:rsidR="00447C7B" w:rsidRPr="00447C7B">
        <w:t>L</w:t>
      </w:r>
      <w:r w:rsidR="009D07E3">
        <w:t>’</w:t>
      </w:r>
      <w:r w:rsidR="00447C7B" w:rsidRPr="00447C7B">
        <w:t xml:space="preserve">adoption de la </w:t>
      </w:r>
      <w:r w:rsidR="004D5B81">
        <w:t>l</w:t>
      </w:r>
      <w:r w:rsidR="00447C7B" w:rsidRPr="00447C7B">
        <w:t xml:space="preserve">oi </w:t>
      </w:r>
      <w:r w:rsidR="004C4F01" w:rsidRPr="00447C7B">
        <w:rPr>
          <w:rFonts w:eastAsia="Times New Roman"/>
        </w:rPr>
        <w:t>n</w:t>
      </w:r>
      <w:r w:rsidR="004C4F01" w:rsidRPr="003E0C87">
        <w:rPr>
          <w:rFonts w:eastAsia="Times New Roman"/>
          <w:vertAlign w:val="superscript"/>
        </w:rPr>
        <w:t>o</w:t>
      </w:r>
      <w:r w:rsidR="004C4F01">
        <w:rPr>
          <w:rFonts w:eastAsia="Times New Roman"/>
        </w:rPr>
        <w:t> </w:t>
      </w:r>
      <w:r w:rsidR="00447C7B" w:rsidRPr="00392D28">
        <w:t>2003-25 du 13 juin 2003</w:t>
      </w:r>
      <w:r w:rsidR="00447C7B" w:rsidRPr="00447C7B">
        <w:t xml:space="preserve">, </w:t>
      </w:r>
      <w:r w:rsidR="00940CE0">
        <w:t>modifiant la loi n</w:t>
      </w:r>
      <w:r w:rsidR="00940CE0" w:rsidRPr="00D542DC">
        <w:rPr>
          <w:vertAlign w:val="superscript"/>
        </w:rPr>
        <w:t>o</w:t>
      </w:r>
      <w:r w:rsidR="00940CE0">
        <w:t xml:space="preserve"> 61-27 du 15 juillet 1961, portant institution du Code pénal, </w:t>
      </w:r>
      <w:r w:rsidR="00447C7B" w:rsidRPr="00447C7B">
        <w:t>qui incrimine les mutilations génitales féminines</w:t>
      </w:r>
      <w:r w:rsidR="004D5B81">
        <w:t> </w:t>
      </w:r>
      <w:r w:rsidR="00447C7B" w:rsidRPr="00447C7B">
        <w:t>;</w:t>
      </w:r>
    </w:p>
    <w:p w14:paraId="741FA7D1" w14:textId="1C16F5C4" w:rsidR="00447C7B" w:rsidRPr="00447C7B" w:rsidRDefault="00D74CF4" w:rsidP="00D542DC">
      <w:pPr>
        <w:pStyle w:val="SingleTxtG"/>
        <w:ind w:firstLine="567"/>
      </w:pPr>
      <w:r>
        <w:t>c)</w:t>
      </w:r>
      <w:r>
        <w:tab/>
      </w:r>
      <w:r w:rsidR="00447C7B" w:rsidRPr="00447C7B">
        <w:t>L’adoption de l’</w:t>
      </w:r>
      <w:r w:rsidR="00DF5B8E">
        <w:t>o</w:t>
      </w:r>
      <w:r w:rsidR="00447C7B" w:rsidRPr="00447C7B">
        <w:t xml:space="preserve">rdonnance </w:t>
      </w:r>
      <w:r w:rsidR="004C4F01" w:rsidRPr="00447C7B">
        <w:rPr>
          <w:rFonts w:eastAsia="Times New Roman"/>
        </w:rPr>
        <w:t>n</w:t>
      </w:r>
      <w:r w:rsidR="004C4F01" w:rsidRPr="003E0C87">
        <w:rPr>
          <w:rFonts w:eastAsia="Times New Roman"/>
          <w:vertAlign w:val="superscript"/>
        </w:rPr>
        <w:t>o</w:t>
      </w:r>
      <w:r w:rsidR="004C4F01">
        <w:rPr>
          <w:rFonts w:eastAsia="Times New Roman"/>
        </w:rPr>
        <w:t> </w:t>
      </w:r>
      <w:r w:rsidR="00447C7B" w:rsidRPr="00D3773D">
        <w:t>2010-86 du 16 décembre 2010</w:t>
      </w:r>
      <w:r w:rsidR="00447C7B" w:rsidRPr="00447C7B">
        <w:t xml:space="preserve"> relative à la lutte contre la traite des personnes ;</w:t>
      </w:r>
    </w:p>
    <w:p w14:paraId="7D75F495" w14:textId="7B70BFF5" w:rsidR="00447C7B" w:rsidRPr="00447C7B" w:rsidRDefault="00D74CF4" w:rsidP="00D542DC">
      <w:pPr>
        <w:pStyle w:val="SingleTxtG"/>
        <w:ind w:firstLine="567"/>
      </w:pPr>
      <w:r>
        <w:t>d)</w:t>
      </w:r>
      <w:r>
        <w:tab/>
      </w:r>
      <w:r w:rsidR="00447C7B" w:rsidRPr="00447C7B">
        <w:t xml:space="preserve">L’adoption de la </w:t>
      </w:r>
      <w:r w:rsidR="00DF5B8E">
        <w:t>l</w:t>
      </w:r>
      <w:r w:rsidR="00447C7B" w:rsidRPr="00447C7B">
        <w:t xml:space="preserve">oi </w:t>
      </w:r>
      <w:r w:rsidR="004C4F01" w:rsidRPr="00447C7B">
        <w:rPr>
          <w:rFonts w:eastAsia="Times New Roman"/>
        </w:rPr>
        <w:t>n</w:t>
      </w:r>
      <w:r w:rsidR="004C4F01" w:rsidRPr="003E0C87">
        <w:rPr>
          <w:rFonts w:eastAsia="Times New Roman"/>
          <w:vertAlign w:val="superscript"/>
        </w:rPr>
        <w:t>o</w:t>
      </w:r>
      <w:r w:rsidR="004C4F01">
        <w:rPr>
          <w:rFonts w:eastAsia="Times New Roman"/>
        </w:rPr>
        <w:t> </w:t>
      </w:r>
      <w:r w:rsidR="00447C7B" w:rsidRPr="00D3773D">
        <w:t>2014-60 du 5 novembre 2014</w:t>
      </w:r>
      <w:r w:rsidR="00447C7B" w:rsidRPr="00447C7B">
        <w:t xml:space="preserve">, portant </w:t>
      </w:r>
      <w:r w:rsidR="00DF5B8E">
        <w:t>c</w:t>
      </w:r>
      <w:r w:rsidR="00447C7B" w:rsidRPr="00447C7B">
        <w:t>ode de la nationalité nigérienne et reconnai</w:t>
      </w:r>
      <w:r w:rsidR="00DF5B8E">
        <w:t>ssan</w:t>
      </w:r>
      <w:r w:rsidR="00447C7B" w:rsidRPr="00447C7B">
        <w:t>t à la femme le droit de transmettre sa nationalité nigérienne à son mari étranger ;</w:t>
      </w:r>
    </w:p>
    <w:p w14:paraId="3134FB7B" w14:textId="4FF84C66" w:rsidR="00447C7B" w:rsidRPr="00447C7B" w:rsidRDefault="00D74CF4" w:rsidP="00D542DC">
      <w:pPr>
        <w:pStyle w:val="SingleTxtG"/>
        <w:ind w:firstLine="567"/>
      </w:pPr>
      <w:r>
        <w:t>e)</w:t>
      </w:r>
      <w:r>
        <w:tab/>
      </w:r>
      <w:r w:rsidR="00447C7B" w:rsidRPr="00447C7B">
        <w:t xml:space="preserve">L’adoption de la </w:t>
      </w:r>
      <w:r w:rsidR="00DF5B8E">
        <w:t>l</w:t>
      </w:r>
      <w:r w:rsidR="00447C7B" w:rsidRPr="00447C7B">
        <w:t xml:space="preserve">oi </w:t>
      </w:r>
      <w:r w:rsidR="00DF5B8E">
        <w:t>n</w:t>
      </w:r>
      <w:r w:rsidR="00DF5B8E" w:rsidRPr="00D542DC">
        <w:rPr>
          <w:vertAlign w:val="superscript"/>
        </w:rPr>
        <w:t>o</w:t>
      </w:r>
      <w:r w:rsidR="00DF5B8E">
        <w:t> </w:t>
      </w:r>
      <w:r w:rsidR="00447C7B" w:rsidRPr="00D3773D">
        <w:t>2018-74</w:t>
      </w:r>
      <w:r w:rsidR="00BB7665">
        <w:t xml:space="preserve"> du 10 décembre 2018</w:t>
      </w:r>
      <w:r w:rsidR="00447C7B" w:rsidRPr="00447C7B">
        <w:t xml:space="preserve"> relative à la protection et à l’assistance aux personnes déplacées internes</w:t>
      </w:r>
      <w:r w:rsidR="005D4FC6">
        <w:t> </w:t>
      </w:r>
      <w:r w:rsidR="00447C7B" w:rsidRPr="00447C7B">
        <w:t>;</w:t>
      </w:r>
    </w:p>
    <w:p w14:paraId="58A06131" w14:textId="07CD2EC4" w:rsidR="00447C7B" w:rsidRPr="00447C7B" w:rsidRDefault="00D74CF4" w:rsidP="00D542DC">
      <w:pPr>
        <w:pStyle w:val="SingleTxtG"/>
        <w:ind w:firstLine="567"/>
      </w:pPr>
      <w:r>
        <w:t>f)</w:t>
      </w:r>
      <w:r>
        <w:tab/>
      </w:r>
      <w:r w:rsidR="00447C7B" w:rsidRPr="00447C7B">
        <w:t>L</w:t>
      </w:r>
      <w:r w:rsidR="009D07E3">
        <w:t>’</w:t>
      </w:r>
      <w:r w:rsidR="00447C7B" w:rsidRPr="00447C7B">
        <w:t xml:space="preserve">établissement d’un </w:t>
      </w:r>
      <w:r w:rsidR="00797A37">
        <w:t>c</w:t>
      </w:r>
      <w:r w:rsidR="00447C7B" w:rsidRPr="00447C7B">
        <w:t xml:space="preserve">omité interministériel </w:t>
      </w:r>
      <w:r w:rsidR="00BB7665">
        <w:t>chargé</w:t>
      </w:r>
      <w:r w:rsidR="00447C7B" w:rsidRPr="00447C7B">
        <w:t xml:space="preserve"> de la rédaction de</w:t>
      </w:r>
      <w:r w:rsidR="00797A37">
        <w:t>s</w:t>
      </w:r>
      <w:r w:rsidR="00447C7B" w:rsidRPr="00447C7B">
        <w:t xml:space="preserve"> rapports périodiques </w:t>
      </w:r>
      <w:r w:rsidR="00797A37">
        <w:t xml:space="preserve">destinés </w:t>
      </w:r>
      <w:r w:rsidR="00447C7B" w:rsidRPr="00447C7B">
        <w:t xml:space="preserve">aux organes </w:t>
      </w:r>
      <w:r w:rsidR="00797A37">
        <w:t>conventionnels</w:t>
      </w:r>
      <w:r w:rsidR="00447C7B" w:rsidRPr="00447C7B">
        <w:t>.</w:t>
      </w:r>
    </w:p>
    <w:p w14:paraId="51130FAB" w14:textId="4A85CC74" w:rsidR="00447C7B" w:rsidRPr="00447C7B" w:rsidRDefault="00447C7B" w:rsidP="00003D83">
      <w:pPr>
        <w:pStyle w:val="SingleTxtG"/>
      </w:pPr>
      <w:r w:rsidRPr="00447C7B">
        <w:lastRenderedPageBreak/>
        <w:t>4.</w:t>
      </w:r>
      <w:r>
        <w:tab/>
      </w:r>
      <w:r w:rsidRPr="00447C7B">
        <w:t xml:space="preserve">Le Comité salue également l’établissement </w:t>
      </w:r>
      <w:r w:rsidR="00BB7665">
        <w:t xml:space="preserve">par l’État partie </w:t>
      </w:r>
      <w:r w:rsidRPr="00447C7B">
        <w:t xml:space="preserve">de la Commission nationale des droits </w:t>
      </w:r>
      <w:r w:rsidR="00BB7665">
        <w:t>humains</w:t>
      </w:r>
      <w:r w:rsidRPr="00447C7B">
        <w:t xml:space="preserve">, </w:t>
      </w:r>
      <w:r w:rsidR="00BB7665">
        <w:t>selon</w:t>
      </w:r>
      <w:r w:rsidRPr="00447C7B">
        <w:t xml:space="preserve"> la loi </w:t>
      </w:r>
      <w:r w:rsidR="00BB7665">
        <w:t>n</w:t>
      </w:r>
      <w:r w:rsidR="00BB7665" w:rsidRPr="00D542DC">
        <w:rPr>
          <w:vertAlign w:val="superscript"/>
        </w:rPr>
        <w:t>o</w:t>
      </w:r>
      <w:r w:rsidR="00BB7665">
        <w:t> </w:t>
      </w:r>
      <w:r w:rsidRPr="00D3773D">
        <w:t>2012-44 du 24 août 2012</w:t>
      </w:r>
      <w:r w:rsidRPr="00447C7B">
        <w:t>.</w:t>
      </w:r>
    </w:p>
    <w:p w14:paraId="17F21923" w14:textId="7B000015" w:rsidR="00447C7B" w:rsidRPr="00447C7B" w:rsidRDefault="00447C7B" w:rsidP="00392D28">
      <w:pPr>
        <w:pStyle w:val="SingleTxtG"/>
      </w:pPr>
      <w:r w:rsidRPr="00447C7B">
        <w:t>5.</w:t>
      </w:r>
      <w:r>
        <w:tab/>
      </w:r>
      <w:r w:rsidRPr="00447C7B">
        <w:t>En outre, le Comité se félicite de la ratification par l’</w:t>
      </w:r>
      <w:r w:rsidR="00A7702B">
        <w:t>É</w:t>
      </w:r>
      <w:r w:rsidRPr="00447C7B">
        <w:t>tat partie des instruments internationaux suivants</w:t>
      </w:r>
      <w:r w:rsidR="001E3965">
        <w:t>, ou de son adhésion à ces instruments,</w:t>
      </w:r>
      <w:r w:rsidRPr="00447C7B">
        <w:t xml:space="preserve"> au cours de la période écoulée depuis l’examen </w:t>
      </w:r>
      <w:r w:rsidR="00396352">
        <w:t>de son rapport initial</w:t>
      </w:r>
      <w:r w:rsidR="001E3965">
        <w:t xml:space="preserve"> (CCPR/C/</w:t>
      </w:r>
      <w:r w:rsidR="00396352">
        <w:t>45</w:t>
      </w:r>
      <w:r w:rsidR="001E3965">
        <w:t>/</w:t>
      </w:r>
      <w:r w:rsidR="00396352">
        <w:t>Add.4</w:t>
      </w:r>
      <w:r w:rsidR="001E3965">
        <w:t>)</w:t>
      </w:r>
      <w:r w:rsidRPr="00447C7B">
        <w:t> :</w:t>
      </w:r>
    </w:p>
    <w:p w14:paraId="3DBB21F1" w14:textId="4A10315F" w:rsidR="00447C7B" w:rsidRPr="00447C7B" w:rsidRDefault="00D74CF4" w:rsidP="00D542DC">
      <w:pPr>
        <w:pStyle w:val="SingleTxtG"/>
        <w:ind w:firstLine="567"/>
      </w:pPr>
      <w:r>
        <w:t>a)</w:t>
      </w:r>
      <w:r>
        <w:tab/>
      </w:r>
      <w:r w:rsidR="00447C7B" w:rsidRPr="00447C7B">
        <w:t xml:space="preserve">La </w:t>
      </w:r>
      <w:r w:rsidR="00447C7B" w:rsidRPr="00D3773D">
        <w:t>Convention relative aux droits des personnes handicapées</w:t>
      </w:r>
      <w:r w:rsidR="00447C7B" w:rsidRPr="00447C7B">
        <w:t xml:space="preserve">, en </w:t>
      </w:r>
      <w:r w:rsidR="00447C7B" w:rsidRPr="00D3773D">
        <w:t>2008</w:t>
      </w:r>
      <w:r w:rsidR="00447C7B" w:rsidRPr="00447C7B">
        <w:t> ;</w:t>
      </w:r>
    </w:p>
    <w:p w14:paraId="4F11E64D" w14:textId="6A42DA35" w:rsidR="00447C7B" w:rsidRPr="00447C7B" w:rsidRDefault="00D74CF4" w:rsidP="00D542DC">
      <w:pPr>
        <w:pStyle w:val="SingleTxtG"/>
        <w:ind w:firstLine="567"/>
      </w:pPr>
      <w:r>
        <w:t>b)</w:t>
      </w:r>
      <w:r>
        <w:tab/>
      </w:r>
      <w:r w:rsidR="00447C7B" w:rsidRPr="00447C7B">
        <w:t xml:space="preserve">La </w:t>
      </w:r>
      <w:r w:rsidR="00447C7B" w:rsidRPr="00D3773D">
        <w:t>Convention internationale sur la protection des droits de tous les travailleurs migrants et des membres de leur famille</w:t>
      </w:r>
      <w:r w:rsidR="00447C7B" w:rsidRPr="00447C7B">
        <w:t xml:space="preserve">, en </w:t>
      </w:r>
      <w:r w:rsidR="00447C7B" w:rsidRPr="00D3773D">
        <w:t>2009</w:t>
      </w:r>
      <w:r w:rsidR="00CD052A">
        <w:t> </w:t>
      </w:r>
      <w:r w:rsidR="00447C7B" w:rsidRPr="00447C7B">
        <w:t>;</w:t>
      </w:r>
    </w:p>
    <w:p w14:paraId="7CBD0A4F" w14:textId="21BA1526" w:rsidR="00447C7B" w:rsidRPr="00447C7B" w:rsidRDefault="00D74CF4" w:rsidP="00D542DC">
      <w:pPr>
        <w:pStyle w:val="SingleTxtG"/>
        <w:ind w:firstLine="567"/>
      </w:pPr>
      <w:r>
        <w:t>c)</w:t>
      </w:r>
      <w:r>
        <w:tab/>
      </w:r>
      <w:r w:rsidR="00447C7B" w:rsidRPr="00447C7B">
        <w:t xml:space="preserve">Le </w:t>
      </w:r>
      <w:r w:rsidR="00447C7B" w:rsidRPr="00D3773D">
        <w:t>Protocole facultatif à la Convention relative aux droits de l’enfant, concernant l’implication d’enfants dans les conflits armés</w:t>
      </w:r>
      <w:r w:rsidR="00447C7B" w:rsidRPr="00447C7B">
        <w:t xml:space="preserve">, en </w:t>
      </w:r>
      <w:r w:rsidR="00447C7B" w:rsidRPr="00D3773D">
        <w:t>2012</w:t>
      </w:r>
      <w:r w:rsidR="00CD052A">
        <w:t> </w:t>
      </w:r>
      <w:r w:rsidR="00447C7B" w:rsidRPr="00447C7B">
        <w:t>;</w:t>
      </w:r>
    </w:p>
    <w:p w14:paraId="7B417FF1" w14:textId="7ACA09E0" w:rsidR="00447C7B" w:rsidRPr="00447C7B" w:rsidRDefault="00D74CF4" w:rsidP="00D542DC">
      <w:pPr>
        <w:pStyle w:val="SingleTxtG"/>
        <w:ind w:firstLine="567"/>
      </w:pPr>
      <w:r>
        <w:t>d)</w:t>
      </w:r>
      <w:r>
        <w:tab/>
      </w:r>
      <w:r w:rsidR="00447C7B" w:rsidRPr="00447C7B">
        <w:t xml:space="preserve">La </w:t>
      </w:r>
      <w:r w:rsidR="00447C7B" w:rsidRPr="00D3773D">
        <w:t>Convention de l’Union africaine sur la protection et l’assistance aux personnes déplacées en Afrique</w:t>
      </w:r>
      <w:r w:rsidR="00447C7B" w:rsidRPr="00447C7B">
        <w:t xml:space="preserve">, en </w:t>
      </w:r>
      <w:r w:rsidR="00447C7B" w:rsidRPr="00D3773D">
        <w:t>2012</w:t>
      </w:r>
      <w:r w:rsidR="00CD052A">
        <w:t> </w:t>
      </w:r>
      <w:r w:rsidR="00447C7B" w:rsidRPr="00447C7B">
        <w:t>;</w:t>
      </w:r>
    </w:p>
    <w:p w14:paraId="1AD63B83" w14:textId="33E9C39F" w:rsidR="00447C7B" w:rsidRPr="00447C7B" w:rsidRDefault="00D74CF4" w:rsidP="00D542DC">
      <w:pPr>
        <w:pStyle w:val="SingleTxtG"/>
        <w:ind w:firstLine="567"/>
      </w:pPr>
      <w:r>
        <w:t>e)</w:t>
      </w:r>
      <w:r>
        <w:tab/>
      </w:r>
      <w:r w:rsidR="00447C7B" w:rsidRPr="00447C7B">
        <w:t xml:space="preserve">Le </w:t>
      </w:r>
      <w:r w:rsidR="00447C7B" w:rsidRPr="00D3773D">
        <w:t>Protocole facultatif se rapportant à la Convention contre la torture et autres peines ou traitements cruels, inhumains ou dégradants</w:t>
      </w:r>
      <w:r w:rsidR="00447C7B" w:rsidRPr="00447C7B">
        <w:t xml:space="preserve">, en </w:t>
      </w:r>
      <w:r w:rsidR="00447C7B" w:rsidRPr="00D3773D">
        <w:t>2014</w:t>
      </w:r>
      <w:r w:rsidR="00CD052A">
        <w:t> </w:t>
      </w:r>
      <w:r w:rsidR="00447C7B" w:rsidRPr="00447C7B">
        <w:t>;</w:t>
      </w:r>
    </w:p>
    <w:p w14:paraId="27B5C6EA" w14:textId="3CB4647B" w:rsidR="00447C7B" w:rsidRPr="00447C7B" w:rsidRDefault="00D74CF4" w:rsidP="00D542DC">
      <w:pPr>
        <w:pStyle w:val="SingleTxtG"/>
        <w:ind w:firstLine="567"/>
      </w:pPr>
      <w:r>
        <w:t>f)</w:t>
      </w:r>
      <w:r>
        <w:tab/>
      </w:r>
      <w:r w:rsidR="00447C7B" w:rsidRPr="00447C7B">
        <w:t xml:space="preserve">Le </w:t>
      </w:r>
      <w:r w:rsidR="00447C7B" w:rsidRPr="00D3773D">
        <w:t>Protocole facultatif se rapportant au Pacte international relatif aux droits économiques, sociaux et culturels</w:t>
      </w:r>
      <w:r w:rsidR="00447C7B" w:rsidRPr="00447C7B">
        <w:t xml:space="preserve">, en </w:t>
      </w:r>
      <w:r w:rsidR="00447C7B" w:rsidRPr="00D3773D">
        <w:t>2014</w:t>
      </w:r>
      <w:r w:rsidR="00CD052A">
        <w:t> </w:t>
      </w:r>
      <w:r w:rsidR="00447C7B" w:rsidRPr="00447C7B">
        <w:t xml:space="preserve">; </w:t>
      </w:r>
    </w:p>
    <w:p w14:paraId="039CCCF0" w14:textId="0DB5D194" w:rsidR="00447C7B" w:rsidRPr="00447C7B" w:rsidRDefault="00D74CF4" w:rsidP="00D542DC">
      <w:pPr>
        <w:pStyle w:val="SingleTxtG"/>
        <w:ind w:firstLine="567"/>
      </w:pPr>
      <w:r>
        <w:t>g)</w:t>
      </w:r>
      <w:r>
        <w:tab/>
      </w:r>
      <w:r w:rsidR="00447C7B" w:rsidRPr="00447C7B">
        <w:t xml:space="preserve">La </w:t>
      </w:r>
      <w:r w:rsidR="00447C7B" w:rsidRPr="00D3773D">
        <w:t>Convention internationale pour la protection de toutes les personnes contre les disparitions forcées</w:t>
      </w:r>
      <w:r w:rsidR="00447C7B" w:rsidRPr="00447C7B">
        <w:t xml:space="preserve">, en </w:t>
      </w:r>
      <w:r w:rsidR="00447C7B" w:rsidRPr="00D3773D">
        <w:t>2015</w:t>
      </w:r>
      <w:r w:rsidR="004F5E01">
        <w:t>.</w:t>
      </w:r>
    </w:p>
    <w:p w14:paraId="013E3FA4" w14:textId="6193FF76" w:rsidR="00447C7B" w:rsidRPr="00447C7B" w:rsidRDefault="00447C7B" w:rsidP="00447C7B">
      <w:pPr>
        <w:pStyle w:val="H1G"/>
      </w:pPr>
      <w:r w:rsidRPr="00447C7B">
        <w:tab/>
        <w:t>C.</w:t>
      </w:r>
      <w:r w:rsidRPr="00447C7B">
        <w:tab/>
        <w:t xml:space="preserve">Principaux sujets de préoccupation et recommandations </w:t>
      </w:r>
    </w:p>
    <w:p w14:paraId="705AE330" w14:textId="1565C070" w:rsidR="00447C7B" w:rsidRPr="00447C7B" w:rsidRDefault="00447C7B" w:rsidP="00447C7B">
      <w:pPr>
        <w:pStyle w:val="H23G"/>
      </w:pPr>
      <w:r>
        <w:tab/>
      </w:r>
      <w:r>
        <w:tab/>
      </w:r>
      <w:r w:rsidRPr="00447C7B">
        <w:t>Applicabilité du Pacte dans l’ordre juridique interne et suite donnée aux constatations du Comité</w:t>
      </w:r>
    </w:p>
    <w:p w14:paraId="69CA8F3D" w14:textId="3A90B242" w:rsidR="00447C7B" w:rsidRPr="00447C7B" w:rsidRDefault="00447C7B" w:rsidP="004C4F01">
      <w:pPr>
        <w:spacing w:after="120"/>
        <w:ind w:left="1134" w:right="1134"/>
        <w:jc w:val="both"/>
        <w:rPr>
          <w:rFonts w:eastAsia="Times New Roman"/>
        </w:rPr>
      </w:pPr>
      <w:r w:rsidRPr="00447C7B">
        <w:rPr>
          <w:rFonts w:eastAsia="Times New Roman"/>
        </w:rPr>
        <w:t>6.</w:t>
      </w:r>
      <w:r w:rsidRPr="00447C7B">
        <w:rPr>
          <w:rFonts w:eastAsia="Times New Roman"/>
        </w:rPr>
        <w:tab/>
        <w:t xml:space="preserve">Le Comité prend bonne note de </w:t>
      </w:r>
      <w:r w:rsidRPr="00D3773D">
        <w:rPr>
          <w:rFonts w:eastAsia="Times New Roman"/>
        </w:rPr>
        <w:t>l’article 171</w:t>
      </w:r>
      <w:r w:rsidRPr="00447C7B">
        <w:rPr>
          <w:rFonts w:eastAsia="Times New Roman"/>
        </w:rPr>
        <w:t xml:space="preserve"> de la Constitution nigérienne, qui consacre la primauté des traités internationaux sur la législation interne, et accueille favorablement l’adoption récente de la </w:t>
      </w:r>
      <w:r w:rsidR="0085753E" w:rsidRPr="00D3773D">
        <w:rPr>
          <w:rFonts w:eastAsia="Times New Roman"/>
        </w:rPr>
        <w:t>l</w:t>
      </w:r>
      <w:r w:rsidRPr="00D3773D">
        <w:rPr>
          <w:rFonts w:eastAsia="Times New Roman"/>
        </w:rPr>
        <w:t xml:space="preserve">oi </w:t>
      </w:r>
      <w:r w:rsidR="004C4F01" w:rsidRPr="00447C7B">
        <w:rPr>
          <w:rFonts w:eastAsia="Times New Roman"/>
        </w:rPr>
        <w:t>n</w:t>
      </w:r>
      <w:r w:rsidR="004C4F01" w:rsidRPr="003E0C87">
        <w:rPr>
          <w:rFonts w:eastAsia="Times New Roman"/>
          <w:vertAlign w:val="superscript"/>
        </w:rPr>
        <w:t>o</w:t>
      </w:r>
      <w:r w:rsidR="004C4F01">
        <w:rPr>
          <w:rFonts w:eastAsia="Times New Roman"/>
        </w:rPr>
        <w:t> </w:t>
      </w:r>
      <w:r w:rsidRPr="00D3773D">
        <w:rPr>
          <w:rFonts w:eastAsia="Times New Roman"/>
        </w:rPr>
        <w:t>2018-37 du 1</w:t>
      </w:r>
      <w:r w:rsidRPr="00D542DC">
        <w:rPr>
          <w:rFonts w:eastAsia="Times New Roman"/>
          <w:vertAlign w:val="superscript"/>
        </w:rPr>
        <w:t>er</w:t>
      </w:r>
      <w:r w:rsidRPr="00D3773D">
        <w:rPr>
          <w:rFonts w:eastAsia="Times New Roman"/>
        </w:rPr>
        <w:t xml:space="preserve"> juin 2018</w:t>
      </w:r>
      <w:r w:rsidRPr="00447C7B">
        <w:rPr>
          <w:rFonts w:eastAsia="Times New Roman"/>
        </w:rPr>
        <w:t xml:space="preserve">, dont </w:t>
      </w:r>
      <w:r w:rsidRPr="00D3773D">
        <w:rPr>
          <w:rFonts w:eastAsia="Times New Roman"/>
        </w:rPr>
        <w:t>l’article 72</w:t>
      </w:r>
      <w:r w:rsidRPr="00447C7B">
        <w:rPr>
          <w:rFonts w:eastAsia="Times New Roman"/>
        </w:rPr>
        <w:t xml:space="preserve"> permet au juge d’écarter une coutume qui dérogerait aux obligations internationales de l’</w:t>
      </w:r>
      <w:r w:rsidR="00632210">
        <w:rPr>
          <w:rFonts w:eastAsia="Times New Roman"/>
        </w:rPr>
        <w:t>É</w:t>
      </w:r>
      <w:r w:rsidRPr="00447C7B">
        <w:rPr>
          <w:rFonts w:eastAsia="Times New Roman"/>
        </w:rPr>
        <w:t>tat partie. Le Comité regrette toutefois l’absence d’informations relatives à des cas concrets de rejet d’une coutume dérogeant au Pacte et, plus généralement, d’exemples d’application du Pacte par des juridictions internes (art. 2).</w:t>
      </w:r>
    </w:p>
    <w:p w14:paraId="1AE5F918" w14:textId="0A96ED5A" w:rsidR="00447C7B" w:rsidRPr="00447C7B" w:rsidRDefault="00447C7B">
      <w:pPr>
        <w:spacing w:after="120"/>
        <w:ind w:left="1134" w:right="1134"/>
        <w:jc w:val="both"/>
        <w:rPr>
          <w:rFonts w:eastAsia="Times New Roman"/>
          <w:b/>
          <w:bCs/>
        </w:rPr>
      </w:pPr>
      <w:r w:rsidRPr="00447C7B">
        <w:rPr>
          <w:rFonts w:eastAsia="Times New Roman"/>
        </w:rPr>
        <w:t>7.</w:t>
      </w:r>
      <w:r w:rsidRPr="00447C7B">
        <w:rPr>
          <w:rFonts w:eastAsia="Times New Roman"/>
        </w:rPr>
        <w:tab/>
      </w:r>
      <w:r w:rsidRPr="00447C7B">
        <w:rPr>
          <w:rFonts w:eastAsia="Times New Roman"/>
          <w:b/>
          <w:bCs/>
        </w:rPr>
        <w:t>L’État partie devrait </w:t>
      </w:r>
      <w:r w:rsidR="00632210">
        <w:rPr>
          <w:rFonts w:eastAsia="Times New Roman"/>
          <w:b/>
          <w:bCs/>
        </w:rPr>
        <w:t xml:space="preserve">: </w:t>
      </w:r>
      <w:r w:rsidRPr="00447C7B">
        <w:rPr>
          <w:rFonts w:eastAsia="Times New Roman"/>
          <w:b/>
          <w:bCs/>
        </w:rPr>
        <w:t>a) garantir, en pratique, la primauté du Pacte sur le droit national, ainsi qu’un recours utile aux justiciables en cas de violation du Pacte ; b)</w:t>
      </w:r>
      <w:r w:rsidR="004C4F01">
        <w:rPr>
          <w:rFonts w:eastAsia="Times New Roman"/>
          <w:b/>
          <w:bCs/>
        </w:rPr>
        <w:t> </w:t>
      </w:r>
      <w:r w:rsidRPr="00447C7B">
        <w:rPr>
          <w:rFonts w:eastAsia="Times New Roman"/>
          <w:b/>
          <w:bCs/>
        </w:rPr>
        <w:t>sensibiliser les juges, les avocats et les procureurs aux dispositions du Pacte, de sorte que celles-ci soient prises en compte devant et par les tribunaux nationaux ; et c) ratifier le Protocole facultatif au Pacte</w:t>
      </w:r>
      <w:r w:rsidR="004F77CB">
        <w:rPr>
          <w:rFonts w:eastAsia="Times New Roman"/>
          <w:b/>
          <w:bCs/>
        </w:rPr>
        <w:t>,</w:t>
      </w:r>
      <w:r w:rsidRPr="00447C7B">
        <w:rPr>
          <w:rFonts w:eastAsia="Times New Roman"/>
          <w:b/>
          <w:bCs/>
        </w:rPr>
        <w:t xml:space="preserve"> </w:t>
      </w:r>
      <w:r w:rsidR="004F77CB">
        <w:rPr>
          <w:rFonts w:eastAsia="Times New Roman"/>
          <w:b/>
          <w:bCs/>
        </w:rPr>
        <w:t>qui instaure</w:t>
      </w:r>
      <w:r w:rsidRPr="00447C7B">
        <w:rPr>
          <w:rFonts w:eastAsia="Times New Roman"/>
          <w:b/>
          <w:bCs/>
        </w:rPr>
        <w:t xml:space="preserve"> une procédure de communications individuelles.</w:t>
      </w:r>
    </w:p>
    <w:p w14:paraId="0C007212" w14:textId="5BE7E208" w:rsidR="00447C7B" w:rsidRPr="00447C7B" w:rsidRDefault="00447C7B" w:rsidP="001744F8">
      <w:pPr>
        <w:pStyle w:val="H23G"/>
      </w:pPr>
      <w:r>
        <w:tab/>
      </w:r>
      <w:r>
        <w:tab/>
      </w:r>
      <w:r w:rsidRPr="00447C7B">
        <w:t xml:space="preserve">Commission </w:t>
      </w:r>
      <w:r w:rsidR="001744F8">
        <w:t>n</w:t>
      </w:r>
      <w:r w:rsidRPr="00447C7B">
        <w:t xml:space="preserve">ationale des </w:t>
      </w:r>
      <w:r w:rsidR="001744F8">
        <w:t>d</w:t>
      </w:r>
      <w:r w:rsidRPr="00447C7B">
        <w:t xml:space="preserve">roits </w:t>
      </w:r>
      <w:r w:rsidR="001744F8">
        <w:t>humains</w:t>
      </w:r>
    </w:p>
    <w:p w14:paraId="0824C681" w14:textId="31ADAD7F" w:rsidR="00447C7B" w:rsidRPr="00447C7B" w:rsidRDefault="00447C7B">
      <w:pPr>
        <w:spacing w:after="120"/>
        <w:ind w:left="1134" w:right="1134"/>
        <w:jc w:val="both"/>
        <w:rPr>
          <w:rFonts w:eastAsia="Times New Roman"/>
        </w:rPr>
      </w:pPr>
      <w:r w:rsidRPr="00447C7B">
        <w:rPr>
          <w:rFonts w:eastAsia="Times New Roman"/>
        </w:rPr>
        <w:t>8.</w:t>
      </w:r>
      <w:r w:rsidRPr="00447C7B">
        <w:rPr>
          <w:rFonts w:eastAsia="Times New Roman"/>
        </w:rPr>
        <w:tab/>
        <w:t xml:space="preserve">Tout en saluant l’établissement de la Commission nationale des droits humains, accréditée du </w:t>
      </w:r>
      <w:r w:rsidR="00632210">
        <w:rPr>
          <w:rFonts w:eastAsia="Times New Roman"/>
        </w:rPr>
        <w:t>s</w:t>
      </w:r>
      <w:r w:rsidRPr="00447C7B">
        <w:rPr>
          <w:rFonts w:eastAsia="Times New Roman"/>
        </w:rPr>
        <w:t xml:space="preserve">tatut A en vertu des </w:t>
      </w:r>
      <w:r w:rsidR="002633CE">
        <w:rPr>
          <w:rFonts w:eastAsia="Times New Roman"/>
        </w:rPr>
        <w:t>Principes concernant le statut des institutions nationales pour la promotion et la protection des droits de l’homme</w:t>
      </w:r>
      <w:r w:rsidR="004F77CB">
        <w:rPr>
          <w:rFonts w:eastAsia="Times New Roman"/>
        </w:rPr>
        <w:t xml:space="preserve"> (</w:t>
      </w:r>
      <w:r w:rsidRPr="002633CE">
        <w:rPr>
          <w:rFonts w:eastAsia="Times New Roman"/>
        </w:rPr>
        <w:t>Principes de Paris</w:t>
      </w:r>
      <w:r w:rsidR="004F77CB">
        <w:rPr>
          <w:rFonts w:eastAsia="Times New Roman"/>
        </w:rPr>
        <w:t>)</w:t>
      </w:r>
      <w:r w:rsidRPr="00447C7B">
        <w:rPr>
          <w:rFonts w:eastAsia="Times New Roman"/>
        </w:rPr>
        <w:t xml:space="preserve">, et accueillant favorablement la mise en place d’antennes régionales de la </w:t>
      </w:r>
      <w:r w:rsidR="00940CE0" w:rsidRPr="00447C7B">
        <w:t xml:space="preserve">Commission nationale des droits </w:t>
      </w:r>
      <w:r w:rsidR="00940CE0">
        <w:t>humains</w:t>
      </w:r>
      <w:r w:rsidRPr="00447C7B">
        <w:rPr>
          <w:rFonts w:eastAsia="Times New Roman"/>
        </w:rPr>
        <w:t xml:space="preserve"> </w:t>
      </w:r>
      <w:r w:rsidRPr="004B5CCB">
        <w:rPr>
          <w:rFonts w:eastAsia="Times New Roman"/>
        </w:rPr>
        <w:t xml:space="preserve">à Diffa, </w:t>
      </w:r>
      <w:r w:rsidR="00957337" w:rsidRPr="004B5CCB">
        <w:rPr>
          <w:rFonts w:eastAsia="Times New Roman"/>
        </w:rPr>
        <w:t xml:space="preserve">à </w:t>
      </w:r>
      <w:r w:rsidRPr="004B5CCB">
        <w:rPr>
          <w:rFonts w:eastAsia="Times New Roman"/>
        </w:rPr>
        <w:t xml:space="preserve">Agadez et à </w:t>
      </w:r>
      <w:proofErr w:type="spellStart"/>
      <w:r w:rsidRPr="004B5CCB">
        <w:rPr>
          <w:rFonts w:eastAsia="Times New Roman"/>
        </w:rPr>
        <w:t>Tillabéri</w:t>
      </w:r>
      <w:proofErr w:type="spellEnd"/>
      <w:r w:rsidRPr="00447C7B">
        <w:rPr>
          <w:rFonts w:eastAsia="Times New Roman"/>
        </w:rPr>
        <w:t>, notamment pour répondre aux défis posés par le</w:t>
      </w:r>
      <w:r w:rsidR="00503858">
        <w:rPr>
          <w:rFonts w:eastAsia="Times New Roman"/>
        </w:rPr>
        <w:t>s</w:t>
      </w:r>
      <w:r w:rsidRPr="00447C7B">
        <w:rPr>
          <w:rFonts w:eastAsia="Times New Roman"/>
        </w:rPr>
        <w:t xml:space="preserve"> déplacement</w:t>
      </w:r>
      <w:r w:rsidR="00503858">
        <w:rPr>
          <w:rFonts w:eastAsia="Times New Roman"/>
        </w:rPr>
        <w:t>s</w:t>
      </w:r>
      <w:r w:rsidRPr="00447C7B">
        <w:rPr>
          <w:rFonts w:eastAsia="Times New Roman"/>
        </w:rPr>
        <w:t xml:space="preserve"> interne</w:t>
      </w:r>
      <w:r w:rsidR="00503858">
        <w:rPr>
          <w:rFonts w:eastAsia="Times New Roman"/>
        </w:rPr>
        <w:t>s</w:t>
      </w:r>
      <w:r w:rsidRPr="00447C7B">
        <w:rPr>
          <w:rFonts w:eastAsia="Times New Roman"/>
        </w:rPr>
        <w:t xml:space="preserve"> et </w:t>
      </w:r>
      <w:r w:rsidR="00503858">
        <w:rPr>
          <w:rFonts w:eastAsia="Times New Roman"/>
        </w:rPr>
        <w:t>transfrontières</w:t>
      </w:r>
      <w:r w:rsidRPr="00447C7B">
        <w:rPr>
          <w:rFonts w:eastAsia="Times New Roman"/>
        </w:rPr>
        <w:t>, le Comité souligne toutefois sa préoccupation quant à la faible parité de genre dans la Commission. En outre, notant que le budget global annuel de la Commission est d’environ 300 millions de francs CFA (soit 457 000 euros)</w:t>
      </w:r>
      <w:r w:rsidR="00957337">
        <w:rPr>
          <w:rFonts w:eastAsia="Times New Roman"/>
        </w:rPr>
        <w:t xml:space="preserve"> pour 2019</w:t>
      </w:r>
      <w:r w:rsidRPr="00447C7B">
        <w:rPr>
          <w:rFonts w:eastAsia="Times New Roman"/>
        </w:rPr>
        <w:t xml:space="preserve">, </w:t>
      </w:r>
      <w:r w:rsidR="00957337">
        <w:rPr>
          <w:rFonts w:eastAsia="Times New Roman"/>
        </w:rPr>
        <w:t xml:space="preserve">le </w:t>
      </w:r>
      <w:r w:rsidRPr="00447C7B">
        <w:rPr>
          <w:rFonts w:eastAsia="Times New Roman"/>
        </w:rPr>
        <w:t>Comité exprime sa préoccupation quant à l’insuffisance des ressources financières qui lui sont octroyées (art. 2).</w:t>
      </w:r>
      <w:r w:rsidR="009D07E3">
        <w:rPr>
          <w:rFonts w:eastAsia="Times New Roman"/>
        </w:rPr>
        <w:t xml:space="preserve"> </w:t>
      </w:r>
    </w:p>
    <w:p w14:paraId="05DFEB8E" w14:textId="6C79DC9B" w:rsidR="00447C7B" w:rsidRPr="00447C7B" w:rsidRDefault="00447C7B">
      <w:pPr>
        <w:spacing w:after="120"/>
        <w:ind w:left="1134" w:right="1134"/>
        <w:jc w:val="both"/>
        <w:rPr>
          <w:rFonts w:eastAsia="Times New Roman"/>
          <w:b/>
          <w:bCs/>
        </w:rPr>
      </w:pPr>
      <w:r w:rsidRPr="00447C7B">
        <w:rPr>
          <w:rFonts w:eastAsia="Times New Roman"/>
        </w:rPr>
        <w:t>9.</w:t>
      </w:r>
      <w:r w:rsidRPr="00447C7B">
        <w:rPr>
          <w:rFonts w:eastAsia="Times New Roman"/>
        </w:rPr>
        <w:tab/>
      </w:r>
      <w:r w:rsidRPr="00447C7B">
        <w:rPr>
          <w:rFonts w:eastAsia="Times New Roman"/>
          <w:b/>
          <w:bCs/>
        </w:rPr>
        <w:t xml:space="preserve">L’État partie devrait : a) prendre des mesures pour augmenter la représentation des femmes au sein de la </w:t>
      </w:r>
      <w:r w:rsidR="00940CE0">
        <w:rPr>
          <w:rFonts w:eastAsia="Times New Roman"/>
          <w:b/>
          <w:bCs/>
        </w:rPr>
        <w:t>Commission nationale des droits humains</w:t>
      </w:r>
      <w:r w:rsidR="00957337">
        <w:rPr>
          <w:rFonts w:eastAsia="Times New Roman"/>
          <w:b/>
          <w:bCs/>
        </w:rPr>
        <w:t> </w:t>
      </w:r>
      <w:r w:rsidRPr="00447C7B">
        <w:rPr>
          <w:rFonts w:eastAsia="Times New Roman"/>
          <w:b/>
          <w:bCs/>
        </w:rPr>
        <w:t xml:space="preserve">; et b) doter la </w:t>
      </w:r>
      <w:r w:rsidR="00940CE0">
        <w:rPr>
          <w:rFonts w:eastAsia="Times New Roman"/>
          <w:b/>
          <w:bCs/>
        </w:rPr>
        <w:t>Commission</w:t>
      </w:r>
      <w:r w:rsidRPr="00447C7B">
        <w:rPr>
          <w:rFonts w:eastAsia="Times New Roman"/>
          <w:b/>
          <w:bCs/>
        </w:rPr>
        <w:t xml:space="preserve"> de ressources suffisantes afin de lui permettre d’accomplir pleinement son mandat, en conformité avec les Principes de Paris. </w:t>
      </w:r>
    </w:p>
    <w:p w14:paraId="7A5C4BE6" w14:textId="1E5C1EBA" w:rsidR="00447C7B" w:rsidRPr="00447C7B" w:rsidRDefault="00447C7B" w:rsidP="00447C7B">
      <w:pPr>
        <w:pStyle w:val="H23G"/>
      </w:pPr>
      <w:r>
        <w:lastRenderedPageBreak/>
        <w:tab/>
      </w:r>
      <w:r>
        <w:tab/>
      </w:r>
      <w:r w:rsidRPr="00447C7B">
        <w:t>Lutte contre la corruption</w:t>
      </w:r>
    </w:p>
    <w:p w14:paraId="41D8A1ED" w14:textId="3B05C675" w:rsidR="00447C7B" w:rsidRPr="00447C7B" w:rsidRDefault="00447C7B" w:rsidP="002633CE">
      <w:pPr>
        <w:spacing w:after="120"/>
        <w:ind w:left="1134" w:right="1134"/>
        <w:jc w:val="both"/>
        <w:rPr>
          <w:rFonts w:eastAsia="Times New Roman"/>
        </w:rPr>
      </w:pPr>
      <w:r w:rsidRPr="00447C7B">
        <w:rPr>
          <w:rFonts w:eastAsia="Times New Roman"/>
        </w:rPr>
        <w:t>10.</w:t>
      </w:r>
      <w:r w:rsidRPr="00447C7B">
        <w:rPr>
          <w:rFonts w:eastAsia="Times New Roman"/>
        </w:rPr>
        <w:tab/>
        <w:t>Tout en saluant les mesures d’ordre législatif et institutionnel prises par l</w:t>
      </w:r>
      <w:r w:rsidR="009D07E3">
        <w:rPr>
          <w:rFonts w:eastAsia="Times New Roman"/>
        </w:rPr>
        <w:t>’</w:t>
      </w:r>
      <w:r w:rsidR="00957337">
        <w:rPr>
          <w:rFonts w:eastAsia="Times New Roman"/>
        </w:rPr>
        <w:t>É</w:t>
      </w:r>
      <w:r w:rsidRPr="00447C7B">
        <w:rPr>
          <w:rFonts w:eastAsia="Times New Roman"/>
        </w:rPr>
        <w:t xml:space="preserve">tat partie pour lutter contre la corruption, notamment l’établissement de la </w:t>
      </w:r>
      <w:r w:rsidRPr="004B5CCB">
        <w:rPr>
          <w:rFonts w:eastAsia="Times New Roman"/>
        </w:rPr>
        <w:t xml:space="preserve">Haute </w:t>
      </w:r>
      <w:r w:rsidR="00957337" w:rsidRPr="004B5CCB">
        <w:rPr>
          <w:rFonts w:eastAsia="Times New Roman"/>
        </w:rPr>
        <w:t>A</w:t>
      </w:r>
      <w:r w:rsidRPr="004B5CCB">
        <w:rPr>
          <w:rFonts w:eastAsia="Times New Roman"/>
        </w:rPr>
        <w:t>utorité de lutte contre la corruption et les infractions assimilées</w:t>
      </w:r>
      <w:r w:rsidRPr="00447C7B">
        <w:rPr>
          <w:rFonts w:eastAsia="Times New Roman"/>
        </w:rPr>
        <w:t xml:space="preserve">, ainsi que la mise en place d’une ligne téléphonique gratuite permettant les dénonciations, le Comité s’inquiète de rapports faisant état de la persistance de la corruption au sein des administrations, </w:t>
      </w:r>
      <w:r w:rsidR="009D6D08">
        <w:rPr>
          <w:rFonts w:eastAsia="Times New Roman"/>
        </w:rPr>
        <w:t>notamment dans</w:t>
      </w:r>
      <w:r w:rsidRPr="00447C7B">
        <w:rPr>
          <w:rFonts w:eastAsia="Times New Roman"/>
        </w:rPr>
        <w:t xml:space="preserve"> le</w:t>
      </w:r>
      <w:r w:rsidR="009D6D08">
        <w:rPr>
          <w:rFonts w:eastAsia="Times New Roman"/>
        </w:rPr>
        <w:t>s</w:t>
      </w:r>
      <w:r w:rsidRPr="00447C7B">
        <w:rPr>
          <w:rFonts w:eastAsia="Times New Roman"/>
        </w:rPr>
        <w:t xml:space="preserve"> secteur</w:t>
      </w:r>
      <w:r w:rsidR="009D6D08">
        <w:rPr>
          <w:rFonts w:eastAsia="Times New Roman"/>
        </w:rPr>
        <w:t>s</w:t>
      </w:r>
      <w:r w:rsidRPr="00447C7B">
        <w:rPr>
          <w:rFonts w:eastAsia="Times New Roman"/>
        </w:rPr>
        <w:t xml:space="preserve"> policier et judiciaire. Le Comité est en outre préoccupé par des informations rapportant un manque de transparence quant à la gestion des ressources naturelles, notamment des exonérations importantes accordées à des </w:t>
      </w:r>
      <w:r w:rsidR="009D6D08">
        <w:rPr>
          <w:rFonts w:eastAsia="Times New Roman"/>
        </w:rPr>
        <w:t>entreprises internationales</w:t>
      </w:r>
      <w:r w:rsidRPr="00447C7B">
        <w:rPr>
          <w:rFonts w:eastAsia="Times New Roman"/>
        </w:rPr>
        <w:t xml:space="preserve"> d’extraction minière, au détriment du budget de l’</w:t>
      </w:r>
      <w:r w:rsidR="009D6D08">
        <w:rPr>
          <w:rFonts w:eastAsia="Times New Roman"/>
        </w:rPr>
        <w:t>É</w:t>
      </w:r>
      <w:r w:rsidRPr="00447C7B">
        <w:rPr>
          <w:rFonts w:eastAsia="Times New Roman"/>
        </w:rPr>
        <w:t>tat (art. 1, 2, 14, 25 et 26).</w:t>
      </w:r>
    </w:p>
    <w:p w14:paraId="2EC8E62D" w14:textId="7B3034F7" w:rsidR="00447C7B" w:rsidRPr="00447C7B" w:rsidRDefault="00447C7B" w:rsidP="002633CE">
      <w:pPr>
        <w:spacing w:after="120"/>
        <w:ind w:left="1134" w:right="1134"/>
        <w:jc w:val="both"/>
        <w:rPr>
          <w:rFonts w:eastAsia="Times New Roman"/>
          <w:b/>
          <w:bCs/>
        </w:rPr>
      </w:pPr>
      <w:r w:rsidRPr="00447C7B">
        <w:rPr>
          <w:rFonts w:eastAsia="Times New Roman"/>
        </w:rPr>
        <w:t>11.</w:t>
      </w:r>
      <w:r w:rsidRPr="00447C7B">
        <w:rPr>
          <w:rFonts w:eastAsia="Times New Roman"/>
        </w:rPr>
        <w:tab/>
      </w:r>
      <w:r w:rsidRPr="00447C7B">
        <w:rPr>
          <w:rFonts w:eastAsia="Times New Roman"/>
          <w:b/>
          <w:bCs/>
        </w:rPr>
        <w:t xml:space="preserve">L’État partie devrait : a) redoubler d’efforts dans sa lutte contre la corruption et l’impunité qui y est associée ; b) garantir que l’ensemble des affaires de corruption </w:t>
      </w:r>
      <w:r w:rsidR="00874867">
        <w:rPr>
          <w:rFonts w:eastAsia="Times New Roman"/>
          <w:b/>
          <w:bCs/>
        </w:rPr>
        <w:t>fera</w:t>
      </w:r>
      <w:r w:rsidRPr="00447C7B">
        <w:rPr>
          <w:rFonts w:eastAsia="Times New Roman"/>
          <w:b/>
          <w:bCs/>
        </w:rPr>
        <w:t xml:space="preserve"> l’objet d’enquêtes indépendantes et impartiales</w:t>
      </w:r>
      <w:r w:rsidR="00874867">
        <w:rPr>
          <w:rFonts w:eastAsia="Times New Roman"/>
          <w:b/>
          <w:bCs/>
        </w:rPr>
        <w:t>,</w:t>
      </w:r>
      <w:r w:rsidRPr="00447C7B">
        <w:rPr>
          <w:rFonts w:eastAsia="Times New Roman"/>
          <w:b/>
          <w:bCs/>
        </w:rPr>
        <w:t xml:space="preserve"> et</w:t>
      </w:r>
      <w:r w:rsidR="00874867">
        <w:rPr>
          <w:rFonts w:eastAsia="Times New Roman"/>
          <w:b/>
          <w:bCs/>
        </w:rPr>
        <w:t>,</w:t>
      </w:r>
      <w:r w:rsidRPr="00447C7B">
        <w:rPr>
          <w:rFonts w:eastAsia="Times New Roman"/>
          <w:b/>
          <w:bCs/>
        </w:rPr>
        <w:t xml:space="preserve"> au besoin</w:t>
      </w:r>
      <w:r w:rsidR="00874867">
        <w:rPr>
          <w:rFonts w:eastAsia="Times New Roman"/>
          <w:b/>
          <w:bCs/>
        </w:rPr>
        <w:t>,</w:t>
      </w:r>
      <w:r w:rsidRPr="00447C7B">
        <w:rPr>
          <w:rFonts w:eastAsia="Times New Roman"/>
          <w:b/>
          <w:bCs/>
        </w:rPr>
        <w:t xml:space="preserve"> de sanctions judiciaires adéquates ; et c) prendre les dispositions nécessaires pour assurer une gestion transparente des contrats avec les </w:t>
      </w:r>
      <w:r w:rsidR="007B0390">
        <w:rPr>
          <w:rFonts w:eastAsia="Times New Roman"/>
          <w:b/>
          <w:bCs/>
        </w:rPr>
        <w:t>entreprises</w:t>
      </w:r>
      <w:r w:rsidRPr="00447C7B">
        <w:rPr>
          <w:rFonts w:eastAsia="Times New Roman"/>
          <w:b/>
          <w:bCs/>
        </w:rPr>
        <w:t xml:space="preserve"> internationales</w:t>
      </w:r>
      <w:r w:rsidR="007B0390">
        <w:rPr>
          <w:rFonts w:eastAsia="Times New Roman"/>
          <w:b/>
          <w:bCs/>
        </w:rPr>
        <w:t xml:space="preserve"> d’extraction minière</w:t>
      </w:r>
      <w:r w:rsidRPr="00447C7B">
        <w:rPr>
          <w:rFonts w:eastAsia="Times New Roman"/>
          <w:b/>
          <w:bCs/>
        </w:rPr>
        <w:t xml:space="preserve">, ainsi que des recettes </w:t>
      </w:r>
      <w:r w:rsidR="007B0390">
        <w:rPr>
          <w:rFonts w:eastAsia="Times New Roman"/>
          <w:b/>
          <w:bCs/>
        </w:rPr>
        <w:t xml:space="preserve">qui </w:t>
      </w:r>
      <w:r w:rsidRPr="00447C7B">
        <w:rPr>
          <w:rFonts w:eastAsia="Times New Roman"/>
          <w:b/>
          <w:bCs/>
        </w:rPr>
        <w:t>en découl</w:t>
      </w:r>
      <w:r w:rsidR="007B0390">
        <w:rPr>
          <w:rFonts w:eastAsia="Times New Roman"/>
          <w:b/>
          <w:bCs/>
        </w:rPr>
        <w:t>e</w:t>
      </w:r>
      <w:r w:rsidRPr="00447C7B">
        <w:rPr>
          <w:rFonts w:eastAsia="Times New Roman"/>
          <w:b/>
          <w:bCs/>
        </w:rPr>
        <w:t xml:space="preserve">nt. </w:t>
      </w:r>
    </w:p>
    <w:p w14:paraId="017DAEEA" w14:textId="6A00EFF4" w:rsidR="00447C7B" w:rsidRPr="00447C7B" w:rsidRDefault="00447C7B" w:rsidP="00447C7B">
      <w:pPr>
        <w:pStyle w:val="H23G"/>
      </w:pPr>
      <w:r>
        <w:tab/>
      </w:r>
      <w:r>
        <w:tab/>
      </w:r>
      <w:r w:rsidRPr="00447C7B">
        <w:t>Lutte contre l’impunité et violations passées des droits de l’homme</w:t>
      </w:r>
    </w:p>
    <w:p w14:paraId="4DAC00C7" w14:textId="31CF821F" w:rsidR="00447C7B" w:rsidRPr="00447C7B" w:rsidRDefault="00447C7B" w:rsidP="00302345">
      <w:pPr>
        <w:spacing w:after="120"/>
        <w:ind w:left="1134" w:right="1134"/>
        <w:jc w:val="both"/>
        <w:rPr>
          <w:rFonts w:eastAsia="Times New Roman"/>
        </w:rPr>
      </w:pPr>
      <w:r w:rsidRPr="00447C7B">
        <w:rPr>
          <w:rFonts w:eastAsia="Times New Roman"/>
        </w:rPr>
        <w:t>12.</w:t>
      </w:r>
      <w:r>
        <w:rPr>
          <w:rFonts w:eastAsia="Times New Roman"/>
        </w:rPr>
        <w:tab/>
      </w:r>
      <w:r w:rsidRPr="00447C7B">
        <w:rPr>
          <w:rFonts w:eastAsia="Times New Roman"/>
        </w:rPr>
        <w:t>Prenant note des épisodes politiques et sécuritaires difficiles qu’a traversés le Niger au cours des années 1990, ainsi que des explications de l’</w:t>
      </w:r>
      <w:r w:rsidR="007B0390">
        <w:rPr>
          <w:rFonts w:eastAsia="Times New Roman"/>
        </w:rPr>
        <w:t>É</w:t>
      </w:r>
      <w:r w:rsidRPr="00447C7B">
        <w:rPr>
          <w:rFonts w:eastAsia="Times New Roman"/>
        </w:rPr>
        <w:t xml:space="preserve">tat partie relatives au parti pris d’opter pour des règlements politiques et des lois d’amnistie, le Comité réitère toutefois sa préoccupation quant à l’absence d’enquêtes visant à faire la lumière sur un certain nombre d’épisodes de violations des droits de l’homme, notamment : a) les événements de </w:t>
      </w:r>
      <w:proofErr w:type="spellStart"/>
      <w:r w:rsidRPr="004B5CCB">
        <w:rPr>
          <w:rFonts w:eastAsia="Times New Roman"/>
        </w:rPr>
        <w:t>Tchintabaraden</w:t>
      </w:r>
      <w:proofErr w:type="spellEnd"/>
      <w:r w:rsidRPr="00447C7B">
        <w:rPr>
          <w:rFonts w:eastAsia="Times New Roman"/>
        </w:rPr>
        <w:t xml:space="preserve">, </w:t>
      </w:r>
      <w:r w:rsidR="007B0390">
        <w:rPr>
          <w:rFonts w:eastAsia="Times New Roman"/>
        </w:rPr>
        <w:t>lors desquels</w:t>
      </w:r>
      <w:r w:rsidRPr="00447C7B">
        <w:rPr>
          <w:rFonts w:eastAsia="Times New Roman"/>
        </w:rPr>
        <w:t xml:space="preserve"> un grand nombre d’opposants </w:t>
      </w:r>
      <w:proofErr w:type="spellStart"/>
      <w:r w:rsidR="007B0390">
        <w:rPr>
          <w:rFonts w:eastAsia="Times New Roman"/>
        </w:rPr>
        <w:t>t</w:t>
      </w:r>
      <w:r w:rsidRPr="00447C7B">
        <w:rPr>
          <w:rFonts w:eastAsia="Times New Roman"/>
        </w:rPr>
        <w:t>ouaregs</w:t>
      </w:r>
      <w:proofErr w:type="spellEnd"/>
      <w:r w:rsidRPr="00447C7B">
        <w:rPr>
          <w:rFonts w:eastAsia="Times New Roman"/>
        </w:rPr>
        <w:t xml:space="preserve"> auraient perdu la vie en </w:t>
      </w:r>
      <w:r w:rsidRPr="004B5CCB">
        <w:rPr>
          <w:rFonts w:eastAsia="Times New Roman"/>
        </w:rPr>
        <w:t>1990</w:t>
      </w:r>
      <w:r w:rsidRPr="00447C7B">
        <w:rPr>
          <w:rFonts w:eastAsia="Times New Roman"/>
        </w:rPr>
        <w:t xml:space="preserve"> ; et b) de nombreuses violations des droits de l’homme commises entre 1996 et 1999, comme en atteste la découverte du charnier de </w:t>
      </w:r>
      <w:proofErr w:type="spellStart"/>
      <w:r w:rsidRPr="004B5CCB">
        <w:rPr>
          <w:rFonts w:eastAsia="Times New Roman"/>
        </w:rPr>
        <w:t>Boultoungoure</w:t>
      </w:r>
      <w:proofErr w:type="spellEnd"/>
      <w:r w:rsidRPr="00447C7B">
        <w:rPr>
          <w:rFonts w:eastAsia="Times New Roman"/>
        </w:rPr>
        <w:t xml:space="preserve"> en </w:t>
      </w:r>
      <w:r w:rsidRPr="004B5CCB">
        <w:rPr>
          <w:rFonts w:eastAsia="Times New Roman"/>
        </w:rPr>
        <w:t>1999</w:t>
      </w:r>
      <w:r w:rsidRPr="00447C7B">
        <w:rPr>
          <w:rFonts w:eastAsia="Times New Roman"/>
        </w:rPr>
        <w:t>, dans une affaire demeurée non</w:t>
      </w:r>
      <w:r w:rsidR="007B0390">
        <w:rPr>
          <w:rFonts w:eastAsia="Times New Roman"/>
        </w:rPr>
        <w:t xml:space="preserve"> </w:t>
      </w:r>
      <w:r w:rsidRPr="00447C7B">
        <w:rPr>
          <w:rFonts w:eastAsia="Times New Roman"/>
        </w:rPr>
        <w:t>élucidée (art. 2).</w:t>
      </w:r>
    </w:p>
    <w:p w14:paraId="5AA6ADDB" w14:textId="5269F771" w:rsidR="00447C7B" w:rsidRPr="00447C7B" w:rsidRDefault="00447C7B" w:rsidP="007B0390">
      <w:pPr>
        <w:spacing w:after="120"/>
        <w:ind w:left="1134" w:right="1134"/>
        <w:jc w:val="both"/>
        <w:rPr>
          <w:rFonts w:eastAsia="Times New Roman"/>
          <w:b/>
          <w:bCs/>
        </w:rPr>
      </w:pPr>
      <w:r w:rsidRPr="00447C7B">
        <w:rPr>
          <w:rFonts w:eastAsia="Times New Roman"/>
        </w:rPr>
        <w:t>13.</w:t>
      </w:r>
      <w:r w:rsidRPr="00447C7B">
        <w:rPr>
          <w:rFonts w:eastAsia="Times New Roman"/>
        </w:rPr>
        <w:tab/>
      </w:r>
      <w:r w:rsidRPr="00447C7B">
        <w:rPr>
          <w:rFonts w:eastAsia="Times New Roman"/>
          <w:b/>
          <w:bCs/>
        </w:rPr>
        <w:t xml:space="preserve">L’État partie devrait prendre les mesures </w:t>
      </w:r>
      <w:r w:rsidR="007B0390">
        <w:rPr>
          <w:rFonts w:eastAsia="Times New Roman"/>
          <w:b/>
          <w:bCs/>
        </w:rPr>
        <w:t xml:space="preserve">législatives et judiciaires </w:t>
      </w:r>
      <w:r w:rsidRPr="00447C7B">
        <w:rPr>
          <w:rFonts w:eastAsia="Times New Roman"/>
          <w:b/>
          <w:bCs/>
        </w:rPr>
        <w:t>nécessaires afin que les auteurs des violations passées des droits de l’homme soient traduits en justice, et qu’aucun responsable de grave</w:t>
      </w:r>
      <w:r w:rsidR="007B0390">
        <w:rPr>
          <w:rFonts w:eastAsia="Times New Roman"/>
          <w:b/>
          <w:bCs/>
        </w:rPr>
        <w:t>s</w:t>
      </w:r>
      <w:r w:rsidRPr="00447C7B">
        <w:rPr>
          <w:rFonts w:eastAsia="Times New Roman"/>
          <w:b/>
          <w:bCs/>
        </w:rPr>
        <w:t xml:space="preserve"> violation</w:t>
      </w:r>
      <w:r w:rsidR="007B0390">
        <w:rPr>
          <w:rFonts w:eastAsia="Times New Roman"/>
          <w:b/>
          <w:bCs/>
        </w:rPr>
        <w:t>s</w:t>
      </w:r>
      <w:r w:rsidRPr="00447C7B">
        <w:rPr>
          <w:rFonts w:eastAsia="Times New Roman"/>
          <w:b/>
          <w:bCs/>
        </w:rPr>
        <w:t xml:space="preserve"> des droits de l’homme</w:t>
      </w:r>
      <w:r w:rsidR="006663C0">
        <w:rPr>
          <w:rFonts w:eastAsia="Times New Roman"/>
          <w:b/>
          <w:bCs/>
        </w:rPr>
        <w:t xml:space="preserve"> n</w:t>
      </w:r>
      <w:r w:rsidR="001F1324">
        <w:rPr>
          <w:rFonts w:eastAsia="Times New Roman"/>
          <w:b/>
          <w:bCs/>
        </w:rPr>
        <w:t xml:space="preserve">’échappe à </w:t>
      </w:r>
      <w:r w:rsidRPr="00447C7B">
        <w:rPr>
          <w:rFonts w:eastAsia="Times New Roman"/>
          <w:b/>
          <w:bCs/>
        </w:rPr>
        <w:t>l’action publique.</w:t>
      </w:r>
    </w:p>
    <w:p w14:paraId="47688E83" w14:textId="464682EB" w:rsidR="00447C7B" w:rsidRPr="00447C7B" w:rsidRDefault="00447C7B" w:rsidP="007B0390">
      <w:pPr>
        <w:pStyle w:val="H23G"/>
      </w:pPr>
      <w:r>
        <w:tab/>
      </w:r>
      <w:r>
        <w:tab/>
      </w:r>
      <w:r w:rsidRPr="00447C7B">
        <w:t>Lutte contre le terrorisme et état d</w:t>
      </w:r>
      <w:r w:rsidR="009D07E3">
        <w:t>’</w:t>
      </w:r>
      <w:r w:rsidRPr="00447C7B">
        <w:t>urgence</w:t>
      </w:r>
    </w:p>
    <w:p w14:paraId="11301D45" w14:textId="089E4E4A" w:rsidR="00447C7B" w:rsidRPr="00447C7B" w:rsidRDefault="00447C7B">
      <w:pPr>
        <w:spacing w:after="120"/>
        <w:ind w:left="1134" w:right="1134"/>
        <w:jc w:val="both"/>
        <w:rPr>
          <w:rFonts w:eastAsia="Times New Roman"/>
        </w:rPr>
      </w:pPr>
      <w:r w:rsidRPr="00447C7B">
        <w:rPr>
          <w:rFonts w:eastAsia="Times New Roman"/>
        </w:rPr>
        <w:t>14.</w:t>
      </w:r>
      <w:r w:rsidRPr="00447C7B">
        <w:rPr>
          <w:rFonts w:eastAsia="Times New Roman"/>
        </w:rPr>
        <w:tab/>
        <w:t>Tout en reconnaissant les difficultés liées à la lutte armée menée par l’</w:t>
      </w:r>
      <w:r w:rsidR="00FA0FAE">
        <w:rPr>
          <w:rFonts w:eastAsia="Times New Roman"/>
        </w:rPr>
        <w:t>É</w:t>
      </w:r>
      <w:r w:rsidRPr="00447C7B">
        <w:rPr>
          <w:rFonts w:eastAsia="Times New Roman"/>
        </w:rPr>
        <w:t xml:space="preserve">tat partie contre des groupes non étatiques qui </w:t>
      </w:r>
      <w:r w:rsidR="00FA0FAE">
        <w:rPr>
          <w:rFonts w:eastAsia="Times New Roman"/>
        </w:rPr>
        <w:t>perpètrent régulièrement</w:t>
      </w:r>
      <w:r w:rsidRPr="00447C7B">
        <w:rPr>
          <w:rFonts w:eastAsia="Times New Roman"/>
        </w:rPr>
        <w:t xml:space="preserve"> des attaques sur son territoire, le Comité est préoccupé par la définition du terrorisme introduite par l’</w:t>
      </w:r>
      <w:r w:rsidR="00FA0FAE">
        <w:rPr>
          <w:rFonts w:eastAsia="Times New Roman"/>
        </w:rPr>
        <w:t>o</w:t>
      </w:r>
      <w:r w:rsidRPr="00447C7B">
        <w:rPr>
          <w:rFonts w:eastAsia="Times New Roman"/>
        </w:rPr>
        <w:t>rdonnance n</w:t>
      </w:r>
      <w:r w:rsidR="004C4F01" w:rsidRPr="00D542DC">
        <w:rPr>
          <w:rFonts w:eastAsia="Times New Roman"/>
          <w:vertAlign w:val="superscript"/>
        </w:rPr>
        <w:t>o</w:t>
      </w:r>
      <w:r w:rsidR="004C4F01">
        <w:rPr>
          <w:rFonts w:eastAsia="Times New Roman"/>
        </w:rPr>
        <w:t> </w:t>
      </w:r>
      <w:r w:rsidRPr="004B5CCB">
        <w:rPr>
          <w:rFonts w:eastAsia="Times New Roman"/>
        </w:rPr>
        <w:t>2011-12 du 27 janvier 2011</w:t>
      </w:r>
      <w:r w:rsidRPr="00447C7B">
        <w:rPr>
          <w:rFonts w:eastAsia="Times New Roman"/>
        </w:rPr>
        <w:t xml:space="preserve"> modifiant le Code pénal, qui, </w:t>
      </w:r>
      <w:r w:rsidR="00FA0FAE">
        <w:rPr>
          <w:rFonts w:eastAsia="Times New Roman"/>
        </w:rPr>
        <w:t xml:space="preserve">en </w:t>
      </w:r>
      <w:r w:rsidRPr="00447C7B">
        <w:rPr>
          <w:rFonts w:eastAsia="Times New Roman"/>
        </w:rPr>
        <w:t>faisant référence à un acte commis dans l’intention de perturber le fonctionnement normal des services publics</w:t>
      </w:r>
      <w:r w:rsidR="00FA0FAE">
        <w:rPr>
          <w:rFonts w:eastAsia="Times New Roman"/>
        </w:rPr>
        <w:t>,</w:t>
      </w:r>
      <w:r w:rsidRPr="00447C7B">
        <w:rPr>
          <w:rFonts w:eastAsia="Times New Roman"/>
        </w:rPr>
        <w:t xml:space="preserve"> pourrait, de par son caractère flou et ambigu, pénaliser des activités pacifiques </w:t>
      </w:r>
      <w:r w:rsidR="00FA0FAE">
        <w:rPr>
          <w:rFonts w:eastAsia="Times New Roman"/>
        </w:rPr>
        <w:t xml:space="preserve">menées </w:t>
      </w:r>
      <w:r w:rsidRPr="00447C7B">
        <w:rPr>
          <w:rFonts w:eastAsia="Times New Roman"/>
        </w:rPr>
        <w:t xml:space="preserve">au titre du droit à la liberté d’expression, d’association ou de réunion. Le Comité </w:t>
      </w:r>
      <w:r w:rsidR="00FA0FAE">
        <w:rPr>
          <w:rFonts w:eastAsia="Times New Roman"/>
        </w:rPr>
        <w:t>craint</w:t>
      </w:r>
      <w:r w:rsidRPr="00447C7B">
        <w:rPr>
          <w:rFonts w:eastAsia="Times New Roman"/>
        </w:rPr>
        <w:t xml:space="preserve"> également que les modifications législatives </w:t>
      </w:r>
      <w:r w:rsidR="00FA0FAE">
        <w:rPr>
          <w:rFonts w:eastAsia="Times New Roman"/>
        </w:rPr>
        <w:t>relatives au</w:t>
      </w:r>
      <w:r w:rsidRPr="00447C7B">
        <w:rPr>
          <w:rFonts w:eastAsia="Times New Roman"/>
        </w:rPr>
        <w:t xml:space="preserve"> terrorisme entra</w:t>
      </w:r>
      <w:r w:rsidR="00FA0FAE">
        <w:rPr>
          <w:rFonts w:eastAsia="Times New Roman"/>
        </w:rPr>
        <w:t>î</w:t>
      </w:r>
      <w:r w:rsidRPr="00447C7B">
        <w:rPr>
          <w:rFonts w:eastAsia="Times New Roman"/>
        </w:rPr>
        <w:t>nent des dérogations au droit commun en matière de garanties judiciaires. En outre, le Comité est préoccupé au regard d’allégations reçues à propos de plusieurs cas d’arrestations et de condamnations de défenseurs des droits de l’homme</w:t>
      </w:r>
      <w:r w:rsidR="006748AA">
        <w:rPr>
          <w:rFonts w:eastAsia="Times New Roman"/>
        </w:rPr>
        <w:t>,</w:t>
      </w:r>
      <w:r w:rsidRPr="00447C7B">
        <w:rPr>
          <w:rFonts w:eastAsia="Times New Roman"/>
        </w:rPr>
        <w:t xml:space="preserve"> au titre de la législation antiterroriste (art. 2, 9, 14, 18, 19, 21</w:t>
      </w:r>
      <w:r w:rsidR="001744F8">
        <w:rPr>
          <w:rFonts w:eastAsia="Times New Roman"/>
        </w:rPr>
        <w:t xml:space="preserve"> et</w:t>
      </w:r>
      <w:r w:rsidRPr="00447C7B">
        <w:rPr>
          <w:rFonts w:eastAsia="Times New Roman"/>
        </w:rPr>
        <w:t xml:space="preserve"> 22).</w:t>
      </w:r>
    </w:p>
    <w:p w14:paraId="7DDFA632" w14:textId="52CFA1BF" w:rsidR="00447C7B" w:rsidRPr="00447C7B" w:rsidRDefault="00447C7B" w:rsidP="006748AA">
      <w:pPr>
        <w:spacing w:after="120"/>
        <w:ind w:left="1134" w:right="1134"/>
        <w:jc w:val="both"/>
        <w:rPr>
          <w:rFonts w:eastAsia="Times New Roman"/>
          <w:b/>
          <w:bCs/>
        </w:rPr>
      </w:pPr>
      <w:r w:rsidRPr="00447C7B">
        <w:rPr>
          <w:rFonts w:eastAsia="Times New Roman"/>
        </w:rPr>
        <w:t>15.</w:t>
      </w:r>
      <w:r w:rsidRPr="00447C7B">
        <w:rPr>
          <w:rFonts w:eastAsia="Times New Roman"/>
        </w:rPr>
        <w:tab/>
      </w:r>
      <w:r w:rsidRPr="00447C7B">
        <w:rPr>
          <w:rFonts w:eastAsia="Times New Roman"/>
          <w:b/>
          <w:bCs/>
        </w:rPr>
        <w:t xml:space="preserve">L’État partie devrait adopter les mesures nécessaires pour revoir sa législation relative au terrorisme, afin de la rendre compatible avec le Pacte. Il devrait en outre </w:t>
      </w:r>
      <w:r w:rsidRPr="00447C7B">
        <w:rPr>
          <w:rFonts w:eastAsia="Times New Roman"/>
          <w:b/>
        </w:rPr>
        <w:t xml:space="preserve">veiller à prévenir toute atteinte injustifiée ou disproportionnée à la liberté d’expression des </w:t>
      </w:r>
      <w:proofErr w:type="spellStart"/>
      <w:r w:rsidRPr="00447C7B">
        <w:rPr>
          <w:rFonts w:eastAsia="Times New Roman"/>
          <w:b/>
        </w:rPr>
        <w:t>médias</w:t>
      </w:r>
      <w:proofErr w:type="spellEnd"/>
      <w:r w:rsidRPr="00447C7B">
        <w:rPr>
          <w:rFonts w:eastAsia="Times New Roman"/>
          <w:b/>
        </w:rPr>
        <w:t xml:space="preserve"> et défenseurs des droits de l’homme au titre de la législation antiterroriste.</w:t>
      </w:r>
    </w:p>
    <w:p w14:paraId="07F7CCF8" w14:textId="7FF9950E" w:rsidR="00447C7B" w:rsidRPr="00447C7B" w:rsidRDefault="00447C7B" w:rsidP="001744F8">
      <w:pPr>
        <w:spacing w:after="120"/>
        <w:ind w:left="1134" w:right="1134"/>
        <w:jc w:val="both"/>
        <w:rPr>
          <w:rFonts w:eastAsia="Times New Roman"/>
        </w:rPr>
      </w:pPr>
      <w:r w:rsidRPr="00447C7B">
        <w:rPr>
          <w:rFonts w:eastAsia="Times New Roman"/>
        </w:rPr>
        <w:t>16.</w:t>
      </w:r>
      <w:r w:rsidR="004F5E01">
        <w:rPr>
          <w:rFonts w:eastAsia="Times New Roman"/>
          <w:b/>
          <w:bCs/>
        </w:rPr>
        <w:tab/>
      </w:r>
      <w:r w:rsidRPr="00447C7B">
        <w:rPr>
          <w:rFonts w:eastAsia="Times New Roman"/>
        </w:rPr>
        <w:t xml:space="preserve">Le Comité est préoccupé par l’état d’urgence en vigueur </w:t>
      </w:r>
      <w:r w:rsidR="006748AA">
        <w:rPr>
          <w:rFonts w:eastAsia="Times New Roman"/>
        </w:rPr>
        <w:t>depuis </w:t>
      </w:r>
      <w:r w:rsidR="006748AA" w:rsidRPr="00447C7B">
        <w:rPr>
          <w:rFonts w:eastAsia="Times New Roman"/>
        </w:rPr>
        <w:t>2015</w:t>
      </w:r>
      <w:r w:rsidR="006748AA">
        <w:rPr>
          <w:rFonts w:eastAsia="Times New Roman"/>
        </w:rPr>
        <w:t xml:space="preserve"> </w:t>
      </w:r>
      <w:r w:rsidRPr="00447C7B">
        <w:rPr>
          <w:rFonts w:eastAsia="Times New Roman"/>
        </w:rPr>
        <w:t xml:space="preserve">dans la région de </w:t>
      </w:r>
      <w:r w:rsidRPr="004B5CCB">
        <w:rPr>
          <w:rFonts w:eastAsia="Times New Roman"/>
        </w:rPr>
        <w:t>Diffa</w:t>
      </w:r>
      <w:r w:rsidRPr="00447C7B">
        <w:rPr>
          <w:rFonts w:eastAsia="Times New Roman"/>
        </w:rPr>
        <w:t xml:space="preserve">, étendu subséquemment aux régions de </w:t>
      </w:r>
      <w:proofErr w:type="spellStart"/>
      <w:r w:rsidRPr="004B5CCB">
        <w:rPr>
          <w:rFonts w:eastAsia="Times New Roman"/>
        </w:rPr>
        <w:t>Tillabéri</w:t>
      </w:r>
      <w:proofErr w:type="spellEnd"/>
      <w:r w:rsidRPr="004B5CCB">
        <w:rPr>
          <w:rFonts w:eastAsia="Times New Roman"/>
        </w:rPr>
        <w:t xml:space="preserve"> et </w:t>
      </w:r>
      <w:r w:rsidR="00211A6A" w:rsidRPr="004B5CCB">
        <w:rPr>
          <w:rFonts w:eastAsia="Times New Roman"/>
        </w:rPr>
        <w:t>de</w:t>
      </w:r>
      <w:r w:rsidR="00211A6A" w:rsidRPr="00392D28">
        <w:rPr>
          <w:rFonts w:eastAsia="Times New Roman"/>
        </w:rPr>
        <w:t xml:space="preserve"> </w:t>
      </w:r>
      <w:r w:rsidRPr="004B5CCB">
        <w:rPr>
          <w:rFonts w:eastAsia="Times New Roman"/>
        </w:rPr>
        <w:t>Tahoua</w:t>
      </w:r>
      <w:r w:rsidRPr="00447C7B">
        <w:rPr>
          <w:rFonts w:eastAsia="Times New Roman"/>
        </w:rPr>
        <w:t xml:space="preserve">. Le Comité relève en particulier qu’en </w:t>
      </w:r>
      <w:r w:rsidR="006748AA">
        <w:rPr>
          <w:rFonts w:eastAsia="Times New Roman"/>
        </w:rPr>
        <w:t>raison de la militarisation</w:t>
      </w:r>
      <w:r w:rsidRPr="00447C7B">
        <w:rPr>
          <w:rFonts w:eastAsia="Times New Roman"/>
        </w:rPr>
        <w:t xml:space="preserve"> de nombreuses zones de pêche et d’agriculture dans la zone du bassin du </w:t>
      </w:r>
      <w:r w:rsidR="006748AA">
        <w:rPr>
          <w:rFonts w:eastAsia="Times New Roman"/>
        </w:rPr>
        <w:t>l</w:t>
      </w:r>
      <w:r w:rsidRPr="00447C7B">
        <w:rPr>
          <w:rFonts w:eastAsia="Times New Roman"/>
        </w:rPr>
        <w:t xml:space="preserve">ac Tchad, l’état d’urgence semble porter disproportionnellement atteinte à la liberté de mouvement et limiter </w:t>
      </w:r>
      <w:r w:rsidR="006748AA">
        <w:rPr>
          <w:rFonts w:eastAsia="Times New Roman"/>
        </w:rPr>
        <w:t xml:space="preserve">considérablement </w:t>
      </w:r>
      <w:r w:rsidRPr="00447C7B">
        <w:rPr>
          <w:rFonts w:eastAsia="Times New Roman"/>
        </w:rPr>
        <w:t>les activités de subsistance de la population civile (art. 4, 6</w:t>
      </w:r>
      <w:r w:rsidR="001744F8">
        <w:rPr>
          <w:rFonts w:eastAsia="Times New Roman"/>
        </w:rPr>
        <w:t xml:space="preserve"> et</w:t>
      </w:r>
      <w:r w:rsidRPr="00447C7B">
        <w:rPr>
          <w:rFonts w:eastAsia="Times New Roman"/>
        </w:rPr>
        <w:t xml:space="preserve"> 12)</w:t>
      </w:r>
      <w:r w:rsidR="004F5E01">
        <w:rPr>
          <w:rFonts w:eastAsia="Times New Roman"/>
        </w:rPr>
        <w:t>.</w:t>
      </w:r>
    </w:p>
    <w:p w14:paraId="487F02DC" w14:textId="2333C01F" w:rsidR="00447C7B" w:rsidRPr="00447C7B" w:rsidRDefault="00447C7B" w:rsidP="001744F8">
      <w:pPr>
        <w:spacing w:after="120"/>
        <w:ind w:left="1134" w:right="1134"/>
        <w:jc w:val="both"/>
        <w:rPr>
          <w:rFonts w:eastAsia="Times New Roman"/>
          <w:b/>
          <w:bCs/>
        </w:rPr>
      </w:pPr>
      <w:r w:rsidRPr="00447C7B">
        <w:rPr>
          <w:rFonts w:eastAsia="Times New Roman"/>
        </w:rPr>
        <w:lastRenderedPageBreak/>
        <w:t>17.</w:t>
      </w:r>
      <w:r w:rsidR="004F5E01">
        <w:rPr>
          <w:rFonts w:eastAsia="Times New Roman"/>
          <w:b/>
          <w:bCs/>
        </w:rPr>
        <w:tab/>
      </w:r>
      <w:r w:rsidRPr="00447C7B">
        <w:rPr>
          <w:rFonts w:eastAsia="Times New Roman"/>
          <w:b/>
          <w:bCs/>
        </w:rPr>
        <w:t xml:space="preserve">L’État partie devrait veiller à ce que les mesures adoptées pour lutter contre le terrorisme soient pleinement compatibles avec </w:t>
      </w:r>
      <w:r w:rsidRPr="004B5CCB">
        <w:rPr>
          <w:rFonts w:eastAsia="Times New Roman"/>
          <w:b/>
          <w:bCs/>
        </w:rPr>
        <w:t>l’article 4 du Pacte</w:t>
      </w:r>
      <w:r w:rsidRPr="00447C7B">
        <w:rPr>
          <w:rFonts w:eastAsia="Times New Roman"/>
          <w:b/>
          <w:bCs/>
        </w:rPr>
        <w:t xml:space="preserve"> et, plus particulièrement, </w:t>
      </w:r>
      <w:r w:rsidR="001744F8">
        <w:rPr>
          <w:rFonts w:eastAsia="Times New Roman"/>
          <w:b/>
          <w:bCs/>
        </w:rPr>
        <w:t xml:space="preserve">que </w:t>
      </w:r>
      <w:r w:rsidRPr="00447C7B">
        <w:rPr>
          <w:rFonts w:eastAsia="Times New Roman"/>
          <w:b/>
          <w:bCs/>
        </w:rPr>
        <w:t xml:space="preserve">les mesures dérogeant aux dispositions du Pacte soient strictement nécessaires au regard de la situation, et répondent aux exigences du principe de proportionnalité. </w:t>
      </w:r>
    </w:p>
    <w:p w14:paraId="77D094F2" w14:textId="7143F7FD" w:rsidR="00447C7B" w:rsidRPr="00447C7B" w:rsidRDefault="00447C7B" w:rsidP="00C05CBD">
      <w:pPr>
        <w:pStyle w:val="H23G"/>
      </w:pPr>
      <w:r>
        <w:tab/>
      </w:r>
      <w:r>
        <w:tab/>
      </w:r>
      <w:r w:rsidRPr="00447C7B">
        <w:t xml:space="preserve">Non-discrimination </w:t>
      </w:r>
    </w:p>
    <w:p w14:paraId="17EF0499" w14:textId="28ADCDE9" w:rsidR="00447C7B" w:rsidRPr="00447C7B" w:rsidRDefault="00447C7B">
      <w:pPr>
        <w:spacing w:after="120"/>
        <w:ind w:left="1134" w:right="1134"/>
        <w:jc w:val="both"/>
        <w:rPr>
          <w:rFonts w:eastAsia="Times New Roman"/>
        </w:rPr>
      </w:pPr>
      <w:r w:rsidRPr="00447C7B">
        <w:rPr>
          <w:rFonts w:eastAsia="Times New Roman"/>
        </w:rPr>
        <w:t>18.</w:t>
      </w:r>
      <w:r w:rsidRPr="00447C7B">
        <w:rPr>
          <w:rFonts w:eastAsia="Times New Roman"/>
        </w:rPr>
        <w:tab/>
        <w:t>Tout en notant le cadre législatif, y compris les dispositions d’ordre constitutionnel qui prohibent la discrimination, le Comité regrette toutefois l’a</w:t>
      </w:r>
      <w:r w:rsidR="00F82EF8">
        <w:rPr>
          <w:rFonts w:eastAsia="Times New Roman"/>
        </w:rPr>
        <w:t xml:space="preserve">bsence de législation </w:t>
      </w:r>
      <w:r w:rsidR="006455AF">
        <w:rPr>
          <w:rFonts w:eastAsia="Times New Roman"/>
        </w:rPr>
        <w:t xml:space="preserve">définissant et </w:t>
      </w:r>
      <w:r w:rsidR="00940CE0">
        <w:rPr>
          <w:rFonts w:eastAsia="Times New Roman"/>
        </w:rPr>
        <w:t>incriminant de ma</w:t>
      </w:r>
      <w:r w:rsidR="006455AF">
        <w:rPr>
          <w:rFonts w:eastAsia="Times New Roman"/>
        </w:rPr>
        <w:t>nière exhaustive</w:t>
      </w:r>
      <w:r w:rsidRPr="00447C7B">
        <w:rPr>
          <w:rFonts w:eastAsia="Times New Roman"/>
        </w:rPr>
        <w:t xml:space="preserve"> la discrimination directe et indirecte, </w:t>
      </w:r>
      <w:r w:rsidR="00E23E3A">
        <w:rPr>
          <w:rFonts w:eastAsia="Times New Roman"/>
        </w:rPr>
        <w:t xml:space="preserve">et </w:t>
      </w:r>
      <w:r w:rsidR="006455AF">
        <w:rPr>
          <w:rFonts w:eastAsia="Times New Roman"/>
        </w:rPr>
        <w:t>englobant</w:t>
      </w:r>
      <w:r w:rsidRPr="00447C7B">
        <w:rPr>
          <w:rFonts w:eastAsia="Times New Roman"/>
        </w:rPr>
        <w:t xml:space="preserve"> l’orientation sexuelle, l’identité de genre et le handicap. Le Comité regrette en outre la qualification</w:t>
      </w:r>
      <w:r w:rsidR="006663C0">
        <w:rPr>
          <w:rFonts w:eastAsia="Times New Roman"/>
        </w:rPr>
        <w:t xml:space="preserve"> « contre nature »</w:t>
      </w:r>
      <w:r w:rsidR="00E23E3A">
        <w:rPr>
          <w:rFonts w:eastAsia="Times New Roman"/>
        </w:rPr>
        <w:t xml:space="preserve"> </w:t>
      </w:r>
      <w:r w:rsidR="006455AF">
        <w:rPr>
          <w:rFonts w:eastAsia="Times New Roman"/>
        </w:rPr>
        <w:t xml:space="preserve">des </w:t>
      </w:r>
      <w:r w:rsidRPr="00447C7B">
        <w:rPr>
          <w:rFonts w:eastAsia="Times New Roman"/>
        </w:rPr>
        <w:t>activités sexuelles</w:t>
      </w:r>
      <w:r w:rsidR="00FD1C8F">
        <w:rPr>
          <w:rFonts w:eastAsia="Times New Roman"/>
        </w:rPr>
        <w:t xml:space="preserve"> consensuelles</w:t>
      </w:r>
      <w:r w:rsidRPr="00447C7B">
        <w:rPr>
          <w:rFonts w:eastAsia="Times New Roman"/>
        </w:rPr>
        <w:t xml:space="preserve"> entre </w:t>
      </w:r>
      <w:r w:rsidR="00FD1C8F">
        <w:rPr>
          <w:rFonts w:eastAsia="Times New Roman"/>
        </w:rPr>
        <w:t xml:space="preserve">adultes </w:t>
      </w:r>
      <w:r w:rsidRPr="00447C7B">
        <w:rPr>
          <w:rFonts w:eastAsia="Times New Roman"/>
        </w:rPr>
        <w:t xml:space="preserve">de même sexe </w:t>
      </w:r>
      <w:r w:rsidR="006455AF">
        <w:rPr>
          <w:rFonts w:eastAsia="Times New Roman"/>
        </w:rPr>
        <w:t>par</w:t>
      </w:r>
      <w:r w:rsidRPr="00447C7B">
        <w:rPr>
          <w:rFonts w:eastAsia="Times New Roman"/>
        </w:rPr>
        <w:t xml:space="preserve"> </w:t>
      </w:r>
      <w:r w:rsidRPr="004B5CCB">
        <w:rPr>
          <w:rFonts w:eastAsia="Times New Roman"/>
        </w:rPr>
        <w:t>l’article 282 du Code pénal</w:t>
      </w:r>
      <w:r w:rsidRPr="00447C7B">
        <w:rPr>
          <w:rFonts w:eastAsia="Times New Roman"/>
        </w:rPr>
        <w:t xml:space="preserve"> (art. 2, 17 et 26).</w:t>
      </w:r>
    </w:p>
    <w:p w14:paraId="47901EA6" w14:textId="45FED41E" w:rsidR="00447C7B" w:rsidRPr="00447C7B" w:rsidRDefault="00447C7B">
      <w:pPr>
        <w:spacing w:after="120"/>
        <w:ind w:left="1134" w:right="1134"/>
        <w:jc w:val="both"/>
        <w:rPr>
          <w:rFonts w:eastAsia="Times New Roman"/>
          <w:b/>
          <w:bCs/>
        </w:rPr>
      </w:pPr>
      <w:r w:rsidRPr="00447C7B">
        <w:rPr>
          <w:rFonts w:eastAsia="Times New Roman"/>
        </w:rPr>
        <w:t>19.</w:t>
      </w:r>
      <w:r w:rsidRPr="00447C7B">
        <w:rPr>
          <w:rFonts w:eastAsia="Times New Roman"/>
        </w:rPr>
        <w:tab/>
      </w:r>
      <w:r w:rsidRPr="00447C7B">
        <w:rPr>
          <w:rFonts w:eastAsia="Times New Roman"/>
          <w:b/>
          <w:bCs/>
        </w:rPr>
        <w:t>L’État partie devrait prendre les mesures adéquates afin : a) d’adopter une législation complète qui protège pleinement et efficacement contre la discrimination dans tous les domaines</w:t>
      </w:r>
      <w:r w:rsidR="006455AF">
        <w:rPr>
          <w:rFonts w:eastAsia="Times New Roman"/>
          <w:b/>
          <w:bCs/>
        </w:rPr>
        <w:t>,</w:t>
      </w:r>
      <w:r w:rsidRPr="00447C7B">
        <w:rPr>
          <w:rFonts w:eastAsia="Times New Roman"/>
          <w:b/>
          <w:bCs/>
        </w:rPr>
        <w:t xml:space="preserve"> et </w:t>
      </w:r>
      <w:r w:rsidR="005267F8">
        <w:rPr>
          <w:rFonts w:eastAsia="Times New Roman"/>
          <w:b/>
          <w:bCs/>
        </w:rPr>
        <w:t xml:space="preserve">qui </w:t>
      </w:r>
      <w:r w:rsidR="005267F8" w:rsidRPr="007D5952">
        <w:rPr>
          <w:rFonts w:eastAsia="Times New Roman"/>
          <w:b/>
          <w:bCs/>
        </w:rPr>
        <w:t>contient</w:t>
      </w:r>
      <w:r w:rsidRPr="00447C7B">
        <w:rPr>
          <w:rFonts w:eastAsia="Times New Roman"/>
          <w:b/>
          <w:bCs/>
        </w:rPr>
        <w:t xml:space="preserve"> une liste exhaustive des motifs de discrimination, y compris l’orientation sexuelle et l’identité de genre ; et b) </w:t>
      </w:r>
      <w:r w:rsidR="007D5952">
        <w:rPr>
          <w:rFonts w:eastAsia="Times New Roman"/>
          <w:b/>
          <w:bCs/>
        </w:rPr>
        <w:t xml:space="preserve">de </w:t>
      </w:r>
      <w:r w:rsidRPr="00447C7B">
        <w:rPr>
          <w:rFonts w:eastAsia="Times New Roman"/>
          <w:b/>
          <w:bCs/>
        </w:rPr>
        <w:t xml:space="preserve">réviser </w:t>
      </w:r>
      <w:r w:rsidRPr="004B5CCB">
        <w:rPr>
          <w:rFonts w:eastAsia="Times New Roman"/>
          <w:b/>
          <w:bCs/>
        </w:rPr>
        <w:t>l’article 282 du Code pénal</w:t>
      </w:r>
      <w:r w:rsidR="000B4367">
        <w:rPr>
          <w:rFonts w:eastAsia="Times New Roman"/>
          <w:b/>
          <w:bCs/>
        </w:rPr>
        <w:t xml:space="preserve">, afin de supprimer l’incrimination des relations </w:t>
      </w:r>
      <w:r w:rsidR="00B809D6">
        <w:rPr>
          <w:rFonts w:eastAsia="Times New Roman"/>
          <w:b/>
          <w:bCs/>
        </w:rPr>
        <w:t xml:space="preserve">sexuelles </w:t>
      </w:r>
      <w:r w:rsidR="00E23E3A">
        <w:rPr>
          <w:rFonts w:eastAsia="Times New Roman"/>
          <w:b/>
          <w:bCs/>
        </w:rPr>
        <w:t>consensuelles entre adultes de</w:t>
      </w:r>
      <w:r w:rsidR="000B4367">
        <w:rPr>
          <w:rFonts w:eastAsia="Times New Roman"/>
          <w:b/>
          <w:bCs/>
        </w:rPr>
        <w:t xml:space="preserve"> même sexe</w:t>
      </w:r>
      <w:r w:rsidRPr="00447C7B">
        <w:rPr>
          <w:rFonts w:eastAsia="Times New Roman"/>
          <w:b/>
          <w:bCs/>
        </w:rPr>
        <w:t>.</w:t>
      </w:r>
    </w:p>
    <w:p w14:paraId="7EF4A190" w14:textId="5C1C4EF3" w:rsidR="00447C7B" w:rsidRPr="00447C7B" w:rsidRDefault="00447C7B" w:rsidP="006455AF">
      <w:pPr>
        <w:pStyle w:val="H23G"/>
      </w:pPr>
      <w:r>
        <w:rPr>
          <w:lang w:eastAsia="fr-CH"/>
        </w:rPr>
        <w:tab/>
      </w:r>
      <w:r>
        <w:rPr>
          <w:lang w:eastAsia="fr-CH"/>
        </w:rPr>
        <w:tab/>
      </w:r>
      <w:r w:rsidR="006455AF">
        <w:rPr>
          <w:lang w:eastAsia="fr-CH"/>
        </w:rPr>
        <w:t>É</w:t>
      </w:r>
      <w:r w:rsidRPr="00447C7B">
        <w:rPr>
          <w:lang w:eastAsia="fr-CH"/>
        </w:rPr>
        <w:t xml:space="preserve">galité homme-femme et discrimination à l’égard des femmes </w:t>
      </w:r>
    </w:p>
    <w:p w14:paraId="09E71AA9" w14:textId="11E9126F" w:rsidR="00447C7B" w:rsidRPr="00447C7B" w:rsidRDefault="00447C7B" w:rsidP="004C4F01">
      <w:pPr>
        <w:spacing w:after="120"/>
        <w:ind w:left="1134" w:right="1134"/>
        <w:jc w:val="both"/>
        <w:rPr>
          <w:rFonts w:eastAsia="Times New Roman"/>
        </w:rPr>
      </w:pPr>
      <w:r w:rsidRPr="00447C7B">
        <w:rPr>
          <w:rFonts w:eastAsia="Times New Roman"/>
        </w:rPr>
        <w:t>20.</w:t>
      </w:r>
      <w:r w:rsidRPr="00447C7B">
        <w:rPr>
          <w:rFonts w:eastAsia="Times New Roman"/>
        </w:rPr>
        <w:tab/>
        <w:t xml:space="preserve">Le Comité accueille favorablement </w:t>
      </w:r>
      <w:r w:rsidRPr="004B5CCB">
        <w:rPr>
          <w:rFonts w:eastAsia="Times New Roman"/>
        </w:rPr>
        <w:t>l’article 8 de la Constitution</w:t>
      </w:r>
      <w:r w:rsidRPr="00447C7B">
        <w:rPr>
          <w:rFonts w:eastAsia="Times New Roman"/>
        </w:rPr>
        <w:t xml:space="preserve">, qui consacre l’égalité devant la loi sans distinction fondée sur le sexe, ainsi que la </w:t>
      </w:r>
      <w:r w:rsidR="004517AB">
        <w:rPr>
          <w:rFonts w:eastAsia="Times New Roman"/>
        </w:rPr>
        <w:t>l</w:t>
      </w:r>
      <w:r w:rsidRPr="00447C7B">
        <w:rPr>
          <w:rFonts w:eastAsia="Times New Roman"/>
        </w:rPr>
        <w:t xml:space="preserve">oi </w:t>
      </w:r>
      <w:r w:rsidR="004C4F01" w:rsidRPr="00447C7B">
        <w:rPr>
          <w:rFonts w:eastAsia="Times New Roman"/>
        </w:rPr>
        <w:t>n</w:t>
      </w:r>
      <w:r w:rsidR="004C4F01" w:rsidRPr="003E0C87">
        <w:rPr>
          <w:rFonts w:eastAsia="Times New Roman"/>
          <w:vertAlign w:val="superscript"/>
        </w:rPr>
        <w:t>o</w:t>
      </w:r>
      <w:r w:rsidR="004C4F01">
        <w:rPr>
          <w:rFonts w:eastAsia="Times New Roman"/>
        </w:rPr>
        <w:t> </w:t>
      </w:r>
      <w:r w:rsidRPr="004B5CCB">
        <w:rPr>
          <w:rFonts w:eastAsia="Times New Roman"/>
        </w:rPr>
        <w:t>2000-008 du 7 juin 2000</w:t>
      </w:r>
      <w:r w:rsidRPr="00447C7B">
        <w:rPr>
          <w:rFonts w:eastAsia="Times New Roman"/>
        </w:rPr>
        <w:t xml:space="preserve">, complétée par la </w:t>
      </w:r>
      <w:r w:rsidR="004517AB" w:rsidRPr="004B5CCB">
        <w:rPr>
          <w:rFonts w:eastAsia="Times New Roman"/>
        </w:rPr>
        <w:t>l</w:t>
      </w:r>
      <w:r w:rsidRPr="004B5CCB">
        <w:rPr>
          <w:rFonts w:eastAsia="Times New Roman"/>
        </w:rPr>
        <w:t xml:space="preserve">oi </w:t>
      </w:r>
      <w:r w:rsidR="004C4F01" w:rsidRPr="00447C7B">
        <w:rPr>
          <w:rFonts w:eastAsia="Times New Roman"/>
        </w:rPr>
        <w:t>n</w:t>
      </w:r>
      <w:r w:rsidR="004C4F01" w:rsidRPr="003E0C87">
        <w:rPr>
          <w:rFonts w:eastAsia="Times New Roman"/>
          <w:vertAlign w:val="superscript"/>
        </w:rPr>
        <w:t>o</w:t>
      </w:r>
      <w:r w:rsidR="004C4F01">
        <w:rPr>
          <w:rFonts w:eastAsia="Times New Roman"/>
        </w:rPr>
        <w:t> </w:t>
      </w:r>
      <w:r w:rsidRPr="004B5CCB">
        <w:rPr>
          <w:rFonts w:eastAsia="Times New Roman"/>
        </w:rPr>
        <w:t>2014-64 du 5 novembre 2014</w:t>
      </w:r>
      <w:r w:rsidRPr="00447C7B">
        <w:rPr>
          <w:rFonts w:eastAsia="Times New Roman"/>
        </w:rPr>
        <w:t>, fixant la représentation des femmes à 15</w:t>
      </w:r>
      <w:r w:rsidR="004517AB">
        <w:rPr>
          <w:rFonts w:eastAsia="Times New Roman"/>
        </w:rPr>
        <w:t> </w:t>
      </w:r>
      <w:r w:rsidRPr="00447C7B">
        <w:rPr>
          <w:rFonts w:eastAsia="Times New Roman"/>
        </w:rPr>
        <w:t xml:space="preserve">% dans les fonctions électives et </w:t>
      </w:r>
      <w:r w:rsidR="005267F8">
        <w:rPr>
          <w:rFonts w:eastAsia="Times New Roman"/>
        </w:rPr>
        <w:t xml:space="preserve">à </w:t>
      </w:r>
      <w:r w:rsidRPr="00447C7B">
        <w:rPr>
          <w:rFonts w:eastAsia="Times New Roman"/>
        </w:rPr>
        <w:t>25</w:t>
      </w:r>
      <w:r w:rsidR="004517AB">
        <w:rPr>
          <w:rFonts w:eastAsia="Times New Roman"/>
        </w:rPr>
        <w:t> </w:t>
      </w:r>
      <w:r w:rsidRPr="00447C7B">
        <w:rPr>
          <w:rFonts w:eastAsia="Times New Roman"/>
        </w:rPr>
        <w:t xml:space="preserve">% dans l’administration publique, des objectifs qui restent à </w:t>
      </w:r>
      <w:r w:rsidR="004517AB">
        <w:rPr>
          <w:rFonts w:eastAsia="Times New Roman"/>
        </w:rPr>
        <w:t>mettre</w:t>
      </w:r>
      <w:r w:rsidRPr="00447C7B">
        <w:rPr>
          <w:rFonts w:eastAsia="Times New Roman"/>
        </w:rPr>
        <w:t xml:space="preserve"> en œuvre. Le Comité note également avec satisfaction les efforts de l’État partie pour réformer sa législation nationale, mais relève que la </w:t>
      </w:r>
      <w:r w:rsidR="004517AB" w:rsidRPr="004B5CCB">
        <w:rPr>
          <w:rFonts w:eastAsia="Times New Roman"/>
        </w:rPr>
        <w:t>l</w:t>
      </w:r>
      <w:r w:rsidRPr="004B5CCB">
        <w:rPr>
          <w:rFonts w:eastAsia="Times New Roman"/>
        </w:rPr>
        <w:t xml:space="preserve">oi </w:t>
      </w:r>
      <w:r w:rsidR="004C4F01" w:rsidRPr="00447C7B">
        <w:rPr>
          <w:rFonts w:eastAsia="Times New Roman"/>
        </w:rPr>
        <w:t>n</w:t>
      </w:r>
      <w:r w:rsidR="004C4F01" w:rsidRPr="003E0C87">
        <w:rPr>
          <w:rFonts w:eastAsia="Times New Roman"/>
          <w:vertAlign w:val="superscript"/>
        </w:rPr>
        <w:t>o</w:t>
      </w:r>
      <w:r w:rsidR="004C4F01">
        <w:rPr>
          <w:rFonts w:eastAsia="Times New Roman"/>
        </w:rPr>
        <w:t> </w:t>
      </w:r>
      <w:r w:rsidRPr="004B5CCB">
        <w:rPr>
          <w:rFonts w:eastAsia="Times New Roman"/>
        </w:rPr>
        <w:t>2018-37 du 1</w:t>
      </w:r>
      <w:r w:rsidRPr="00D542DC">
        <w:rPr>
          <w:rFonts w:eastAsia="Times New Roman"/>
          <w:vertAlign w:val="superscript"/>
        </w:rPr>
        <w:t>er</w:t>
      </w:r>
      <w:r w:rsidRPr="004B5CCB">
        <w:rPr>
          <w:rFonts w:eastAsia="Times New Roman"/>
        </w:rPr>
        <w:t xml:space="preserve"> juin 2018</w:t>
      </w:r>
      <w:r w:rsidRPr="00447C7B">
        <w:rPr>
          <w:rFonts w:eastAsia="Times New Roman"/>
        </w:rPr>
        <w:t xml:space="preserve"> continue de consacrer le droit coutumier, dont les parties peuvent se prévaloir, à la place du droit civil, dans la plupart des affaires civiles ou relatives au statut personnel. Il s’inquiète, en outre, </w:t>
      </w:r>
      <w:r w:rsidR="00A8526F">
        <w:rPr>
          <w:rFonts w:eastAsia="Times New Roman"/>
        </w:rPr>
        <w:t>de la prolongation du délai d’</w:t>
      </w:r>
      <w:r w:rsidRPr="00447C7B">
        <w:rPr>
          <w:rFonts w:eastAsia="Times New Roman"/>
        </w:rPr>
        <w:t xml:space="preserve">adoption du projet de Code de la famille élaboré en 2010 </w:t>
      </w:r>
      <w:r w:rsidR="00A8526F">
        <w:rPr>
          <w:rFonts w:eastAsia="Times New Roman"/>
        </w:rPr>
        <w:t xml:space="preserve">et </w:t>
      </w:r>
      <w:r w:rsidRPr="00447C7B">
        <w:rPr>
          <w:rFonts w:eastAsia="Times New Roman"/>
        </w:rPr>
        <w:t>visant à abolir les dispositions discriminatoires à l’égard des femmes (art. 2, 3, 25 et 26).</w:t>
      </w:r>
    </w:p>
    <w:p w14:paraId="01F676ED" w14:textId="53B0E06C" w:rsidR="00447C7B" w:rsidRPr="00447C7B" w:rsidRDefault="00447C7B" w:rsidP="00FD38E1">
      <w:pPr>
        <w:spacing w:after="120"/>
        <w:ind w:left="1134" w:right="1134"/>
        <w:jc w:val="both"/>
        <w:rPr>
          <w:rFonts w:eastAsia="Times New Roman"/>
          <w:b/>
          <w:bCs/>
        </w:rPr>
      </w:pPr>
      <w:r w:rsidRPr="00447C7B">
        <w:rPr>
          <w:rFonts w:eastAsia="Times New Roman"/>
        </w:rPr>
        <w:t>21.</w:t>
      </w:r>
      <w:r w:rsidRPr="00447C7B">
        <w:rPr>
          <w:rFonts w:eastAsia="Times New Roman"/>
        </w:rPr>
        <w:tab/>
      </w:r>
      <w:r w:rsidRPr="00447C7B">
        <w:rPr>
          <w:rFonts w:eastAsia="Times New Roman"/>
          <w:b/>
          <w:bCs/>
        </w:rPr>
        <w:t xml:space="preserve">L’État partie devrait poursuivre ses efforts et en particulier : a) adopter promptement le Code de la famille, qui </w:t>
      </w:r>
      <w:r w:rsidR="00A8526F">
        <w:rPr>
          <w:rFonts w:eastAsia="Times New Roman"/>
          <w:b/>
          <w:bCs/>
        </w:rPr>
        <w:t>établira</w:t>
      </w:r>
      <w:r w:rsidRPr="00447C7B">
        <w:rPr>
          <w:rFonts w:eastAsia="Times New Roman"/>
          <w:b/>
          <w:bCs/>
        </w:rPr>
        <w:t xml:space="preserve"> clairement la </w:t>
      </w:r>
      <w:r w:rsidR="00FD38E1">
        <w:rPr>
          <w:rFonts w:eastAsia="Times New Roman"/>
          <w:b/>
          <w:bCs/>
        </w:rPr>
        <w:t>primauté</w:t>
      </w:r>
      <w:r w:rsidRPr="00447C7B">
        <w:rPr>
          <w:rFonts w:eastAsia="Times New Roman"/>
          <w:b/>
          <w:bCs/>
        </w:rPr>
        <w:t xml:space="preserve"> du droit civil sur le droit coutumier</w:t>
      </w:r>
      <w:r w:rsidR="00A8526F">
        <w:rPr>
          <w:rFonts w:eastAsia="Times New Roman"/>
          <w:b/>
          <w:bCs/>
        </w:rPr>
        <w:t> </w:t>
      </w:r>
      <w:r w:rsidRPr="00447C7B">
        <w:rPr>
          <w:rFonts w:eastAsia="Times New Roman"/>
          <w:b/>
          <w:bCs/>
        </w:rPr>
        <w:t xml:space="preserve">; b) harmoniser les lois nationales avec les dispositions du Pacte, y compris en abrogeant les dispositions discriminatoires de son droit statutaire et coutumier relatives, notamment, au mariage, à la polygamie, </w:t>
      </w:r>
      <w:r w:rsidR="00A8526F">
        <w:rPr>
          <w:rFonts w:eastAsia="Times New Roman"/>
          <w:b/>
          <w:bCs/>
        </w:rPr>
        <w:t xml:space="preserve">à </w:t>
      </w:r>
      <w:r w:rsidRPr="00447C7B">
        <w:rPr>
          <w:rFonts w:eastAsia="Times New Roman"/>
          <w:b/>
          <w:bCs/>
        </w:rPr>
        <w:t xml:space="preserve">la répudiation, </w:t>
      </w:r>
      <w:r w:rsidR="00A8526F">
        <w:rPr>
          <w:rFonts w:eastAsia="Times New Roman"/>
          <w:b/>
          <w:bCs/>
        </w:rPr>
        <w:t>au</w:t>
      </w:r>
      <w:r w:rsidRPr="00447C7B">
        <w:rPr>
          <w:rFonts w:eastAsia="Times New Roman"/>
          <w:b/>
          <w:bCs/>
        </w:rPr>
        <w:t xml:space="preserve"> divorce, </w:t>
      </w:r>
      <w:r w:rsidR="00A8526F">
        <w:rPr>
          <w:rFonts w:eastAsia="Times New Roman"/>
          <w:b/>
          <w:bCs/>
        </w:rPr>
        <w:t xml:space="preserve">à </w:t>
      </w:r>
      <w:r w:rsidRPr="00447C7B">
        <w:rPr>
          <w:rFonts w:eastAsia="Times New Roman"/>
          <w:b/>
          <w:bCs/>
        </w:rPr>
        <w:t xml:space="preserve">la succession et </w:t>
      </w:r>
      <w:r w:rsidR="00A8526F">
        <w:rPr>
          <w:rFonts w:eastAsia="Times New Roman"/>
          <w:b/>
          <w:bCs/>
        </w:rPr>
        <w:t xml:space="preserve">à </w:t>
      </w:r>
      <w:r w:rsidRPr="00447C7B">
        <w:rPr>
          <w:rFonts w:eastAsia="Times New Roman"/>
          <w:b/>
          <w:bCs/>
        </w:rPr>
        <w:t xml:space="preserve">la propriété foncière ; et c) </w:t>
      </w:r>
      <w:r w:rsidR="00FD38E1">
        <w:rPr>
          <w:rFonts w:eastAsia="Times New Roman"/>
          <w:b/>
          <w:bCs/>
        </w:rPr>
        <w:t>s’efforcer</w:t>
      </w:r>
      <w:r w:rsidRPr="00447C7B">
        <w:rPr>
          <w:rFonts w:eastAsia="Times New Roman"/>
          <w:b/>
          <w:bCs/>
        </w:rPr>
        <w:t xml:space="preserve"> d’augmenter, en pratique </w:t>
      </w:r>
      <w:r w:rsidR="00B809D6">
        <w:rPr>
          <w:rFonts w:eastAsia="Times New Roman"/>
          <w:b/>
          <w:bCs/>
        </w:rPr>
        <w:t xml:space="preserve">et dans un délai raisonnable, </w:t>
      </w:r>
      <w:r w:rsidRPr="00447C7B">
        <w:rPr>
          <w:rFonts w:eastAsia="Times New Roman"/>
          <w:b/>
          <w:bCs/>
        </w:rPr>
        <w:t>le nombre de femmes dans les affaires publiques.</w:t>
      </w:r>
    </w:p>
    <w:p w14:paraId="673D180B" w14:textId="22FC9AF4" w:rsidR="00447C7B" w:rsidRPr="00447C7B" w:rsidRDefault="00447C7B" w:rsidP="00447C7B">
      <w:pPr>
        <w:pStyle w:val="H23G"/>
      </w:pPr>
      <w:r>
        <w:tab/>
      </w:r>
      <w:r>
        <w:tab/>
      </w:r>
      <w:r w:rsidRPr="00447C7B">
        <w:t xml:space="preserve">Violences et pratiques préjudiciables à l’égard des femmes </w:t>
      </w:r>
    </w:p>
    <w:p w14:paraId="2DD055CF" w14:textId="1D0FCC6D" w:rsidR="00447C7B" w:rsidRPr="00447C7B" w:rsidRDefault="00447C7B" w:rsidP="004C4F01">
      <w:pPr>
        <w:spacing w:after="120"/>
        <w:ind w:left="1134" w:right="1134"/>
        <w:jc w:val="both"/>
        <w:rPr>
          <w:rFonts w:eastAsia="Times New Roman"/>
        </w:rPr>
      </w:pPr>
      <w:r w:rsidRPr="00447C7B">
        <w:rPr>
          <w:rFonts w:eastAsia="Times New Roman"/>
        </w:rPr>
        <w:t>22.</w:t>
      </w:r>
      <w:r w:rsidRPr="00447C7B">
        <w:rPr>
          <w:rFonts w:eastAsia="Times New Roman"/>
        </w:rPr>
        <w:tab/>
        <w:t>Tout en accueillant favorablement les mesures adoptées par l’</w:t>
      </w:r>
      <w:r w:rsidR="00A8526F">
        <w:rPr>
          <w:rFonts w:eastAsia="Times New Roman"/>
        </w:rPr>
        <w:t>É</w:t>
      </w:r>
      <w:r w:rsidRPr="00447C7B">
        <w:rPr>
          <w:rFonts w:eastAsia="Times New Roman"/>
        </w:rPr>
        <w:t xml:space="preserve">tat partie en vue de lutter contre les violences faites aux femmes, notamment la </w:t>
      </w:r>
      <w:r w:rsidRPr="004B5CCB">
        <w:rPr>
          <w:rFonts w:eastAsia="Times New Roman"/>
        </w:rPr>
        <w:t>stratégie nationale de prévention et de réponse aux violences basées sur le genre</w:t>
      </w:r>
      <w:r w:rsidRPr="00447C7B">
        <w:rPr>
          <w:rFonts w:eastAsia="Times New Roman"/>
        </w:rPr>
        <w:t xml:space="preserve"> et son plan d’action (2017), et saluant la mise en œuvre de la décision </w:t>
      </w:r>
      <w:r w:rsidR="005267F8">
        <w:rPr>
          <w:rFonts w:eastAsia="Times New Roman"/>
        </w:rPr>
        <w:t>rendue en 2008 par</w:t>
      </w:r>
      <w:r w:rsidRPr="00447C7B">
        <w:rPr>
          <w:rFonts w:eastAsia="Times New Roman"/>
        </w:rPr>
        <w:t xml:space="preserve"> la </w:t>
      </w:r>
      <w:r w:rsidRPr="004B5CCB">
        <w:rPr>
          <w:rFonts w:eastAsia="Times New Roman"/>
        </w:rPr>
        <w:t xml:space="preserve">Cour de justice de la Communauté </w:t>
      </w:r>
      <w:r w:rsidR="001E1C77" w:rsidRPr="004B5CCB">
        <w:rPr>
          <w:rFonts w:eastAsia="Times New Roman"/>
        </w:rPr>
        <w:t>é</w:t>
      </w:r>
      <w:r w:rsidRPr="004B5CCB">
        <w:rPr>
          <w:rFonts w:eastAsia="Times New Roman"/>
        </w:rPr>
        <w:t xml:space="preserve">conomique des </w:t>
      </w:r>
      <w:r w:rsidR="001E1C77" w:rsidRPr="004B5CCB">
        <w:rPr>
          <w:rFonts w:eastAsia="Times New Roman"/>
        </w:rPr>
        <w:t>É</w:t>
      </w:r>
      <w:r w:rsidRPr="004B5CCB">
        <w:rPr>
          <w:rFonts w:eastAsia="Times New Roman"/>
        </w:rPr>
        <w:t>tats de l</w:t>
      </w:r>
      <w:r w:rsidR="009D07E3">
        <w:rPr>
          <w:rFonts w:eastAsia="Times New Roman"/>
        </w:rPr>
        <w:t>’</w:t>
      </w:r>
      <w:r w:rsidRPr="004B5CCB">
        <w:rPr>
          <w:rFonts w:eastAsia="Times New Roman"/>
        </w:rPr>
        <w:t>Afrique de l</w:t>
      </w:r>
      <w:r w:rsidR="009D07E3">
        <w:rPr>
          <w:rFonts w:eastAsia="Times New Roman"/>
        </w:rPr>
        <w:t>’</w:t>
      </w:r>
      <w:r w:rsidRPr="004B5CCB">
        <w:rPr>
          <w:rFonts w:eastAsia="Times New Roman"/>
        </w:rPr>
        <w:t>Ouest</w:t>
      </w:r>
      <w:r w:rsidRPr="00447C7B">
        <w:rPr>
          <w:rFonts w:eastAsia="Times New Roman"/>
        </w:rPr>
        <w:t xml:space="preserve">, qui avait </w:t>
      </w:r>
      <w:r w:rsidR="005267F8">
        <w:rPr>
          <w:rFonts w:eastAsia="Times New Roman"/>
        </w:rPr>
        <w:t>condamné</w:t>
      </w:r>
      <w:r w:rsidRPr="00447C7B">
        <w:rPr>
          <w:rFonts w:eastAsia="Times New Roman"/>
        </w:rPr>
        <w:t xml:space="preserve"> le Niger dans l’affaire </w:t>
      </w:r>
      <w:r w:rsidR="00C24652" w:rsidRPr="00D542DC">
        <w:rPr>
          <w:rFonts w:eastAsia="Times New Roman"/>
          <w:i/>
          <w:iCs/>
        </w:rPr>
        <w:t xml:space="preserve">Dame </w:t>
      </w:r>
      <w:proofErr w:type="spellStart"/>
      <w:r w:rsidRPr="00D542DC">
        <w:rPr>
          <w:rFonts w:eastAsia="Times New Roman"/>
          <w:i/>
          <w:iCs/>
        </w:rPr>
        <w:t>Hadijatou</w:t>
      </w:r>
      <w:proofErr w:type="spellEnd"/>
      <w:r w:rsidRPr="00D542DC">
        <w:rPr>
          <w:rFonts w:eastAsia="Times New Roman"/>
          <w:i/>
          <w:iCs/>
        </w:rPr>
        <w:t xml:space="preserve"> Mani </w:t>
      </w:r>
      <w:proofErr w:type="spellStart"/>
      <w:r w:rsidRPr="00D542DC">
        <w:rPr>
          <w:rFonts w:eastAsia="Times New Roman"/>
          <w:i/>
          <w:iCs/>
        </w:rPr>
        <w:t>Koraou</w:t>
      </w:r>
      <w:proofErr w:type="spellEnd"/>
      <w:r w:rsidR="00C24652" w:rsidRPr="00D542DC">
        <w:rPr>
          <w:rFonts w:eastAsia="Times New Roman"/>
          <w:i/>
          <w:iCs/>
        </w:rPr>
        <w:t xml:space="preserve"> c. </w:t>
      </w:r>
      <w:r w:rsidR="00211A6A">
        <w:rPr>
          <w:rFonts w:eastAsia="Times New Roman"/>
          <w:i/>
          <w:iCs/>
        </w:rPr>
        <w:t xml:space="preserve">la </w:t>
      </w:r>
      <w:r w:rsidR="00C24652" w:rsidRPr="00D542DC">
        <w:rPr>
          <w:rFonts w:eastAsia="Times New Roman"/>
          <w:i/>
          <w:iCs/>
        </w:rPr>
        <w:t>République du Niger</w:t>
      </w:r>
      <w:r w:rsidRPr="00447C7B">
        <w:rPr>
          <w:rFonts w:eastAsia="Times New Roman"/>
        </w:rPr>
        <w:t xml:space="preserve"> </w:t>
      </w:r>
      <w:r w:rsidR="00545BDD">
        <w:rPr>
          <w:rFonts w:eastAsia="Times New Roman"/>
        </w:rPr>
        <w:t>liée à la pratique de la</w:t>
      </w:r>
      <w:r w:rsidRPr="00447C7B">
        <w:rPr>
          <w:rFonts w:eastAsia="Times New Roman"/>
        </w:rPr>
        <w:t xml:space="preserve"> </w:t>
      </w:r>
      <w:proofErr w:type="spellStart"/>
      <w:r w:rsidRPr="00447C7B">
        <w:rPr>
          <w:rFonts w:eastAsia="Times New Roman"/>
          <w:i/>
          <w:iCs/>
        </w:rPr>
        <w:t>wahaya</w:t>
      </w:r>
      <w:proofErr w:type="spellEnd"/>
      <w:r w:rsidRPr="00447C7B">
        <w:rPr>
          <w:rFonts w:eastAsia="Times New Roman"/>
        </w:rPr>
        <w:t xml:space="preserve">, le Comité demeure préoccupé par les informations faisant état du faible taux de plaintes déposées par les victimes, d’enquêtes et </w:t>
      </w:r>
      <w:r w:rsidR="00545BDD">
        <w:rPr>
          <w:rFonts w:eastAsia="Times New Roman"/>
        </w:rPr>
        <w:t xml:space="preserve">de </w:t>
      </w:r>
      <w:r w:rsidRPr="00447C7B">
        <w:rPr>
          <w:rFonts w:eastAsia="Times New Roman"/>
        </w:rPr>
        <w:t xml:space="preserve">condamnations. Il déplore également l’absence de législation </w:t>
      </w:r>
      <w:r w:rsidR="00545BDD">
        <w:rPr>
          <w:rFonts w:eastAsia="Times New Roman"/>
        </w:rPr>
        <w:t xml:space="preserve">définissant et </w:t>
      </w:r>
      <w:r w:rsidR="00940CE0">
        <w:rPr>
          <w:rFonts w:eastAsia="Times New Roman"/>
        </w:rPr>
        <w:t>incrimi</w:t>
      </w:r>
      <w:r w:rsidR="00825C4F">
        <w:rPr>
          <w:rFonts w:eastAsia="Times New Roman"/>
        </w:rPr>
        <w:t>n</w:t>
      </w:r>
      <w:r w:rsidR="00545BDD">
        <w:rPr>
          <w:rFonts w:eastAsia="Times New Roman"/>
        </w:rPr>
        <w:t>ant</w:t>
      </w:r>
      <w:r w:rsidRPr="00447C7B">
        <w:rPr>
          <w:rFonts w:eastAsia="Times New Roman"/>
        </w:rPr>
        <w:t xml:space="preserve"> spécifiquement les violences sexuelles, y compris le viol conjugal. Il s’inquiète également de la persistance de la pratique des mutilations génitales féminines dans certaines régions et par certains groupes ethniques, malgré son incrimination par </w:t>
      </w:r>
      <w:r w:rsidR="00003D83" w:rsidRPr="004B5CCB">
        <w:rPr>
          <w:rFonts w:eastAsia="Times New Roman"/>
        </w:rPr>
        <w:t>l’article 232.2</w:t>
      </w:r>
      <w:r w:rsidR="00003D83">
        <w:rPr>
          <w:rFonts w:eastAsia="Times New Roman"/>
        </w:rPr>
        <w:t xml:space="preserve"> du Code pénal</w:t>
      </w:r>
      <w:r w:rsidR="005715FE">
        <w:rPr>
          <w:rFonts w:eastAsia="Times New Roman"/>
        </w:rPr>
        <w:t>,</w:t>
      </w:r>
      <w:r w:rsidRPr="00447C7B">
        <w:rPr>
          <w:rFonts w:eastAsia="Times New Roman"/>
        </w:rPr>
        <w:t xml:space="preserve"> </w:t>
      </w:r>
      <w:r w:rsidR="005267F8">
        <w:rPr>
          <w:rFonts w:eastAsia="Times New Roman"/>
        </w:rPr>
        <w:t xml:space="preserve">ainsi que </w:t>
      </w:r>
      <w:r w:rsidRPr="00447C7B">
        <w:rPr>
          <w:rFonts w:eastAsia="Times New Roman"/>
        </w:rPr>
        <w:t xml:space="preserve">des mariages précoces et de la </w:t>
      </w:r>
      <w:proofErr w:type="spellStart"/>
      <w:r w:rsidRPr="00447C7B">
        <w:rPr>
          <w:rFonts w:eastAsia="Times New Roman"/>
          <w:i/>
          <w:iCs/>
        </w:rPr>
        <w:t>wahaya</w:t>
      </w:r>
      <w:proofErr w:type="spellEnd"/>
      <w:r w:rsidRPr="00447C7B">
        <w:rPr>
          <w:rFonts w:eastAsia="Times New Roman"/>
        </w:rPr>
        <w:t xml:space="preserve">, pratique qui perdure dans certaines parties du pays, bien </w:t>
      </w:r>
      <w:r w:rsidR="005715FE">
        <w:rPr>
          <w:rFonts w:eastAsia="Times New Roman"/>
        </w:rPr>
        <w:t>qu’elle soit</w:t>
      </w:r>
      <w:r w:rsidRPr="00447C7B">
        <w:rPr>
          <w:rFonts w:eastAsia="Times New Roman"/>
        </w:rPr>
        <w:t xml:space="preserve"> réprimée par </w:t>
      </w:r>
      <w:r w:rsidRPr="004B5CCB">
        <w:rPr>
          <w:rFonts w:eastAsia="Times New Roman"/>
        </w:rPr>
        <w:t>l’article 270</w:t>
      </w:r>
      <w:r w:rsidR="005715FE" w:rsidRPr="004B5CCB">
        <w:rPr>
          <w:rFonts w:eastAsia="Times New Roman"/>
        </w:rPr>
        <w:t>.</w:t>
      </w:r>
      <w:r w:rsidRPr="004B5CCB">
        <w:rPr>
          <w:rFonts w:eastAsia="Times New Roman"/>
        </w:rPr>
        <w:t>2</w:t>
      </w:r>
      <w:r w:rsidRPr="00447C7B">
        <w:rPr>
          <w:rFonts w:eastAsia="Times New Roman"/>
        </w:rPr>
        <w:t xml:space="preserve"> du Code pénal et </w:t>
      </w:r>
      <w:r w:rsidR="005715FE">
        <w:rPr>
          <w:rFonts w:eastAsia="Times New Roman"/>
        </w:rPr>
        <w:t xml:space="preserve">par </w:t>
      </w:r>
      <w:r w:rsidRPr="00447C7B">
        <w:rPr>
          <w:rFonts w:eastAsia="Times New Roman"/>
        </w:rPr>
        <w:t>l’</w:t>
      </w:r>
      <w:r w:rsidR="005715FE">
        <w:rPr>
          <w:rFonts w:eastAsia="Times New Roman"/>
        </w:rPr>
        <w:t>o</w:t>
      </w:r>
      <w:r w:rsidRPr="00447C7B">
        <w:rPr>
          <w:rFonts w:eastAsia="Times New Roman"/>
        </w:rPr>
        <w:t xml:space="preserve">rdonnance </w:t>
      </w:r>
      <w:r w:rsidR="004C4F01" w:rsidRPr="00447C7B">
        <w:rPr>
          <w:rFonts w:eastAsia="Times New Roman"/>
        </w:rPr>
        <w:t>n</w:t>
      </w:r>
      <w:r w:rsidR="004C4F01" w:rsidRPr="003E0C87">
        <w:rPr>
          <w:rFonts w:eastAsia="Times New Roman"/>
          <w:vertAlign w:val="superscript"/>
        </w:rPr>
        <w:t>o</w:t>
      </w:r>
      <w:r w:rsidR="004C4F01">
        <w:rPr>
          <w:rFonts w:eastAsia="Times New Roman"/>
        </w:rPr>
        <w:t> </w:t>
      </w:r>
      <w:r w:rsidRPr="00447C7B">
        <w:rPr>
          <w:rFonts w:eastAsia="Times New Roman"/>
        </w:rPr>
        <w:t xml:space="preserve">2010-86 du 16 décembre 2010 relative à la </w:t>
      </w:r>
      <w:r w:rsidR="005715FE">
        <w:rPr>
          <w:rFonts w:eastAsia="Times New Roman"/>
        </w:rPr>
        <w:t xml:space="preserve">lutte contre la </w:t>
      </w:r>
      <w:r w:rsidRPr="00447C7B">
        <w:rPr>
          <w:rFonts w:eastAsia="Times New Roman"/>
        </w:rPr>
        <w:t>traite</w:t>
      </w:r>
      <w:r w:rsidR="005715FE">
        <w:rPr>
          <w:rFonts w:eastAsia="Times New Roman"/>
        </w:rPr>
        <w:t xml:space="preserve"> des personnes</w:t>
      </w:r>
      <w:r w:rsidRPr="00447C7B">
        <w:rPr>
          <w:rFonts w:eastAsia="Times New Roman"/>
        </w:rPr>
        <w:t xml:space="preserve"> (art. 2, 3, 7, 8, 24 et 26).</w:t>
      </w:r>
    </w:p>
    <w:p w14:paraId="2C78C1B0" w14:textId="5D4E7264" w:rsidR="00447C7B" w:rsidRPr="00447C7B" w:rsidRDefault="00447C7B" w:rsidP="00DD677B">
      <w:pPr>
        <w:spacing w:after="120"/>
        <w:ind w:left="1134" w:right="1134"/>
        <w:jc w:val="both"/>
        <w:rPr>
          <w:rFonts w:eastAsia="Times New Roman"/>
          <w:b/>
          <w:bCs/>
        </w:rPr>
      </w:pPr>
      <w:r w:rsidRPr="00447C7B">
        <w:rPr>
          <w:rFonts w:eastAsia="Times New Roman"/>
        </w:rPr>
        <w:lastRenderedPageBreak/>
        <w:t>23.</w:t>
      </w:r>
      <w:r w:rsidRPr="00447C7B">
        <w:rPr>
          <w:rFonts w:eastAsia="Times New Roman"/>
        </w:rPr>
        <w:tab/>
      </w:r>
      <w:r w:rsidRPr="00447C7B">
        <w:rPr>
          <w:rFonts w:eastAsia="Times New Roman"/>
          <w:b/>
          <w:bCs/>
        </w:rPr>
        <w:t>L’État partie devrait</w:t>
      </w:r>
      <w:r w:rsidR="005715FE">
        <w:rPr>
          <w:rFonts w:eastAsia="Times New Roman"/>
          <w:b/>
          <w:bCs/>
        </w:rPr>
        <w:t> </w:t>
      </w:r>
      <w:r w:rsidRPr="00447C7B">
        <w:rPr>
          <w:rFonts w:eastAsia="Times New Roman"/>
          <w:b/>
          <w:bCs/>
        </w:rPr>
        <w:t xml:space="preserve">: a) </w:t>
      </w:r>
      <w:r w:rsidR="005715FE">
        <w:rPr>
          <w:rFonts w:eastAsia="Times New Roman"/>
          <w:b/>
          <w:bCs/>
        </w:rPr>
        <w:t>c</w:t>
      </w:r>
      <w:r w:rsidR="00B809D6">
        <w:rPr>
          <w:rFonts w:eastAsia="Times New Roman"/>
          <w:b/>
          <w:bCs/>
        </w:rPr>
        <w:t xml:space="preserve">ollecter et fournir </w:t>
      </w:r>
      <w:r w:rsidRPr="00447C7B">
        <w:rPr>
          <w:rFonts w:eastAsia="Times New Roman"/>
          <w:b/>
          <w:bCs/>
        </w:rPr>
        <w:t>des statistiques ventilées sur l’ampleur de</w:t>
      </w:r>
      <w:r w:rsidR="005715FE">
        <w:rPr>
          <w:rFonts w:eastAsia="Times New Roman"/>
          <w:b/>
          <w:bCs/>
        </w:rPr>
        <w:t>s</w:t>
      </w:r>
      <w:r w:rsidRPr="00447C7B">
        <w:rPr>
          <w:rFonts w:eastAsia="Times New Roman"/>
          <w:b/>
          <w:bCs/>
        </w:rPr>
        <w:t xml:space="preserve"> violence</w:t>
      </w:r>
      <w:r w:rsidR="005715FE">
        <w:rPr>
          <w:rFonts w:eastAsia="Times New Roman"/>
          <w:b/>
          <w:bCs/>
        </w:rPr>
        <w:t>s</w:t>
      </w:r>
      <w:r w:rsidRPr="00447C7B">
        <w:rPr>
          <w:rFonts w:eastAsia="Times New Roman"/>
          <w:b/>
          <w:bCs/>
        </w:rPr>
        <w:t xml:space="preserve"> à l’égard des femmes, intensifier les campagnes de sensibilisation sur cette question, augmenter et améliorer les services des structures d’accueil et les dispositifs de prise en charge des victimes</w:t>
      </w:r>
      <w:r w:rsidR="005715FE">
        <w:rPr>
          <w:rFonts w:eastAsia="Times New Roman"/>
          <w:b/>
          <w:bCs/>
        </w:rPr>
        <w:t>,</w:t>
      </w:r>
      <w:r w:rsidRPr="00447C7B">
        <w:rPr>
          <w:rFonts w:eastAsia="Times New Roman"/>
          <w:b/>
          <w:bCs/>
        </w:rPr>
        <w:t xml:space="preserve"> et rendre opérationnel le fonds spécial d</w:t>
      </w:r>
      <w:r w:rsidR="009D07E3">
        <w:rPr>
          <w:rFonts w:eastAsia="Times New Roman"/>
          <w:b/>
          <w:bCs/>
        </w:rPr>
        <w:t>’</w:t>
      </w:r>
      <w:r w:rsidRPr="00447C7B">
        <w:rPr>
          <w:rFonts w:eastAsia="Times New Roman"/>
          <w:b/>
          <w:bCs/>
        </w:rPr>
        <w:t>indemnisation des victimes de la traite</w:t>
      </w:r>
      <w:r w:rsidR="005715FE">
        <w:rPr>
          <w:rFonts w:eastAsia="Times New Roman"/>
          <w:b/>
          <w:bCs/>
        </w:rPr>
        <w:t> </w:t>
      </w:r>
      <w:r w:rsidRPr="00447C7B">
        <w:rPr>
          <w:rFonts w:eastAsia="Times New Roman"/>
          <w:b/>
          <w:bCs/>
        </w:rPr>
        <w:t>; b) s’assurer que les cas de violence</w:t>
      </w:r>
      <w:r w:rsidR="005715FE">
        <w:rPr>
          <w:rFonts w:eastAsia="Times New Roman"/>
          <w:b/>
          <w:bCs/>
        </w:rPr>
        <w:t>s</w:t>
      </w:r>
      <w:r w:rsidRPr="00447C7B">
        <w:rPr>
          <w:rFonts w:eastAsia="Times New Roman"/>
          <w:b/>
          <w:bCs/>
        </w:rPr>
        <w:t xml:space="preserve"> à l’égard des femmes font l’objet de plaintes</w:t>
      </w:r>
      <w:r w:rsidR="005715FE">
        <w:rPr>
          <w:rFonts w:eastAsia="Times New Roman"/>
          <w:b/>
          <w:bCs/>
        </w:rPr>
        <w:t xml:space="preserve"> et</w:t>
      </w:r>
      <w:r w:rsidRPr="00447C7B">
        <w:rPr>
          <w:rFonts w:eastAsia="Times New Roman"/>
          <w:b/>
          <w:bCs/>
        </w:rPr>
        <w:t xml:space="preserve"> d’enquêtes approfondies</w:t>
      </w:r>
      <w:r w:rsidR="005715FE">
        <w:rPr>
          <w:rFonts w:eastAsia="Times New Roman"/>
          <w:b/>
          <w:bCs/>
        </w:rPr>
        <w:t>,</w:t>
      </w:r>
      <w:r w:rsidRPr="00447C7B">
        <w:rPr>
          <w:rFonts w:eastAsia="Times New Roman"/>
          <w:b/>
          <w:bCs/>
        </w:rPr>
        <w:t xml:space="preserve"> et que les auteurs sont poursuivis et condamnés ; c) réviser sa législation afin de pénaliser le viol conjugal et </w:t>
      </w:r>
      <w:r w:rsidR="00AD35BF">
        <w:rPr>
          <w:rFonts w:eastAsia="Times New Roman"/>
          <w:b/>
          <w:bCs/>
        </w:rPr>
        <w:t>d’y inclure</w:t>
      </w:r>
      <w:r w:rsidRPr="00447C7B">
        <w:rPr>
          <w:rFonts w:eastAsia="Times New Roman"/>
          <w:b/>
          <w:bCs/>
        </w:rPr>
        <w:t xml:space="preserve"> des sanctions proportionnées à la gravité de l’acte ; et d)</w:t>
      </w:r>
      <w:r w:rsidR="004C4F01">
        <w:rPr>
          <w:rFonts w:eastAsia="Times New Roman"/>
          <w:b/>
          <w:bCs/>
        </w:rPr>
        <w:t> </w:t>
      </w:r>
      <w:r w:rsidRPr="00447C7B">
        <w:rPr>
          <w:rFonts w:eastAsia="Times New Roman"/>
          <w:b/>
          <w:bCs/>
        </w:rPr>
        <w:t>veiller à ce que toute personne coupable de mutilations génitales féminines soit poursuivie et condamnée.</w:t>
      </w:r>
    </w:p>
    <w:p w14:paraId="2FAB4E76" w14:textId="449D7A00" w:rsidR="00447C7B" w:rsidRPr="00447C7B" w:rsidRDefault="00447C7B" w:rsidP="00447C7B">
      <w:pPr>
        <w:keepNext/>
        <w:keepLines/>
        <w:tabs>
          <w:tab w:val="right" w:pos="851"/>
        </w:tabs>
        <w:kinsoku/>
        <w:overflowPunct/>
        <w:autoSpaceDE/>
        <w:autoSpaceDN/>
        <w:adjustRightInd/>
        <w:snapToGrid/>
        <w:spacing w:before="240" w:after="120" w:line="240" w:lineRule="exact"/>
        <w:ind w:left="1134" w:right="1134" w:hanging="1134"/>
        <w:rPr>
          <w:rFonts w:eastAsia="Times New Roman"/>
          <w:b/>
        </w:rPr>
      </w:pPr>
      <w:r w:rsidRPr="00447C7B">
        <w:rPr>
          <w:rFonts w:eastAsia="Times New Roman"/>
          <w:bCs/>
        </w:rPr>
        <w:tab/>
      </w:r>
      <w:r w:rsidRPr="00447C7B">
        <w:rPr>
          <w:rFonts w:eastAsia="Times New Roman"/>
          <w:bCs/>
        </w:rPr>
        <w:tab/>
      </w:r>
      <w:r w:rsidRPr="00447C7B">
        <w:rPr>
          <w:rFonts w:eastAsia="Times New Roman"/>
          <w:b/>
        </w:rPr>
        <w:t>Interruption volontaire de grossesse</w:t>
      </w:r>
      <w:r w:rsidR="00C5317B">
        <w:rPr>
          <w:rFonts w:eastAsia="Times New Roman"/>
          <w:b/>
        </w:rPr>
        <w:t>,</w:t>
      </w:r>
      <w:r w:rsidRPr="00447C7B">
        <w:rPr>
          <w:rFonts w:eastAsia="Times New Roman"/>
          <w:b/>
        </w:rPr>
        <w:t xml:space="preserve"> et mortalité maternelle et infantile</w:t>
      </w:r>
    </w:p>
    <w:p w14:paraId="59EDD052" w14:textId="236D4202" w:rsidR="00447C7B" w:rsidRPr="00447C7B" w:rsidRDefault="00447C7B" w:rsidP="009002CD">
      <w:pPr>
        <w:spacing w:after="120"/>
        <w:ind w:left="1134" w:right="1134"/>
        <w:jc w:val="both"/>
        <w:rPr>
          <w:rFonts w:eastAsia="Times New Roman"/>
        </w:rPr>
      </w:pPr>
      <w:r w:rsidRPr="00447C7B">
        <w:rPr>
          <w:rFonts w:eastAsia="Times New Roman"/>
        </w:rPr>
        <w:t>24.</w:t>
      </w:r>
      <w:r w:rsidRPr="00447C7B">
        <w:rPr>
          <w:rFonts w:eastAsia="Times New Roman"/>
        </w:rPr>
        <w:tab/>
        <w:t xml:space="preserve">Le Comité est préoccupé par </w:t>
      </w:r>
      <w:r w:rsidRPr="00243122">
        <w:rPr>
          <w:rFonts w:eastAsia="Times New Roman"/>
        </w:rPr>
        <w:t>l</w:t>
      </w:r>
      <w:r w:rsidR="009D07E3">
        <w:rPr>
          <w:rFonts w:eastAsia="Times New Roman"/>
        </w:rPr>
        <w:t>’</w:t>
      </w:r>
      <w:r w:rsidRPr="00243122">
        <w:rPr>
          <w:rFonts w:eastAsia="Times New Roman"/>
        </w:rPr>
        <w:t>article 295 du Code pénal</w:t>
      </w:r>
      <w:r w:rsidRPr="00447C7B">
        <w:rPr>
          <w:rFonts w:eastAsia="Times New Roman"/>
        </w:rPr>
        <w:t xml:space="preserve"> qui pénalise le recours à l’avortement, hormis </w:t>
      </w:r>
      <w:r w:rsidR="009002CD">
        <w:rPr>
          <w:rFonts w:eastAsia="Times New Roman"/>
        </w:rPr>
        <w:t xml:space="preserve">dans </w:t>
      </w:r>
      <w:r w:rsidRPr="00447C7B">
        <w:rPr>
          <w:rFonts w:eastAsia="Times New Roman"/>
        </w:rPr>
        <w:t xml:space="preserve">les circonstances restrictives prévues </w:t>
      </w:r>
      <w:r w:rsidR="009002CD">
        <w:rPr>
          <w:rFonts w:eastAsia="Times New Roman"/>
        </w:rPr>
        <w:t>par</w:t>
      </w:r>
      <w:r w:rsidRPr="00447C7B">
        <w:rPr>
          <w:rFonts w:eastAsia="Times New Roman"/>
        </w:rPr>
        <w:t xml:space="preserve"> la </w:t>
      </w:r>
      <w:r w:rsidRPr="00243122">
        <w:rPr>
          <w:rFonts w:eastAsia="Times New Roman"/>
          <w:lang w:val="fr-FR" w:eastAsia="fr-FR"/>
        </w:rPr>
        <w:t>loi n</w:t>
      </w:r>
      <w:r w:rsidRPr="00243122">
        <w:rPr>
          <w:rFonts w:eastAsia="Times New Roman"/>
          <w:vertAlign w:val="superscript"/>
          <w:lang w:val="fr-FR" w:eastAsia="fr-FR"/>
        </w:rPr>
        <w:t>o</w:t>
      </w:r>
      <w:r w:rsidRPr="00243122">
        <w:rPr>
          <w:rFonts w:eastAsia="Times New Roman"/>
          <w:lang w:val="fr-FR" w:eastAsia="fr-FR"/>
        </w:rPr>
        <w:t> 2006-16 du 21 juin 2006</w:t>
      </w:r>
      <w:r w:rsidRPr="00447C7B">
        <w:rPr>
          <w:rFonts w:eastAsia="Times New Roman"/>
          <w:lang w:val="fr-FR" w:eastAsia="fr-FR"/>
        </w:rPr>
        <w:t xml:space="preserve"> sur la santé de la reproduction</w:t>
      </w:r>
      <w:r w:rsidRPr="00447C7B">
        <w:rPr>
          <w:rFonts w:eastAsia="Times New Roman"/>
        </w:rPr>
        <w:t>. Le Comité s’inquiète de ce que ces restrictions poussent les femmes à recourir à des avortements clandestins non sécurisés</w:t>
      </w:r>
      <w:r w:rsidR="009002CD">
        <w:rPr>
          <w:rFonts w:eastAsia="Times New Roman"/>
        </w:rPr>
        <w:t>,</w:t>
      </w:r>
      <w:r w:rsidRPr="00447C7B">
        <w:rPr>
          <w:rFonts w:eastAsia="Times New Roman"/>
        </w:rPr>
        <w:t xml:space="preserve"> dans des conditions qui mettent leur vie et leur santé en danger. Le Comité s’inquiète en outre du fait que</w:t>
      </w:r>
      <w:r w:rsidR="009002CD">
        <w:rPr>
          <w:rFonts w:eastAsia="Times New Roman"/>
        </w:rPr>
        <w:t>,</w:t>
      </w:r>
      <w:r w:rsidRPr="00447C7B">
        <w:rPr>
          <w:rFonts w:eastAsia="Times New Roman"/>
        </w:rPr>
        <w:t xml:space="preserve"> malgré une amélioration sensible, la mortalité maternelle et infantile demeure très élevée, particulièrement dans les zones rurales, d’autant plus que </w:t>
      </w:r>
      <w:r w:rsidR="009002CD">
        <w:rPr>
          <w:rFonts w:eastAsia="Times New Roman"/>
        </w:rPr>
        <w:t>le secteur de la</w:t>
      </w:r>
      <w:r w:rsidRPr="00447C7B">
        <w:rPr>
          <w:rFonts w:eastAsia="Times New Roman"/>
        </w:rPr>
        <w:t xml:space="preserve"> santé </w:t>
      </w:r>
      <w:r w:rsidR="009002CD">
        <w:rPr>
          <w:rFonts w:eastAsia="Times New Roman"/>
        </w:rPr>
        <w:t>reste</w:t>
      </w:r>
      <w:r w:rsidRPr="00447C7B">
        <w:rPr>
          <w:rFonts w:eastAsia="Times New Roman"/>
        </w:rPr>
        <w:t xml:space="preserve"> sous-financé (art. 3, 6, 7, 17 et 26).</w:t>
      </w:r>
    </w:p>
    <w:p w14:paraId="135DB042" w14:textId="3AD4D895" w:rsidR="00447C7B" w:rsidRPr="00447C7B" w:rsidRDefault="00447C7B" w:rsidP="00A20616">
      <w:pPr>
        <w:spacing w:after="120"/>
        <w:ind w:left="1134" w:right="1134"/>
        <w:jc w:val="both"/>
        <w:rPr>
          <w:rFonts w:eastAsia="Times New Roman"/>
          <w:b/>
          <w:bCs/>
        </w:rPr>
      </w:pPr>
      <w:r w:rsidRPr="00447C7B">
        <w:rPr>
          <w:rFonts w:eastAsia="Times New Roman"/>
        </w:rPr>
        <w:t>25.</w:t>
      </w:r>
      <w:r w:rsidRPr="00447C7B">
        <w:rPr>
          <w:rFonts w:eastAsia="Times New Roman"/>
        </w:rPr>
        <w:tab/>
      </w:r>
      <w:r w:rsidRPr="00447C7B">
        <w:rPr>
          <w:rFonts w:eastAsia="Times New Roman"/>
          <w:b/>
          <w:bCs/>
        </w:rPr>
        <w:t>L’État partie devrait modifier sa législation pour donner accès à l’avortement dans des conditions acceptables de sécurité</w:t>
      </w:r>
      <w:r w:rsidR="00B74F18">
        <w:rPr>
          <w:rFonts w:eastAsia="Times New Roman"/>
          <w:b/>
          <w:bCs/>
        </w:rPr>
        <w:t>,</w:t>
      </w:r>
      <w:r w:rsidRPr="00447C7B">
        <w:rPr>
          <w:rFonts w:eastAsia="Times New Roman"/>
          <w:b/>
          <w:bCs/>
        </w:rPr>
        <w:t xml:space="preserve"> et </w:t>
      </w:r>
      <w:r w:rsidR="00B74F18">
        <w:rPr>
          <w:rFonts w:eastAsia="Times New Roman"/>
          <w:b/>
          <w:bCs/>
        </w:rPr>
        <w:t xml:space="preserve">ainsi </w:t>
      </w:r>
      <w:r w:rsidRPr="00447C7B">
        <w:rPr>
          <w:rFonts w:eastAsia="Times New Roman"/>
          <w:b/>
          <w:bCs/>
        </w:rPr>
        <w:t>protéger la vie et la santé de la femme ou de la fille enceinte</w:t>
      </w:r>
      <w:r w:rsidR="00B74F18">
        <w:rPr>
          <w:rFonts w:eastAsia="Times New Roman"/>
          <w:b/>
          <w:bCs/>
        </w:rPr>
        <w:t>,</w:t>
      </w:r>
      <w:r w:rsidRPr="00447C7B">
        <w:rPr>
          <w:rFonts w:eastAsia="Times New Roman"/>
          <w:b/>
          <w:bCs/>
        </w:rPr>
        <w:t xml:space="preserve"> </w:t>
      </w:r>
      <w:r w:rsidR="00B74F18">
        <w:rPr>
          <w:rFonts w:eastAsia="Times New Roman"/>
          <w:b/>
          <w:bCs/>
        </w:rPr>
        <w:t>notamment dans les cas suivants :</w:t>
      </w:r>
      <w:r w:rsidRPr="00447C7B">
        <w:rPr>
          <w:rFonts w:eastAsia="Times New Roman"/>
          <w:b/>
          <w:bCs/>
        </w:rPr>
        <w:t xml:space="preserve"> lorsque le fait de mener la grossesse à terme causerait pour la femme une souffrance considérable, lorsque la grossesse résulte d’un viol ou d’un inceste</w:t>
      </w:r>
      <w:r w:rsidR="00B74F18">
        <w:rPr>
          <w:rFonts w:eastAsia="Times New Roman"/>
          <w:b/>
          <w:bCs/>
        </w:rPr>
        <w:t>,</w:t>
      </w:r>
      <w:r w:rsidRPr="00447C7B">
        <w:rPr>
          <w:rFonts w:eastAsia="Times New Roman"/>
          <w:b/>
          <w:bCs/>
        </w:rPr>
        <w:t xml:space="preserve"> </w:t>
      </w:r>
      <w:r w:rsidR="00B74F18">
        <w:rPr>
          <w:rFonts w:eastAsia="Times New Roman"/>
          <w:b/>
          <w:bCs/>
        </w:rPr>
        <w:t>et lors</w:t>
      </w:r>
      <w:r w:rsidRPr="00447C7B">
        <w:rPr>
          <w:rFonts w:eastAsia="Times New Roman"/>
          <w:b/>
          <w:bCs/>
        </w:rPr>
        <w:t xml:space="preserve">que </w:t>
      </w:r>
      <w:r w:rsidR="00D73DD0">
        <w:rPr>
          <w:rFonts w:eastAsia="Times New Roman"/>
          <w:b/>
          <w:bCs/>
        </w:rPr>
        <w:t>la grossesse n’est pas viable</w:t>
      </w:r>
      <w:r w:rsidRPr="00447C7B">
        <w:rPr>
          <w:rFonts w:eastAsia="Times New Roman"/>
          <w:b/>
          <w:bCs/>
        </w:rPr>
        <w:t>. Il</w:t>
      </w:r>
      <w:r w:rsidR="004C4F01">
        <w:rPr>
          <w:rFonts w:eastAsia="Times New Roman"/>
          <w:b/>
          <w:bCs/>
        </w:rPr>
        <w:t> </w:t>
      </w:r>
      <w:r w:rsidRPr="00447C7B">
        <w:rPr>
          <w:rFonts w:eastAsia="Times New Roman"/>
          <w:b/>
          <w:bCs/>
        </w:rPr>
        <w:t xml:space="preserve">devrait également s’assurer que les femmes et les filles ayant recours à l’avortement ainsi que les médecins qui les aident ne </w:t>
      </w:r>
      <w:r w:rsidR="00A20616">
        <w:rPr>
          <w:rFonts w:eastAsia="Times New Roman"/>
          <w:b/>
          <w:bCs/>
        </w:rPr>
        <w:t>font</w:t>
      </w:r>
      <w:r w:rsidRPr="00447C7B">
        <w:rPr>
          <w:rFonts w:eastAsia="Times New Roman"/>
          <w:b/>
          <w:bCs/>
        </w:rPr>
        <w:t xml:space="preserve"> pas l’objet de sanctions pénales. L’État partie devrait en outre garantir </w:t>
      </w:r>
      <w:r w:rsidR="00457841">
        <w:rPr>
          <w:rFonts w:eastAsia="Times New Roman"/>
          <w:b/>
          <w:bCs/>
        </w:rPr>
        <w:t>à tous les</w:t>
      </w:r>
      <w:r w:rsidRPr="00447C7B">
        <w:rPr>
          <w:rFonts w:eastAsia="Times New Roman"/>
          <w:b/>
          <w:bCs/>
        </w:rPr>
        <w:t xml:space="preserve"> hommes, femmes et adolescents </w:t>
      </w:r>
      <w:r w:rsidR="00457841">
        <w:rPr>
          <w:rFonts w:eastAsia="Times New Roman"/>
          <w:b/>
          <w:bCs/>
        </w:rPr>
        <w:t>du</w:t>
      </w:r>
      <w:r w:rsidRPr="00447C7B">
        <w:rPr>
          <w:rFonts w:eastAsia="Times New Roman"/>
          <w:b/>
          <w:bCs/>
        </w:rPr>
        <w:t xml:space="preserve"> pays l’accès à des services de </w:t>
      </w:r>
      <w:r w:rsidRPr="00243122">
        <w:rPr>
          <w:rFonts w:eastAsia="Times New Roman"/>
          <w:b/>
          <w:bCs/>
        </w:rPr>
        <w:t>santé sexuelle et procréative</w:t>
      </w:r>
      <w:r w:rsidRPr="00447C7B">
        <w:rPr>
          <w:rFonts w:eastAsia="Times New Roman"/>
          <w:b/>
          <w:bCs/>
        </w:rPr>
        <w:t xml:space="preserve"> de qualité, </w:t>
      </w:r>
      <w:r w:rsidR="00457841">
        <w:rPr>
          <w:rFonts w:eastAsia="Times New Roman"/>
          <w:b/>
          <w:bCs/>
        </w:rPr>
        <w:t>ainsi qu’</w:t>
      </w:r>
      <w:r w:rsidRPr="00447C7B">
        <w:rPr>
          <w:rFonts w:eastAsia="Times New Roman"/>
          <w:b/>
          <w:bCs/>
        </w:rPr>
        <w:t>à la contraception et à l’éducation</w:t>
      </w:r>
      <w:r w:rsidR="00E509C2">
        <w:rPr>
          <w:rFonts w:eastAsia="Times New Roman"/>
          <w:b/>
          <w:bCs/>
        </w:rPr>
        <w:t>.</w:t>
      </w:r>
      <w:r w:rsidRPr="00447C7B">
        <w:rPr>
          <w:rFonts w:eastAsia="Times New Roman"/>
          <w:b/>
          <w:bCs/>
        </w:rPr>
        <w:t xml:space="preserve"> </w:t>
      </w:r>
      <w:r w:rsidR="00E509C2">
        <w:rPr>
          <w:rFonts w:eastAsia="Times New Roman"/>
          <w:b/>
          <w:bCs/>
        </w:rPr>
        <w:t>Enfin, il devrait</w:t>
      </w:r>
      <w:r w:rsidRPr="00447C7B">
        <w:rPr>
          <w:rFonts w:eastAsia="Times New Roman"/>
          <w:b/>
          <w:bCs/>
        </w:rPr>
        <w:t xml:space="preserve"> poursuivre ses efforts engagés en matière de promotion de la santé </w:t>
      </w:r>
      <w:r w:rsidR="000630B4">
        <w:rPr>
          <w:rFonts w:eastAsia="Times New Roman"/>
          <w:b/>
          <w:bCs/>
        </w:rPr>
        <w:t>procréative</w:t>
      </w:r>
      <w:r w:rsidRPr="00447C7B">
        <w:rPr>
          <w:rFonts w:eastAsia="Times New Roman"/>
          <w:b/>
          <w:bCs/>
        </w:rPr>
        <w:t xml:space="preserve">, notamment la mise en œuvre du </w:t>
      </w:r>
      <w:r w:rsidR="008F4259" w:rsidRPr="00243122">
        <w:rPr>
          <w:rFonts w:eastAsia="Times New Roman"/>
          <w:b/>
          <w:bCs/>
        </w:rPr>
        <w:t>p</w:t>
      </w:r>
      <w:r w:rsidRPr="00243122">
        <w:rPr>
          <w:rFonts w:eastAsia="Times New Roman"/>
          <w:b/>
          <w:bCs/>
        </w:rPr>
        <w:t>lan de développement sanitaire 2017-2021</w:t>
      </w:r>
      <w:r w:rsidRPr="00447C7B">
        <w:rPr>
          <w:rFonts w:eastAsia="Times New Roman"/>
          <w:b/>
          <w:bCs/>
        </w:rPr>
        <w:t>, y compris dans les zones rurales et reculées, en y consacrant des ressources adéquates.</w:t>
      </w:r>
    </w:p>
    <w:p w14:paraId="0C3F9EFC" w14:textId="5E04018B" w:rsidR="00447C7B" w:rsidRPr="00447C7B" w:rsidRDefault="00447C7B" w:rsidP="00447C7B">
      <w:pPr>
        <w:pStyle w:val="H23G"/>
      </w:pPr>
      <w:r>
        <w:tab/>
      </w:r>
      <w:r>
        <w:tab/>
      </w:r>
      <w:r w:rsidRPr="00447C7B">
        <w:t xml:space="preserve">Peine de mort </w:t>
      </w:r>
    </w:p>
    <w:p w14:paraId="7FC2D633" w14:textId="170BB712" w:rsidR="00447C7B" w:rsidRPr="00447C7B" w:rsidRDefault="00447C7B" w:rsidP="00DC3071">
      <w:pPr>
        <w:spacing w:after="120"/>
        <w:ind w:left="1134" w:right="1134"/>
        <w:jc w:val="both"/>
        <w:rPr>
          <w:rFonts w:eastAsia="Times New Roman"/>
        </w:rPr>
      </w:pPr>
      <w:r w:rsidRPr="00447C7B">
        <w:rPr>
          <w:rFonts w:eastAsia="Times New Roman"/>
        </w:rPr>
        <w:t>26.</w:t>
      </w:r>
      <w:r w:rsidRPr="00447C7B">
        <w:rPr>
          <w:rFonts w:eastAsia="Times New Roman"/>
        </w:rPr>
        <w:tab/>
        <w:t xml:space="preserve">Tout en notant </w:t>
      </w:r>
      <w:r w:rsidRPr="00243122">
        <w:rPr>
          <w:rFonts w:eastAsia="Times New Roman"/>
        </w:rPr>
        <w:t>l’absence d’exécutions depuis 1976</w:t>
      </w:r>
      <w:r w:rsidRPr="00447C7B">
        <w:rPr>
          <w:rFonts w:eastAsia="Times New Roman"/>
        </w:rPr>
        <w:t>, et saluant le processus engagé pour l’abolition, en droit, de la peine de mort, ainsi que l’information fournie oralement au Comité par l’</w:t>
      </w:r>
      <w:r w:rsidR="00E509C2">
        <w:rPr>
          <w:rFonts w:eastAsia="Times New Roman"/>
        </w:rPr>
        <w:t>É</w:t>
      </w:r>
      <w:r w:rsidRPr="00447C7B">
        <w:rPr>
          <w:rFonts w:eastAsia="Times New Roman"/>
        </w:rPr>
        <w:t xml:space="preserve">tat partie, selon laquelle un </w:t>
      </w:r>
      <w:r w:rsidR="00E509C2">
        <w:rPr>
          <w:rFonts w:eastAsia="Times New Roman"/>
        </w:rPr>
        <w:t>d</w:t>
      </w:r>
      <w:r w:rsidRPr="00447C7B">
        <w:rPr>
          <w:rFonts w:eastAsia="Times New Roman"/>
        </w:rPr>
        <w:t xml:space="preserve">écret présidentiel de décembre 2018 a accordé des </w:t>
      </w:r>
      <w:r w:rsidRPr="00243122">
        <w:rPr>
          <w:rFonts w:eastAsia="Times New Roman"/>
        </w:rPr>
        <w:t>remises de peine</w:t>
      </w:r>
      <w:r w:rsidRPr="00447C7B">
        <w:rPr>
          <w:rFonts w:eastAsia="Times New Roman"/>
        </w:rPr>
        <w:t>, y compris la commutation des peines de mort en peines d’emprisonnement à vie, le Comité regrette que la peine de mort demeure législativement prévue pour certains crimes</w:t>
      </w:r>
      <w:r w:rsidR="00D2341D">
        <w:rPr>
          <w:rFonts w:eastAsia="Times New Roman"/>
        </w:rPr>
        <w:t xml:space="preserve"> et</w:t>
      </w:r>
      <w:r w:rsidRPr="00447C7B">
        <w:rPr>
          <w:rFonts w:eastAsia="Times New Roman"/>
        </w:rPr>
        <w:t xml:space="preserve"> continue d’être prononcée par les tribunaux</w:t>
      </w:r>
      <w:r w:rsidR="00D12679">
        <w:rPr>
          <w:rFonts w:eastAsia="Times New Roman"/>
        </w:rPr>
        <w:t>, et que la non-exécution des peines de mort soit tributaire de grâces accordées au cas par cas</w:t>
      </w:r>
      <w:r w:rsidRPr="00447C7B">
        <w:rPr>
          <w:rFonts w:eastAsia="Times New Roman"/>
        </w:rPr>
        <w:t xml:space="preserve"> (art. 6).</w:t>
      </w:r>
    </w:p>
    <w:p w14:paraId="70A06C9E" w14:textId="233DDF10" w:rsidR="00447C7B" w:rsidRPr="00447C7B" w:rsidRDefault="00447C7B" w:rsidP="00392D28">
      <w:pPr>
        <w:suppressAutoHyphens w:val="0"/>
        <w:kinsoku/>
        <w:overflowPunct/>
        <w:snapToGrid/>
        <w:spacing w:line="240" w:lineRule="auto"/>
        <w:ind w:left="1134" w:right="1087"/>
        <w:jc w:val="both"/>
        <w:rPr>
          <w:rFonts w:eastAsia="Times New Roman"/>
          <w:b/>
          <w:bCs/>
        </w:rPr>
      </w:pPr>
      <w:r w:rsidRPr="00447C7B">
        <w:rPr>
          <w:rFonts w:eastAsia="Times New Roman"/>
          <w:color w:val="000000"/>
          <w:lang w:eastAsia="fr-CH"/>
        </w:rPr>
        <w:t>27.</w:t>
      </w:r>
      <w:r w:rsidRPr="00447C7B">
        <w:rPr>
          <w:rFonts w:ascii="Garamond" w:eastAsia="Times New Roman" w:hAnsi="Garamond" w:cs="Garamond"/>
          <w:color w:val="000000"/>
          <w:sz w:val="24"/>
          <w:szCs w:val="24"/>
          <w:lang w:eastAsia="fr-CH"/>
        </w:rPr>
        <w:tab/>
      </w:r>
      <w:r w:rsidRPr="00447C7B">
        <w:rPr>
          <w:rFonts w:eastAsia="Times New Roman"/>
          <w:b/>
          <w:bCs/>
        </w:rPr>
        <w:t>L’État partie devrait : a) formellement abolir, en droit, la peine de mort et abroger les dispositions du Code pénal qui prévoient l’application de ce châtiment</w:t>
      </w:r>
      <w:r w:rsidR="00D2341D">
        <w:rPr>
          <w:rFonts w:eastAsia="Times New Roman"/>
          <w:b/>
          <w:bCs/>
        </w:rPr>
        <w:t> </w:t>
      </w:r>
      <w:r w:rsidRPr="00447C7B">
        <w:rPr>
          <w:rFonts w:eastAsia="Times New Roman"/>
          <w:b/>
          <w:bCs/>
          <w:color w:val="000000"/>
        </w:rPr>
        <w:t xml:space="preserve">; </w:t>
      </w:r>
      <w:r w:rsidR="00D2341D">
        <w:rPr>
          <w:rFonts w:eastAsia="Times New Roman"/>
          <w:b/>
          <w:bCs/>
          <w:color w:val="000000"/>
        </w:rPr>
        <w:t xml:space="preserve">et </w:t>
      </w:r>
      <w:r w:rsidRPr="00447C7B">
        <w:rPr>
          <w:rFonts w:eastAsia="Times New Roman"/>
          <w:b/>
          <w:bCs/>
          <w:color w:val="000000"/>
        </w:rPr>
        <w:t xml:space="preserve">b) adopter promptement le </w:t>
      </w:r>
      <w:r w:rsidRPr="00243122">
        <w:rPr>
          <w:rFonts w:eastAsia="Times New Roman"/>
          <w:b/>
          <w:bCs/>
          <w:color w:val="000000"/>
        </w:rPr>
        <w:t>projet de loi du 23 octobre 2014</w:t>
      </w:r>
      <w:r w:rsidRPr="00447C7B">
        <w:rPr>
          <w:rFonts w:eastAsia="Times New Roman"/>
          <w:b/>
          <w:bCs/>
          <w:color w:val="000000"/>
        </w:rPr>
        <w:t xml:space="preserve"> autorisant l’adhésion du Niger au </w:t>
      </w:r>
      <w:r w:rsidR="00D2341D">
        <w:rPr>
          <w:rFonts w:eastAsia="Times New Roman"/>
          <w:b/>
          <w:bCs/>
          <w:color w:val="000000"/>
        </w:rPr>
        <w:t>D</w:t>
      </w:r>
      <w:r w:rsidRPr="00447C7B">
        <w:rPr>
          <w:rFonts w:eastAsia="Times New Roman"/>
          <w:b/>
          <w:bCs/>
          <w:color w:val="000000"/>
        </w:rPr>
        <w:t xml:space="preserve">euxième Protocole facultatif </w:t>
      </w:r>
      <w:r w:rsidR="00C46EC2">
        <w:rPr>
          <w:rFonts w:eastAsia="Times New Roman"/>
          <w:b/>
          <w:bCs/>
          <w:color w:val="000000"/>
        </w:rPr>
        <w:t>se rapportant au Pacte international relatif aux droits civils et politiques</w:t>
      </w:r>
      <w:r w:rsidR="008F4259">
        <w:rPr>
          <w:rFonts w:eastAsia="Times New Roman"/>
          <w:b/>
          <w:bCs/>
          <w:color w:val="000000"/>
        </w:rPr>
        <w:t>,</w:t>
      </w:r>
      <w:r w:rsidR="00C46EC2">
        <w:rPr>
          <w:rFonts w:eastAsia="Times New Roman"/>
          <w:b/>
          <w:bCs/>
          <w:color w:val="000000"/>
        </w:rPr>
        <w:t xml:space="preserve"> </w:t>
      </w:r>
      <w:r w:rsidRPr="00447C7B">
        <w:rPr>
          <w:rFonts w:eastAsia="Times New Roman"/>
          <w:b/>
          <w:bCs/>
          <w:color w:val="000000"/>
        </w:rPr>
        <w:t xml:space="preserve">visant à abolir la peine de mort, et adhérer à cet instrument. </w:t>
      </w:r>
    </w:p>
    <w:p w14:paraId="597C9A36" w14:textId="157D6AE6" w:rsidR="00447C7B" w:rsidRPr="00447C7B" w:rsidRDefault="00447C7B" w:rsidP="00447C7B">
      <w:pPr>
        <w:pStyle w:val="H23G"/>
      </w:pPr>
      <w:r>
        <w:tab/>
      </w:r>
      <w:r>
        <w:tab/>
      </w:r>
      <w:r w:rsidRPr="00447C7B">
        <w:t>Protection des civils</w:t>
      </w:r>
    </w:p>
    <w:p w14:paraId="1C34E5C8" w14:textId="15A26431" w:rsidR="00447C7B" w:rsidRPr="00447C7B" w:rsidRDefault="00447C7B">
      <w:pPr>
        <w:spacing w:after="120"/>
        <w:ind w:left="1134" w:right="1134"/>
        <w:jc w:val="both"/>
        <w:rPr>
          <w:rFonts w:eastAsia="Times New Roman"/>
        </w:rPr>
      </w:pPr>
      <w:r w:rsidRPr="00447C7B">
        <w:rPr>
          <w:rFonts w:eastAsia="Times New Roman"/>
        </w:rPr>
        <w:t>28.</w:t>
      </w:r>
      <w:r>
        <w:rPr>
          <w:rFonts w:eastAsia="Times New Roman"/>
        </w:rPr>
        <w:tab/>
      </w:r>
      <w:r w:rsidRPr="00447C7B">
        <w:rPr>
          <w:rFonts w:eastAsia="Times New Roman"/>
        </w:rPr>
        <w:t xml:space="preserve">Le Comité </w:t>
      </w:r>
      <w:r w:rsidR="005204F0">
        <w:rPr>
          <w:rFonts w:eastAsia="Times New Roman"/>
        </w:rPr>
        <w:t>s’inquiète de</w:t>
      </w:r>
      <w:r w:rsidRPr="00447C7B">
        <w:rPr>
          <w:rFonts w:eastAsia="Times New Roman"/>
        </w:rPr>
        <w:t xml:space="preserve"> la protection de la population civile dans le cadre du conflit armé opposant les forces de défense et de sécurité du Niger à des groupes armés non étatiques dans </w:t>
      </w:r>
      <w:r w:rsidR="00C46EC2">
        <w:rPr>
          <w:rFonts w:eastAsia="Times New Roman"/>
        </w:rPr>
        <w:t>les</w:t>
      </w:r>
      <w:r w:rsidRPr="00447C7B">
        <w:rPr>
          <w:rFonts w:eastAsia="Times New Roman"/>
        </w:rPr>
        <w:t xml:space="preserve"> région</w:t>
      </w:r>
      <w:r w:rsidR="00C46EC2">
        <w:rPr>
          <w:rFonts w:eastAsia="Times New Roman"/>
        </w:rPr>
        <w:t>s</w:t>
      </w:r>
      <w:r w:rsidRPr="00447C7B">
        <w:rPr>
          <w:rFonts w:eastAsia="Times New Roman"/>
        </w:rPr>
        <w:t xml:space="preserve"> de Diffa</w:t>
      </w:r>
      <w:r w:rsidR="00C46EC2">
        <w:rPr>
          <w:rFonts w:eastAsia="Times New Roman"/>
        </w:rPr>
        <w:t>,</w:t>
      </w:r>
      <w:r w:rsidRPr="00447C7B">
        <w:rPr>
          <w:rFonts w:eastAsia="Times New Roman"/>
        </w:rPr>
        <w:t xml:space="preserve"> </w:t>
      </w:r>
      <w:r w:rsidR="00C46EC2">
        <w:rPr>
          <w:rFonts w:eastAsia="Times New Roman"/>
        </w:rPr>
        <w:t xml:space="preserve">dans le </w:t>
      </w:r>
      <w:r w:rsidRPr="00447C7B">
        <w:rPr>
          <w:rFonts w:eastAsia="Times New Roman"/>
        </w:rPr>
        <w:t xml:space="preserve">sud-est du pays, et de </w:t>
      </w:r>
      <w:proofErr w:type="spellStart"/>
      <w:r w:rsidRPr="00447C7B">
        <w:rPr>
          <w:rFonts w:eastAsia="Times New Roman"/>
        </w:rPr>
        <w:t>Tillabéri</w:t>
      </w:r>
      <w:proofErr w:type="spellEnd"/>
      <w:r w:rsidRPr="00447C7B">
        <w:rPr>
          <w:rFonts w:eastAsia="Times New Roman"/>
        </w:rPr>
        <w:t xml:space="preserve">, </w:t>
      </w:r>
      <w:r w:rsidR="00C46EC2">
        <w:rPr>
          <w:rFonts w:eastAsia="Times New Roman"/>
        </w:rPr>
        <w:t>près</w:t>
      </w:r>
      <w:r w:rsidRPr="00447C7B">
        <w:rPr>
          <w:rFonts w:eastAsia="Times New Roman"/>
        </w:rPr>
        <w:t xml:space="preserve"> de la </w:t>
      </w:r>
      <w:r w:rsidR="003F414F" w:rsidRPr="00447C7B">
        <w:rPr>
          <w:rFonts w:eastAsia="Times New Roman"/>
        </w:rPr>
        <w:t>frontière avec</w:t>
      </w:r>
      <w:r w:rsidRPr="00447C7B">
        <w:rPr>
          <w:rFonts w:eastAsia="Times New Roman"/>
        </w:rPr>
        <w:t xml:space="preserve"> le Mali, </w:t>
      </w:r>
      <w:r w:rsidR="005204F0">
        <w:rPr>
          <w:rFonts w:eastAsia="Times New Roman"/>
        </w:rPr>
        <w:t xml:space="preserve">conflit </w:t>
      </w:r>
      <w:r w:rsidR="00C46EC2">
        <w:rPr>
          <w:rFonts w:eastAsia="Times New Roman"/>
        </w:rPr>
        <w:t>qui entraîne</w:t>
      </w:r>
      <w:r w:rsidRPr="00447C7B">
        <w:rPr>
          <w:rFonts w:eastAsia="Times New Roman"/>
        </w:rPr>
        <w:t xml:space="preserve"> des déplacements de population (art. 2, 3, 6 et 7).</w:t>
      </w:r>
      <w:r w:rsidR="009D07E3">
        <w:rPr>
          <w:rFonts w:eastAsia="Times New Roman"/>
        </w:rPr>
        <w:t xml:space="preserve"> </w:t>
      </w:r>
    </w:p>
    <w:p w14:paraId="345FED2B" w14:textId="276AFF0D" w:rsidR="00447C7B" w:rsidRPr="00447C7B" w:rsidRDefault="00447C7B" w:rsidP="00DD677B">
      <w:pPr>
        <w:spacing w:after="120"/>
        <w:ind w:left="1134" w:right="1134"/>
        <w:jc w:val="both"/>
        <w:rPr>
          <w:rFonts w:eastAsia="Times New Roman"/>
          <w:b/>
          <w:bCs/>
        </w:rPr>
      </w:pPr>
      <w:r w:rsidRPr="00447C7B">
        <w:rPr>
          <w:rFonts w:eastAsia="Times New Roman"/>
          <w:bCs/>
        </w:rPr>
        <w:t>29.</w:t>
      </w:r>
      <w:r>
        <w:rPr>
          <w:rFonts w:eastAsia="Times New Roman"/>
          <w:b/>
          <w:bCs/>
        </w:rPr>
        <w:tab/>
      </w:r>
      <w:r w:rsidRPr="00447C7B">
        <w:rPr>
          <w:rFonts w:eastAsia="Times New Roman"/>
          <w:b/>
          <w:bCs/>
        </w:rPr>
        <w:t>L’État partie devrait : a) veiller, dans le cadre d’opérations militaires, au respect du principe de distinction et de proportionnalité dans les attaques ; b) poursuivre ses efforts de sensibilisation et de formation des forces de sécurité nigérienne</w:t>
      </w:r>
      <w:r w:rsidR="00C46EC2">
        <w:rPr>
          <w:rFonts w:eastAsia="Times New Roman"/>
          <w:b/>
          <w:bCs/>
        </w:rPr>
        <w:t>s</w:t>
      </w:r>
      <w:r w:rsidRPr="00447C7B">
        <w:rPr>
          <w:rFonts w:eastAsia="Times New Roman"/>
          <w:b/>
          <w:bCs/>
        </w:rPr>
        <w:t xml:space="preserve"> en matière </w:t>
      </w:r>
      <w:r w:rsidRPr="00447C7B">
        <w:rPr>
          <w:rFonts w:eastAsia="Times New Roman"/>
          <w:b/>
          <w:bCs/>
        </w:rPr>
        <w:lastRenderedPageBreak/>
        <w:t>de respect des droits de l’homme dans le cadre d’opérations militaires</w:t>
      </w:r>
      <w:r w:rsidR="00C46EC2">
        <w:rPr>
          <w:rFonts w:eastAsia="Times New Roman"/>
          <w:b/>
          <w:bCs/>
        </w:rPr>
        <w:t> </w:t>
      </w:r>
      <w:r w:rsidRPr="00447C7B">
        <w:rPr>
          <w:rFonts w:eastAsia="Times New Roman"/>
          <w:b/>
          <w:bCs/>
        </w:rPr>
        <w:t xml:space="preserve">; c) mener des enquêtes transparentes et efficaces pour établir les faits </w:t>
      </w:r>
      <w:r w:rsidR="00C46EC2">
        <w:rPr>
          <w:rFonts w:eastAsia="Times New Roman"/>
          <w:b/>
          <w:bCs/>
        </w:rPr>
        <w:t>de même que</w:t>
      </w:r>
      <w:r w:rsidRPr="00447C7B">
        <w:rPr>
          <w:rFonts w:eastAsia="Times New Roman"/>
          <w:b/>
          <w:bCs/>
        </w:rPr>
        <w:t xml:space="preserve"> les circonstances dans lesquelles des violations des droits de l’homme et du droit international humanitaire auraient été perpétrées par des membres de ses forces armées, ou par des groupes armés non étatiques s’en prenant aux populations civiles</w:t>
      </w:r>
      <w:r w:rsidR="00C46EC2">
        <w:rPr>
          <w:rFonts w:eastAsia="Times New Roman"/>
          <w:b/>
          <w:bCs/>
        </w:rPr>
        <w:t> </w:t>
      </w:r>
      <w:r w:rsidRPr="00447C7B">
        <w:rPr>
          <w:rFonts w:eastAsia="Times New Roman"/>
          <w:b/>
          <w:bCs/>
        </w:rPr>
        <w:t xml:space="preserve">; d) </w:t>
      </w:r>
      <w:r w:rsidR="0000558A">
        <w:rPr>
          <w:rFonts w:eastAsia="Times New Roman"/>
          <w:b/>
          <w:bCs/>
        </w:rPr>
        <w:t xml:space="preserve">traduire en justice les auteurs de telles violations </w:t>
      </w:r>
      <w:r w:rsidR="0000558A" w:rsidRPr="00C20EDB">
        <w:rPr>
          <w:b/>
          <w:lang w:val="fr-FR" w:eastAsia="ja-JP"/>
        </w:rPr>
        <w:t>et, s’ils sont reconnus coupables, les condamner à des sanctions appropriées</w:t>
      </w:r>
      <w:r w:rsidR="00C46EC2">
        <w:rPr>
          <w:rFonts w:eastAsia="Times New Roman"/>
          <w:b/>
          <w:bCs/>
        </w:rPr>
        <w:t> </w:t>
      </w:r>
      <w:r w:rsidRPr="00447C7B">
        <w:rPr>
          <w:rFonts w:eastAsia="Times New Roman"/>
          <w:b/>
          <w:bCs/>
        </w:rPr>
        <w:t>; et e) prendre toutes les mesures nécessaires pour accorder une réparation intégrale aux familles des victimes.</w:t>
      </w:r>
    </w:p>
    <w:p w14:paraId="5F1A5759" w14:textId="4EC74C6B" w:rsidR="00447C7B" w:rsidRPr="00447C7B" w:rsidRDefault="00447C7B" w:rsidP="00FE7CB7">
      <w:pPr>
        <w:pStyle w:val="H23G"/>
      </w:pPr>
      <w:r>
        <w:rPr>
          <w:lang w:eastAsia="fr-CH"/>
        </w:rPr>
        <w:tab/>
      </w:r>
      <w:r>
        <w:rPr>
          <w:lang w:eastAsia="fr-CH"/>
        </w:rPr>
        <w:tab/>
      </w:r>
      <w:r w:rsidRPr="00447C7B">
        <w:rPr>
          <w:lang w:eastAsia="fr-CH"/>
        </w:rPr>
        <w:t>Torture</w:t>
      </w:r>
      <w:r w:rsidR="00FE7CB7">
        <w:rPr>
          <w:lang w:eastAsia="fr-CH"/>
        </w:rPr>
        <w:t xml:space="preserve"> et</w:t>
      </w:r>
      <w:r w:rsidRPr="00447C7B">
        <w:rPr>
          <w:lang w:eastAsia="fr-CH"/>
        </w:rPr>
        <w:t xml:space="preserve"> traitements cruels, inhumains ou dégradants</w:t>
      </w:r>
    </w:p>
    <w:p w14:paraId="1095CB2D" w14:textId="48654489" w:rsidR="00447C7B" w:rsidRPr="00447C7B" w:rsidRDefault="00447C7B">
      <w:pPr>
        <w:spacing w:after="120"/>
        <w:ind w:left="1134" w:right="1134"/>
        <w:jc w:val="both"/>
        <w:rPr>
          <w:rFonts w:eastAsia="Times New Roman"/>
        </w:rPr>
      </w:pPr>
      <w:r w:rsidRPr="00447C7B">
        <w:rPr>
          <w:rFonts w:eastAsia="Times New Roman"/>
        </w:rPr>
        <w:t>30.</w:t>
      </w:r>
      <w:r w:rsidR="004F5E01">
        <w:rPr>
          <w:rFonts w:eastAsia="Times New Roman"/>
        </w:rPr>
        <w:tab/>
      </w:r>
      <w:r w:rsidRPr="00447C7B">
        <w:rPr>
          <w:rFonts w:eastAsia="Times New Roman"/>
        </w:rPr>
        <w:t xml:space="preserve">Le Comité </w:t>
      </w:r>
      <w:r w:rsidR="00E03FBD">
        <w:rPr>
          <w:rFonts w:eastAsia="Times New Roman"/>
        </w:rPr>
        <w:t>relève</w:t>
      </w:r>
      <w:r w:rsidRPr="00447C7B">
        <w:rPr>
          <w:rFonts w:eastAsia="Times New Roman"/>
        </w:rPr>
        <w:t xml:space="preserve"> l’absence d’informations qui indiqueraient une pratique systématique de la torture ou des mauvais traitements par les forces de sécurité de l’</w:t>
      </w:r>
      <w:r w:rsidR="00FE7CB7">
        <w:rPr>
          <w:rFonts w:eastAsia="Times New Roman"/>
        </w:rPr>
        <w:t>É</w:t>
      </w:r>
      <w:r w:rsidRPr="00447C7B">
        <w:rPr>
          <w:rFonts w:eastAsia="Times New Roman"/>
        </w:rPr>
        <w:t xml:space="preserve">tat partie. Il demeure en revanche inquiet de l’absence, dans le Code pénal, d’une définition de la torture ainsi que d’une incrimination spécifique du crime de torture, </w:t>
      </w:r>
      <w:r w:rsidR="00FE7CB7">
        <w:rPr>
          <w:rFonts w:eastAsia="Times New Roman"/>
        </w:rPr>
        <w:t>et note</w:t>
      </w:r>
      <w:r w:rsidRPr="00447C7B">
        <w:rPr>
          <w:rFonts w:eastAsia="Times New Roman"/>
        </w:rPr>
        <w:t xml:space="preserve"> qu’un projet de loi incriminant la torture</w:t>
      </w:r>
      <w:r w:rsidR="005204F0">
        <w:rPr>
          <w:rFonts w:eastAsia="Times New Roman"/>
        </w:rPr>
        <w:t>,</w:t>
      </w:r>
      <w:r w:rsidRPr="00447C7B">
        <w:rPr>
          <w:rFonts w:eastAsia="Times New Roman"/>
        </w:rPr>
        <w:t xml:space="preserve"> élaboré </w:t>
      </w:r>
      <w:r w:rsidR="005204F0">
        <w:rPr>
          <w:rFonts w:eastAsia="Times New Roman"/>
        </w:rPr>
        <w:t xml:space="preserve">en 2014 </w:t>
      </w:r>
      <w:r w:rsidRPr="00447C7B">
        <w:rPr>
          <w:rFonts w:eastAsia="Times New Roman"/>
        </w:rPr>
        <w:t>par le Ministère de la justice</w:t>
      </w:r>
      <w:r w:rsidR="005204F0">
        <w:rPr>
          <w:rFonts w:eastAsia="Times New Roman"/>
        </w:rPr>
        <w:t>,</w:t>
      </w:r>
      <w:r w:rsidRPr="00447C7B">
        <w:rPr>
          <w:rFonts w:eastAsia="Times New Roman"/>
        </w:rPr>
        <w:t xml:space="preserve"> n’a pas encore été adopté. Le Comité exprime également sa préoccupation au vu d’allégations de violences policières lors de manifestations, tel</w:t>
      </w:r>
      <w:r w:rsidR="00FE7CB7">
        <w:rPr>
          <w:rFonts w:eastAsia="Times New Roman"/>
        </w:rPr>
        <w:t>les</w:t>
      </w:r>
      <w:r w:rsidRPr="00447C7B">
        <w:rPr>
          <w:rFonts w:eastAsia="Times New Roman"/>
        </w:rPr>
        <w:t xml:space="preserve"> les </w:t>
      </w:r>
      <w:r w:rsidRPr="00243122">
        <w:rPr>
          <w:rFonts w:eastAsia="Times New Roman"/>
        </w:rPr>
        <w:t>manifestations étudiantes d’avril 2017</w:t>
      </w:r>
      <w:r w:rsidRPr="00447C7B">
        <w:rPr>
          <w:rFonts w:eastAsia="Times New Roman"/>
        </w:rPr>
        <w:t xml:space="preserve">. Le Comité relève </w:t>
      </w:r>
      <w:r w:rsidR="000630B4">
        <w:rPr>
          <w:rFonts w:eastAsia="Times New Roman"/>
        </w:rPr>
        <w:t>en outre</w:t>
      </w:r>
      <w:r w:rsidRPr="00447C7B">
        <w:rPr>
          <w:rFonts w:eastAsia="Times New Roman"/>
        </w:rPr>
        <w:t xml:space="preserve"> que l’</w:t>
      </w:r>
      <w:r w:rsidR="00FE7CB7">
        <w:rPr>
          <w:rFonts w:eastAsia="Times New Roman"/>
        </w:rPr>
        <w:t>É</w:t>
      </w:r>
      <w:r w:rsidRPr="00447C7B">
        <w:rPr>
          <w:rFonts w:eastAsia="Times New Roman"/>
        </w:rPr>
        <w:t xml:space="preserve">tat partie n’a toujours pas établi de mécanisme de prévention de la torture, malgré sa ratification </w:t>
      </w:r>
      <w:r w:rsidR="000630B4">
        <w:rPr>
          <w:rFonts w:eastAsia="Times New Roman"/>
        </w:rPr>
        <w:t xml:space="preserve">en 2014 </w:t>
      </w:r>
      <w:r w:rsidRPr="00447C7B">
        <w:rPr>
          <w:rFonts w:eastAsia="Times New Roman"/>
        </w:rPr>
        <w:t xml:space="preserve">du Protocole facultatif </w:t>
      </w:r>
      <w:r w:rsidR="000630B4">
        <w:rPr>
          <w:rFonts w:eastAsia="Times New Roman"/>
        </w:rPr>
        <w:t xml:space="preserve">se rapportant </w:t>
      </w:r>
      <w:r w:rsidRPr="00447C7B">
        <w:rPr>
          <w:rFonts w:eastAsia="Times New Roman"/>
        </w:rPr>
        <w:t>à la Convention contre la torture</w:t>
      </w:r>
      <w:r w:rsidR="00673B75">
        <w:rPr>
          <w:rFonts w:eastAsia="Times New Roman"/>
        </w:rPr>
        <w:t xml:space="preserve"> et autres peines ou traitements cruels, inhumains ou dégradants</w:t>
      </w:r>
      <w:r w:rsidRPr="00447C7B">
        <w:rPr>
          <w:rFonts w:eastAsia="Times New Roman"/>
        </w:rPr>
        <w:t xml:space="preserve"> (art. 2 et 7).</w:t>
      </w:r>
    </w:p>
    <w:p w14:paraId="5DA028A8" w14:textId="47D01B34" w:rsidR="00447C7B" w:rsidRPr="00447C7B" w:rsidRDefault="00447C7B" w:rsidP="00B45022">
      <w:pPr>
        <w:spacing w:after="120"/>
        <w:ind w:left="1134" w:right="1134"/>
        <w:jc w:val="both"/>
        <w:rPr>
          <w:rFonts w:eastAsia="Times New Roman"/>
          <w:b/>
          <w:bCs/>
        </w:rPr>
      </w:pPr>
      <w:r w:rsidRPr="00447C7B">
        <w:rPr>
          <w:rFonts w:eastAsia="Times New Roman"/>
          <w:bCs/>
        </w:rPr>
        <w:t>31.</w:t>
      </w:r>
      <w:r w:rsidRPr="00447C7B">
        <w:rPr>
          <w:rFonts w:eastAsia="Times New Roman"/>
          <w:bCs/>
        </w:rPr>
        <w:tab/>
      </w:r>
      <w:r w:rsidRPr="00447C7B">
        <w:rPr>
          <w:rFonts w:eastAsia="Times New Roman"/>
          <w:b/>
          <w:bCs/>
        </w:rPr>
        <w:t>L’État partie devrait : a) accélérer le processus d’adoption de la loi incriminant la torture, en veillant à sa conformité au Pacte et à la Convention contre la torture</w:t>
      </w:r>
      <w:r w:rsidR="00673B75">
        <w:rPr>
          <w:rFonts w:eastAsia="Times New Roman"/>
          <w:b/>
          <w:bCs/>
        </w:rPr>
        <w:t xml:space="preserve"> et autres peines ou traitements cruels, inhumains ou dégradants</w:t>
      </w:r>
      <w:r w:rsidRPr="00447C7B">
        <w:rPr>
          <w:rFonts w:eastAsia="Times New Roman"/>
          <w:b/>
          <w:bCs/>
        </w:rPr>
        <w:t> ; b) s’assurer que les cas présumés de torture et de mauvais traitements commis par les agents de l’</w:t>
      </w:r>
      <w:r w:rsidR="002638AF">
        <w:rPr>
          <w:rFonts w:eastAsia="Times New Roman"/>
          <w:b/>
          <w:bCs/>
        </w:rPr>
        <w:t>É</w:t>
      </w:r>
      <w:r w:rsidRPr="00447C7B">
        <w:rPr>
          <w:rFonts w:eastAsia="Times New Roman"/>
          <w:b/>
          <w:bCs/>
        </w:rPr>
        <w:t>tat</w:t>
      </w:r>
      <w:r w:rsidR="00387D3C">
        <w:rPr>
          <w:rFonts w:eastAsia="Times New Roman"/>
          <w:b/>
          <w:bCs/>
        </w:rPr>
        <w:t xml:space="preserve"> partie</w:t>
      </w:r>
      <w:r w:rsidRPr="00447C7B">
        <w:rPr>
          <w:rFonts w:eastAsia="Times New Roman"/>
          <w:b/>
          <w:bCs/>
        </w:rPr>
        <w:t xml:space="preserve"> font l’objet d’une enquête approfondie, veiller à ce que les responsables soient poursuivis et, s’ils sont reconnus coupables, condamnés à des peines appropriées, et </w:t>
      </w:r>
      <w:r w:rsidR="002638AF">
        <w:rPr>
          <w:rFonts w:eastAsia="Times New Roman"/>
          <w:b/>
          <w:bCs/>
        </w:rPr>
        <w:t>faire en sorte</w:t>
      </w:r>
      <w:r w:rsidRPr="00447C7B">
        <w:rPr>
          <w:rFonts w:eastAsia="Times New Roman"/>
          <w:b/>
          <w:bCs/>
        </w:rPr>
        <w:t xml:space="preserve"> que les victimes obtiennent réparation </w:t>
      </w:r>
      <w:r w:rsidR="002638AF">
        <w:rPr>
          <w:rFonts w:eastAsia="Times New Roman"/>
          <w:b/>
          <w:bCs/>
        </w:rPr>
        <w:t>en se voyant</w:t>
      </w:r>
      <w:r w:rsidRPr="00447C7B">
        <w:rPr>
          <w:rFonts w:eastAsia="Times New Roman"/>
          <w:b/>
          <w:bCs/>
        </w:rPr>
        <w:t xml:space="preserve"> notamment proposer des mesures de réadaptation ; et c) mettre promptement en place un mécanisme national de prévention de la torture.</w:t>
      </w:r>
    </w:p>
    <w:p w14:paraId="64448E6B" w14:textId="7DDB1918" w:rsidR="00447C7B" w:rsidRPr="00447C7B" w:rsidRDefault="00447C7B" w:rsidP="00447C7B">
      <w:pPr>
        <w:pStyle w:val="H23G"/>
      </w:pPr>
      <w:r>
        <w:tab/>
      </w:r>
      <w:r>
        <w:tab/>
      </w:r>
      <w:r w:rsidRPr="00447C7B">
        <w:t xml:space="preserve">Conditions de détention </w:t>
      </w:r>
    </w:p>
    <w:p w14:paraId="54D52333" w14:textId="65B09DC6" w:rsidR="001764AB" w:rsidRPr="00447C7B" w:rsidRDefault="00447C7B" w:rsidP="00D542DC">
      <w:pPr>
        <w:pStyle w:val="SingleTxtG"/>
      </w:pPr>
      <w:r w:rsidRPr="00447C7B">
        <w:t>32.</w:t>
      </w:r>
      <w:r>
        <w:tab/>
      </w:r>
      <w:r w:rsidRPr="00447C7B">
        <w:t>Le Comité remercie l’</w:t>
      </w:r>
      <w:r w:rsidR="002638AF">
        <w:t>É</w:t>
      </w:r>
      <w:r w:rsidRPr="00447C7B">
        <w:t xml:space="preserve">tat partie pour les informations statistiques fournies par établissement pénitentiaire. Il salue également l’adoption de la </w:t>
      </w:r>
      <w:r w:rsidR="002638AF" w:rsidRPr="00243122">
        <w:t>l</w:t>
      </w:r>
      <w:r w:rsidRPr="00243122">
        <w:t xml:space="preserve">oi </w:t>
      </w:r>
      <w:r w:rsidR="004C4F01" w:rsidRPr="00447C7B">
        <w:rPr>
          <w:rFonts w:eastAsia="Times New Roman"/>
        </w:rPr>
        <w:t>n</w:t>
      </w:r>
      <w:r w:rsidR="004C4F01" w:rsidRPr="003E0C87">
        <w:rPr>
          <w:rFonts w:eastAsia="Times New Roman"/>
          <w:vertAlign w:val="superscript"/>
        </w:rPr>
        <w:t>o</w:t>
      </w:r>
      <w:r w:rsidR="004C4F01">
        <w:rPr>
          <w:rFonts w:eastAsia="Times New Roman"/>
        </w:rPr>
        <w:t> </w:t>
      </w:r>
      <w:r w:rsidRPr="00243122">
        <w:t>2017-05 du 31 mars 2017</w:t>
      </w:r>
      <w:r w:rsidR="00E67C99">
        <w:t>,</w:t>
      </w:r>
      <w:r w:rsidRPr="00447C7B">
        <w:t xml:space="preserve"> portant institution du travail d</w:t>
      </w:r>
      <w:r w:rsidR="00E67C99">
        <w:t>’</w:t>
      </w:r>
      <w:r w:rsidRPr="00447C7B">
        <w:t>intérêt général</w:t>
      </w:r>
      <w:r w:rsidR="00E67C99">
        <w:t xml:space="preserve"> en </w:t>
      </w:r>
      <w:r w:rsidR="00387D3C">
        <w:t>substitution</w:t>
      </w:r>
      <w:r w:rsidR="00E67C99">
        <w:t xml:space="preserve"> de</w:t>
      </w:r>
      <w:r w:rsidRPr="00447C7B">
        <w:t xml:space="preserve"> peines privatives de liberté, ainsi que </w:t>
      </w:r>
      <w:r w:rsidR="008F4259">
        <w:t xml:space="preserve">celle </w:t>
      </w:r>
      <w:r w:rsidR="00E67C99">
        <w:t xml:space="preserve">de </w:t>
      </w:r>
      <w:r w:rsidRPr="00447C7B">
        <w:t xml:space="preserve">la </w:t>
      </w:r>
      <w:r w:rsidR="00E67C99" w:rsidRPr="00243122">
        <w:t>l</w:t>
      </w:r>
      <w:r w:rsidRPr="00243122">
        <w:t xml:space="preserve">oi </w:t>
      </w:r>
      <w:r w:rsidR="004C4F01" w:rsidRPr="00447C7B">
        <w:rPr>
          <w:rFonts w:eastAsia="Times New Roman"/>
        </w:rPr>
        <w:t>n</w:t>
      </w:r>
      <w:r w:rsidR="004C4F01" w:rsidRPr="003E0C87">
        <w:rPr>
          <w:rFonts w:eastAsia="Times New Roman"/>
          <w:vertAlign w:val="superscript"/>
        </w:rPr>
        <w:t>o</w:t>
      </w:r>
      <w:r w:rsidR="004C4F01">
        <w:rPr>
          <w:rFonts w:eastAsia="Times New Roman"/>
        </w:rPr>
        <w:t> </w:t>
      </w:r>
      <w:r w:rsidRPr="00243122">
        <w:t>2017</w:t>
      </w:r>
      <w:r w:rsidR="00E67C99" w:rsidRPr="00243122">
        <w:t>-</w:t>
      </w:r>
      <w:r w:rsidRPr="00243122">
        <w:t>08</w:t>
      </w:r>
      <w:r w:rsidR="00E67C99" w:rsidRPr="00243122">
        <w:t xml:space="preserve"> du 31 mars 2017</w:t>
      </w:r>
      <w:r w:rsidRPr="00447C7B">
        <w:t xml:space="preserve"> relative au régime pénitentiaire, qui prévoit l’augmentation des rations alimentaires de deux à trois repas par jour</w:t>
      </w:r>
      <w:r w:rsidR="00E67C99">
        <w:t xml:space="preserve"> pour les détenus</w:t>
      </w:r>
      <w:r w:rsidRPr="00447C7B">
        <w:t xml:space="preserve">. Le Comité exprime toutefois sa préoccupation quant aux conditions de détention inadéquates qui semblent prévaloir dans la quasi-totalité des établissements pénitentiaires de l’État partie. Il est, en outre, préoccupé par : a) le taux d’occupation </w:t>
      </w:r>
      <w:r w:rsidR="00387D3C">
        <w:t>inquiétant</w:t>
      </w:r>
      <w:r w:rsidRPr="00447C7B">
        <w:t xml:space="preserve"> de la prison de Niamey ; b) les informations faisant état de conditions sanitaires, médicales et alimentaires insatisfaisantes dans la plupart des établissements pénitentiaires ; c) les ressources insuffisantes allouées au régime pénitentiaire ; et d) l’absence de séparation entre prévenus et condamnés (art. 6, 7 et 10).</w:t>
      </w:r>
    </w:p>
    <w:p w14:paraId="7D255CBC" w14:textId="2BDABA47" w:rsidR="00447C7B" w:rsidRPr="00447C7B" w:rsidRDefault="00447C7B" w:rsidP="00D542DC">
      <w:pPr>
        <w:pStyle w:val="SingleTxtG"/>
      </w:pPr>
      <w:r w:rsidRPr="00447C7B">
        <w:t>33.</w:t>
      </w:r>
      <w:r w:rsidRPr="00447C7B">
        <w:tab/>
      </w:r>
      <w:r w:rsidRPr="00D542DC">
        <w:rPr>
          <w:b/>
          <w:bCs/>
        </w:rPr>
        <w:t>L’État partie devrait prendre les mesures nécessaires en vue : a) </w:t>
      </w:r>
      <w:r w:rsidR="00387D3C">
        <w:rPr>
          <w:b/>
          <w:bCs/>
        </w:rPr>
        <w:t xml:space="preserve">de </w:t>
      </w:r>
      <w:r w:rsidRPr="00D542DC">
        <w:rPr>
          <w:b/>
          <w:bCs/>
        </w:rPr>
        <w:t xml:space="preserve">poursuivre ses efforts </w:t>
      </w:r>
      <w:r w:rsidR="00751173">
        <w:rPr>
          <w:b/>
          <w:bCs/>
        </w:rPr>
        <w:t>d’amélioration des</w:t>
      </w:r>
      <w:r w:rsidRPr="00D542DC">
        <w:rPr>
          <w:b/>
          <w:bCs/>
        </w:rPr>
        <w:t xml:space="preserve"> conditions de vie et </w:t>
      </w:r>
      <w:r w:rsidR="00751173">
        <w:rPr>
          <w:b/>
          <w:bCs/>
        </w:rPr>
        <w:t>du</w:t>
      </w:r>
      <w:r w:rsidRPr="00D542DC">
        <w:rPr>
          <w:b/>
          <w:bCs/>
        </w:rPr>
        <w:t xml:space="preserve"> traitement des détenus, conformément à l’Ensemble de règles minima des Nations Unies pour le traitement des détenus ; b) </w:t>
      </w:r>
      <w:r w:rsidR="00387D3C">
        <w:rPr>
          <w:b/>
          <w:bCs/>
        </w:rPr>
        <w:t xml:space="preserve">de </w:t>
      </w:r>
      <w:r w:rsidRPr="00D542DC">
        <w:rPr>
          <w:b/>
          <w:bCs/>
        </w:rPr>
        <w:t>remédier au problème de la surpopulation carcérale dans la prison civile de Niamey, en procédant notamment à des transferts de détenus vers des établissements ne connaissant pas la surpopulation carcérale, et en poursuivant ses efforts visant à privilégier des mesures de substitution à la privation de liberté ; c)</w:t>
      </w:r>
      <w:r w:rsidR="00387D3C">
        <w:rPr>
          <w:b/>
          <w:bCs/>
        </w:rPr>
        <w:t xml:space="preserve"> d</w:t>
      </w:r>
      <w:r w:rsidRPr="00D542DC">
        <w:rPr>
          <w:b/>
          <w:bCs/>
        </w:rPr>
        <w:t xml:space="preserve">’entreprendre des travaux de rénovation de l’ensemble des lieux de détention ; et </w:t>
      </w:r>
      <w:r w:rsidR="00387D3C">
        <w:rPr>
          <w:b/>
          <w:bCs/>
        </w:rPr>
        <w:t>d) de</w:t>
      </w:r>
      <w:r w:rsidRPr="00D542DC">
        <w:rPr>
          <w:b/>
          <w:bCs/>
        </w:rPr>
        <w:t xml:space="preserve"> continuer </w:t>
      </w:r>
      <w:r w:rsidR="00551B91">
        <w:rPr>
          <w:b/>
          <w:bCs/>
        </w:rPr>
        <w:t>à</w:t>
      </w:r>
      <w:r w:rsidRPr="00D542DC">
        <w:rPr>
          <w:b/>
          <w:bCs/>
        </w:rPr>
        <w:t xml:space="preserve"> garantir le droit de visite sans restriction de la </w:t>
      </w:r>
      <w:r w:rsidR="00940CE0">
        <w:rPr>
          <w:rFonts w:eastAsia="Times New Roman"/>
          <w:b/>
          <w:bCs/>
        </w:rPr>
        <w:t>Commission nationale des droits humains</w:t>
      </w:r>
      <w:r w:rsidRPr="00D542DC">
        <w:rPr>
          <w:b/>
          <w:bCs/>
        </w:rPr>
        <w:t xml:space="preserve"> </w:t>
      </w:r>
      <w:r w:rsidR="00551B91">
        <w:rPr>
          <w:b/>
          <w:bCs/>
        </w:rPr>
        <w:t>dans</w:t>
      </w:r>
      <w:r w:rsidRPr="00D542DC">
        <w:rPr>
          <w:b/>
          <w:bCs/>
        </w:rPr>
        <w:t xml:space="preserve"> tous les lieux de privation de liberté.</w:t>
      </w:r>
    </w:p>
    <w:p w14:paraId="11EC6C18" w14:textId="3B381A20" w:rsidR="00447C7B" w:rsidRPr="00447C7B" w:rsidRDefault="00447C7B" w:rsidP="00447C7B">
      <w:pPr>
        <w:pStyle w:val="H23G"/>
      </w:pPr>
      <w:r>
        <w:tab/>
      </w:r>
      <w:r>
        <w:tab/>
      </w:r>
      <w:r w:rsidRPr="00447C7B">
        <w:t>Traite des personnes et esclavage</w:t>
      </w:r>
    </w:p>
    <w:p w14:paraId="35FB8AF8" w14:textId="51317AD3" w:rsidR="00447C7B" w:rsidRPr="00447C7B" w:rsidRDefault="00447C7B" w:rsidP="004C4F01">
      <w:pPr>
        <w:spacing w:after="120"/>
        <w:ind w:left="1134" w:right="1134"/>
        <w:jc w:val="both"/>
        <w:rPr>
          <w:rFonts w:eastAsia="Times New Roman"/>
        </w:rPr>
      </w:pPr>
      <w:r w:rsidRPr="00447C7B">
        <w:rPr>
          <w:rFonts w:eastAsia="Times New Roman"/>
        </w:rPr>
        <w:t>34.</w:t>
      </w:r>
      <w:r w:rsidRPr="00447C7B">
        <w:rPr>
          <w:rFonts w:eastAsia="Times New Roman"/>
        </w:rPr>
        <w:tab/>
        <w:t xml:space="preserve">Tout en notant les efforts de l’État partie pour lutter contre la traite des personnes et l’esclavage, notamment au titre </w:t>
      </w:r>
      <w:r w:rsidR="009F37A4">
        <w:rPr>
          <w:rFonts w:eastAsia="Times New Roman"/>
        </w:rPr>
        <w:t xml:space="preserve">des </w:t>
      </w:r>
      <w:r w:rsidR="009F37A4" w:rsidRPr="00243122">
        <w:rPr>
          <w:rFonts w:eastAsia="Times New Roman"/>
        </w:rPr>
        <w:t xml:space="preserve">articles 270.1 à 270.5 </w:t>
      </w:r>
      <w:r w:rsidRPr="00243122">
        <w:rPr>
          <w:rFonts w:eastAsia="Times New Roman"/>
        </w:rPr>
        <w:t>du Code pénal</w:t>
      </w:r>
      <w:r w:rsidRPr="00447C7B">
        <w:rPr>
          <w:rFonts w:eastAsia="Times New Roman"/>
        </w:rPr>
        <w:t xml:space="preserve"> et de </w:t>
      </w:r>
      <w:r w:rsidRPr="00243122">
        <w:rPr>
          <w:rFonts w:eastAsia="Times New Roman"/>
        </w:rPr>
        <w:t>l’</w:t>
      </w:r>
      <w:r w:rsidR="009F37A4" w:rsidRPr="00243122">
        <w:rPr>
          <w:rFonts w:eastAsia="Times New Roman"/>
        </w:rPr>
        <w:t>o</w:t>
      </w:r>
      <w:r w:rsidRPr="00243122">
        <w:rPr>
          <w:rFonts w:eastAsia="Times New Roman"/>
        </w:rPr>
        <w:t xml:space="preserve">rdonnance </w:t>
      </w:r>
      <w:r w:rsidR="004C4F01" w:rsidRPr="00447C7B">
        <w:rPr>
          <w:rFonts w:eastAsia="Times New Roman"/>
        </w:rPr>
        <w:lastRenderedPageBreak/>
        <w:t>n</w:t>
      </w:r>
      <w:r w:rsidR="004C4F01" w:rsidRPr="003E0C87">
        <w:rPr>
          <w:rFonts w:eastAsia="Times New Roman"/>
          <w:vertAlign w:val="superscript"/>
        </w:rPr>
        <w:t>o</w:t>
      </w:r>
      <w:r w:rsidR="004C4F01">
        <w:rPr>
          <w:rFonts w:eastAsia="Times New Roman"/>
        </w:rPr>
        <w:t> </w:t>
      </w:r>
      <w:r w:rsidRPr="00243122">
        <w:rPr>
          <w:rFonts w:eastAsia="Times New Roman"/>
        </w:rPr>
        <w:t>2010-86 du 16 décembre 2010</w:t>
      </w:r>
      <w:r w:rsidRPr="00447C7B">
        <w:rPr>
          <w:rFonts w:eastAsia="Times New Roman"/>
        </w:rPr>
        <w:t xml:space="preserve">, le Comité relève avec préoccupation la persistance du phénomène de l’esclavage, en pratique. Il déplore également </w:t>
      </w:r>
      <w:r w:rsidR="009F37A4">
        <w:rPr>
          <w:rFonts w:eastAsia="Times New Roman"/>
        </w:rPr>
        <w:t>le faible taux d’application</w:t>
      </w:r>
      <w:r w:rsidRPr="00447C7B">
        <w:rPr>
          <w:rFonts w:eastAsia="Times New Roman"/>
        </w:rPr>
        <w:t xml:space="preserve"> des dispositions législatives </w:t>
      </w:r>
      <w:r w:rsidR="003F414F" w:rsidRPr="00447C7B">
        <w:rPr>
          <w:rFonts w:eastAsia="Times New Roman"/>
        </w:rPr>
        <w:t>précitées, cinq</w:t>
      </w:r>
      <w:r w:rsidRPr="00447C7B">
        <w:rPr>
          <w:rFonts w:eastAsia="Times New Roman"/>
        </w:rPr>
        <w:t xml:space="preserve"> poursuites seul</w:t>
      </w:r>
      <w:r w:rsidR="00887ED9">
        <w:rPr>
          <w:rFonts w:eastAsia="Times New Roman"/>
        </w:rPr>
        <w:t>ement ayant été rapportées, dont</w:t>
      </w:r>
      <w:r w:rsidRPr="00447C7B">
        <w:rPr>
          <w:rFonts w:eastAsia="Times New Roman"/>
        </w:rPr>
        <w:t xml:space="preserve"> deux auraient abouti à des condamnations. Le Comité est d’autant plus préoccupé que les peines infligées dans les deux cas d’espèce n’étaient pas proportionnelles à la gravité du crime </w:t>
      </w:r>
      <w:r w:rsidR="003F414F" w:rsidRPr="00447C7B">
        <w:rPr>
          <w:rFonts w:eastAsia="Times New Roman"/>
        </w:rPr>
        <w:t>d’esclavage.</w:t>
      </w:r>
      <w:r w:rsidRPr="00447C7B">
        <w:rPr>
          <w:rFonts w:eastAsia="Times New Roman"/>
        </w:rPr>
        <w:t xml:space="preserve"> Le Comité déplore en outre le manque de données disponibles relatives à l’ampleur de l’esclavage fondé sur l’ascendance, y compris l’esclavage des enfants, le travail forcé</w:t>
      </w:r>
      <w:r w:rsidR="009F37A4">
        <w:rPr>
          <w:rFonts w:eastAsia="Times New Roman"/>
        </w:rPr>
        <w:t xml:space="preserve"> et</w:t>
      </w:r>
      <w:r w:rsidRPr="00447C7B">
        <w:rPr>
          <w:rFonts w:eastAsia="Times New Roman"/>
        </w:rPr>
        <w:t xml:space="preserve"> la mendicité forcée, ainsi que de la traite</w:t>
      </w:r>
      <w:r w:rsidR="009F37A4">
        <w:rPr>
          <w:rFonts w:eastAsia="Times New Roman"/>
        </w:rPr>
        <w:t xml:space="preserve"> des personnes</w:t>
      </w:r>
      <w:r w:rsidRPr="00447C7B">
        <w:rPr>
          <w:rFonts w:eastAsia="Times New Roman"/>
        </w:rPr>
        <w:t>. De plus, le Comité regrette le peu de ressources allouées à la lutte contre ces pratiques et à la réhabilitation des victimes (art. 8 et 24).</w:t>
      </w:r>
    </w:p>
    <w:p w14:paraId="0E0F130E" w14:textId="5859BCAC" w:rsidR="00447C7B" w:rsidRPr="00447C7B" w:rsidRDefault="00447C7B" w:rsidP="00B45022">
      <w:pPr>
        <w:spacing w:after="120"/>
        <w:ind w:left="1134" w:right="1134"/>
        <w:jc w:val="both"/>
        <w:rPr>
          <w:rFonts w:eastAsia="Times New Roman"/>
          <w:b/>
          <w:bCs/>
        </w:rPr>
      </w:pPr>
      <w:r w:rsidRPr="00447C7B">
        <w:rPr>
          <w:rFonts w:eastAsia="Times New Roman"/>
          <w:bCs/>
        </w:rPr>
        <w:t>35.</w:t>
      </w:r>
      <w:r w:rsidRPr="00447C7B">
        <w:rPr>
          <w:rFonts w:eastAsia="Times New Roman"/>
          <w:bCs/>
        </w:rPr>
        <w:tab/>
      </w:r>
      <w:r w:rsidRPr="00447C7B">
        <w:rPr>
          <w:rFonts w:eastAsia="Times New Roman"/>
          <w:b/>
          <w:bCs/>
        </w:rPr>
        <w:t>L’État partie devrait poursuivre ses efforts et en particulier : a) s’assurer de la collecte de données statistiques ventilées par âge, sexe et origine des victimes ; b)</w:t>
      </w:r>
      <w:r w:rsidR="004C4F01">
        <w:rPr>
          <w:rFonts w:eastAsia="Times New Roman"/>
          <w:b/>
          <w:bCs/>
        </w:rPr>
        <w:t> </w:t>
      </w:r>
      <w:r w:rsidRPr="00447C7B">
        <w:rPr>
          <w:rFonts w:eastAsia="Times New Roman"/>
          <w:b/>
          <w:bCs/>
        </w:rPr>
        <w:t xml:space="preserve">s’assurer que sa législation criminalisant l’esclavage et la traite </w:t>
      </w:r>
      <w:r w:rsidR="009F37A4">
        <w:rPr>
          <w:rFonts w:eastAsia="Times New Roman"/>
          <w:b/>
          <w:bCs/>
        </w:rPr>
        <w:t xml:space="preserve">des personnes </w:t>
      </w:r>
      <w:r w:rsidRPr="00447C7B">
        <w:rPr>
          <w:rFonts w:eastAsia="Times New Roman"/>
          <w:b/>
          <w:bCs/>
        </w:rPr>
        <w:t>est diffusée</w:t>
      </w:r>
      <w:r w:rsidR="009F37A4">
        <w:rPr>
          <w:rFonts w:eastAsia="Times New Roman"/>
          <w:b/>
          <w:bCs/>
        </w:rPr>
        <w:t xml:space="preserve"> et</w:t>
      </w:r>
      <w:r w:rsidRPr="00447C7B">
        <w:rPr>
          <w:rFonts w:eastAsia="Times New Roman"/>
          <w:b/>
          <w:bCs/>
        </w:rPr>
        <w:t xml:space="preserve"> connue des justiciables ainsi que de la police, des procureurs et des juges ; c)</w:t>
      </w:r>
      <w:r w:rsidR="004C4F01">
        <w:rPr>
          <w:rFonts w:eastAsia="Times New Roman"/>
          <w:b/>
          <w:bCs/>
        </w:rPr>
        <w:t> </w:t>
      </w:r>
      <w:r w:rsidRPr="00447C7B">
        <w:rPr>
          <w:rFonts w:eastAsia="Times New Roman"/>
          <w:b/>
          <w:bCs/>
        </w:rPr>
        <w:t xml:space="preserve">renforcer ses mécanismes institutionnels en ressources financières et humaines, en particulier </w:t>
      </w:r>
      <w:r w:rsidRPr="00243122">
        <w:rPr>
          <w:rFonts w:eastAsia="Times New Roman"/>
          <w:b/>
          <w:bCs/>
        </w:rPr>
        <w:t xml:space="preserve">l’Agence </w:t>
      </w:r>
      <w:r w:rsidR="003A2903" w:rsidRPr="00243122">
        <w:rPr>
          <w:rFonts w:eastAsia="Times New Roman"/>
          <w:b/>
          <w:bCs/>
        </w:rPr>
        <w:t>n</w:t>
      </w:r>
      <w:r w:rsidRPr="00243122">
        <w:rPr>
          <w:rFonts w:eastAsia="Times New Roman"/>
          <w:b/>
          <w:bCs/>
        </w:rPr>
        <w:t xml:space="preserve">ationale de </w:t>
      </w:r>
      <w:r w:rsidR="003A2903" w:rsidRPr="00243122">
        <w:rPr>
          <w:rFonts w:eastAsia="Times New Roman"/>
          <w:b/>
          <w:bCs/>
        </w:rPr>
        <w:t>l</w:t>
      </w:r>
      <w:r w:rsidRPr="00243122">
        <w:rPr>
          <w:rFonts w:eastAsia="Times New Roman"/>
          <w:b/>
          <w:bCs/>
        </w:rPr>
        <w:t xml:space="preserve">utte contre la </w:t>
      </w:r>
      <w:r w:rsidR="003A2903" w:rsidRPr="00243122">
        <w:rPr>
          <w:rFonts w:eastAsia="Times New Roman"/>
          <w:b/>
          <w:bCs/>
        </w:rPr>
        <w:t>t</w:t>
      </w:r>
      <w:r w:rsidRPr="00243122">
        <w:rPr>
          <w:rFonts w:eastAsia="Times New Roman"/>
          <w:b/>
          <w:bCs/>
        </w:rPr>
        <w:t xml:space="preserve">raite des </w:t>
      </w:r>
      <w:r w:rsidR="003A2903" w:rsidRPr="00243122">
        <w:rPr>
          <w:rFonts w:eastAsia="Times New Roman"/>
          <w:b/>
          <w:bCs/>
        </w:rPr>
        <w:t>p</w:t>
      </w:r>
      <w:r w:rsidRPr="00243122">
        <w:rPr>
          <w:rFonts w:eastAsia="Times New Roman"/>
          <w:b/>
          <w:bCs/>
        </w:rPr>
        <w:t>ersonnes</w:t>
      </w:r>
      <w:r w:rsidR="003A2903">
        <w:rPr>
          <w:rFonts w:eastAsia="Times New Roman"/>
          <w:b/>
          <w:bCs/>
        </w:rPr>
        <w:t> </w:t>
      </w:r>
      <w:r w:rsidRPr="00447C7B">
        <w:rPr>
          <w:rFonts w:eastAsia="Times New Roman"/>
          <w:b/>
          <w:bCs/>
        </w:rPr>
        <w:t xml:space="preserve">; d) </w:t>
      </w:r>
      <w:r w:rsidR="003A2903">
        <w:rPr>
          <w:rFonts w:eastAsia="Times New Roman"/>
          <w:b/>
          <w:bCs/>
        </w:rPr>
        <w:t>mener</w:t>
      </w:r>
      <w:r w:rsidRPr="00447C7B">
        <w:rPr>
          <w:rFonts w:eastAsia="Times New Roman"/>
          <w:b/>
          <w:bCs/>
        </w:rPr>
        <w:t xml:space="preserve"> une enquête systématique sur tous les cas d’esclavage et de traite des personnes, y compris quand </w:t>
      </w:r>
      <w:r w:rsidR="003A2903">
        <w:rPr>
          <w:rFonts w:eastAsia="Times New Roman"/>
          <w:b/>
          <w:bCs/>
        </w:rPr>
        <w:t>des</w:t>
      </w:r>
      <w:r w:rsidRPr="00447C7B">
        <w:rPr>
          <w:rFonts w:eastAsia="Times New Roman"/>
          <w:b/>
          <w:bCs/>
        </w:rPr>
        <w:t xml:space="preserve"> enfants</w:t>
      </w:r>
      <w:r w:rsidR="003A2903">
        <w:rPr>
          <w:rFonts w:eastAsia="Times New Roman"/>
          <w:b/>
          <w:bCs/>
        </w:rPr>
        <w:t xml:space="preserve"> sont concernés</w:t>
      </w:r>
      <w:r w:rsidRPr="00447C7B">
        <w:rPr>
          <w:rFonts w:eastAsia="Times New Roman"/>
          <w:b/>
          <w:bCs/>
        </w:rPr>
        <w:t>, et veiller à ce que les responsables soient poursuivis en vertu des dispositions pénales pertinentes et</w:t>
      </w:r>
      <w:r w:rsidR="003A2903">
        <w:rPr>
          <w:rFonts w:eastAsia="Times New Roman"/>
          <w:b/>
          <w:bCs/>
        </w:rPr>
        <w:t>,</w:t>
      </w:r>
      <w:r w:rsidRPr="00447C7B">
        <w:rPr>
          <w:rFonts w:eastAsia="Times New Roman"/>
          <w:b/>
          <w:bCs/>
        </w:rPr>
        <w:t xml:space="preserve"> s’ils sont reconnus coupables, condamnés à des peines proportionnelles à la gravité du crime ; et e) prendre toutes les mesures propres à garantir qu’une assistance médicale, psychologique, sociale et juridique visant à leur pleine réhabilitation est apportée aux victimes.</w:t>
      </w:r>
    </w:p>
    <w:p w14:paraId="735AB415" w14:textId="0FD43447" w:rsidR="00447C7B" w:rsidRPr="00447C7B" w:rsidRDefault="00447C7B" w:rsidP="00447C7B">
      <w:pPr>
        <w:pStyle w:val="H23G"/>
      </w:pPr>
      <w:r>
        <w:tab/>
      </w:r>
      <w:r>
        <w:tab/>
      </w:r>
      <w:r w:rsidRPr="00447C7B">
        <w:t xml:space="preserve">Liberté et sécurité de la personne </w:t>
      </w:r>
    </w:p>
    <w:p w14:paraId="79BB8C13" w14:textId="0D7D5141" w:rsidR="00447C7B" w:rsidRPr="00447C7B" w:rsidRDefault="00447C7B" w:rsidP="00B25315">
      <w:pPr>
        <w:spacing w:after="120"/>
        <w:ind w:left="1134" w:right="1134"/>
        <w:jc w:val="both"/>
        <w:rPr>
          <w:rFonts w:eastAsia="Times New Roman"/>
        </w:rPr>
      </w:pPr>
      <w:r w:rsidRPr="00447C7B">
        <w:rPr>
          <w:rFonts w:eastAsia="Times New Roman"/>
        </w:rPr>
        <w:t>36.</w:t>
      </w:r>
      <w:r w:rsidRPr="00447C7B">
        <w:rPr>
          <w:rFonts w:eastAsia="Times New Roman"/>
        </w:rPr>
        <w:tab/>
        <w:t xml:space="preserve">Le Comité demeure préoccupé par les informations faisant état de nombreuses arrestations sans mandat de journalistes, </w:t>
      </w:r>
      <w:r w:rsidR="00A176C1">
        <w:rPr>
          <w:rFonts w:eastAsia="Times New Roman"/>
        </w:rPr>
        <w:t xml:space="preserve">de </w:t>
      </w:r>
      <w:r w:rsidRPr="00447C7B">
        <w:rPr>
          <w:rFonts w:eastAsia="Times New Roman"/>
        </w:rPr>
        <w:t xml:space="preserve">défenseurs des droits de l’homme et </w:t>
      </w:r>
      <w:r w:rsidR="00A176C1">
        <w:rPr>
          <w:rFonts w:eastAsia="Times New Roman"/>
        </w:rPr>
        <w:t xml:space="preserve">de </w:t>
      </w:r>
      <w:r w:rsidRPr="00447C7B">
        <w:rPr>
          <w:rFonts w:eastAsia="Times New Roman"/>
        </w:rPr>
        <w:t>membres de l’opposition, qui auraient été détenus sans jugement en vertu de la législation antiterroriste. Il s’inquiète en particulier d’allégations de dépassements des délais légaux de garde à vue, du non-respect des garanties judiciaires et de l’usage excessif de la détention préventive (art. 9, 14, 19, 21 et 22).</w:t>
      </w:r>
    </w:p>
    <w:p w14:paraId="2AF9BE3F" w14:textId="06986AE1" w:rsidR="00447C7B" w:rsidRPr="00447C7B" w:rsidRDefault="00447C7B" w:rsidP="00B45022">
      <w:pPr>
        <w:spacing w:after="120"/>
        <w:ind w:left="1134" w:right="1134"/>
        <w:jc w:val="both"/>
        <w:rPr>
          <w:rFonts w:eastAsia="Times New Roman"/>
          <w:b/>
          <w:bCs/>
        </w:rPr>
      </w:pPr>
      <w:r w:rsidRPr="00447C7B">
        <w:rPr>
          <w:rFonts w:eastAsia="Times New Roman"/>
        </w:rPr>
        <w:t>37.</w:t>
      </w:r>
      <w:r w:rsidRPr="00447C7B">
        <w:rPr>
          <w:rFonts w:eastAsia="Times New Roman"/>
        </w:rPr>
        <w:tab/>
      </w:r>
      <w:r w:rsidRPr="00447C7B">
        <w:rPr>
          <w:rFonts w:eastAsia="Times New Roman"/>
          <w:b/>
          <w:bCs/>
        </w:rPr>
        <w:t>L’État partie devrait prendre les mesures nécessaires afin de s’assurer</w:t>
      </w:r>
      <w:r w:rsidR="00B25315">
        <w:rPr>
          <w:rFonts w:eastAsia="Times New Roman"/>
          <w:b/>
          <w:bCs/>
        </w:rPr>
        <w:t> </w:t>
      </w:r>
      <w:r w:rsidRPr="00447C7B">
        <w:rPr>
          <w:rFonts w:eastAsia="Times New Roman"/>
          <w:b/>
          <w:bCs/>
        </w:rPr>
        <w:t>: a)</w:t>
      </w:r>
      <w:r w:rsidR="004C4F01">
        <w:rPr>
          <w:rFonts w:eastAsia="Times New Roman"/>
          <w:b/>
          <w:bCs/>
        </w:rPr>
        <w:t> </w:t>
      </w:r>
      <w:r w:rsidR="00194B8A">
        <w:rPr>
          <w:rFonts w:eastAsia="Times New Roman"/>
          <w:b/>
          <w:bCs/>
        </w:rPr>
        <w:t>qu’aucune</w:t>
      </w:r>
      <w:r w:rsidRPr="00447C7B">
        <w:rPr>
          <w:rFonts w:eastAsia="Times New Roman"/>
          <w:b/>
          <w:bCs/>
        </w:rPr>
        <w:t xml:space="preserve"> arrestation ou détention </w:t>
      </w:r>
      <w:r w:rsidR="00194B8A">
        <w:rPr>
          <w:rFonts w:eastAsia="Times New Roman"/>
          <w:b/>
          <w:bCs/>
        </w:rPr>
        <w:t xml:space="preserve">n’a lieu de façon </w:t>
      </w:r>
      <w:r w:rsidRPr="00447C7B">
        <w:rPr>
          <w:rFonts w:eastAsia="Times New Roman"/>
          <w:b/>
          <w:bCs/>
        </w:rPr>
        <w:t>arbitraire</w:t>
      </w:r>
      <w:r w:rsidR="00194B8A">
        <w:rPr>
          <w:rFonts w:eastAsia="Times New Roman"/>
          <w:b/>
          <w:bCs/>
        </w:rPr>
        <w:t>,</w:t>
      </w:r>
      <w:r w:rsidRPr="00447C7B">
        <w:rPr>
          <w:rFonts w:eastAsia="Times New Roman"/>
          <w:b/>
          <w:bCs/>
        </w:rPr>
        <w:t xml:space="preserve"> et que les détenus </w:t>
      </w:r>
      <w:r w:rsidR="00194B8A">
        <w:rPr>
          <w:rFonts w:eastAsia="Times New Roman"/>
          <w:b/>
          <w:bCs/>
        </w:rPr>
        <w:t>disposent</w:t>
      </w:r>
      <w:r w:rsidRPr="00447C7B">
        <w:rPr>
          <w:rFonts w:eastAsia="Times New Roman"/>
          <w:b/>
          <w:bCs/>
        </w:rPr>
        <w:t xml:space="preserve"> de toutes les garanties juridiques, conformément aux </w:t>
      </w:r>
      <w:r w:rsidRPr="00243122">
        <w:rPr>
          <w:rFonts w:eastAsia="Times New Roman"/>
          <w:b/>
          <w:bCs/>
        </w:rPr>
        <w:t>articles 9 et 14 du Pacte</w:t>
      </w:r>
      <w:r w:rsidRPr="00447C7B">
        <w:rPr>
          <w:rFonts w:eastAsia="Times New Roman"/>
          <w:b/>
          <w:bCs/>
        </w:rPr>
        <w:t xml:space="preserve"> ; b) que tous les cas d’arrestation arbitraire </w:t>
      </w:r>
      <w:r w:rsidR="00194B8A">
        <w:rPr>
          <w:rFonts w:eastAsia="Times New Roman"/>
          <w:b/>
          <w:bCs/>
        </w:rPr>
        <w:t>font</w:t>
      </w:r>
      <w:r w:rsidRPr="00447C7B">
        <w:rPr>
          <w:rFonts w:eastAsia="Times New Roman"/>
          <w:b/>
          <w:bCs/>
        </w:rPr>
        <w:t xml:space="preserve"> l’objet d’enquêtes et de sanctions disciplinaires ou </w:t>
      </w:r>
      <w:r w:rsidR="00194B8A">
        <w:rPr>
          <w:rFonts w:eastAsia="Times New Roman"/>
          <w:b/>
          <w:bCs/>
        </w:rPr>
        <w:t xml:space="preserve">de </w:t>
      </w:r>
      <w:r w:rsidRPr="00447C7B">
        <w:rPr>
          <w:rFonts w:eastAsia="Times New Roman"/>
          <w:b/>
          <w:bCs/>
        </w:rPr>
        <w:t>poursuites judiciaires</w:t>
      </w:r>
      <w:r w:rsidR="0033303A">
        <w:rPr>
          <w:rFonts w:eastAsia="Times New Roman"/>
          <w:b/>
          <w:bCs/>
        </w:rPr>
        <w:t>,</w:t>
      </w:r>
      <w:r w:rsidRPr="00447C7B">
        <w:rPr>
          <w:rFonts w:eastAsia="Times New Roman"/>
          <w:b/>
          <w:bCs/>
        </w:rPr>
        <w:t xml:space="preserve"> </w:t>
      </w:r>
      <w:r w:rsidR="0033303A">
        <w:rPr>
          <w:rFonts w:eastAsia="Times New Roman"/>
          <w:b/>
          <w:bCs/>
        </w:rPr>
        <w:t>et donnent lieu à des</w:t>
      </w:r>
      <w:r w:rsidRPr="00447C7B">
        <w:rPr>
          <w:rFonts w:eastAsia="Times New Roman"/>
          <w:b/>
          <w:bCs/>
        </w:rPr>
        <w:t xml:space="preserve"> indemnisation</w:t>
      </w:r>
      <w:r w:rsidR="0033303A">
        <w:rPr>
          <w:rFonts w:eastAsia="Times New Roman"/>
          <w:b/>
          <w:bCs/>
        </w:rPr>
        <w:t>s, le cas échéant</w:t>
      </w:r>
      <w:r w:rsidRPr="00447C7B">
        <w:rPr>
          <w:rFonts w:eastAsia="Times New Roman"/>
          <w:b/>
          <w:bCs/>
        </w:rPr>
        <w:t xml:space="preserve"> ; et </w:t>
      </w:r>
      <w:r w:rsidR="0033303A">
        <w:rPr>
          <w:rFonts w:eastAsia="Times New Roman"/>
          <w:b/>
          <w:bCs/>
        </w:rPr>
        <w:t>c)</w:t>
      </w:r>
      <w:r w:rsidRPr="00447C7B">
        <w:rPr>
          <w:rFonts w:eastAsia="Times New Roman"/>
          <w:b/>
          <w:bCs/>
        </w:rPr>
        <w:t xml:space="preserve"> </w:t>
      </w:r>
      <w:r w:rsidR="00194B8A">
        <w:rPr>
          <w:rFonts w:eastAsia="Times New Roman"/>
          <w:b/>
          <w:bCs/>
        </w:rPr>
        <w:t>que le</w:t>
      </w:r>
      <w:r w:rsidRPr="00447C7B">
        <w:rPr>
          <w:rFonts w:eastAsia="Times New Roman"/>
          <w:b/>
          <w:bCs/>
        </w:rPr>
        <w:t xml:space="preserve"> Code de procédure pénale </w:t>
      </w:r>
      <w:r w:rsidR="00194B8A">
        <w:rPr>
          <w:rFonts w:eastAsia="Times New Roman"/>
          <w:b/>
          <w:bCs/>
        </w:rPr>
        <w:t>est respecté en ce qui a trait aux</w:t>
      </w:r>
      <w:r w:rsidRPr="00447C7B">
        <w:rPr>
          <w:rFonts w:eastAsia="Times New Roman"/>
          <w:b/>
          <w:bCs/>
        </w:rPr>
        <w:t xml:space="preserve"> délais de</w:t>
      </w:r>
      <w:r w:rsidR="0033303A">
        <w:rPr>
          <w:rFonts w:eastAsia="Times New Roman"/>
          <w:b/>
          <w:bCs/>
        </w:rPr>
        <w:t xml:space="preserve"> garde à vue et de</w:t>
      </w:r>
      <w:r w:rsidRPr="00447C7B">
        <w:rPr>
          <w:rFonts w:eastAsia="Times New Roman"/>
          <w:b/>
          <w:bCs/>
        </w:rPr>
        <w:t xml:space="preserve"> détention préventive. </w:t>
      </w:r>
    </w:p>
    <w:p w14:paraId="4A044EC7" w14:textId="424B30C1" w:rsidR="00447C7B" w:rsidRPr="00447C7B" w:rsidRDefault="00447C7B" w:rsidP="00447C7B">
      <w:pPr>
        <w:pStyle w:val="H23G"/>
      </w:pPr>
      <w:r>
        <w:tab/>
      </w:r>
      <w:r>
        <w:tab/>
      </w:r>
      <w:r w:rsidRPr="00447C7B">
        <w:t>Traitement des réfugiés et des personnes déplacées</w:t>
      </w:r>
    </w:p>
    <w:p w14:paraId="224F049B" w14:textId="06A99601" w:rsidR="00447C7B" w:rsidRPr="00447C7B" w:rsidRDefault="00447C7B" w:rsidP="00B45022">
      <w:pPr>
        <w:spacing w:after="120"/>
        <w:ind w:left="1134" w:right="1134"/>
        <w:jc w:val="both"/>
        <w:rPr>
          <w:rFonts w:eastAsia="Times New Roman"/>
        </w:rPr>
      </w:pPr>
      <w:r w:rsidRPr="00447C7B">
        <w:rPr>
          <w:rFonts w:eastAsia="Times New Roman"/>
        </w:rPr>
        <w:t>38.</w:t>
      </w:r>
      <w:r w:rsidRPr="00447C7B">
        <w:rPr>
          <w:rFonts w:eastAsia="Times New Roman"/>
        </w:rPr>
        <w:tab/>
        <w:t xml:space="preserve">Tout en saluant l’hospitalité </w:t>
      </w:r>
      <w:r w:rsidR="00194B8A">
        <w:rPr>
          <w:rFonts w:eastAsia="Times New Roman"/>
        </w:rPr>
        <w:t xml:space="preserve">de l’État partie </w:t>
      </w:r>
      <w:r w:rsidRPr="00447C7B">
        <w:rPr>
          <w:rFonts w:eastAsia="Times New Roman"/>
        </w:rPr>
        <w:t xml:space="preserve">et les efforts </w:t>
      </w:r>
      <w:r w:rsidR="00194B8A">
        <w:rPr>
          <w:rFonts w:eastAsia="Times New Roman"/>
        </w:rPr>
        <w:t>qu’il consent</w:t>
      </w:r>
      <w:r w:rsidRPr="00447C7B">
        <w:rPr>
          <w:rFonts w:eastAsia="Times New Roman"/>
        </w:rPr>
        <w:t xml:space="preserve"> vis-à-vis des réfugiés</w:t>
      </w:r>
      <w:r w:rsidR="00194B8A">
        <w:rPr>
          <w:rFonts w:eastAsia="Times New Roman"/>
        </w:rPr>
        <w:t>,</w:t>
      </w:r>
      <w:r w:rsidRPr="00447C7B">
        <w:rPr>
          <w:rFonts w:eastAsia="Times New Roman"/>
        </w:rPr>
        <w:t xml:space="preserve"> </w:t>
      </w:r>
      <w:r w:rsidR="00B45022">
        <w:rPr>
          <w:rFonts w:eastAsia="Times New Roman"/>
        </w:rPr>
        <w:t xml:space="preserve">des </w:t>
      </w:r>
      <w:r w:rsidRPr="00447C7B">
        <w:rPr>
          <w:rFonts w:eastAsia="Times New Roman"/>
        </w:rPr>
        <w:t xml:space="preserve">demandeurs d’asile et </w:t>
      </w:r>
      <w:r w:rsidR="00B45022">
        <w:rPr>
          <w:rFonts w:eastAsia="Times New Roman"/>
        </w:rPr>
        <w:t xml:space="preserve">des </w:t>
      </w:r>
      <w:r w:rsidRPr="00447C7B">
        <w:rPr>
          <w:rFonts w:eastAsia="Times New Roman"/>
        </w:rPr>
        <w:t xml:space="preserve">migrants </w:t>
      </w:r>
      <w:r w:rsidR="00B45022">
        <w:rPr>
          <w:rFonts w:eastAsia="Times New Roman"/>
        </w:rPr>
        <w:t>qui traversent</w:t>
      </w:r>
      <w:r w:rsidRPr="00447C7B">
        <w:rPr>
          <w:rFonts w:eastAsia="Times New Roman"/>
        </w:rPr>
        <w:t xml:space="preserve"> son territoire en route vers la Méditerranée, le Comité exprime ses préoccupations quant à la </w:t>
      </w:r>
      <w:r w:rsidRPr="00243122">
        <w:rPr>
          <w:rFonts w:eastAsia="Times New Roman"/>
        </w:rPr>
        <w:t xml:space="preserve">loi </w:t>
      </w:r>
      <w:r w:rsidR="00194B8A" w:rsidRPr="00243122">
        <w:rPr>
          <w:rFonts w:eastAsia="Times New Roman"/>
        </w:rPr>
        <w:t>n</w:t>
      </w:r>
      <w:r w:rsidR="00194B8A" w:rsidRPr="00D542DC">
        <w:rPr>
          <w:rFonts w:eastAsia="Times New Roman"/>
          <w:vertAlign w:val="superscript"/>
        </w:rPr>
        <w:t>o</w:t>
      </w:r>
      <w:r w:rsidR="00194B8A" w:rsidRPr="00243122">
        <w:rPr>
          <w:rFonts w:eastAsia="Times New Roman"/>
        </w:rPr>
        <w:t> 2015-36 du 26 mai 2015</w:t>
      </w:r>
      <w:r w:rsidR="00194B8A">
        <w:rPr>
          <w:rFonts w:eastAsia="Times New Roman"/>
        </w:rPr>
        <w:t xml:space="preserve"> </w:t>
      </w:r>
      <w:r w:rsidRPr="00447C7B">
        <w:rPr>
          <w:rFonts w:eastAsia="Times New Roman"/>
        </w:rPr>
        <w:t>relative au trafic illicite de migrants, qui aurait entraîné une interdiction de facto des déplacements au nord d’Agadez</w:t>
      </w:r>
      <w:r w:rsidR="00194B8A">
        <w:rPr>
          <w:rFonts w:eastAsia="Times New Roman"/>
        </w:rPr>
        <w:t xml:space="preserve"> et</w:t>
      </w:r>
      <w:r w:rsidRPr="00447C7B">
        <w:rPr>
          <w:rFonts w:eastAsia="Times New Roman"/>
        </w:rPr>
        <w:t xml:space="preserve"> ainsi </w:t>
      </w:r>
      <w:r w:rsidR="00194B8A">
        <w:rPr>
          <w:rFonts w:eastAsia="Times New Roman"/>
        </w:rPr>
        <w:t xml:space="preserve">poussé </w:t>
      </w:r>
      <w:r w:rsidRPr="00447C7B">
        <w:rPr>
          <w:rFonts w:eastAsia="Times New Roman"/>
        </w:rPr>
        <w:t>les migrants à vivre dans la clandestinité</w:t>
      </w:r>
      <w:r w:rsidR="00194B8A">
        <w:rPr>
          <w:rFonts w:eastAsia="Times New Roman"/>
        </w:rPr>
        <w:t>,</w:t>
      </w:r>
      <w:r w:rsidRPr="00447C7B">
        <w:rPr>
          <w:rFonts w:eastAsia="Times New Roman"/>
        </w:rPr>
        <w:t xml:space="preserve"> dans des conditions les exposant à de nombreux abus et violations des droits de l’homme. Reconnaissant les efforts de l’</w:t>
      </w:r>
      <w:r w:rsidR="00194B8A">
        <w:rPr>
          <w:rFonts w:eastAsia="Times New Roman"/>
        </w:rPr>
        <w:t>É</w:t>
      </w:r>
      <w:r w:rsidRPr="00447C7B">
        <w:rPr>
          <w:rFonts w:eastAsia="Times New Roman"/>
        </w:rPr>
        <w:t>tat partie, de concert avec des organisations internationales, pour assurer le retour volontaire de migrants d’Afrique de l’</w:t>
      </w:r>
      <w:r w:rsidR="00194B8A">
        <w:rPr>
          <w:rFonts w:eastAsia="Times New Roman"/>
        </w:rPr>
        <w:t>O</w:t>
      </w:r>
      <w:r w:rsidRPr="00447C7B">
        <w:rPr>
          <w:rFonts w:eastAsia="Times New Roman"/>
        </w:rPr>
        <w:t xml:space="preserve">uest, le Comité s’inquiète </w:t>
      </w:r>
      <w:r w:rsidR="00A20616">
        <w:rPr>
          <w:rFonts w:eastAsia="Times New Roman"/>
        </w:rPr>
        <w:t>toutefois</w:t>
      </w:r>
      <w:r w:rsidRPr="00447C7B">
        <w:rPr>
          <w:rFonts w:eastAsia="Times New Roman"/>
        </w:rPr>
        <w:t xml:space="preserve"> </w:t>
      </w:r>
      <w:r w:rsidR="00A20616">
        <w:rPr>
          <w:rFonts w:eastAsia="Times New Roman"/>
        </w:rPr>
        <w:t>du fait</w:t>
      </w:r>
      <w:r w:rsidRPr="00447C7B">
        <w:rPr>
          <w:rFonts w:eastAsia="Times New Roman"/>
        </w:rPr>
        <w:t xml:space="preserve"> que de nombreuses victimes de torture et d’autres peines ou traitements cruels, inhumains ou dégradants</w:t>
      </w:r>
      <w:r w:rsidR="00A20616">
        <w:rPr>
          <w:rFonts w:eastAsia="Times New Roman"/>
        </w:rPr>
        <w:t>,</w:t>
      </w:r>
      <w:r w:rsidRPr="00447C7B">
        <w:rPr>
          <w:rFonts w:eastAsia="Times New Roman"/>
        </w:rPr>
        <w:t xml:space="preserve"> souffrant </w:t>
      </w:r>
      <w:r w:rsidR="00A20616">
        <w:rPr>
          <w:rFonts w:eastAsia="Times New Roman"/>
        </w:rPr>
        <w:t xml:space="preserve">en outre </w:t>
      </w:r>
      <w:r w:rsidRPr="00447C7B">
        <w:rPr>
          <w:rFonts w:eastAsia="Times New Roman"/>
        </w:rPr>
        <w:t>de traumatismes physiques et psychologiques, pourraient être renvoyées vers des pays où elles risqueraient de subir de mauvais traitements, en violation du principe de non</w:t>
      </w:r>
      <w:r w:rsidR="00A20616">
        <w:rPr>
          <w:rFonts w:eastAsia="Times New Roman"/>
        </w:rPr>
        <w:t>-</w:t>
      </w:r>
      <w:r w:rsidRPr="00447C7B">
        <w:rPr>
          <w:rFonts w:eastAsia="Times New Roman"/>
        </w:rPr>
        <w:t>refoulement (art. 7, 9, 12 et 13).</w:t>
      </w:r>
    </w:p>
    <w:p w14:paraId="4C707FC1" w14:textId="076E884A" w:rsidR="00447C7B" w:rsidRPr="00447C7B" w:rsidRDefault="00447C7B" w:rsidP="00B45022">
      <w:pPr>
        <w:spacing w:after="120"/>
        <w:ind w:left="1134" w:right="1134"/>
        <w:jc w:val="both"/>
        <w:rPr>
          <w:rFonts w:eastAsia="Times New Roman"/>
          <w:b/>
          <w:bCs/>
        </w:rPr>
      </w:pPr>
      <w:r w:rsidRPr="00447C7B">
        <w:rPr>
          <w:rFonts w:eastAsia="Times New Roman"/>
        </w:rPr>
        <w:t>39.</w:t>
      </w:r>
      <w:r w:rsidRPr="00447C7B">
        <w:rPr>
          <w:rFonts w:eastAsia="Times New Roman"/>
        </w:rPr>
        <w:tab/>
      </w:r>
      <w:r w:rsidRPr="00447C7B">
        <w:rPr>
          <w:rFonts w:eastAsia="Times New Roman"/>
          <w:b/>
          <w:bCs/>
        </w:rPr>
        <w:t xml:space="preserve">L’État partie devrait : a) s’assurer que ses procédures de détermination du statut de réfugié sont </w:t>
      </w:r>
      <w:r w:rsidR="00A20616">
        <w:rPr>
          <w:rFonts w:eastAsia="Times New Roman"/>
          <w:b/>
          <w:bCs/>
        </w:rPr>
        <w:t>conformes aux normes internationales</w:t>
      </w:r>
      <w:r w:rsidRPr="00447C7B">
        <w:rPr>
          <w:rFonts w:eastAsia="Times New Roman"/>
          <w:b/>
          <w:bCs/>
        </w:rPr>
        <w:t xml:space="preserve">, et </w:t>
      </w:r>
      <w:r w:rsidR="00A20616">
        <w:rPr>
          <w:rFonts w:eastAsia="Times New Roman"/>
          <w:b/>
          <w:bCs/>
        </w:rPr>
        <w:t>dispenser</w:t>
      </w:r>
      <w:r w:rsidRPr="00447C7B">
        <w:rPr>
          <w:rFonts w:eastAsia="Times New Roman"/>
          <w:b/>
          <w:bCs/>
        </w:rPr>
        <w:t xml:space="preserve"> une formation adaptée aux agents de surveillance des frontières et aux autres fonctionnaires compétents</w:t>
      </w:r>
      <w:r w:rsidR="00A20616">
        <w:rPr>
          <w:rFonts w:eastAsia="Times New Roman"/>
          <w:b/>
          <w:bCs/>
        </w:rPr>
        <w:t> </w:t>
      </w:r>
      <w:r w:rsidRPr="00447C7B">
        <w:rPr>
          <w:rFonts w:eastAsia="Times New Roman"/>
          <w:b/>
          <w:bCs/>
        </w:rPr>
        <w:t xml:space="preserve">; b) respecter strictement l’interdiction absolue du refoulement découlant des articles 6 et 7 du Pacte ; et c) </w:t>
      </w:r>
      <w:r w:rsidR="009B29AE">
        <w:rPr>
          <w:rFonts w:eastAsia="Times New Roman"/>
          <w:b/>
          <w:bCs/>
        </w:rPr>
        <w:t>mener</w:t>
      </w:r>
      <w:r w:rsidRPr="00447C7B">
        <w:rPr>
          <w:rFonts w:eastAsia="Times New Roman"/>
          <w:b/>
          <w:bCs/>
        </w:rPr>
        <w:t xml:space="preserve"> des enquêtes impartiales et </w:t>
      </w:r>
      <w:r w:rsidR="009B29AE">
        <w:rPr>
          <w:rFonts w:eastAsia="Times New Roman"/>
          <w:b/>
          <w:bCs/>
        </w:rPr>
        <w:t xml:space="preserve">offrir </w:t>
      </w:r>
      <w:r w:rsidRPr="00447C7B">
        <w:rPr>
          <w:rFonts w:eastAsia="Times New Roman"/>
          <w:b/>
          <w:bCs/>
        </w:rPr>
        <w:t>des recours utiles aux migrants dont les droits auraient été violés.</w:t>
      </w:r>
    </w:p>
    <w:p w14:paraId="023F2CF6" w14:textId="5F703991" w:rsidR="00447C7B" w:rsidRPr="00447C7B" w:rsidRDefault="00447C7B" w:rsidP="00447C7B">
      <w:pPr>
        <w:pStyle w:val="H23G"/>
      </w:pPr>
      <w:r>
        <w:lastRenderedPageBreak/>
        <w:tab/>
      </w:r>
      <w:r>
        <w:tab/>
      </w:r>
      <w:r w:rsidRPr="00447C7B">
        <w:t>Indépendance du pouvoir judiciaire et administration de la justice</w:t>
      </w:r>
    </w:p>
    <w:p w14:paraId="4CAC7DA2" w14:textId="0DB140A9" w:rsidR="00447C7B" w:rsidRPr="00447C7B" w:rsidRDefault="00447C7B" w:rsidP="009B29AE">
      <w:pPr>
        <w:spacing w:after="120"/>
        <w:ind w:left="1134" w:right="1134"/>
        <w:jc w:val="both"/>
        <w:rPr>
          <w:rFonts w:eastAsia="Times New Roman"/>
        </w:rPr>
      </w:pPr>
      <w:r w:rsidRPr="00447C7B">
        <w:rPr>
          <w:rFonts w:eastAsia="Times New Roman"/>
        </w:rPr>
        <w:t>40.</w:t>
      </w:r>
      <w:r w:rsidRPr="00447C7B">
        <w:rPr>
          <w:rFonts w:eastAsia="Times New Roman"/>
        </w:rPr>
        <w:tab/>
        <w:t xml:space="preserve">Le Comité accueille favorablement les efforts de </w:t>
      </w:r>
      <w:r w:rsidRPr="00447C7B">
        <w:rPr>
          <w:rFonts w:eastAsia="Times New Roman"/>
          <w:lang w:val="fr-FR"/>
        </w:rPr>
        <w:t>l’</w:t>
      </w:r>
      <w:r w:rsidRPr="00447C7B">
        <w:rPr>
          <w:rFonts w:eastAsia="Times New Roman"/>
        </w:rPr>
        <w:t xml:space="preserve">État partie en matière de réforme et de modernisation de la justice, notamment la tenue </w:t>
      </w:r>
      <w:r w:rsidRPr="00243122">
        <w:rPr>
          <w:rFonts w:eastAsia="Times New Roman"/>
        </w:rPr>
        <w:t>d’états généraux de la justice en novembre 2012</w:t>
      </w:r>
      <w:r w:rsidRPr="00447C7B">
        <w:rPr>
          <w:rFonts w:eastAsia="Times New Roman"/>
        </w:rPr>
        <w:t xml:space="preserve">, ainsi que l’adoption de la loi </w:t>
      </w:r>
      <w:r w:rsidR="009B29AE">
        <w:rPr>
          <w:rFonts w:eastAsia="Times New Roman"/>
        </w:rPr>
        <w:t>n</w:t>
      </w:r>
      <w:r w:rsidR="009B29AE" w:rsidRPr="00D542DC">
        <w:rPr>
          <w:rFonts w:eastAsia="Times New Roman"/>
          <w:vertAlign w:val="superscript"/>
        </w:rPr>
        <w:t>o</w:t>
      </w:r>
      <w:r w:rsidR="009B29AE">
        <w:rPr>
          <w:rFonts w:eastAsia="Times New Roman"/>
        </w:rPr>
        <w:t> 2018-36 du 24 mai 2018</w:t>
      </w:r>
      <w:r w:rsidRPr="00447C7B">
        <w:rPr>
          <w:rFonts w:eastAsia="Times New Roman"/>
        </w:rPr>
        <w:t xml:space="preserve"> portant statut de la magistrature. Il note toutefois avec préoccupation l’insuffisance des garanties d’indépendance du pouvoir judiciaire et le rôle prééminent du pouvoir exécutif dans son organisation. Le Comité est également préoccupé par des allégations faisant état d’ingérence de l’exécutif dans les décisions judiciaires (art. 14).</w:t>
      </w:r>
    </w:p>
    <w:p w14:paraId="105C8666" w14:textId="05E985CA" w:rsidR="00447C7B" w:rsidRPr="00447C7B" w:rsidRDefault="00447C7B" w:rsidP="00AC12BE">
      <w:pPr>
        <w:spacing w:after="120"/>
        <w:ind w:left="1134" w:right="1134"/>
        <w:jc w:val="both"/>
        <w:rPr>
          <w:rFonts w:eastAsia="Times New Roman"/>
          <w:b/>
          <w:bCs/>
        </w:rPr>
      </w:pPr>
      <w:r w:rsidRPr="00447C7B">
        <w:rPr>
          <w:rFonts w:eastAsia="Times New Roman"/>
          <w:bCs/>
        </w:rPr>
        <w:t>41.</w:t>
      </w:r>
      <w:r w:rsidRPr="00447C7B">
        <w:rPr>
          <w:rFonts w:eastAsia="Times New Roman"/>
          <w:bCs/>
        </w:rPr>
        <w:tab/>
      </w:r>
      <w:r w:rsidRPr="00447C7B">
        <w:rPr>
          <w:rFonts w:eastAsia="Times New Roman"/>
          <w:b/>
        </w:rPr>
        <w:t>L’</w:t>
      </w:r>
      <w:r w:rsidRPr="00447C7B">
        <w:rPr>
          <w:rFonts w:eastAsia="Times New Roman"/>
          <w:b/>
          <w:bCs/>
        </w:rPr>
        <w:t xml:space="preserve">État partie devrait consacrer le principe de l’indépendance de la magistrature, garanti dans </w:t>
      </w:r>
      <w:r w:rsidR="00AC12BE" w:rsidRPr="00243122">
        <w:rPr>
          <w:rFonts w:eastAsia="Times New Roman"/>
          <w:b/>
          <w:bCs/>
        </w:rPr>
        <w:t xml:space="preserve">l’article 116 de </w:t>
      </w:r>
      <w:r w:rsidRPr="00243122">
        <w:rPr>
          <w:rFonts w:eastAsia="Times New Roman"/>
          <w:b/>
          <w:bCs/>
        </w:rPr>
        <w:t>sa Constitution</w:t>
      </w:r>
      <w:r w:rsidRPr="00447C7B">
        <w:rPr>
          <w:rFonts w:eastAsia="Times New Roman"/>
          <w:b/>
          <w:bCs/>
        </w:rPr>
        <w:t>, en veillant à la nomination indépendante des magistrats du siège et du parquet sur la base de critères objectifs et transparents permettant d’apprécier les qualités des candidats, conformément aux exigences d’aptitude, de compétence et de respectabilité. Il devrait également</w:t>
      </w:r>
      <w:r w:rsidRPr="00447C7B">
        <w:rPr>
          <w:rFonts w:eastAsia="Times New Roman"/>
          <w:b/>
        </w:rPr>
        <w:t xml:space="preserve"> garantir la stabilité et l’indépendance des magistrats du siège et l’autonomie des magistrats du parquet, en préservant</w:t>
      </w:r>
      <w:r w:rsidRPr="00447C7B">
        <w:rPr>
          <w:rFonts w:eastAsia="Times New Roman"/>
        </w:rPr>
        <w:t xml:space="preserve"> </w:t>
      </w:r>
      <w:r w:rsidRPr="00447C7B">
        <w:rPr>
          <w:rFonts w:eastAsia="Times New Roman"/>
          <w:b/>
        </w:rPr>
        <w:t>le fonctionnement du pouvoir judiciaire de toute ingérence.</w:t>
      </w:r>
    </w:p>
    <w:p w14:paraId="3F8B9AF4" w14:textId="6ABE4104" w:rsidR="00447C7B" w:rsidRPr="00447C7B" w:rsidRDefault="00447C7B" w:rsidP="00447C7B">
      <w:pPr>
        <w:pStyle w:val="H23G"/>
      </w:pPr>
      <w:r>
        <w:tab/>
      </w:r>
      <w:r>
        <w:tab/>
      </w:r>
      <w:r w:rsidRPr="00447C7B">
        <w:t>Libertés d’expression et de réunion, protection des journalistes et des défenseurs des</w:t>
      </w:r>
      <w:r w:rsidR="00F97C1C">
        <w:t> </w:t>
      </w:r>
      <w:r w:rsidRPr="00447C7B">
        <w:t>droits de l’homme</w:t>
      </w:r>
    </w:p>
    <w:p w14:paraId="69C46791" w14:textId="28266C81" w:rsidR="00447C7B" w:rsidRPr="00447C7B" w:rsidRDefault="00447C7B" w:rsidP="00463167">
      <w:pPr>
        <w:suppressAutoHyphens w:val="0"/>
        <w:kinsoku/>
        <w:overflowPunct/>
        <w:autoSpaceDE/>
        <w:autoSpaceDN/>
        <w:adjustRightInd/>
        <w:snapToGrid/>
        <w:spacing w:after="200" w:line="276" w:lineRule="auto"/>
        <w:ind w:left="1134" w:right="1087"/>
        <w:jc w:val="both"/>
        <w:rPr>
          <w:rFonts w:eastAsia="Times New Roman"/>
        </w:rPr>
      </w:pPr>
      <w:r w:rsidRPr="00447C7B">
        <w:rPr>
          <w:rFonts w:eastAsia="Times New Roman"/>
        </w:rPr>
        <w:t>42.</w:t>
      </w:r>
      <w:r>
        <w:rPr>
          <w:rFonts w:eastAsia="Times New Roman"/>
        </w:rPr>
        <w:tab/>
      </w:r>
      <w:r w:rsidRPr="00D542DC">
        <w:rPr>
          <w:rFonts w:eastAsia="Times New Roman"/>
          <w:spacing w:val="-2"/>
        </w:rPr>
        <w:t>Tout en notant les explications de l’</w:t>
      </w:r>
      <w:r w:rsidR="00AC12BE">
        <w:rPr>
          <w:rFonts w:eastAsia="Times New Roman"/>
          <w:spacing w:val="-2"/>
        </w:rPr>
        <w:t>É</w:t>
      </w:r>
      <w:r w:rsidRPr="00D542DC">
        <w:rPr>
          <w:rFonts w:eastAsia="Times New Roman"/>
          <w:spacing w:val="-2"/>
        </w:rPr>
        <w:t>tat partie, et saluant l’adoption de l’</w:t>
      </w:r>
      <w:r w:rsidR="00AC12BE" w:rsidRPr="00243122">
        <w:rPr>
          <w:rFonts w:eastAsia="Times New Roman"/>
          <w:spacing w:val="-2"/>
        </w:rPr>
        <w:t>o</w:t>
      </w:r>
      <w:r w:rsidRPr="00D542DC">
        <w:rPr>
          <w:rFonts w:eastAsia="Times New Roman"/>
          <w:spacing w:val="-2"/>
        </w:rPr>
        <w:t>rdonnance n</w:t>
      </w:r>
      <w:r w:rsidR="00AC12BE" w:rsidRPr="00D542DC">
        <w:rPr>
          <w:rFonts w:eastAsia="Times New Roman"/>
          <w:spacing w:val="-2"/>
          <w:vertAlign w:val="superscript"/>
        </w:rPr>
        <w:t>o</w:t>
      </w:r>
      <w:r w:rsidR="00AC12BE" w:rsidRPr="00243122">
        <w:rPr>
          <w:rFonts w:eastAsia="Times New Roman"/>
          <w:spacing w:val="-2"/>
        </w:rPr>
        <w:t> </w:t>
      </w:r>
      <w:r w:rsidRPr="00D542DC">
        <w:rPr>
          <w:rFonts w:eastAsia="Times New Roman"/>
          <w:spacing w:val="-2"/>
        </w:rPr>
        <w:t>2010-35</w:t>
      </w:r>
      <w:r w:rsidR="00AC12BE" w:rsidRPr="00243122">
        <w:rPr>
          <w:rFonts w:eastAsia="Times New Roman"/>
          <w:spacing w:val="-2"/>
        </w:rPr>
        <w:t xml:space="preserve"> du 4 juin 2010</w:t>
      </w:r>
      <w:r w:rsidRPr="00D542DC">
        <w:rPr>
          <w:rFonts w:eastAsia="Times New Roman"/>
          <w:spacing w:val="-2"/>
        </w:rPr>
        <w:t xml:space="preserve"> portant régime de la liberté de la presse, le Comité exprime ses préoccupations quant aux informations faisant état de la suspension, en mars 2018, de la radio-télévision privée </w:t>
      </w:r>
      <w:proofErr w:type="spellStart"/>
      <w:r w:rsidRPr="00D542DC">
        <w:rPr>
          <w:rFonts w:eastAsia="Times New Roman"/>
          <w:spacing w:val="-2"/>
        </w:rPr>
        <w:t>Labari</w:t>
      </w:r>
      <w:proofErr w:type="spellEnd"/>
      <w:r w:rsidRPr="00D542DC">
        <w:rPr>
          <w:rFonts w:eastAsia="Times New Roman"/>
          <w:spacing w:val="-2"/>
        </w:rPr>
        <w:t xml:space="preserve">, pour avoir refusé de livrer à la police la copie de son journal télévisé, qui traitait d’une manifestation tenue à Niamey. Le Comité s’inquiète en outre d’allégations d’arrestations arbitraires de journalistes, de défenseurs des droits de l’homme, de membres de l’opposition politique ainsi que d’enseignants et d’étudiants en 2017 et </w:t>
      </w:r>
      <w:r w:rsidR="00463167">
        <w:rPr>
          <w:rFonts w:eastAsia="Times New Roman"/>
          <w:spacing w:val="-2"/>
        </w:rPr>
        <w:t xml:space="preserve">en </w:t>
      </w:r>
      <w:r w:rsidRPr="00D542DC">
        <w:rPr>
          <w:rFonts w:eastAsia="Times New Roman"/>
          <w:spacing w:val="-2"/>
        </w:rPr>
        <w:t>2018, et d’informations faisant état d’</w:t>
      </w:r>
      <w:r w:rsidR="00463167">
        <w:rPr>
          <w:rFonts w:eastAsia="Times New Roman"/>
          <w:spacing w:val="-2"/>
        </w:rPr>
        <w:t xml:space="preserve">un </w:t>
      </w:r>
      <w:r w:rsidRPr="00D542DC">
        <w:rPr>
          <w:rFonts w:eastAsia="Times New Roman"/>
          <w:spacing w:val="-2"/>
        </w:rPr>
        <w:t>usage excessif de la force par des agents des services de police pour disperser les manifestations. Il exprime également sa préoccupation relative à des interdictions, par les autorités municipales, de manifestations pourtant préalablement autorisées judiciairement (art. 2, 6, 7, 14, 19 et 21).</w:t>
      </w:r>
    </w:p>
    <w:p w14:paraId="2EC61937" w14:textId="7811BDBB" w:rsidR="00447C7B" w:rsidRPr="00447C7B" w:rsidRDefault="00447C7B" w:rsidP="008C2092">
      <w:pPr>
        <w:spacing w:after="120"/>
        <w:ind w:left="1134" w:right="1134"/>
        <w:jc w:val="both"/>
        <w:rPr>
          <w:rFonts w:eastAsia="Times New Roman"/>
          <w:b/>
          <w:bCs/>
        </w:rPr>
      </w:pPr>
      <w:r w:rsidRPr="00447C7B">
        <w:rPr>
          <w:rFonts w:eastAsia="Times New Roman"/>
        </w:rPr>
        <w:t>43.</w:t>
      </w:r>
      <w:r w:rsidRPr="00447C7B">
        <w:rPr>
          <w:rFonts w:eastAsia="Times New Roman"/>
        </w:rPr>
        <w:tab/>
      </w:r>
      <w:r w:rsidRPr="00447C7B">
        <w:rPr>
          <w:rFonts w:eastAsia="Times New Roman"/>
          <w:b/>
          <w:bCs/>
        </w:rPr>
        <w:t>À la lumière de l’observation générale n</w:t>
      </w:r>
      <w:r w:rsidRPr="00D542DC">
        <w:rPr>
          <w:rFonts w:eastAsia="Times New Roman"/>
          <w:b/>
          <w:bCs/>
          <w:vertAlign w:val="superscript"/>
        </w:rPr>
        <w:t>o</w:t>
      </w:r>
      <w:r w:rsidRPr="00447C7B">
        <w:rPr>
          <w:rFonts w:eastAsia="Times New Roman"/>
          <w:b/>
          <w:bCs/>
        </w:rPr>
        <w:t xml:space="preserve"> 34 (2011) du Comité sur la liberté d’opinion et la liberté d’expression, l’État partie devrait : a) s’assurer que toute restriction imposée aux activités de la presse et des </w:t>
      </w:r>
      <w:proofErr w:type="spellStart"/>
      <w:r w:rsidRPr="00447C7B">
        <w:rPr>
          <w:rFonts w:eastAsia="Times New Roman"/>
          <w:b/>
          <w:bCs/>
        </w:rPr>
        <w:t>médias</w:t>
      </w:r>
      <w:proofErr w:type="spellEnd"/>
      <w:r w:rsidRPr="00447C7B">
        <w:rPr>
          <w:rFonts w:eastAsia="Times New Roman"/>
          <w:b/>
          <w:bCs/>
        </w:rPr>
        <w:t xml:space="preserve"> </w:t>
      </w:r>
      <w:r w:rsidR="007400D1">
        <w:rPr>
          <w:rFonts w:eastAsia="Times New Roman"/>
          <w:b/>
          <w:bCs/>
        </w:rPr>
        <w:t>est</w:t>
      </w:r>
      <w:r w:rsidRPr="00447C7B">
        <w:rPr>
          <w:rFonts w:eastAsia="Times New Roman"/>
          <w:b/>
          <w:bCs/>
        </w:rPr>
        <w:t xml:space="preserve"> strictement conforme aux dispositions </w:t>
      </w:r>
      <w:r w:rsidRPr="00243122">
        <w:rPr>
          <w:rFonts w:eastAsia="Times New Roman"/>
          <w:b/>
          <w:bCs/>
        </w:rPr>
        <w:t>du paragraphe 3 de l’article 19 du Pacte ;</w:t>
      </w:r>
      <w:r w:rsidRPr="00447C7B">
        <w:rPr>
          <w:rFonts w:eastAsia="Times New Roman"/>
          <w:b/>
          <w:bCs/>
        </w:rPr>
        <w:t xml:space="preserve"> b) veiller à ce que ses agents évitent toute atteinte injustifiée ou disproportionnée à la liberté d’expression des </w:t>
      </w:r>
      <w:proofErr w:type="spellStart"/>
      <w:r w:rsidRPr="00447C7B">
        <w:rPr>
          <w:rFonts w:eastAsia="Times New Roman"/>
          <w:b/>
          <w:bCs/>
        </w:rPr>
        <w:t>médias</w:t>
      </w:r>
      <w:proofErr w:type="spellEnd"/>
      <w:r w:rsidRPr="00447C7B">
        <w:rPr>
          <w:rFonts w:eastAsia="Times New Roman"/>
          <w:b/>
          <w:bCs/>
        </w:rPr>
        <w:t>, protéger les journalistes contre toute forme de mauvais traitement</w:t>
      </w:r>
      <w:r w:rsidR="007400D1">
        <w:rPr>
          <w:rFonts w:eastAsia="Times New Roman"/>
          <w:b/>
          <w:bCs/>
        </w:rPr>
        <w:t>,</w:t>
      </w:r>
      <w:r w:rsidRPr="00447C7B">
        <w:rPr>
          <w:rFonts w:eastAsia="Times New Roman"/>
          <w:b/>
          <w:bCs/>
        </w:rPr>
        <w:t xml:space="preserve"> et enquêter</w:t>
      </w:r>
      <w:r w:rsidR="007400D1">
        <w:rPr>
          <w:rFonts w:eastAsia="Times New Roman"/>
          <w:b/>
          <w:bCs/>
        </w:rPr>
        <w:t xml:space="preserve"> sur de tels actes afin d’en</w:t>
      </w:r>
      <w:r w:rsidRPr="00447C7B">
        <w:rPr>
          <w:rFonts w:eastAsia="Times New Roman"/>
          <w:b/>
          <w:bCs/>
        </w:rPr>
        <w:t xml:space="preserve"> poursuivre et </w:t>
      </w:r>
      <w:r w:rsidR="007400D1">
        <w:rPr>
          <w:rFonts w:eastAsia="Times New Roman"/>
          <w:b/>
          <w:bCs/>
        </w:rPr>
        <w:t xml:space="preserve">d’en </w:t>
      </w:r>
      <w:r w:rsidRPr="00447C7B">
        <w:rPr>
          <w:rFonts w:eastAsia="Times New Roman"/>
          <w:b/>
          <w:bCs/>
        </w:rPr>
        <w:t>condamner les responsables ; c)</w:t>
      </w:r>
      <w:r w:rsidR="008965B9">
        <w:rPr>
          <w:rFonts w:eastAsia="Times New Roman"/>
          <w:b/>
          <w:bCs/>
        </w:rPr>
        <w:t> </w:t>
      </w:r>
      <w:r w:rsidRPr="00447C7B">
        <w:rPr>
          <w:rFonts w:eastAsia="Times New Roman"/>
          <w:b/>
          <w:bCs/>
        </w:rPr>
        <w:t>prendre toutes les mesures nécessaires pour garantir la protection des défenseurs des droits de l’homme contre les menaces et intimidations, et enquêter</w:t>
      </w:r>
      <w:r w:rsidR="007400D1">
        <w:rPr>
          <w:rFonts w:eastAsia="Times New Roman"/>
          <w:b/>
          <w:bCs/>
        </w:rPr>
        <w:t xml:space="preserve"> sur de tels actes afin d’en</w:t>
      </w:r>
      <w:r w:rsidRPr="00447C7B">
        <w:rPr>
          <w:rFonts w:eastAsia="Times New Roman"/>
          <w:b/>
          <w:bCs/>
        </w:rPr>
        <w:t xml:space="preserve"> poursuivre et </w:t>
      </w:r>
      <w:r w:rsidR="007400D1">
        <w:rPr>
          <w:rFonts w:eastAsia="Times New Roman"/>
          <w:b/>
          <w:bCs/>
        </w:rPr>
        <w:t xml:space="preserve">d’en </w:t>
      </w:r>
      <w:r w:rsidRPr="00447C7B">
        <w:rPr>
          <w:rFonts w:eastAsia="Times New Roman"/>
          <w:b/>
          <w:bCs/>
        </w:rPr>
        <w:t xml:space="preserve">condamner les responsables ; d) </w:t>
      </w:r>
      <w:r w:rsidR="00F319CA">
        <w:rPr>
          <w:rFonts w:eastAsia="Times New Roman"/>
          <w:b/>
          <w:bCs/>
        </w:rPr>
        <w:t>a</w:t>
      </w:r>
      <w:r w:rsidR="00F319CA" w:rsidRPr="006663C0">
        <w:rPr>
          <w:rFonts w:eastAsia="Times New Roman"/>
          <w:b/>
          <w:bCs/>
        </w:rPr>
        <w:t xml:space="preserve">ccélérer le processus d’adoption du projet de loi relative à la protection des défenseurs de </w:t>
      </w:r>
      <w:r w:rsidR="00F319CA">
        <w:rPr>
          <w:rFonts w:eastAsia="Times New Roman"/>
          <w:b/>
          <w:bCs/>
        </w:rPr>
        <w:t>d</w:t>
      </w:r>
      <w:r w:rsidR="00F319CA" w:rsidRPr="00F319CA">
        <w:rPr>
          <w:rFonts w:eastAsia="Times New Roman"/>
          <w:b/>
          <w:bCs/>
        </w:rPr>
        <w:t>roits de l’</w:t>
      </w:r>
      <w:r w:rsidR="00F319CA">
        <w:rPr>
          <w:rFonts w:eastAsia="Times New Roman"/>
          <w:b/>
          <w:bCs/>
        </w:rPr>
        <w:t>h</w:t>
      </w:r>
      <w:r w:rsidR="00F319CA" w:rsidRPr="006663C0">
        <w:rPr>
          <w:rFonts w:eastAsia="Times New Roman"/>
          <w:b/>
          <w:bCs/>
        </w:rPr>
        <w:t>omme</w:t>
      </w:r>
      <w:r w:rsidR="007400D1">
        <w:rPr>
          <w:rFonts w:eastAsia="Times New Roman"/>
          <w:b/>
          <w:bCs/>
        </w:rPr>
        <w:t> </w:t>
      </w:r>
      <w:r w:rsidR="00F319CA" w:rsidRPr="006663C0">
        <w:rPr>
          <w:rFonts w:eastAsia="Times New Roman"/>
          <w:b/>
          <w:bCs/>
        </w:rPr>
        <w:t xml:space="preserve">; </w:t>
      </w:r>
      <w:r w:rsidR="00F319CA">
        <w:rPr>
          <w:rFonts w:eastAsia="Times New Roman"/>
          <w:b/>
          <w:bCs/>
        </w:rPr>
        <w:t xml:space="preserve">e) </w:t>
      </w:r>
      <w:r w:rsidRPr="00447C7B">
        <w:rPr>
          <w:rFonts w:eastAsia="Times New Roman"/>
          <w:b/>
          <w:bCs/>
        </w:rPr>
        <w:t>lever toute restriction non nécessaire à la liberté de réunion et de manifestation</w:t>
      </w:r>
      <w:r w:rsidR="007400D1">
        <w:rPr>
          <w:rFonts w:eastAsia="Times New Roman"/>
          <w:b/>
          <w:bCs/>
        </w:rPr>
        <w:t> </w:t>
      </w:r>
      <w:r w:rsidRPr="00447C7B">
        <w:rPr>
          <w:rFonts w:eastAsia="Times New Roman"/>
          <w:b/>
          <w:bCs/>
        </w:rPr>
        <w:t xml:space="preserve">; </w:t>
      </w:r>
      <w:r w:rsidR="00F319CA">
        <w:rPr>
          <w:rFonts w:eastAsia="Times New Roman"/>
          <w:b/>
          <w:bCs/>
        </w:rPr>
        <w:t>f</w:t>
      </w:r>
      <w:r w:rsidRPr="00447C7B">
        <w:rPr>
          <w:rFonts w:eastAsia="Times New Roman"/>
          <w:b/>
          <w:bCs/>
        </w:rPr>
        <w:t>)</w:t>
      </w:r>
      <w:r w:rsidR="008965B9">
        <w:rPr>
          <w:rFonts w:eastAsia="Times New Roman"/>
          <w:b/>
          <w:bCs/>
        </w:rPr>
        <w:t> </w:t>
      </w:r>
      <w:r w:rsidRPr="00447C7B">
        <w:rPr>
          <w:rFonts w:eastAsia="Times New Roman"/>
          <w:b/>
          <w:bCs/>
        </w:rPr>
        <w:t>mener promptement des enquêtes impartiales et efficaces</w:t>
      </w:r>
      <w:r w:rsidR="007400D1">
        <w:rPr>
          <w:rFonts w:eastAsia="Times New Roman"/>
          <w:b/>
          <w:bCs/>
        </w:rPr>
        <w:t>,</w:t>
      </w:r>
      <w:r w:rsidRPr="00447C7B">
        <w:rPr>
          <w:rFonts w:eastAsia="Times New Roman"/>
          <w:b/>
          <w:bCs/>
        </w:rPr>
        <w:t xml:space="preserve"> et traduire les responsables en justice, dans tous les cas où il y a eu usage excessif de la force pour disperser des manifestations ; et </w:t>
      </w:r>
      <w:r w:rsidR="00F319CA">
        <w:rPr>
          <w:rFonts w:eastAsia="Times New Roman"/>
          <w:b/>
          <w:bCs/>
        </w:rPr>
        <w:t>g</w:t>
      </w:r>
      <w:r w:rsidRPr="00447C7B">
        <w:rPr>
          <w:rFonts w:eastAsia="Times New Roman"/>
          <w:b/>
          <w:bCs/>
        </w:rPr>
        <w:t>) clarifier</w:t>
      </w:r>
      <w:r w:rsidR="00166B41">
        <w:rPr>
          <w:rFonts w:eastAsia="Times New Roman"/>
          <w:b/>
          <w:bCs/>
        </w:rPr>
        <w:t xml:space="preserve"> et, le cas échéant, réviser</w:t>
      </w:r>
      <w:r w:rsidRPr="00447C7B">
        <w:rPr>
          <w:rFonts w:eastAsia="Times New Roman"/>
          <w:b/>
          <w:bCs/>
        </w:rPr>
        <w:t xml:space="preserve"> son cadre réglementaire et législatif concernant les autorisations de manifestation, </w:t>
      </w:r>
      <w:r w:rsidR="00192AC4">
        <w:rPr>
          <w:rFonts w:eastAsia="Times New Roman"/>
          <w:b/>
          <w:bCs/>
        </w:rPr>
        <w:t>ainsi que</w:t>
      </w:r>
      <w:r w:rsidR="00192AC4" w:rsidRPr="00447C7B">
        <w:rPr>
          <w:rFonts w:eastAsia="Times New Roman"/>
          <w:b/>
          <w:bCs/>
        </w:rPr>
        <w:t xml:space="preserve"> </w:t>
      </w:r>
      <w:r w:rsidRPr="00447C7B">
        <w:rPr>
          <w:rFonts w:eastAsia="Times New Roman"/>
          <w:b/>
          <w:bCs/>
        </w:rPr>
        <w:t xml:space="preserve">le rôle et les attributions </w:t>
      </w:r>
      <w:r w:rsidRPr="00243122">
        <w:rPr>
          <w:rFonts w:eastAsia="Times New Roman"/>
          <w:b/>
          <w:bCs/>
        </w:rPr>
        <w:t xml:space="preserve">du Conseil supérieur de la communication, en veillant à </w:t>
      </w:r>
      <w:r w:rsidR="007400D1" w:rsidRPr="00243122">
        <w:rPr>
          <w:rFonts w:eastAsia="Times New Roman"/>
          <w:b/>
          <w:bCs/>
        </w:rPr>
        <w:t>ce que les dispositions de</w:t>
      </w:r>
      <w:r w:rsidRPr="00243122">
        <w:rPr>
          <w:rFonts w:eastAsia="Times New Roman"/>
          <w:b/>
          <w:bCs/>
        </w:rPr>
        <w:t xml:space="preserve"> l’article 19 du Pacte</w:t>
      </w:r>
      <w:r w:rsidR="007400D1" w:rsidRPr="00243122">
        <w:rPr>
          <w:rFonts w:eastAsia="Times New Roman"/>
          <w:b/>
          <w:bCs/>
        </w:rPr>
        <w:t xml:space="preserve"> soient</w:t>
      </w:r>
      <w:r w:rsidR="007400D1">
        <w:rPr>
          <w:rFonts w:eastAsia="Times New Roman"/>
          <w:b/>
          <w:bCs/>
        </w:rPr>
        <w:t xml:space="preserve"> respectées</w:t>
      </w:r>
      <w:r w:rsidRPr="00447C7B">
        <w:rPr>
          <w:rFonts w:eastAsia="Times New Roman"/>
          <w:b/>
          <w:bCs/>
        </w:rPr>
        <w:t>.</w:t>
      </w:r>
    </w:p>
    <w:p w14:paraId="00C23045" w14:textId="1D79FC23" w:rsidR="00447C7B" w:rsidRPr="00447C7B" w:rsidRDefault="00447C7B" w:rsidP="00447C7B">
      <w:pPr>
        <w:pStyle w:val="H23G"/>
      </w:pPr>
      <w:r>
        <w:tab/>
      </w:r>
      <w:r>
        <w:tab/>
      </w:r>
      <w:r w:rsidRPr="00447C7B">
        <w:t>Protection des enfants</w:t>
      </w:r>
    </w:p>
    <w:p w14:paraId="34C28003" w14:textId="435F7AE8" w:rsidR="00447C7B" w:rsidRPr="00447C7B" w:rsidRDefault="00447C7B" w:rsidP="00DC3071">
      <w:pPr>
        <w:spacing w:after="120"/>
        <w:ind w:left="1134" w:right="1134"/>
        <w:jc w:val="both"/>
        <w:rPr>
          <w:rFonts w:eastAsia="Times New Roman"/>
          <w:lang w:val="fr-FR"/>
        </w:rPr>
      </w:pPr>
      <w:r w:rsidRPr="00447C7B">
        <w:rPr>
          <w:rFonts w:eastAsia="Times New Roman"/>
        </w:rPr>
        <w:t>44.</w:t>
      </w:r>
      <w:r w:rsidRPr="00447C7B">
        <w:rPr>
          <w:rFonts w:eastAsia="Times New Roman"/>
        </w:rPr>
        <w:tab/>
      </w:r>
      <w:r w:rsidRPr="00447C7B">
        <w:rPr>
          <w:rFonts w:eastAsia="Times New Roman"/>
          <w:lang w:val="fr-FR"/>
        </w:rPr>
        <w:t>Tout en notant les informations fournies par l’</w:t>
      </w:r>
      <w:r w:rsidR="007400D1">
        <w:rPr>
          <w:rFonts w:eastAsia="Times New Roman"/>
          <w:lang w:val="fr-FR"/>
        </w:rPr>
        <w:t>É</w:t>
      </w:r>
      <w:r w:rsidRPr="00447C7B">
        <w:rPr>
          <w:rFonts w:eastAsia="Times New Roman"/>
          <w:lang w:val="fr-FR"/>
        </w:rPr>
        <w:t>tat partie sur le cadre réglementaire entourant le travail des enfants, le Comité demeure préoccupé par</w:t>
      </w:r>
      <w:r w:rsidR="00F90F8E">
        <w:rPr>
          <w:rFonts w:eastAsia="Times New Roman"/>
          <w:lang w:val="fr-FR"/>
        </w:rPr>
        <w:t> :</w:t>
      </w:r>
      <w:r w:rsidRPr="00447C7B">
        <w:rPr>
          <w:rFonts w:eastAsia="Times New Roman"/>
          <w:lang w:val="fr-FR"/>
        </w:rPr>
        <w:t xml:space="preserve"> </w:t>
      </w:r>
      <w:r w:rsidR="00F90F8E">
        <w:rPr>
          <w:rFonts w:eastAsia="Times New Roman"/>
          <w:lang w:val="fr-FR"/>
        </w:rPr>
        <w:t xml:space="preserve">a) </w:t>
      </w:r>
      <w:r w:rsidRPr="00447C7B">
        <w:rPr>
          <w:rFonts w:eastAsia="Times New Roman"/>
          <w:lang w:val="fr-FR"/>
        </w:rPr>
        <w:t xml:space="preserve">le grand nombre d’enfants employés comme domestiques et exposés à des abus ; </w:t>
      </w:r>
      <w:r w:rsidR="00F90F8E">
        <w:rPr>
          <w:rFonts w:eastAsia="Times New Roman"/>
          <w:lang w:val="fr-FR"/>
        </w:rPr>
        <w:t>b)</w:t>
      </w:r>
      <w:r w:rsidRPr="00447C7B">
        <w:rPr>
          <w:rFonts w:eastAsia="Times New Roman"/>
          <w:lang w:val="fr-FR"/>
        </w:rPr>
        <w:t xml:space="preserve"> le nombre d’enfants </w:t>
      </w:r>
      <w:r w:rsidR="000576C6">
        <w:rPr>
          <w:rFonts w:eastAsia="Times New Roman"/>
          <w:lang w:val="fr-FR"/>
        </w:rPr>
        <w:t>en situation de</w:t>
      </w:r>
      <w:r w:rsidRPr="00447C7B">
        <w:rPr>
          <w:rFonts w:eastAsia="Times New Roman"/>
          <w:lang w:val="fr-FR"/>
        </w:rPr>
        <w:t xml:space="preserve"> rue</w:t>
      </w:r>
      <w:r w:rsidR="007C44CC">
        <w:rPr>
          <w:rFonts w:eastAsia="Times New Roman"/>
          <w:lang w:val="fr-FR"/>
        </w:rPr>
        <w:t>,</w:t>
      </w:r>
      <w:r w:rsidRPr="00447C7B">
        <w:rPr>
          <w:rFonts w:eastAsia="Times New Roman"/>
          <w:lang w:val="fr-FR"/>
        </w:rPr>
        <w:t xml:space="preserve"> eux</w:t>
      </w:r>
      <w:r w:rsidR="00F90F8E">
        <w:rPr>
          <w:rFonts w:eastAsia="Times New Roman"/>
          <w:lang w:val="fr-FR"/>
        </w:rPr>
        <w:t xml:space="preserve"> </w:t>
      </w:r>
      <w:r w:rsidRPr="00447C7B">
        <w:rPr>
          <w:rFonts w:eastAsia="Times New Roman"/>
          <w:lang w:val="fr-FR"/>
        </w:rPr>
        <w:t xml:space="preserve">aussi </w:t>
      </w:r>
      <w:r w:rsidR="00F90F8E">
        <w:rPr>
          <w:rFonts w:eastAsia="Times New Roman"/>
          <w:lang w:val="fr-FR"/>
        </w:rPr>
        <w:t xml:space="preserve">exposés </w:t>
      </w:r>
      <w:r w:rsidRPr="00447C7B">
        <w:rPr>
          <w:rFonts w:eastAsia="Times New Roman"/>
          <w:lang w:val="fr-FR"/>
        </w:rPr>
        <w:t xml:space="preserve">à toutes formes de violence ; </w:t>
      </w:r>
      <w:r w:rsidR="00F90F8E">
        <w:rPr>
          <w:rFonts w:eastAsia="Times New Roman"/>
          <w:lang w:val="fr-FR"/>
        </w:rPr>
        <w:t>c)</w:t>
      </w:r>
      <w:r w:rsidRPr="00447C7B">
        <w:rPr>
          <w:rFonts w:eastAsia="Times New Roman"/>
          <w:lang w:val="fr-FR"/>
        </w:rPr>
        <w:t xml:space="preserve"> la situation spécifique des enfants </w:t>
      </w:r>
      <w:r w:rsidRPr="00D542DC">
        <w:rPr>
          <w:rFonts w:eastAsia="Times New Roman"/>
          <w:lang w:val="fr-FR"/>
        </w:rPr>
        <w:t>talibé</w:t>
      </w:r>
      <w:r w:rsidR="00F90F8E" w:rsidRPr="00D542DC">
        <w:rPr>
          <w:rFonts w:eastAsia="Times New Roman"/>
          <w:lang w:val="fr-FR"/>
        </w:rPr>
        <w:t>s</w:t>
      </w:r>
      <w:r w:rsidR="00F90F8E">
        <w:rPr>
          <w:rFonts w:eastAsia="Times New Roman"/>
          <w:lang w:val="fr-FR"/>
        </w:rPr>
        <w:t>,</w:t>
      </w:r>
      <w:r w:rsidRPr="00447C7B">
        <w:rPr>
          <w:rFonts w:eastAsia="Times New Roman"/>
          <w:lang w:val="fr-FR"/>
        </w:rPr>
        <w:t xml:space="preserve"> livrés à des marabouts dans des écoles coraniques et contraints de mendier</w:t>
      </w:r>
      <w:r w:rsidR="00F90F8E">
        <w:rPr>
          <w:rFonts w:eastAsia="Times New Roman"/>
          <w:lang w:val="fr-FR"/>
        </w:rPr>
        <w:t> </w:t>
      </w:r>
      <w:r w:rsidRPr="00447C7B">
        <w:rPr>
          <w:rFonts w:eastAsia="Times New Roman"/>
          <w:lang w:val="fr-FR"/>
        </w:rPr>
        <w:t xml:space="preserve">; </w:t>
      </w:r>
      <w:r w:rsidR="00F90F8E">
        <w:rPr>
          <w:rFonts w:eastAsia="Times New Roman"/>
          <w:lang w:val="fr-FR"/>
        </w:rPr>
        <w:t>et d)</w:t>
      </w:r>
      <w:r w:rsidRPr="00447C7B">
        <w:rPr>
          <w:rFonts w:eastAsia="Times New Roman"/>
          <w:lang w:val="fr-FR"/>
        </w:rPr>
        <w:t xml:space="preserve"> la persistance de la pratique de l’esclavage des enfants fondé sur l’ascendance</w:t>
      </w:r>
      <w:r w:rsidR="003D6C62">
        <w:rPr>
          <w:rFonts w:eastAsia="Times New Roman"/>
          <w:lang w:val="fr-FR"/>
        </w:rPr>
        <w:t xml:space="preserve">. Enfin, le </w:t>
      </w:r>
      <w:r w:rsidR="003D6C62">
        <w:rPr>
          <w:rFonts w:eastAsia="Times New Roman"/>
          <w:lang w:val="fr-FR"/>
        </w:rPr>
        <w:lastRenderedPageBreak/>
        <w:t xml:space="preserve">Comité relève </w:t>
      </w:r>
      <w:r w:rsidR="003D6C62" w:rsidRPr="004E2DB1">
        <w:rPr>
          <w:spacing w:val="-2"/>
        </w:rPr>
        <w:t>avec préoccupation que les châtiments corporels</w:t>
      </w:r>
      <w:r w:rsidR="003D6C62">
        <w:rPr>
          <w:spacing w:val="-2"/>
        </w:rPr>
        <w:t xml:space="preserve"> au sein du foyer et dans les écoles</w:t>
      </w:r>
      <w:r w:rsidR="006424A7">
        <w:rPr>
          <w:spacing w:val="-2"/>
        </w:rPr>
        <w:t>, y compris les écoles</w:t>
      </w:r>
      <w:r w:rsidR="003D6C62">
        <w:rPr>
          <w:spacing w:val="-2"/>
        </w:rPr>
        <w:t xml:space="preserve"> coraniques</w:t>
      </w:r>
      <w:r w:rsidR="006424A7">
        <w:rPr>
          <w:spacing w:val="-2"/>
        </w:rPr>
        <w:t>,</w:t>
      </w:r>
      <w:r w:rsidR="003D6C62" w:rsidRPr="004E2DB1">
        <w:rPr>
          <w:spacing w:val="-2"/>
        </w:rPr>
        <w:t xml:space="preserve"> ne sont toujours pas interdits </w:t>
      </w:r>
      <w:r w:rsidRPr="00447C7B">
        <w:rPr>
          <w:rFonts w:eastAsia="Times New Roman"/>
          <w:lang w:val="fr-FR"/>
        </w:rPr>
        <w:t>(art. 6, 7, 8, 16 et 24).</w:t>
      </w:r>
      <w:r w:rsidR="009D07E3">
        <w:rPr>
          <w:rFonts w:eastAsia="Times New Roman"/>
          <w:lang w:val="fr-FR"/>
        </w:rPr>
        <w:t xml:space="preserve"> </w:t>
      </w:r>
    </w:p>
    <w:p w14:paraId="24B5CEBB" w14:textId="46E7D9F3" w:rsidR="00447C7B" w:rsidRPr="00447C7B" w:rsidRDefault="00447C7B" w:rsidP="00D542DC">
      <w:pPr>
        <w:pStyle w:val="SingleTxtG"/>
        <w:rPr>
          <w:lang w:eastAsia="fr-CH"/>
        </w:rPr>
      </w:pPr>
      <w:r w:rsidRPr="00447C7B">
        <w:rPr>
          <w:rFonts w:eastAsia="Times New Roman"/>
          <w:lang w:val="fr-FR" w:eastAsia="fr-CH"/>
        </w:rPr>
        <w:t>45.</w:t>
      </w:r>
      <w:r w:rsidRPr="00447C7B">
        <w:rPr>
          <w:rFonts w:eastAsia="Times New Roman"/>
          <w:lang w:val="fr-FR" w:eastAsia="fr-CH"/>
        </w:rPr>
        <w:tab/>
      </w:r>
      <w:r w:rsidRPr="00447C7B">
        <w:rPr>
          <w:rFonts w:eastAsia="Times New Roman"/>
          <w:b/>
          <w:lang w:eastAsia="fr-CH"/>
        </w:rPr>
        <w:t xml:space="preserve">L’État partie devrait prendre les mesures nécessaires </w:t>
      </w:r>
      <w:r w:rsidR="00551B91">
        <w:rPr>
          <w:rFonts w:eastAsia="Times New Roman"/>
          <w:b/>
          <w:lang w:eastAsia="fr-CH"/>
        </w:rPr>
        <w:t>pour</w:t>
      </w:r>
      <w:r w:rsidRPr="00447C7B">
        <w:rPr>
          <w:rFonts w:eastAsia="Times New Roman"/>
          <w:b/>
          <w:lang w:eastAsia="fr-CH"/>
        </w:rPr>
        <w:t xml:space="preserve"> : a) protéger les mineurs contre toutes formes d’abus, notamment par la prise en charge et la réhabilitation des enfants </w:t>
      </w:r>
      <w:r w:rsidR="000576C6">
        <w:rPr>
          <w:rFonts w:eastAsia="Times New Roman"/>
          <w:b/>
          <w:lang w:eastAsia="fr-CH"/>
        </w:rPr>
        <w:t xml:space="preserve">en situation </w:t>
      </w:r>
      <w:r w:rsidRPr="00447C7B">
        <w:rPr>
          <w:rFonts w:eastAsia="Times New Roman"/>
          <w:b/>
          <w:lang w:eastAsia="fr-CH"/>
        </w:rPr>
        <w:t>de rue</w:t>
      </w:r>
      <w:r w:rsidR="00F90F8E">
        <w:rPr>
          <w:rFonts w:eastAsia="Times New Roman"/>
          <w:b/>
          <w:lang w:eastAsia="fr-CH"/>
        </w:rPr>
        <w:t xml:space="preserve"> ou</w:t>
      </w:r>
      <w:r w:rsidRPr="00447C7B">
        <w:rPr>
          <w:rFonts w:eastAsia="Times New Roman"/>
          <w:b/>
          <w:lang w:eastAsia="fr-CH"/>
        </w:rPr>
        <w:t xml:space="preserve"> engagés dans la mendicité ; b)</w:t>
      </w:r>
      <w:r w:rsidR="004C4F01">
        <w:rPr>
          <w:rFonts w:eastAsia="Times New Roman"/>
          <w:b/>
          <w:lang w:eastAsia="fr-CH"/>
        </w:rPr>
        <w:t> </w:t>
      </w:r>
      <w:r w:rsidRPr="00447C7B">
        <w:rPr>
          <w:rFonts w:eastAsia="Times New Roman"/>
          <w:b/>
          <w:lang w:eastAsia="fr-CH"/>
        </w:rPr>
        <w:t>condamner publiquement la pratique de la mendicité forcée et sensibiliser les chefs religieux et traditionnels, ainsi que les parents, en vue d’éradiquer cette pratique</w:t>
      </w:r>
      <w:r w:rsidR="00F90F8E">
        <w:rPr>
          <w:rFonts w:eastAsia="Times New Roman"/>
          <w:b/>
          <w:lang w:eastAsia="fr-CH"/>
        </w:rPr>
        <w:t> </w:t>
      </w:r>
      <w:r w:rsidRPr="00447C7B">
        <w:rPr>
          <w:rFonts w:eastAsia="Times New Roman"/>
          <w:b/>
          <w:lang w:eastAsia="fr-CH"/>
        </w:rPr>
        <w:t>; c)</w:t>
      </w:r>
      <w:r w:rsidR="004C4F01">
        <w:rPr>
          <w:rFonts w:eastAsia="Times New Roman"/>
          <w:b/>
          <w:lang w:eastAsia="fr-CH"/>
        </w:rPr>
        <w:t> </w:t>
      </w:r>
      <w:r w:rsidRPr="00447C7B">
        <w:rPr>
          <w:rFonts w:eastAsia="Times New Roman"/>
          <w:b/>
          <w:lang w:eastAsia="fr-CH"/>
        </w:rPr>
        <w:t>poursuivre ses efforts en vue de strictement encadrer et r</w:t>
      </w:r>
      <w:r w:rsidR="00F90F8E">
        <w:rPr>
          <w:rFonts w:eastAsia="Times New Roman"/>
          <w:b/>
          <w:lang w:eastAsia="fr-CH"/>
        </w:rPr>
        <w:t>é</w:t>
      </w:r>
      <w:r w:rsidRPr="00447C7B">
        <w:rPr>
          <w:rFonts w:eastAsia="Times New Roman"/>
          <w:b/>
          <w:lang w:eastAsia="fr-CH"/>
        </w:rPr>
        <w:t xml:space="preserve">glementer le travail des enfants ; d) </w:t>
      </w:r>
      <w:r w:rsidRPr="00447C7B">
        <w:rPr>
          <w:rFonts w:eastAsia="Times New Roman"/>
          <w:b/>
          <w:bCs/>
          <w:lang w:eastAsia="fr-CH"/>
        </w:rPr>
        <w:t>mettre en œuvre la criminalisation de l’esclavage, en poursuivant systématiquement tous les auteurs du crime d’esclavage d’enfants basé sur l’ascendance</w:t>
      </w:r>
      <w:r w:rsidR="003D6C62">
        <w:rPr>
          <w:rFonts w:eastAsia="Times New Roman"/>
          <w:b/>
          <w:bCs/>
          <w:lang w:eastAsia="fr-CH"/>
        </w:rPr>
        <w:t xml:space="preserve"> ; et e) </w:t>
      </w:r>
      <w:r w:rsidR="003D6C62" w:rsidRPr="00500075">
        <w:rPr>
          <w:b/>
        </w:rPr>
        <w:t>prendre des mesures pratiques, notamment d</w:t>
      </w:r>
      <w:r w:rsidR="003D6C62">
        <w:rPr>
          <w:b/>
        </w:rPr>
        <w:t>’</w:t>
      </w:r>
      <w:r w:rsidR="003D6C62" w:rsidRPr="00500075">
        <w:rPr>
          <w:b/>
        </w:rPr>
        <w:t>ordre législatif, afin de mettre fin aux châtiments corporels dans tous les contextes.</w:t>
      </w:r>
    </w:p>
    <w:p w14:paraId="44C35344" w14:textId="77777777" w:rsidR="00447C7B" w:rsidRPr="00447C7B" w:rsidRDefault="00447C7B" w:rsidP="00447C7B">
      <w:pPr>
        <w:pStyle w:val="H1G"/>
      </w:pPr>
      <w:r w:rsidRPr="00447C7B">
        <w:tab/>
        <w:t>D.</w:t>
      </w:r>
      <w:r w:rsidRPr="00447C7B">
        <w:tab/>
        <w:t>Diffusion et suivi</w:t>
      </w:r>
    </w:p>
    <w:p w14:paraId="145E2F72" w14:textId="797F5473" w:rsidR="00447C7B" w:rsidRPr="00D542DC" w:rsidRDefault="00447C7B">
      <w:pPr>
        <w:spacing w:after="120"/>
        <w:ind w:left="1134" w:right="1134"/>
        <w:jc w:val="both"/>
        <w:rPr>
          <w:rFonts w:eastAsia="Times New Roman"/>
          <w:b/>
          <w:bCs/>
        </w:rPr>
      </w:pPr>
      <w:r w:rsidRPr="00D542DC">
        <w:rPr>
          <w:rFonts w:eastAsia="Times New Roman"/>
        </w:rPr>
        <w:t>46.</w:t>
      </w:r>
      <w:r w:rsidRPr="00D542DC">
        <w:rPr>
          <w:rFonts w:eastAsia="Times New Roman"/>
        </w:rPr>
        <w:tab/>
      </w:r>
      <w:r w:rsidRPr="00D542DC">
        <w:rPr>
          <w:rFonts w:eastAsia="Times New Roman"/>
          <w:b/>
          <w:bCs/>
        </w:rPr>
        <w:t>L’État partie devrait diffus</w:t>
      </w:r>
      <w:r w:rsidR="00E03F65">
        <w:rPr>
          <w:rFonts w:eastAsia="Times New Roman"/>
          <w:b/>
          <w:bCs/>
        </w:rPr>
        <w:t xml:space="preserve">er largement le texte </w:t>
      </w:r>
      <w:r w:rsidRPr="00D542DC">
        <w:rPr>
          <w:rFonts w:eastAsia="Times New Roman"/>
          <w:b/>
          <w:bCs/>
        </w:rPr>
        <w:t xml:space="preserve">du Pacte, du </w:t>
      </w:r>
      <w:r w:rsidR="00F90F8E">
        <w:rPr>
          <w:rFonts w:eastAsia="Times New Roman"/>
          <w:b/>
          <w:bCs/>
        </w:rPr>
        <w:t>deuxième</w:t>
      </w:r>
      <w:r w:rsidRPr="00D542DC">
        <w:rPr>
          <w:rFonts w:eastAsia="Times New Roman"/>
          <w:b/>
          <w:bCs/>
        </w:rPr>
        <w:t xml:space="preserve"> rapport périodique et des présentes observations finales </w:t>
      </w:r>
      <w:r w:rsidR="00E03F65">
        <w:rPr>
          <w:rFonts w:eastAsia="Times New Roman"/>
          <w:b/>
          <w:bCs/>
        </w:rPr>
        <w:t>auprès d</w:t>
      </w:r>
      <w:r w:rsidRPr="00D542DC">
        <w:rPr>
          <w:rFonts w:eastAsia="Times New Roman"/>
          <w:b/>
          <w:bCs/>
        </w:rPr>
        <w:t xml:space="preserve">es autorités judiciaires, législatives et administratives, </w:t>
      </w:r>
      <w:r w:rsidR="00E03F65">
        <w:rPr>
          <w:rFonts w:eastAsia="Times New Roman"/>
          <w:b/>
          <w:bCs/>
        </w:rPr>
        <w:t xml:space="preserve">de </w:t>
      </w:r>
      <w:r w:rsidRPr="00D542DC">
        <w:rPr>
          <w:rFonts w:eastAsia="Times New Roman"/>
          <w:b/>
          <w:bCs/>
        </w:rPr>
        <w:t xml:space="preserve">la société civile, </w:t>
      </w:r>
      <w:r w:rsidR="00E03F65">
        <w:rPr>
          <w:rFonts w:eastAsia="Times New Roman"/>
          <w:b/>
          <w:bCs/>
        </w:rPr>
        <w:t>d</w:t>
      </w:r>
      <w:r w:rsidRPr="00D542DC">
        <w:rPr>
          <w:rFonts w:eastAsia="Times New Roman"/>
          <w:b/>
          <w:bCs/>
        </w:rPr>
        <w:t xml:space="preserve">es organisations non gouvernementales œuvrant dans le pays et </w:t>
      </w:r>
      <w:r w:rsidR="00E03F65">
        <w:rPr>
          <w:rFonts w:eastAsia="Times New Roman"/>
          <w:b/>
          <w:bCs/>
        </w:rPr>
        <w:t xml:space="preserve">du </w:t>
      </w:r>
      <w:r w:rsidRPr="00D542DC">
        <w:rPr>
          <w:rFonts w:eastAsia="Times New Roman"/>
          <w:b/>
          <w:bCs/>
        </w:rPr>
        <w:t xml:space="preserve">grand public </w:t>
      </w:r>
      <w:r w:rsidR="00E03F65">
        <w:rPr>
          <w:rFonts w:eastAsia="Times New Roman"/>
          <w:b/>
          <w:bCs/>
        </w:rPr>
        <w:t xml:space="preserve">afin de les sensibiliser </w:t>
      </w:r>
      <w:r w:rsidRPr="00D542DC">
        <w:rPr>
          <w:rFonts w:eastAsia="Times New Roman"/>
          <w:b/>
          <w:bCs/>
        </w:rPr>
        <w:t xml:space="preserve">aux droits consacrés par le Pacte. L’État partie devrait </w:t>
      </w:r>
      <w:r w:rsidR="00E03F65">
        <w:rPr>
          <w:rFonts w:eastAsia="Times New Roman"/>
          <w:b/>
          <w:bCs/>
        </w:rPr>
        <w:t xml:space="preserve">faire en sorte </w:t>
      </w:r>
      <w:r w:rsidRPr="00D542DC">
        <w:rPr>
          <w:rFonts w:eastAsia="Times New Roman"/>
          <w:b/>
          <w:bCs/>
        </w:rPr>
        <w:t>que le rapport et les présentes observations finales soient traduits dans ses langues officielles.</w:t>
      </w:r>
    </w:p>
    <w:p w14:paraId="7C4EF6C9" w14:textId="43A3D17C" w:rsidR="00447C7B" w:rsidRPr="00D542DC" w:rsidRDefault="00447C7B" w:rsidP="008C2092">
      <w:pPr>
        <w:spacing w:after="120"/>
        <w:ind w:left="1134" w:right="1134"/>
        <w:jc w:val="both"/>
        <w:rPr>
          <w:rFonts w:eastAsia="Times New Roman"/>
          <w:b/>
          <w:bCs/>
        </w:rPr>
      </w:pPr>
      <w:r w:rsidRPr="00D542DC">
        <w:rPr>
          <w:rFonts w:eastAsia="Times New Roman"/>
        </w:rPr>
        <w:t>47.</w:t>
      </w:r>
      <w:r w:rsidRPr="00D542DC">
        <w:rPr>
          <w:rFonts w:eastAsia="Times New Roman"/>
        </w:rPr>
        <w:tab/>
      </w:r>
      <w:r w:rsidRPr="00D542DC">
        <w:rPr>
          <w:rFonts w:eastAsia="Times New Roman"/>
          <w:b/>
          <w:bCs/>
        </w:rPr>
        <w:t xml:space="preserve">Conformément au paragraphe </w:t>
      </w:r>
      <w:r w:rsidR="00DB739A" w:rsidRPr="00D542DC">
        <w:rPr>
          <w:rFonts w:eastAsia="Times New Roman"/>
          <w:b/>
          <w:bCs/>
        </w:rPr>
        <w:t>1</w:t>
      </w:r>
      <w:r w:rsidRPr="00D542DC">
        <w:rPr>
          <w:rFonts w:eastAsia="Times New Roman"/>
          <w:b/>
          <w:bCs/>
        </w:rPr>
        <w:t xml:space="preserve"> de l’article 7</w:t>
      </w:r>
      <w:r w:rsidR="00DB739A" w:rsidRPr="00D542DC">
        <w:rPr>
          <w:rFonts w:eastAsia="Times New Roman"/>
          <w:b/>
          <w:bCs/>
        </w:rPr>
        <w:t>5</w:t>
      </w:r>
      <w:r w:rsidRPr="00D542DC">
        <w:rPr>
          <w:rFonts w:eastAsia="Times New Roman"/>
          <w:b/>
          <w:bCs/>
        </w:rPr>
        <w:t xml:space="preserve"> du règlement intérieur du Comité, l’État partie devrait faire parvenir</w:t>
      </w:r>
      <w:r w:rsidR="00981C9F">
        <w:rPr>
          <w:rFonts w:eastAsia="Times New Roman"/>
          <w:b/>
          <w:bCs/>
        </w:rPr>
        <w:t>,</w:t>
      </w:r>
      <w:r w:rsidRPr="00D542DC">
        <w:rPr>
          <w:rFonts w:eastAsia="Times New Roman"/>
          <w:b/>
          <w:bCs/>
        </w:rPr>
        <w:t xml:space="preserve"> le </w:t>
      </w:r>
      <w:r w:rsidR="00F10119" w:rsidRPr="00D542DC">
        <w:rPr>
          <w:rFonts w:eastAsia="Times New Roman"/>
          <w:b/>
          <w:bCs/>
        </w:rPr>
        <w:t>29 mars 2021</w:t>
      </w:r>
      <w:r w:rsidR="008C2092">
        <w:rPr>
          <w:rFonts w:eastAsia="Times New Roman"/>
          <w:b/>
          <w:bCs/>
        </w:rPr>
        <w:t xml:space="preserve"> au plus tard</w:t>
      </w:r>
      <w:r w:rsidRPr="00D542DC">
        <w:rPr>
          <w:rFonts w:eastAsia="Times New Roman"/>
          <w:b/>
          <w:bCs/>
        </w:rPr>
        <w:t>, des renseignements sur la suite qu’il aura donnée aux recommandations faites par le Comité aux paragraphes</w:t>
      </w:r>
      <w:r w:rsidR="008C2092" w:rsidRPr="00243122">
        <w:rPr>
          <w:rFonts w:eastAsia="Times New Roman"/>
          <w:b/>
          <w:bCs/>
        </w:rPr>
        <w:t xml:space="preserve"> </w:t>
      </w:r>
      <w:r w:rsidR="00F10119" w:rsidRPr="00D542DC">
        <w:rPr>
          <w:rFonts w:eastAsia="Times New Roman"/>
          <w:b/>
          <w:bCs/>
        </w:rPr>
        <w:t>11</w:t>
      </w:r>
      <w:r w:rsidR="00652174" w:rsidRPr="00D542DC">
        <w:rPr>
          <w:rFonts w:eastAsia="Times New Roman"/>
          <w:b/>
          <w:bCs/>
        </w:rPr>
        <w:t xml:space="preserve"> (lutte contre la corruption)</w:t>
      </w:r>
      <w:r w:rsidR="00F10119" w:rsidRPr="00D542DC">
        <w:rPr>
          <w:rFonts w:eastAsia="Times New Roman"/>
          <w:b/>
          <w:bCs/>
        </w:rPr>
        <w:t>, 33</w:t>
      </w:r>
      <w:r w:rsidR="00652174" w:rsidRPr="00D542DC">
        <w:rPr>
          <w:rFonts w:eastAsia="Times New Roman"/>
          <w:b/>
          <w:bCs/>
        </w:rPr>
        <w:t xml:space="preserve"> (conditions de détention)</w:t>
      </w:r>
      <w:r w:rsidR="00F10119" w:rsidRPr="00D542DC">
        <w:rPr>
          <w:rFonts w:eastAsia="Times New Roman"/>
          <w:b/>
          <w:bCs/>
        </w:rPr>
        <w:t xml:space="preserve"> et 43</w:t>
      </w:r>
      <w:r w:rsidR="00652174" w:rsidRPr="00D542DC">
        <w:rPr>
          <w:rFonts w:eastAsia="Times New Roman"/>
          <w:b/>
          <w:bCs/>
        </w:rPr>
        <w:t xml:space="preserve"> (libertés d’expression et de réunion, protection des journalistes et des défenseurs des droits de l’homme)</w:t>
      </w:r>
      <w:r w:rsidR="00F10119" w:rsidRPr="00D542DC">
        <w:rPr>
          <w:rFonts w:eastAsia="Times New Roman"/>
          <w:b/>
          <w:bCs/>
        </w:rPr>
        <w:t xml:space="preserve"> </w:t>
      </w:r>
      <w:r w:rsidRPr="00D542DC">
        <w:rPr>
          <w:rFonts w:eastAsia="Times New Roman"/>
          <w:b/>
          <w:bCs/>
        </w:rPr>
        <w:t xml:space="preserve">ci-dessus. </w:t>
      </w:r>
    </w:p>
    <w:p w14:paraId="7C5E7D12" w14:textId="4BAF4938" w:rsidR="00447C7B" w:rsidRPr="00D542DC" w:rsidRDefault="00447C7B" w:rsidP="00F6688D">
      <w:pPr>
        <w:suppressAutoHyphens w:val="0"/>
        <w:kinsoku/>
        <w:overflowPunct/>
        <w:autoSpaceDE/>
        <w:autoSpaceDN/>
        <w:adjustRightInd/>
        <w:snapToGrid/>
        <w:spacing w:after="120" w:line="276" w:lineRule="auto"/>
        <w:ind w:left="1134" w:right="1134"/>
        <w:jc w:val="both"/>
        <w:rPr>
          <w:rFonts w:eastAsia="Times New Roman"/>
          <w:b/>
          <w:bCs/>
          <w:lang w:eastAsia="fr-CH"/>
        </w:rPr>
      </w:pPr>
      <w:r w:rsidRPr="00D542DC">
        <w:rPr>
          <w:rFonts w:eastAsia="Times New Roman"/>
          <w:lang w:eastAsia="fr-CH"/>
        </w:rPr>
        <w:t>48.</w:t>
      </w:r>
      <w:r w:rsidRPr="00D542DC">
        <w:rPr>
          <w:rFonts w:eastAsia="Times New Roman"/>
          <w:lang w:eastAsia="fr-CH"/>
        </w:rPr>
        <w:tab/>
      </w:r>
      <w:r w:rsidRPr="00D542DC">
        <w:rPr>
          <w:rFonts w:eastAsia="Times New Roman"/>
          <w:b/>
          <w:bCs/>
          <w:lang w:eastAsia="fr-CH"/>
        </w:rPr>
        <w:t>Le Comité prie l’État partie de lui soumettre son prochain r</w:t>
      </w:r>
      <w:r w:rsidR="00FB7120" w:rsidRPr="00D542DC">
        <w:rPr>
          <w:rFonts w:eastAsia="Times New Roman"/>
          <w:b/>
          <w:bCs/>
          <w:lang w:eastAsia="fr-CH"/>
        </w:rPr>
        <w:t xml:space="preserve">apport périodique le </w:t>
      </w:r>
      <w:r w:rsidR="00F10119" w:rsidRPr="00D542DC">
        <w:rPr>
          <w:rFonts w:eastAsia="Times New Roman"/>
          <w:b/>
          <w:bCs/>
          <w:lang w:eastAsia="fr-CH"/>
        </w:rPr>
        <w:t xml:space="preserve">29 </w:t>
      </w:r>
      <w:r w:rsidR="00FB7120" w:rsidRPr="00D542DC">
        <w:rPr>
          <w:rFonts w:eastAsia="Times New Roman"/>
          <w:b/>
          <w:bCs/>
          <w:lang w:eastAsia="fr-CH"/>
        </w:rPr>
        <w:t>mars 202</w:t>
      </w:r>
      <w:r w:rsidRPr="00D542DC">
        <w:rPr>
          <w:rFonts w:eastAsia="Times New Roman"/>
          <w:b/>
          <w:bCs/>
          <w:lang w:eastAsia="fr-CH"/>
        </w:rPr>
        <w:t>3 au plus tard</w:t>
      </w:r>
      <w:r w:rsidR="007C44CC">
        <w:rPr>
          <w:rFonts w:eastAsia="Times New Roman"/>
          <w:b/>
          <w:bCs/>
          <w:lang w:eastAsia="fr-CH"/>
        </w:rPr>
        <w:t>,</w:t>
      </w:r>
      <w:r w:rsidRPr="00D542DC">
        <w:rPr>
          <w:rFonts w:eastAsia="Times New Roman"/>
          <w:b/>
          <w:bCs/>
          <w:lang w:eastAsia="fr-CH"/>
        </w:rPr>
        <w:t xml:space="preserve"> et d’y faire figurer des renseignements précis et à jour sur la mise en œuvre des recommandations faites dans les présentes observations finales et sur l’application du Pacte dans son ensemble. Le Comité prie également l’État partie de consulter largement la société civile et les organisations non gouvernementales présentes dans le pays aux fins de l’élaboration de son rapport. Conformément à la résolution 68/268 de l’Assemblée générale, ce rapport ne devra pas </w:t>
      </w:r>
      <w:r w:rsidR="00F6688D">
        <w:rPr>
          <w:rFonts w:eastAsia="Times New Roman"/>
          <w:b/>
          <w:bCs/>
          <w:lang w:eastAsia="fr-CH"/>
        </w:rPr>
        <w:t>compter plus de</w:t>
      </w:r>
      <w:r w:rsidRPr="00D542DC">
        <w:rPr>
          <w:rFonts w:eastAsia="Times New Roman"/>
          <w:b/>
          <w:bCs/>
          <w:lang w:eastAsia="fr-CH"/>
        </w:rPr>
        <w:t xml:space="preserve"> 21 200 mots. </w:t>
      </w:r>
      <w:r w:rsidR="00FC05A1" w:rsidRPr="00D542DC">
        <w:rPr>
          <w:rFonts w:eastAsia="Times New Roman"/>
          <w:b/>
          <w:bCs/>
          <w:lang w:eastAsia="fr-CH"/>
        </w:rPr>
        <w:t xml:space="preserve">Le Comité encourage tous les </w:t>
      </w:r>
      <w:r w:rsidR="00F6688D">
        <w:rPr>
          <w:rFonts w:eastAsia="Times New Roman"/>
          <w:b/>
          <w:bCs/>
          <w:lang w:eastAsia="fr-CH"/>
        </w:rPr>
        <w:t>É</w:t>
      </w:r>
      <w:r w:rsidR="00FC05A1" w:rsidRPr="00D542DC">
        <w:rPr>
          <w:rFonts w:eastAsia="Times New Roman"/>
          <w:b/>
          <w:bCs/>
          <w:lang w:eastAsia="fr-CH"/>
        </w:rPr>
        <w:t>tats à suivre la procédure simplifiée d’établissement des rapports. Le Comité prie dès lors l’</w:t>
      </w:r>
      <w:r w:rsidR="00F6688D">
        <w:rPr>
          <w:rFonts w:eastAsia="Times New Roman"/>
          <w:b/>
          <w:bCs/>
          <w:lang w:eastAsia="fr-CH"/>
        </w:rPr>
        <w:t>É</w:t>
      </w:r>
      <w:r w:rsidR="00FC05A1" w:rsidRPr="00D542DC">
        <w:rPr>
          <w:rFonts w:eastAsia="Times New Roman"/>
          <w:b/>
          <w:bCs/>
          <w:lang w:eastAsia="fr-CH"/>
        </w:rPr>
        <w:t xml:space="preserve">tat partie de </w:t>
      </w:r>
      <w:r w:rsidR="00F6688D">
        <w:rPr>
          <w:rFonts w:eastAsia="Times New Roman"/>
          <w:b/>
          <w:bCs/>
          <w:lang w:eastAsia="fr-CH"/>
        </w:rPr>
        <w:t>lui indiquer</w:t>
      </w:r>
      <w:r w:rsidR="00FC05A1" w:rsidRPr="00D542DC">
        <w:rPr>
          <w:rFonts w:eastAsia="Times New Roman"/>
          <w:b/>
          <w:bCs/>
          <w:lang w:eastAsia="fr-CH"/>
        </w:rPr>
        <w:t xml:space="preserve"> s’il souhaite accepter la procédure simplifiée aux fins de son prochain rapport. Cette information devrait parvenir au Comité dans l’année suivant la réception des présentes </w:t>
      </w:r>
      <w:r w:rsidR="00F6688D">
        <w:rPr>
          <w:rFonts w:eastAsia="Times New Roman"/>
          <w:b/>
          <w:bCs/>
          <w:lang w:eastAsia="fr-CH"/>
        </w:rPr>
        <w:t>o</w:t>
      </w:r>
      <w:r w:rsidR="00FC05A1" w:rsidRPr="00D542DC">
        <w:rPr>
          <w:rFonts w:eastAsia="Times New Roman"/>
          <w:b/>
          <w:bCs/>
          <w:lang w:eastAsia="fr-CH"/>
        </w:rPr>
        <w:t xml:space="preserve">bservations finales. </w:t>
      </w:r>
      <w:r w:rsidRPr="00D542DC">
        <w:rPr>
          <w:rFonts w:eastAsia="Times New Roman"/>
          <w:b/>
          <w:bCs/>
          <w:lang w:eastAsia="fr-CH"/>
        </w:rPr>
        <w:t xml:space="preserve">Les réponses de l’État partie à </w:t>
      </w:r>
      <w:r w:rsidR="00FC05A1" w:rsidRPr="00D542DC">
        <w:rPr>
          <w:rFonts w:eastAsia="Times New Roman"/>
          <w:b/>
          <w:bCs/>
          <w:lang w:eastAsia="fr-CH"/>
        </w:rPr>
        <w:t xml:space="preserve">la </w:t>
      </w:r>
      <w:r w:rsidRPr="00D542DC">
        <w:rPr>
          <w:rFonts w:eastAsia="Times New Roman"/>
          <w:b/>
          <w:bCs/>
          <w:lang w:eastAsia="fr-CH"/>
        </w:rPr>
        <w:t>liste</w:t>
      </w:r>
      <w:r w:rsidR="00FC05A1" w:rsidRPr="00D542DC">
        <w:rPr>
          <w:rFonts w:eastAsia="Times New Roman"/>
          <w:b/>
          <w:bCs/>
          <w:lang w:eastAsia="fr-CH"/>
        </w:rPr>
        <w:t xml:space="preserve"> de points préparée par le Comité au titre de la procédure simplifiée d’établissement des rapports</w:t>
      </w:r>
      <w:r w:rsidRPr="00D542DC">
        <w:rPr>
          <w:rFonts w:eastAsia="Times New Roman"/>
          <w:b/>
          <w:bCs/>
          <w:lang w:eastAsia="fr-CH"/>
        </w:rPr>
        <w:t xml:space="preserve"> constitueront </w:t>
      </w:r>
      <w:r w:rsidR="00F6688D">
        <w:rPr>
          <w:rFonts w:eastAsia="Times New Roman"/>
          <w:b/>
          <w:bCs/>
          <w:lang w:eastAsia="fr-CH"/>
        </w:rPr>
        <w:t>son</w:t>
      </w:r>
      <w:r w:rsidRPr="00D542DC">
        <w:rPr>
          <w:rFonts w:eastAsia="Times New Roman"/>
          <w:b/>
          <w:bCs/>
          <w:lang w:eastAsia="fr-CH"/>
        </w:rPr>
        <w:t xml:space="preserve"> prochain rapport périodique devant être soumis conformément à l’article 40 du Pacte.</w:t>
      </w:r>
    </w:p>
    <w:p w14:paraId="35E98BD1" w14:textId="1E98BC71" w:rsidR="00552797" w:rsidRPr="00985A29" w:rsidRDefault="00447C7B" w:rsidP="00D542DC">
      <w:pPr>
        <w:kinsoku/>
        <w:overflowPunct/>
        <w:autoSpaceDE/>
        <w:autoSpaceDN/>
        <w:adjustRightInd/>
        <w:snapToGrid/>
        <w:spacing w:before="240"/>
        <w:ind w:left="1134" w:right="1134"/>
        <w:jc w:val="center"/>
      </w:pPr>
      <w:r>
        <w:rPr>
          <w:rFonts w:eastAsia="Times New Roman"/>
          <w:u w:val="single"/>
          <w:lang w:eastAsia="fr-CH"/>
        </w:rPr>
        <w:tab/>
      </w:r>
      <w:r>
        <w:rPr>
          <w:rFonts w:eastAsia="Times New Roman"/>
          <w:u w:val="single"/>
          <w:lang w:eastAsia="fr-CH"/>
        </w:rPr>
        <w:tab/>
      </w:r>
      <w:r>
        <w:rPr>
          <w:rFonts w:eastAsia="Times New Roman"/>
          <w:u w:val="single"/>
          <w:lang w:eastAsia="fr-CH"/>
        </w:rPr>
        <w:tab/>
      </w:r>
      <w:r w:rsidR="004F5E01">
        <w:rPr>
          <w:rFonts w:eastAsia="Times New Roman"/>
          <w:u w:val="single"/>
          <w:lang w:eastAsia="fr-CH"/>
        </w:rPr>
        <w:tab/>
      </w:r>
    </w:p>
    <w:sectPr w:rsidR="00552797" w:rsidRPr="00985A29" w:rsidSect="00F35B6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3B3A2" w14:textId="77777777" w:rsidR="00944448" w:rsidRPr="00EF7F30" w:rsidRDefault="00944448" w:rsidP="00EF7F30">
      <w:pPr>
        <w:pStyle w:val="Pieddepage"/>
      </w:pPr>
    </w:p>
  </w:endnote>
  <w:endnote w:type="continuationSeparator" w:id="0">
    <w:p w14:paraId="606BCEB9" w14:textId="77777777" w:rsidR="00944448" w:rsidRPr="00EF7F30" w:rsidRDefault="00944448" w:rsidP="00EF7F30">
      <w:pPr>
        <w:pStyle w:val="Pieddepage"/>
      </w:pPr>
    </w:p>
  </w:endnote>
  <w:endnote w:type="continuationNotice" w:id="1">
    <w:p w14:paraId="7FBCDBF9" w14:textId="77777777" w:rsidR="00944448" w:rsidRDefault="009444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ovanniStd-Book">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3568" w14:textId="3A1F9721" w:rsidR="00944448" w:rsidRPr="0047283B" w:rsidRDefault="00944448" w:rsidP="0047283B">
    <w:pPr>
      <w:pStyle w:val="Pieddepage"/>
      <w:tabs>
        <w:tab w:val="right" w:pos="9638"/>
      </w:tabs>
    </w:pPr>
    <w:r w:rsidRPr="0047283B">
      <w:rPr>
        <w:b/>
        <w:sz w:val="18"/>
      </w:rPr>
      <w:fldChar w:fldCharType="begin"/>
    </w:r>
    <w:r w:rsidRPr="0047283B">
      <w:rPr>
        <w:b/>
        <w:sz w:val="18"/>
      </w:rPr>
      <w:instrText xml:space="preserve"> PAGE  \* MERGEFORMAT </w:instrText>
    </w:r>
    <w:r w:rsidRPr="0047283B">
      <w:rPr>
        <w:b/>
        <w:sz w:val="18"/>
      </w:rPr>
      <w:fldChar w:fldCharType="separate"/>
    </w:r>
    <w:r w:rsidR="00AD166B">
      <w:rPr>
        <w:b/>
        <w:noProof/>
        <w:sz w:val="18"/>
      </w:rPr>
      <w:t>8</w:t>
    </w:r>
    <w:r w:rsidRPr="0047283B">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0777" w14:textId="30AF5FFA" w:rsidR="00944448" w:rsidRPr="0047283B" w:rsidRDefault="00944448" w:rsidP="0047283B">
    <w:pPr>
      <w:pStyle w:val="Pieddepage"/>
      <w:tabs>
        <w:tab w:val="right" w:pos="9638"/>
      </w:tabs>
      <w:rPr>
        <w:b/>
        <w:sz w:val="18"/>
      </w:rPr>
    </w:pPr>
    <w:r>
      <w:tab/>
    </w:r>
    <w:r w:rsidRPr="0047283B">
      <w:rPr>
        <w:b/>
        <w:sz w:val="18"/>
      </w:rPr>
      <w:fldChar w:fldCharType="begin"/>
    </w:r>
    <w:r w:rsidRPr="0047283B">
      <w:rPr>
        <w:b/>
        <w:sz w:val="18"/>
      </w:rPr>
      <w:instrText xml:space="preserve"> PAGE  \* MERGEFORMAT </w:instrText>
    </w:r>
    <w:r w:rsidRPr="0047283B">
      <w:rPr>
        <w:b/>
        <w:sz w:val="18"/>
      </w:rPr>
      <w:fldChar w:fldCharType="separate"/>
    </w:r>
    <w:r w:rsidR="00AD166B">
      <w:rPr>
        <w:b/>
        <w:noProof/>
        <w:sz w:val="18"/>
      </w:rPr>
      <w:t>9</w:t>
    </w:r>
    <w:r w:rsidRPr="004728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5BDA" w14:textId="26D22553" w:rsidR="007323B2" w:rsidRPr="007323B2" w:rsidRDefault="007323B2">
    <w:pPr>
      <w:pStyle w:val="Pieddepage"/>
      <w:rPr>
        <w:rFonts w:ascii="C39T30Lfz" w:hAnsi="C39T30Lfz"/>
        <w:sz w:val="56"/>
      </w:rPr>
    </w:pPr>
    <w:r>
      <w:rPr>
        <w:noProof/>
        <w:lang w:eastAsia="fr-CH"/>
      </w:rPr>
      <w:drawing>
        <wp:anchor distT="0" distB="0" distL="114300" distR="114300" simplePos="0" relativeHeight="251660288" behindDoc="0" locked="0" layoutInCell="1" allowOverlap="0" wp14:anchorId="7F97684F" wp14:editId="1FA29C4E">
          <wp:simplePos x="0" y="0"/>
          <wp:positionH relativeFrom="margin">
            <wp:posOffset>4364437</wp:posOffset>
          </wp:positionH>
          <wp:positionV relativeFrom="margin">
            <wp:posOffset>9165617</wp:posOffset>
          </wp:positionV>
          <wp:extent cx="1105232" cy="230588"/>
          <wp:effectExtent l="0" t="0" r="0" b="0"/>
          <wp:wrapNone/>
          <wp:docPr id="5" name="Image 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32" cy="2305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8240" behindDoc="0" locked="0" layoutInCell="1" allowOverlap="1" wp14:anchorId="6922B734" wp14:editId="08FB2B9E">
          <wp:simplePos x="0" y="0"/>
          <wp:positionH relativeFrom="column">
            <wp:posOffset>5542498</wp:posOffset>
          </wp:positionH>
          <wp:positionV relativeFrom="paragraph">
            <wp:posOffset>0</wp:posOffset>
          </wp:positionV>
          <wp:extent cx="561975" cy="561975"/>
          <wp:effectExtent l="0" t="0" r="9525" b="9525"/>
          <wp:wrapNone/>
          <wp:docPr id="2" name="Image 1" descr="https://undocs.org/m2/QRCode.ashx?DS=CCPR/C/NER/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ER/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w:t>
    </w:r>
    <w:r>
      <w:rPr>
        <w:sz w:val="20"/>
      </w:rPr>
      <w:t>9</w:t>
    </w:r>
    <w:r>
      <w:rPr>
        <w:sz w:val="20"/>
      </w:rPr>
      <w:t>-0</w:t>
    </w:r>
    <w:r>
      <w:rPr>
        <w:sz w:val="20"/>
      </w:rPr>
      <w:t>800</w:t>
    </w:r>
    <w:r>
      <w:rPr>
        <w:sz w:val="20"/>
      </w:rPr>
      <w:t>2  (F)</w:t>
    </w:r>
    <w:r w:rsidRPr="007323B2">
      <w:rPr>
        <w:noProof/>
        <w:lang w:eastAsia="fr-CH"/>
      </w:rPr>
      <w:t xml:space="preserve"> </w:t>
    </w:r>
    <w:r>
      <w:br/>
    </w:r>
    <w:r w:rsidRPr="007323B2">
      <w:rPr>
        <w:rFonts w:ascii="C39T30Lfz" w:hAnsi="C39T30Lfz"/>
        <w:sz w:val="56"/>
      </w:rPr>
      <w:t></w:t>
    </w:r>
    <w:r w:rsidRPr="007323B2">
      <w:rPr>
        <w:rFonts w:ascii="C39T30Lfz" w:hAnsi="C39T30Lfz"/>
        <w:sz w:val="56"/>
      </w:rPr>
      <w:t></w:t>
    </w:r>
    <w:r w:rsidRPr="007323B2">
      <w:rPr>
        <w:rFonts w:ascii="C39T30Lfz" w:hAnsi="C39T30Lfz"/>
        <w:sz w:val="56"/>
      </w:rPr>
      <w:t></w:t>
    </w:r>
    <w:r w:rsidRPr="007323B2">
      <w:rPr>
        <w:rFonts w:ascii="C39T30Lfz" w:hAnsi="C39T30Lfz"/>
        <w:sz w:val="56"/>
      </w:rPr>
      <w:t></w:t>
    </w:r>
    <w:r w:rsidRPr="007323B2">
      <w:rPr>
        <w:rFonts w:ascii="C39T30Lfz" w:hAnsi="C39T30Lfz"/>
        <w:sz w:val="56"/>
      </w:rPr>
      <w:t></w:t>
    </w:r>
    <w:r w:rsidRPr="007323B2">
      <w:rPr>
        <w:rFonts w:ascii="C39T30Lfz" w:hAnsi="C39T30Lfz"/>
        <w:sz w:val="56"/>
      </w:rPr>
      <w:t></w:t>
    </w:r>
    <w:r w:rsidRPr="007323B2">
      <w:rPr>
        <w:rFonts w:ascii="C39T30Lfz" w:hAnsi="C39T30Lfz"/>
        <w:sz w:val="56"/>
      </w:rPr>
      <w:t></w:t>
    </w:r>
    <w:r w:rsidRPr="007323B2">
      <w:rPr>
        <w:rFonts w:ascii="C39T30Lfz" w:hAnsi="C39T30Lfz"/>
        <w:sz w:val="56"/>
      </w:rPr>
      <w:t></w:t>
    </w:r>
    <w:r w:rsidRPr="007323B2">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15EE2" w14:textId="77777777" w:rsidR="00944448" w:rsidRPr="00EF7F30" w:rsidRDefault="00944448"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68E941A5" w14:textId="77777777" w:rsidR="00944448" w:rsidRPr="00EF7F30" w:rsidRDefault="00944448" w:rsidP="000E5ADA">
      <w:pPr>
        <w:pStyle w:val="Pieddepage"/>
        <w:tabs>
          <w:tab w:val="right" w:pos="2155"/>
        </w:tabs>
        <w:spacing w:after="80" w:line="240" w:lineRule="atLeast"/>
        <w:ind w:left="680"/>
      </w:pPr>
      <w:r w:rsidRPr="00EF7F30">
        <w:rPr>
          <w:u w:val="single"/>
        </w:rPr>
        <w:tab/>
      </w:r>
    </w:p>
  </w:footnote>
  <w:footnote w:type="continuationNotice" w:id="1">
    <w:p w14:paraId="228A0EE0" w14:textId="77777777" w:rsidR="00944448" w:rsidRPr="000F2457" w:rsidRDefault="00944448">
      <w:pPr>
        <w:spacing w:line="240" w:lineRule="auto"/>
        <w:rPr>
          <w:sz w:val="2"/>
          <w:szCs w:val="2"/>
        </w:rPr>
      </w:pPr>
    </w:p>
  </w:footnote>
  <w:footnote w:id="2">
    <w:p w14:paraId="11FB1397" w14:textId="6E448438" w:rsidR="00944448" w:rsidRPr="00D542DC" w:rsidRDefault="00944448" w:rsidP="00AD166B">
      <w:pPr>
        <w:pStyle w:val="Notedebasdepage"/>
        <w:spacing w:after="60"/>
      </w:pPr>
      <w:r w:rsidRPr="00985A29">
        <w:rPr>
          <w:sz w:val="20"/>
        </w:rPr>
        <w:tab/>
      </w:r>
      <w:r w:rsidRPr="00B41719">
        <w:rPr>
          <w:rStyle w:val="Appelnotedebasdep"/>
          <w:sz w:val="20"/>
          <w:vertAlign w:val="baseline"/>
        </w:rPr>
        <w:t>*</w:t>
      </w:r>
      <w:r w:rsidRPr="00985A29">
        <w:rPr>
          <w:sz w:val="20"/>
        </w:rPr>
        <w:tab/>
      </w:r>
      <w:r w:rsidRPr="00D542DC">
        <w:t>Adoptées par le Comité à sa 125</w:t>
      </w:r>
      <w:r w:rsidRPr="00D542DC">
        <w:rPr>
          <w:vertAlign w:val="superscript"/>
        </w:rPr>
        <w:t>e</w:t>
      </w:r>
      <w:r w:rsidRPr="00D542DC">
        <w:t xml:space="preserve"> session (4-29 mars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94626" w14:textId="6481FF62" w:rsidR="00944448" w:rsidRPr="00887ED9" w:rsidRDefault="00944448">
    <w:pPr>
      <w:pStyle w:val="En-tte"/>
      <w:rPr>
        <w:lang w:val="en-GB"/>
      </w:rPr>
    </w:pPr>
    <w:r w:rsidRPr="00887ED9">
      <w:rPr>
        <w:lang w:val="en-GB"/>
      </w:rPr>
      <w:t>CCPR/C/NER/CO/2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5CC0" w14:textId="6A2F459D" w:rsidR="00944448" w:rsidRPr="00887ED9" w:rsidRDefault="00944448" w:rsidP="008B1C12">
    <w:pPr>
      <w:pStyle w:val="En-tte"/>
      <w:jc w:val="right"/>
      <w:rPr>
        <w:lang w:val="en-GB"/>
      </w:rPr>
    </w:pPr>
    <w:r w:rsidRPr="00887ED9">
      <w:rPr>
        <w:lang w:val="en-GB"/>
      </w:rPr>
      <w:t>CCPR/C/NER/CO/2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FC104A3"/>
    <w:multiLevelType w:val="multilevel"/>
    <w:tmpl w:val="04E2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22AD3"/>
    <w:multiLevelType w:val="hybridMultilevel"/>
    <w:tmpl w:val="DCB6B572"/>
    <w:lvl w:ilvl="0" w:tplc="2E9C9C7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4FB067F"/>
    <w:multiLevelType w:val="hybridMultilevel"/>
    <w:tmpl w:val="6C985C4A"/>
    <w:lvl w:ilvl="0" w:tplc="CD6E7A90">
      <w:start w:val="1"/>
      <w:numFmt w:val="decimal"/>
      <w:lvlText w:val="%1."/>
      <w:lvlJc w:val="left"/>
      <w:pPr>
        <w:ind w:left="1584" w:hanging="45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2"/>
  </w:num>
  <w:num w:numId="18">
    <w:abstractNumId w:val="15"/>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proofState w:spelling="clean"/>
  <w:attachedTemplate r:id="rId1"/>
  <w:defaultTabStop w:val="567"/>
  <w:hyphenationZone w:val="425"/>
  <w:evenAndOddHeaders/>
  <w:characterSpacingControl w:val="doNotCompress"/>
  <w:hdrShapeDefaults>
    <o:shapedefaults v:ext="edit" spidmax="133122"/>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45"/>
    <w:rsid w:val="00002B5D"/>
    <w:rsid w:val="00003D83"/>
    <w:rsid w:val="0000558A"/>
    <w:rsid w:val="0000583A"/>
    <w:rsid w:val="00011F87"/>
    <w:rsid w:val="000206C6"/>
    <w:rsid w:val="00020FDA"/>
    <w:rsid w:val="00021C10"/>
    <w:rsid w:val="00022C27"/>
    <w:rsid w:val="00022DFE"/>
    <w:rsid w:val="00023842"/>
    <w:rsid w:val="000330C3"/>
    <w:rsid w:val="00033787"/>
    <w:rsid w:val="00036D8E"/>
    <w:rsid w:val="000550B5"/>
    <w:rsid w:val="00057200"/>
    <w:rsid w:val="000576C6"/>
    <w:rsid w:val="00060A88"/>
    <w:rsid w:val="00061684"/>
    <w:rsid w:val="00061D5B"/>
    <w:rsid w:val="0006221B"/>
    <w:rsid w:val="0006287D"/>
    <w:rsid w:val="000630B4"/>
    <w:rsid w:val="000639A1"/>
    <w:rsid w:val="00066901"/>
    <w:rsid w:val="000714B0"/>
    <w:rsid w:val="00072809"/>
    <w:rsid w:val="000764D1"/>
    <w:rsid w:val="0007796D"/>
    <w:rsid w:val="00077B22"/>
    <w:rsid w:val="00080442"/>
    <w:rsid w:val="0008159F"/>
    <w:rsid w:val="000866A1"/>
    <w:rsid w:val="00086F91"/>
    <w:rsid w:val="00091D6B"/>
    <w:rsid w:val="000941CA"/>
    <w:rsid w:val="000969E7"/>
    <w:rsid w:val="00096BA2"/>
    <w:rsid w:val="000A4E76"/>
    <w:rsid w:val="000A65F6"/>
    <w:rsid w:val="000A6BF6"/>
    <w:rsid w:val="000B4367"/>
    <w:rsid w:val="000B77B6"/>
    <w:rsid w:val="000C15A2"/>
    <w:rsid w:val="000C2163"/>
    <w:rsid w:val="000C2416"/>
    <w:rsid w:val="000C2C46"/>
    <w:rsid w:val="000C5051"/>
    <w:rsid w:val="000C5426"/>
    <w:rsid w:val="000C5B7D"/>
    <w:rsid w:val="000C7F7B"/>
    <w:rsid w:val="000D1669"/>
    <w:rsid w:val="000D1CF7"/>
    <w:rsid w:val="000D528D"/>
    <w:rsid w:val="000E2A34"/>
    <w:rsid w:val="000E3512"/>
    <w:rsid w:val="000E5ADA"/>
    <w:rsid w:val="000E7303"/>
    <w:rsid w:val="000F2457"/>
    <w:rsid w:val="000F3408"/>
    <w:rsid w:val="000F4D97"/>
    <w:rsid w:val="000F68E1"/>
    <w:rsid w:val="00101A59"/>
    <w:rsid w:val="00103870"/>
    <w:rsid w:val="001040B9"/>
    <w:rsid w:val="001104D4"/>
    <w:rsid w:val="00111AA5"/>
    <w:rsid w:val="00111F2F"/>
    <w:rsid w:val="00112DC1"/>
    <w:rsid w:val="00115E00"/>
    <w:rsid w:val="0012140B"/>
    <w:rsid w:val="00121525"/>
    <w:rsid w:val="001267D3"/>
    <w:rsid w:val="00131E73"/>
    <w:rsid w:val="00135468"/>
    <w:rsid w:val="00136982"/>
    <w:rsid w:val="00137745"/>
    <w:rsid w:val="001407C5"/>
    <w:rsid w:val="0014167C"/>
    <w:rsid w:val="001433D2"/>
    <w:rsid w:val="0014365E"/>
    <w:rsid w:val="00153352"/>
    <w:rsid w:val="001576B1"/>
    <w:rsid w:val="00161A20"/>
    <w:rsid w:val="00161B9E"/>
    <w:rsid w:val="001646EC"/>
    <w:rsid w:val="00164ADF"/>
    <w:rsid w:val="00165B56"/>
    <w:rsid w:val="00166B41"/>
    <w:rsid w:val="00170CDD"/>
    <w:rsid w:val="00173149"/>
    <w:rsid w:val="001737B4"/>
    <w:rsid w:val="001744F8"/>
    <w:rsid w:val="00176178"/>
    <w:rsid w:val="001764AB"/>
    <w:rsid w:val="00183223"/>
    <w:rsid w:val="00183DC6"/>
    <w:rsid w:val="0018717C"/>
    <w:rsid w:val="00192AC4"/>
    <w:rsid w:val="001946EB"/>
    <w:rsid w:val="00194704"/>
    <w:rsid w:val="00194B8A"/>
    <w:rsid w:val="00194FA5"/>
    <w:rsid w:val="001959EF"/>
    <w:rsid w:val="001A0B73"/>
    <w:rsid w:val="001A213C"/>
    <w:rsid w:val="001A2154"/>
    <w:rsid w:val="001A4BD0"/>
    <w:rsid w:val="001A6A83"/>
    <w:rsid w:val="001B25A9"/>
    <w:rsid w:val="001B2849"/>
    <w:rsid w:val="001B3F29"/>
    <w:rsid w:val="001C0479"/>
    <w:rsid w:val="001C2DF1"/>
    <w:rsid w:val="001C64C0"/>
    <w:rsid w:val="001C740B"/>
    <w:rsid w:val="001C76D5"/>
    <w:rsid w:val="001D054C"/>
    <w:rsid w:val="001D0EA6"/>
    <w:rsid w:val="001D108D"/>
    <w:rsid w:val="001D202C"/>
    <w:rsid w:val="001D3AE4"/>
    <w:rsid w:val="001D4737"/>
    <w:rsid w:val="001D5215"/>
    <w:rsid w:val="001D65A3"/>
    <w:rsid w:val="001E06E0"/>
    <w:rsid w:val="001E1C77"/>
    <w:rsid w:val="001E2E68"/>
    <w:rsid w:val="001E3965"/>
    <w:rsid w:val="001F1324"/>
    <w:rsid w:val="001F1825"/>
    <w:rsid w:val="001F1EAB"/>
    <w:rsid w:val="001F525A"/>
    <w:rsid w:val="001F706A"/>
    <w:rsid w:val="00203B45"/>
    <w:rsid w:val="00211A6A"/>
    <w:rsid w:val="00212168"/>
    <w:rsid w:val="00216397"/>
    <w:rsid w:val="00217BC3"/>
    <w:rsid w:val="00221354"/>
    <w:rsid w:val="00222A62"/>
    <w:rsid w:val="00234CDF"/>
    <w:rsid w:val="00235176"/>
    <w:rsid w:val="00243122"/>
    <w:rsid w:val="00250058"/>
    <w:rsid w:val="002511EE"/>
    <w:rsid w:val="00251C47"/>
    <w:rsid w:val="002523C1"/>
    <w:rsid w:val="002530BF"/>
    <w:rsid w:val="00260711"/>
    <w:rsid w:val="00262EAA"/>
    <w:rsid w:val="002633CE"/>
    <w:rsid w:val="002637DB"/>
    <w:rsid w:val="002638AF"/>
    <w:rsid w:val="00263EA9"/>
    <w:rsid w:val="002654F6"/>
    <w:rsid w:val="002658A5"/>
    <w:rsid w:val="002667B2"/>
    <w:rsid w:val="00266C5A"/>
    <w:rsid w:val="0027755F"/>
    <w:rsid w:val="00277C49"/>
    <w:rsid w:val="00277DF2"/>
    <w:rsid w:val="00284CF8"/>
    <w:rsid w:val="002858F8"/>
    <w:rsid w:val="00290861"/>
    <w:rsid w:val="002921F9"/>
    <w:rsid w:val="002A29F4"/>
    <w:rsid w:val="002A7B7B"/>
    <w:rsid w:val="002B1E26"/>
    <w:rsid w:val="002B4E96"/>
    <w:rsid w:val="002B597E"/>
    <w:rsid w:val="002B67B6"/>
    <w:rsid w:val="002B6F22"/>
    <w:rsid w:val="002B77CB"/>
    <w:rsid w:val="002C55C8"/>
    <w:rsid w:val="002D4BCA"/>
    <w:rsid w:val="002D4C9C"/>
    <w:rsid w:val="002D5907"/>
    <w:rsid w:val="002D75CC"/>
    <w:rsid w:val="002E0D9C"/>
    <w:rsid w:val="002F00B2"/>
    <w:rsid w:val="002F0122"/>
    <w:rsid w:val="002F1C13"/>
    <w:rsid w:val="002F2301"/>
    <w:rsid w:val="002F44C7"/>
    <w:rsid w:val="002F4D6B"/>
    <w:rsid w:val="002F598A"/>
    <w:rsid w:val="002F7842"/>
    <w:rsid w:val="00302345"/>
    <w:rsid w:val="00302BDD"/>
    <w:rsid w:val="00306995"/>
    <w:rsid w:val="00311C54"/>
    <w:rsid w:val="00311E5D"/>
    <w:rsid w:val="003120C8"/>
    <w:rsid w:val="00314DA4"/>
    <w:rsid w:val="0032019A"/>
    <w:rsid w:val="00324219"/>
    <w:rsid w:val="00324DA5"/>
    <w:rsid w:val="00325D67"/>
    <w:rsid w:val="003326FB"/>
    <w:rsid w:val="0033303A"/>
    <w:rsid w:val="00334F26"/>
    <w:rsid w:val="00341717"/>
    <w:rsid w:val="00341B41"/>
    <w:rsid w:val="003547BE"/>
    <w:rsid w:val="00362B06"/>
    <w:rsid w:val="00364A98"/>
    <w:rsid w:val="00364AD3"/>
    <w:rsid w:val="00364B6E"/>
    <w:rsid w:val="003658DF"/>
    <w:rsid w:val="00365B9A"/>
    <w:rsid w:val="00366285"/>
    <w:rsid w:val="0036647C"/>
    <w:rsid w:val="00372433"/>
    <w:rsid w:val="00373551"/>
    <w:rsid w:val="00377C7A"/>
    <w:rsid w:val="00382AD3"/>
    <w:rsid w:val="00384107"/>
    <w:rsid w:val="00387D3C"/>
    <w:rsid w:val="00392780"/>
    <w:rsid w:val="00392D28"/>
    <w:rsid w:val="00396352"/>
    <w:rsid w:val="00396DF2"/>
    <w:rsid w:val="0039758F"/>
    <w:rsid w:val="003A2255"/>
    <w:rsid w:val="003A2903"/>
    <w:rsid w:val="003A3642"/>
    <w:rsid w:val="003A5356"/>
    <w:rsid w:val="003B2648"/>
    <w:rsid w:val="003B2E84"/>
    <w:rsid w:val="003D0C7B"/>
    <w:rsid w:val="003D697B"/>
    <w:rsid w:val="003D6C62"/>
    <w:rsid w:val="003E0F84"/>
    <w:rsid w:val="003F1FDE"/>
    <w:rsid w:val="003F414F"/>
    <w:rsid w:val="003F4ACA"/>
    <w:rsid w:val="003F7519"/>
    <w:rsid w:val="0040255E"/>
    <w:rsid w:val="00404778"/>
    <w:rsid w:val="00412D89"/>
    <w:rsid w:val="00416FC2"/>
    <w:rsid w:val="00417921"/>
    <w:rsid w:val="0042197B"/>
    <w:rsid w:val="00431126"/>
    <w:rsid w:val="004318FE"/>
    <w:rsid w:val="0043279C"/>
    <w:rsid w:val="00435FF1"/>
    <w:rsid w:val="004428B3"/>
    <w:rsid w:val="0044586C"/>
    <w:rsid w:val="00446FE5"/>
    <w:rsid w:val="00447C7B"/>
    <w:rsid w:val="004515C4"/>
    <w:rsid w:val="004516CF"/>
    <w:rsid w:val="004517AB"/>
    <w:rsid w:val="00454167"/>
    <w:rsid w:val="00454CD1"/>
    <w:rsid w:val="004550F0"/>
    <w:rsid w:val="00457841"/>
    <w:rsid w:val="00463167"/>
    <w:rsid w:val="004663DA"/>
    <w:rsid w:val="00466E54"/>
    <w:rsid w:val="00472646"/>
    <w:rsid w:val="0047283B"/>
    <w:rsid w:val="00476CEB"/>
    <w:rsid w:val="0048588A"/>
    <w:rsid w:val="00486234"/>
    <w:rsid w:val="00494203"/>
    <w:rsid w:val="0049489A"/>
    <w:rsid w:val="0049529C"/>
    <w:rsid w:val="004A2DAA"/>
    <w:rsid w:val="004A5DBC"/>
    <w:rsid w:val="004A65B9"/>
    <w:rsid w:val="004A6692"/>
    <w:rsid w:val="004B5CCB"/>
    <w:rsid w:val="004C18BE"/>
    <w:rsid w:val="004C43EC"/>
    <w:rsid w:val="004C4F01"/>
    <w:rsid w:val="004D0A16"/>
    <w:rsid w:val="004D278E"/>
    <w:rsid w:val="004D3F68"/>
    <w:rsid w:val="004D49D5"/>
    <w:rsid w:val="004D5B81"/>
    <w:rsid w:val="004E1F05"/>
    <w:rsid w:val="004E21AA"/>
    <w:rsid w:val="004F5E01"/>
    <w:rsid w:val="004F721F"/>
    <w:rsid w:val="004F77CB"/>
    <w:rsid w:val="005003C4"/>
    <w:rsid w:val="00503858"/>
    <w:rsid w:val="00503DC1"/>
    <w:rsid w:val="00503EBB"/>
    <w:rsid w:val="00504C14"/>
    <w:rsid w:val="00516604"/>
    <w:rsid w:val="005204F0"/>
    <w:rsid w:val="00524371"/>
    <w:rsid w:val="005267F8"/>
    <w:rsid w:val="0052740D"/>
    <w:rsid w:val="00530190"/>
    <w:rsid w:val="00531F06"/>
    <w:rsid w:val="00533CAF"/>
    <w:rsid w:val="00537330"/>
    <w:rsid w:val="00537AD9"/>
    <w:rsid w:val="00540EFF"/>
    <w:rsid w:val="00541670"/>
    <w:rsid w:val="00544DCA"/>
    <w:rsid w:val="00545BDD"/>
    <w:rsid w:val="00545FF0"/>
    <w:rsid w:val="00551B91"/>
    <w:rsid w:val="00552797"/>
    <w:rsid w:val="00555360"/>
    <w:rsid w:val="0056281F"/>
    <w:rsid w:val="00566E56"/>
    <w:rsid w:val="005710E5"/>
    <w:rsid w:val="005714E8"/>
    <w:rsid w:val="005715FE"/>
    <w:rsid w:val="00573BE5"/>
    <w:rsid w:val="005752F7"/>
    <w:rsid w:val="005832EF"/>
    <w:rsid w:val="00583942"/>
    <w:rsid w:val="0058579E"/>
    <w:rsid w:val="00586ED3"/>
    <w:rsid w:val="00587A52"/>
    <w:rsid w:val="00597521"/>
    <w:rsid w:val="00597B6D"/>
    <w:rsid w:val="005A13F8"/>
    <w:rsid w:val="005A3DF0"/>
    <w:rsid w:val="005A4B58"/>
    <w:rsid w:val="005A7902"/>
    <w:rsid w:val="005B09D3"/>
    <w:rsid w:val="005B2E51"/>
    <w:rsid w:val="005B4E23"/>
    <w:rsid w:val="005B56FB"/>
    <w:rsid w:val="005B5AB8"/>
    <w:rsid w:val="005C777B"/>
    <w:rsid w:val="005D090B"/>
    <w:rsid w:val="005D31D2"/>
    <w:rsid w:val="005D3868"/>
    <w:rsid w:val="005D4FC6"/>
    <w:rsid w:val="005D5D71"/>
    <w:rsid w:val="005D6319"/>
    <w:rsid w:val="005D6C2D"/>
    <w:rsid w:val="005E53F6"/>
    <w:rsid w:val="005F0529"/>
    <w:rsid w:val="005F334B"/>
    <w:rsid w:val="005F433D"/>
    <w:rsid w:val="005F7A6A"/>
    <w:rsid w:val="0060015E"/>
    <w:rsid w:val="0060036B"/>
    <w:rsid w:val="00601420"/>
    <w:rsid w:val="00605AD7"/>
    <w:rsid w:val="00605CBE"/>
    <w:rsid w:val="00605F71"/>
    <w:rsid w:val="00617B29"/>
    <w:rsid w:val="00620410"/>
    <w:rsid w:val="00620B4E"/>
    <w:rsid w:val="00625908"/>
    <w:rsid w:val="006272F7"/>
    <w:rsid w:val="006274CF"/>
    <w:rsid w:val="00630CB5"/>
    <w:rsid w:val="00632068"/>
    <w:rsid w:val="00632210"/>
    <w:rsid w:val="00632A8D"/>
    <w:rsid w:val="00634868"/>
    <w:rsid w:val="006377B7"/>
    <w:rsid w:val="006424A7"/>
    <w:rsid w:val="00643972"/>
    <w:rsid w:val="006455AF"/>
    <w:rsid w:val="00646F15"/>
    <w:rsid w:val="0065061B"/>
    <w:rsid w:val="00652174"/>
    <w:rsid w:val="00653D26"/>
    <w:rsid w:val="00662377"/>
    <w:rsid w:val="0066246C"/>
    <w:rsid w:val="0066348C"/>
    <w:rsid w:val="0066465E"/>
    <w:rsid w:val="006663C0"/>
    <w:rsid w:val="006728B2"/>
    <w:rsid w:val="00673B75"/>
    <w:rsid w:val="006748AA"/>
    <w:rsid w:val="0068075F"/>
    <w:rsid w:val="006813A5"/>
    <w:rsid w:val="0068446C"/>
    <w:rsid w:val="00687540"/>
    <w:rsid w:val="006934A2"/>
    <w:rsid w:val="00694599"/>
    <w:rsid w:val="00695AED"/>
    <w:rsid w:val="00697523"/>
    <w:rsid w:val="006A183E"/>
    <w:rsid w:val="006A31FD"/>
    <w:rsid w:val="006A5F28"/>
    <w:rsid w:val="006A6600"/>
    <w:rsid w:val="006B54B7"/>
    <w:rsid w:val="006B7947"/>
    <w:rsid w:val="006B79B4"/>
    <w:rsid w:val="006B79E3"/>
    <w:rsid w:val="006C4AB4"/>
    <w:rsid w:val="006C6A00"/>
    <w:rsid w:val="006D055C"/>
    <w:rsid w:val="006D2917"/>
    <w:rsid w:val="006D3974"/>
    <w:rsid w:val="006D4DE2"/>
    <w:rsid w:val="006E11E3"/>
    <w:rsid w:val="006E1740"/>
    <w:rsid w:val="006E208E"/>
    <w:rsid w:val="006E4EC1"/>
    <w:rsid w:val="006F033F"/>
    <w:rsid w:val="006F1488"/>
    <w:rsid w:val="00700587"/>
    <w:rsid w:val="0070778A"/>
    <w:rsid w:val="00710BD6"/>
    <w:rsid w:val="00712612"/>
    <w:rsid w:val="00712E42"/>
    <w:rsid w:val="0071601D"/>
    <w:rsid w:val="00721020"/>
    <w:rsid w:val="00721D09"/>
    <w:rsid w:val="00722034"/>
    <w:rsid w:val="0072503B"/>
    <w:rsid w:val="00731589"/>
    <w:rsid w:val="00731E13"/>
    <w:rsid w:val="007323B2"/>
    <w:rsid w:val="0073380D"/>
    <w:rsid w:val="00736592"/>
    <w:rsid w:val="007400D1"/>
    <w:rsid w:val="00743F23"/>
    <w:rsid w:val="00745432"/>
    <w:rsid w:val="0074728D"/>
    <w:rsid w:val="00750654"/>
    <w:rsid w:val="00751173"/>
    <w:rsid w:val="007543C9"/>
    <w:rsid w:val="007573BA"/>
    <w:rsid w:val="00757764"/>
    <w:rsid w:val="00757C74"/>
    <w:rsid w:val="007623C9"/>
    <w:rsid w:val="007668B7"/>
    <w:rsid w:val="00770B71"/>
    <w:rsid w:val="007746C2"/>
    <w:rsid w:val="00780BE5"/>
    <w:rsid w:val="00781974"/>
    <w:rsid w:val="0078484A"/>
    <w:rsid w:val="007858F6"/>
    <w:rsid w:val="007866CA"/>
    <w:rsid w:val="00794EC7"/>
    <w:rsid w:val="00797A37"/>
    <w:rsid w:val="007A12F6"/>
    <w:rsid w:val="007A4D3C"/>
    <w:rsid w:val="007A61EB"/>
    <w:rsid w:val="007B0390"/>
    <w:rsid w:val="007B4686"/>
    <w:rsid w:val="007B4A0F"/>
    <w:rsid w:val="007B6A8F"/>
    <w:rsid w:val="007C099E"/>
    <w:rsid w:val="007C44CC"/>
    <w:rsid w:val="007C6569"/>
    <w:rsid w:val="007D11D8"/>
    <w:rsid w:val="007D3103"/>
    <w:rsid w:val="007D5952"/>
    <w:rsid w:val="007D6351"/>
    <w:rsid w:val="007E0416"/>
    <w:rsid w:val="007E1BAE"/>
    <w:rsid w:val="007E4AA6"/>
    <w:rsid w:val="007E4B78"/>
    <w:rsid w:val="007E5341"/>
    <w:rsid w:val="007F2283"/>
    <w:rsid w:val="007F2471"/>
    <w:rsid w:val="007F2C8D"/>
    <w:rsid w:val="007F2FA1"/>
    <w:rsid w:val="007F5771"/>
    <w:rsid w:val="0080194B"/>
    <w:rsid w:val="008026CC"/>
    <w:rsid w:val="00802DAB"/>
    <w:rsid w:val="0080684C"/>
    <w:rsid w:val="00816872"/>
    <w:rsid w:val="008206CF"/>
    <w:rsid w:val="00822B38"/>
    <w:rsid w:val="00822E05"/>
    <w:rsid w:val="00823104"/>
    <w:rsid w:val="00823894"/>
    <w:rsid w:val="00825C4F"/>
    <w:rsid w:val="00830DFB"/>
    <w:rsid w:val="0083535D"/>
    <w:rsid w:val="00847EFF"/>
    <w:rsid w:val="0085161E"/>
    <w:rsid w:val="00851978"/>
    <w:rsid w:val="00853EBD"/>
    <w:rsid w:val="0085420B"/>
    <w:rsid w:val="00854591"/>
    <w:rsid w:val="008546CC"/>
    <w:rsid w:val="0085753E"/>
    <w:rsid w:val="00857A7E"/>
    <w:rsid w:val="00860AD6"/>
    <w:rsid w:val="0086125E"/>
    <w:rsid w:val="00861866"/>
    <w:rsid w:val="00865AA7"/>
    <w:rsid w:val="00865F76"/>
    <w:rsid w:val="00871C75"/>
    <w:rsid w:val="00872BAF"/>
    <w:rsid w:val="00874515"/>
    <w:rsid w:val="00874867"/>
    <w:rsid w:val="00876322"/>
    <w:rsid w:val="008776DC"/>
    <w:rsid w:val="00880BFB"/>
    <w:rsid w:val="00881550"/>
    <w:rsid w:val="0088189B"/>
    <w:rsid w:val="00881A58"/>
    <w:rsid w:val="00884913"/>
    <w:rsid w:val="00887ED9"/>
    <w:rsid w:val="008965B9"/>
    <w:rsid w:val="008969B7"/>
    <w:rsid w:val="008A2F87"/>
    <w:rsid w:val="008A368B"/>
    <w:rsid w:val="008B1C12"/>
    <w:rsid w:val="008B1F73"/>
    <w:rsid w:val="008B29E8"/>
    <w:rsid w:val="008B34D6"/>
    <w:rsid w:val="008B386A"/>
    <w:rsid w:val="008B3AA6"/>
    <w:rsid w:val="008B5EEF"/>
    <w:rsid w:val="008B682B"/>
    <w:rsid w:val="008C02D6"/>
    <w:rsid w:val="008C1CAE"/>
    <w:rsid w:val="008C2092"/>
    <w:rsid w:val="008C6D59"/>
    <w:rsid w:val="008C714A"/>
    <w:rsid w:val="008D0593"/>
    <w:rsid w:val="008D08B8"/>
    <w:rsid w:val="008D2220"/>
    <w:rsid w:val="008D2776"/>
    <w:rsid w:val="008D2ECD"/>
    <w:rsid w:val="008D59F0"/>
    <w:rsid w:val="008D5FDA"/>
    <w:rsid w:val="008E5BFC"/>
    <w:rsid w:val="008E6D33"/>
    <w:rsid w:val="008E6D39"/>
    <w:rsid w:val="008F03A9"/>
    <w:rsid w:val="008F0F9E"/>
    <w:rsid w:val="008F2FB3"/>
    <w:rsid w:val="008F38AB"/>
    <w:rsid w:val="008F4259"/>
    <w:rsid w:val="009002CD"/>
    <w:rsid w:val="0090152D"/>
    <w:rsid w:val="00904276"/>
    <w:rsid w:val="00905BFE"/>
    <w:rsid w:val="00910B03"/>
    <w:rsid w:val="009128DD"/>
    <w:rsid w:val="0091384F"/>
    <w:rsid w:val="009225DE"/>
    <w:rsid w:val="0092794E"/>
    <w:rsid w:val="009303B5"/>
    <w:rsid w:val="0093116A"/>
    <w:rsid w:val="009332C3"/>
    <w:rsid w:val="00933C03"/>
    <w:rsid w:val="00934202"/>
    <w:rsid w:val="00935889"/>
    <w:rsid w:val="00940096"/>
    <w:rsid w:val="00940CE0"/>
    <w:rsid w:val="0094352E"/>
    <w:rsid w:val="00944448"/>
    <w:rsid w:val="00945CAF"/>
    <w:rsid w:val="009523C3"/>
    <w:rsid w:val="0095383D"/>
    <w:rsid w:val="00954A62"/>
    <w:rsid w:val="00957337"/>
    <w:rsid w:val="009603D7"/>
    <w:rsid w:val="00962015"/>
    <w:rsid w:val="009651C0"/>
    <w:rsid w:val="009705C8"/>
    <w:rsid w:val="00970DDE"/>
    <w:rsid w:val="00972A1F"/>
    <w:rsid w:val="00972EB3"/>
    <w:rsid w:val="00981C9F"/>
    <w:rsid w:val="00983081"/>
    <w:rsid w:val="00985A29"/>
    <w:rsid w:val="009907A4"/>
    <w:rsid w:val="009923D2"/>
    <w:rsid w:val="00992D40"/>
    <w:rsid w:val="00992F3C"/>
    <w:rsid w:val="00994C64"/>
    <w:rsid w:val="009953E0"/>
    <w:rsid w:val="009959C4"/>
    <w:rsid w:val="00997630"/>
    <w:rsid w:val="009A02BB"/>
    <w:rsid w:val="009A47AB"/>
    <w:rsid w:val="009A5D9B"/>
    <w:rsid w:val="009A7039"/>
    <w:rsid w:val="009A7112"/>
    <w:rsid w:val="009B29AE"/>
    <w:rsid w:val="009B2F31"/>
    <w:rsid w:val="009B39D9"/>
    <w:rsid w:val="009B4508"/>
    <w:rsid w:val="009B52AC"/>
    <w:rsid w:val="009B5BE8"/>
    <w:rsid w:val="009B781C"/>
    <w:rsid w:val="009C467A"/>
    <w:rsid w:val="009C5ED5"/>
    <w:rsid w:val="009C63D2"/>
    <w:rsid w:val="009D07E3"/>
    <w:rsid w:val="009D4650"/>
    <w:rsid w:val="009D6D08"/>
    <w:rsid w:val="009E124E"/>
    <w:rsid w:val="009E1400"/>
    <w:rsid w:val="009E3725"/>
    <w:rsid w:val="009E3FD7"/>
    <w:rsid w:val="009E460B"/>
    <w:rsid w:val="009F0AD0"/>
    <w:rsid w:val="009F2F7C"/>
    <w:rsid w:val="009F33A7"/>
    <w:rsid w:val="009F35E6"/>
    <w:rsid w:val="009F37A4"/>
    <w:rsid w:val="00A0536D"/>
    <w:rsid w:val="00A12E20"/>
    <w:rsid w:val="00A15DD9"/>
    <w:rsid w:val="00A1621C"/>
    <w:rsid w:val="00A176C1"/>
    <w:rsid w:val="00A17725"/>
    <w:rsid w:val="00A20616"/>
    <w:rsid w:val="00A2307A"/>
    <w:rsid w:val="00A245C3"/>
    <w:rsid w:val="00A25990"/>
    <w:rsid w:val="00A33BB0"/>
    <w:rsid w:val="00A41C89"/>
    <w:rsid w:val="00A43FC3"/>
    <w:rsid w:val="00A44205"/>
    <w:rsid w:val="00A46C99"/>
    <w:rsid w:val="00A512C0"/>
    <w:rsid w:val="00A526BB"/>
    <w:rsid w:val="00A53487"/>
    <w:rsid w:val="00A53D76"/>
    <w:rsid w:val="00A57841"/>
    <w:rsid w:val="00A61B34"/>
    <w:rsid w:val="00A7156A"/>
    <w:rsid w:val="00A73949"/>
    <w:rsid w:val="00A74A4B"/>
    <w:rsid w:val="00A76169"/>
    <w:rsid w:val="00A7702B"/>
    <w:rsid w:val="00A80E80"/>
    <w:rsid w:val="00A812C6"/>
    <w:rsid w:val="00A82361"/>
    <w:rsid w:val="00A8526F"/>
    <w:rsid w:val="00A86036"/>
    <w:rsid w:val="00A9371E"/>
    <w:rsid w:val="00A940E7"/>
    <w:rsid w:val="00A96267"/>
    <w:rsid w:val="00AA757B"/>
    <w:rsid w:val="00AB6011"/>
    <w:rsid w:val="00AB6BAC"/>
    <w:rsid w:val="00AC12BE"/>
    <w:rsid w:val="00AC67AF"/>
    <w:rsid w:val="00AC7BEB"/>
    <w:rsid w:val="00AC7F0D"/>
    <w:rsid w:val="00AD0210"/>
    <w:rsid w:val="00AD166B"/>
    <w:rsid w:val="00AD35BF"/>
    <w:rsid w:val="00AD3B80"/>
    <w:rsid w:val="00AD5EFD"/>
    <w:rsid w:val="00AD6057"/>
    <w:rsid w:val="00AD6C48"/>
    <w:rsid w:val="00AE323C"/>
    <w:rsid w:val="00AE68FA"/>
    <w:rsid w:val="00AF16A3"/>
    <w:rsid w:val="00AF4BA1"/>
    <w:rsid w:val="00B00F5A"/>
    <w:rsid w:val="00B05946"/>
    <w:rsid w:val="00B0624B"/>
    <w:rsid w:val="00B11A6A"/>
    <w:rsid w:val="00B14583"/>
    <w:rsid w:val="00B14807"/>
    <w:rsid w:val="00B151C6"/>
    <w:rsid w:val="00B16AAF"/>
    <w:rsid w:val="00B22A9E"/>
    <w:rsid w:val="00B24C75"/>
    <w:rsid w:val="00B24F19"/>
    <w:rsid w:val="00B25315"/>
    <w:rsid w:val="00B25856"/>
    <w:rsid w:val="00B33E6A"/>
    <w:rsid w:val="00B4098E"/>
    <w:rsid w:val="00B41719"/>
    <w:rsid w:val="00B44558"/>
    <w:rsid w:val="00B45022"/>
    <w:rsid w:val="00B45625"/>
    <w:rsid w:val="00B45D28"/>
    <w:rsid w:val="00B50B69"/>
    <w:rsid w:val="00B528BF"/>
    <w:rsid w:val="00B53164"/>
    <w:rsid w:val="00B56250"/>
    <w:rsid w:val="00B61C1B"/>
    <w:rsid w:val="00B72D52"/>
    <w:rsid w:val="00B73BED"/>
    <w:rsid w:val="00B74492"/>
    <w:rsid w:val="00B74CFE"/>
    <w:rsid w:val="00B74F18"/>
    <w:rsid w:val="00B809D6"/>
    <w:rsid w:val="00B8132C"/>
    <w:rsid w:val="00B86002"/>
    <w:rsid w:val="00B87046"/>
    <w:rsid w:val="00B87DAA"/>
    <w:rsid w:val="00B91C90"/>
    <w:rsid w:val="00B94CCE"/>
    <w:rsid w:val="00BA2616"/>
    <w:rsid w:val="00BA3B61"/>
    <w:rsid w:val="00BA6FB2"/>
    <w:rsid w:val="00BB1165"/>
    <w:rsid w:val="00BB7665"/>
    <w:rsid w:val="00BB7A88"/>
    <w:rsid w:val="00BC0278"/>
    <w:rsid w:val="00BC6A2B"/>
    <w:rsid w:val="00BD0ED1"/>
    <w:rsid w:val="00BD13D0"/>
    <w:rsid w:val="00BD25AC"/>
    <w:rsid w:val="00BD6577"/>
    <w:rsid w:val="00BD7EB8"/>
    <w:rsid w:val="00BE00F4"/>
    <w:rsid w:val="00BE195C"/>
    <w:rsid w:val="00BE1EDC"/>
    <w:rsid w:val="00BE3798"/>
    <w:rsid w:val="00BE5C8C"/>
    <w:rsid w:val="00BF08AF"/>
    <w:rsid w:val="00BF115F"/>
    <w:rsid w:val="00BF511E"/>
    <w:rsid w:val="00BF59FD"/>
    <w:rsid w:val="00BF5F89"/>
    <w:rsid w:val="00BF660D"/>
    <w:rsid w:val="00C00528"/>
    <w:rsid w:val="00C005F2"/>
    <w:rsid w:val="00C00AD7"/>
    <w:rsid w:val="00C02897"/>
    <w:rsid w:val="00C05B1F"/>
    <w:rsid w:val="00C05CBD"/>
    <w:rsid w:val="00C06E13"/>
    <w:rsid w:val="00C11EE2"/>
    <w:rsid w:val="00C12613"/>
    <w:rsid w:val="00C13892"/>
    <w:rsid w:val="00C13BA8"/>
    <w:rsid w:val="00C14C43"/>
    <w:rsid w:val="00C16E52"/>
    <w:rsid w:val="00C1739C"/>
    <w:rsid w:val="00C17F6A"/>
    <w:rsid w:val="00C21D12"/>
    <w:rsid w:val="00C24652"/>
    <w:rsid w:val="00C30110"/>
    <w:rsid w:val="00C37D96"/>
    <w:rsid w:val="00C40327"/>
    <w:rsid w:val="00C4568D"/>
    <w:rsid w:val="00C46EC2"/>
    <w:rsid w:val="00C511F5"/>
    <w:rsid w:val="00C5317B"/>
    <w:rsid w:val="00C5639E"/>
    <w:rsid w:val="00C573E8"/>
    <w:rsid w:val="00C61525"/>
    <w:rsid w:val="00C66084"/>
    <w:rsid w:val="00C664E9"/>
    <w:rsid w:val="00C66A23"/>
    <w:rsid w:val="00C72DBA"/>
    <w:rsid w:val="00C74E28"/>
    <w:rsid w:val="00C76E08"/>
    <w:rsid w:val="00C77342"/>
    <w:rsid w:val="00C77B6B"/>
    <w:rsid w:val="00C9133B"/>
    <w:rsid w:val="00C97969"/>
    <w:rsid w:val="00CA2921"/>
    <w:rsid w:val="00CA435F"/>
    <w:rsid w:val="00CA66BC"/>
    <w:rsid w:val="00CA7636"/>
    <w:rsid w:val="00CB0A53"/>
    <w:rsid w:val="00CB3FD2"/>
    <w:rsid w:val="00CC1A39"/>
    <w:rsid w:val="00CC29FE"/>
    <w:rsid w:val="00CC3C45"/>
    <w:rsid w:val="00CC52E4"/>
    <w:rsid w:val="00CD052A"/>
    <w:rsid w:val="00CD1A0C"/>
    <w:rsid w:val="00CD1DA7"/>
    <w:rsid w:val="00CD2723"/>
    <w:rsid w:val="00CD301B"/>
    <w:rsid w:val="00CD346C"/>
    <w:rsid w:val="00CD455B"/>
    <w:rsid w:val="00CD45F6"/>
    <w:rsid w:val="00CD4FCB"/>
    <w:rsid w:val="00CE54A1"/>
    <w:rsid w:val="00CF1E21"/>
    <w:rsid w:val="00CF40C4"/>
    <w:rsid w:val="00D02ACA"/>
    <w:rsid w:val="00D0503C"/>
    <w:rsid w:val="00D12679"/>
    <w:rsid w:val="00D1340A"/>
    <w:rsid w:val="00D14239"/>
    <w:rsid w:val="00D14E0D"/>
    <w:rsid w:val="00D17336"/>
    <w:rsid w:val="00D2052F"/>
    <w:rsid w:val="00D22626"/>
    <w:rsid w:val="00D2341D"/>
    <w:rsid w:val="00D32374"/>
    <w:rsid w:val="00D3773D"/>
    <w:rsid w:val="00D37F68"/>
    <w:rsid w:val="00D4199E"/>
    <w:rsid w:val="00D450BD"/>
    <w:rsid w:val="00D45432"/>
    <w:rsid w:val="00D46672"/>
    <w:rsid w:val="00D473E3"/>
    <w:rsid w:val="00D47899"/>
    <w:rsid w:val="00D503E4"/>
    <w:rsid w:val="00D542DC"/>
    <w:rsid w:val="00D625C6"/>
    <w:rsid w:val="00D6315E"/>
    <w:rsid w:val="00D64C64"/>
    <w:rsid w:val="00D67B1B"/>
    <w:rsid w:val="00D708D8"/>
    <w:rsid w:val="00D72623"/>
    <w:rsid w:val="00D73DD0"/>
    <w:rsid w:val="00D74CF4"/>
    <w:rsid w:val="00D84745"/>
    <w:rsid w:val="00D856C1"/>
    <w:rsid w:val="00D86377"/>
    <w:rsid w:val="00D869F6"/>
    <w:rsid w:val="00D87060"/>
    <w:rsid w:val="00D87AA4"/>
    <w:rsid w:val="00D948AD"/>
    <w:rsid w:val="00DA01CD"/>
    <w:rsid w:val="00DA0A5D"/>
    <w:rsid w:val="00DA22FF"/>
    <w:rsid w:val="00DA37F5"/>
    <w:rsid w:val="00DB1831"/>
    <w:rsid w:val="00DB38DF"/>
    <w:rsid w:val="00DB3F18"/>
    <w:rsid w:val="00DB4157"/>
    <w:rsid w:val="00DB519F"/>
    <w:rsid w:val="00DB739A"/>
    <w:rsid w:val="00DB74BC"/>
    <w:rsid w:val="00DC22E0"/>
    <w:rsid w:val="00DC3071"/>
    <w:rsid w:val="00DC6D92"/>
    <w:rsid w:val="00DC7CFA"/>
    <w:rsid w:val="00DD1009"/>
    <w:rsid w:val="00DD2530"/>
    <w:rsid w:val="00DD28DC"/>
    <w:rsid w:val="00DD2AB9"/>
    <w:rsid w:val="00DD3BFD"/>
    <w:rsid w:val="00DD677B"/>
    <w:rsid w:val="00DE1876"/>
    <w:rsid w:val="00DE30D9"/>
    <w:rsid w:val="00DE42CA"/>
    <w:rsid w:val="00DF35BC"/>
    <w:rsid w:val="00DF5B8E"/>
    <w:rsid w:val="00DF6541"/>
    <w:rsid w:val="00DF6B48"/>
    <w:rsid w:val="00E02959"/>
    <w:rsid w:val="00E03F65"/>
    <w:rsid w:val="00E03FBD"/>
    <w:rsid w:val="00E07DD5"/>
    <w:rsid w:val="00E1042D"/>
    <w:rsid w:val="00E12648"/>
    <w:rsid w:val="00E130BA"/>
    <w:rsid w:val="00E16E8F"/>
    <w:rsid w:val="00E1722C"/>
    <w:rsid w:val="00E20E32"/>
    <w:rsid w:val="00E228A8"/>
    <w:rsid w:val="00E23E3A"/>
    <w:rsid w:val="00E25156"/>
    <w:rsid w:val="00E25804"/>
    <w:rsid w:val="00E27003"/>
    <w:rsid w:val="00E31532"/>
    <w:rsid w:val="00E361EB"/>
    <w:rsid w:val="00E4247C"/>
    <w:rsid w:val="00E4266A"/>
    <w:rsid w:val="00E429A9"/>
    <w:rsid w:val="00E439D3"/>
    <w:rsid w:val="00E43A68"/>
    <w:rsid w:val="00E4469A"/>
    <w:rsid w:val="00E46D88"/>
    <w:rsid w:val="00E509C2"/>
    <w:rsid w:val="00E516CC"/>
    <w:rsid w:val="00E52BD5"/>
    <w:rsid w:val="00E6618E"/>
    <w:rsid w:val="00E677A4"/>
    <w:rsid w:val="00E67B31"/>
    <w:rsid w:val="00E67C99"/>
    <w:rsid w:val="00E7021D"/>
    <w:rsid w:val="00E74267"/>
    <w:rsid w:val="00E76BCA"/>
    <w:rsid w:val="00E82DB2"/>
    <w:rsid w:val="00E924B5"/>
    <w:rsid w:val="00EA1221"/>
    <w:rsid w:val="00EA3664"/>
    <w:rsid w:val="00EA6401"/>
    <w:rsid w:val="00EB1946"/>
    <w:rsid w:val="00EB5BD3"/>
    <w:rsid w:val="00EB67B5"/>
    <w:rsid w:val="00EB7469"/>
    <w:rsid w:val="00EC1018"/>
    <w:rsid w:val="00EC1EA7"/>
    <w:rsid w:val="00EC1F31"/>
    <w:rsid w:val="00EC2BD1"/>
    <w:rsid w:val="00EC3DB8"/>
    <w:rsid w:val="00EC5718"/>
    <w:rsid w:val="00EC5ECB"/>
    <w:rsid w:val="00ED0090"/>
    <w:rsid w:val="00ED0977"/>
    <w:rsid w:val="00ED6EF9"/>
    <w:rsid w:val="00EE263D"/>
    <w:rsid w:val="00EE3AAD"/>
    <w:rsid w:val="00EE5A67"/>
    <w:rsid w:val="00EE6FD6"/>
    <w:rsid w:val="00EF23A8"/>
    <w:rsid w:val="00EF3F69"/>
    <w:rsid w:val="00EF5142"/>
    <w:rsid w:val="00EF57A1"/>
    <w:rsid w:val="00EF7DFB"/>
    <w:rsid w:val="00EF7F30"/>
    <w:rsid w:val="00F006CA"/>
    <w:rsid w:val="00F0268E"/>
    <w:rsid w:val="00F03CCD"/>
    <w:rsid w:val="00F05BC8"/>
    <w:rsid w:val="00F10119"/>
    <w:rsid w:val="00F11452"/>
    <w:rsid w:val="00F12124"/>
    <w:rsid w:val="00F136D5"/>
    <w:rsid w:val="00F1436E"/>
    <w:rsid w:val="00F165B4"/>
    <w:rsid w:val="00F1744F"/>
    <w:rsid w:val="00F2228A"/>
    <w:rsid w:val="00F242ED"/>
    <w:rsid w:val="00F319CA"/>
    <w:rsid w:val="00F32DF9"/>
    <w:rsid w:val="00F33598"/>
    <w:rsid w:val="00F35B63"/>
    <w:rsid w:val="00F35E4F"/>
    <w:rsid w:val="00F40B6F"/>
    <w:rsid w:val="00F41FFE"/>
    <w:rsid w:val="00F42743"/>
    <w:rsid w:val="00F47074"/>
    <w:rsid w:val="00F47452"/>
    <w:rsid w:val="00F47856"/>
    <w:rsid w:val="00F5468E"/>
    <w:rsid w:val="00F56752"/>
    <w:rsid w:val="00F57F5F"/>
    <w:rsid w:val="00F60F2F"/>
    <w:rsid w:val="00F6178F"/>
    <w:rsid w:val="00F660DF"/>
    <w:rsid w:val="00F6688D"/>
    <w:rsid w:val="00F70C93"/>
    <w:rsid w:val="00F72F34"/>
    <w:rsid w:val="00F73E2C"/>
    <w:rsid w:val="00F75CB9"/>
    <w:rsid w:val="00F77B72"/>
    <w:rsid w:val="00F77CB1"/>
    <w:rsid w:val="00F82EF8"/>
    <w:rsid w:val="00F84430"/>
    <w:rsid w:val="00F84979"/>
    <w:rsid w:val="00F874FE"/>
    <w:rsid w:val="00F87CF2"/>
    <w:rsid w:val="00F90A57"/>
    <w:rsid w:val="00F90F8E"/>
    <w:rsid w:val="00F916EF"/>
    <w:rsid w:val="00F9436D"/>
    <w:rsid w:val="00F95C08"/>
    <w:rsid w:val="00F97C1C"/>
    <w:rsid w:val="00FA0550"/>
    <w:rsid w:val="00FA0FAE"/>
    <w:rsid w:val="00FA44CA"/>
    <w:rsid w:val="00FA5019"/>
    <w:rsid w:val="00FB2241"/>
    <w:rsid w:val="00FB3713"/>
    <w:rsid w:val="00FB489B"/>
    <w:rsid w:val="00FB4DC4"/>
    <w:rsid w:val="00FB7120"/>
    <w:rsid w:val="00FB7CD7"/>
    <w:rsid w:val="00FC05A1"/>
    <w:rsid w:val="00FC0EF7"/>
    <w:rsid w:val="00FC2C3E"/>
    <w:rsid w:val="00FC360E"/>
    <w:rsid w:val="00FC4BCE"/>
    <w:rsid w:val="00FD094D"/>
    <w:rsid w:val="00FD1C8F"/>
    <w:rsid w:val="00FD38E1"/>
    <w:rsid w:val="00FD4BB4"/>
    <w:rsid w:val="00FE33A4"/>
    <w:rsid w:val="00FE5F1C"/>
    <w:rsid w:val="00FE672F"/>
    <w:rsid w:val="00FE757D"/>
    <w:rsid w:val="00FE7CB7"/>
    <w:rsid w:val="00FF1AC3"/>
    <w:rsid w:val="00FF3FC6"/>
    <w:rsid w:val="00FF6D62"/>
    <w:rsid w:val="00FF75D0"/>
    <w:rsid w:val="00FF7E4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14:docId w14:val="180AB9E1"/>
  <w15:docId w15:val="{795B9B83-1C3E-4ACE-9EF2-FD900DC5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Footnote,callout,Footnote Refernece,Footnote Reference Number,Fußnotenzeichen_Raxen,BVI fnr,Fago Fußnotenzeichen,Footnotes refss,Style 10,ftref,16 Point,Superscript 6 Point,Footnote number,Endnote Text1,Ref,de nota al pie"/>
    <w:basedOn w:val="Policepardfaut"/>
    <w:link w:val="4GCharChar"/>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n,f"/>
    <w:basedOn w:val="Normal"/>
    <w:link w:val="NotedebasdepageCar"/>
    <w:uiPriority w:val="99"/>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n Car,f Car"/>
    <w:basedOn w:val="Policepardfaut"/>
    <w:link w:val="Notedebasdepage"/>
    <w:uiPriority w:val="99"/>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Appelnotedebasdep"/>
    <w:rsid w:val="0006221B"/>
    <w:pPr>
      <w:suppressAutoHyphens w:val="0"/>
      <w:kinsoku/>
      <w:overflowPunct/>
      <w:autoSpaceDE/>
      <w:autoSpaceDN/>
      <w:adjustRightInd/>
      <w:snapToGrid/>
      <w:spacing w:after="160" w:line="240" w:lineRule="exact"/>
    </w:pPr>
    <w:rPr>
      <w:rFonts w:eastAsiaTheme="minorEastAsia" w:cstheme="minorBidi"/>
      <w:sz w:val="18"/>
      <w:szCs w:val="22"/>
      <w:vertAlign w:val="superscript"/>
      <w:lang w:eastAsia="zh-CN"/>
    </w:rPr>
  </w:style>
  <w:style w:type="character" w:customStyle="1" w:styleId="SingleTxtGChar">
    <w:name w:val="_ Single Txt_G Char"/>
    <w:link w:val="SingleTxtG"/>
    <w:locked/>
    <w:rsid w:val="0006221B"/>
    <w:rPr>
      <w:rFonts w:ascii="Times New Roman" w:eastAsiaTheme="minorHAnsi" w:hAnsi="Times New Roman" w:cs="Times New Roman"/>
      <w:sz w:val="20"/>
      <w:szCs w:val="20"/>
      <w:lang w:eastAsia="en-US"/>
    </w:rPr>
  </w:style>
  <w:style w:type="paragraph" w:customStyle="1" w:styleId="Default">
    <w:name w:val="Default"/>
    <w:rsid w:val="00FF1AC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1GChar">
    <w:name w:val="_ H_1_G Char"/>
    <w:link w:val="H1G"/>
    <w:locked/>
    <w:rsid w:val="005B2E51"/>
    <w:rPr>
      <w:rFonts w:ascii="Times New Roman" w:eastAsiaTheme="minorHAnsi" w:hAnsi="Times New Roman" w:cs="Times New Roman"/>
      <w:b/>
      <w:sz w:val="24"/>
      <w:szCs w:val="20"/>
      <w:lang w:eastAsia="en-US"/>
    </w:rPr>
  </w:style>
  <w:style w:type="paragraph" w:styleId="NormalWeb">
    <w:name w:val="Normal (Web)"/>
    <w:basedOn w:val="Normal"/>
    <w:uiPriority w:val="99"/>
    <w:unhideWhenUsed/>
    <w:rsid w:val="00B72D52"/>
    <w:pPr>
      <w:suppressAutoHyphens w:val="0"/>
      <w:kinsoku/>
      <w:overflowPunct/>
      <w:autoSpaceDE/>
      <w:autoSpaceDN/>
      <w:adjustRightInd/>
      <w:snapToGrid/>
      <w:spacing w:before="100" w:beforeAutospacing="1" w:after="100" w:afterAutospacing="1" w:line="300" w:lineRule="atLeast"/>
    </w:pPr>
    <w:rPr>
      <w:rFonts w:ascii="Verdana" w:eastAsia="Times New Roman" w:hAnsi="Verdana"/>
      <w:sz w:val="18"/>
      <w:szCs w:val="18"/>
      <w:lang w:val="en-GB" w:eastAsia="en-GB"/>
    </w:rPr>
  </w:style>
  <w:style w:type="character" w:styleId="Accentuation">
    <w:name w:val="Emphasis"/>
    <w:basedOn w:val="Policepardfaut"/>
    <w:uiPriority w:val="20"/>
    <w:qFormat/>
    <w:rsid w:val="00EE263D"/>
    <w:rPr>
      <w:i/>
      <w:iCs/>
    </w:rPr>
  </w:style>
  <w:style w:type="paragraph" w:customStyle="1" w:styleId="Body-Back">
    <w:name w:val="Body-Back"/>
    <w:basedOn w:val="Normal"/>
    <w:uiPriority w:val="99"/>
    <w:rsid w:val="00057200"/>
    <w:pPr>
      <w:widowControl w:val="0"/>
      <w:kinsoku/>
      <w:overflowPunct/>
      <w:snapToGrid/>
      <w:spacing w:after="180" w:line="288" w:lineRule="auto"/>
      <w:jc w:val="both"/>
      <w:textAlignment w:val="center"/>
    </w:pPr>
    <w:rPr>
      <w:rFonts w:ascii="GiovanniStd-Book" w:eastAsia="MS Mincho" w:hAnsi="GiovanniStd-Book" w:cs="GiovanniStd-Book"/>
      <w:color w:val="000000"/>
      <w:sz w:val="18"/>
      <w:szCs w:val="18"/>
      <w:lang w:val="fr-FR" w:eastAsia="fr-FR"/>
    </w:rPr>
  </w:style>
  <w:style w:type="character" w:styleId="lev">
    <w:name w:val="Strong"/>
    <w:basedOn w:val="Policepardfaut"/>
    <w:uiPriority w:val="22"/>
    <w:qFormat/>
    <w:rsid w:val="00072809"/>
    <w:rPr>
      <w:b/>
      <w:bCs/>
    </w:rPr>
  </w:style>
  <w:style w:type="character" w:styleId="Marquedecommentaire">
    <w:name w:val="annotation reference"/>
    <w:basedOn w:val="Policepardfaut"/>
    <w:uiPriority w:val="99"/>
    <w:semiHidden/>
    <w:unhideWhenUsed/>
    <w:rsid w:val="005A3DF0"/>
    <w:rPr>
      <w:sz w:val="16"/>
      <w:szCs w:val="16"/>
    </w:rPr>
  </w:style>
  <w:style w:type="paragraph" w:styleId="Commentaire">
    <w:name w:val="annotation text"/>
    <w:basedOn w:val="Normal"/>
    <w:link w:val="CommentaireCar"/>
    <w:uiPriority w:val="99"/>
    <w:semiHidden/>
    <w:unhideWhenUsed/>
    <w:rsid w:val="005A3DF0"/>
    <w:pPr>
      <w:spacing w:line="240" w:lineRule="auto"/>
    </w:pPr>
  </w:style>
  <w:style w:type="character" w:customStyle="1" w:styleId="CommentaireCar">
    <w:name w:val="Commentaire Car"/>
    <w:basedOn w:val="Policepardfaut"/>
    <w:link w:val="Commentaire"/>
    <w:uiPriority w:val="99"/>
    <w:semiHidden/>
    <w:rsid w:val="005A3DF0"/>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5A3DF0"/>
    <w:rPr>
      <w:b/>
      <w:bCs/>
    </w:rPr>
  </w:style>
  <w:style w:type="character" w:customStyle="1" w:styleId="ObjetducommentaireCar">
    <w:name w:val="Objet du commentaire Car"/>
    <w:basedOn w:val="CommentaireCar"/>
    <w:link w:val="Objetducommentaire"/>
    <w:uiPriority w:val="99"/>
    <w:semiHidden/>
    <w:rsid w:val="005A3DF0"/>
    <w:rPr>
      <w:rFonts w:ascii="Times New Roman" w:eastAsiaTheme="minorHAnsi" w:hAnsi="Times New Roman" w:cs="Times New Roman"/>
      <w:b/>
      <w:bCs/>
      <w:sz w:val="20"/>
      <w:szCs w:val="20"/>
      <w:lang w:eastAsia="en-US"/>
    </w:rPr>
  </w:style>
  <w:style w:type="paragraph" w:styleId="Paragraphedeliste">
    <w:name w:val="List Paragraph"/>
    <w:basedOn w:val="Normal"/>
    <w:uiPriority w:val="34"/>
    <w:semiHidden/>
    <w:qFormat/>
    <w:rsid w:val="007858F6"/>
    <w:pPr>
      <w:ind w:left="720"/>
      <w:contextualSpacing/>
    </w:pPr>
  </w:style>
  <w:style w:type="character" w:customStyle="1" w:styleId="H23GChar">
    <w:name w:val="_ H_2/3_G Char"/>
    <w:link w:val="H23G"/>
    <w:locked/>
    <w:rsid w:val="008B682B"/>
    <w:rPr>
      <w:rFonts w:ascii="Times New Roman" w:eastAsiaTheme="minorHAnsi" w:hAnsi="Times New Roman" w:cs="Times New Roman"/>
      <w:b/>
      <w:sz w:val="20"/>
      <w:szCs w:val="20"/>
      <w:lang w:eastAsia="en-US"/>
    </w:rPr>
  </w:style>
  <w:style w:type="character" w:customStyle="1" w:styleId="HChGChar">
    <w:name w:val="_ H _Ch_G Char"/>
    <w:link w:val="HChG"/>
    <w:locked/>
    <w:rsid w:val="00447C7B"/>
    <w:rPr>
      <w:rFonts w:ascii="Times New Roman" w:eastAsiaTheme="minorHAnsi" w:hAnsi="Times New Roman" w:cs="Times New Roman"/>
      <w:b/>
      <w:sz w:val="28"/>
      <w:szCs w:val="20"/>
      <w:lang w:eastAsia="en-US"/>
    </w:rPr>
  </w:style>
  <w:style w:type="character" w:customStyle="1" w:styleId="SingleTxtGCar">
    <w:name w:val="_ Single Txt_G Car"/>
    <w:rsid w:val="00311C54"/>
    <w:rPr>
      <w:rFonts w:ascii="Times New Roman" w:eastAsiaTheme="minorEastAsia" w:hAnsi="Times New Roman" w:cs="Times New Roman"/>
      <w:sz w:val="20"/>
      <w:szCs w:val="20"/>
      <w:lang w:val="fr-CH"/>
    </w:rPr>
  </w:style>
  <w:style w:type="paragraph" w:styleId="Rvision">
    <w:name w:val="Revision"/>
    <w:hidden/>
    <w:uiPriority w:val="99"/>
    <w:semiHidden/>
    <w:rsid w:val="00DC3071"/>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9861">
      <w:bodyDiv w:val="1"/>
      <w:marLeft w:val="0"/>
      <w:marRight w:val="0"/>
      <w:marTop w:val="0"/>
      <w:marBottom w:val="0"/>
      <w:divBdr>
        <w:top w:val="none" w:sz="0" w:space="0" w:color="auto"/>
        <w:left w:val="none" w:sz="0" w:space="0" w:color="auto"/>
        <w:bottom w:val="none" w:sz="0" w:space="0" w:color="auto"/>
        <w:right w:val="none" w:sz="0" w:space="0" w:color="auto"/>
      </w:divBdr>
      <w:divsChild>
        <w:div w:id="1325621815">
          <w:marLeft w:val="0"/>
          <w:marRight w:val="0"/>
          <w:marTop w:val="0"/>
          <w:marBottom w:val="0"/>
          <w:divBdr>
            <w:top w:val="none" w:sz="0" w:space="0" w:color="auto"/>
            <w:left w:val="none" w:sz="0" w:space="0" w:color="auto"/>
            <w:bottom w:val="none" w:sz="0" w:space="0" w:color="auto"/>
            <w:right w:val="none" w:sz="0" w:space="0" w:color="auto"/>
          </w:divBdr>
          <w:divsChild>
            <w:div w:id="1583636946">
              <w:marLeft w:val="0"/>
              <w:marRight w:val="0"/>
              <w:marTop w:val="0"/>
              <w:marBottom w:val="0"/>
              <w:divBdr>
                <w:top w:val="none" w:sz="0" w:space="0" w:color="auto"/>
                <w:left w:val="none" w:sz="0" w:space="0" w:color="auto"/>
                <w:bottom w:val="none" w:sz="0" w:space="0" w:color="auto"/>
                <w:right w:val="none" w:sz="0" w:space="0" w:color="auto"/>
              </w:divBdr>
              <w:divsChild>
                <w:div w:id="297103844">
                  <w:marLeft w:val="0"/>
                  <w:marRight w:val="0"/>
                  <w:marTop w:val="0"/>
                  <w:marBottom w:val="0"/>
                  <w:divBdr>
                    <w:top w:val="none" w:sz="0" w:space="0" w:color="auto"/>
                    <w:left w:val="none" w:sz="0" w:space="0" w:color="auto"/>
                    <w:bottom w:val="none" w:sz="0" w:space="0" w:color="auto"/>
                    <w:right w:val="none" w:sz="0" w:space="0" w:color="auto"/>
                  </w:divBdr>
                  <w:divsChild>
                    <w:div w:id="698815513">
                      <w:marLeft w:val="0"/>
                      <w:marRight w:val="0"/>
                      <w:marTop w:val="0"/>
                      <w:marBottom w:val="0"/>
                      <w:divBdr>
                        <w:top w:val="none" w:sz="0" w:space="0" w:color="auto"/>
                        <w:left w:val="none" w:sz="0" w:space="0" w:color="auto"/>
                        <w:bottom w:val="none" w:sz="0" w:space="0" w:color="auto"/>
                        <w:right w:val="none" w:sz="0" w:space="0" w:color="auto"/>
                      </w:divBdr>
                      <w:divsChild>
                        <w:div w:id="1341739799">
                          <w:marLeft w:val="0"/>
                          <w:marRight w:val="0"/>
                          <w:marTop w:val="0"/>
                          <w:marBottom w:val="0"/>
                          <w:divBdr>
                            <w:top w:val="none" w:sz="0" w:space="0" w:color="auto"/>
                            <w:left w:val="none" w:sz="0" w:space="0" w:color="auto"/>
                            <w:bottom w:val="none" w:sz="0" w:space="0" w:color="auto"/>
                            <w:right w:val="none" w:sz="0" w:space="0" w:color="auto"/>
                          </w:divBdr>
                          <w:divsChild>
                            <w:div w:id="14151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412287">
      <w:bodyDiv w:val="1"/>
      <w:marLeft w:val="0"/>
      <w:marRight w:val="0"/>
      <w:marTop w:val="0"/>
      <w:marBottom w:val="0"/>
      <w:divBdr>
        <w:top w:val="none" w:sz="0" w:space="0" w:color="auto"/>
        <w:left w:val="none" w:sz="0" w:space="0" w:color="auto"/>
        <w:bottom w:val="none" w:sz="0" w:space="0" w:color="auto"/>
        <w:right w:val="none" w:sz="0" w:space="0" w:color="auto"/>
      </w:divBdr>
      <w:divsChild>
        <w:div w:id="1101684900">
          <w:marLeft w:val="0"/>
          <w:marRight w:val="0"/>
          <w:marTop w:val="0"/>
          <w:marBottom w:val="0"/>
          <w:divBdr>
            <w:top w:val="none" w:sz="0" w:space="0" w:color="auto"/>
            <w:left w:val="none" w:sz="0" w:space="0" w:color="auto"/>
            <w:bottom w:val="none" w:sz="0" w:space="0" w:color="auto"/>
            <w:right w:val="none" w:sz="0" w:space="0" w:color="auto"/>
          </w:divBdr>
          <w:divsChild>
            <w:div w:id="1118453929">
              <w:marLeft w:val="0"/>
              <w:marRight w:val="0"/>
              <w:marTop w:val="0"/>
              <w:marBottom w:val="0"/>
              <w:divBdr>
                <w:top w:val="none" w:sz="0" w:space="0" w:color="auto"/>
                <w:left w:val="none" w:sz="0" w:space="0" w:color="auto"/>
                <w:bottom w:val="none" w:sz="0" w:space="0" w:color="auto"/>
                <w:right w:val="none" w:sz="0" w:space="0" w:color="auto"/>
              </w:divBdr>
              <w:divsChild>
                <w:div w:id="637877871">
                  <w:marLeft w:val="0"/>
                  <w:marRight w:val="0"/>
                  <w:marTop w:val="0"/>
                  <w:marBottom w:val="0"/>
                  <w:divBdr>
                    <w:top w:val="none" w:sz="0" w:space="0" w:color="auto"/>
                    <w:left w:val="none" w:sz="0" w:space="0" w:color="auto"/>
                    <w:bottom w:val="none" w:sz="0" w:space="0" w:color="auto"/>
                    <w:right w:val="none" w:sz="0" w:space="0" w:color="auto"/>
                  </w:divBdr>
                  <w:divsChild>
                    <w:div w:id="16120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3919">
      <w:bodyDiv w:val="1"/>
      <w:marLeft w:val="0"/>
      <w:marRight w:val="0"/>
      <w:marTop w:val="0"/>
      <w:marBottom w:val="0"/>
      <w:divBdr>
        <w:top w:val="none" w:sz="0" w:space="0" w:color="auto"/>
        <w:left w:val="none" w:sz="0" w:space="0" w:color="auto"/>
        <w:bottom w:val="none" w:sz="0" w:space="0" w:color="auto"/>
        <w:right w:val="none" w:sz="0" w:space="0" w:color="auto"/>
      </w:divBdr>
      <w:divsChild>
        <w:div w:id="855656038">
          <w:marLeft w:val="0"/>
          <w:marRight w:val="0"/>
          <w:marTop w:val="0"/>
          <w:marBottom w:val="0"/>
          <w:divBdr>
            <w:top w:val="none" w:sz="0" w:space="0" w:color="auto"/>
            <w:left w:val="none" w:sz="0" w:space="0" w:color="auto"/>
            <w:bottom w:val="none" w:sz="0" w:space="0" w:color="auto"/>
            <w:right w:val="none" w:sz="0" w:space="0" w:color="auto"/>
          </w:divBdr>
          <w:divsChild>
            <w:div w:id="1349913028">
              <w:marLeft w:val="0"/>
              <w:marRight w:val="0"/>
              <w:marTop w:val="0"/>
              <w:marBottom w:val="0"/>
              <w:divBdr>
                <w:top w:val="none" w:sz="0" w:space="0" w:color="auto"/>
                <w:left w:val="none" w:sz="0" w:space="0" w:color="auto"/>
                <w:bottom w:val="none" w:sz="0" w:space="0" w:color="auto"/>
                <w:right w:val="none" w:sz="0" w:space="0" w:color="auto"/>
              </w:divBdr>
              <w:divsChild>
                <w:div w:id="435828331">
                  <w:marLeft w:val="0"/>
                  <w:marRight w:val="0"/>
                  <w:marTop w:val="0"/>
                  <w:marBottom w:val="0"/>
                  <w:divBdr>
                    <w:top w:val="none" w:sz="0" w:space="0" w:color="auto"/>
                    <w:left w:val="none" w:sz="0" w:space="0" w:color="auto"/>
                    <w:bottom w:val="none" w:sz="0" w:space="0" w:color="auto"/>
                    <w:right w:val="none" w:sz="0" w:space="0" w:color="auto"/>
                  </w:divBdr>
                  <w:divsChild>
                    <w:div w:id="729042320">
                      <w:marLeft w:val="0"/>
                      <w:marRight w:val="0"/>
                      <w:marTop w:val="0"/>
                      <w:marBottom w:val="0"/>
                      <w:divBdr>
                        <w:top w:val="none" w:sz="0" w:space="0" w:color="auto"/>
                        <w:left w:val="none" w:sz="0" w:space="0" w:color="auto"/>
                        <w:bottom w:val="none" w:sz="0" w:space="0" w:color="auto"/>
                        <w:right w:val="none" w:sz="0" w:space="0" w:color="auto"/>
                      </w:divBdr>
                      <w:divsChild>
                        <w:div w:id="8559260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42845">
      <w:bodyDiv w:val="1"/>
      <w:marLeft w:val="0"/>
      <w:marRight w:val="0"/>
      <w:marTop w:val="0"/>
      <w:marBottom w:val="0"/>
      <w:divBdr>
        <w:top w:val="none" w:sz="0" w:space="0" w:color="auto"/>
        <w:left w:val="none" w:sz="0" w:space="0" w:color="auto"/>
        <w:bottom w:val="none" w:sz="0" w:space="0" w:color="auto"/>
        <w:right w:val="none" w:sz="0" w:space="0" w:color="auto"/>
      </w:divBdr>
      <w:divsChild>
        <w:div w:id="898442241">
          <w:marLeft w:val="0"/>
          <w:marRight w:val="0"/>
          <w:marTop w:val="0"/>
          <w:marBottom w:val="0"/>
          <w:divBdr>
            <w:top w:val="none" w:sz="0" w:space="0" w:color="auto"/>
            <w:left w:val="none" w:sz="0" w:space="0" w:color="auto"/>
            <w:bottom w:val="none" w:sz="0" w:space="0" w:color="auto"/>
            <w:right w:val="none" w:sz="0" w:space="0" w:color="auto"/>
          </w:divBdr>
          <w:divsChild>
            <w:div w:id="1935480398">
              <w:marLeft w:val="0"/>
              <w:marRight w:val="0"/>
              <w:marTop w:val="0"/>
              <w:marBottom w:val="0"/>
              <w:divBdr>
                <w:top w:val="none" w:sz="0" w:space="0" w:color="auto"/>
                <w:left w:val="none" w:sz="0" w:space="0" w:color="auto"/>
                <w:bottom w:val="none" w:sz="0" w:space="0" w:color="auto"/>
                <w:right w:val="none" w:sz="0" w:space="0" w:color="auto"/>
              </w:divBdr>
              <w:divsChild>
                <w:div w:id="268777195">
                  <w:marLeft w:val="0"/>
                  <w:marRight w:val="0"/>
                  <w:marTop w:val="0"/>
                  <w:marBottom w:val="0"/>
                  <w:divBdr>
                    <w:top w:val="none" w:sz="0" w:space="0" w:color="auto"/>
                    <w:left w:val="none" w:sz="0" w:space="0" w:color="auto"/>
                    <w:bottom w:val="none" w:sz="0" w:space="0" w:color="auto"/>
                    <w:right w:val="none" w:sz="0" w:space="0" w:color="auto"/>
                  </w:divBdr>
                  <w:divsChild>
                    <w:div w:id="231738669">
                      <w:marLeft w:val="0"/>
                      <w:marRight w:val="0"/>
                      <w:marTop w:val="0"/>
                      <w:marBottom w:val="0"/>
                      <w:divBdr>
                        <w:top w:val="none" w:sz="0" w:space="0" w:color="auto"/>
                        <w:left w:val="none" w:sz="0" w:space="0" w:color="auto"/>
                        <w:bottom w:val="none" w:sz="0" w:space="0" w:color="auto"/>
                        <w:right w:val="none" w:sz="0" w:space="0" w:color="auto"/>
                      </w:divBdr>
                      <w:divsChild>
                        <w:div w:id="89199411">
                          <w:marLeft w:val="0"/>
                          <w:marRight w:val="0"/>
                          <w:marTop w:val="0"/>
                          <w:marBottom w:val="0"/>
                          <w:divBdr>
                            <w:top w:val="none" w:sz="0" w:space="0" w:color="auto"/>
                            <w:left w:val="none" w:sz="0" w:space="0" w:color="auto"/>
                            <w:bottom w:val="none" w:sz="0" w:space="0" w:color="auto"/>
                            <w:right w:val="none" w:sz="0" w:space="0" w:color="auto"/>
                          </w:divBdr>
                          <w:divsChild>
                            <w:div w:id="1579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52561">
      <w:bodyDiv w:val="1"/>
      <w:marLeft w:val="0"/>
      <w:marRight w:val="0"/>
      <w:marTop w:val="0"/>
      <w:marBottom w:val="0"/>
      <w:divBdr>
        <w:top w:val="none" w:sz="0" w:space="0" w:color="auto"/>
        <w:left w:val="none" w:sz="0" w:space="0" w:color="auto"/>
        <w:bottom w:val="none" w:sz="0" w:space="0" w:color="auto"/>
        <w:right w:val="none" w:sz="0" w:space="0" w:color="auto"/>
      </w:divBdr>
    </w:div>
    <w:div w:id="1687636825">
      <w:bodyDiv w:val="1"/>
      <w:marLeft w:val="0"/>
      <w:marRight w:val="0"/>
      <w:marTop w:val="0"/>
      <w:marBottom w:val="0"/>
      <w:divBdr>
        <w:top w:val="none" w:sz="0" w:space="0" w:color="auto"/>
        <w:left w:val="none" w:sz="0" w:space="0" w:color="auto"/>
        <w:bottom w:val="none" w:sz="0" w:space="0" w:color="auto"/>
        <w:right w:val="none" w:sz="0" w:space="0" w:color="auto"/>
      </w:divBdr>
      <w:divsChild>
        <w:div w:id="783232256">
          <w:marLeft w:val="0"/>
          <w:marRight w:val="0"/>
          <w:marTop w:val="0"/>
          <w:marBottom w:val="0"/>
          <w:divBdr>
            <w:top w:val="none" w:sz="0" w:space="0" w:color="auto"/>
            <w:left w:val="none" w:sz="0" w:space="0" w:color="auto"/>
            <w:bottom w:val="none" w:sz="0" w:space="0" w:color="auto"/>
            <w:right w:val="none" w:sz="0" w:space="0" w:color="auto"/>
          </w:divBdr>
          <w:divsChild>
            <w:div w:id="633367374">
              <w:marLeft w:val="0"/>
              <w:marRight w:val="0"/>
              <w:marTop w:val="0"/>
              <w:marBottom w:val="0"/>
              <w:divBdr>
                <w:top w:val="none" w:sz="0" w:space="0" w:color="auto"/>
                <w:left w:val="none" w:sz="0" w:space="0" w:color="auto"/>
                <w:bottom w:val="none" w:sz="0" w:space="0" w:color="auto"/>
                <w:right w:val="none" w:sz="0" w:space="0" w:color="auto"/>
              </w:divBdr>
              <w:divsChild>
                <w:div w:id="12523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6487-E367-46AB-91D7-6996B043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9</Pages>
  <Words>5461</Words>
  <Characters>30040</Characters>
  <Application>Microsoft Office Word</Application>
  <DocSecurity>0</DocSecurity>
  <Lines>250</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CCPR/C/CAF/Q/R.3</vt:lpstr>
      <vt:lpstr>CCPR/C/CAF/Q/R.3</vt:lpstr>
    </vt:vector>
  </TitlesOfParts>
  <Company>DCM</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CCPR/C/NER/CO/2</dc:title>
  <dc:subject>qrcode</dc:subject>
  <dc:creator>dvx</dc:creator>
  <cp:keywords/>
  <dc:description/>
  <cp:lastModifiedBy>Christine Devouassoux</cp:lastModifiedBy>
  <cp:revision>3</cp:revision>
  <cp:lastPrinted>2019-05-16T05:06:00Z</cp:lastPrinted>
  <dcterms:created xsi:type="dcterms:W3CDTF">2019-05-16T05:06:00Z</dcterms:created>
  <dcterms:modified xsi:type="dcterms:W3CDTF">2019-05-16T05:07:00Z</dcterms:modified>
</cp:coreProperties>
</file>