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D6EB6">
        <w:trPr>
          <w:trHeight w:hRule="exact" w:val="851"/>
        </w:trPr>
        <w:tc>
          <w:tcPr>
            <w:tcW w:w="1280" w:type="dxa"/>
            <w:tcBorders>
              <w:bottom w:val="single" w:sz="4" w:space="0" w:color="auto"/>
            </w:tcBorders>
            <w:shd w:val="clear" w:color="auto" w:fill="auto"/>
          </w:tcPr>
          <w:p w:rsidR="002D5AAC" w:rsidRDefault="002D5AAC" w:rsidP="007D6EB6"/>
        </w:tc>
        <w:tc>
          <w:tcPr>
            <w:tcW w:w="2273" w:type="dxa"/>
            <w:tcBorders>
              <w:bottom w:val="single" w:sz="4" w:space="0" w:color="auto"/>
            </w:tcBorders>
            <w:shd w:val="clear" w:color="auto" w:fill="auto"/>
            <w:vAlign w:val="bottom"/>
          </w:tcPr>
          <w:p w:rsidR="002D5AAC" w:rsidRPr="007D6EB6" w:rsidRDefault="00BD33EE" w:rsidP="007D6EB6">
            <w:pPr>
              <w:spacing w:after="80" w:line="300" w:lineRule="exact"/>
              <w:rPr>
                <w:sz w:val="28"/>
              </w:rPr>
            </w:pPr>
            <w:r w:rsidRPr="007D6EB6">
              <w:rPr>
                <w:sz w:val="28"/>
              </w:rPr>
              <w:t>Naciones Unidas</w:t>
            </w:r>
          </w:p>
        </w:tc>
        <w:tc>
          <w:tcPr>
            <w:tcW w:w="6086" w:type="dxa"/>
            <w:gridSpan w:val="2"/>
            <w:tcBorders>
              <w:bottom w:val="single" w:sz="4" w:space="0" w:color="auto"/>
            </w:tcBorders>
            <w:shd w:val="clear" w:color="auto" w:fill="auto"/>
            <w:vAlign w:val="bottom"/>
          </w:tcPr>
          <w:p w:rsidR="002D5AAC" w:rsidRDefault="006F4F13" w:rsidP="00C3793B">
            <w:pPr>
              <w:jc w:val="right"/>
            </w:pPr>
            <w:r w:rsidRPr="007D6EB6">
              <w:rPr>
                <w:sz w:val="40"/>
              </w:rPr>
              <w:t>CED</w:t>
            </w:r>
            <w:r>
              <w:t>/C/</w:t>
            </w:r>
            <w:r w:rsidR="00B448B5">
              <w:t>11</w:t>
            </w:r>
            <w:r w:rsidR="008210A2">
              <w:t>/</w:t>
            </w:r>
            <w:r w:rsidR="00C3793B">
              <w:t>3</w:t>
            </w:r>
          </w:p>
        </w:tc>
      </w:tr>
      <w:tr w:rsidR="002D5AAC" w:rsidTr="007D6EB6">
        <w:trPr>
          <w:trHeight w:hRule="exact" w:val="2835"/>
        </w:trPr>
        <w:tc>
          <w:tcPr>
            <w:tcW w:w="1280" w:type="dxa"/>
            <w:tcBorders>
              <w:top w:val="single" w:sz="4" w:space="0" w:color="auto"/>
              <w:bottom w:val="single" w:sz="12" w:space="0" w:color="auto"/>
            </w:tcBorders>
            <w:shd w:val="clear" w:color="auto" w:fill="auto"/>
          </w:tcPr>
          <w:p w:rsidR="002D5AAC" w:rsidRDefault="00CF690B" w:rsidP="007D6EB6">
            <w:pPr>
              <w:spacing w:before="120"/>
              <w:jc w:val="center"/>
            </w:pPr>
            <w:r>
              <w:rPr>
                <w:noProof/>
              </w:rPr>
              <w:drawing>
                <wp:inline distT="0" distB="0" distL="0" distR="0" wp14:anchorId="0E0E7C54" wp14:editId="5CC45EFB">
                  <wp:extent cx="715010" cy="592455"/>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7D6EB6" w:rsidRDefault="00F94155" w:rsidP="00D50320">
            <w:pPr>
              <w:spacing w:before="120" w:line="360" w:lineRule="exact"/>
              <w:rPr>
                <w:b/>
                <w:sz w:val="34"/>
                <w:szCs w:val="34"/>
              </w:rPr>
            </w:pPr>
            <w:r w:rsidRPr="007D6EB6">
              <w:rPr>
                <w:b/>
                <w:sz w:val="34"/>
                <w:szCs w:val="34"/>
              </w:rPr>
              <w:t xml:space="preserve">Convención </w:t>
            </w:r>
            <w:r w:rsidR="00A34B7B" w:rsidRPr="007D6EB6">
              <w:rPr>
                <w:b/>
                <w:sz w:val="34"/>
                <w:szCs w:val="34"/>
              </w:rPr>
              <w:t xml:space="preserve">Internacional para la </w:t>
            </w:r>
            <w:r w:rsidR="00F86F98">
              <w:rPr>
                <w:b/>
                <w:sz w:val="34"/>
                <w:szCs w:val="34"/>
              </w:rPr>
              <w:t>P</w:t>
            </w:r>
            <w:r w:rsidR="00A34B7B" w:rsidRPr="007D6EB6">
              <w:rPr>
                <w:b/>
                <w:sz w:val="34"/>
                <w:szCs w:val="34"/>
              </w:rPr>
              <w:t xml:space="preserve">rotección de </w:t>
            </w:r>
            <w:r w:rsidR="00F86F98">
              <w:rPr>
                <w:b/>
                <w:sz w:val="34"/>
                <w:szCs w:val="34"/>
              </w:rPr>
              <w:t>T</w:t>
            </w:r>
            <w:r w:rsidR="00A34B7B" w:rsidRPr="007D6EB6">
              <w:rPr>
                <w:b/>
                <w:sz w:val="34"/>
                <w:szCs w:val="34"/>
              </w:rPr>
              <w:t xml:space="preserve">odas las </w:t>
            </w:r>
            <w:r w:rsidR="00F86F98">
              <w:rPr>
                <w:b/>
                <w:sz w:val="34"/>
                <w:szCs w:val="34"/>
              </w:rPr>
              <w:t>P</w:t>
            </w:r>
            <w:r w:rsidR="00A34B7B" w:rsidRPr="007D6EB6">
              <w:rPr>
                <w:b/>
                <w:sz w:val="34"/>
                <w:szCs w:val="34"/>
              </w:rPr>
              <w:t xml:space="preserve">ersonas contra las </w:t>
            </w:r>
            <w:r w:rsidR="00F86F98">
              <w:rPr>
                <w:b/>
                <w:sz w:val="34"/>
                <w:szCs w:val="34"/>
              </w:rPr>
              <w:t>D</w:t>
            </w:r>
            <w:r w:rsidR="00A34B7B" w:rsidRPr="007D6EB6">
              <w:rPr>
                <w:b/>
                <w:sz w:val="34"/>
                <w:szCs w:val="34"/>
              </w:rPr>
              <w:t xml:space="preserve">esapariciones </w:t>
            </w:r>
            <w:r w:rsidR="00F86F98">
              <w:rPr>
                <w:b/>
                <w:sz w:val="34"/>
                <w:szCs w:val="34"/>
              </w:rPr>
              <w:t>F</w:t>
            </w:r>
            <w:r w:rsidR="00A34B7B" w:rsidRPr="007D6EB6">
              <w:rPr>
                <w:b/>
                <w:sz w:val="34"/>
                <w:szCs w:val="34"/>
              </w:rPr>
              <w:t>orzadas</w:t>
            </w:r>
          </w:p>
        </w:tc>
        <w:tc>
          <w:tcPr>
            <w:tcW w:w="2819" w:type="dxa"/>
            <w:tcBorders>
              <w:top w:val="single" w:sz="4" w:space="0" w:color="auto"/>
              <w:bottom w:val="single" w:sz="12" w:space="0" w:color="auto"/>
            </w:tcBorders>
            <w:shd w:val="clear" w:color="auto" w:fill="auto"/>
          </w:tcPr>
          <w:p w:rsidR="002D5AAC" w:rsidRDefault="006F4F13" w:rsidP="007D6EB6">
            <w:pPr>
              <w:spacing w:before="240" w:line="240" w:lineRule="exact"/>
            </w:pPr>
            <w:proofErr w:type="spellStart"/>
            <w:r>
              <w:t>Distr</w:t>
            </w:r>
            <w:proofErr w:type="spellEnd"/>
            <w:r>
              <w:t xml:space="preserve">. </w:t>
            </w:r>
            <w:r w:rsidR="003058F4">
              <w:t>general</w:t>
            </w:r>
          </w:p>
          <w:p w:rsidR="006F4F13" w:rsidRDefault="000D7E24" w:rsidP="00512BBD">
            <w:pPr>
              <w:spacing w:line="240" w:lineRule="exact"/>
            </w:pPr>
            <w:r>
              <w:t>1</w:t>
            </w:r>
            <w:r w:rsidR="00512BBD">
              <w:t>4</w:t>
            </w:r>
            <w:r w:rsidR="00AF783A">
              <w:t xml:space="preserve"> </w:t>
            </w:r>
            <w:r w:rsidR="003058F4">
              <w:t xml:space="preserve">de </w:t>
            </w:r>
            <w:r w:rsidR="00C3793B">
              <w:t>noviembre</w:t>
            </w:r>
            <w:r w:rsidR="00B448B5">
              <w:t xml:space="preserve"> de</w:t>
            </w:r>
            <w:r w:rsidR="00156B36">
              <w:t xml:space="preserve"> 2016</w:t>
            </w:r>
          </w:p>
          <w:p w:rsidR="006F4F13" w:rsidRDefault="006F4F13" w:rsidP="007D6EB6">
            <w:pPr>
              <w:spacing w:line="240" w:lineRule="exact"/>
            </w:pPr>
          </w:p>
          <w:p w:rsidR="006F4F13" w:rsidRDefault="006F4F13" w:rsidP="007D6EB6">
            <w:pPr>
              <w:spacing w:line="240" w:lineRule="exact"/>
            </w:pPr>
            <w:r>
              <w:t>Original: español</w:t>
            </w:r>
          </w:p>
          <w:p w:rsidR="00B26E13" w:rsidRDefault="00B26E13" w:rsidP="00D31E18">
            <w:pPr>
              <w:spacing w:line="240" w:lineRule="exact"/>
            </w:pPr>
          </w:p>
        </w:tc>
      </w:tr>
    </w:tbl>
    <w:p w:rsidR="00E2270F" w:rsidRPr="009C493C" w:rsidRDefault="00E2270F" w:rsidP="009C493C">
      <w:pPr>
        <w:spacing w:before="120"/>
        <w:rPr>
          <w:b/>
          <w:sz w:val="24"/>
          <w:szCs w:val="24"/>
        </w:rPr>
      </w:pPr>
      <w:r w:rsidRPr="009C493C">
        <w:rPr>
          <w:b/>
          <w:sz w:val="24"/>
          <w:szCs w:val="24"/>
        </w:rPr>
        <w:t>Comité contra la Desaparición Forzada</w:t>
      </w:r>
    </w:p>
    <w:p w:rsidR="00E2270F" w:rsidRPr="00DD7E3E" w:rsidRDefault="00E2270F" w:rsidP="00512BBD">
      <w:pPr>
        <w:pStyle w:val="HChG"/>
      </w:pPr>
      <w:r w:rsidRPr="00DD7E3E">
        <w:tab/>
      </w:r>
      <w:r w:rsidRPr="00DD7E3E">
        <w:tab/>
      </w:r>
      <w:r w:rsidR="005955C7">
        <w:t>Informe sobre las p</w:t>
      </w:r>
      <w:r w:rsidRPr="00DD7E3E">
        <w:t xml:space="preserve">eticiones de acción </w:t>
      </w:r>
      <w:r w:rsidRPr="00C53B87">
        <w:t>urgente</w:t>
      </w:r>
      <w:r w:rsidRPr="00DD7E3E">
        <w:t xml:space="preserve"> </w:t>
      </w:r>
      <w:r w:rsidRPr="00E1127B">
        <w:t>recibidas</w:t>
      </w:r>
      <w:r w:rsidRPr="00DD7E3E">
        <w:t xml:space="preserve"> en</w:t>
      </w:r>
      <w:r w:rsidR="00512BBD">
        <w:t> </w:t>
      </w:r>
      <w:r w:rsidRPr="00DD7E3E">
        <w:t>virtud del artículo 30 de la Convención</w:t>
      </w:r>
      <w:r w:rsidR="00512BBD" w:rsidRPr="009C493C">
        <w:rPr>
          <w:rStyle w:val="Refdenotaalpie"/>
          <w:b w:val="0"/>
          <w:bCs/>
          <w:sz w:val="20"/>
          <w:vertAlign w:val="baseline"/>
        </w:rPr>
        <w:footnoteReference w:customMarkFollows="1" w:id="1"/>
        <w:t>*</w:t>
      </w:r>
      <w:r w:rsidR="00512BBD">
        <w:rPr>
          <w:b w:val="0"/>
          <w:bCs/>
          <w:sz w:val="20"/>
        </w:rPr>
        <w:t xml:space="preserve"> </w:t>
      </w:r>
    </w:p>
    <w:p w:rsidR="00024918" w:rsidRPr="00DD7E3E" w:rsidRDefault="00024918" w:rsidP="00024918">
      <w:pPr>
        <w:pStyle w:val="H1G"/>
      </w:pPr>
      <w:r w:rsidRPr="006D75BC">
        <w:tab/>
      </w:r>
      <w:r>
        <w:t>A.</w:t>
      </w:r>
      <w:r w:rsidRPr="006D75BC">
        <w:tab/>
      </w:r>
      <w:r>
        <w:t>Introducción</w:t>
      </w:r>
    </w:p>
    <w:p w:rsidR="00024918" w:rsidRPr="006D75BC" w:rsidRDefault="00C106D5">
      <w:pPr>
        <w:pStyle w:val="SingleTxtG"/>
      </w:pPr>
      <w:r>
        <w:t>1</w:t>
      </w:r>
      <w:r w:rsidR="00624A12">
        <w:t>.</w:t>
      </w:r>
      <w:r w:rsidR="00E2270F" w:rsidRPr="00DD7E3E">
        <w:tab/>
        <w:t>El reglamento del Comité</w:t>
      </w:r>
      <w:r w:rsidR="00024918">
        <w:t xml:space="preserve"> </w:t>
      </w:r>
      <w:r w:rsidR="00024918">
        <w:rPr>
          <w:lang w:eastAsia="x-none"/>
        </w:rPr>
        <w:t>(CED/C/1)</w:t>
      </w:r>
      <w:r w:rsidR="00E2270F" w:rsidRPr="00DD7E3E">
        <w:t xml:space="preserve">, en sus artículos 58 y 59, estipula que el Secretario General señalará a la atención del Comité las peticiones de acciones urgentes que se hayan presentado para su examen por el Comité, con </w:t>
      </w:r>
      <w:bookmarkStart w:id="0" w:name="_GoBack"/>
      <w:bookmarkEnd w:id="0"/>
      <w:r w:rsidR="00E2270F" w:rsidRPr="00DD7E3E">
        <w:t xml:space="preserve">arreglo al artículo 30 de la Convención. Se podrá proporcionar el texto completo de cualquiera de esas peticiones, en el idioma en que se haya presentado, a todo miembro del Comité </w:t>
      </w:r>
      <w:r w:rsidR="00E2270F" w:rsidRPr="00035A1C">
        <w:t>que</w:t>
      </w:r>
      <w:r w:rsidR="00E2270F" w:rsidRPr="00DD7E3E">
        <w:t xml:space="preserve"> lo solicite. La presente nota resume </w:t>
      </w:r>
      <w:r w:rsidR="0036159F">
        <w:t xml:space="preserve">los principales temas abordados con relación a las </w:t>
      </w:r>
      <w:r w:rsidR="0036159F" w:rsidRPr="00C53B87">
        <w:t>acciones</w:t>
      </w:r>
      <w:r w:rsidR="0036159F">
        <w:t xml:space="preserve"> urgentes registradas por el Comité y las decisiones adoptadas al respecto desde el </w:t>
      </w:r>
      <w:r w:rsidR="00B448B5">
        <w:t>décimo</w:t>
      </w:r>
      <w:r w:rsidR="0036159F">
        <w:t xml:space="preserve"> período de sesiones del Comité, </w:t>
      </w:r>
      <w:r w:rsidR="00E2270F" w:rsidRPr="00DD7E3E">
        <w:t>en virtu</w:t>
      </w:r>
      <w:r w:rsidR="00E2270F" w:rsidRPr="006D75BC">
        <w:t>d del artículo 30 de la Convención</w:t>
      </w:r>
      <w:r w:rsidR="0036159F" w:rsidRPr="006D75BC">
        <w:t xml:space="preserve">. </w:t>
      </w:r>
    </w:p>
    <w:p w:rsidR="00024918" w:rsidRPr="00DD7E3E" w:rsidRDefault="00024918">
      <w:pPr>
        <w:pStyle w:val="H1G"/>
      </w:pPr>
      <w:r w:rsidRPr="006D75BC">
        <w:tab/>
      </w:r>
      <w:r w:rsidRPr="00976500">
        <w:t>B.</w:t>
      </w:r>
      <w:r w:rsidRPr="00976500">
        <w:tab/>
        <w:t xml:space="preserve">Peticiones de acción urgente recibidas desde el </w:t>
      </w:r>
      <w:r w:rsidR="00D601DD" w:rsidRPr="00976500">
        <w:t xml:space="preserve">décimo </w:t>
      </w:r>
      <w:r w:rsidRPr="00976500">
        <w:t>período de</w:t>
      </w:r>
      <w:r w:rsidR="00512BBD">
        <w:t> </w:t>
      </w:r>
      <w:r w:rsidRPr="00976500">
        <w:t>sesiones del Comité</w:t>
      </w:r>
    </w:p>
    <w:p w:rsidR="006318A3" w:rsidRDefault="00E2270F">
      <w:pPr>
        <w:pStyle w:val="SingleTxtG"/>
      </w:pPr>
      <w:r w:rsidRPr="00DD7E3E">
        <w:t>2</w:t>
      </w:r>
      <w:r w:rsidR="00E2298D">
        <w:t>.</w:t>
      </w:r>
      <w:r w:rsidRPr="00DD7E3E">
        <w:tab/>
      </w:r>
      <w:r w:rsidR="00D7125B">
        <w:t xml:space="preserve">En su nota sobre las peticiones de acción urgente adoptada con ocasión de su </w:t>
      </w:r>
      <w:r w:rsidR="00B448B5">
        <w:t>décimo</w:t>
      </w:r>
      <w:r w:rsidR="00D7125B">
        <w:t xml:space="preserve"> período de sesiones, el Comité reflejó las decisiones adoptadas sobre las </w:t>
      </w:r>
      <w:r w:rsidR="00E90F37">
        <w:t>276</w:t>
      </w:r>
      <w:r w:rsidR="00386D47">
        <w:t xml:space="preserve"> </w:t>
      </w:r>
      <w:r w:rsidR="00D7125B">
        <w:t xml:space="preserve">acciones urgentes registradas hasta el </w:t>
      </w:r>
      <w:r w:rsidR="00386D47">
        <w:t xml:space="preserve">30 de </w:t>
      </w:r>
      <w:r w:rsidR="00386D47" w:rsidRPr="00C53B87">
        <w:t>enero</w:t>
      </w:r>
      <w:r w:rsidR="00386D47">
        <w:t xml:space="preserve"> de 2016</w:t>
      </w:r>
      <w:r w:rsidR="00D7125B">
        <w:t>. Desde esta fecha</w:t>
      </w:r>
      <w:r w:rsidR="00CC28E4">
        <w:t xml:space="preserve"> h</w:t>
      </w:r>
      <w:r w:rsidR="008A67E8">
        <w:t xml:space="preserve">asta el </w:t>
      </w:r>
      <w:r w:rsidR="003058F4">
        <w:t>6 de octubre</w:t>
      </w:r>
      <w:r w:rsidR="0053362F">
        <w:t xml:space="preserve"> de 2016</w:t>
      </w:r>
      <w:r w:rsidR="00D7125B">
        <w:t>, el Comité ha re</w:t>
      </w:r>
      <w:r w:rsidR="00D7125B" w:rsidRPr="006D75BC">
        <w:t xml:space="preserve">cibido </w:t>
      </w:r>
      <w:r w:rsidR="003058F4">
        <w:t>73</w:t>
      </w:r>
      <w:r w:rsidR="003058F4" w:rsidRPr="006D75BC">
        <w:t xml:space="preserve"> </w:t>
      </w:r>
      <w:r w:rsidR="00CC28E4">
        <w:t xml:space="preserve">nuevas </w:t>
      </w:r>
      <w:r w:rsidR="0053362F" w:rsidRPr="006D75BC">
        <w:t>peticiones de acción urgente, de las c</w:t>
      </w:r>
      <w:r w:rsidR="00496B9E" w:rsidRPr="006D75BC">
        <w:t>uales han sido registradas</w:t>
      </w:r>
      <w:r w:rsidR="00024918">
        <w:t xml:space="preserve"> 65</w:t>
      </w:r>
      <w:r w:rsidR="00496B9E" w:rsidRPr="006D75BC">
        <w:t xml:space="preserve">. De estas, </w:t>
      </w:r>
      <w:r w:rsidR="00C206B7">
        <w:t xml:space="preserve">4 </w:t>
      </w:r>
      <w:r w:rsidR="006328D9" w:rsidRPr="006D75BC">
        <w:t xml:space="preserve">se relacionan con hechos ocurridos en Colombia, </w:t>
      </w:r>
      <w:r w:rsidR="00C206B7">
        <w:t xml:space="preserve">18 </w:t>
      </w:r>
      <w:r w:rsidR="006328D9" w:rsidRPr="006D75BC">
        <w:t xml:space="preserve">en </w:t>
      </w:r>
      <w:r w:rsidR="00024918">
        <w:t xml:space="preserve">el </w:t>
      </w:r>
      <w:r w:rsidR="006328D9" w:rsidRPr="006D75BC">
        <w:t>Ir</w:t>
      </w:r>
      <w:r w:rsidR="006328D9">
        <w:t>aq</w:t>
      </w:r>
      <w:r w:rsidR="00386D47">
        <w:t>,</w:t>
      </w:r>
      <w:r w:rsidR="006328D9">
        <w:t xml:space="preserve"> </w:t>
      </w:r>
      <w:r w:rsidR="00D13915">
        <w:t>42</w:t>
      </w:r>
      <w:r w:rsidR="00386D47">
        <w:t xml:space="preserve"> </w:t>
      </w:r>
      <w:r w:rsidR="006328D9">
        <w:t>en México</w:t>
      </w:r>
      <w:r w:rsidR="00D13915">
        <w:t xml:space="preserve"> y </w:t>
      </w:r>
      <w:r w:rsidR="00C206B7">
        <w:t xml:space="preserve">1 </w:t>
      </w:r>
      <w:r w:rsidR="00386D47">
        <w:t>en Marruecos</w:t>
      </w:r>
      <w:r w:rsidR="006328D9">
        <w:t>.</w:t>
      </w:r>
      <w:r w:rsidR="00E47BCB">
        <w:t xml:space="preserve"> El presente informe se acompaña de la lista de acciones urgentes registradas (v</w:t>
      </w:r>
      <w:r w:rsidR="00C206B7">
        <w:t xml:space="preserve">éase </w:t>
      </w:r>
      <w:r w:rsidR="00E47BCB">
        <w:t>anexo no traducido).</w:t>
      </w:r>
    </w:p>
    <w:p w:rsidR="00CD4E70" w:rsidRDefault="00E2298D" w:rsidP="00F93A56">
      <w:pPr>
        <w:pStyle w:val="SingleTxtG"/>
      </w:pPr>
      <w:r>
        <w:t>3.</w:t>
      </w:r>
      <w:r w:rsidR="006318A3">
        <w:tab/>
      </w:r>
      <w:r w:rsidR="00CD4E70">
        <w:t>A la fecha de</w:t>
      </w:r>
      <w:r w:rsidR="00CC28E4">
        <w:t xml:space="preserve"> </w:t>
      </w:r>
      <w:r w:rsidR="00CD4E70">
        <w:t>l</w:t>
      </w:r>
      <w:r w:rsidR="00CC28E4">
        <w:t>a</w:t>
      </w:r>
      <w:r w:rsidR="00CD4E70">
        <w:t xml:space="preserve"> presente </w:t>
      </w:r>
      <w:r w:rsidR="00CC28E4">
        <w:t>nota</w:t>
      </w:r>
      <w:r w:rsidR="00CD4E70">
        <w:t xml:space="preserve">, el Comité ha entonces registrado un total de </w:t>
      </w:r>
      <w:r w:rsidR="005B5168">
        <w:t>34</w:t>
      </w:r>
      <w:r w:rsidR="003058F4">
        <w:t>2</w:t>
      </w:r>
      <w:r w:rsidR="00512BBD">
        <w:t> </w:t>
      </w:r>
      <w:r w:rsidR="000D7E24">
        <w:t xml:space="preserve">peticiones de </w:t>
      </w:r>
      <w:r w:rsidR="00CD4E70">
        <w:t>acciones urgentes, con la siguiente repartición por año y país:</w:t>
      </w:r>
    </w:p>
    <w:p w:rsidR="00893C7F" w:rsidRDefault="00893C7F" w:rsidP="00893C7F">
      <w:pPr>
        <w:pStyle w:val="SingleTxtG"/>
        <w:rPr>
          <w:i/>
        </w:rPr>
      </w:pPr>
    </w:p>
    <w:p w:rsidR="00347C1E" w:rsidRDefault="00347C1E">
      <w:pPr>
        <w:spacing w:line="240" w:lineRule="auto"/>
        <w:rPr>
          <w:i/>
        </w:rPr>
      </w:pPr>
      <w:r>
        <w:rPr>
          <w:i/>
        </w:rPr>
        <w:br w:type="page"/>
      </w:r>
    </w:p>
    <w:p w:rsidR="00CD4E70" w:rsidRPr="009C493C" w:rsidRDefault="00512BBD" w:rsidP="009C493C">
      <w:pPr>
        <w:pStyle w:val="H23G"/>
        <w:rPr>
          <w:bCs/>
          <w:i/>
        </w:rPr>
      </w:pPr>
      <w:r>
        <w:rPr>
          <w:iCs/>
        </w:rPr>
        <w:lastRenderedPageBreak/>
        <w:tab/>
      </w:r>
      <w:r>
        <w:rPr>
          <w:iCs/>
        </w:rPr>
        <w:tab/>
      </w:r>
      <w:r w:rsidR="00C206B7" w:rsidRPr="009C493C">
        <w:rPr>
          <w:b w:val="0"/>
          <w:bCs/>
        </w:rPr>
        <w:t>Cuadro</w:t>
      </w:r>
      <w:r w:rsidR="00347C1E" w:rsidRPr="009C493C">
        <w:rPr>
          <w:b w:val="0"/>
          <w:bCs/>
        </w:rPr>
        <w:t xml:space="preserve"> </w:t>
      </w:r>
      <w:r w:rsidR="00690ECD" w:rsidRPr="009C493C">
        <w:rPr>
          <w:b w:val="0"/>
          <w:bCs/>
        </w:rPr>
        <w:t>1</w:t>
      </w:r>
      <w:r>
        <w:br/>
      </w:r>
      <w:r w:rsidR="00024918" w:rsidRPr="009C493C">
        <w:rPr>
          <w:bCs/>
        </w:rPr>
        <w:t>Acciones urgentes registradas, por año y país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1"/>
        <w:gridCol w:w="907"/>
        <w:gridCol w:w="907"/>
        <w:gridCol w:w="907"/>
        <w:gridCol w:w="907"/>
        <w:gridCol w:w="907"/>
        <w:gridCol w:w="907"/>
        <w:gridCol w:w="907"/>
      </w:tblGrid>
      <w:tr w:rsidR="00512BBD" w:rsidRPr="00A135BD" w:rsidTr="00CA6841">
        <w:tc>
          <w:tcPr>
            <w:tcW w:w="1021"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rPr>
                <w:i/>
                <w:sz w:val="16"/>
              </w:rPr>
            </w:pPr>
            <w:r w:rsidRPr="00024918">
              <w:rPr>
                <w:i/>
                <w:sz w:val="16"/>
              </w:rPr>
              <w:t>A</w:t>
            </w:r>
            <w:r w:rsidRPr="009C493C">
              <w:rPr>
                <w:i/>
                <w:sz w:val="16"/>
              </w:rPr>
              <w:t>ño</w:t>
            </w:r>
          </w:p>
        </w:tc>
        <w:tc>
          <w:tcPr>
            <w:tcW w:w="907"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jc w:val="right"/>
              <w:rPr>
                <w:i/>
                <w:sz w:val="16"/>
              </w:rPr>
            </w:pPr>
            <w:r w:rsidRPr="00024918">
              <w:rPr>
                <w:i/>
                <w:sz w:val="16"/>
              </w:rPr>
              <w:t>B</w:t>
            </w:r>
            <w:r w:rsidRPr="009C493C">
              <w:rPr>
                <w:i/>
                <w:sz w:val="16"/>
              </w:rPr>
              <w:t>rasil</w:t>
            </w:r>
          </w:p>
        </w:tc>
        <w:tc>
          <w:tcPr>
            <w:tcW w:w="907"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jc w:val="right"/>
              <w:rPr>
                <w:i/>
                <w:sz w:val="16"/>
              </w:rPr>
            </w:pPr>
            <w:r w:rsidRPr="00024918">
              <w:rPr>
                <w:i/>
                <w:sz w:val="16"/>
              </w:rPr>
              <w:t>C</w:t>
            </w:r>
            <w:r w:rsidRPr="009C493C">
              <w:rPr>
                <w:i/>
                <w:sz w:val="16"/>
              </w:rPr>
              <w:t>amboya</w:t>
            </w:r>
          </w:p>
        </w:tc>
        <w:tc>
          <w:tcPr>
            <w:tcW w:w="907"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jc w:val="right"/>
              <w:rPr>
                <w:i/>
                <w:sz w:val="16"/>
              </w:rPr>
            </w:pPr>
            <w:r w:rsidRPr="00024918">
              <w:rPr>
                <w:i/>
                <w:sz w:val="16"/>
              </w:rPr>
              <w:t>C</w:t>
            </w:r>
            <w:r w:rsidRPr="009C493C">
              <w:rPr>
                <w:i/>
                <w:sz w:val="16"/>
              </w:rPr>
              <w:t>olombia</w:t>
            </w:r>
          </w:p>
        </w:tc>
        <w:tc>
          <w:tcPr>
            <w:tcW w:w="907"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jc w:val="right"/>
              <w:rPr>
                <w:i/>
                <w:sz w:val="16"/>
              </w:rPr>
            </w:pPr>
            <w:r w:rsidRPr="00024918">
              <w:rPr>
                <w:i/>
                <w:sz w:val="16"/>
              </w:rPr>
              <w:t>I</w:t>
            </w:r>
            <w:r w:rsidRPr="009C493C">
              <w:rPr>
                <w:i/>
                <w:sz w:val="16"/>
              </w:rPr>
              <w:t>raq</w:t>
            </w:r>
          </w:p>
        </w:tc>
        <w:tc>
          <w:tcPr>
            <w:tcW w:w="907" w:type="dxa"/>
            <w:tcBorders>
              <w:top w:val="single" w:sz="4" w:space="0" w:color="auto"/>
              <w:bottom w:val="single" w:sz="12" w:space="0" w:color="auto"/>
            </w:tcBorders>
            <w:shd w:val="clear" w:color="auto" w:fill="auto"/>
            <w:vAlign w:val="bottom"/>
          </w:tcPr>
          <w:p w:rsidR="00512BBD" w:rsidRPr="00024918" w:rsidRDefault="00512BBD" w:rsidP="009C493C">
            <w:pPr>
              <w:spacing w:before="80" w:after="80" w:line="200" w:lineRule="exact"/>
              <w:jc w:val="right"/>
              <w:rPr>
                <w:i/>
                <w:sz w:val="16"/>
              </w:rPr>
            </w:pPr>
            <w:r w:rsidRPr="00024918">
              <w:rPr>
                <w:i/>
                <w:sz w:val="16"/>
              </w:rPr>
              <w:t>M</w:t>
            </w:r>
            <w:r w:rsidRPr="009C493C">
              <w:rPr>
                <w:i/>
                <w:sz w:val="16"/>
              </w:rPr>
              <w:t>éxico</w:t>
            </w:r>
          </w:p>
        </w:tc>
        <w:tc>
          <w:tcPr>
            <w:tcW w:w="907" w:type="dxa"/>
            <w:tcBorders>
              <w:top w:val="single" w:sz="4" w:space="0" w:color="auto"/>
              <w:bottom w:val="single" w:sz="12" w:space="0" w:color="auto"/>
            </w:tcBorders>
          </w:tcPr>
          <w:p w:rsidR="00512BBD" w:rsidRPr="00024918" w:rsidRDefault="00512BBD" w:rsidP="009C493C">
            <w:pPr>
              <w:spacing w:before="80" w:after="80" w:line="200" w:lineRule="exact"/>
              <w:jc w:val="right"/>
              <w:rPr>
                <w:i/>
                <w:sz w:val="16"/>
              </w:rPr>
            </w:pPr>
            <w:r w:rsidRPr="00024918">
              <w:rPr>
                <w:i/>
                <w:sz w:val="16"/>
              </w:rPr>
              <w:t>M</w:t>
            </w:r>
            <w:r w:rsidRPr="009C493C">
              <w:rPr>
                <w:i/>
                <w:sz w:val="16"/>
              </w:rPr>
              <w:t>arruecos</w:t>
            </w:r>
          </w:p>
        </w:tc>
        <w:tc>
          <w:tcPr>
            <w:tcW w:w="907" w:type="dxa"/>
            <w:tcBorders>
              <w:top w:val="single" w:sz="4" w:space="0" w:color="auto"/>
              <w:bottom w:val="single" w:sz="12" w:space="0" w:color="auto"/>
            </w:tcBorders>
            <w:vAlign w:val="bottom"/>
          </w:tcPr>
          <w:p w:rsidR="00512BBD" w:rsidRPr="009C493C" w:rsidRDefault="00512BBD" w:rsidP="009C493C">
            <w:pPr>
              <w:spacing w:before="80" w:after="80" w:line="200" w:lineRule="exact"/>
              <w:jc w:val="right"/>
              <w:rPr>
                <w:b/>
                <w:bCs/>
                <w:i/>
                <w:sz w:val="16"/>
              </w:rPr>
            </w:pPr>
            <w:r w:rsidRPr="009C493C">
              <w:rPr>
                <w:b/>
                <w:bCs/>
                <w:i/>
                <w:sz w:val="16"/>
              </w:rPr>
              <w:t>Total</w:t>
            </w:r>
          </w:p>
        </w:tc>
      </w:tr>
      <w:tr w:rsidR="00512BBD" w:rsidRPr="009C493C" w:rsidTr="00CA6841">
        <w:tc>
          <w:tcPr>
            <w:tcW w:w="1021" w:type="dxa"/>
            <w:tcBorders>
              <w:top w:val="single" w:sz="12" w:space="0" w:color="auto"/>
            </w:tcBorders>
            <w:shd w:val="clear" w:color="auto" w:fill="auto"/>
          </w:tcPr>
          <w:p w:rsidR="00512BBD" w:rsidRPr="009C493C" w:rsidRDefault="00512BBD" w:rsidP="009C493C">
            <w:pPr>
              <w:spacing w:before="40" w:after="120"/>
              <w:rPr>
                <w:sz w:val="18"/>
                <w:szCs w:val="18"/>
              </w:rPr>
            </w:pPr>
            <w:r w:rsidRPr="009C493C">
              <w:rPr>
                <w:sz w:val="18"/>
                <w:szCs w:val="18"/>
              </w:rPr>
              <w:t>2012</w:t>
            </w:r>
          </w:p>
        </w:tc>
        <w:tc>
          <w:tcPr>
            <w:tcW w:w="907" w:type="dxa"/>
            <w:tcBorders>
              <w:top w:val="single" w:sz="12"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top w:val="single" w:sz="12"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top w:val="single" w:sz="12"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top w:val="single" w:sz="12"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top w:val="single" w:sz="12"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5</w:t>
            </w:r>
          </w:p>
        </w:tc>
        <w:tc>
          <w:tcPr>
            <w:tcW w:w="907" w:type="dxa"/>
            <w:tcBorders>
              <w:top w:val="single" w:sz="12" w:space="0" w:color="auto"/>
            </w:tcBorders>
          </w:tcPr>
          <w:p w:rsidR="00512BBD" w:rsidRPr="009C493C" w:rsidRDefault="00512BBD" w:rsidP="009C493C">
            <w:pPr>
              <w:spacing w:before="40" w:after="120"/>
              <w:jc w:val="right"/>
              <w:rPr>
                <w:sz w:val="18"/>
                <w:szCs w:val="18"/>
              </w:rPr>
            </w:pPr>
            <w:r w:rsidRPr="009C493C">
              <w:rPr>
                <w:sz w:val="18"/>
                <w:szCs w:val="18"/>
              </w:rPr>
              <w:t>—</w:t>
            </w:r>
          </w:p>
        </w:tc>
        <w:tc>
          <w:tcPr>
            <w:tcW w:w="907" w:type="dxa"/>
            <w:tcBorders>
              <w:top w:val="single" w:sz="12" w:space="0" w:color="auto"/>
            </w:tcBorders>
          </w:tcPr>
          <w:p w:rsidR="00512BBD" w:rsidRPr="009C493C" w:rsidRDefault="00512BBD" w:rsidP="009C493C">
            <w:pPr>
              <w:spacing w:before="40" w:after="120"/>
              <w:jc w:val="right"/>
              <w:rPr>
                <w:b/>
                <w:bCs/>
                <w:sz w:val="18"/>
                <w:szCs w:val="18"/>
              </w:rPr>
            </w:pPr>
            <w:r w:rsidRPr="009C493C">
              <w:rPr>
                <w:b/>
                <w:bCs/>
                <w:sz w:val="18"/>
                <w:szCs w:val="18"/>
              </w:rPr>
              <w:t>5</w:t>
            </w:r>
          </w:p>
        </w:tc>
      </w:tr>
      <w:tr w:rsidR="00512BBD" w:rsidRPr="009C493C" w:rsidTr="00CA6841">
        <w:tc>
          <w:tcPr>
            <w:tcW w:w="1021" w:type="dxa"/>
            <w:shd w:val="clear" w:color="auto" w:fill="auto"/>
          </w:tcPr>
          <w:p w:rsidR="00512BBD" w:rsidRPr="009C493C" w:rsidRDefault="00512BBD" w:rsidP="009C493C">
            <w:pPr>
              <w:spacing w:before="40" w:after="120"/>
              <w:rPr>
                <w:sz w:val="18"/>
                <w:szCs w:val="18"/>
              </w:rPr>
            </w:pPr>
            <w:r w:rsidRPr="009C493C">
              <w:rPr>
                <w:sz w:val="18"/>
                <w:szCs w:val="18"/>
              </w:rPr>
              <w:t>2013</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1</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5</w:t>
            </w:r>
            <w:r w:rsidRPr="009C493C">
              <w:rPr>
                <w:i/>
                <w:iCs/>
                <w:sz w:val="18"/>
                <w:szCs w:val="18"/>
                <w:vertAlign w:val="superscript"/>
              </w:rPr>
              <w:t>a</w:t>
            </w:r>
          </w:p>
        </w:tc>
        <w:tc>
          <w:tcPr>
            <w:tcW w:w="907" w:type="dxa"/>
          </w:tcPr>
          <w:p w:rsidR="00512BBD" w:rsidRPr="009C493C" w:rsidRDefault="00512BBD" w:rsidP="009C493C">
            <w:pPr>
              <w:spacing w:before="40" w:after="120"/>
              <w:jc w:val="right"/>
              <w:rPr>
                <w:sz w:val="18"/>
                <w:szCs w:val="18"/>
              </w:rPr>
            </w:pPr>
            <w:r w:rsidRPr="009C493C">
              <w:rPr>
                <w:sz w:val="18"/>
                <w:szCs w:val="18"/>
              </w:rPr>
              <w:t>—</w:t>
            </w:r>
          </w:p>
        </w:tc>
        <w:tc>
          <w:tcPr>
            <w:tcW w:w="907" w:type="dxa"/>
          </w:tcPr>
          <w:p w:rsidR="00512BBD" w:rsidRPr="009C493C" w:rsidRDefault="00512BBD" w:rsidP="009C493C">
            <w:pPr>
              <w:spacing w:before="40" w:after="120"/>
              <w:jc w:val="right"/>
              <w:rPr>
                <w:b/>
                <w:bCs/>
                <w:sz w:val="18"/>
                <w:szCs w:val="18"/>
              </w:rPr>
            </w:pPr>
            <w:r w:rsidRPr="009C493C">
              <w:rPr>
                <w:b/>
                <w:bCs/>
                <w:sz w:val="18"/>
                <w:szCs w:val="18"/>
              </w:rPr>
              <w:t>6</w:t>
            </w:r>
          </w:p>
        </w:tc>
      </w:tr>
      <w:tr w:rsidR="00512BBD" w:rsidRPr="009C493C" w:rsidTr="00CA6841">
        <w:tc>
          <w:tcPr>
            <w:tcW w:w="1021" w:type="dxa"/>
            <w:shd w:val="clear" w:color="auto" w:fill="auto"/>
          </w:tcPr>
          <w:p w:rsidR="00512BBD" w:rsidRPr="009C493C" w:rsidRDefault="00512BBD" w:rsidP="009C493C">
            <w:pPr>
              <w:spacing w:before="40" w:after="120"/>
              <w:rPr>
                <w:sz w:val="18"/>
                <w:szCs w:val="18"/>
              </w:rPr>
            </w:pPr>
            <w:r w:rsidRPr="009C493C">
              <w:rPr>
                <w:sz w:val="18"/>
                <w:szCs w:val="18"/>
              </w:rPr>
              <w:t>2014</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1</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1</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1</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5</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43</w:t>
            </w:r>
          </w:p>
        </w:tc>
        <w:tc>
          <w:tcPr>
            <w:tcW w:w="907" w:type="dxa"/>
          </w:tcPr>
          <w:p w:rsidR="00512BBD" w:rsidRPr="009C493C" w:rsidRDefault="00512BBD" w:rsidP="009C493C">
            <w:pPr>
              <w:spacing w:before="40" w:after="120"/>
              <w:jc w:val="right"/>
              <w:rPr>
                <w:sz w:val="18"/>
                <w:szCs w:val="18"/>
              </w:rPr>
            </w:pPr>
            <w:r w:rsidRPr="009C493C">
              <w:rPr>
                <w:sz w:val="18"/>
                <w:szCs w:val="18"/>
              </w:rPr>
              <w:t>—</w:t>
            </w:r>
          </w:p>
        </w:tc>
        <w:tc>
          <w:tcPr>
            <w:tcW w:w="907" w:type="dxa"/>
          </w:tcPr>
          <w:p w:rsidR="00512BBD" w:rsidRPr="009C493C" w:rsidRDefault="00512BBD" w:rsidP="009C493C">
            <w:pPr>
              <w:spacing w:before="40" w:after="120"/>
              <w:jc w:val="right"/>
              <w:rPr>
                <w:b/>
                <w:bCs/>
                <w:sz w:val="18"/>
                <w:szCs w:val="18"/>
              </w:rPr>
            </w:pPr>
            <w:r w:rsidRPr="009C493C">
              <w:rPr>
                <w:b/>
                <w:bCs/>
                <w:sz w:val="18"/>
                <w:szCs w:val="18"/>
              </w:rPr>
              <w:t>51</w:t>
            </w:r>
          </w:p>
        </w:tc>
      </w:tr>
      <w:tr w:rsidR="00512BBD" w:rsidRPr="009C493C" w:rsidTr="00CA6841">
        <w:tc>
          <w:tcPr>
            <w:tcW w:w="1021" w:type="dxa"/>
            <w:shd w:val="clear" w:color="auto" w:fill="auto"/>
          </w:tcPr>
          <w:p w:rsidR="00512BBD" w:rsidRPr="009C493C" w:rsidRDefault="00512BBD" w:rsidP="009C493C">
            <w:pPr>
              <w:spacing w:before="40" w:after="120"/>
              <w:rPr>
                <w:sz w:val="18"/>
                <w:szCs w:val="18"/>
              </w:rPr>
            </w:pPr>
            <w:r w:rsidRPr="009C493C">
              <w:rPr>
                <w:sz w:val="18"/>
                <w:szCs w:val="18"/>
              </w:rPr>
              <w:t>2015</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3</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42</w:t>
            </w:r>
          </w:p>
        </w:tc>
        <w:tc>
          <w:tcPr>
            <w:tcW w:w="907" w:type="dxa"/>
            <w:shd w:val="clear" w:color="auto" w:fill="auto"/>
          </w:tcPr>
          <w:p w:rsidR="00512BBD" w:rsidRPr="009C493C" w:rsidRDefault="00512BBD" w:rsidP="009C493C">
            <w:pPr>
              <w:spacing w:before="40" w:after="120"/>
              <w:jc w:val="right"/>
              <w:rPr>
                <w:sz w:val="18"/>
                <w:szCs w:val="18"/>
              </w:rPr>
            </w:pPr>
            <w:r w:rsidRPr="009C493C">
              <w:rPr>
                <w:sz w:val="18"/>
                <w:szCs w:val="18"/>
              </w:rPr>
              <w:t>166</w:t>
            </w:r>
          </w:p>
        </w:tc>
        <w:tc>
          <w:tcPr>
            <w:tcW w:w="907" w:type="dxa"/>
          </w:tcPr>
          <w:p w:rsidR="00512BBD" w:rsidRPr="009C493C" w:rsidRDefault="00512BBD" w:rsidP="009C493C">
            <w:pPr>
              <w:spacing w:before="40" w:after="120"/>
              <w:jc w:val="right"/>
              <w:rPr>
                <w:sz w:val="18"/>
                <w:szCs w:val="18"/>
              </w:rPr>
            </w:pPr>
            <w:r w:rsidRPr="009C493C">
              <w:rPr>
                <w:sz w:val="18"/>
                <w:szCs w:val="18"/>
              </w:rPr>
              <w:t>—</w:t>
            </w:r>
          </w:p>
        </w:tc>
        <w:tc>
          <w:tcPr>
            <w:tcW w:w="907" w:type="dxa"/>
          </w:tcPr>
          <w:p w:rsidR="00512BBD" w:rsidRPr="009C493C" w:rsidRDefault="00512BBD" w:rsidP="009C493C">
            <w:pPr>
              <w:spacing w:before="40" w:after="120"/>
              <w:jc w:val="right"/>
              <w:rPr>
                <w:b/>
                <w:bCs/>
                <w:sz w:val="18"/>
                <w:szCs w:val="18"/>
              </w:rPr>
            </w:pPr>
            <w:r w:rsidRPr="009C493C">
              <w:rPr>
                <w:b/>
                <w:bCs/>
                <w:sz w:val="18"/>
                <w:szCs w:val="18"/>
              </w:rPr>
              <w:t>211</w:t>
            </w:r>
          </w:p>
        </w:tc>
      </w:tr>
      <w:tr w:rsidR="00512BBD" w:rsidRPr="009C493C" w:rsidTr="00CA6841">
        <w:tc>
          <w:tcPr>
            <w:tcW w:w="1021" w:type="dxa"/>
            <w:tcBorders>
              <w:bottom w:val="single" w:sz="4" w:space="0" w:color="auto"/>
            </w:tcBorders>
            <w:shd w:val="clear" w:color="auto" w:fill="auto"/>
          </w:tcPr>
          <w:p w:rsidR="00512BBD" w:rsidRPr="009C493C" w:rsidRDefault="00512BBD" w:rsidP="009C493C">
            <w:pPr>
              <w:spacing w:before="40" w:after="120"/>
              <w:rPr>
                <w:sz w:val="18"/>
                <w:szCs w:val="18"/>
              </w:rPr>
            </w:pPr>
            <w:r w:rsidRPr="009C493C">
              <w:rPr>
                <w:sz w:val="18"/>
                <w:szCs w:val="18"/>
              </w:rPr>
              <w:t>2016</w:t>
            </w:r>
            <w:r w:rsidRPr="009C493C">
              <w:rPr>
                <w:i/>
                <w:iCs/>
                <w:sz w:val="18"/>
                <w:szCs w:val="18"/>
                <w:vertAlign w:val="superscript"/>
              </w:rPr>
              <w:t>b</w:t>
            </w:r>
          </w:p>
        </w:tc>
        <w:tc>
          <w:tcPr>
            <w:tcW w:w="907" w:type="dxa"/>
            <w:tcBorders>
              <w:bottom w:val="single" w:sz="4"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bottom w:val="single" w:sz="4"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w:t>
            </w:r>
          </w:p>
        </w:tc>
        <w:tc>
          <w:tcPr>
            <w:tcW w:w="907" w:type="dxa"/>
            <w:tcBorders>
              <w:bottom w:val="single" w:sz="4"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4</w:t>
            </w:r>
          </w:p>
        </w:tc>
        <w:tc>
          <w:tcPr>
            <w:tcW w:w="907" w:type="dxa"/>
            <w:tcBorders>
              <w:bottom w:val="single" w:sz="4"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 xml:space="preserve"> 21</w:t>
            </w:r>
          </w:p>
        </w:tc>
        <w:tc>
          <w:tcPr>
            <w:tcW w:w="907" w:type="dxa"/>
            <w:tcBorders>
              <w:bottom w:val="single" w:sz="4" w:space="0" w:color="auto"/>
            </w:tcBorders>
            <w:shd w:val="clear" w:color="auto" w:fill="auto"/>
          </w:tcPr>
          <w:p w:rsidR="00512BBD" w:rsidRPr="009C493C" w:rsidRDefault="00512BBD" w:rsidP="009C493C">
            <w:pPr>
              <w:spacing w:before="40" w:after="120"/>
              <w:jc w:val="right"/>
              <w:rPr>
                <w:sz w:val="18"/>
                <w:szCs w:val="18"/>
              </w:rPr>
            </w:pPr>
            <w:r w:rsidRPr="009C493C">
              <w:rPr>
                <w:sz w:val="18"/>
                <w:szCs w:val="18"/>
              </w:rPr>
              <w:t>42</w:t>
            </w:r>
          </w:p>
        </w:tc>
        <w:tc>
          <w:tcPr>
            <w:tcW w:w="907" w:type="dxa"/>
            <w:tcBorders>
              <w:bottom w:val="single" w:sz="4" w:space="0" w:color="auto"/>
            </w:tcBorders>
          </w:tcPr>
          <w:p w:rsidR="00512BBD" w:rsidRPr="009C493C" w:rsidRDefault="00512BBD" w:rsidP="009C493C">
            <w:pPr>
              <w:spacing w:before="40" w:after="120"/>
              <w:jc w:val="right"/>
              <w:rPr>
                <w:sz w:val="18"/>
                <w:szCs w:val="18"/>
              </w:rPr>
            </w:pPr>
            <w:r w:rsidRPr="009C493C">
              <w:rPr>
                <w:sz w:val="18"/>
                <w:szCs w:val="18"/>
              </w:rPr>
              <w:t>1</w:t>
            </w:r>
          </w:p>
        </w:tc>
        <w:tc>
          <w:tcPr>
            <w:tcW w:w="907" w:type="dxa"/>
            <w:tcBorders>
              <w:bottom w:val="single" w:sz="4" w:space="0" w:color="auto"/>
            </w:tcBorders>
          </w:tcPr>
          <w:p w:rsidR="00512BBD" w:rsidRPr="009C493C" w:rsidRDefault="00512BBD" w:rsidP="009C493C">
            <w:pPr>
              <w:spacing w:before="40" w:after="120"/>
              <w:jc w:val="right"/>
              <w:rPr>
                <w:b/>
                <w:bCs/>
                <w:sz w:val="18"/>
                <w:szCs w:val="18"/>
              </w:rPr>
            </w:pPr>
            <w:r w:rsidRPr="009C493C">
              <w:rPr>
                <w:b/>
                <w:bCs/>
                <w:sz w:val="18"/>
                <w:szCs w:val="18"/>
              </w:rPr>
              <w:t>68</w:t>
            </w:r>
          </w:p>
        </w:tc>
      </w:tr>
      <w:tr w:rsidR="00512BBD" w:rsidRPr="009C493C" w:rsidTr="00CA6841">
        <w:tc>
          <w:tcPr>
            <w:tcW w:w="1021" w:type="dxa"/>
            <w:tcBorders>
              <w:top w:val="single" w:sz="4" w:space="0" w:color="auto"/>
              <w:bottom w:val="single" w:sz="12" w:space="0" w:color="auto"/>
            </w:tcBorders>
            <w:shd w:val="clear" w:color="auto" w:fill="auto"/>
          </w:tcPr>
          <w:p w:rsidR="00512BBD" w:rsidRPr="009C493C" w:rsidRDefault="00512BBD" w:rsidP="009C493C">
            <w:pPr>
              <w:spacing w:before="40" w:after="120"/>
              <w:ind w:left="284"/>
              <w:rPr>
                <w:b/>
                <w:bCs/>
                <w:sz w:val="18"/>
                <w:szCs w:val="18"/>
              </w:rPr>
            </w:pPr>
            <w:r w:rsidRPr="009C493C">
              <w:rPr>
                <w:b/>
                <w:bCs/>
                <w:sz w:val="18"/>
                <w:szCs w:val="18"/>
              </w:rPr>
              <w:t>Total</w:t>
            </w:r>
          </w:p>
        </w:tc>
        <w:tc>
          <w:tcPr>
            <w:tcW w:w="907" w:type="dxa"/>
            <w:tcBorders>
              <w:top w:val="single" w:sz="4" w:space="0" w:color="auto"/>
              <w:bottom w:val="single" w:sz="12" w:space="0" w:color="auto"/>
            </w:tcBorders>
            <w:shd w:val="clear" w:color="auto" w:fill="auto"/>
          </w:tcPr>
          <w:p w:rsidR="00512BBD" w:rsidRPr="009C493C" w:rsidRDefault="00512BBD" w:rsidP="009C493C">
            <w:pPr>
              <w:spacing w:before="40" w:after="120"/>
              <w:jc w:val="right"/>
              <w:rPr>
                <w:b/>
                <w:bCs/>
                <w:sz w:val="18"/>
                <w:szCs w:val="18"/>
              </w:rPr>
            </w:pPr>
            <w:r w:rsidRPr="009C493C">
              <w:rPr>
                <w:b/>
                <w:bCs/>
                <w:sz w:val="18"/>
                <w:szCs w:val="18"/>
              </w:rPr>
              <w:t>1</w:t>
            </w:r>
          </w:p>
        </w:tc>
        <w:tc>
          <w:tcPr>
            <w:tcW w:w="907" w:type="dxa"/>
            <w:tcBorders>
              <w:top w:val="single" w:sz="4" w:space="0" w:color="auto"/>
              <w:bottom w:val="single" w:sz="12" w:space="0" w:color="auto"/>
            </w:tcBorders>
            <w:shd w:val="clear" w:color="auto" w:fill="auto"/>
          </w:tcPr>
          <w:p w:rsidR="00512BBD" w:rsidRPr="009C493C" w:rsidRDefault="00512BBD" w:rsidP="009C493C">
            <w:pPr>
              <w:spacing w:before="40" w:after="120"/>
              <w:jc w:val="right"/>
              <w:rPr>
                <w:b/>
                <w:bCs/>
                <w:sz w:val="18"/>
                <w:szCs w:val="18"/>
              </w:rPr>
            </w:pPr>
            <w:r w:rsidRPr="009C493C">
              <w:rPr>
                <w:b/>
                <w:bCs/>
                <w:sz w:val="18"/>
                <w:szCs w:val="18"/>
              </w:rPr>
              <w:t>1</w:t>
            </w:r>
          </w:p>
        </w:tc>
        <w:tc>
          <w:tcPr>
            <w:tcW w:w="907" w:type="dxa"/>
            <w:tcBorders>
              <w:top w:val="single" w:sz="4" w:space="0" w:color="auto"/>
              <w:bottom w:val="single" w:sz="12" w:space="0" w:color="auto"/>
            </w:tcBorders>
            <w:shd w:val="clear" w:color="auto" w:fill="auto"/>
          </w:tcPr>
          <w:p w:rsidR="00512BBD" w:rsidRPr="009C493C" w:rsidRDefault="00512BBD" w:rsidP="009C493C">
            <w:pPr>
              <w:spacing w:before="40" w:after="120"/>
              <w:jc w:val="right"/>
              <w:rPr>
                <w:b/>
                <w:bCs/>
                <w:sz w:val="18"/>
                <w:szCs w:val="18"/>
              </w:rPr>
            </w:pPr>
            <w:r w:rsidRPr="009C493C">
              <w:rPr>
                <w:b/>
                <w:bCs/>
                <w:sz w:val="18"/>
                <w:szCs w:val="18"/>
              </w:rPr>
              <w:t>9</w:t>
            </w:r>
          </w:p>
        </w:tc>
        <w:tc>
          <w:tcPr>
            <w:tcW w:w="907" w:type="dxa"/>
            <w:tcBorders>
              <w:top w:val="single" w:sz="4" w:space="0" w:color="auto"/>
              <w:bottom w:val="single" w:sz="12" w:space="0" w:color="auto"/>
            </w:tcBorders>
            <w:shd w:val="clear" w:color="auto" w:fill="auto"/>
          </w:tcPr>
          <w:p w:rsidR="00512BBD" w:rsidRPr="009C493C" w:rsidRDefault="00512BBD" w:rsidP="009C493C">
            <w:pPr>
              <w:spacing w:before="40" w:after="120"/>
              <w:jc w:val="right"/>
              <w:rPr>
                <w:b/>
                <w:bCs/>
                <w:sz w:val="18"/>
                <w:szCs w:val="18"/>
              </w:rPr>
            </w:pPr>
            <w:r w:rsidRPr="009C493C">
              <w:rPr>
                <w:b/>
                <w:bCs/>
                <w:sz w:val="18"/>
                <w:szCs w:val="18"/>
              </w:rPr>
              <w:t xml:space="preserve"> 68</w:t>
            </w:r>
          </w:p>
        </w:tc>
        <w:tc>
          <w:tcPr>
            <w:tcW w:w="907" w:type="dxa"/>
            <w:tcBorders>
              <w:top w:val="single" w:sz="4" w:space="0" w:color="auto"/>
              <w:bottom w:val="single" w:sz="12" w:space="0" w:color="auto"/>
            </w:tcBorders>
            <w:shd w:val="clear" w:color="auto" w:fill="auto"/>
          </w:tcPr>
          <w:p w:rsidR="00512BBD" w:rsidRPr="009C493C" w:rsidRDefault="00512BBD" w:rsidP="009C493C">
            <w:pPr>
              <w:spacing w:before="40" w:after="120"/>
              <w:jc w:val="right"/>
              <w:rPr>
                <w:b/>
                <w:bCs/>
                <w:sz w:val="18"/>
                <w:szCs w:val="18"/>
              </w:rPr>
            </w:pPr>
            <w:r w:rsidRPr="009C493C">
              <w:rPr>
                <w:b/>
                <w:bCs/>
                <w:sz w:val="18"/>
                <w:szCs w:val="18"/>
              </w:rPr>
              <w:t>261</w:t>
            </w:r>
          </w:p>
        </w:tc>
        <w:tc>
          <w:tcPr>
            <w:tcW w:w="907" w:type="dxa"/>
            <w:tcBorders>
              <w:top w:val="single" w:sz="4" w:space="0" w:color="auto"/>
              <w:bottom w:val="single" w:sz="12" w:space="0" w:color="auto"/>
            </w:tcBorders>
          </w:tcPr>
          <w:p w:rsidR="00512BBD" w:rsidRPr="009C493C" w:rsidRDefault="00512BBD" w:rsidP="009C493C">
            <w:pPr>
              <w:spacing w:before="40" w:after="120"/>
              <w:jc w:val="right"/>
              <w:rPr>
                <w:b/>
                <w:bCs/>
                <w:sz w:val="18"/>
                <w:szCs w:val="18"/>
              </w:rPr>
            </w:pPr>
            <w:r w:rsidRPr="009C493C">
              <w:rPr>
                <w:b/>
                <w:bCs/>
                <w:sz w:val="18"/>
                <w:szCs w:val="18"/>
              </w:rPr>
              <w:t>1</w:t>
            </w:r>
          </w:p>
        </w:tc>
        <w:tc>
          <w:tcPr>
            <w:tcW w:w="907" w:type="dxa"/>
            <w:tcBorders>
              <w:top w:val="single" w:sz="4" w:space="0" w:color="auto"/>
              <w:bottom w:val="single" w:sz="12" w:space="0" w:color="auto"/>
            </w:tcBorders>
          </w:tcPr>
          <w:p w:rsidR="00512BBD" w:rsidRPr="009C493C" w:rsidRDefault="00512BBD" w:rsidP="009C493C">
            <w:pPr>
              <w:spacing w:before="40" w:after="120"/>
              <w:jc w:val="right"/>
              <w:rPr>
                <w:b/>
                <w:bCs/>
                <w:sz w:val="18"/>
                <w:szCs w:val="18"/>
              </w:rPr>
            </w:pPr>
            <w:r w:rsidRPr="009C493C">
              <w:rPr>
                <w:b/>
                <w:bCs/>
                <w:sz w:val="18"/>
                <w:szCs w:val="18"/>
              </w:rPr>
              <w:t>342</w:t>
            </w:r>
          </w:p>
        </w:tc>
      </w:tr>
    </w:tbl>
    <w:p w:rsidR="00512BBD" w:rsidRPr="009C493C" w:rsidRDefault="00512BBD" w:rsidP="00A4166F">
      <w:pPr>
        <w:spacing w:before="120"/>
        <w:ind w:left="1134" w:right="1134" w:firstLine="170"/>
        <w:rPr>
          <w:sz w:val="18"/>
          <w:szCs w:val="18"/>
        </w:rPr>
      </w:pPr>
      <w:proofErr w:type="gramStart"/>
      <w:r w:rsidRPr="009C493C">
        <w:rPr>
          <w:i/>
          <w:iCs/>
          <w:sz w:val="18"/>
          <w:szCs w:val="18"/>
          <w:vertAlign w:val="superscript"/>
        </w:rPr>
        <w:t>a</w:t>
      </w:r>
      <w:proofErr w:type="gramEnd"/>
      <w:r w:rsidRPr="009C493C">
        <w:rPr>
          <w:sz w:val="18"/>
          <w:szCs w:val="18"/>
        </w:rPr>
        <w:t xml:space="preserve"> </w:t>
      </w:r>
      <w:r w:rsidR="00203E62" w:rsidRPr="009C493C">
        <w:rPr>
          <w:sz w:val="18"/>
          <w:szCs w:val="18"/>
        </w:rPr>
        <w:t xml:space="preserve"> </w:t>
      </w:r>
      <w:r w:rsidRPr="009C493C">
        <w:rPr>
          <w:sz w:val="18"/>
          <w:szCs w:val="18"/>
        </w:rPr>
        <w:t>Al 6 de octubre de 2016.</w:t>
      </w:r>
    </w:p>
    <w:p w:rsidR="00B64DB9" w:rsidRPr="009C493C" w:rsidRDefault="00512BBD" w:rsidP="00A4166F">
      <w:pPr>
        <w:ind w:left="1134" w:right="1134" w:firstLine="170"/>
        <w:rPr>
          <w:sz w:val="18"/>
          <w:szCs w:val="18"/>
        </w:rPr>
      </w:pPr>
      <w:proofErr w:type="gramStart"/>
      <w:r w:rsidRPr="009C493C">
        <w:rPr>
          <w:i/>
          <w:iCs/>
          <w:sz w:val="18"/>
          <w:szCs w:val="18"/>
          <w:vertAlign w:val="superscript"/>
        </w:rPr>
        <w:t>b</w:t>
      </w:r>
      <w:proofErr w:type="gramEnd"/>
      <w:r w:rsidRPr="009C493C">
        <w:rPr>
          <w:sz w:val="18"/>
          <w:szCs w:val="18"/>
        </w:rPr>
        <w:t xml:space="preserve"> </w:t>
      </w:r>
      <w:r w:rsidR="00203E62" w:rsidRPr="009C493C">
        <w:rPr>
          <w:sz w:val="18"/>
          <w:szCs w:val="18"/>
        </w:rPr>
        <w:t xml:space="preserve"> </w:t>
      </w:r>
      <w:r w:rsidRPr="009C493C">
        <w:rPr>
          <w:sz w:val="18"/>
          <w:szCs w:val="18"/>
        </w:rPr>
        <w:t>La acción urgente núm. 9/2013 se refiere a dos personas. Por lo tanto se contabiliza como</w:t>
      </w:r>
      <w:r w:rsidR="00D27936">
        <w:rPr>
          <w:sz w:val="18"/>
          <w:szCs w:val="18"/>
        </w:rPr>
        <w:t xml:space="preserve"> dos </w:t>
      </w:r>
      <w:r w:rsidRPr="009C493C">
        <w:rPr>
          <w:sz w:val="18"/>
          <w:szCs w:val="18"/>
        </w:rPr>
        <w:t>acciones urgentes.</w:t>
      </w:r>
    </w:p>
    <w:p w:rsidR="00C106D5" w:rsidRDefault="00D601DD" w:rsidP="009C493C">
      <w:pPr>
        <w:pStyle w:val="H1G"/>
      </w:pPr>
      <w:r>
        <w:tab/>
      </w:r>
      <w:r w:rsidR="0062179B">
        <w:t>C</w:t>
      </w:r>
      <w:r w:rsidR="00024918">
        <w:t>.</w:t>
      </w:r>
      <w:r w:rsidR="00024918">
        <w:tab/>
      </w:r>
      <w:r w:rsidR="00024918" w:rsidRPr="005F069F">
        <w:t>Peticiones que no cumplieron con los criterios de registro</w:t>
      </w:r>
      <w:r w:rsidR="00024918">
        <w:t xml:space="preserve"> desde el</w:t>
      </w:r>
      <w:r w:rsidR="00512BBD">
        <w:t> </w:t>
      </w:r>
      <w:r w:rsidR="00024918">
        <w:t>décimo período de sesiones</w:t>
      </w:r>
    </w:p>
    <w:p w:rsidR="00B64DB9" w:rsidRDefault="0062179B">
      <w:pPr>
        <w:pStyle w:val="SingleTxtG"/>
      </w:pPr>
      <w:r>
        <w:t>4</w:t>
      </w:r>
      <w:r w:rsidR="00E2298D">
        <w:t>.</w:t>
      </w:r>
      <w:r w:rsidR="00C106D5">
        <w:tab/>
        <w:t xml:space="preserve">La </w:t>
      </w:r>
      <w:r w:rsidR="00B64DB9">
        <w:t xml:space="preserve">mayoría de las acciones urgentes </w:t>
      </w:r>
      <w:r w:rsidR="00080EB8">
        <w:t>presentadas</w:t>
      </w:r>
      <w:r w:rsidR="005D1CE6">
        <w:t xml:space="preserve"> desde el </w:t>
      </w:r>
      <w:r w:rsidR="00C206B7">
        <w:t xml:space="preserve">décimo </w:t>
      </w:r>
      <w:r w:rsidR="005D1CE6">
        <w:t>per</w:t>
      </w:r>
      <w:r w:rsidR="00C206B7">
        <w:t>í</w:t>
      </w:r>
      <w:r w:rsidR="005D1CE6">
        <w:t>odo de sesiones</w:t>
      </w:r>
      <w:r w:rsidR="00B64DB9">
        <w:t xml:space="preserve"> respondieron a </w:t>
      </w:r>
      <w:r w:rsidR="00080EB8">
        <w:t>l</w:t>
      </w:r>
      <w:r w:rsidR="00B64DB9">
        <w:t xml:space="preserve">os criterios </w:t>
      </w:r>
      <w:r w:rsidR="00080EB8">
        <w:t xml:space="preserve">de </w:t>
      </w:r>
      <w:r w:rsidR="00080EB8" w:rsidRPr="00035A1C">
        <w:t>admisibilidad</w:t>
      </w:r>
      <w:r w:rsidR="00080EB8">
        <w:t xml:space="preserve"> </w:t>
      </w:r>
      <w:r w:rsidR="00B64DB9">
        <w:t xml:space="preserve">desde </w:t>
      </w:r>
      <w:r w:rsidR="00200DB1">
        <w:t>el primer escrito.</w:t>
      </w:r>
      <w:r w:rsidR="00B64DB9">
        <w:t xml:space="preserve"> </w:t>
      </w:r>
      <w:r w:rsidR="006318A3">
        <w:t>No obstante, se consider</w:t>
      </w:r>
      <w:r w:rsidR="003E5565">
        <w:t xml:space="preserve">ó que </w:t>
      </w:r>
      <w:r w:rsidR="00C206B7">
        <w:t xml:space="preserve">ocho </w:t>
      </w:r>
      <w:r w:rsidR="006318A3">
        <w:t>no respondían a estos criterios</w:t>
      </w:r>
      <w:r w:rsidR="00F34ABE">
        <w:t xml:space="preserve"> y no pudieron ser registradas</w:t>
      </w:r>
      <w:r w:rsidR="006318A3">
        <w:t xml:space="preserve"> por los siguientes motivos:</w:t>
      </w:r>
    </w:p>
    <w:p w:rsidR="00690ECD" w:rsidRPr="00690ECD" w:rsidRDefault="0097110F" w:rsidP="009C493C">
      <w:pPr>
        <w:pStyle w:val="H23G"/>
        <w:rPr>
          <w:i/>
        </w:rPr>
      </w:pPr>
      <w:r>
        <w:rPr>
          <w:iCs/>
        </w:rPr>
        <w:tab/>
      </w:r>
      <w:r>
        <w:rPr>
          <w:iCs/>
        </w:rPr>
        <w:tab/>
      </w:r>
      <w:r w:rsidR="00C206B7" w:rsidRPr="009C493C">
        <w:rPr>
          <w:b w:val="0"/>
          <w:bCs/>
        </w:rPr>
        <w:t xml:space="preserve">Cuadro </w:t>
      </w:r>
      <w:r w:rsidR="00690ECD" w:rsidRPr="009C493C">
        <w:rPr>
          <w:b w:val="0"/>
          <w:bCs/>
        </w:rPr>
        <w:t>2</w:t>
      </w:r>
      <w:r>
        <w:br/>
      </w:r>
      <w:r w:rsidR="00024918">
        <w:t>Peticiones no registradas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701"/>
        <w:gridCol w:w="2268"/>
      </w:tblGrid>
      <w:tr w:rsidR="00B15C71" w:rsidRPr="009C493C" w:rsidTr="009C493C">
        <w:tc>
          <w:tcPr>
            <w:tcW w:w="3402" w:type="dxa"/>
            <w:tcBorders>
              <w:top w:val="single" w:sz="4" w:space="0" w:color="auto"/>
              <w:bottom w:val="single" w:sz="12" w:space="0" w:color="auto"/>
            </w:tcBorders>
            <w:shd w:val="clear" w:color="auto" w:fill="auto"/>
            <w:vAlign w:val="bottom"/>
          </w:tcPr>
          <w:p w:rsidR="00B15C71" w:rsidRPr="009C493C" w:rsidRDefault="00B15C71" w:rsidP="009C493C">
            <w:pPr>
              <w:spacing w:before="80" w:after="80" w:line="200" w:lineRule="exact"/>
              <w:rPr>
                <w:i/>
                <w:sz w:val="16"/>
                <w:szCs w:val="16"/>
              </w:rPr>
            </w:pPr>
            <w:r w:rsidRPr="009C493C">
              <w:rPr>
                <w:i/>
                <w:sz w:val="16"/>
                <w:szCs w:val="16"/>
              </w:rPr>
              <w:t>Motivo por el cual no</w:t>
            </w:r>
            <w:r w:rsidR="00F34ABE" w:rsidRPr="009C493C">
              <w:rPr>
                <w:i/>
                <w:sz w:val="16"/>
                <w:szCs w:val="16"/>
              </w:rPr>
              <w:t xml:space="preserve"> se</w:t>
            </w:r>
            <w:r w:rsidR="00D27936">
              <w:rPr>
                <w:i/>
                <w:sz w:val="16"/>
                <w:szCs w:val="16"/>
              </w:rPr>
              <w:t xml:space="preserve"> registró la petición de </w:t>
            </w:r>
            <w:r w:rsidRPr="009C493C">
              <w:rPr>
                <w:i/>
                <w:sz w:val="16"/>
                <w:szCs w:val="16"/>
              </w:rPr>
              <w:t>acción urgente</w:t>
            </w:r>
          </w:p>
        </w:tc>
        <w:tc>
          <w:tcPr>
            <w:tcW w:w="1701" w:type="dxa"/>
            <w:tcBorders>
              <w:top w:val="single" w:sz="4" w:space="0" w:color="auto"/>
              <w:bottom w:val="single" w:sz="12" w:space="0" w:color="auto"/>
            </w:tcBorders>
            <w:shd w:val="clear" w:color="auto" w:fill="auto"/>
            <w:vAlign w:val="bottom"/>
          </w:tcPr>
          <w:p w:rsidR="00B15C71" w:rsidRPr="009C493C" w:rsidRDefault="002F4AF7" w:rsidP="0021027C">
            <w:pPr>
              <w:spacing w:before="80" w:after="80" w:line="200" w:lineRule="exact"/>
              <w:rPr>
                <w:bCs/>
                <w:i/>
                <w:sz w:val="16"/>
                <w:szCs w:val="16"/>
              </w:rPr>
            </w:pPr>
            <w:r w:rsidRPr="009C493C">
              <w:rPr>
                <w:bCs/>
                <w:i/>
                <w:sz w:val="16"/>
                <w:szCs w:val="16"/>
              </w:rPr>
              <w:t>Estado</w:t>
            </w:r>
            <w:r w:rsidR="00024918" w:rsidRPr="009C493C">
              <w:rPr>
                <w:bCs/>
                <w:i/>
                <w:sz w:val="16"/>
                <w:szCs w:val="16"/>
              </w:rPr>
              <w:t xml:space="preserve"> parte</w:t>
            </w:r>
          </w:p>
        </w:tc>
        <w:tc>
          <w:tcPr>
            <w:tcW w:w="2268" w:type="dxa"/>
            <w:tcBorders>
              <w:top w:val="single" w:sz="4" w:space="0" w:color="auto"/>
              <w:bottom w:val="single" w:sz="12" w:space="0" w:color="auto"/>
            </w:tcBorders>
            <w:shd w:val="clear" w:color="auto" w:fill="auto"/>
            <w:vAlign w:val="bottom"/>
          </w:tcPr>
          <w:p w:rsidR="00B15C71" w:rsidRPr="009C493C" w:rsidRDefault="00B15C71" w:rsidP="00D27936">
            <w:pPr>
              <w:spacing w:before="80" w:after="80" w:line="200" w:lineRule="exact"/>
              <w:jc w:val="right"/>
              <w:rPr>
                <w:i/>
                <w:sz w:val="16"/>
                <w:szCs w:val="16"/>
              </w:rPr>
            </w:pPr>
            <w:r w:rsidRPr="009C493C">
              <w:rPr>
                <w:i/>
                <w:sz w:val="16"/>
                <w:szCs w:val="16"/>
              </w:rPr>
              <w:t>Número de peticiones no</w:t>
            </w:r>
            <w:r w:rsidR="00D27936">
              <w:rPr>
                <w:i/>
                <w:sz w:val="16"/>
                <w:szCs w:val="16"/>
              </w:rPr>
              <w:t> </w:t>
            </w:r>
            <w:r w:rsidRPr="009C493C">
              <w:rPr>
                <w:i/>
                <w:sz w:val="16"/>
                <w:szCs w:val="16"/>
              </w:rPr>
              <w:t>registrad</w:t>
            </w:r>
            <w:r w:rsidR="00C206B7" w:rsidRPr="009C493C">
              <w:rPr>
                <w:i/>
                <w:sz w:val="16"/>
                <w:szCs w:val="16"/>
              </w:rPr>
              <w:t>a</w:t>
            </w:r>
            <w:r w:rsidRPr="009C493C">
              <w:rPr>
                <w:i/>
                <w:sz w:val="16"/>
                <w:szCs w:val="16"/>
              </w:rPr>
              <w:t>s por ese motivo</w:t>
            </w:r>
          </w:p>
        </w:tc>
      </w:tr>
      <w:tr w:rsidR="00A24641" w:rsidRPr="009C493C" w:rsidTr="009C493C">
        <w:tc>
          <w:tcPr>
            <w:tcW w:w="3402" w:type="dxa"/>
            <w:shd w:val="clear" w:color="auto" w:fill="auto"/>
          </w:tcPr>
          <w:p w:rsidR="00A24641" w:rsidRPr="009C493C" w:rsidRDefault="00A24641" w:rsidP="009C493C">
            <w:pPr>
              <w:spacing w:before="40" w:after="120"/>
              <w:rPr>
                <w:sz w:val="18"/>
                <w:szCs w:val="18"/>
              </w:rPr>
            </w:pPr>
            <w:r w:rsidRPr="009C493C">
              <w:rPr>
                <w:sz w:val="18"/>
                <w:szCs w:val="18"/>
              </w:rPr>
              <w:t>Hechos ocurrid</w:t>
            </w:r>
            <w:r w:rsidR="0021027C">
              <w:rPr>
                <w:sz w:val="18"/>
                <w:szCs w:val="18"/>
              </w:rPr>
              <w:t>os antes de la entrada en vigor </w:t>
            </w:r>
            <w:r w:rsidRPr="009C493C">
              <w:rPr>
                <w:sz w:val="18"/>
                <w:szCs w:val="18"/>
              </w:rPr>
              <w:t>de la Convención en el Estado parte</w:t>
            </w:r>
          </w:p>
        </w:tc>
        <w:tc>
          <w:tcPr>
            <w:tcW w:w="1701" w:type="dxa"/>
            <w:shd w:val="clear" w:color="auto" w:fill="auto"/>
          </w:tcPr>
          <w:p w:rsidR="00A24641" w:rsidRPr="009C493C" w:rsidRDefault="00893044" w:rsidP="0021027C">
            <w:pPr>
              <w:spacing w:before="40" w:after="120"/>
              <w:rPr>
                <w:bCs/>
                <w:sz w:val="18"/>
                <w:szCs w:val="18"/>
              </w:rPr>
            </w:pPr>
            <w:r w:rsidRPr="009C493C">
              <w:rPr>
                <w:bCs/>
                <w:sz w:val="18"/>
                <w:szCs w:val="18"/>
              </w:rPr>
              <w:t>M</w:t>
            </w:r>
            <w:r w:rsidR="00200DB1" w:rsidRPr="009C493C">
              <w:rPr>
                <w:bCs/>
                <w:sz w:val="18"/>
                <w:szCs w:val="18"/>
              </w:rPr>
              <w:t>arruecos</w:t>
            </w:r>
          </w:p>
        </w:tc>
        <w:tc>
          <w:tcPr>
            <w:tcW w:w="2268" w:type="dxa"/>
            <w:shd w:val="clear" w:color="auto" w:fill="auto"/>
          </w:tcPr>
          <w:p w:rsidR="00A24641" w:rsidRPr="009C493C" w:rsidRDefault="00480367" w:rsidP="009C493C">
            <w:pPr>
              <w:spacing w:before="40" w:after="120"/>
              <w:jc w:val="right"/>
              <w:rPr>
                <w:sz w:val="18"/>
                <w:szCs w:val="18"/>
              </w:rPr>
            </w:pPr>
            <w:r w:rsidRPr="009C493C">
              <w:rPr>
                <w:sz w:val="18"/>
                <w:szCs w:val="18"/>
              </w:rPr>
              <w:t>1</w:t>
            </w:r>
          </w:p>
        </w:tc>
      </w:tr>
      <w:tr w:rsidR="00893044" w:rsidRPr="009C493C" w:rsidTr="009C493C">
        <w:tc>
          <w:tcPr>
            <w:tcW w:w="3402" w:type="dxa"/>
            <w:shd w:val="clear" w:color="auto" w:fill="auto"/>
          </w:tcPr>
          <w:p w:rsidR="00893044" w:rsidRPr="009C493C" w:rsidRDefault="00893044" w:rsidP="009C493C">
            <w:pPr>
              <w:spacing w:before="40" w:after="120"/>
              <w:rPr>
                <w:sz w:val="18"/>
                <w:szCs w:val="18"/>
              </w:rPr>
            </w:pPr>
          </w:p>
        </w:tc>
        <w:tc>
          <w:tcPr>
            <w:tcW w:w="1701" w:type="dxa"/>
            <w:shd w:val="clear" w:color="auto" w:fill="auto"/>
          </w:tcPr>
          <w:p w:rsidR="00893044" w:rsidRPr="009C493C" w:rsidRDefault="00893044" w:rsidP="0021027C">
            <w:pPr>
              <w:spacing w:before="40" w:after="120"/>
              <w:rPr>
                <w:bCs/>
                <w:sz w:val="18"/>
                <w:szCs w:val="18"/>
              </w:rPr>
            </w:pPr>
            <w:r w:rsidRPr="009C493C">
              <w:rPr>
                <w:bCs/>
                <w:sz w:val="18"/>
                <w:szCs w:val="18"/>
              </w:rPr>
              <w:t>Francia</w:t>
            </w:r>
          </w:p>
        </w:tc>
        <w:tc>
          <w:tcPr>
            <w:tcW w:w="2268" w:type="dxa"/>
            <w:shd w:val="clear" w:color="auto" w:fill="auto"/>
          </w:tcPr>
          <w:p w:rsidR="00893044" w:rsidRPr="009C493C" w:rsidRDefault="00893044" w:rsidP="009C493C">
            <w:pPr>
              <w:spacing w:before="40" w:after="120"/>
              <w:jc w:val="right"/>
              <w:rPr>
                <w:sz w:val="18"/>
                <w:szCs w:val="18"/>
              </w:rPr>
            </w:pPr>
            <w:r w:rsidRPr="009C493C">
              <w:rPr>
                <w:sz w:val="18"/>
                <w:szCs w:val="18"/>
              </w:rPr>
              <w:t>1</w:t>
            </w:r>
          </w:p>
        </w:tc>
      </w:tr>
      <w:tr w:rsidR="00B15C71" w:rsidRPr="009C493C" w:rsidTr="009C493C">
        <w:tc>
          <w:tcPr>
            <w:tcW w:w="3402" w:type="dxa"/>
            <w:shd w:val="clear" w:color="auto" w:fill="auto"/>
          </w:tcPr>
          <w:p w:rsidR="00B15C71" w:rsidRPr="009C493C" w:rsidRDefault="00480367" w:rsidP="009C493C">
            <w:pPr>
              <w:spacing w:before="40" w:after="120"/>
              <w:rPr>
                <w:sz w:val="18"/>
                <w:szCs w:val="18"/>
              </w:rPr>
            </w:pPr>
            <w:r w:rsidRPr="009C493C">
              <w:rPr>
                <w:sz w:val="18"/>
                <w:szCs w:val="18"/>
              </w:rPr>
              <w:t>Petición relacionada con hechos ocurridos en</w:t>
            </w:r>
            <w:r w:rsidR="008F4B4E">
              <w:rPr>
                <w:sz w:val="18"/>
                <w:szCs w:val="18"/>
              </w:rPr>
              <w:t> </w:t>
            </w:r>
            <w:r w:rsidRPr="009C493C">
              <w:rPr>
                <w:sz w:val="18"/>
                <w:szCs w:val="18"/>
              </w:rPr>
              <w:t xml:space="preserve">un Estado no parte </w:t>
            </w:r>
            <w:r w:rsidR="00C206B7" w:rsidRPr="009C493C">
              <w:rPr>
                <w:sz w:val="18"/>
                <w:szCs w:val="18"/>
              </w:rPr>
              <w:t xml:space="preserve">en </w:t>
            </w:r>
            <w:r w:rsidRPr="009C493C">
              <w:rPr>
                <w:sz w:val="18"/>
                <w:szCs w:val="18"/>
              </w:rPr>
              <w:t>la Convención</w:t>
            </w:r>
            <w:r w:rsidR="00F34ABE" w:rsidRPr="009C493C">
              <w:rPr>
                <w:sz w:val="18"/>
                <w:szCs w:val="18"/>
              </w:rPr>
              <w:t xml:space="preserve"> </w:t>
            </w:r>
          </w:p>
        </w:tc>
        <w:tc>
          <w:tcPr>
            <w:tcW w:w="1701" w:type="dxa"/>
            <w:shd w:val="clear" w:color="auto" w:fill="auto"/>
          </w:tcPr>
          <w:p w:rsidR="00B15C71" w:rsidRPr="009C493C" w:rsidRDefault="00893044" w:rsidP="0021027C">
            <w:pPr>
              <w:spacing w:before="40" w:after="120"/>
              <w:rPr>
                <w:bCs/>
                <w:sz w:val="18"/>
                <w:szCs w:val="18"/>
              </w:rPr>
            </w:pPr>
            <w:r w:rsidRPr="009C493C">
              <w:rPr>
                <w:bCs/>
                <w:sz w:val="18"/>
                <w:szCs w:val="18"/>
              </w:rPr>
              <w:t>Egipto</w:t>
            </w:r>
          </w:p>
        </w:tc>
        <w:tc>
          <w:tcPr>
            <w:tcW w:w="2268" w:type="dxa"/>
            <w:shd w:val="clear" w:color="auto" w:fill="auto"/>
          </w:tcPr>
          <w:p w:rsidR="00B15C71" w:rsidRPr="009C493C" w:rsidRDefault="00893044" w:rsidP="009C493C">
            <w:pPr>
              <w:spacing w:before="40" w:after="120"/>
              <w:jc w:val="right"/>
              <w:rPr>
                <w:sz w:val="18"/>
                <w:szCs w:val="18"/>
              </w:rPr>
            </w:pPr>
            <w:r w:rsidRPr="009C493C">
              <w:rPr>
                <w:sz w:val="18"/>
                <w:szCs w:val="18"/>
              </w:rPr>
              <w:t>1</w:t>
            </w:r>
          </w:p>
        </w:tc>
      </w:tr>
      <w:tr w:rsidR="00893044" w:rsidRPr="009C493C" w:rsidTr="009C493C">
        <w:tc>
          <w:tcPr>
            <w:tcW w:w="3402" w:type="dxa"/>
            <w:shd w:val="clear" w:color="auto" w:fill="auto"/>
          </w:tcPr>
          <w:p w:rsidR="00893044" w:rsidRPr="009C493C" w:rsidRDefault="00893044" w:rsidP="009C493C">
            <w:pPr>
              <w:spacing w:before="40" w:after="120"/>
              <w:rPr>
                <w:sz w:val="18"/>
                <w:szCs w:val="18"/>
              </w:rPr>
            </w:pPr>
          </w:p>
        </w:tc>
        <w:tc>
          <w:tcPr>
            <w:tcW w:w="1701" w:type="dxa"/>
            <w:shd w:val="clear" w:color="auto" w:fill="auto"/>
          </w:tcPr>
          <w:p w:rsidR="00893044" w:rsidRPr="009C493C" w:rsidRDefault="00893044" w:rsidP="0021027C">
            <w:pPr>
              <w:spacing w:before="40" w:after="120"/>
              <w:rPr>
                <w:bCs/>
                <w:sz w:val="18"/>
                <w:szCs w:val="18"/>
              </w:rPr>
            </w:pPr>
            <w:r w:rsidRPr="009C493C">
              <w:rPr>
                <w:bCs/>
                <w:sz w:val="18"/>
                <w:szCs w:val="18"/>
              </w:rPr>
              <w:t>Pakistán</w:t>
            </w:r>
          </w:p>
        </w:tc>
        <w:tc>
          <w:tcPr>
            <w:tcW w:w="2268" w:type="dxa"/>
            <w:shd w:val="clear" w:color="auto" w:fill="auto"/>
          </w:tcPr>
          <w:p w:rsidR="00893044" w:rsidRPr="009C493C" w:rsidRDefault="00893044" w:rsidP="009C493C">
            <w:pPr>
              <w:spacing w:before="40" w:after="120"/>
              <w:jc w:val="right"/>
              <w:rPr>
                <w:sz w:val="18"/>
                <w:szCs w:val="18"/>
              </w:rPr>
            </w:pPr>
            <w:r w:rsidRPr="009C493C">
              <w:rPr>
                <w:sz w:val="18"/>
                <w:szCs w:val="18"/>
              </w:rPr>
              <w:t>2</w:t>
            </w:r>
          </w:p>
        </w:tc>
      </w:tr>
      <w:tr w:rsidR="00893044" w:rsidRPr="009C493C" w:rsidTr="009C493C">
        <w:tc>
          <w:tcPr>
            <w:tcW w:w="3402" w:type="dxa"/>
            <w:shd w:val="clear" w:color="auto" w:fill="auto"/>
          </w:tcPr>
          <w:p w:rsidR="00893044" w:rsidRPr="009C493C" w:rsidRDefault="00893044" w:rsidP="009C493C">
            <w:pPr>
              <w:spacing w:before="40" w:after="120"/>
              <w:rPr>
                <w:sz w:val="18"/>
                <w:szCs w:val="18"/>
              </w:rPr>
            </w:pPr>
          </w:p>
        </w:tc>
        <w:tc>
          <w:tcPr>
            <w:tcW w:w="1701" w:type="dxa"/>
            <w:shd w:val="clear" w:color="auto" w:fill="auto"/>
          </w:tcPr>
          <w:p w:rsidR="00893044" w:rsidRPr="009C493C" w:rsidRDefault="006F6DC7" w:rsidP="0021027C">
            <w:pPr>
              <w:spacing w:before="40" w:after="120"/>
              <w:rPr>
                <w:bCs/>
                <w:sz w:val="18"/>
                <w:szCs w:val="18"/>
              </w:rPr>
            </w:pPr>
            <w:r w:rsidRPr="009C493C">
              <w:rPr>
                <w:bCs/>
                <w:sz w:val="18"/>
                <w:szCs w:val="18"/>
              </w:rPr>
              <w:t xml:space="preserve">República Árabe </w:t>
            </w:r>
            <w:r w:rsidR="00893044" w:rsidRPr="009C493C">
              <w:rPr>
                <w:bCs/>
                <w:sz w:val="18"/>
                <w:szCs w:val="18"/>
              </w:rPr>
              <w:t>Siria</w:t>
            </w:r>
          </w:p>
        </w:tc>
        <w:tc>
          <w:tcPr>
            <w:tcW w:w="2268" w:type="dxa"/>
            <w:shd w:val="clear" w:color="auto" w:fill="auto"/>
          </w:tcPr>
          <w:p w:rsidR="00893044" w:rsidRPr="009C493C" w:rsidRDefault="00893044" w:rsidP="009C493C">
            <w:pPr>
              <w:spacing w:before="40" w:after="120"/>
              <w:jc w:val="right"/>
              <w:rPr>
                <w:sz w:val="18"/>
                <w:szCs w:val="18"/>
              </w:rPr>
            </w:pPr>
            <w:r w:rsidRPr="009C493C">
              <w:rPr>
                <w:sz w:val="18"/>
                <w:szCs w:val="18"/>
              </w:rPr>
              <w:t>1</w:t>
            </w:r>
          </w:p>
        </w:tc>
      </w:tr>
      <w:tr w:rsidR="00893044" w:rsidRPr="009C493C" w:rsidTr="009C493C">
        <w:tc>
          <w:tcPr>
            <w:tcW w:w="3402" w:type="dxa"/>
            <w:shd w:val="clear" w:color="auto" w:fill="auto"/>
          </w:tcPr>
          <w:p w:rsidR="00893044" w:rsidRPr="009C493C" w:rsidRDefault="00893044" w:rsidP="009C493C">
            <w:pPr>
              <w:spacing w:before="40" w:after="120"/>
              <w:rPr>
                <w:sz w:val="18"/>
                <w:szCs w:val="18"/>
              </w:rPr>
            </w:pPr>
          </w:p>
        </w:tc>
        <w:tc>
          <w:tcPr>
            <w:tcW w:w="1701" w:type="dxa"/>
            <w:shd w:val="clear" w:color="auto" w:fill="auto"/>
          </w:tcPr>
          <w:p w:rsidR="00893044" w:rsidRPr="009C493C" w:rsidRDefault="00681903" w:rsidP="0021027C">
            <w:pPr>
              <w:spacing w:before="40" w:after="120"/>
              <w:rPr>
                <w:bCs/>
                <w:sz w:val="18"/>
                <w:szCs w:val="18"/>
              </w:rPr>
            </w:pPr>
            <w:r w:rsidRPr="009C493C">
              <w:rPr>
                <w:bCs/>
                <w:sz w:val="18"/>
                <w:szCs w:val="18"/>
              </w:rPr>
              <w:t>L</w:t>
            </w:r>
            <w:r w:rsidR="00934D7E" w:rsidRPr="009C493C">
              <w:rPr>
                <w:bCs/>
                <w:sz w:val="18"/>
                <w:szCs w:val="18"/>
              </w:rPr>
              <w:t>ib</w:t>
            </w:r>
            <w:r w:rsidR="00C206B7" w:rsidRPr="009C493C">
              <w:rPr>
                <w:bCs/>
                <w:sz w:val="18"/>
                <w:szCs w:val="18"/>
              </w:rPr>
              <w:t>i</w:t>
            </w:r>
            <w:r w:rsidRPr="009C493C">
              <w:rPr>
                <w:bCs/>
                <w:sz w:val="18"/>
                <w:szCs w:val="18"/>
              </w:rPr>
              <w:t>a</w:t>
            </w:r>
          </w:p>
        </w:tc>
        <w:tc>
          <w:tcPr>
            <w:tcW w:w="2268" w:type="dxa"/>
            <w:shd w:val="clear" w:color="auto" w:fill="auto"/>
          </w:tcPr>
          <w:p w:rsidR="00893044" w:rsidRPr="009C493C" w:rsidRDefault="00893044" w:rsidP="009C493C">
            <w:pPr>
              <w:spacing w:before="40" w:after="120"/>
              <w:jc w:val="right"/>
              <w:rPr>
                <w:sz w:val="18"/>
                <w:szCs w:val="18"/>
              </w:rPr>
            </w:pPr>
            <w:r w:rsidRPr="009C493C">
              <w:rPr>
                <w:sz w:val="18"/>
                <w:szCs w:val="18"/>
              </w:rPr>
              <w:t>1</w:t>
            </w:r>
          </w:p>
        </w:tc>
      </w:tr>
      <w:tr w:rsidR="00893044" w:rsidRPr="009C493C" w:rsidTr="009C493C">
        <w:tc>
          <w:tcPr>
            <w:tcW w:w="3402" w:type="dxa"/>
            <w:tcBorders>
              <w:bottom w:val="single" w:sz="4" w:space="0" w:color="auto"/>
            </w:tcBorders>
            <w:shd w:val="clear" w:color="auto" w:fill="auto"/>
          </w:tcPr>
          <w:p w:rsidR="00893044" w:rsidRPr="009C493C" w:rsidRDefault="00893044" w:rsidP="009C493C">
            <w:pPr>
              <w:spacing w:before="40" w:after="120"/>
              <w:rPr>
                <w:sz w:val="18"/>
                <w:szCs w:val="18"/>
              </w:rPr>
            </w:pPr>
            <w:r w:rsidRPr="009C493C">
              <w:rPr>
                <w:sz w:val="18"/>
                <w:szCs w:val="18"/>
              </w:rPr>
              <w:t xml:space="preserve">La persona desaparecida fue encontrada muerta antes de que toda la información necesaria para el registro </w:t>
            </w:r>
            <w:r w:rsidR="00200DB1" w:rsidRPr="009C493C">
              <w:rPr>
                <w:sz w:val="18"/>
                <w:szCs w:val="18"/>
              </w:rPr>
              <w:t xml:space="preserve">hubiera </w:t>
            </w:r>
            <w:r w:rsidRPr="009C493C">
              <w:rPr>
                <w:sz w:val="18"/>
                <w:szCs w:val="18"/>
              </w:rPr>
              <w:t>sido enviada</w:t>
            </w:r>
            <w:r w:rsidR="008F4B4E">
              <w:rPr>
                <w:sz w:val="18"/>
                <w:szCs w:val="18"/>
              </w:rPr>
              <w:t> </w:t>
            </w:r>
            <w:r w:rsidRPr="009C493C">
              <w:rPr>
                <w:sz w:val="18"/>
                <w:szCs w:val="18"/>
              </w:rPr>
              <w:t xml:space="preserve">al Comité </w:t>
            </w:r>
          </w:p>
        </w:tc>
        <w:tc>
          <w:tcPr>
            <w:tcW w:w="1701" w:type="dxa"/>
            <w:tcBorders>
              <w:bottom w:val="single" w:sz="4" w:space="0" w:color="auto"/>
            </w:tcBorders>
            <w:shd w:val="clear" w:color="auto" w:fill="auto"/>
          </w:tcPr>
          <w:p w:rsidR="00893044" w:rsidRPr="009C493C" w:rsidRDefault="00893044" w:rsidP="0021027C">
            <w:pPr>
              <w:spacing w:before="40" w:after="120"/>
              <w:rPr>
                <w:bCs/>
                <w:sz w:val="18"/>
                <w:szCs w:val="18"/>
              </w:rPr>
            </w:pPr>
            <w:r w:rsidRPr="009C493C">
              <w:rPr>
                <w:bCs/>
                <w:sz w:val="18"/>
                <w:szCs w:val="18"/>
              </w:rPr>
              <w:t>México</w:t>
            </w:r>
          </w:p>
        </w:tc>
        <w:tc>
          <w:tcPr>
            <w:tcW w:w="2268" w:type="dxa"/>
            <w:tcBorders>
              <w:bottom w:val="single" w:sz="4" w:space="0" w:color="auto"/>
            </w:tcBorders>
            <w:shd w:val="clear" w:color="auto" w:fill="auto"/>
          </w:tcPr>
          <w:p w:rsidR="00893044" w:rsidRPr="009C493C" w:rsidRDefault="00893044" w:rsidP="009C493C">
            <w:pPr>
              <w:spacing w:before="40" w:after="120"/>
              <w:jc w:val="right"/>
              <w:rPr>
                <w:sz w:val="18"/>
                <w:szCs w:val="18"/>
              </w:rPr>
            </w:pPr>
            <w:r w:rsidRPr="009C493C">
              <w:rPr>
                <w:sz w:val="18"/>
                <w:szCs w:val="18"/>
              </w:rPr>
              <w:t>1</w:t>
            </w:r>
          </w:p>
        </w:tc>
      </w:tr>
      <w:tr w:rsidR="00B15C71" w:rsidRPr="009C493C" w:rsidTr="009C493C">
        <w:tc>
          <w:tcPr>
            <w:tcW w:w="3402" w:type="dxa"/>
            <w:tcBorders>
              <w:top w:val="single" w:sz="4" w:space="0" w:color="auto"/>
              <w:bottom w:val="single" w:sz="12" w:space="0" w:color="auto"/>
            </w:tcBorders>
            <w:shd w:val="clear" w:color="auto" w:fill="auto"/>
          </w:tcPr>
          <w:p w:rsidR="00B15C71" w:rsidRPr="009C493C" w:rsidRDefault="00B15C71" w:rsidP="009C493C">
            <w:pPr>
              <w:spacing w:before="40" w:after="120"/>
              <w:ind w:left="284"/>
              <w:rPr>
                <w:b/>
                <w:bCs/>
                <w:sz w:val="18"/>
                <w:szCs w:val="18"/>
              </w:rPr>
            </w:pPr>
            <w:r w:rsidRPr="009C493C">
              <w:rPr>
                <w:b/>
                <w:bCs/>
                <w:sz w:val="18"/>
                <w:szCs w:val="18"/>
              </w:rPr>
              <w:t>T</w:t>
            </w:r>
            <w:r w:rsidR="002F4AF7" w:rsidRPr="009C493C">
              <w:rPr>
                <w:b/>
                <w:bCs/>
                <w:sz w:val="18"/>
                <w:szCs w:val="18"/>
              </w:rPr>
              <w:t>otal</w:t>
            </w:r>
          </w:p>
        </w:tc>
        <w:tc>
          <w:tcPr>
            <w:tcW w:w="1701" w:type="dxa"/>
            <w:tcBorders>
              <w:top w:val="single" w:sz="4" w:space="0" w:color="auto"/>
              <w:bottom w:val="single" w:sz="12" w:space="0" w:color="auto"/>
            </w:tcBorders>
            <w:shd w:val="clear" w:color="auto" w:fill="auto"/>
          </w:tcPr>
          <w:p w:rsidR="00B15C71" w:rsidRPr="009C493C" w:rsidRDefault="00B15C71" w:rsidP="0021027C">
            <w:pPr>
              <w:spacing w:before="40" w:after="120"/>
              <w:rPr>
                <w:b/>
                <w:bCs/>
                <w:sz w:val="18"/>
                <w:szCs w:val="18"/>
              </w:rPr>
            </w:pPr>
          </w:p>
        </w:tc>
        <w:tc>
          <w:tcPr>
            <w:tcW w:w="2268" w:type="dxa"/>
            <w:tcBorders>
              <w:top w:val="single" w:sz="4" w:space="0" w:color="auto"/>
              <w:bottom w:val="single" w:sz="12" w:space="0" w:color="auto"/>
            </w:tcBorders>
            <w:shd w:val="clear" w:color="auto" w:fill="auto"/>
          </w:tcPr>
          <w:p w:rsidR="00B15C71" w:rsidRPr="009C493C" w:rsidRDefault="00893044" w:rsidP="009C493C">
            <w:pPr>
              <w:spacing w:before="40" w:after="120"/>
              <w:jc w:val="right"/>
              <w:rPr>
                <w:b/>
                <w:bCs/>
                <w:sz w:val="18"/>
                <w:szCs w:val="18"/>
              </w:rPr>
            </w:pPr>
            <w:r w:rsidRPr="009C493C">
              <w:rPr>
                <w:b/>
                <w:bCs/>
                <w:sz w:val="18"/>
                <w:szCs w:val="18"/>
              </w:rPr>
              <w:t>8</w:t>
            </w:r>
          </w:p>
        </w:tc>
      </w:tr>
    </w:tbl>
    <w:p w:rsidR="00C106D5" w:rsidRDefault="00C106D5" w:rsidP="00702170">
      <w:pPr>
        <w:pStyle w:val="SingleTxtG"/>
        <w:ind w:left="0"/>
      </w:pPr>
    </w:p>
    <w:p w:rsidR="00D973AD" w:rsidRDefault="000C5C1F">
      <w:pPr>
        <w:pStyle w:val="SingleTxtG"/>
      </w:pPr>
      <w:r>
        <w:lastRenderedPageBreak/>
        <w:t>5.</w:t>
      </w:r>
      <w:r w:rsidR="00C106D5">
        <w:tab/>
      </w:r>
      <w:r w:rsidR="00F34ABE">
        <w:t xml:space="preserve">En </w:t>
      </w:r>
      <w:r w:rsidR="001473D5">
        <w:t>cada uno de</w:t>
      </w:r>
      <w:r w:rsidR="00F34ABE">
        <w:t xml:space="preserve"> </w:t>
      </w:r>
      <w:r w:rsidR="005D1CE6">
        <w:t>estos</w:t>
      </w:r>
      <w:r w:rsidR="00F34ABE">
        <w:t xml:space="preserve"> casos, </w:t>
      </w:r>
      <w:r w:rsidR="00F34ABE">
        <w:rPr>
          <w:lang w:eastAsia="en-GB"/>
        </w:rPr>
        <w:t>se envió una carta</w:t>
      </w:r>
      <w:r w:rsidR="00F34ABE" w:rsidRPr="006C7D2E">
        <w:rPr>
          <w:lang w:eastAsia="en-GB"/>
        </w:rPr>
        <w:t xml:space="preserve"> a los autores </w:t>
      </w:r>
      <w:r w:rsidR="00893044">
        <w:rPr>
          <w:lang w:eastAsia="en-GB"/>
        </w:rPr>
        <w:t xml:space="preserve">explicándoles los motivos por los cuales no se pudo registrar su petición (en el caso </w:t>
      </w:r>
      <w:r w:rsidR="00C206B7">
        <w:rPr>
          <w:lang w:eastAsia="en-GB"/>
        </w:rPr>
        <w:t xml:space="preserve">de México </w:t>
      </w:r>
      <w:r w:rsidR="00893044">
        <w:rPr>
          <w:lang w:eastAsia="en-GB"/>
        </w:rPr>
        <w:t xml:space="preserve">en el cual la persona desaparecida fue </w:t>
      </w:r>
      <w:r w:rsidR="005D1CE6">
        <w:rPr>
          <w:lang w:eastAsia="en-GB"/>
        </w:rPr>
        <w:t>encontrada muerta antes de que el Comité pud</w:t>
      </w:r>
      <w:r w:rsidR="00200DB1">
        <w:rPr>
          <w:lang w:eastAsia="en-GB"/>
        </w:rPr>
        <w:t>iera</w:t>
      </w:r>
      <w:r w:rsidR="005D1CE6">
        <w:rPr>
          <w:lang w:eastAsia="en-GB"/>
        </w:rPr>
        <w:t xml:space="preserve"> registrar la petición, se envió una carta a los autores, expresando </w:t>
      </w:r>
      <w:r w:rsidR="00347C1E">
        <w:rPr>
          <w:lang w:eastAsia="en-GB"/>
        </w:rPr>
        <w:t xml:space="preserve">las </w:t>
      </w:r>
      <w:r w:rsidR="008E753F">
        <w:rPr>
          <w:lang w:eastAsia="en-GB"/>
        </w:rPr>
        <w:t xml:space="preserve">condolencias </w:t>
      </w:r>
      <w:r w:rsidR="005D1CE6">
        <w:rPr>
          <w:lang w:eastAsia="en-GB"/>
        </w:rPr>
        <w:t>y apoyo del Comité)</w:t>
      </w:r>
      <w:r w:rsidR="00F34ABE">
        <w:rPr>
          <w:lang w:eastAsia="en-GB"/>
        </w:rPr>
        <w:t>.</w:t>
      </w:r>
      <w:r w:rsidR="006B185A">
        <w:rPr>
          <w:lang w:eastAsia="en-GB"/>
        </w:rPr>
        <w:t xml:space="preserve"> </w:t>
      </w:r>
      <w:r w:rsidR="00893044">
        <w:rPr>
          <w:lang w:eastAsia="en-GB"/>
        </w:rPr>
        <w:t xml:space="preserve">Todos los casos relacionados con hechos ocurridos en un Estado no parte </w:t>
      </w:r>
      <w:r w:rsidR="00C206B7">
        <w:rPr>
          <w:lang w:eastAsia="en-GB"/>
        </w:rPr>
        <w:t xml:space="preserve">en </w:t>
      </w:r>
      <w:r w:rsidR="00893044">
        <w:rPr>
          <w:lang w:eastAsia="en-GB"/>
        </w:rPr>
        <w:t xml:space="preserve">la Convención fueron remitidos </w:t>
      </w:r>
      <w:r w:rsidR="00F34ABE">
        <w:rPr>
          <w:lang w:eastAsia="en-GB"/>
        </w:rPr>
        <w:t>a</w:t>
      </w:r>
      <w:r w:rsidR="005D1CE6">
        <w:rPr>
          <w:lang w:eastAsia="en-GB"/>
        </w:rPr>
        <w:t xml:space="preserve"> </w:t>
      </w:r>
      <w:r w:rsidR="00F34ABE">
        <w:rPr>
          <w:lang w:eastAsia="en-GB"/>
        </w:rPr>
        <w:t>l</w:t>
      </w:r>
      <w:r w:rsidR="005D1CE6">
        <w:rPr>
          <w:lang w:eastAsia="en-GB"/>
        </w:rPr>
        <w:t xml:space="preserve">a </w:t>
      </w:r>
      <w:r w:rsidR="008E753F">
        <w:rPr>
          <w:lang w:eastAsia="en-GB"/>
        </w:rPr>
        <w:t>s</w:t>
      </w:r>
      <w:r w:rsidR="005D1CE6">
        <w:rPr>
          <w:lang w:eastAsia="en-GB"/>
        </w:rPr>
        <w:t>ecretaría del</w:t>
      </w:r>
      <w:r w:rsidR="00F34ABE">
        <w:rPr>
          <w:lang w:eastAsia="en-GB"/>
        </w:rPr>
        <w:t xml:space="preserve"> Grupo de Trabajo s</w:t>
      </w:r>
      <w:r w:rsidR="006B0BCC">
        <w:rPr>
          <w:lang w:eastAsia="en-GB"/>
        </w:rPr>
        <w:t xml:space="preserve">obre </w:t>
      </w:r>
      <w:r w:rsidR="008E753F">
        <w:rPr>
          <w:lang w:eastAsia="en-GB"/>
        </w:rPr>
        <w:t xml:space="preserve">las </w:t>
      </w:r>
      <w:r w:rsidR="006B0BCC">
        <w:rPr>
          <w:lang w:eastAsia="en-GB"/>
        </w:rPr>
        <w:t>Desapariciones Forzadas o I</w:t>
      </w:r>
      <w:r w:rsidR="00F34ABE">
        <w:rPr>
          <w:lang w:eastAsia="en-GB"/>
        </w:rPr>
        <w:t>nvoluntarias</w:t>
      </w:r>
      <w:r w:rsidR="00893044">
        <w:rPr>
          <w:lang w:eastAsia="en-GB"/>
        </w:rPr>
        <w:t>, y los autores fueron informados de ello</w:t>
      </w:r>
      <w:r w:rsidR="00F34ABE">
        <w:rPr>
          <w:lang w:eastAsia="en-GB"/>
        </w:rPr>
        <w:t>.</w:t>
      </w:r>
      <w:r w:rsidR="00316867">
        <w:t xml:space="preserve"> </w:t>
      </w:r>
    </w:p>
    <w:p w:rsidR="00024918" w:rsidRDefault="00624A12" w:rsidP="009C493C">
      <w:pPr>
        <w:pStyle w:val="H1G"/>
      </w:pPr>
      <w:r w:rsidRPr="00D50320">
        <w:tab/>
      </w:r>
      <w:r w:rsidR="00E2298D">
        <w:t>D</w:t>
      </w:r>
      <w:r w:rsidR="00024918" w:rsidRPr="00D50320">
        <w:t>.</w:t>
      </w:r>
      <w:r w:rsidR="00024918" w:rsidRPr="00D50320">
        <w:tab/>
        <w:t xml:space="preserve">Principales retos relacionados con los criterios de registro </w:t>
      </w:r>
      <w:r w:rsidR="00241CD6">
        <w:br/>
      </w:r>
      <w:r w:rsidR="00024918" w:rsidRPr="00D50320">
        <w:t>de las acciones urgentes</w:t>
      </w:r>
      <w:r w:rsidR="00024918">
        <w:t xml:space="preserve"> desde el décimo período de sesiones</w:t>
      </w:r>
    </w:p>
    <w:p w:rsidR="00E54D46" w:rsidRPr="00D50320" w:rsidRDefault="00624A12" w:rsidP="009C493C">
      <w:pPr>
        <w:pStyle w:val="H23G"/>
      </w:pPr>
      <w:r>
        <w:tab/>
      </w:r>
      <w:r w:rsidR="00024918" w:rsidRPr="009C493C">
        <w:t>1.</w:t>
      </w:r>
      <w:r w:rsidRPr="009C493C">
        <w:tab/>
      </w:r>
      <w:r w:rsidR="00A16415" w:rsidRPr="000D6C08">
        <w:t>Peticiones de a</w:t>
      </w:r>
      <w:r w:rsidR="00080EB8" w:rsidRPr="000D6C08">
        <w:t>cci</w:t>
      </w:r>
      <w:r w:rsidR="00A16415" w:rsidRPr="000D6C08">
        <w:t>ón</w:t>
      </w:r>
      <w:r w:rsidR="00080EB8" w:rsidRPr="000D6C08">
        <w:t xml:space="preserve"> urgente</w:t>
      </w:r>
      <w:r w:rsidR="00A16415" w:rsidRPr="000D6C08">
        <w:t xml:space="preserve"> sin información con relación a los posibles autores </w:t>
      </w:r>
      <w:r w:rsidR="00241CD6">
        <w:br/>
      </w:r>
      <w:r w:rsidR="00A16415" w:rsidRPr="000D6C08">
        <w:t>de los hechos o en los cuales se alega la posible participación de actores no estatales</w:t>
      </w:r>
      <w:r w:rsidR="00461E75" w:rsidRPr="000D6C08">
        <w:t xml:space="preserve"> </w:t>
      </w:r>
    </w:p>
    <w:p w:rsidR="00624A12" w:rsidRDefault="000C5C1F">
      <w:pPr>
        <w:pStyle w:val="SingleTxtG"/>
        <w:rPr>
          <w:i/>
          <w:lang w:eastAsia="en-GB"/>
        </w:rPr>
      </w:pPr>
      <w:r>
        <w:rPr>
          <w:rStyle w:val="SingleTxtGChar"/>
        </w:rPr>
        <w:t>6.</w:t>
      </w:r>
      <w:r w:rsidR="00E54D46">
        <w:rPr>
          <w:lang w:eastAsia="en-GB"/>
        </w:rPr>
        <w:tab/>
        <w:t>E</w:t>
      </w:r>
      <w:r w:rsidR="00461E75">
        <w:rPr>
          <w:lang w:eastAsia="en-GB"/>
        </w:rPr>
        <w:t xml:space="preserve">n la mayoría de los casos, la identidad de los perpetradores de la desaparición referida </w:t>
      </w:r>
      <w:r w:rsidR="00864C16">
        <w:rPr>
          <w:lang w:eastAsia="en-GB"/>
        </w:rPr>
        <w:t xml:space="preserve">se mantiene </w:t>
      </w:r>
      <w:r w:rsidR="00461E75">
        <w:rPr>
          <w:lang w:eastAsia="en-GB"/>
        </w:rPr>
        <w:t xml:space="preserve">desconocida. Los autores </w:t>
      </w:r>
      <w:r w:rsidR="00461E75" w:rsidRPr="009C493C">
        <w:t>presentan</w:t>
      </w:r>
      <w:r w:rsidR="00461E75">
        <w:rPr>
          <w:lang w:eastAsia="en-GB"/>
        </w:rPr>
        <w:t xml:space="preserve"> hipótesis, principalmente con base en testimonios, o con base en el contexto en el cual las desapariciones t</w:t>
      </w:r>
      <w:r w:rsidR="00864C16">
        <w:rPr>
          <w:lang w:eastAsia="en-GB"/>
        </w:rPr>
        <w:t xml:space="preserve">uvieron </w:t>
      </w:r>
      <w:r w:rsidR="00461E75">
        <w:rPr>
          <w:lang w:eastAsia="en-GB"/>
        </w:rPr>
        <w:t xml:space="preserve">lugar. No obstante, en algunos casos, las peticiones hacen clara referencia al posible involucramiento de actores no estatales. </w:t>
      </w:r>
    </w:p>
    <w:p w:rsidR="002D679A" w:rsidRDefault="00D31E18" w:rsidP="009C493C">
      <w:pPr>
        <w:pStyle w:val="SingleTxtG"/>
        <w:rPr>
          <w:lang w:eastAsia="en-GB"/>
        </w:rPr>
      </w:pPr>
      <w:r>
        <w:rPr>
          <w:lang w:eastAsia="en-GB"/>
        </w:rPr>
        <w:tab/>
      </w:r>
      <w:r w:rsidR="00DF52B9">
        <w:rPr>
          <w:lang w:eastAsia="en-GB"/>
        </w:rPr>
        <w:t>a)</w:t>
      </w:r>
      <w:r w:rsidR="003D13D6" w:rsidRPr="00E90F37">
        <w:rPr>
          <w:lang w:eastAsia="en-GB"/>
        </w:rPr>
        <w:tab/>
      </w:r>
      <w:r w:rsidR="003D13D6" w:rsidRPr="009C493C">
        <w:rPr>
          <w:iCs/>
          <w:lang w:eastAsia="en-GB"/>
        </w:rPr>
        <w:t>Ejemplos</w:t>
      </w:r>
      <w:r w:rsidR="003D13D6" w:rsidRPr="00E90F37">
        <w:rPr>
          <w:lang w:eastAsia="en-GB"/>
        </w:rPr>
        <w:t>:</w:t>
      </w:r>
    </w:p>
    <w:p w:rsidR="002D679A" w:rsidRDefault="002D679A" w:rsidP="009C493C">
      <w:pPr>
        <w:pStyle w:val="SingleTxtG"/>
        <w:ind w:left="1701"/>
      </w:pPr>
      <w:r>
        <w:rPr>
          <w:lang w:eastAsia="en-GB"/>
        </w:rPr>
        <w:t>i)</w:t>
      </w:r>
      <w:r>
        <w:rPr>
          <w:lang w:eastAsia="en-GB"/>
        </w:rPr>
        <w:tab/>
      </w:r>
      <w:r w:rsidR="000B42C4">
        <w:t>México:</w:t>
      </w:r>
      <w:r w:rsidR="00FE00FB">
        <w:t xml:space="preserve"> </w:t>
      </w:r>
      <w:r w:rsidR="00C206B7">
        <w:t>l</w:t>
      </w:r>
      <w:r w:rsidR="003C5AFD">
        <w:t xml:space="preserve">os </w:t>
      </w:r>
      <w:r w:rsidR="00FE00FB">
        <w:t xml:space="preserve">autores de </w:t>
      </w:r>
      <w:r w:rsidR="00DA5220">
        <w:t>una de las peticiones</w:t>
      </w:r>
      <w:r w:rsidR="00FE00FB">
        <w:t xml:space="preserve"> de acción urgente indicaron no tener información con relación a los perpetradores de la desaparición </w:t>
      </w:r>
      <w:r w:rsidR="00864C16">
        <w:t xml:space="preserve">y </w:t>
      </w:r>
      <w:r w:rsidR="00FE00FB">
        <w:t>plantea</w:t>
      </w:r>
      <w:r w:rsidR="00864C16">
        <w:t xml:space="preserve">ron </w:t>
      </w:r>
      <w:r w:rsidR="00FE00FB">
        <w:t>varias hipótesis</w:t>
      </w:r>
      <w:r w:rsidR="000B42C4">
        <w:t xml:space="preserve"> al respecto, inclu</w:t>
      </w:r>
      <w:r w:rsidR="00864C16">
        <w:t xml:space="preserve">ida </w:t>
      </w:r>
      <w:r w:rsidR="000B42C4">
        <w:t>la participación de policías estatales o de grupos armados al margen de la ley</w:t>
      </w:r>
      <w:r w:rsidR="00F63E01">
        <w:t>;</w:t>
      </w:r>
    </w:p>
    <w:p w:rsidR="00A16415" w:rsidRDefault="002D679A" w:rsidP="009C493C">
      <w:pPr>
        <w:pStyle w:val="SingleTxtG"/>
        <w:ind w:left="1701"/>
      </w:pPr>
      <w:r>
        <w:t>ii)</w:t>
      </w:r>
      <w:r>
        <w:tab/>
      </w:r>
      <w:r w:rsidR="00752025">
        <w:t>Colombia</w:t>
      </w:r>
      <w:r w:rsidR="00752025" w:rsidRPr="00752025">
        <w:t xml:space="preserve">: </w:t>
      </w:r>
      <w:r w:rsidR="00DA5220">
        <w:t>en una de las peticiones de acción urgente, l</w:t>
      </w:r>
      <w:r w:rsidR="00752025">
        <w:t xml:space="preserve">os autores </w:t>
      </w:r>
      <w:r w:rsidR="00DA5220">
        <w:t xml:space="preserve">alegaron </w:t>
      </w:r>
      <w:r w:rsidR="00217D93">
        <w:t xml:space="preserve">que las investigaciones no han permitido identificar a los autores, pero </w:t>
      </w:r>
      <w:r w:rsidR="00DA5220">
        <w:t xml:space="preserve">indicaron </w:t>
      </w:r>
      <w:r w:rsidR="00752025">
        <w:t xml:space="preserve">que las FARC podrían </w:t>
      </w:r>
      <w:r w:rsidR="00864C16">
        <w:t>esta</w:t>
      </w:r>
      <w:r w:rsidR="00752025">
        <w:t>r involucradas, aun cuando no exista documentación o testimonios para apoyar esa suposición</w:t>
      </w:r>
      <w:r w:rsidR="00F63E01">
        <w:t>;</w:t>
      </w:r>
      <w:r w:rsidR="00752025">
        <w:t xml:space="preserve"> </w:t>
      </w:r>
    </w:p>
    <w:p w:rsidR="00612E34" w:rsidRPr="009C493C" w:rsidRDefault="00D31E18">
      <w:pPr>
        <w:pStyle w:val="SingleTxtG"/>
        <w:rPr>
          <w:color w:val="000000" w:themeColor="text1"/>
          <w:lang w:eastAsia="en-GB"/>
        </w:rPr>
      </w:pPr>
      <w:r>
        <w:tab/>
      </w:r>
      <w:r w:rsidR="00DF52B9" w:rsidRPr="00C53B87">
        <w:t>b)</w:t>
      </w:r>
      <w:r w:rsidR="003D13D6" w:rsidRPr="00C53B87">
        <w:tab/>
      </w:r>
      <w:r w:rsidR="00217D93" w:rsidRPr="009C493C">
        <w:rPr>
          <w:iCs/>
        </w:rPr>
        <w:t>Acción tomada</w:t>
      </w:r>
      <w:r w:rsidR="00217D93" w:rsidRPr="00C53B87">
        <w:t>:</w:t>
      </w:r>
      <w:r w:rsidR="00217D93">
        <w:rPr>
          <w:lang w:eastAsia="en-GB"/>
        </w:rPr>
        <w:t xml:space="preserve"> </w:t>
      </w:r>
      <w:r w:rsidR="00C206B7">
        <w:rPr>
          <w:lang w:eastAsia="en-GB"/>
        </w:rPr>
        <w:t>e</w:t>
      </w:r>
      <w:r w:rsidR="003C5AFD">
        <w:rPr>
          <w:lang w:eastAsia="en-GB"/>
        </w:rPr>
        <w:t xml:space="preserve">n </w:t>
      </w:r>
      <w:r w:rsidR="000B42C4">
        <w:rPr>
          <w:lang w:eastAsia="en-GB"/>
        </w:rPr>
        <w:t xml:space="preserve">ambos casos, </w:t>
      </w:r>
      <w:r w:rsidR="00217D93">
        <w:rPr>
          <w:lang w:eastAsia="en-GB"/>
        </w:rPr>
        <w:t>la petición de acción urgente</w:t>
      </w:r>
      <w:r w:rsidR="000B42C4">
        <w:rPr>
          <w:lang w:eastAsia="en-GB"/>
        </w:rPr>
        <w:t xml:space="preserve"> fue registrada</w:t>
      </w:r>
      <w:r w:rsidR="00217D93">
        <w:rPr>
          <w:lang w:eastAsia="en-GB"/>
        </w:rPr>
        <w:t>, requiriendo información al Estado parte sobre las acciones investigativas tomadas para ubicar</w:t>
      </w:r>
      <w:r w:rsidR="000B42C4">
        <w:rPr>
          <w:lang w:eastAsia="en-GB"/>
        </w:rPr>
        <w:t xml:space="preserve"> a </w:t>
      </w:r>
      <w:r w:rsidR="00217D93">
        <w:rPr>
          <w:lang w:eastAsia="en-GB"/>
        </w:rPr>
        <w:t>la</w:t>
      </w:r>
      <w:r w:rsidR="000B42C4">
        <w:rPr>
          <w:lang w:eastAsia="en-GB"/>
        </w:rPr>
        <w:t xml:space="preserve">s víctimas, </w:t>
      </w:r>
      <w:r w:rsidR="000B42C4" w:rsidRPr="009C493C">
        <w:t>considerando</w:t>
      </w:r>
      <w:r w:rsidR="000B42C4">
        <w:rPr>
          <w:lang w:eastAsia="en-GB"/>
        </w:rPr>
        <w:t xml:space="preserve"> que la posible </w:t>
      </w:r>
      <w:r w:rsidR="003339A9">
        <w:rPr>
          <w:lang w:eastAsia="en-GB"/>
        </w:rPr>
        <w:t xml:space="preserve">participación por acción u omisión de agentes del Estado </w:t>
      </w:r>
      <w:r w:rsidR="000B42C4">
        <w:rPr>
          <w:lang w:eastAsia="en-GB"/>
        </w:rPr>
        <w:t>no se podría confirmar hasta cuando la investigación se haya llevado a cabo</w:t>
      </w:r>
      <w:r w:rsidR="00217D93">
        <w:rPr>
          <w:lang w:eastAsia="en-GB"/>
        </w:rPr>
        <w:t xml:space="preserve">. </w:t>
      </w:r>
    </w:p>
    <w:p w:rsidR="00E23338" w:rsidRPr="009C493C" w:rsidRDefault="00C53B87">
      <w:pPr>
        <w:pStyle w:val="H4G"/>
        <w:rPr>
          <w:b/>
          <w:bCs/>
          <w:i w:val="0"/>
          <w:iCs/>
          <w:lang w:eastAsia="en-GB"/>
        </w:rPr>
      </w:pPr>
      <w:r>
        <w:rPr>
          <w:lang w:eastAsia="en-GB"/>
        </w:rPr>
        <w:tab/>
      </w:r>
      <w:r w:rsidR="00024918" w:rsidRPr="009C493C">
        <w:rPr>
          <w:b/>
          <w:bCs/>
          <w:i w:val="0"/>
          <w:iCs/>
          <w:lang w:eastAsia="en-GB"/>
        </w:rPr>
        <w:t>2.</w:t>
      </w:r>
      <w:r w:rsidRPr="009C493C">
        <w:rPr>
          <w:b/>
          <w:bCs/>
          <w:i w:val="0"/>
          <w:iCs/>
          <w:lang w:eastAsia="en-GB"/>
        </w:rPr>
        <w:tab/>
      </w:r>
      <w:r w:rsidR="00516E8A" w:rsidRPr="009C493C">
        <w:rPr>
          <w:b/>
          <w:bCs/>
          <w:i w:val="0"/>
          <w:iCs/>
          <w:lang w:eastAsia="en-GB"/>
        </w:rPr>
        <w:t>Acciones</w:t>
      </w:r>
      <w:r w:rsidR="005E18F4" w:rsidRPr="009C493C">
        <w:rPr>
          <w:b/>
          <w:bCs/>
          <w:i w:val="0"/>
          <w:iCs/>
          <w:lang w:eastAsia="en-GB"/>
        </w:rPr>
        <w:t xml:space="preserve"> urgentes</w:t>
      </w:r>
      <w:r w:rsidR="00516E8A" w:rsidRPr="009C493C">
        <w:rPr>
          <w:b/>
          <w:bCs/>
          <w:i w:val="0"/>
          <w:iCs/>
          <w:lang w:eastAsia="en-GB"/>
        </w:rPr>
        <w:t xml:space="preserve"> registradas</w:t>
      </w:r>
      <w:r w:rsidR="00BB6B8D" w:rsidRPr="009C493C">
        <w:rPr>
          <w:b/>
          <w:bCs/>
          <w:i w:val="0"/>
          <w:iCs/>
          <w:lang w:eastAsia="en-GB"/>
        </w:rPr>
        <w:t xml:space="preserve"> tras</w:t>
      </w:r>
      <w:r w:rsidR="00516E8A" w:rsidRPr="009C493C">
        <w:rPr>
          <w:b/>
          <w:bCs/>
          <w:i w:val="0"/>
          <w:iCs/>
          <w:lang w:eastAsia="en-GB"/>
        </w:rPr>
        <w:t xml:space="preserve"> </w:t>
      </w:r>
      <w:r w:rsidR="006550B4" w:rsidRPr="009C493C">
        <w:rPr>
          <w:b/>
          <w:bCs/>
          <w:i w:val="0"/>
          <w:iCs/>
          <w:lang w:eastAsia="en-GB"/>
        </w:rPr>
        <w:t>la aclaración de las acciones tomadas para</w:t>
      </w:r>
      <w:r w:rsidR="0097110F">
        <w:rPr>
          <w:b/>
          <w:bCs/>
          <w:i w:val="0"/>
          <w:iCs/>
          <w:lang w:eastAsia="en-GB"/>
        </w:rPr>
        <w:t> </w:t>
      </w:r>
      <w:r w:rsidR="006550B4" w:rsidRPr="009C493C">
        <w:rPr>
          <w:b/>
          <w:bCs/>
          <w:i w:val="0"/>
          <w:iCs/>
          <w:lang w:eastAsia="en-GB"/>
        </w:rPr>
        <w:t>denunciar los hechos a las autoridades nacionales competentes</w:t>
      </w:r>
      <w:r w:rsidR="00512BBD">
        <w:rPr>
          <w:b/>
          <w:bCs/>
          <w:i w:val="0"/>
          <w:iCs/>
          <w:lang w:eastAsia="en-GB"/>
        </w:rPr>
        <w:t xml:space="preserve"> </w:t>
      </w:r>
    </w:p>
    <w:p w:rsidR="00A94778" w:rsidRDefault="00910CF4" w:rsidP="009C493C">
      <w:pPr>
        <w:pStyle w:val="SingleTxtG"/>
        <w:rPr>
          <w:lang w:eastAsia="en-GB"/>
        </w:rPr>
      </w:pPr>
      <w:r>
        <w:rPr>
          <w:lang w:eastAsia="en-GB"/>
        </w:rPr>
        <w:t>7.</w:t>
      </w:r>
      <w:r w:rsidR="00E54D46">
        <w:rPr>
          <w:lang w:eastAsia="en-GB"/>
        </w:rPr>
        <w:tab/>
        <w:t>De conformidad con e</w:t>
      </w:r>
      <w:r w:rsidR="00E54D46" w:rsidRPr="006111CE">
        <w:rPr>
          <w:lang w:eastAsia="en-GB"/>
        </w:rPr>
        <w:t>l artículo 30</w:t>
      </w:r>
      <w:r w:rsidR="00C206B7">
        <w:rPr>
          <w:lang w:eastAsia="en-GB"/>
        </w:rPr>
        <w:t xml:space="preserve">, párrafo </w:t>
      </w:r>
      <w:r w:rsidR="00E54D46" w:rsidRPr="006111CE">
        <w:rPr>
          <w:lang w:eastAsia="en-GB"/>
        </w:rPr>
        <w:t>2</w:t>
      </w:r>
      <w:r w:rsidR="00C206B7">
        <w:rPr>
          <w:lang w:eastAsia="en-GB"/>
        </w:rPr>
        <w:t xml:space="preserve">, apartado </w:t>
      </w:r>
      <w:r w:rsidR="00E54D46" w:rsidRPr="006111CE">
        <w:rPr>
          <w:lang w:eastAsia="en-GB"/>
        </w:rPr>
        <w:t>c)</w:t>
      </w:r>
      <w:r w:rsidR="00E54D46">
        <w:rPr>
          <w:lang w:eastAsia="en-GB"/>
        </w:rPr>
        <w:t xml:space="preserve">, </w:t>
      </w:r>
      <w:r>
        <w:rPr>
          <w:lang w:eastAsia="en-GB"/>
        </w:rPr>
        <w:t xml:space="preserve">de la Convención, </w:t>
      </w:r>
      <w:r w:rsidR="00E54D46" w:rsidRPr="006111CE">
        <w:rPr>
          <w:lang w:eastAsia="en-GB"/>
        </w:rPr>
        <w:t xml:space="preserve">el caso debe haber sido </w:t>
      </w:r>
      <w:r w:rsidR="00512BBD">
        <w:rPr>
          <w:lang w:eastAsia="en-GB"/>
        </w:rPr>
        <w:t>“</w:t>
      </w:r>
      <w:r w:rsidR="00E54D46" w:rsidRPr="006111CE">
        <w:rPr>
          <w:lang w:eastAsia="en-GB"/>
        </w:rPr>
        <w:t>presentado previamente y en la forma debida a los órganos competentes del Estado Parte interesado, tales como las autoridades encargadas de efectuar las investigaciones, cuando tal posibilidad existe”</w:t>
      </w:r>
      <w:r w:rsidR="00E54D46">
        <w:rPr>
          <w:lang w:eastAsia="en-GB"/>
        </w:rPr>
        <w:t>.</w:t>
      </w:r>
      <w:r w:rsidR="00E54D46" w:rsidRPr="00E54D46">
        <w:rPr>
          <w:lang w:eastAsia="en-GB"/>
        </w:rPr>
        <w:t xml:space="preserve"> </w:t>
      </w:r>
      <w:r w:rsidR="00E54D46">
        <w:rPr>
          <w:lang w:eastAsia="en-GB"/>
        </w:rPr>
        <w:t xml:space="preserve">En la gran mayoría de los casos, los autores de las peticiones de acción urgente proveen información sobre las acciones tomadas para señalar la desaparición referida a las autoridades nacionales competentes. Se considera que </w:t>
      </w:r>
      <w:r w:rsidR="00505532">
        <w:rPr>
          <w:lang w:eastAsia="en-GB"/>
        </w:rPr>
        <w:t xml:space="preserve">a partir del momento </w:t>
      </w:r>
      <w:r w:rsidR="00864C16">
        <w:rPr>
          <w:lang w:eastAsia="en-GB"/>
        </w:rPr>
        <w:t xml:space="preserve">en que </w:t>
      </w:r>
      <w:r w:rsidR="00505532">
        <w:rPr>
          <w:lang w:eastAsia="en-GB"/>
        </w:rPr>
        <w:t xml:space="preserve">una desaparición ha sido señalada a una de las autoridades competentes, la acción urgente se puede registrar. </w:t>
      </w:r>
    </w:p>
    <w:p w:rsidR="00505532" w:rsidRDefault="00A94778" w:rsidP="009C493C">
      <w:pPr>
        <w:pStyle w:val="SingleTxtG"/>
      </w:pPr>
      <w:r>
        <w:rPr>
          <w:lang w:eastAsia="en-GB"/>
        </w:rPr>
        <w:t>8.</w:t>
      </w:r>
      <w:r>
        <w:rPr>
          <w:lang w:eastAsia="en-GB"/>
        </w:rPr>
        <w:tab/>
      </w:r>
      <w:r w:rsidR="00505532">
        <w:rPr>
          <w:lang w:eastAsia="en-GB"/>
        </w:rPr>
        <w:t xml:space="preserve">En los casos en los cuales la desaparición no ha sido señalada a las autoridades competentes, los relatores analizan si la información proporcionada permite concluir que tal posibilidad no existe. En ese contexto, se </w:t>
      </w:r>
      <w:r w:rsidR="00505532" w:rsidRPr="009C493C">
        <w:t>toman</w:t>
      </w:r>
      <w:r w:rsidR="00505532">
        <w:rPr>
          <w:lang w:eastAsia="en-GB"/>
        </w:rPr>
        <w:t xml:space="preserve"> en </w:t>
      </w:r>
      <w:r w:rsidR="00864C16">
        <w:rPr>
          <w:lang w:eastAsia="en-GB"/>
        </w:rPr>
        <w:t xml:space="preserve">consideración </w:t>
      </w:r>
      <w:r w:rsidR="00505532">
        <w:rPr>
          <w:lang w:eastAsia="en-GB"/>
        </w:rPr>
        <w:t>los siguientes criterios:</w:t>
      </w:r>
      <w:r w:rsidR="000E0F32">
        <w:rPr>
          <w:lang w:eastAsia="en-GB"/>
        </w:rPr>
        <w:t xml:space="preserve"> </w:t>
      </w:r>
      <w:r w:rsidR="000E0F32">
        <w:t>La e</w:t>
      </w:r>
      <w:r w:rsidR="002D679A">
        <w:t xml:space="preserve">xistencia </w:t>
      </w:r>
      <w:r w:rsidR="00864C16">
        <w:t>de i</w:t>
      </w:r>
      <w:r w:rsidR="00505532">
        <w:t>nstituciones nacionales que tienen competencia para investigar casos de desaparición forzada</w:t>
      </w:r>
      <w:r>
        <w:t>,</w:t>
      </w:r>
      <w:r w:rsidR="000E0F32">
        <w:t xml:space="preserve"> y la e</w:t>
      </w:r>
      <w:r w:rsidR="00505532">
        <w:t xml:space="preserve">xistencia de factores de riesgo vinculados con la presentación de una denuncia a una de estas instituciones. </w:t>
      </w:r>
    </w:p>
    <w:p w:rsidR="00E23338" w:rsidRPr="00E23338" w:rsidRDefault="00D31E18">
      <w:pPr>
        <w:pStyle w:val="SingleTxtG"/>
        <w:rPr>
          <w:i/>
          <w:lang w:eastAsia="en-GB"/>
        </w:rPr>
      </w:pPr>
      <w:r>
        <w:rPr>
          <w:rStyle w:val="SingleTxtGChar"/>
        </w:rPr>
        <w:lastRenderedPageBreak/>
        <w:tab/>
      </w:r>
      <w:r w:rsidR="00177C5F">
        <w:rPr>
          <w:rStyle w:val="SingleTxtGChar"/>
        </w:rPr>
        <w:t>a)</w:t>
      </w:r>
      <w:r w:rsidR="00177C5F">
        <w:rPr>
          <w:rStyle w:val="SingleTxtGChar"/>
        </w:rPr>
        <w:tab/>
      </w:r>
      <w:r w:rsidR="00E23338" w:rsidRPr="009C493C">
        <w:rPr>
          <w:rStyle w:val="SingleTxtGChar"/>
          <w:iCs/>
        </w:rPr>
        <w:t>Ejemplo</w:t>
      </w:r>
      <w:r w:rsidR="00E23338" w:rsidRPr="00C53B87">
        <w:rPr>
          <w:rStyle w:val="SingleTxtGChar"/>
        </w:rPr>
        <w:t>:</w:t>
      </w:r>
      <w:r w:rsidR="00E23338" w:rsidRPr="00E23338">
        <w:rPr>
          <w:b/>
          <w:lang w:eastAsia="en-GB"/>
        </w:rPr>
        <w:t xml:space="preserve"> </w:t>
      </w:r>
      <w:r w:rsidR="0076157E" w:rsidRPr="00E23338">
        <w:rPr>
          <w:lang w:eastAsia="en-GB"/>
        </w:rPr>
        <w:t xml:space="preserve">en </w:t>
      </w:r>
      <w:r w:rsidR="00E23338">
        <w:rPr>
          <w:lang w:eastAsia="en-GB"/>
        </w:rPr>
        <w:t>una</w:t>
      </w:r>
      <w:r w:rsidR="0076157E" w:rsidRPr="00E23338">
        <w:rPr>
          <w:lang w:eastAsia="en-GB"/>
        </w:rPr>
        <w:t xml:space="preserve"> acci</w:t>
      </w:r>
      <w:r w:rsidR="00E23338">
        <w:rPr>
          <w:lang w:eastAsia="en-GB"/>
        </w:rPr>
        <w:t>ón</w:t>
      </w:r>
      <w:r w:rsidR="0076157E" w:rsidRPr="00E23338">
        <w:rPr>
          <w:lang w:eastAsia="en-GB"/>
        </w:rPr>
        <w:t xml:space="preserve"> urgente</w:t>
      </w:r>
      <w:r w:rsidR="00E23338">
        <w:rPr>
          <w:lang w:eastAsia="en-GB"/>
        </w:rPr>
        <w:t xml:space="preserve"> registrada desde el </w:t>
      </w:r>
      <w:r w:rsidR="00F04EA0">
        <w:rPr>
          <w:lang w:eastAsia="en-GB"/>
        </w:rPr>
        <w:t xml:space="preserve">décimo </w:t>
      </w:r>
      <w:r w:rsidR="00E23338">
        <w:rPr>
          <w:lang w:eastAsia="en-GB"/>
        </w:rPr>
        <w:t>per</w:t>
      </w:r>
      <w:r w:rsidR="00F04EA0">
        <w:rPr>
          <w:lang w:eastAsia="en-GB"/>
        </w:rPr>
        <w:t>í</w:t>
      </w:r>
      <w:r w:rsidR="00E23338">
        <w:rPr>
          <w:lang w:eastAsia="en-GB"/>
        </w:rPr>
        <w:t>odo de sesiones</w:t>
      </w:r>
      <w:r w:rsidR="0076157E" w:rsidRPr="00E23338">
        <w:rPr>
          <w:lang w:eastAsia="en-GB"/>
        </w:rPr>
        <w:t xml:space="preserve">, los autores </w:t>
      </w:r>
      <w:r w:rsidR="0076157E" w:rsidRPr="009C493C">
        <w:t>no</w:t>
      </w:r>
      <w:r w:rsidR="0076157E" w:rsidRPr="00E23338">
        <w:rPr>
          <w:lang w:eastAsia="en-GB"/>
        </w:rPr>
        <w:t xml:space="preserve"> habían </w:t>
      </w:r>
      <w:r w:rsidR="0076157E" w:rsidRPr="006111CE">
        <w:rPr>
          <w:lang w:eastAsia="en-GB"/>
        </w:rPr>
        <w:t xml:space="preserve">entregado información sobre </w:t>
      </w:r>
      <w:r w:rsidR="005A357F">
        <w:rPr>
          <w:lang w:eastAsia="en-GB"/>
        </w:rPr>
        <w:t xml:space="preserve">las medidas </w:t>
      </w:r>
      <w:r w:rsidR="0076157E" w:rsidRPr="006111CE">
        <w:rPr>
          <w:lang w:eastAsia="en-GB"/>
        </w:rPr>
        <w:t>tomad</w:t>
      </w:r>
      <w:r w:rsidR="005A357F">
        <w:rPr>
          <w:lang w:eastAsia="en-GB"/>
        </w:rPr>
        <w:t>a</w:t>
      </w:r>
      <w:r w:rsidR="0076157E" w:rsidRPr="006111CE">
        <w:rPr>
          <w:lang w:eastAsia="en-GB"/>
        </w:rPr>
        <w:t>s para denuncia</w:t>
      </w:r>
      <w:r w:rsidR="00864C16">
        <w:rPr>
          <w:lang w:eastAsia="en-GB"/>
        </w:rPr>
        <w:t>r</w:t>
      </w:r>
      <w:r w:rsidR="0076157E" w:rsidRPr="006111CE">
        <w:rPr>
          <w:lang w:eastAsia="en-GB"/>
        </w:rPr>
        <w:t xml:space="preserve"> la desaparición referida a instituciones nacionales</w:t>
      </w:r>
      <w:r w:rsidR="00F63E01">
        <w:rPr>
          <w:lang w:eastAsia="en-GB"/>
        </w:rPr>
        <w:t>;</w:t>
      </w:r>
      <w:r w:rsidR="0076157E" w:rsidRPr="006111CE">
        <w:rPr>
          <w:lang w:eastAsia="en-GB"/>
        </w:rPr>
        <w:t xml:space="preserve"> </w:t>
      </w:r>
    </w:p>
    <w:p w:rsidR="009F2141" w:rsidRPr="004D6E50" w:rsidRDefault="00D31E18" w:rsidP="00F93A56">
      <w:pPr>
        <w:pStyle w:val="SingleTxtG"/>
        <w:rPr>
          <w:i/>
          <w:lang w:eastAsia="en-GB"/>
        </w:rPr>
      </w:pPr>
      <w:r>
        <w:rPr>
          <w:lang w:eastAsia="en-GB"/>
        </w:rPr>
        <w:tab/>
      </w:r>
      <w:r w:rsidR="00177C5F">
        <w:rPr>
          <w:lang w:eastAsia="en-GB"/>
        </w:rPr>
        <w:t>b)</w:t>
      </w:r>
      <w:r w:rsidR="00177C5F">
        <w:rPr>
          <w:lang w:eastAsia="en-GB"/>
        </w:rPr>
        <w:tab/>
      </w:r>
      <w:r w:rsidR="00E23338" w:rsidRPr="009C493C">
        <w:rPr>
          <w:iCs/>
          <w:lang w:eastAsia="en-GB"/>
        </w:rPr>
        <w:t>Acción tomada</w:t>
      </w:r>
      <w:r w:rsidR="00E23338" w:rsidRPr="00E90F37">
        <w:rPr>
          <w:lang w:eastAsia="en-GB"/>
        </w:rPr>
        <w:t>:</w:t>
      </w:r>
      <w:r w:rsidR="00E23338">
        <w:rPr>
          <w:lang w:eastAsia="en-GB"/>
        </w:rPr>
        <w:t xml:space="preserve"> </w:t>
      </w:r>
      <w:r w:rsidR="00F63E01">
        <w:rPr>
          <w:lang w:eastAsia="en-GB"/>
        </w:rPr>
        <w:t>s</w:t>
      </w:r>
      <w:r w:rsidR="003C5AFD">
        <w:rPr>
          <w:lang w:eastAsia="en-GB"/>
        </w:rPr>
        <w:t xml:space="preserve">e </w:t>
      </w:r>
      <w:r w:rsidR="00E23338">
        <w:rPr>
          <w:lang w:eastAsia="en-GB"/>
        </w:rPr>
        <w:t>p</w:t>
      </w:r>
      <w:r w:rsidR="00864C16">
        <w:rPr>
          <w:lang w:eastAsia="en-GB"/>
        </w:rPr>
        <w:t>idi</w:t>
      </w:r>
      <w:r w:rsidR="00E23338">
        <w:rPr>
          <w:lang w:eastAsia="en-GB"/>
        </w:rPr>
        <w:t xml:space="preserve">ó a los autores brindar más información sobre ese punto. Los autores respondieron que no habían presentado el caso a las autoridades nacionales competentes “por miedo a las </w:t>
      </w:r>
      <w:r w:rsidR="00E23338" w:rsidRPr="009C493C">
        <w:t>represalias</w:t>
      </w:r>
      <w:r w:rsidR="00E23338">
        <w:rPr>
          <w:lang w:eastAsia="en-GB"/>
        </w:rPr>
        <w:t>”</w:t>
      </w:r>
      <w:r w:rsidR="00864C16">
        <w:rPr>
          <w:lang w:eastAsia="en-GB"/>
        </w:rPr>
        <w:t>.</w:t>
      </w:r>
      <w:r w:rsidR="00925B83">
        <w:rPr>
          <w:lang w:eastAsia="en-GB"/>
        </w:rPr>
        <w:t xml:space="preserve"> </w:t>
      </w:r>
      <w:r w:rsidR="00505532">
        <w:rPr>
          <w:color w:val="000000"/>
          <w:lang w:eastAsia="en-GB"/>
        </w:rPr>
        <w:t xml:space="preserve">Dicha información fue confirmada con base en información proporcionada por </w:t>
      </w:r>
      <w:r w:rsidR="005A357F" w:rsidRPr="009C493C">
        <w:rPr>
          <w:lang w:eastAsia="en-GB"/>
        </w:rPr>
        <w:t xml:space="preserve">el Alto Comisionado de las Naciones Unidas </w:t>
      </w:r>
      <w:r w:rsidR="005A357F" w:rsidRPr="009C493C">
        <w:rPr>
          <w:spacing w:val="-2"/>
          <w:lang w:eastAsia="en-GB"/>
        </w:rPr>
        <w:t>para los Derechos Humanos</w:t>
      </w:r>
      <w:r w:rsidR="00241CD6">
        <w:rPr>
          <w:spacing w:val="-2"/>
          <w:lang w:eastAsia="en-GB"/>
        </w:rPr>
        <w:t> </w:t>
      </w:r>
      <w:r w:rsidR="005A357F" w:rsidRPr="009C493C">
        <w:rPr>
          <w:spacing w:val="-2"/>
          <w:lang w:eastAsia="en-GB"/>
        </w:rPr>
        <w:t>(</w:t>
      </w:r>
      <w:r w:rsidR="00505532" w:rsidRPr="009C493C">
        <w:rPr>
          <w:spacing w:val="-2"/>
          <w:lang w:eastAsia="en-GB"/>
        </w:rPr>
        <w:t>ACNUDH</w:t>
      </w:r>
      <w:r w:rsidR="005A357F" w:rsidRPr="009C493C">
        <w:rPr>
          <w:spacing w:val="-2"/>
          <w:lang w:eastAsia="en-GB"/>
        </w:rPr>
        <w:t>)</w:t>
      </w:r>
      <w:r w:rsidR="00505532" w:rsidRPr="009C493C">
        <w:rPr>
          <w:lang w:eastAsia="en-GB"/>
        </w:rPr>
        <w:t xml:space="preserve">. </w:t>
      </w:r>
      <w:r w:rsidR="00E23338" w:rsidRPr="00925B83">
        <w:rPr>
          <w:lang w:eastAsia="en-GB"/>
        </w:rPr>
        <w:t xml:space="preserve">En vista de lo anterior, </w:t>
      </w:r>
      <w:r w:rsidR="00E23338" w:rsidRPr="009C493C">
        <w:rPr>
          <w:lang w:eastAsia="en-GB"/>
        </w:rPr>
        <w:t>s</w:t>
      </w:r>
      <w:r w:rsidR="006111CE" w:rsidRPr="009C493C">
        <w:rPr>
          <w:lang w:eastAsia="en-GB"/>
        </w:rPr>
        <w:t xml:space="preserve">e </w:t>
      </w:r>
      <w:r w:rsidR="00E23338" w:rsidRPr="009C493C">
        <w:rPr>
          <w:lang w:eastAsia="en-GB"/>
        </w:rPr>
        <w:t>determinó que no</w:t>
      </w:r>
      <w:r w:rsidR="00E23338" w:rsidRPr="00925B83">
        <w:rPr>
          <w:color w:val="000000"/>
          <w:lang w:eastAsia="en-GB"/>
        </w:rPr>
        <w:t xml:space="preserve"> existe la posibilidad de presentar previament</w:t>
      </w:r>
      <w:r w:rsidR="00E23338">
        <w:rPr>
          <w:color w:val="000000"/>
          <w:lang w:eastAsia="en-GB"/>
        </w:rPr>
        <w:t>e el caso a los órganos competentes del Estado parte. En casos anteriores similares, se consideró que el riesgo alegado podía verificarse con base en la información brindada por el autor u</w:t>
      </w:r>
      <w:r w:rsidR="00677DED">
        <w:rPr>
          <w:color w:val="000000"/>
          <w:lang w:eastAsia="en-GB"/>
        </w:rPr>
        <w:t xml:space="preserve"> otras fuentes</w:t>
      </w:r>
      <w:r w:rsidR="00677DED" w:rsidRPr="00677DED">
        <w:rPr>
          <w:color w:val="000000"/>
          <w:lang w:eastAsia="en-GB"/>
        </w:rPr>
        <w:t xml:space="preserve"> (</w:t>
      </w:r>
      <w:r w:rsidR="005A357F">
        <w:rPr>
          <w:color w:val="000000"/>
          <w:lang w:eastAsia="en-GB"/>
        </w:rPr>
        <w:t xml:space="preserve">por </w:t>
      </w:r>
      <w:r w:rsidR="00677DED" w:rsidRPr="00677DED">
        <w:rPr>
          <w:color w:val="000000"/>
          <w:lang w:eastAsia="en-GB"/>
        </w:rPr>
        <w:t>ejemplo</w:t>
      </w:r>
      <w:r w:rsidR="005A357F">
        <w:rPr>
          <w:color w:val="000000"/>
          <w:lang w:eastAsia="en-GB"/>
        </w:rPr>
        <w:t>,</w:t>
      </w:r>
      <w:r w:rsidR="00677DED" w:rsidRPr="00677DED">
        <w:rPr>
          <w:color w:val="000000"/>
          <w:lang w:eastAsia="en-GB"/>
        </w:rPr>
        <w:t xml:space="preserve"> confirmación por las oficinas de </w:t>
      </w:r>
      <w:r w:rsidR="00F04EA0">
        <w:rPr>
          <w:color w:val="000000"/>
          <w:lang w:eastAsia="en-GB"/>
        </w:rPr>
        <w:t xml:space="preserve">las </w:t>
      </w:r>
      <w:r w:rsidR="00DA5220">
        <w:rPr>
          <w:color w:val="000000"/>
          <w:lang w:eastAsia="en-GB"/>
        </w:rPr>
        <w:t>Naciones Unidas</w:t>
      </w:r>
      <w:r w:rsidR="00DA5220" w:rsidRPr="00677DED">
        <w:rPr>
          <w:color w:val="000000"/>
          <w:lang w:eastAsia="en-GB"/>
        </w:rPr>
        <w:t xml:space="preserve"> </w:t>
      </w:r>
      <w:r w:rsidR="00677DED" w:rsidRPr="00677DED">
        <w:rPr>
          <w:color w:val="000000"/>
          <w:lang w:eastAsia="en-GB"/>
        </w:rPr>
        <w:t>en el terreno; hechos similares en casos del mismo lugar; información de otras fuentes, como informes de organizaciones de la sociedad civi</w:t>
      </w:r>
      <w:r w:rsidR="00677DED">
        <w:rPr>
          <w:color w:val="000000"/>
          <w:lang w:eastAsia="en-GB"/>
        </w:rPr>
        <w:t>l, etc</w:t>
      </w:r>
      <w:r w:rsidR="00F04EA0">
        <w:rPr>
          <w:color w:val="000000"/>
          <w:lang w:eastAsia="en-GB"/>
        </w:rPr>
        <w:t>.</w:t>
      </w:r>
      <w:r w:rsidR="00677DED" w:rsidRPr="00677DED">
        <w:rPr>
          <w:color w:val="000000"/>
          <w:lang w:eastAsia="en-GB"/>
        </w:rPr>
        <w:t>)</w:t>
      </w:r>
      <w:r w:rsidR="00677DED">
        <w:rPr>
          <w:color w:val="000000"/>
          <w:lang w:eastAsia="en-GB"/>
        </w:rPr>
        <w:t>.</w:t>
      </w:r>
    </w:p>
    <w:p w:rsidR="00BF3266" w:rsidRPr="00BF3266" w:rsidRDefault="00624A12" w:rsidP="009C493C">
      <w:pPr>
        <w:pStyle w:val="H1G"/>
      </w:pPr>
      <w:r>
        <w:tab/>
      </w:r>
      <w:r w:rsidR="001B2DF9">
        <w:t>E</w:t>
      </w:r>
      <w:r w:rsidR="00024918">
        <w:t>.</w:t>
      </w:r>
      <w:r>
        <w:tab/>
      </w:r>
      <w:r w:rsidR="005E18F4">
        <w:t xml:space="preserve">Desarrollo de las </w:t>
      </w:r>
      <w:r w:rsidR="005E18F4" w:rsidRPr="00C53B87">
        <w:t>acciones</w:t>
      </w:r>
      <w:r w:rsidR="005E18F4">
        <w:t xml:space="preserve"> urgentes tras su</w:t>
      </w:r>
      <w:r w:rsidR="00BF3266">
        <w:t xml:space="preserve"> registro:</w:t>
      </w:r>
      <w:r w:rsidR="005E18F4">
        <w:t xml:space="preserve"> tendencias observadas desde el </w:t>
      </w:r>
      <w:r w:rsidR="005A357F">
        <w:t xml:space="preserve">décimo </w:t>
      </w:r>
      <w:r w:rsidR="005E18F4">
        <w:t>per</w:t>
      </w:r>
      <w:r w:rsidR="005A357F">
        <w:t>í</w:t>
      </w:r>
      <w:r w:rsidR="005E18F4">
        <w:t>odo de sesiones</w:t>
      </w:r>
      <w:r w:rsidR="001D4C12">
        <w:t xml:space="preserve"> </w:t>
      </w:r>
      <w:r w:rsidR="0097110F">
        <w:br/>
      </w:r>
      <w:r w:rsidR="001D4C12">
        <w:t>(hasta el</w:t>
      </w:r>
      <w:r w:rsidR="00512BBD">
        <w:t xml:space="preserve"> </w:t>
      </w:r>
      <w:r w:rsidR="001D4C12">
        <w:t>12 de julio de 2016)</w:t>
      </w:r>
    </w:p>
    <w:p w:rsidR="00E54D46" w:rsidRPr="009C493C" w:rsidRDefault="00624A12">
      <w:pPr>
        <w:pStyle w:val="H4G"/>
        <w:rPr>
          <w:b/>
          <w:bCs/>
          <w:i w:val="0"/>
          <w:iCs/>
        </w:rPr>
      </w:pPr>
      <w:r>
        <w:tab/>
      </w:r>
      <w:r w:rsidRPr="009C493C">
        <w:rPr>
          <w:b/>
          <w:bCs/>
          <w:i w:val="0"/>
          <w:iCs/>
        </w:rPr>
        <w:tab/>
      </w:r>
      <w:r w:rsidR="00DF52B9" w:rsidRPr="009C493C">
        <w:rPr>
          <w:b/>
          <w:bCs/>
          <w:i w:val="0"/>
          <w:iCs/>
        </w:rPr>
        <w:t>R</w:t>
      </w:r>
      <w:r w:rsidR="00BF3266" w:rsidRPr="009C493C">
        <w:rPr>
          <w:b/>
          <w:bCs/>
          <w:i w:val="0"/>
          <w:iCs/>
        </w:rPr>
        <w:t>espuesta</w:t>
      </w:r>
      <w:r w:rsidR="00DF52B9" w:rsidRPr="009C493C">
        <w:rPr>
          <w:b/>
          <w:bCs/>
          <w:i w:val="0"/>
          <w:iCs/>
        </w:rPr>
        <w:t>s</w:t>
      </w:r>
      <w:r w:rsidR="00BF3266" w:rsidRPr="009C493C">
        <w:rPr>
          <w:b/>
          <w:bCs/>
          <w:i w:val="0"/>
          <w:iCs/>
        </w:rPr>
        <w:t xml:space="preserve"> de los Estados partes</w:t>
      </w:r>
    </w:p>
    <w:p w:rsidR="004D6E50" w:rsidRDefault="0020518E">
      <w:pPr>
        <w:pStyle w:val="SingleTxtG"/>
        <w:rPr>
          <w:i/>
        </w:rPr>
      </w:pPr>
      <w:r>
        <w:t>9.</w:t>
      </w:r>
      <w:r w:rsidR="00AC0D61">
        <w:tab/>
      </w:r>
      <w:r w:rsidR="00E54D46" w:rsidRPr="00E54D46">
        <w:t>L</w:t>
      </w:r>
      <w:r w:rsidR="004D6E50" w:rsidRPr="00E54D46">
        <w:t>os Estados</w:t>
      </w:r>
      <w:r w:rsidR="004D6E50" w:rsidRPr="004D6E50">
        <w:t xml:space="preserve"> siguen respondiendo a la gran mayoría de las acciones urgentes registradas. Cuando no lo </w:t>
      </w:r>
      <w:r w:rsidR="004D6E50" w:rsidRPr="00035A1C">
        <w:t>hacen</w:t>
      </w:r>
      <w:r w:rsidR="004D6E50" w:rsidRPr="004D6E50">
        <w:t>, se les envía</w:t>
      </w:r>
      <w:r w:rsidR="003E0123">
        <w:t>n</w:t>
      </w:r>
      <w:r w:rsidR="004D6E50" w:rsidRPr="004D6E50">
        <w:t xml:space="preserve"> cartas de recordatorio.</w:t>
      </w:r>
      <w:r w:rsidR="00512BBD">
        <w:t xml:space="preserve"> </w:t>
      </w:r>
    </w:p>
    <w:p w:rsidR="007E4214" w:rsidRPr="009C493C" w:rsidRDefault="0097110F" w:rsidP="009C493C">
      <w:pPr>
        <w:pStyle w:val="H23G"/>
        <w:rPr>
          <w:bCs/>
          <w:iCs/>
        </w:rPr>
      </w:pPr>
      <w:r>
        <w:rPr>
          <w:iCs/>
        </w:rPr>
        <w:tab/>
      </w:r>
      <w:r>
        <w:rPr>
          <w:iCs/>
        </w:rPr>
        <w:tab/>
      </w:r>
      <w:r w:rsidR="00F04EA0" w:rsidRPr="009C493C">
        <w:rPr>
          <w:b w:val="0"/>
          <w:bCs/>
        </w:rPr>
        <w:t xml:space="preserve">Cuadro </w:t>
      </w:r>
      <w:r w:rsidR="007E4214" w:rsidRPr="009C493C">
        <w:rPr>
          <w:b w:val="0"/>
          <w:bCs/>
        </w:rPr>
        <w:t>3</w:t>
      </w:r>
      <w:r>
        <w:br/>
      </w:r>
      <w:r w:rsidR="002B6507" w:rsidRPr="009C493C">
        <w:rPr>
          <w:bCs/>
          <w:iCs/>
        </w:rPr>
        <w:t>A</w:t>
      </w:r>
      <w:r w:rsidR="00F04EA0" w:rsidRPr="009C493C">
        <w:rPr>
          <w:bCs/>
          <w:iCs/>
        </w:rPr>
        <w:t xml:space="preserve">cciones urgentes </w:t>
      </w:r>
      <w:r w:rsidR="002B6507" w:rsidRPr="009C493C">
        <w:rPr>
          <w:bCs/>
          <w:iCs/>
        </w:rPr>
        <w:t>en las cuales el Estado parte no ha enviado respuesta</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2835"/>
        <w:gridCol w:w="2835"/>
      </w:tblGrid>
      <w:tr w:rsidR="009C493C" w:rsidRPr="004773D8" w:rsidTr="009C493C">
        <w:trPr>
          <w:trHeight w:val="240"/>
          <w:tblHeader/>
        </w:trPr>
        <w:tc>
          <w:tcPr>
            <w:tcW w:w="1701" w:type="dxa"/>
            <w:tcBorders>
              <w:top w:val="single" w:sz="4" w:space="0" w:color="auto"/>
              <w:bottom w:val="single" w:sz="12" w:space="0" w:color="auto"/>
            </w:tcBorders>
            <w:shd w:val="clear" w:color="auto" w:fill="auto"/>
            <w:vAlign w:val="bottom"/>
          </w:tcPr>
          <w:p w:rsidR="007E4214" w:rsidRPr="004773D8" w:rsidRDefault="002F4AF7" w:rsidP="009C493C">
            <w:pPr>
              <w:spacing w:before="80" w:after="80" w:line="200" w:lineRule="exact"/>
              <w:rPr>
                <w:i/>
                <w:sz w:val="16"/>
              </w:rPr>
            </w:pPr>
            <w:r w:rsidRPr="004773D8">
              <w:rPr>
                <w:i/>
                <w:sz w:val="16"/>
              </w:rPr>
              <w:t>Estado</w:t>
            </w:r>
            <w:r w:rsidR="004773D8" w:rsidRPr="009C493C">
              <w:rPr>
                <w:i/>
                <w:sz w:val="16"/>
              </w:rPr>
              <w:t xml:space="preserve"> parte</w:t>
            </w:r>
          </w:p>
        </w:tc>
        <w:tc>
          <w:tcPr>
            <w:tcW w:w="2835" w:type="dxa"/>
            <w:tcBorders>
              <w:top w:val="single" w:sz="4" w:space="0" w:color="auto"/>
              <w:bottom w:val="single" w:sz="12" w:space="0" w:color="auto"/>
            </w:tcBorders>
            <w:shd w:val="clear" w:color="auto" w:fill="auto"/>
            <w:vAlign w:val="bottom"/>
          </w:tcPr>
          <w:p w:rsidR="007E4214" w:rsidRPr="004773D8" w:rsidRDefault="004773D8" w:rsidP="009C493C">
            <w:pPr>
              <w:spacing w:before="80" w:after="80" w:line="200" w:lineRule="exact"/>
              <w:jc w:val="right"/>
              <w:rPr>
                <w:i/>
                <w:sz w:val="16"/>
              </w:rPr>
            </w:pPr>
            <w:r>
              <w:rPr>
                <w:i/>
                <w:sz w:val="16"/>
              </w:rPr>
              <w:t>A</w:t>
            </w:r>
            <w:r w:rsidR="00F04EA0" w:rsidRPr="004773D8">
              <w:rPr>
                <w:i/>
                <w:sz w:val="16"/>
              </w:rPr>
              <w:t xml:space="preserve">cciones urgentes </w:t>
            </w:r>
            <w:r w:rsidR="007E4214" w:rsidRPr="004773D8">
              <w:rPr>
                <w:i/>
                <w:sz w:val="16"/>
              </w:rPr>
              <w:t>registradas</w:t>
            </w:r>
          </w:p>
        </w:tc>
        <w:tc>
          <w:tcPr>
            <w:tcW w:w="2835" w:type="dxa"/>
            <w:tcBorders>
              <w:top w:val="single" w:sz="4" w:space="0" w:color="auto"/>
              <w:bottom w:val="single" w:sz="12" w:space="0" w:color="auto"/>
            </w:tcBorders>
            <w:shd w:val="clear" w:color="auto" w:fill="auto"/>
            <w:vAlign w:val="bottom"/>
          </w:tcPr>
          <w:p w:rsidR="007E4214" w:rsidRPr="004773D8" w:rsidRDefault="007E4214" w:rsidP="009C493C">
            <w:pPr>
              <w:spacing w:before="80" w:after="80" w:line="200" w:lineRule="exact"/>
              <w:jc w:val="right"/>
              <w:rPr>
                <w:i/>
                <w:sz w:val="16"/>
              </w:rPr>
            </w:pPr>
            <w:r w:rsidRPr="004773D8">
              <w:rPr>
                <w:i/>
                <w:sz w:val="16"/>
              </w:rPr>
              <w:t>A</w:t>
            </w:r>
            <w:r w:rsidR="00F04EA0" w:rsidRPr="004773D8">
              <w:rPr>
                <w:i/>
                <w:sz w:val="16"/>
              </w:rPr>
              <w:t xml:space="preserve">cciones urgentes </w:t>
            </w:r>
            <w:r w:rsidRPr="004773D8">
              <w:rPr>
                <w:i/>
                <w:sz w:val="16"/>
              </w:rPr>
              <w:t>sin respuesta</w:t>
            </w:r>
            <w:r w:rsidR="002B6507" w:rsidRPr="004773D8">
              <w:rPr>
                <w:i/>
                <w:sz w:val="16"/>
              </w:rPr>
              <w:t xml:space="preserve"> </w:t>
            </w:r>
          </w:p>
        </w:tc>
      </w:tr>
      <w:tr w:rsidR="009C493C" w:rsidRPr="00D31E18" w:rsidTr="009C493C">
        <w:trPr>
          <w:trHeight w:val="240"/>
        </w:trPr>
        <w:tc>
          <w:tcPr>
            <w:tcW w:w="1701" w:type="dxa"/>
            <w:tcBorders>
              <w:top w:val="single" w:sz="12" w:space="0" w:color="auto"/>
            </w:tcBorders>
            <w:shd w:val="clear" w:color="auto" w:fill="auto"/>
          </w:tcPr>
          <w:p w:rsidR="007E4214" w:rsidRPr="00D31E18" w:rsidRDefault="007E4214" w:rsidP="003F38EF">
            <w:pPr>
              <w:spacing w:before="40" w:after="40" w:line="220" w:lineRule="exact"/>
              <w:rPr>
                <w:sz w:val="18"/>
              </w:rPr>
            </w:pPr>
            <w:r w:rsidRPr="00D31E18">
              <w:rPr>
                <w:sz w:val="18"/>
              </w:rPr>
              <w:t>Brasil</w:t>
            </w:r>
          </w:p>
        </w:tc>
        <w:tc>
          <w:tcPr>
            <w:tcW w:w="2835" w:type="dxa"/>
            <w:tcBorders>
              <w:top w:val="single" w:sz="12" w:space="0" w:color="auto"/>
            </w:tcBorders>
            <w:shd w:val="clear" w:color="auto" w:fill="auto"/>
            <w:vAlign w:val="bottom"/>
          </w:tcPr>
          <w:p w:rsidR="007E4214" w:rsidRPr="00D31E18" w:rsidRDefault="007E4214" w:rsidP="009C493C">
            <w:pPr>
              <w:spacing w:before="40" w:after="40" w:line="220" w:lineRule="exact"/>
              <w:jc w:val="right"/>
              <w:rPr>
                <w:sz w:val="18"/>
              </w:rPr>
            </w:pPr>
            <w:r w:rsidRPr="00D31E18">
              <w:rPr>
                <w:sz w:val="18"/>
              </w:rPr>
              <w:t>1</w:t>
            </w:r>
          </w:p>
        </w:tc>
        <w:tc>
          <w:tcPr>
            <w:tcW w:w="2835" w:type="dxa"/>
            <w:tcBorders>
              <w:top w:val="single" w:sz="12" w:space="0" w:color="auto"/>
            </w:tcBorders>
            <w:shd w:val="clear" w:color="auto" w:fill="auto"/>
            <w:vAlign w:val="bottom"/>
          </w:tcPr>
          <w:p w:rsidR="007E4214" w:rsidRPr="00D31E18" w:rsidRDefault="00AF783A" w:rsidP="009C493C">
            <w:pPr>
              <w:spacing w:before="40" w:after="40" w:line="220" w:lineRule="exact"/>
              <w:jc w:val="right"/>
              <w:rPr>
                <w:sz w:val="18"/>
              </w:rPr>
            </w:pPr>
            <w:r>
              <w:rPr>
                <w:sz w:val="18"/>
              </w:rPr>
              <w:t>..</w:t>
            </w:r>
          </w:p>
        </w:tc>
      </w:tr>
      <w:tr w:rsidR="009C493C" w:rsidRPr="00D31E18" w:rsidTr="009C493C">
        <w:trPr>
          <w:trHeight w:val="240"/>
        </w:trPr>
        <w:tc>
          <w:tcPr>
            <w:tcW w:w="1701" w:type="dxa"/>
            <w:shd w:val="clear" w:color="auto" w:fill="auto"/>
          </w:tcPr>
          <w:p w:rsidR="007E4214" w:rsidRPr="00D31E18" w:rsidRDefault="007E4214" w:rsidP="00064720">
            <w:pPr>
              <w:spacing w:before="40" w:after="40" w:line="220" w:lineRule="exact"/>
              <w:rPr>
                <w:sz w:val="18"/>
              </w:rPr>
            </w:pPr>
            <w:r w:rsidRPr="00D31E18">
              <w:rPr>
                <w:sz w:val="18"/>
              </w:rPr>
              <w:t>Cambo</w:t>
            </w:r>
            <w:r w:rsidR="00C206B7">
              <w:rPr>
                <w:sz w:val="18"/>
              </w:rPr>
              <w:t>y</w:t>
            </w:r>
            <w:r w:rsidRPr="00D31E18">
              <w:rPr>
                <w:sz w:val="18"/>
              </w:rPr>
              <w:t>a</w:t>
            </w:r>
          </w:p>
        </w:tc>
        <w:tc>
          <w:tcPr>
            <w:tcW w:w="2835" w:type="dxa"/>
            <w:shd w:val="clear" w:color="auto" w:fill="auto"/>
            <w:vAlign w:val="bottom"/>
          </w:tcPr>
          <w:p w:rsidR="007E4214" w:rsidRPr="00D31E18" w:rsidRDefault="007E4214" w:rsidP="009C493C">
            <w:pPr>
              <w:spacing w:before="40" w:after="40" w:line="220" w:lineRule="exact"/>
              <w:jc w:val="right"/>
              <w:rPr>
                <w:sz w:val="18"/>
              </w:rPr>
            </w:pPr>
            <w:r w:rsidRPr="00D31E18">
              <w:rPr>
                <w:sz w:val="18"/>
              </w:rPr>
              <w:t>1</w:t>
            </w:r>
          </w:p>
        </w:tc>
        <w:tc>
          <w:tcPr>
            <w:tcW w:w="2835" w:type="dxa"/>
            <w:shd w:val="clear" w:color="auto" w:fill="auto"/>
            <w:vAlign w:val="bottom"/>
          </w:tcPr>
          <w:p w:rsidR="007E4214" w:rsidRPr="00D31E18" w:rsidRDefault="00AF783A" w:rsidP="009C493C">
            <w:pPr>
              <w:spacing w:before="40" w:after="40" w:line="220" w:lineRule="exact"/>
              <w:jc w:val="right"/>
              <w:rPr>
                <w:sz w:val="18"/>
              </w:rPr>
            </w:pPr>
            <w:r>
              <w:rPr>
                <w:sz w:val="18"/>
              </w:rPr>
              <w:t>..</w:t>
            </w:r>
          </w:p>
        </w:tc>
      </w:tr>
      <w:tr w:rsidR="009C493C" w:rsidRPr="00D31E18" w:rsidTr="009C493C">
        <w:trPr>
          <w:trHeight w:val="240"/>
        </w:trPr>
        <w:tc>
          <w:tcPr>
            <w:tcW w:w="1701" w:type="dxa"/>
            <w:shd w:val="clear" w:color="auto" w:fill="auto"/>
          </w:tcPr>
          <w:p w:rsidR="007E4214" w:rsidRPr="00D31E18" w:rsidRDefault="007E4214" w:rsidP="003F38EF">
            <w:pPr>
              <w:spacing w:before="40" w:after="40" w:line="220" w:lineRule="exact"/>
              <w:rPr>
                <w:sz w:val="18"/>
              </w:rPr>
            </w:pPr>
            <w:r w:rsidRPr="00D31E18">
              <w:rPr>
                <w:sz w:val="18"/>
              </w:rPr>
              <w:t>Colombia</w:t>
            </w:r>
          </w:p>
        </w:tc>
        <w:tc>
          <w:tcPr>
            <w:tcW w:w="2835" w:type="dxa"/>
            <w:shd w:val="clear" w:color="auto" w:fill="auto"/>
            <w:vAlign w:val="bottom"/>
          </w:tcPr>
          <w:p w:rsidR="007E4214" w:rsidRPr="00D31E18" w:rsidRDefault="007E4214" w:rsidP="009C493C">
            <w:pPr>
              <w:spacing w:before="40" w:after="40" w:line="220" w:lineRule="exact"/>
              <w:jc w:val="right"/>
              <w:rPr>
                <w:sz w:val="18"/>
              </w:rPr>
            </w:pPr>
            <w:r w:rsidRPr="00D31E18">
              <w:rPr>
                <w:sz w:val="18"/>
              </w:rPr>
              <w:t>7</w:t>
            </w:r>
          </w:p>
        </w:tc>
        <w:tc>
          <w:tcPr>
            <w:tcW w:w="2835" w:type="dxa"/>
            <w:shd w:val="clear" w:color="auto" w:fill="auto"/>
            <w:vAlign w:val="bottom"/>
          </w:tcPr>
          <w:p w:rsidR="007E4214" w:rsidRPr="00D31E18" w:rsidRDefault="005A357F" w:rsidP="009C493C">
            <w:pPr>
              <w:spacing w:before="40" w:after="40" w:line="220" w:lineRule="exact"/>
              <w:jc w:val="right"/>
              <w:rPr>
                <w:sz w:val="18"/>
              </w:rPr>
            </w:pPr>
            <w:r>
              <w:rPr>
                <w:sz w:val="18"/>
              </w:rPr>
              <w:t>..</w:t>
            </w:r>
          </w:p>
        </w:tc>
      </w:tr>
      <w:tr w:rsidR="009C493C" w:rsidRPr="00D31E18" w:rsidTr="009C493C">
        <w:trPr>
          <w:trHeight w:val="240"/>
        </w:trPr>
        <w:tc>
          <w:tcPr>
            <w:tcW w:w="1701" w:type="dxa"/>
            <w:shd w:val="clear" w:color="auto" w:fill="auto"/>
          </w:tcPr>
          <w:p w:rsidR="007E4214" w:rsidRPr="00D31E18" w:rsidRDefault="007E4214" w:rsidP="003F38EF">
            <w:pPr>
              <w:spacing w:before="40" w:after="40" w:line="220" w:lineRule="exact"/>
              <w:rPr>
                <w:sz w:val="18"/>
              </w:rPr>
            </w:pPr>
            <w:r w:rsidRPr="00D31E18">
              <w:rPr>
                <w:sz w:val="18"/>
              </w:rPr>
              <w:t>Iraq</w:t>
            </w:r>
          </w:p>
        </w:tc>
        <w:tc>
          <w:tcPr>
            <w:tcW w:w="2835" w:type="dxa"/>
            <w:shd w:val="clear" w:color="auto" w:fill="auto"/>
            <w:vAlign w:val="bottom"/>
          </w:tcPr>
          <w:p w:rsidR="007E4214" w:rsidRPr="00D31E18" w:rsidRDefault="007E4214" w:rsidP="009C493C">
            <w:pPr>
              <w:spacing w:before="40" w:after="40" w:line="220" w:lineRule="exact"/>
              <w:jc w:val="right"/>
              <w:rPr>
                <w:sz w:val="18"/>
              </w:rPr>
            </w:pPr>
            <w:r w:rsidRPr="00D31E18">
              <w:rPr>
                <w:sz w:val="18"/>
              </w:rPr>
              <w:t>55</w:t>
            </w:r>
          </w:p>
        </w:tc>
        <w:tc>
          <w:tcPr>
            <w:tcW w:w="2835" w:type="dxa"/>
            <w:shd w:val="clear" w:color="auto" w:fill="auto"/>
            <w:vAlign w:val="bottom"/>
          </w:tcPr>
          <w:p w:rsidR="007E4214" w:rsidRPr="00D31E18" w:rsidRDefault="007E4214" w:rsidP="009C493C">
            <w:pPr>
              <w:spacing w:before="40" w:after="40" w:line="220" w:lineRule="exact"/>
              <w:jc w:val="right"/>
              <w:rPr>
                <w:sz w:val="18"/>
              </w:rPr>
            </w:pPr>
            <w:r w:rsidRPr="00D31E18">
              <w:rPr>
                <w:sz w:val="18"/>
              </w:rPr>
              <w:t>21 (</w:t>
            </w:r>
            <w:r w:rsidR="002B6507" w:rsidRPr="00D31E18">
              <w:rPr>
                <w:sz w:val="18"/>
              </w:rPr>
              <w:t xml:space="preserve">y </w:t>
            </w:r>
            <w:r w:rsidRPr="00D31E18">
              <w:rPr>
                <w:sz w:val="18"/>
              </w:rPr>
              <w:t xml:space="preserve">28 de las respuestas no </w:t>
            </w:r>
            <w:r w:rsidR="002B6507" w:rsidRPr="00D31E18">
              <w:rPr>
                <w:sz w:val="18"/>
              </w:rPr>
              <w:t>dan</w:t>
            </w:r>
            <w:r w:rsidRPr="00D31E18">
              <w:rPr>
                <w:sz w:val="18"/>
              </w:rPr>
              <w:t xml:space="preserve"> información alguna)</w:t>
            </w:r>
          </w:p>
        </w:tc>
      </w:tr>
      <w:tr w:rsidR="009C493C" w:rsidRPr="00D31E18" w:rsidTr="009C493C">
        <w:trPr>
          <w:trHeight w:val="240"/>
        </w:trPr>
        <w:tc>
          <w:tcPr>
            <w:tcW w:w="1701" w:type="dxa"/>
            <w:shd w:val="clear" w:color="auto" w:fill="auto"/>
          </w:tcPr>
          <w:p w:rsidR="007E4214" w:rsidRPr="00D31E18" w:rsidRDefault="007E4214" w:rsidP="003F38EF">
            <w:pPr>
              <w:spacing w:before="40" w:after="40" w:line="220" w:lineRule="exact"/>
              <w:rPr>
                <w:sz w:val="18"/>
              </w:rPr>
            </w:pPr>
            <w:r w:rsidRPr="00D31E18">
              <w:rPr>
                <w:sz w:val="18"/>
              </w:rPr>
              <w:t>Marruecos</w:t>
            </w:r>
          </w:p>
        </w:tc>
        <w:tc>
          <w:tcPr>
            <w:tcW w:w="2835" w:type="dxa"/>
            <w:shd w:val="clear" w:color="auto" w:fill="auto"/>
            <w:vAlign w:val="bottom"/>
          </w:tcPr>
          <w:p w:rsidR="007E4214" w:rsidRPr="00D31E18" w:rsidRDefault="007E4214" w:rsidP="009C493C">
            <w:pPr>
              <w:spacing w:before="40" w:after="40" w:line="220" w:lineRule="exact"/>
              <w:jc w:val="right"/>
              <w:rPr>
                <w:sz w:val="18"/>
              </w:rPr>
            </w:pPr>
            <w:r w:rsidRPr="00D31E18">
              <w:rPr>
                <w:sz w:val="18"/>
              </w:rPr>
              <w:t>1</w:t>
            </w:r>
          </w:p>
        </w:tc>
        <w:tc>
          <w:tcPr>
            <w:tcW w:w="2835" w:type="dxa"/>
            <w:shd w:val="clear" w:color="auto" w:fill="auto"/>
            <w:vAlign w:val="bottom"/>
          </w:tcPr>
          <w:p w:rsidR="007E4214" w:rsidRPr="00D31E18" w:rsidRDefault="005A357F" w:rsidP="009C493C">
            <w:pPr>
              <w:spacing w:before="40" w:after="40" w:line="220" w:lineRule="exact"/>
              <w:jc w:val="right"/>
              <w:rPr>
                <w:sz w:val="18"/>
              </w:rPr>
            </w:pPr>
            <w:r>
              <w:rPr>
                <w:sz w:val="18"/>
              </w:rPr>
              <w:t>..</w:t>
            </w:r>
          </w:p>
        </w:tc>
      </w:tr>
      <w:tr w:rsidR="009C493C" w:rsidRPr="00D31E18" w:rsidTr="009C493C">
        <w:trPr>
          <w:trHeight w:val="240"/>
        </w:trPr>
        <w:tc>
          <w:tcPr>
            <w:tcW w:w="1701" w:type="dxa"/>
            <w:tcBorders>
              <w:bottom w:val="single" w:sz="4" w:space="0" w:color="auto"/>
            </w:tcBorders>
            <w:shd w:val="clear" w:color="auto" w:fill="auto"/>
          </w:tcPr>
          <w:p w:rsidR="007E4214" w:rsidRPr="00D31E18" w:rsidRDefault="007E4214" w:rsidP="003F38EF">
            <w:pPr>
              <w:spacing w:before="40" w:after="40" w:line="220" w:lineRule="exact"/>
              <w:rPr>
                <w:sz w:val="18"/>
              </w:rPr>
            </w:pPr>
            <w:r w:rsidRPr="00D31E18">
              <w:rPr>
                <w:sz w:val="18"/>
              </w:rPr>
              <w:t>México</w:t>
            </w:r>
          </w:p>
        </w:tc>
        <w:tc>
          <w:tcPr>
            <w:tcW w:w="2835" w:type="dxa"/>
            <w:tcBorders>
              <w:bottom w:val="single" w:sz="4" w:space="0" w:color="auto"/>
            </w:tcBorders>
            <w:shd w:val="clear" w:color="auto" w:fill="auto"/>
            <w:vAlign w:val="bottom"/>
          </w:tcPr>
          <w:p w:rsidR="007E4214" w:rsidRPr="00D31E18" w:rsidRDefault="007E4214" w:rsidP="009C493C">
            <w:pPr>
              <w:spacing w:before="40" w:after="40" w:line="220" w:lineRule="exact"/>
              <w:jc w:val="right"/>
              <w:rPr>
                <w:sz w:val="18"/>
              </w:rPr>
            </w:pPr>
            <w:r w:rsidRPr="00D31E18">
              <w:rPr>
                <w:sz w:val="18"/>
              </w:rPr>
              <w:t>2</w:t>
            </w:r>
            <w:r w:rsidR="00E9391E" w:rsidRPr="00D31E18">
              <w:rPr>
                <w:sz w:val="18"/>
              </w:rPr>
              <w:t>61</w:t>
            </w:r>
          </w:p>
        </w:tc>
        <w:tc>
          <w:tcPr>
            <w:tcW w:w="2835" w:type="dxa"/>
            <w:tcBorders>
              <w:bottom w:val="single" w:sz="4" w:space="0" w:color="auto"/>
            </w:tcBorders>
            <w:shd w:val="clear" w:color="auto" w:fill="auto"/>
            <w:vAlign w:val="bottom"/>
          </w:tcPr>
          <w:p w:rsidR="007E4214" w:rsidRPr="00D31E18" w:rsidRDefault="008A25F4" w:rsidP="009C493C">
            <w:pPr>
              <w:spacing w:before="40" w:after="40" w:line="220" w:lineRule="exact"/>
              <w:jc w:val="right"/>
              <w:rPr>
                <w:sz w:val="18"/>
              </w:rPr>
            </w:pPr>
            <w:r w:rsidRPr="00D31E18">
              <w:rPr>
                <w:sz w:val="18"/>
              </w:rPr>
              <w:t>30</w:t>
            </w:r>
          </w:p>
        </w:tc>
      </w:tr>
      <w:tr w:rsidR="009C493C" w:rsidRPr="0020518E" w:rsidTr="009C493C">
        <w:trPr>
          <w:trHeight w:val="240"/>
        </w:trPr>
        <w:tc>
          <w:tcPr>
            <w:tcW w:w="1701" w:type="dxa"/>
            <w:tcBorders>
              <w:top w:val="single" w:sz="4" w:space="0" w:color="auto"/>
              <w:bottom w:val="single" w:sz="12" w:space="0" w:color="auto"/>
            </w:tcBorders>
            <w:shd w:val="clear" w:color="auto" w:fill="auto"/>
          </w:tcPr>
          <w:p w:rsidR="007E4214" w:rsidRPr="009C493C" w:rsidRDefault="007E4214" w:rsidP="009C493C">
            <w:pPr>
              <w:spacing w:before="80" w:after="80" w:line="220" w:lineRule="exact"/>
              <w:ind w:left="284"/>
              <w:rPr>
                <w:b/>
                <w:bCs/>
                <w:sz w:val="18"/>
              </w:rPr>
            </w:pPr>
            <w:r w:rsidRPr="009C493C">
              <w:rPr>
                <w:b/>
                <w:bCs/>
                <w:sz w:val="18"/>
              </w:rPr>
              <w:t>Total</w:t>
            </w:r>
          </w:p>
        </w:tc>
        <w:tc>
          <w:tcPr>
            <w:tcW w:w="2835" w:type="dxa"/>
            <w:tcBorders>
              <w:top w:val="single" w:sz="4" w:space="0" w:color="auto"/>
              <w:bottom w:val="single" w:sz="12" w:space="0" w:color="auto"/>
            </w:tcBorders>
            <w:shd w:val="clear" w:color="auto" w:fill="auto"/>
            <w:vAlign w:val="bottom"/>
          </w:tcPr>
          <w:p w:rsidR="007E4214" w:rsidRPr="009C493C" w:rsidRDefault="007E4214" w:rsidP="009C493C">
            <w:pPr>
              <w:spacing w:before="80" w:after="80" w:line="220" w:lineRule="exact"/>
              <w:jc w:val="right"/>
              <w:rPr>
                <w:b/>
                <w:bCs/>
                <w:sz w:val="18"/>
              </w:rPr>
            </w:pPr>
            <w:r w:rsidRPr="009C493C">
              <w:rPr>
                <w:b/>
                <w:bCs/>
                <w:sz w:val="18"/>
              </w:rPr>
              <w:t>325</w:t>
            </w:r>
          </w:p>
        </w:tc>
        <w:tc>
          <w:tcPr>
            <w:tcW w:w="2835" w:type="dxa"/>
            <w:tcBorders>
              <w:top w:val="single" w:sz="4" w:space="0" w:color="auto"/>
              <w:bottom w:val="single" w:sz="12" w:space="0" w:color="auto"/>
            </w:tcBorders>
            <w:shd w:val="clear" w:color="auto" w:fill="auto"/>
            <w:vAlign w:val="bottom"/>
          </w:tcPr>
          <w:p w:rsidR="007E4214" w:rsidRPr="009C493C" w:rsidRDefault="008A25F4" w:rsidP="009C493C">
            <w:pPr>
              <w:spacing w:before="80" w:after="80" w:line="220" w:lineRule="exact"/>
              <w:jc w:val="right"/>
              <w:rPr>
                <w:b/>
                <w:bCs/>
                <w:sz w:val="18"/>
              </w:rPr>
            </w:pPr>
            <w:r w:rsidRPr="009C493C">
              <w:rPr>
                <w:b/>
                <w:bCs/>
                <w:sz w:val="18"/>
              </w:rPr>
              <w:t>41</w:t>
            </w:r>
          </w:p>
        </w:tc>
      </w:tr>
    </w:tbl>
    <w:p w:rsidR="004D6E50" w:rsidRPr="004D6E50" w:rsidRDefault="0020518E" w:rsidP="009C493C">
      <w:pPr>
        <w:pStyle w:val="SingleTxtG"/>
        <w:spacing w:before="240"/>
      </w:pPr>
      <w:r>
        <w:t>10.</w:t>
      </w:r>
      <w:r w:rsidR="004D6E50" w:rsidRPr="004D6E50">
        <w:tab/>
        <w:t>Las principales dificultades se han encontrado en el contenido de las respuestas. En</w:t>
      </w:r>
      <w:r w:rsidR="00627D67">
        <w:t> </w:t>
      </w:r>
      <w:r w:rsidR="004D6E50" w:rsidRPr="004D6E50">
        <w:t>es</w:t>
      </w:r>
      <w:r w:rsidR="003E0123">
        <w:t>t</w:t>
      </w:r>
      <w:r w:rsidR="004D6E50" w:rsidRPr="004D6E50">
        <w:t>e sentido, se observan las siguientes tendencias:</w:t>
      </w:r>
    </w:p>
    <w:p w:rsidR="006F7D6E" w:rsidRDefault="00D31E18">
      <w:pPr>
        <w:pStyle w:val="SingleTxtG"/>
        <w:rPr>
          <w:i/>
        </w:rPr>
      </w:pPr>
      <w:r>
        <w:rPr>
          <w:lang w:eastAsia="en-GB"/>
        </w:rPr>
        <w:tab/>
      </w:r>
      <w:r w:rsidR="00DF52B9">
        <w:rPr>
          <w:lang w:eastAsia="en-GB"/>
        </w:rPr>
        <w:t>a)</w:t>
      </w:r>
      <w:r w:rsidR="00C53B87">
        <w:tab/>
      </w:r>
      <w:r w:rsidR="00842EEF" w:rsidRPr="009C493C">
        <w:rPr>
          <w:iCs/>
        </w:rPr>
        <w:t>Colombia</w:t>
      </w:r>
      <w:r w:rsidR="00842EEF" w:rsidRPr="00F24991">
        <w:t xml:space="preserve">: </w:t>
      </w:r>
      <w:r w:rsidR="005A357F">
        <w:t>e</w:t>
      </w:r>
      <w:r w:rsidR="003C5AFD" w:rsidRPr="00F24991">
        <w:t xml:space="preserve">n </w:t>
      </w:r>
      <w:r w:rsidR="00842EEF" w:rsidRPr="00F24991">
        <w:t>todos</w:t>
      </w:r>
      <w:r w:rsidR="00842EEF">
        <w:t xml:space="preserve"> los casos recientes, el Estado parte ha solicitado extensiones para presentar sus respuestas diciendo que un proceso de consulta interinstitucional ha sido necesario y </w:t>
      </w:r>
      <w:r w:rsidR="00842EEF" w:rsidRPr="00035A1C">
        <w:t>está</w:t>
      </w:r>
      <w:r w:rsidR="00842EEF">
        <w:t xml:space="preserve"> en curso. Cuando los informes </w:t>
      </w:r>
      <w:r w:rsidR="003E0123">
        <w:t xml:space="preserve">son </w:t>
      </w:r>
      <w:r w:rsidR="00842EEF">
        <w:t xml:space="preserve">presentados, la información </w:t>
      </w:r>
      <w:r w:rsidR="003E0123">
        <w:t xml:space="preserve">es </w:t>
      </w:r>
      <w:r w:rsidR="00842EEF">
        <w:t>escueta</w:t>
      </w:r>
      <w:r w:rsidR="00F63E01">
        <w:t>;</w:t>
      </w:r>
      <w:r w:rsidR="00512BBD">
        <w:t xml:space="preserve"> </w:t>
      </w:r>
    </w:p>
    <w:p w:rsidR="006F7D6E" w:rsidRPr="006F7D6E" w:rsidRDefault="00D31E18">
      <w:pPr>
        <w:pStyle w:val="SingleTxtG"/>
        <w:rPr>
          <w:i/>
        </w:rPr>
      </w:pPr>
      <w:r>
        <w:tab/>
      </w:r>
      <w:r w:rsidR="00DF52B9">
        <w:t>b)</w:t>
      </w:r>
      <w:r w:rsidR="00C53B87">
        <w:tab/>
      </w:r>
      <w:r w:rsidR="006F7D6E" w:rsidRPr="009C493C">
        <w:rPr>
          <w:iCs/>
        </w:rPr>
        <w:t>Iraq</w:t>
      </w:r>
      <w:r w:rsidR="006F7D6E" w:rsidRPr="00E90F37">
        <w:t>:</w:t>
      </w:r>
      <w:r w:rsidR="006F7D6E" w:rsidRPr="006F7D6E">
        <w:t xml:space="preserve"> </w:t>
      </w:r>
      <w:r w:rsidR="005A357F">
        <w:t>c</w:t>
      </w:r>
      <w:r w:rsidR="003C5AFD">
        <w:t xml:space="preserve">asi </w:t>
      </w:r>
      <w:r w:rsidR="00453E28">
        <w:t xml:space="preserve">no se ha obtenido información de fondo sobre los casos registrados. En 49 casos, el Estado no ha respondido a las peticiones de información enviadas. Más bien, </w:t>
      </w:r>
      <w:r w:rsidR="006F7D6E" w:rsidRPr="006F7D6E">
        <w:t xml:space="preserve">el Estado parte </w:t>
      </w:r>
      <w:r w:rsidR="005737E6">
        <w:t>sigue pidiendo de forma</w:t>
      </w:r>
      <w:r w:rsidR="001D4C12">
        <w:t xml:space="preserve"> casi</w:t>
      </w:r>
      <w:r w:rsidR="005737E6">
        <w:t xml:space="preserve"> sistemática</w:t>
      </w:r>
      <w:r w:rsidR="006F7D6E" w:rsidRPr="006F7D6E">
        <w:t xml:space="preserve"> </w:t>
      </w:r>
      <w:r w:rsidR="00453E28">
        <w:t xml:space="preserve">información adicional </w:t>
      </w:r>
      <w:r w:rsidR="006F7D6E" w:rsidRPr="006F7D6E">
        <w:t>al Comité</w:t>
      </w:r>
      <w:r w:rsidR="00453E28">
        <w:t>, para</w:t>
      </w:r>
      <w:r w:rsidR="006F7D6E" w:rsidRPr="006F7D6E">
        <w:t xml:space="preserve"> que provea los cuatro nombres de la persona desaparecida, así como los nombres del padre y de </w:t>
      </w:r>
      <w:r w:rsidR="006F7D6E" w:rsidRPr="00035A1C">
        <w:t>la</w:t>
      </w:r>
      <w:r w:rsidR="006F7D6E" w:rsidRPr="006F7D6E">
        <w:t xml:space="preserve"> mad</w:t>
      </w:r>
      <w:r w:rsidR="00453E28">
        <w:t xml:space="preserve">re, y una copia del documento de identidad de calidad. Una vez </w:t>
      </w:r>
      <w:r w:rsidR="005A357F">
        <w:t xml:space="preserve">que </w:t>
      </w:r>
      <w:r w:rsidR="00453E28">
        <w:t>esa información ha</w:t>
      </w:r>
      <w:r w:rsidR="006F7D6E" w:rsidRPr="006F7D6E">
        <w:t xml:space="preserve"> sido proporcionada, el Estado parte</w:t>
      </w:r>
      <w:r w:rsidR="003E7803">
        <w:t xml:space="preserve"> indica que “la base de datos del ministerio del interior no contiene información sobre la persona X”. En esos casos, una </w:t>
      </w:r>
      <w:r w:rsidR="003E7803">
        <w:lastRenderedPageBreak/>
        <w:t xml:space="preserve">carta de seguimiento </w:t>
      </w:r>
      <w:r w:rsidR="003E0123">
        <w:t xml:space="preserve">se </w:t>
      </w:r>
      <w:r w:rsidR="003E7803">
        <w:t>env</w:t>
      </w:r>
      <w:r w:rsidR="003E0123">
        <w:t xml:space="preserve">ía </w:t>
      </w:r>
      <w:r w:rsidR="003E7803">
        <w:t>al Estado parte, indicando que la consulta de la</w:t>
      </w:r>
      <w:r w:rsidR="008D5FEB">
        <w:t>s</w:t>
      </w:r>
      <w:r w:rsidR="003E7803">
        <w:t xml:space="preserve"> base</w:t>
      </w:r>
      <w:r w:rsidR="001D4C12">
        <w:t>s</w:t>
      </w:r>
      <w:r w:rsidR="003E7803">
        <w:t xml:space="preserve"> de </w:t>
      </w:r>
      <w:r w:rsidR="00453E28">
        <w:t xml:space="preserve">datos </w:t>
      </w:r>
      <w:r w:rsidR="001D4C12">
        <w:t>existentes</w:t>
      </w:r>
      <w:r w:rsidR="00453E28">
        <w:t xml:space="preserve"> es necesaria</w:t>
      </w:r>
      <w:r w:rsidR="003E7803">
        <w:t xml:space="preserve">, pero que </w:t>
      </w:r>
      <w:r w:rsidR="005A357F">
        <w:t xml:space="preserve">se deben desarrollar de inmediato </w:t>
      </w:r>
      <w:r w:rsidR="003E7803">
        <w:t>acciones investigativas adicionales para buscar y ubicar a la(s) persona(s) desaparecida(s)</w:t>
      </w:r>
      <w:r w:rsidR="00F63E01">
        <w:t>;</w:t>
      </w:r>
      <w:r w:rsidR="00512BBD">
        <w:t xml:space="preserve"> </w:t>
      </w:r>
    </w:p>
    <w:p w:rsidR="001D4C12" w:rsidRPr="009C493C" w:rsidRDefault="00D31E18" w:rsidP="009C493C">
      <w:pPr>
        <w:pStyle w:val="SingleTxtG"/>
        <w:rPr>
          <w:color w:val="000000" w:themeColor="text1"/>
        </w:rPr>
      </w:pPr>
      <w:r>
        <w:tab/>
      </w:r>
      <w:r w:rsidR="00DF52B9">
        <w:t>c)</w:t>
      </w:r>
      <w:r w:rsidR="00C53B87">
        <w:tab/>
      </w:r>
      <w:r w:rsidR="004D6E50" w:rsidRPr="009C493C">
        <w:rPr>
          <w:iCs/>
        </w:rPr>
        <w:t>México</w:t>
      </w:r>
      <w:r w:rsidR="004D6E50" w:rsidRPr="00E90F37">
        <w:t>:</w:t>
      </w:r>
      <w:r w:rsidR="004D6E50">
        <w:t xml:space="preserve"> </w:t>
      </w:r>
      <w:r w:rsidR="00F63E01">
        <w:t>i</w:t>
      </w:r>
      <w:r w:rsidR="003C5AFD">
        <w:t xml:space="preserve">nformación </w:t>
      </w:r>
      <w:r w:rsidR="004D6E50">
        <w:t xml:space="preserve">muy general sobre el caso, muchas </w:t>
      </w:r>
      <w:r w:rsidR="004D6E50" w:rsidRPr="00035A1C">
        <w:t>veces</w:t>
      </w:r>
      <w:r w:rsidR="004D6E50">
        <w:t xml:space="preserve"> </w:t>
      </w:r>
      <w:r w:rsidR="001F7D17">
        <w:t>cuestionada</w:t>
      </w:r>
      <w:r w:rsidR="004D6E50">
        <w:t xml:space="preserve"> por los autores de la petición de acci</w:t>
      </w:r>
      <w:r w:rsidR="003A46B5">
        <w:t>ón urgente (v</w:t>
      </w:r>
      <w:r w:rsidR="005A357F">
        <w:t xml:space="preserve">éanse los </w:t>
      </w:r>
      <w:r w:rsidR="003A46B5">
        <w:t>puntos referidos a continuación).</w:t>
      </w:r>
      <w:r w:rsidR="002C0EB9" w:rsidRPr="00E46212">
        <w:t xml:space="preserve"> </w:t>
      </w:r>
      <w:r w:rsidR="001D4C12">
        <w:t>En algunas ocasiones, las respuestas reflejan c</w:t>
      </w:r>
      <w:r w:rsidR="004664C0">
        <w:t xml:space="preserve">onfusión sobre el </w:t>
      </w:r>
      <w:r w:rsidR="004664C0" w:rsidRPr="00035A1C">
        <w:t>objetivo</w:t>
      </w:r>
      <w:r w:rsidR="004664C0">
        <w:t xml:space="preserve"> y ámbito del procedimiento</w:t>
      </w:r>
      <w:r w:rsidR="00F63E01">
        <w:t>.</w:t>
      </w:r>
    </w:p>
    <w:p w:rsidR="001D4C12" w:rsidRPr="00C4008B" w:rsidRDefault="0020518E" w:rsidP="009C493C">
      <w:pPr>
        <w:pStyle w:val="SingleTxtG"/>
        <w:rPr>
          <w:bCs/>
        </w:rPr>
      </w:pPr>
      <w:r w:rsidRPr="009C493C">
        <w:rPr>
          <w:bCs/>
        </w:rPr>
        <w:t>11.</w:t>
      </w:r>
      <w:r w:rsidRPr="009C493C">
        <w:rPr>
          <w:bCs/>
        </w:rPr>
        <w:tab/>
      </w:r>
      <w:r w:rsidR="001D4C12" w:rsidRPr="009C493C">
        <w:rPr>
          <w:bCs/>
        </w:rPr>
        <w:t>Recomendación de los relatores: ver qué opciones existen para capacitar más y compartir información adicional con las autoridades nacionales sobre el procedimiento y los objetivos de las acciones urgentes. Ver con las oficinas de terreno de</w:t>
      </w:r>
      <w:r w:rsidR="005A357F" w:rsidRPr="00C4008B">
        <w:rPr>
          <w:bCs/>
        </w:rPr>
        <w:t>l</w:t>
      </w:r>
      <w:r w:rsidR="001D4C12" w:rsidRPr="00C4008B">
        <w:rPr>
          <w:bCs/>
        </w:rPr>
        <w:t xml:space="preserve"> ACNUDH y el </w:t>
      </w:r>
      <w:r w:rsidR="009B77ED">
        <w:t>programa relativo al desarrollo de la capacidad de los órganos creados en virtud de tratados</w:t>
      </w:r>
      <w:r w:rsidR="001D4C12" w:rsidRPr="00C4008B">
        <w:rPr>
          <w:bCs/>
        </w:rPr>
        <w:t>.</w:t>
      </w:r>
    </w:p>
    <w:p w:rsidR="00D41669" w:rsidRPr="009C493C" w:rsidRDefault="00D41669" w:rsidP="009C493C">
      <w:pPr>
        <w:pStyle w:val="H1G"/>
        <w:rPr>
          <w:b w:val="0"/>
          <w:bCs/>
        </w:rPr>
      </w:pPr>
      <w:r w:rsidRPr="00D41669">
        <w:tab/>
      </w:r>
      <w:r w:rsidR="0011483C">
        <w:t>F</w:t>
      </w:r>
      <w:r w:rsidR="004773D8" w:rsidRPr="00C4008B">
        <w:rPr>
          <w:bCs/>
        </w:rPr>
        <w:t>.</w:t>
      </w:r>
      <w:r w:rsidRPr="00C4008B">
        <w:rPr>
          <w:bCs/>
        </w:rPr>
        <w:tab/>
        <w:t xml:space="preserve">Interacción con los autores de las acciones urgentes y nivel de respuesta de los autores </w:t>
      </w:r>
    </w:p>
    <w:p w:rsidR="00E54D46" w:rsidRPr="00D41669" w:rsidRDefault="0020518E">
      <w:pPr>
        <w:pStyle w:val="SingleTxtG"/>
      </w:pPr>
      <w:r>
        <w:t>12.</w:t>
      </w:r>
      <w:r w:rsidR="00D41669">
        <w:tab/>
      </w:r>
      <w:r w:rsidR="00E54D46" w:rsidRPr="008B38F6">
        <w:t xml:space="preserve">La Secretaría </w:t>
      </w:r>
      <w:r w:rsidR="00D41669">
        <w:t>sigue manteniendo</w:t>
      </w:r>
      <w:r w:rsidR="00E54D46" w:rsidRPr="008B38F6">
        <w:t xml:space="preserve"> un contacto permanente con los autores de las acciones urgentes, principalmente por medio del envío de las cartas en nombre del Comité, pero también de forma directa por correo </w:t>
      </w:r>
      <w:r w:rsidR="00E54D46" w:rsidRPr="00035A1C">
        <w:t>electrónico</w:t>
      </w:r>
      <w:r w:rsidR="00E54D46" w:rsidRPr="008B38F6">
        <w:t xml:space="preserve"> y llamadas telefónicas. De estos intercambios, se resaltan las tendencias</w:t>
      </w:r>
      <w:r w:rsidR="005A357F">
        <w:t xml:space="preserve"> que se indican a continuación.</w:t>
      </w:r>
    </w:p>
    <w:p w:rsidR="00E54D46" w:rsidRDefault="0020518E">
      <w:pPr>
        <w:pStyle w:val="SingleTxtG"/>
      </w:pPr>
      <w:r>
        <w:t>13.</w:t>
      </w:r>
      <w:r w:rsidR="00E54D46">
        <w:tab/>
      </w:r>
      <w:r w:rsidR="007E2899">
        <w:t>L</w:t>
      </w:r>
      <w:r w:rsidR="00E54D46">
        <w:t>os autores</w:t>
      </w:r>
      <w:r w:rsidR="007E2899">
        <w:t xml:space="preserve"> siguen</w:t>
      </w:r>
      <w:r w:rsidR="00E54D46">
        <w:t xml:space="preserve"> resalta</w:t>
      </w:r>
      <w:r w:rsidR="007E2899">
        <w:t>n</w:t>
      </w:r>
      <w:r w:rsidR="00E54D46">
        <w:t xml:space="preserve">do la importancia del apoyo del Comité, en el que han encontrado un interlocutor tras varios intentos sin resultado </w:t>
      </w:r>
      <w:r w:rsidR="003E0123">
        <w:t xml:space="preserve">ante </w:t>
      </w:r>
      <w:r w:rsidR="00E54D46">
        <w:t xml:space="preserve">las autoridades nacionales. </w:t>
      </w:r>
      <w:r w:rsidR="007E2899">
        <w:t xml:space="preserve">No obstante, los autores también expresan su preocupación frente a la prolongación de los plazos en los cuales las cartas de seguimiento pueden ser procesadas tomando en cuenta la multiplicación de las acciones urgentes registradas. </w:t>
      </w:r>
    </w:p>
    <w:p w:rsidR="00E54D46" w:rsidRDefault="0020518E">
      <w:pPr>
        <w:pStyle w:val="SingleTxtG"/>
      </w:pPr>
      <w:r>
        <w:t>14.</w:t>
      </w:r>
      <w:r w:rsidR="00E54D46">
        <w:tab/>
        <w:t>En estos intercambios,</w:t>
      </w:r>
      <w:r w:rsidR="0098063E">
        <w:t xml:space="preserve"> los autores</w:t>
      </w:r>
      <w:r w:rsidR="00E54D46">
        <w:t xml:space="preserve"> también resaltan su desesperación frente a la falta de avance de la búsqueda de las personas desaparecidas y de las investigaciones relacionadas. </w:t>
      </w:r>
      <w:r w:rsidR="005A357F">
        <w:t xml:space="preserve">Asimismo, </w:t>
      </w:r>
      <w:r w:rsidR="00E54D46">
        <w:t xml:space="preserve">muchos piden el apoyo del Comité para acceder a apoyo institucional para el manejo de su vida diaria. La Secretaría responde a todas estas peticiones de apoyo, aclarando las limitaciones del mandato del Comité. </w:t>
      </w:r>
    </w:p>
    <w:p w:rsidR="00BA5B75" w:rsidRPr="009C493C" w:rsidRDefault="0020518E">
      <w:pPr>
        <w:pStyle w:val="SingleTxtG"/>
        <w:rPr>
          <w:color w:val="000000" w:themeColor="text1"/>
        </w:rPr>
      </w:pPr>
      <w:r>
        <w:t>15.</w:t>
      </w:r>
      <w:r w:rsidR="00E54D46">
        <w:tab/>
      </w:r>
      <w:r w:rsidR="00E54D46" w:rsidRPr="002716D6">
        <w:t>En algunas de las acciones urgentes registradas, los autores no han transmitido sus comentarios a las observaciones del Estado parte. Esa situación ha impedido al Comité avanzar con las acciones urgentes referidas. No obstante, de conformidad con el principio del artículo 30</w:t>
      </w:r>
      <w:r w:rsidR="005A357F">
        <w:t xml:space="preserve">, párrafo </w:t>
      </w:r>
      <w:r w:rsidR="00E54D46" w:rsidRPr="002716D6">
        <w:t>4</w:t>
      </w:r>
      <w:r w:rsidR="005A357F">
        <w:t>,</w:t>
      </w:r>
      <w:r w:rsidR="00E54D46" w:rsidRPr="002716D6">
        <w:t xml:space="preserve"> de la Convención, las acciones urgentes de referencia siguen abiertas y los recordatori</w:t>
      </w:r>
      <w:r w:rsidR="00BA5B75" w:rsidRPr="002716D6">
        <w:t>os se han enviado a los autores.</w:t>
      </w:r>
    </w:p>
    <w:p w:rsidR="004773D8" w:rsidRPr="009C493C" w:rsidRDefault="009F2359" w:rsidP="009C493C">
      <w:pPr>
        <w:pStyle w:val="H23G"/>
        <w:rPr>
          <w:bCs/>
          <w:iCs/>
        </w:rPr>
      </w:pPr>
      <w:r>
        <w:tab/>
      </w:r>
      <w:r>
        <w:tab/>
      </w:r>
      <w:r w:rsidR="005A357F" w:rsidRPr="009C493C">
        <w:rPr>
          <w:b w:val="0"/>
          <w:bCs/>
        </w:rPr>
        <w:t xml:space="preserve">Cuadro </w:t>
      </w:r>
      <w:r w:rsidR="00064720">
        <w:rPr>
          <w:b w:val="0"/>
          <w:bCs/>
        </w:rPr>
        <w:t>4</w:t>
      </w:r>
      <w:r>
        <w:br/>
      </w:r>
      <w:r w:rsidR="004773D8" w:rsidRPr="009C493C">
        <w:rPr>
          <w:bCs/>
        </w:rPr>
        <w:t>Acciones urgentes con comentarios no recibidos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1"/>
        <w:gridCol w:w="1021"/>
        <w:gridCol w:w="1814"/>
        <w:gridCol w:w="1701"/>
        <w:gridCol w:w="1814"/>
      </w:tblGrid>
      <w:tr w:rsidR="00E54D46" w:rsidRPr="009C493C" w:rsidTr="00D27936">
        <w:trPr>
          <w:tblHeader/>
        </w:trPr>
        <w:tc>
          <w:tcPr>
            <w:tcW w:w="1021" w:type="dxa"/>
            <w:tcBorders>
              <w:top w:val="single" w:sz="4" w:space="0" w:color="auto"/>
              <w:bottom w:val="single" w:sz="12" w:space="0" w:color="auto"/>
            </w:tcBorders>
            <w:shd w:val="clear" w:color="auto" w:fill="auto"/>
            <w:vAlign w:val="bottom"/>
          </w:tcPr>
          <w:p w:rsidR="00E54D46" w:rsidRPr="009C493C" w:rsidRDefault="002F4AF7" w:rsidP="009C493C">
            <w:pPr>
              <w:spacing w:before="80" w:after="80" w:line="200" w:lineRule="exact"/>
              <w:rPr>
                <w:bCs/>
                <w:i/>
                <w:iCs/>
                <w:sz w:val="16"/>
                <w:szCs w:val="16"/>
              </w:rPr>
            </w:pPr>
            <w:r w:rsidRPr="009C493C">
              <w:rPr>
                <w:bCs/>
                <w:i/>
                <w:iCs/>
                <w:sz w:val="16"/>
                <w:szCs w:val="16"/>
              </w:rPr>
              <w:t>Estado</w:t>
            </w:r>
            <w:r w:rsidR="004773D8" w:rsidRPr="003F38EF">
              <w:rPr>
                <w:bCs/>
                <w:i/>
                <w:iCs/>
                <w:sz w:val="16"/>
                <w:szCs w:val="16"/>
              </w:rPr>
              <w:t xml:space="preserve"> parte</w:t>
            </w:r>
          </w:p>
        </w:tc>
        <w:tc>
          <w:tcPr>
            <w:tcW w:w="1021" w:type="dxa"/>
            <w:tcBorders>
              <w:top w:val="single" w:sz="4" w:space="0" w:color="auto"/>
              <w:bottom w:val="single" w:sz="12" w:space="0" w:color="auto"/>
            </w:tcBorders>
            <w:shd w:val="clear" w:color="auto" w:fill="auto"/>
            <w:vAlign w:val="bottom"/>
          </w:tcPr>
          <w:p w:rsidR="00E54D46" w:rsidRPr="009C493C" w:rsidRDefault="004773D8" w:rsidP="00C30825">
            <w:pPr>
              <w:spacing w:before="80" w:after="80" w:line="200" w:lineRule="exact"/>
              <w:rPr>
                <w:bCs/>
                <w:i/>
                <w:iCs/>
                <w:sz w:val="16"/>
                <w:szCs w:val="16"/>
              </w:rPr>
            </w:pPr>
            <w:r w:rsidRPr="003F38EF">
              <w:rPr>
                <w:bCs/>
                <w:i/>
                <w:iCs/>
                <w:sz w:val="16"/>
                <w:szCs w:val="16"/>
              </w:rPr>
              <w:t>A</w:t>
            </w:r>
            <w:r w:rsidR="005A357F" w:rsidRPr="009C493C">
              <w:rPr>
                <w:bCs/>
                <w:i/>
                <w:iCs/>
                <w:sz w:val="16"/>
                <w:szCs w:val="16"/>
              </w:rPr>
              <w:t xml:space="preserve">cciones urgentes </w:t>
            </w:r>
            <w:r w:rsidRPr="003F38EF">
              <w:rPr>
                <w:bCs/>
                <w:i/>
                <w:iCs/>
                <w:sz w:val="16"/>
                <w:szCs w:val="16"/>
              </w:rPr>
              <w:t>referidas</w:t>
            </w:r>
          </w:p>
        </w:tc>
        <w:tc>
          <w:tcPr>
            <w:tcW w:w="1814" w:type="dxa"/>
            <w:tcBorders>
              <w:top w:val="single" w:sz="4" w:space="0" w:color="auto"/>
              <w:bottom w:val="single" w:sz="12" w:space="0" w:color="auto"/>
            </w:tcBorders>
            <w:shd w:val="clear" w:color="auto" w:fill="auto"/>
            <w:vAlign w:val="bottom"/>
          </w:tcPr>
          <w:p w:rsidR="00E54D46" w:rsidRPr="009C493C" w:rsidRDefault="00E54D46" w:rsidP="00C30825">
            <w:pPr>
              <w:spacing w:before="80" w:after="80" w:line="200" w:lineRule="exact"/>
              <w:rPr>
                <w:bCs/>
                <w:i/>
                <w:iCs/>
                <w:sz w:val="16"/>
                <w:szCs w:val="16"/>
              </w:rPr>
            </w:pPr>
            <w:r w:rsidRPr="009C493C">
              <w:rPr>
                <w:bCs/>
                <w:i/>
                <w:iCs/>
                <w:sz w:val="16"/>
                <w:szCs w:val="16"/>
              </w:rPr>
              <w:t xml:space="preserve">Fase del proceso cuando </w:t>
            </w:r>
            <w:r w:rsidR="004773D8" w:rsidRPr="003F38EF">
              <w:rPr>
                <w:bCs/>
                <w:i/>
                <w:iCs/>
                <w:sz w:val="16"/>
                <w:szCs w:val="16"/>
              </w:rPr>
              <w:t xml:space="preserve">cesaron </w:t>
            </w:r>
            <w:r w:rsidRPr="009C493C">
              <w:rPr>
                <w:bCs/>
                <w:i/>
                <w:iCs/>
                <w:sz w:val="16"/>
                <w:szCs w:val="16"/>
              </w:rPr>
              <w:t xml:space="preserve">de enviar </w:t>
            </w:r>
            <w:r w:rsidR="00AE3A74">
              <w:rPr>
                <w:bCs/>
                <w:i/>
                <w:iCs/>
                <w:sz w:val="16"/>
                <w:szCs w:val="16"/>
              </w:rPr>
              <w:br/>
            </w:r>
            <w:r w:rsidRPr="009C493C">
              <w:rPr>
                <w:bCs/>
                <w:i/>
                <w:iCs/>
                <w:sz w:val="16"/>
                <w:szCs w:val="16"/>
              </w:rPr>
              <w:t>sus comentarios</w:t>
            </w:r>
          </w:p>
        </w:tc>
        <w:tc>
          <w:tcPr>
            <w:tcW w:w="1701" w:type="dxa"/>
            <w:tcBorders>
              <w:top w:val="single" w:sz="4" w:space="0" w:color="auto"/>
              <w:bottom w:val="single" w:sz="12" w:space="0" w:color="auto"/>
            </w:tcBorders>
            <w:shd w:val="clear" w:color="auto" w:fill="auto"/>
            <w:vAlign w:val="bottom"/>
          </w:tcPr>
          <w:p w:rsidR="00E54D46" w:rsidRPr="009C493C" w:rsidRDefault="00E54D46" w:rsidP="00C30825">
            <w:pPr>
              <w:spacing w:before="80" w:after="80" w:line="200" w:lineRule="exact"/>
              <w:rPr>
                <w:bCs/>
                <w:i/>
                <w:iCs/>
                <w:sz w:val="16"/>
                <w:szCs w:val="16"/>
              </w:rPr>
            </w:pPr>
            <w:r w:rsidRPr="009C493C">
              <w:rPr>
                <w:bCs/>
                <w:i/>
                <w:iCs/>
                <w:sz w:val="16"/>
                <w:szCs w:val="16"/>
              </w:rPr>
              <w:t xml:space="preserve">Número de recordatorios enviados a la fecha </w:t>
            </w:r>
            <w:r w:rsidR="00AE3A74">
              <w:rPr>
                <w:bCs/>
                <w:i/>
                <w:iCs/>
                <w:sz w:val="16"/>
                <w:szCs w:val="16"/>
              </w:rPr>
              <w:br/>
            </w:r>
            <w:r w:rsidRPr="009C493C">
              <w:rPr>
                <w:bCs/>
                <w:i/>
                <w:iCs/>
                <w:sz w:val="16"/>
                <w:szCs w:val="16"/>
              </w:rPr>
              <w:t>de la presente nota</w:t>
            </w:r>
          </w:p>
        </w:tc>
        <w:tc>
          <w:tcPr>
            <w:tcW w:w="1814" w:type="dxa"/>
            <w:tcBorders>
              <w:top w:val="single" w:sz="4" w:space="0" w:color="auto"/>
              <w:bottom w:val="single" w:sz="12" w:space="0" w:color="auto"/>
            </w:tcBorders>
            <w:shd w:val="clear" w:color="auto" w:fill="auto"/>
            <w:vAlign w:val="bottom"/>
          </w:tcPr>
          <w:p w:rsidR="00E54D46" w:rsidRPr="009C493C" w:rsidRDefault="00E54D46" w:rsidP="00C30825">
            <w:pPr>
              <w:spacing w:before="80" w:after="80" w:line="200" w:lineRule="exact"/>
              <w:rPr>
                <w:bCs/>
                <w:i/>
                <w:iCs/>
                <w:sz w:val="16"/>
                <w:szCs w:val="16"/>
              </w:rPr>
            </w:pPr>
            <w:r w:rsidRPr="009C493C">
              <w:rPr>
                <w:bCs/>
                <w:i/>
                <w:iCs/>
                <w:sz w:val="16"/>
                <w:szCs w:val="16"/>
              </w:rPr>
              <w:t xml:space="preserve">Justificación </w:t>
            </w:r>
            <w:r w:rsidR="00AE3A74">
              <w:rPr>
                <w:bCs/>
                <w:i/>
                <w:iCs/>
                <w:sz w:val="16"/>
                <w:szCs w:val="16"/>
              </w:rPr>
              <w:br/>
            </w:r>
            <w:r w:rsidRPr="009C493C">
              <w:rPr>
                <w:bCs/>
                <w:i/>
                <w:iCs/>
                <w:sz w:val="16"/>
                <w:szCs w:val="16"/>
              </w:rPr>
              <w:t>de los autores</w:t>
            </w:r>
          </w:p>
        </w:tc>
      </w:tr>
      <w:tr w:rsidR="00174D67" w:rsidRPr="009C493C" w:rsidTr="00D27936">
        <w:tc>
          <w:tcPr>
            <w:tcW w:w="1021" w:type="dxa"/>
            <w:tcBorders>
              <w:top w:val="single" w:sz="12" w:space="0" w:color="auto"/>
            </w:tcBorders>
            <w:shd w:val="clear" w:color="auto" w:fill="auto"/>
          </w:tcPr>
          <w:p w:rsidR="00174D67" w:rsidRPr="009C493C" w:rsidRDefault="00174D67" w:rsidP="00D27936">
            <w:pPr>
              <w:spacing w:before="40" w:after="80"/>
              <w:rPr>
                <w:iCs/>
                <w:sz w:val="18"/>
                <w:szCs w:val="18"/>
              </w:rPr>
            </w:pPr>
            <w:r w:rsidRPr="009C493C">
              <w:rPr>
                <w:iCs/>
                <w:sz w:val="18"/>
                <w:szCs w:val="18"/>
              </w:rPr>
              <w:t>Brasil</w:t>
            </w:r>
          </w:p>
        </w:tc>
        <w:tc>
          <w:tcPr>
            <w:tcW w:w="1021" w:type="dxa"/>
            <w:tcBorders>
              <w:top w:val="single" w:sz="12" w:space="0" w:color="auto"/>
            </w:tcBorders>
            <w:shd w:val="clear" w:color="auto" w:fill="auto"/>
            <w:vAlign w:val="bottom"/>
          </w:tcPr>
          <w:p w:rsidR="00174D67" w:rsidRPr="009C493C" w:rsidRDefault="00174D67" w:rsidP="00C30825">
            <w:pPr>
              <w:spacing w:before="40" w:after="80"/>
              <w:rPr>
                <w:iCs/>
                <w:sz w:val="18"/>
                <w:szCs w:val="18"/>
              </w:rPr>
            </w:pPr>
            <w:r w:rsidRPr="009C493C">
              <w:rPr>
                <w:iCs/>
                <w:sz w:val="18"/>
                <w:szCs w:val="18"/>
              </w:rPr>
              <w:t>1</w:t>
            </w:r>
          </w:p>
        </w:tc>
        <w:tc>
          <w:tcPr>
            <w:tcW w:w="1814" w:type="dxa"/>
            <w:tcBorders>
              <w:top w:val="single" w:sz="12" w:space="0" w:color="auto"/>
            </w:tcBorders>
            <w:shd w:val="clear" w:color="auto" w:fill="auto"/>
            <w:vAlign w:val="bottom"/>
          </w:tcPr>
          <w:p w:rsidR="00174D67" w:rsidRPr="009C493C" w:rsidRDefault="00174D67" w:rsidP="00C30825">
            <w:pPr>
              <w:spacing w:before="40" w:after="80"/>
              <w:rPr>
                <w:iCs/>
                <w:sz w:val="18"/>
                <w:szCs w:val="18"/>
              </w:rPr>
            </w:pPr>
          </w:p>
        </w:tc>
        <w:tc>
          <w:tcPr>
            <w:tcW w:w="1701" w:type="dxa"/>
            <w:tcBorders>
              <w:top w:val="single" w:sz="12" w:space="0" w:color="auto"/>
            </w:tcBorders>
            <w:shd w:val="clear" w:color="auto" w:fill="auto"/>
            <w:vAlign w:val="bottom"/>
          </w:tcPr>
          <w:p w:rsidR="00174D67" w:rsidRPr="009C493C" w:rsidRDefault="00174D67" w:rsidP="00C30825">
            <w:pPr>
              <w:spacing w:before="40" w:after="80"/>
              <w:rPr>
                <w:iCs/>
                <w:sz w:val="18"/>
                <w:szCs w:val="18"/>
              </w:rPr>
            </w:pPr>
          </w:p>
        </w:tc>
        <w:tc>
          <w:tcPr>
            <w:tcW w:w="1814" w:type="dxa"/>
            <w:tcBorders>
              <w:top w:val="single" w:sz="12" w:space="0" w:color="auto"/>
            </w:tcBorders>
            <w:shd w:val="clear" w:color="auto" w:fill="auto"/>
            <w:vAlign w:val="bottom"/>
          </w:tcPr>
          <w:p w:rsidR="00174D67" w:rsidRPr="009C493C" w:rsidRDefault="00174D67" w:rsidP="00C30825">
            <w:pPr>
              <w:spacing w:before="40" w:after="80"/>
              <w:rPr>
                <w:iCs/>
                <w:sz w:val="18"/>
                <w:szCs w:val="18"/>
              </w:rPr>
            </w:pPr>
          </w:p>
        </w:tc>
      </w:tr>
      <w:tr w:rsidR="00E54D46" w:rsidRPr="009C493C" w:rsidTr="00D27936">
        <w:tc>
          <w:tcPr>
            <w:tcW w:w="1021" w:type="dxa"/>
            <w:shd w:val="clear" w:color="auto" w:fill="auto"/>
          </w:tcPr>
          <w:p w:rsidR="00E54D46" w:rsidRPr="009C493C" w:rsidRDefault="00E54D46" w:rsidP="00D27936">
            <w:pPr>
              <w:spacing w:before="40" w:after="80"/>
              <w:rPr>
                <w:iCs/>
                <w:sz w:val="18"/>
                <w:szCs w:val="18"/>
              </w:rPr>
            </w:pPr>
          </w:p>
        </w:tc>
        <w:tc>
          <w:tcPr>
            <w:tcW w:w="1021" w:type="dxa"/>
            <w:shd w:val="clear" w:color="auto" w:fill="auto"/>
            <w:vAlign w:val="bottom"/>
          </w:tcPr>
          <w:p w:rsidR="00E54D46" w:rsidRPr="009C493C" w:rsidRDefault="00E54D46" w:rsidP="00C30825">
            <w:pPr>
              <w:spacing w:before="40" w:after="80"/>
              <w:rPr>
                <w:iCs/>
                <w:sz w:val="18"/>
                <w:szCs w:val="18"/>
              </w:rPr>
            </w:pPr>
          </w:p>
        </w:tc>
        <w:tc>
          <w:tcPr>
            <w:tcW w:w="1814" w:type="dxa"/>
            <w:shd w:val="clear" w:color="auto" w:fill="auto"/>
            <w:vAlign w:val="bottom"/>
          </w:tcPr>
          <w:p w:rsidR="00E54D46" w:rsidRPr="009C493C" w:rsidRDefault="00E54D46" w:rsidP="00C30825">
            <w:pPr>
              <w:spacing w:before="40" w:after="80"/>
              <w:rPr>
                <w:iCs/>
                <w:sz w:val="18"/>
                <w:szCs w:val="18"/>
              </w:rPr>
            </w:pPr>
            <w:r w:rsidRPr="009C493C">
              <w:rPr>
                <w:iCs/>
                <w:sz w:val="18"/>
                <w:szCs w:val="18"/>
              </w:rPr>
              <w:t>Los autores nunca enviaron comentarios sobre las observaciones del Estado parte</w:t>
            </w:r>
          </w:p>
        </w:tc>
        <w:tc>
          <w:tcPr>
            <w:tcW w:w="1701"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4</w:t>
            </w:r>
          </w:p>
        </w:tc>
        <w:tc>
          <w:tcPr>
            <w:tcW w:w="1814" w:type="dxa"/>
            <w:shd w:val="clear" w:color="auto" w:fill="auto"/>
            <w:vAlign w:val="bottom"/>
          </w:tcPr>
          <w:p w:rsidR="00E54D46" w:rsidRPr="009C493C" w:rsidRDefault="00E54D46" w:rsidP="00C30825">
            <w:pPr>
              <w:spacing w:before="40" w:after="80"/>
              <w:rPr>
                <w:iCs/>
                <w:sz w:val="18"/>
                <w:szCs w:val="18"/>
              </w:rPr>
            </w:pPr>
            <w:r w:rsidRPr="009C493C">
              <w:rPr>
                <w:iCs/>
                <w:sz w:val="18"/>
                <w:szCs w:val="18"/>
              </w:rPr>
              <w:t xml:space="preserve">Dificultad de la ONG representante para ubicar a los familiares </w:t>
            </w:r>
            <w:r w:rsidR="00D27936">
              <w:rPr>
                <w:iCs/>
                <w:sz w:val="18"/>
                <w:szCs w:val="18"/>
              </w:rPr>
              <w:br/>
            </w:r>
            <w:r w:rsidRPr="009C493C">
              <w:rPr>
                <w:iCs/>
                <w:sz w:val="18"/>
                <w:szCs w:val="18"/>
              </w:rPr>
              <w:t>de la víctima</w:t>
            </w:r>
          </w:p>
        </w:tc>
      </w:tr>
      <w:tr w:rsidR="00174D67" w:rsidRPr="009C493C" w:rsidTr="00D27936">
        <w:tc>
          <w:tcPr>
            <w:tcW w:w="1021" w:type="dxa"/>
            <w:shd w:val="clear" w:color="auto" w:fill="auto"/>
          </w:tcPr>
          <w:p w:rsidR="00174D67" w:rsidRPr="009C493C" w:rsidRDefault="004439E6" w:rsidP="00D27936">
            <w:pPr>
              <w:keepNext/>
              <w:spacing w:before="40" w:after="80"/>
              <w:rPr>
                <w:iCs/>
                <w:sz w:val="18"/>
                <w:szCs w:val="18"/>
              </w:rPr>
            </w:pPr>
            <w:r w:rsidRPr="009C493C">
              <w:rPr>
                <w:iCs/>
                <w:sz w:val="18"/>
                <w:szCs w:val="18"/>
              </w:rPr>
              <w:lastRenderedPageBreak/>
              <w:t>Camboya</w:t>
            </w:r>
          </w:p>
        </w:tc>
        <w:tc>
          <w:tcPr>
            <w:tcW w:w="1021" w:type="dxa"/>
            <w:shd w:val="clear" w:color="auto" w:fill="auto"/>
            <w:vAlign w:val="bottom"/>
          </w:tcPr>
          <w:p w:rsidR="00174D67" w:rsidRPr="009C493C" w:rsidRDefault="00174D67" w:rsidP="00C30825">
            <w:pPr>
              <w:keepNext/>
              <w:spacing w:before="40" w:after="80"/>
              <w:rPr>
                <w:iCs/>
                <w:sz w:val="18"/>
                <w:szCs w:val="18"/>
              </w:rPr>
            </w:pPr>
            <w:r w:rsidRPr="009C493C">
              <w:rPr>
                <w:iCs/>
                <w:sz w:val="18"/>
                <w:szCs w:val="18"/>
              </w:rPr>
              <w:t>1</w:t>
            </w:r>
          </w:p>
        </w:tc>
        <w:tc>
          <w:tcPr>
            <w:tcW w:w="1814" w:type="dxa"/>
            <w:shd w:val="clear" w:color="auto" w:fill="auto"/>
            <w:vAlign w:val="bottom"/>
          </w:tcPr>
          <w:p w:rsidR="00174D67" w:rsidRPr="009C493C" w:rsidRDefault="00174D67" w:rsidP="00C30825">
            <w:pPr>
              <w:keepNext/>
              <w:spacing w:before="40" w:after="80"/>
              <w:rPr>
                <w:iCs/>
                <w:sz w:val="18"/>
                <w:szCs w:val="18"/>
              </w:rPr>
            </w:pPr>
          </w:p>
        </w:tc>
        <w:tc>
          <w:tcPr>
            <w:tcW w:w="1701" w:type="dxa"/>
            <w:shd w:val="clear" w:color="auto" w:fill="auto"/>
            <w:vAlign w:val="bottom"/>
          </w:tcPr>
          <w:p w:rsidR="00174D67" w:rsidRPr="009C493C" w:rsidRDefault="00174D67" w:rsidP="00C30825">
            <w:pPr>
              <w:keepNext/>
              <w:spacing w:before="40" w:after="80"/>
              <w:rPr>
                <w:iCs/>
                <w:sz w:val="18"/>
                <w:szCs w:val="18"/>
              </w:rPr>
            </w:pPr>
          </w:p>
        </w:tc>
        <w:tc>
          <w:tcPr>
            <w:tcW w:w="1814" w:type="dxa"/>
            <w:shd w:val="clear" w:color="auto" w:fill="auto"/>
            <w:vAlign w:val="bottom"/>
          </w:tcPr>
          <w:p w:rsidR="00174D67" w:rsidRPr="009C493C" w:rsidRDefault="00174D67" w:rsidP="00C30825">
            <w:pPr>
              <w:keepNext/>
              <w:spacing w:before="40" w:after="80"/>
              <w:rPr>
                <w:iCs/>
                <w:sz w:val="18"/>
                <w:szCs w:val="18"/>
              </w:rPr>
            </w:pPr>
          </w:p>
        </w:tc>
      </w:tr>
      <w:tr w:rsidR="00E54D46" w:rsidRPr="009C493C" w:rsidTr="00D27936">
        <w:tc>
          <w:tcPr>
            <w:tcW w:w="1021" w:type="dxa"/>
            <w:shd w:val="clear" w:color="auto" w:fill="auto"/>
          </w:tcPr>
          <w:p w:rsidR="00E54D46" w:rsidRPr="009C493C" w:rsidRDefault="00E54D46" w:rsidP="00D27936">
            <w:pPr>
              <w:keepNext/>
              <w:spacing w:before="40" w:after="80"/>
              <w:rPr>
                <w:iCs/>
                <w:sz w:val="18"/>
                <w:szCs w:val="18"/>
              </w:rPr>
            </w:pPr>
          </w:p>
        </w:tc>
        <w:tc>
          <w:tcPr>
            <w:tcW w:w="1021" w:type="dxa"/>
            <w:shd w:val="clear" w:color="auto" w:fill="auto"/>
            <w:vAlign w:val="bottom"/>
          </w:tcPr>
          <w:p w:rsidR="00E54D46" w:rsidRPr="009C493C" w:rsidRDefault="00E54D46" w:rsidP="00C30825">
            <w:pPr>
              <w:keepNext/>
              <w:spacing w:before="40" w:after="80"/>
              <w:rPr>
                <w:iCs/>
                <w:sz w:val="18"/>
                <w:szCs w:val="18"/>
              </w:rPr>
            </w:pPr>
          </w:p>
        </w:tc>
        <w:tc>
          <w:tcPr>
            <w:tcW w:w="1814" w:type="dxa"/>
            <w:shd w:val="clear" w:color="auto" w:fill="auto"/>
            <w:vAlign w:val="bottom"/>
          </w:tcPr>
          <w:p w:rsidR="00E54D46" w:rsidRPr="009C493C" w:rsidRDefault="00E54D46" w:rsidP="00C30825">
            <w:pPr>
              <w:keepNext/>
              <w:spacing w:before="40" w:after="80"/>
              <w:rPr>
                <w:iCs/>
                <w:sz w:val="18"/>
                <w:szCs w:val="18"/>
              </w:rPr>
            </w:pPr>
            <w:r w:rsidRPr="009C493C">
              <w:rPr>
                <w:iCs/>
                <w:sz w:val="18"/>
                <w:szCs w:val="18"/>
              </w:rPr>
              <w:t xml:space="preserve">Desde septiembre </w:t>
            </w:r>
            <w:r w:rsidR="00C30825">
              <w:rPr>
                <w:iCs/>
                <w:sz w:val="18"/>
                <w:szCs w:val="18"/>
              </w:rPr>
              <w:t>de </w:t>
            </w:r>
            <w:r w:rsidRPr="009C493C">
              <w:rPr>
                <w:iCs/>
                <w:sz w:val="18"/>
                <w:szCs w:val="18"/>
              </w:rPr>
              <w:t>2015</w:t>
            </w:r>
          </w:p>
        </w:tc>
        <w:tc>
          <w:tcPr>
            <w:tcW w:w="1701" w:type="dxa"/>
            <w:shd w:val="clear" w:color="auto" w:fill="auto"/>
            <w:vAlign w:val="bottom"/>
          </w:tcPr>
          <w:p w:rsidR="00E54D46" w:rsidRPr="009C493C" w:rsidRDefault="0098063E" w:rsidP="00C30825">
            <w:pPr>
              <w:keepNext/>
              <w:spacing w:before="40" w:after="80"/>
              <w:rPr>
                <w:iCs/>
                <w:sz w:val="18"/>
                <w:szCs w:val="18"/>
              </w:rPr>
            </w:pPr>
            <w:r w:rsidRPr="009C493C">
              <w:rPr>
                <w:iCs/>
                <w:sz w:val="18"/>
                <w:szCs w:val="18"/>
              </w:rPr>
              <w:t>3</w:t>
            </w:r>
          </w:p>
        </w:tc>
        <w:tc>
          <w:tcPr>
            <w:tcW w:w="1814" w:type="dxa"/>
            <w:shd w:val="clear" w:color="auto" w:fill="auto"/>
            <w:vAlign w:val="bottom"/>
          </w:tcPr>
          <w:p w:rsidR="00E54D46" w:rsidRPr="009C493C" w:rsidRDefault="00E54D46" w:rsidP="00C30825">
            <w:pPr>
              <w:keepNext/>
              <w:spacing w:before="40" w:after="80"/>
              <w:rPr>
                <w:iCs/>
                <w:sz w:val="18"/>
                <w:szCs w:val="18"/>
              </w:rPr>
            </w:pPr>
            <w:r w:rsidRPr="009C493C">
              <w:rPr>
                <w:iCs/>
                <w:sz w:val="18"/>
                <w:szCs w:val="18"/>
              </w:rPr>
              <w:t xml:space="preserve">Tras la falta de investigación y negación de los hechos por el Estado parte, los autores no tienen información adicional para proporcionar por ahora </w:t>
            </w:r>
          </w:p>
        </w:tc>
      </w:tr>
      <w:tr w:rsidR="00174D67" w:rsidRPr="009C493C" w:rsidTr="00D27936">
        <w:tc>
          <w:tcPr>
            <w:tcW w:w="1021" w:type="dxa"/>
            <w:shd w:val="clear" w:color="auto" w:fill="auto"/>
          </w:tcPr>
          <w:p w:rsidR="00174D67" w:rsidRPr="009C493C" w:rsidRDefault="00174D67" w:rsidP="00D27936">
            <w:pPr>
              <w:spacing w:before="40" w:after="80"/>
              <w:rPr>
                <w:iCs/>
                <w:sz w:val="18"/>
                <w:szCs w:val="18"/>
              </w:rPr>
            </w:pPr>
            <w:r w:rsidRPr="009C493C">
              <w:rPr>
                <w:iCs/>
                <w:sz w:val="18"/>
                <w:szCs w:val="18"/>
              </w:rPr>
              <w:t>Colombia</w:t>
            </w:r>
          </w:p>
        </w:tc>
        <w:tc>
          <w:tcPr>
            <w:tcW w:w="1021" w:type="dxa"/>
            <w:shd w:val="clear" w:color="auto" w:fill="auto"/>
            <w:vAlign w:val="bottom"/>
          </w:tcPr>
          <w:p w:rsidR="00174D67" w:rsidRPr="009C493C" w:rsidRDefault="00174D67" w:rsidP="00C30825">
            <w:pPr>
              <w:spacing w:before="40" w:after="80"/>
              <w:rPr>
                <w:iCs/>
                <w:sz w:val="18"/>
                <w:szCs w:val="18"/>
              </w:rPr>
            </w:pPr>
            <w:r w:rsidRPr="009C493C">
              <w:rPr>
                <w:iCs/>
                <w:sz w:val="18"/>
                <w:szCs w:val="18"/>
              </w:rPr>
              <w:t>2</w:t>
            </w:r>
          </w:p>
        </w:tc>
        <w:tc>
          <w:tcPr>
            <w:tcW w:w="1814" w:type="dxa"/>
            <w:shd w:val="clear" w:color="auto" w:fill="auto"/>
            <w:vAlign w:val="bottom"/>
          </w:tcPr>
          <w:p w:rsidR="00174D67" w:rsidRPr="009C493C" w:rsidRDefault="00174D67" w:rsidP="00C30825">
            <w:pPr>
              <w:spacing w:before="40" w:after="80"/>
              <w:rPr>
                <w:iCs/>
                <w:sz w:val="18"/>
                <w:szCs w:val="18"/>
              </w:rPr>
            </w:pPr>
          </w:p>
        </w:tc>
        <w:tc>
          <w:tcPr>
            <w:tcW w:w="1701" w:type="dxa"/>
            <w:shd w:val="clear" w:color="auto" w:fill="auto"/>
            <w:vAlign w:val="bottom"/>
          </w:tcPr>
          <w:p w:rsidR="00174D67" w:rsidRPr="009C493C" w:rsidRDefault="00174D67" w:rsidP="00C30825">
            <w:pPr>
              <w:spacing w:before="40" w:after="80"/>
              <w:rPr>
                <w:iCs/>
                <w:sz w:val="18"/>
                <w:szCs w:val="18"/>
              </w:rPr>
            </w:pPr>
          </w:p>
        </w:tc>
        <w:tc>
          <w:tcPr>
            <w:tcW w:w="1814" w:type="dxa"/>
            <w:shd w:val="clear" w:color="auto" w:fill="auto"/>
            <w:vAlign w:val="bottom"/>
          </w:tcPr>
          <w:p w:rsidR="00174D67" w:rsidRPr="009C493C" w:rsidRDefault="00174D67" w:rsidP="00C30825">
            <w:pPr>
              <w:spacing w:before="40" w:after="80"/>
              <w:rPr>
                <w:iCs/>
                <w:sz w:val="18"/>
                <w:szCs w:val="18"/>
              </w:rPr>
            </w:pPr>
          </w:p>
        </w:tc>
      </w:tr>
      <w:tr w:rsidR="00E54D46" w:rsidRPr="009C493C" w:rsidTr="00D27936">
        <w:tc>
          <w:tcPr>
            <w:tcW w:w="1021" w:type="dxa"/>
            <w:shd w:val="clear" w:color="auto" w:fill="auto"/>
          </w:tcPr>
          <w:p w:rsidR="00E54D46" w:rsidRPr="009C493C" w:rsidRDefault="00E54D46" w:rsidP="00D27936">
            <w:pPr>
              <w:spacing w:before="40" w:after="80"/>
              <w:rPr>
                <w:iCs/>
                <w:sz w:val="18"/>
                <w:szCs w:val="18"/>
              </w:rPr>
            </w:pPr>
          </w:p>
        </w:tc>
        <w:tc>
          <w:tcPr>
            <w:tcW w:w="1021" w:type="dxa"/>
            <w:shd w:val="clear" w:color="auto" w:fill="auto"/>
            <w:vAlign w:val="bottom"/>
          </w:tcPr>
          <w:p w:rsidR="00E54D46" w:rsidRPr="009C493C" w:rsidRDefault="00E54D46" w:rsidP="00C30825">
            <w:pPr>
              <w:spacing w:before="40" w:after="80"/>
              <w:rPr>
                <w:iCs/>
                <w:sz w:val="18"/>
                <w:szCs w:val="18"/>
              </w:rPr>
            </w:pPr>
          </w:p>
        </w:tc>
        <w:tc>
          <w:tcPr>
            <w:tcW w:w="1814" w:type="dxa"/>
            <w:shd w:val="clear" w:color="auto" w:fill="auto"/>
            <w:vAlign w:val="bottom"/>
          </w:tcPr>
          <w:p w:rsidR="00E54D46" w:rsidRPr="009C493C" w:rsidRDefault="00E54D46" w:rsidP="00C30825">
            <w:pPr>
              <w:spacing w:before="40" w:after="80"/>
              <w:rPr>
                <w:iCs/>
                <w:sz w:val="18"/>
                <w:szCs w:val="18"/>
              </w:rPr>
            </w:pPr>
            <w:r w:rsidRPr="009C493C">
              <w:rPr>
                <w:iCs/>
                <w:sz w:val="18"/>
                <w:szCs w:val="18"/>
              </w:rPr>
              <w:t xml:space="preserve">Desde </w:t>
            </w:r>
            <w:r w:rsidR="0098063E" w:rsidRPr="009C493C">
              <w:rPr>
                <w:iCs/>
                <w:sz w:val="18"/>
                <w:szCs w:val="18"/>
              </w:rPr>
              <w:t>noviembre</w:t>
            </w:r>
            <w:r w:rsidRPr="009C493C">
              <w:rPr>
                <w:iCs/>
                <w:sz w:val="18"/>
                <w:szCs w:val="18"/>
              </w:rPr>
              <w:t xml:space="preserve"> </w:t>
            </w:r>
            <w:r w:rsidR="00C30825">
              <w:rPr>
                <w:iCs/>
                <w:sz w:val="18"/>
                <w:szCs w:val="18"/>
              </w:rPr>
              <w:t>de </w:t>
            </w:r>
            <w:r w:rsidRPr="009C493C">
              <w:rPr>
                <w:iCs/>
                <w:sz w:val="18"/>
                <w:szCs w:val="18"/>
              </w:rPr>
              <w:t>2015</w:t>
            </w:r>
          </w:p>
        </w:tc>
        <w:tc>
          <w:tcPr>
            <w:tcW w:w="1701"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2</w:t>
            </w:r>
          </w:p>
        </w:tc>
        <w:tc>
          <w:tcPr>
            <w:tcW w:w="1814" w:type="dxa"/>
            <w:shd w:val="clear" w:color="auto" w:fill="auto"/>
            <w:vAlign w:val="bottom"/>
          </w:tcPr>
          <w:p w:rsidR="00E54D46" w:rsidRPr="009C493C" w:rsidRDefault="00E54D46" w:rsidP="00C30825">
            <w:pPr>
              <w:spacing w:before="40" w:after="80"/>
              <w:rPr>
                <w:iCs/>
                <w:sz w:val="18"/>
                <w:szCs w:val="18"/>
              </w:rPr>
            </w:pPr>
            <w:r w:rsidRPr="009C493C">
              <w:rPr>
                <w:iCs/>
                <w:sz w:val="18"/>
                <w:szCs w:val="18"/>
              </w:rPr>
              <w:t>Ninguna</w:t>
            </w:r>
          </w:p>
        </w:tc>
      </w:tr>
      <w:tr w:rsidR="0098063E" w:rsidRPr="009C493C" w:rsidTr="00D27936">
        <w:tc>
          <w:tcPr>
            <w:tcW w:w="1021" w:type="dxa"/>
            <w:shd w:val="clear" w:color="auto" w:fill="auto"/>
          </w:tcPr>
          <w:p w:rsidR="0098063E" w:rsidRPr="009C493C" w:rsidRDefault="0098063E" w:rsidP="00D27936">
            <w:pPr>
              <w:spacing w:before="40" w:after="80"/>
              <w:rPr>
                <w:iCs/>
                <w:sz w:val="18"/>
                <w:szCs w:val="18"/>
              </w:rPr>
            </w:pPr>
          </w:p>
        </w:tc>
        <w:tc>
          <w:tcPr>
            <w:tcW w:w="1021" w:type="dxa"/>
            <w:shd w:val="clear" w:color="auto" w:fill="auto"/>
            <w:vAlign w:val="bottom"/>
          </w:tcPr>
          <w:p w:rsidR="0098063E" w:rsidRPr="009C493C" w:rsidRDefault="0098063E" w:rsidP="00C30825">
            <w:pPr>
              <w:spacing w:before="40" w:after="80"/>
              <w:rPr>
                <w:iCs/>
                <w:sz w:val="18"/>
                <w:szCs w:val="18"/>
              </w:rPr>
            </w:pPr>
          </w:p>
        </w:tc>
        <w:tc>
          <w:tcPr>
            <w:tcW w:w="1814" w:type="dxa"/>
            <w:shd w:val="clear" w:color="auto" w:fill="auto"/>
            <w:vAlign w:val="bottom"/>
          </w:tcPr>
          <w:p w:rsidR="0098063E" w:rsidRPr="009C493C" w:rsidRDefault="0098063E" w:rsidP="00C30825">
            <w:pPr>
              <w:spacing w:before="40" w:after="80"/>
              <w:rPr>
                <w:iCs/>
                <w:sz w:val="18"/>
                <w:szCs w:val="18"/>
              </w:rPr>
            </w:pPr>
            <w:r w:rsidRPr="009C493C">
              <w:rPr>
                <w:iCs/>
                <w:sz w:val="18"/>
                <w:szCs w:val="18"/>
              </w:rPr>
              <w:t xml:space="preserve">Desde noviembre </w:t>
            </w:r>
            <w:r w:rsidR="00C30825">
              <w:rPr>
                <w:iCs/>
                <w:sz w:val="18"/>
                <w:szCs w:val="18"/>
              </w:rPr>
              <w:t>de </w:t>
            </w:r>
            <w:r w:rsidRPr="009C493C">
              <w:rPr>
                <w:iCs/>
                <w:sz w:val="18"/>
                <w:szCs w:val="18"/>
              </w:rPr>
              <w:t>2015</w:t>
            </w:r>
          </w:p>
        </w:tc>
        <w:tc>
          <w:tcPr>
            <w:tcW w:w="1701" w:type="dxa"/>
            <w:shd w:val="clear" w:color="auto" w:fill="auto"/>
            <w:vAlign w:val="bottom"/>
          </w:tcPr>
          <w:p w:rsidR="0098063E" w:rsidRPr="009C493C" w:rsidRDefault="0098063E" w:rsidP="00C30825">
            <w:pPr>
              <w:spacing w:before="40" w:after="80"/>
              <w:rPr>
                <w:iCs/>
                <w:sz w:val="18"/>
                <w:szCs w:val="18"/>
              </w:rPr>
            </w:pPr>
            <w:r w:rsidRPr="009C493C">
              <w:rPr>
                <w:iCs/>
                <w:sz w:val="18"/>
                <w:szCs w:val="18"/>
              </w:rPr>
              <w:t>4</w:t>
            </w:r>
          </w:p>
        </w:tc>
        <w:tc>
          <w:tcPr>
            <w:tcW w:w="1814" w:type="dxa"/>
            <w:shd w:val="clear" w:color="auto" w:fill="auto"/>
            <w:vAlign w:val="bottom"/>
          </w:tcPr>
          <w:p w:rsidR="0098063E" w:rsidRPr="009C493C" w:rsidRDefault="0098063E" w:rsidP="00C30825">
            <w:pPr>
              <w:spacing w:before="40" w:after="80"/>
              <w:rPr>
                <w:iCs/>
                <w:sz w:val="18"/>
                <w:szCs w:val="18"/>
              </w:rPr>
            </w:pPr>
            <w:r w:rsidRPr="009C493C">
              <w:rPr>
                <w:iCs/>
                <w:sz w:val="18"/>
                <w:szCs w:val="18"/>
              </w:rPr>
              <w:t>Ninguna</w:t>
            </w:r>
          </w:p>
        </w:tc>
      </w:tr>
      <w:tr w:rsidR="00E54D46" w:rsidRPr="009C493C" w:rsidTr="00D27936">
        <w:tc>
          <w:tcPr>
            <w:tcW w:w="1021" w:type="dxa"/>
            <w:shd w:val="clear" w:color="auto" w:fill="auto"/>
          </w:tcPr>
          <w:p w:rsidR="00E54D46" w:rsidRPr="009C493C" w:rsidRDefault="00E54D46" w:rsidP="00D27936">
            <w:pPr>
              <w:spacing w:before="40" w:after="80"/>
              <w:rPr>
                <w:iCs/>
                <w:sz w:val="18"/>
                <w:szCs w:val="18"/>
              </w:rPr>
            </w:pPr>
            <w:r w:rsidRPr="009C493C">
              <w:rPr>
                <w:iCs/>
                <w:sz w:val="18"/>
                <w:szCs w:val="18"/>
              </w:rPr>
              <w:t>Iraq</w:t>
            </w:r>
          </w:p>
        </w:tc>
        <w:tc>
          <w:tcPr>
            <w:tcW w:w="1021"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9</w:t>
            </w:r>
          </w:p>
        </w:tc>
        <w:tc>
          <w:tcPr>
            <w:tcW w:w="1814"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No han podido conseguir la información adicional requerida por el Estado parte</w:t>
            </w:r>
          </w:p>
        </w:tc>
        <w:tc>
          <w:tcPr>
            <w:tcW w:w="1701"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De 1 a 4</w:t>
            </w:r>
          </w:p>
        </w:tc>
        <w:tc>
          <w:tcPr>
            <w:tcW w:w="1814" w:type="dxa"/>
            <w:shd w:val="clear" w:color="auto" w:fill="auto"/>
            <w:vAlign w:val="bottom"/>
          </w:tcPr>
          <w:p w:rsidR="00E54D46" w:rsidRPr="009C493C" w:rsidRDefault="0098063E" w:rsidP="00C30825">
            <w:pPr>
              <w:spacing w:before="40" w:after="80"/>
              <w:rPr>
                <w:iCs/>
                <w:sz w:val="18"/>
                <w:szCs w:val="18"/>
              </w:rPr>
            </w:pPr>
            <w:r w:rsidRPr="009C493C">
              <w:rPr>
                <w:iCs/>
                <w:sz w:val="18"/>
                <w:szCs w:val="18"/>
              </w:rPr>
              <w:t>Dificultad para conseguir la información requerida por el Estado parte</w:t>
            </w:r>
          </w:p>
        </w:tc>
      </w:tr>
      <w:tr w:rsidR="00E54D46" w:rsidRPr="009C493C" w:rsidTr="00D27936">
        <w:tc>
          <w:tcPr>
            <w:tcW w:w="1021" w:type="dxa"/>
            <w:tcBorders>
              <w:bottom w:val="single" w:sz="12" w:space="0" w:color="auto"/>
            </w:tcBorders>
            <w:shd w:val="clear" w:color="auto" w:fill="auto"/>
          </w:tcPr>
          <w:p w:rsidR="00E54D46" w:rsidRPr="009C493C" w:rsidRDefault="00E54D46" w:rsidP="00D27936">
            <w:pPr>
              <w:spacing w:before="40" w:after="80"/>
              <w:rPr>
                <w:iCs/>
                <w:sz w:val="18"/>
                <w:szCs w:val="18"/>
              </w:rPr>
            </w:pPr>
            <w:r w:rsidRPr="009C493C">
              <w:rPr>
                <w:iCs/>
                <w:sz w:val="18"/>
                <w:szCs w:val="18"/>
              </w:rPr>
              <w:t>México</w:t>
            </w:r>
          </w:p>
        </w:tc>
        <w:tc>
          <w:tcPr>
            <w:tcW w:w="1021" w:type="dxa"/>
            <w:tcBorders>
              <w:bottom w:val="single" w:sz="12" w:space="0" w:color="auto"/>
            </w:tcBorders>
            <w:shd w:val="clear" w:color="auto" w:fill="auto"/>
            <w:vAlign w:val="bottom"/>
          </w:tcPr>
          <w:p w:rsidR="00E54D46" w:rsidRPr="009C493C" w:rsidRDefault="0098063E" w:rsidP="00C30825">
            <w:pPr>
              <w:spacing w:before="40" w:after="80"/>
              <w:rPr>
                <w:iCs/>
                <w:sz w:val="18"/>
                <w:szCs w:val="18"/>
              </w:rPr>
            </w:pPr>
            <w:r w:rsidRPr="009C493C">
              <w:rPr>
                <w:iCs/>
                <w:sz w:val="18"/>
                <w:szCs w:val="18"/>
              </w:rPr>
              <w:t>46</w:t>
            </w:r>
          </w:p>
        </w:tc>
        <w:tc>
          <w:tcPr>
            <w:tcW w:w="1814" w:type="dxa"/>
            <w:tcBorders>
              <w:bottom w:val="single" w:sz="12" w:space="0" w:color="auto"/>
            </w:tcBorders>
            <w:shd w:val="clear" w:color="auto" w:fill="auto"/>
            <w:vAlign w:val="bottom"/>
          </w:tcPr>
          <w:p w:rsidR="00E54D46" w:rsidRPr="009C493C" w:rsidRDefault="00E54D46" w:rsidP="00C30825">
            <w:pPr>
              <w:spacing w:before="40" w:after="80"/>
              <w:rPr>
                <w:iCs/>
                <w:sz w:val="18"/>
                <w:szCs w:val="18"/>
              </w:rPr>
            </w:pPr>
            <w:r w:rsidRPr="009C493C">
              <w:rPr>
                <w:iCs/>
                <w:sz w:val="18"/>
                <w:szCs w:val="18"/>
              </w:rPr>
              <w:t xml:space="preserve">Los autores nunca enviaron comentarios sobre las observaciones del Estado parte </w:t>
            </w:r>
          </w:p>
        </w:tc>
        <w:tc>
          <w:tcPr>
            <w:tcW w:w="1701" w:type="dxa"/>
            <w:tcBorders>
              <w:bottom w:val="single" w:sz="12" w:space="0" w:color="auto"/>
            </w:tcBorders>
            <w:shd w:val="clear" w:color="auto" w:fill="auto"/>
            <w:vAlign w:val="bottom"/>
          </w:tcPr>
          <w:p w:rsidR="00E54D46" w:rsidRPr="009C493C" w:rsidRDefault="0098063E" w:rsidP="00C30825">
            <w:pPr>
              <w:spacing w:before="40" w:after="80"/>
              <w:rPr>
                <w:iCs/>
                <w:sz w:val="18"/>
                <w:szCs w:val="18"/>
              </w:rPr>
            </w:pPr>
            <w:r w:rsidRPr="009C493C">
              <w:rPr>
                <w:iCs/>
                <w:sz w:val="18"/>
                <w:szCs w:val="18"/>
              </w:rPr>
              <w:t>4</w:t>
            </w:r>
          </w:p>
        </w:tc>
        <w:tc>
          <w:tcPr>
            <w:tcW w:w="1814" w:type="dxa"/>
            <w:tcBorders>
              <w:bottom w:val="single" w:sz="12" w:space="0" w:color="auto"/>
            </w:tcBorders>
            <w:shd w:val="clear" w:color="auto" w:fill="auto"/>
            <w:vAlign w:val="bottom"/>
          </w:tcPr>
          <w:p w:rsidR="00E54D46" w:rsidRPr="009C493C" w:rsidRDefault="002716D6" w:rsidP="00C30825">
            <w:pPr>
              <w:spacing w:before="40" w:after="80"/>
              <w:rPr>
                <w:iCs/>
                <w:sz w:val="18"/>
                <w:szCs w:val="18"/>
              </w:rPr>
            </w:pPr>
            <w:r w:rsidRPr="009C493C">
              <w:rPr>
                <w:iCs/>
                <w:sz w:val="18"/>
                <w:szCs w:val="18"/>
              </w:rPr>
              <w:t>Dificultades</w:t>
            </w:r>
            <w:r w:rsidR="00E54D46" w:rsidRPr="009C493C">
              <w:rPr>
                <w:iCs/>
                <w:sz w:val="18"/>
                <w:szCs w:val="18"/>
              </w:rPr>
              <w:t xml:space="preserve"> para brindar comentarios sobre todas las </w:t>
            </w:r>
            <w:r w:rsidR="005A357F" w:rsidRPr="009C493C">
              <w:rPr>
                <w:iCs/>
                <w:sz w:val="18"/>
                <w:szCs w:val="18"/>
              </w:rPr>
              <w:t xml:space="preserve">acciones urgentes </w:t>
            </w:r>
            <w:r w:rsidR="00E54D46" w:rsidRPr="009C493C">
              <w:rPr>
                <w:iCs/>
                <w:sz w:val="18"/>
                <w:szCs w:val="18"/>
              </w:rPr>
              <w:t>presentadas</w:t>
            </w:r>
          </w:p>
        </w:tc>
      </w:tr>
    </w:tbl>
    <w:p w:rsidR="00BA5B75" w:rsidRPr="002716D6" w:rsidRDefault="0020518E" w:rsidP="009C493C">
      <w:pPr>
        <w:pStyle w:val="SingleTxtG"/>
        <w:suppressAutoHyphens/>
        <w:spacing w:before="240"/>
      </w:pPr>
      <w:r w:rsidRPr="009C493C">
        <w:rPr>
          <w:iCs/>
        </w:rPr>
        <w:t>16.</w:t>
      </w:r>
      <w:r w:rsidRPr="009C493C">
        <w:rPr>
          <w:iCs/>
        </w:rPr>
        <w:tab/>
      </w:r>
      <w:r w:rsidR="002716D6" w:rsidRPr="00C4008B">
        <w:rPr>
          <w:iCs/>
        </w:rPr>
        <w:t>D</w:t>
      </w:r>
      <w:r w:rsidR="002716D6" w:rsidRPr="002716D6">
        <w:t>ecisión de la</w:t>
      </w:r>
      <w:r w:rsidR="00362BF1">
        <w:t xml:space="preserve"> p</w:t>
      </w:r>
      <w:r w:rsidR="002716D6" w:rsidRPr="002716D6">
        <w:t>lenaria</w:t>
      </w:r>
      <w:r w:rsidR="00BA5B75" w:rsidRPr="002716D6">
        <w:t xml:space="preserve">: </w:t>
      </w:r>
      <w:r w:rsidR="002716D6" w:rsidRPr="002716D6">
        <w:t xml:space="preserve">en estos casos, se debe </w:t>
      </w:r>
      <w:r w:rsidR="00BA5B75" w:rsidRPr="002716D6">
        <w:t xml:space="preserve">mantener la acción urgente abierta, de </w:t>
      </w:r>
      <w:r w:rsidR="00BA5B75" w:rsidRPr="009C493C">
        <w:t>conformidad</w:t>
      </w:r>
      <w:r w:rsidR="00BA5B75" w:rsidRPr="002716D6">
        <w:t xml:space="preserve"> con el artículo 30</w:t>
      </w:r>
      <w:r w:rsidR="005A357F">
        <w:t xml:space="preserve">, párrafo </w:t>
      </w:r>
      <w:r w:rsidR="00BA5B75" w:rsidRPr="002716D6">
        <w:t>4</w:t>
      </w:r>
      <w:r w:rsidR="005A357F">
        <w:t>,</w:t>
      </w:r>
      <w:r w:rsidR="00BA5B75" w:rsidRPr="002716D6">
        <w:t xml:space="preserve"> de la Convención, pero limitar el envío de los recordatorios (tres veces al año).</w:t>
      </w:r>
    </w:p>
    <w:p w:rsidR="00E54D46" w:rsidRPr="00C4008B" w:rsidRDefault="00C53B87" w:rsidP="009C493C">
      <w:pPr>
        <w:pStyle w:val="H1G"/>
        <w:rPr>
          <w:bCs/>
        </w:rPr>
      </w:pPr>
      <w:r w:rsidRPr="00C4008B">
        <w:rPr>
          <w:bCs/>
        </w:rPr>
        <w:tab/>
      </w:r>
      <w:r w:rsidR="002B0DF0">
        <w:rPr>
          <w:bCs/>
        </w:rPr>
        <w:t>G</w:t>
      </w:r>
      <w:r w:rsidR="004773D8" w:rsidRPr="00C4008B">
        <w:rPr>
          <w:bCs/>
        </w:rPr>
        <w:t>.</w:t>
      </w:r>
      <w:r w:rsidRPr="00C4008B">
        <w:rPr>
          <w:bCs/>
        </w:rPr>
        <w:tab/>
      </w:r>
      <w:r w:rsidR="00A32A80" w:rsidRPr="00C4008B">
        <w:rPr>
          <w:bCs/>
        </w:rPr>
        <w:t>Nivel de implementación de las recomendaciones del Comité</w:t>
      </w:r>
    </w:p>
    <w:p w:rsidR="00252F4C" w:rsidRDefault="0020518E">
      <w:pPr>
        <w:pStyle w:val="SingleTxtG"/>
      </w:pPr>
      <w:r>
        <w:t>17.</w:t>
      </w:r>
      <w:r w:rsidR="0096748A">
        <w:tab/>
      </w:r>
      <w:r w:rsidR="00F16C31">
        <w:t>E</w:t>
      </w:r>
      <w:r w:rsidR="00F16C31" w:rsidRPr="0096748A">
        <w:t xml:space="preserve">l nivel de implementación de las recomendaciones del Comité no se puede apreciar con exactitud. </w:t>
      </w:r>
      <w:r w:rsidR="00A32A80">
        <w:t>En general, l</w:t>
      </w:r>
      <w:r w:rsidR="001268B9">
        <w:t>os interlocutores de</w:t>
      </w:r>
      <w:r w:rsidR="005E5E7B">
        <w:t>l Comité</w:t>
      </w:r>
      <w:r w:rsidR="001268B9">
        <w:t xml:space="preserve"> en los Estados partes con relación a los cuales se iniciaron acciones urgentes afirman que el registro de las acciones urgentes tiene un impacto positivo sobre los casos relacionados. En ese sentido, resaltan acciones concretas adoptadas por las autoridades del Estado parte en los casos referidos. </w:t>
      </w:r>
    </w:p>
    <w:p w:rsidR="00576455" w:rsidRPr="00C4008B" w:rsidRDefault="0020518E">
      <w:pPr>
        <w:pStyle w:val="SingleTxtG"/>
        <w:rPr>
          <w:bCs/>
        </w:rPr>
      </w:pPr>
      <w:r>
        <w:t>18.</w:t>
      </w:r>
      <w:r w:rsidR="00252F4C">
        <w:tab/>
      </w:r>
      <w:r w:rsidR="001268B9">
        <w:t xml:space="preserve">Sin embargo, los </w:t>
      </w:r>
      <w:r w:rsidR="009F2141">
        <w:t>relatores</w:t>
      </w:r>
      <w:r w:rsidR="001268B9">
        <w:t xml:space="preserve"> </w:t>
      </w:r>
      <w:r w:rsidR="00A32A80">
        <w:t xml:space="preserve">reiteran su consideración reflejada en su informe del </w:t>
      </w:r>
      <w:r w:rsidR="00A50C54">
        <w:t xml:space="preserve">décimo </w:t>
      </w:r>
      <w:r w:rsidR="00A32A80">
        <w:t>per</w:t>
      </w:r>
      <w:r w:rsidR="00A50C54">
        <w:t>í</w:t>
      </w:r>
      <w:r w:rsidR="00A32A80">
        <w:t>odo de sesiones</w:t>
      </w:r>
      <w:r w:rsidR="00512BBD">
        <w:t xml:space="preserve"> </w:t>
      </w:r>
      <w:r w:rsidR="00A32A80" w:rsidRPr="00035A1C">
        <w:t>según</w:t>
      </w:r>
      <w:r w:rsidR="00A32A80">
        <w:t xml:space="preserve"> la cual </w:t>
      </w:r>
      <w:r w:rsidR="001268B9">
        <w:t xml:space="preserve">el impacto de las acciones urgentes no ha alcanzado el nivel deseado </w:t>
      </w:r>
      <w:r w:rsidR="001268B9" w:rsidRPr="001268B9">
        <w:t xml:space="preserve">por la </w:t>
      </w:r>
      <w:r w:rsidR="001268B9" w:rsidRPr="009C493C">
        <w:rPr>
          <w:bCs/>
        </w:rPr>
        <w:t>f</w:t>
      </w:r>
      <w:r w:rsidR="00D81D83" w:rsidRPr="009C493C">
        <w:rPr>
          <w:bCs/>
        </w:rPr>
        <w:t xml:space="preserve">alta de </w:t>
      </w:r>
      <w:r w:rsidR="00CB58E0" w:rsidRPr="009C493C">
        <w:rPr>
          <w:bCs/>
        </w:rPr>
        <w:t xml:space="preserve">llegada de la información sobre </w:t>
      </w:r>
      <w:r w:rsidR="002D1BF1" w:rsidRPr="009C493C">
        <w:rPr>
          <w:bCs/>
        </w:rPr>
        <w:t>las acciones urgentes</w:t>
      </w:r>
      <w:r w:rsidR="00CB58E0" w:rsidRPr="009C493C">
        <w:rPr>
          <w:bCs/>
        </w:rPr>
        <w:t xml:space="preserve"> a las autoridades a cargo de la búsqueda e investigación</w:t>
      </w:r>
      <w:r w:rsidR="00D81D83" w:rsidRPr="00C4008B">
        <w:rPr>
          <w:bCs/>
        </w:rPr>
        <w:t xml:space="preserve">. </w:t>
      </w:r>
    </w:p>
    <w:p w:rsidR="006B0F97" w:rsidRDefault="00D31E18">
      <w:pPr>
        <w:pStyle w:val="SingleTxtG"/>
      </w:pPr>
      <w:r>
        <w:tab/>
      </w:r>
      <w:r w:rsidR="00DF52B9" w:rsidRPr="00C53B87">
        <w:t>a)</w:t>
      </w:r>
      <w:r w:rsidR="00C53B87">
        <w:rPr>
          <w:i/>
        </w:rPr>
        <w:tab/>
      </w:r>
      <w:r w:rsidR="009A4E90" w:rsidRPr="009C493C">
        <w:rPr>
          <w:iCs/>
        </w:rPr>
        <w:t>Acción tomada:</w:t>
      </w:r>
      <w:r w:rsidR="009A4E90" w:rsidRPr="009A4E90">
        <w:t xml:space="preserve"> </w:t>
      </w:r>
      <w:r w:rsidR="00A50C54">
        <w:t>e</w:t>
      </w:r>
      <w:r w:rsidR="003C5AFD" w:rsidRPr="009A4E90">
        <w:t xml:space="preserve">n </w:t>
      </w:r>
      <w:r w:rsidR="009A4E90" w:rsidRPr="009A4E90">
        <w:t xml:space="preserve">las notas verbales enviadas a los Estados partes se ha </w:t>
      </w:r>
      <w:r w:rsidR="0036083B">
        <w:t>incluido de forma casi sistemática</w:t>
      </w:r>
      <w:r w:rsidR="00A32A80">
        <w:t xml:space="preserve"> la petición de que </w:t>
      </w:r>
      <w:r w:rsidR="0036083B">
        <w:t xml:space="preserve">las autoridades competentes </w:t>
      </w:r>
      <w:r w:rsidR="00A80027">
        <w:t>informaran</w:t>
      </w:r>
      <w:r w:rsidR="009A4E90">
        <w:t xml:space="preserve"> debidamente a </w:t>
      </w:r>
      <w:r w:rsidR="009A4E90" w:rsidRPr="00035A1C">
        <w:t>las</w:t>
      </w:r>
      <w:r w:rsidR="009A4E90">
        <w:t xml:space="preserve"> autoridades involucradas en las investigaciones sobre las acciones urgentes iniciadas por el </w:t>
      </w:r>
      <w:r w:rsidR="009A4E90" w:rsidRPr="00A80027">
        <w:t xml:space="preserve">Comité, </w:t>
      </w:r>
      <w:r w:rsidR="009A4E90" w:rsidRPr="00A32A80">
        <w:t>así como sobre las peticiones y recomendaciones transmitidas al Estado parte, de conformidad con el artículo 30</w:t>
      </w:r>
      <w:r w:rsidR="00A50C54">
        <w:t xml:space="preserve">, párrafo </w:t>
      </w:r>
      <w:r w:rsidR="009A4E90" w:rsidRPr="00A32A80">
        <w:t>3</w:t>
      </w:r>
      <w:r w:rsidR="00A50C54">
        <w:t>,</w:t>
      </w:r>
      <w:r w:rsidR="009A4E90" w:rsidRPr="00A32A80">
        <w:t xml:space="preserve"> de la Convención.</w:t>
      </w:r>
      <w:r w:rsidR="0036083B">
        <w:t xml:space="preserve"> La </w:t>
      </w:r>
      <w:r w:rsidR="00294ACE">
        <w:t>o</w:t>
      </w:r>
      <w:r w:rsidR="0036083B">
        <w:t>ficina de</w:t>
      </w:r>
      <w:r w:rsidR="005E5E7B">
        <w:t xml:space="preserve"> terreno de</w:t>
      </w:r>
      <w:r w:rsidR="00A50C54">
        <w:t>l</w:t>
      </w:r>
      <w:r w:rsidR="0036083B">
        <w:t xml:space="preserve"> ACNUDH también ha facilitado</w:t>
      </w:r>
      <w:r w:rsidR="005E5E7B">
        <w:t xml:space="preserve"> en algunas ocasiones</w:t>
      </w:r>
      <w:r w:rsidR="0036083B">
        <w:t xml:space="preserve"> la transmisión de dicha información a las </w:t>
      </w:r>
      <w:r w:rsidR="0036083B" w:rsidRPr="00E92A4B">
        <w:t>autoridades</w:t>
      </w:r>
      <w:r w:rsidR="0036083B">
        <w:t xml:space="preserve"> competentes en algunos de los casos</w:t>
      </w:r>
      <w:r w:rsidR="00193276">
        <w:t>, lo cual resultó muy positivo</w:t>
      </w:r>
      <w:r w:rsidR="00F63E01">
        <w:t>;</w:t>
      </w:r>
      <w:r w:rsidR="0036083B">
        <w:t xml:space="preserve"> </w:t>
      </w:r>
    </w:p>
    <w:p w:rsidR="00193276" w:rsidRDefault="00193276">
      <w:pPr>
        <w:pStyle w:val="SingleTxtG"/>
      </w:pPr>
      <w:r>
        <w:lastRenderedPageBreak/>
        <w:tab/>
        <w:t>b)</w:t>
      </w:r>
      <w:r w:rsidR="00E92A4B">
        <w:tab/>
      </w:r>
      <w:r w:rsidRPr="00C4008B">
        <w:rPr>
          <w:iCs/>
        </w:rPr>
        <w:t xml:space="preserve">Decisión de la </w:t>
      </w:r>
      <w:r w:rsidR="00362BF1">
        <w:rPr>
          <w:iCs/>
        </w:rPr>
        <w:t>p</w:t>
      </w:r>
      <w:r w:rsidRPr="00C4008B">
        <w:rPr>
          <w:iCs/>
        </w:rPr>
        <w:t>lenaria:</w:t>
      </w:r>
      <w:r>
        <w:t xml:space="preserve"> </w:t>
      </w:r>
      <w:r w:rsidR="00A50C54">
        <w:t>t</w:t>
      </w:r>
      <w:r w:rsidR="00E92A4B">
        <w:t xml:space="preserve">omar </w:t>
      </w:r>
      <w:r>
        <w:t>contacto con la</w:t>
      </w:r>
      <w:r w:rsidR="00A50C54">
        <w:t>s</w:t>
      </w:r>
      <w:r>
        <w:t xml:space="preserve"> </w:t>
      </w:r>
      <w:r w:rsidR="00A50C54">
        <w:t>m</w:t>
      </w:r>
      <w:r>
        <w:t>isi</w:t>
      </w:r>
      <w:r w:rsidR="00A50C54">
        <w:t>o</w:t>
      </w:r>
      <w:r>
        <w:t>n</w:t>
      </w:r>
      <w:r w:rsidR="00A50C54">
        <w:t>es</w:t>
      </w:r>
      <w:r>
        <w:t xml:space="preserve"> </w:t>
      </w:r>
      <w:r w:rsidR="00A50C54">
        <w:t>p</w:t>
      </w:r>
      <w:r>
        <w:t>ermanente</w:t>
      </w:r>
      <w:r w:rsidR="00A50C54">
        <w:t>s</w:t>
      </w:r>
      <w:r>
        <w:t xml:space="preserve"> de los Estados partes concernidos para ver la posibilidad de identificar y establecer un canal de contacto directo con las </w:t>
      </w:r>
      <w:r w:rsidRPr="00E92A4B">
        <w:t>autoridades</w:t>
      </w:r>
      <w:r>
        <w:t xml:space="preserve"> competentes en el Estado parte, paralelo a las vías diplomáticas, para facilitar la transmisión de las observaciones y recomendaciones del Comité.</w:t>
      </w:r>
    </w:p>
    <w:p w:rsidR="009A2760" w:rsidRDefault="00D23303" w:rsidP="009C493C">
      <w:pPr>
        <w:pStyle w:val="H1G"/>
      </w:pPr>
      <w:r>
        <w:tab/>
      </w:r>
      <w:r w:rsidR="002B0DF0">
        <w:t>H</w:t>
      </w:r>
      <w:r w:rsidR="004773D8">
        <w:t>.</w:t>
      </w:r>
      <w:r>
        <w:tab/>
      </w:r>
      <w:r w:rsidR="00C5255A">
        <w:t xml:space="preserve">Principales </w:t>
      </w:r>
      <w:r w:rsidR="009A2760">
        <w:t xml:space="preserve">tendencias </w:t>
      </w:r>
      <w:r w:rsidR="00C5255A">
        <w:t>identificadas</w:t>
      </w:r>
      <w:r w:rsidR="009A2760">
        <w:t xml:space="preserve"> </w:t>
      </w:r>
      <w:r w:rsidR="00AF5DB8">
        <w:t xml:space="preserve">y retos encontrados </w:t>
      </w:r>
      <w:r w:rsidR="005737E6">
        <w:t xml:space="preserve">en la información proporcionada </w:t>
      </w:r>
      <w:r w:rsidR="009A2760">
        <w:t xml:space="preserve">desde el </w:t>
      </w:r>
      <w:r w:rsidR="00A50C54">
        <w:t xml:space="preserve">décimo </w:t>
      </w:r>
      <w:r w:rsidR="009A2760">
        <w:t>per</w:t>
      </w:r>
      <w:r w:rsidR="00A50C54">
        <w:t>í</w:t>
      </w:r>
      <w:r w:rsidR="009A2760">
        <w:t>odo de sesiones</w:t>
      </w:r>
    </w:p>
    <w:p w:rsidR="00E20612" w:rsidRPr="009C493C" w:rsidRDefault="002F21C0" w:rsidP="00C53B87">
      <w:pPr>
        <w:pStyle w:val="H4G"/>
        <w:rPr>
          <w:b/>
          <w:bCs/>
          <w:i w:val="0"/>
          <w:iCs/>
        </w:rPr>
      </w:pPr>
      <w:r w:rsidRPr="002F21C0">
        <w:tab/>
      </w:r>
      <w:r w:rsidR="004773D8" w:rsidRPr="009C493C">
        <w:rPr>
          <w:b/>
          <w:bCs/>
          <w:i w:val="0"/>
          <w:iCs/>
        </w:rPr>
        <w:t>1.</w:t>
      </w:r>
      <w:r w:rsidRPr="009C493C">
        <w:rPr>
          <w:b/>
          <w:bCs/>
          <w:i w:val="0"/>
          <w:iCs/>
        </w:rPr>
        <w:tab/>
      </w:r>
      <w:r w:rsidR="00B97455" w:rsidRPr="009C493C">
        <w:rPr>
          <w:b/>
          <w:bCs/>
          <w:i w:val="0"/>
          <w:iCs/>
        </w:rPr>
        <w:t>Bra</w:t>
      </w:r>
      <w:r w:rsidR="00AF3E1C" w:rsidRPr="009C493C">
        <w:rPr>
          <w:b/>
          <w:bCs/>
          <w:i w:val="0"/>
          <w:iCs/>
        </w:rPr>
        <w:t>s</w:t>
      </w:r>
      <w:r w:rsidR="00B97455" w:rsidRPr="009C493C">
        <w:rPr>
          <w:b/>
          <w:bCs/>
          <w:i w:val="0"/>
          <w:iCs/>
        </w:rPr>
        <w:t xml:space="preserve">il </w:t>
      </w:r>
      <w:r w:rsidR="00C7792D" w:rsidRPr="009C493C">
        <w:rPr>
          <w:b/>
          <w:bCs/>
          <w:i w:val="0"/>
          <w:iCs/>
        </w:rPr>
        <w:t>y Camboya</w:t>
      </w:r>
    </w:p>
    <w:p w:rsidR="00E2704E" w:rsidRDefault="00827DCE">
      <w:pPr>
        <w:pStyle w:val="SingleTxtG"/>
      </w:pPr>
      <w:r>
        <w:t>19.</w:t>
      </w:r>
      <w:r w:rsidR="00B97455" w:rsidRPr="00B97455">
        <w:tab/>
        <w:t>La</w:t>
      </w:r>
      <w:r w:rsidR="00B97455">
        <w:t>s</w:t>
      </w:r>
      <w:r w:rsidR="00B97455" w:rsidRPr="00B97455">
        <w:t xml:space="preserve"> </w:t>
      </w:r>
      <w:r w:rsidR="00B97455" w:rsidRPr="00C53B87">
        <w:t>únicas</w:t>
      </w:r>
      <w:r w:rsidR="00B97455" w:rsidRPr="00B97455">
        <w:t xml:space="preserve"> acci</w:t>
      </w:r>
      <w:r w:rsidR="00B97455">
        <w:t>ones</w:t>
      </w:r>
      <w:r w:rsidR="00B97455" w:rsidRPr="00B97455">
        <w:t xml:space="preserve"> urgente</w:t>
      </w:r>
      <w:r w:rsidR="00B97455">
        <w:t>s</w:t>
      </w:r>
      <w:r w:rsidR="00B97455" w:rsidRPr="00B97455">
        <w:t xml:space="preserve"> registrada</w:t>
      </w:r>
      <w:r w:rsidR="00B97455">
        <w:t>s</w:t>
      </w:r>
      <w:r w:rsidR="00B97455" w:rsidRPr="00B97455">
        <w:t xml:space="preserve"> </w:t>
      </w:r>
      <w:r w:rsidR="00B97455">
        <w:t xml:space="preserve">con relación a hechos ocurridos en </w:t>
      </w:r>
      <w:r w:rsidR="00A50C54">
        <w:t xml:space="preserve">el </w:t>
      </w:r>
      <w:r w:rsidR="00B97455">
        <w:t>Bra</w:t>
      </w:r>
      <w:r w:rsidR="00AF3E1C">
        <w:t>s</w:t>
      </w:r>
      <w:r w:rsidR="00B97455">
        <w:t xml:space="preserve">il y </w:t>
      </w:r>
      <w:r w:rsidR="00C7792D">
        <w:t>Camboya</w:t>
      </w:r>
      <w:r w:rsidR="00B97455" w:rsidRPr="00B97455">
        <w:t xml:space="preserve"> no ha</w:t>
      </w:r>
      <w:r w:rsidR="00B97455">
        <w:t>n</w:t>
      </w:r>
      <w:r w:rsidR="00B97455" w:rsidRPr="00B97455">
        <w:t xml:space="preserve"> tenido </w:t>
      </w:r>
      <w:r w:rsidR="00B97455" w:rsidRPr="00E92A4B">
        <w:t>desarrollo</w:t>
      </w:r>
      <w:r w:rsidR="00B97455" w:rsidRPr="00B97455">
        <w:t xml:space="preserve"> alguno </w:t>
      </w:r>
      <w:r w:rsidR="00193276">
        <w:t>hasta el 2 de julio de 2016</w:t>
      </w:r>
      <w:r w:rsidR="00B97455">
        <w:t xml:space="preserve">. </w:t>
      </w:r>
      <w:r w:rsidR="00E2704E">
        <w:t>Múltiples r</w:t>
      </w:r>
      <w:r w:rsidR="00B97455">
        <w:t xml:space="preserve">ecordatorios fueron enviados a los autores y el Estado parte, pero </w:t>
      </w:r>
      <w:r w:rsidR="00193276">
        <w:t xml:space="preserve">seguían </w:t>
      </w:r>
      <w:r w:rsidR="00B97455">
        <w:t>sin respuesta</w:t>
      </w:r>
      <w:r w:rsidR="00193276">
        <w:t xml:space="preserve"> a esta fecha</w:t>
      </w:r>
      <w:r w:rsidR="00B97455">
        <w:t xml:space="preserve">. </w:t>
      </w:r>
    </w:p>
    <w:p w:rsidR="00E20612" w:rsidRPr="00B97455" w:rsidRDefault="00827DCE">
      <w:pPr>
        <w:pStyle w:val="SingleTxtG"/>
      </w:pPr>
      <w:r>
        <w:t>20.</w:t>
      </w:r>
      <w:r w:rsidR="00E2704E">
        <w:tab/>
      </w:r>
      <w:r w:rsidR="00193276" w:rsidRPr="00827DCE">
        <w:t>Decisión de</w:t>
      </w:r>
      <w:r w:rsidR="00E2704E" w:rsidRPr="00827DCE">
        <w:t xml:space="preserve"> la </w:t>
      </w:r>
      <w:r w:rsidR="00362BF1">
        <w:t>p</w:t>
      </w:r>
      <w:r w:rsidR="00E2704E" w:rsidRPr="00827DCE">
        <w:t>lenaria:</w:t>
      </w:r>
      <w:r w:rsidR="00E2704E">
        <w:t xml:space="preserve"> en tales circunstancias</w:t>
      </w:r>
      <w:r w:rsidR="00193276">
        <w:t>, se mantiene</w:t>
      </w:r>
      <w:r w:rsidR="00E2704E">
        <w:t xml:space="preserve"> la acción urgente abierta, de conformidad con lo estipulado por el artículo 30</w:t>
      </w:r>
      <w:r w:rsidR="00A50C54">
        <w:t xml:space="preserve">, párrafo </w:t>
      </w:r>
      <w:r w:rsidR="00E2704E">
        <w:t>4</w:t>
      </w:r>
      <w:r w:rsidR="00A50C54">
        <w:t>,</w:t>
      </w:r>
      <w:r w:rsidR="00E2704E">
        <w:t xml:space="preserve"> de la Convención, pero </w:t>
      </w:r>
      <w:r w:rsidR="00193276">
        <w:t xml:space="preserve">se </w:t>
      </w:r>
      <w:r w:rsidR="00E2704E">
        <w:t xml:space="preserve">limita el envío de los </w:t>
      </w:r>
      <w:r w:rsidR="00E2704E" w:rsidRPr="00E92A4B">
        <w:t>recordatorios</w:t>
      </w:r>
      <w:r w:rsidR="00E2704E">
        <w:t xml:space="preserve"> (</w:t>
      </w:r>
      <w:r w:rsidR="00193276">
        <w:t>tres veces</w:t>
      </w:r>
      <w:r w:rsidR="00E2704E">
        <w:t xml:space="preserve"> al año).</w:t>
      </w:r>
    </w:p>
    <w:p w:rsidR="009D5156" w:rsidRPr="009C493C" w:rsidRDefault="00C53B87">
      <w:pPr>
        <w:pStyle w:val="H4G"/>
        <w:jc w:val="both"/>
        <w:rPr>
          <w:b/>
          <w:bCs/>
          <w:i w:val="0"/>
          <w:iCs/>
        </w:rPr>
      </w:pPr>
      <w:r>
        <w:tab/>
      </w:r>
      <w:r w:rsidR="004773D8" w:rsidRPr="009C493C">
        <w:rPr>
          <w:b/>
          <w:bCs/>
          <w:i w:val="0"/>
          <w:iCs/>
        </w:rPr>
        <w:t>2.</w:t>
      </w:r>
      <w:r w:rsidRPr="009C493C">
        <w:rPr>
          <w:b/>
          <w:bCs/>
          <w:i w:val="0"/>
          <w:iCs/>
        </w:rPr>
        <w:tab/>
      </w:r>
      <w:r w:rsidR="003A7FE7" w:rsidRPr="009C493C">
        <w:rPr>
          <w:b/>
          <w:bCs/>
          <w:i w:val="0"/>
          <w:iCs/>
        </w:rPr>
        <w:t>Colombia</w:t>
      </w:r>
    </w:p>
    <w:p w:rsidR="009D5156" w:rsidRDefault="00827DCE">
      <w:pPr>
        <w:pStyle w:val="SingleTxtG"/>
      </w:pPr>
      <w:r>
        <w:t>21.</w:t>
      </w:r>
      <w:r w:rsidR="003A7FE7">
        <w:tab/>
        <w:t xml:space="preserve">En todas las acciones urgentes registradas con relación a hechos ocurridos en Colombia, el Estado parte ha proporcionado muy poca información sobre los avances de la investigación. En muchas ocasiones, transmiten la información de la Comisión Nacional de Búsqueda de </w:t>
      </w:r>
      <w:r w:rsidR="00506794">
        <w:t>P</w:t>
      </w:r>
      <w:r w:rsidR="003A7FE7">
        <w:t xml:space="preserve">ersonas </w:t>
      </w:r>
      <w:r w:rsidR="00506794">
        <w:t>D</w:t>
      </w:r>
      <w:r w:rsidR="003A7FE7">
        <w:t xml:space="preserve">esaparecidas. En los últimos meses, el Estado parte ha requerido extensiones para dar sus </w:t>
      </w:r>
      <w:r w:rsidR="003A7FE7" w:rsidRPr="00E92A4B">
        <w:t>respuestas</w:t>
      </w:r>
      <w:r w:rsidR="003A7FE7">
        <w:t xml:space="preserve">, invocando la necesidad de </w:t>
      </w:r>
      <w:r w:rsidR="009D5156" w:rsidRPr="002F21C0">
        <w:t>una coordinación interinstitucional para preparar la respuesta</w:t>
      </w:r>
      <w:r w:rsidR="003A7FE7">
        <w:t xml:space="preserve">. Las extensiones solicitadas han sido otorgadas. Tras esas peticiones no se han notado cambios sustantivos en términos del contenido de las observaciones del Estado parte, las cuales </w:t>
      </w:r>
      <w:r w:rsidR="00392F32">
        <w:t xml:space="preserve">son </w:t>
      </w:r>
      <w:r w:rsidR="003A7FE7">
        <w:t xml:space="preserve">muy generales. </w:t>
      </w:r>
    </w:p>
    <w:p w:rsidR="008E6C1B" w:rsidRDefault="00827DCE">
      <w:pPr>
        <w:pStyle w:val="SingleTxtG"/>
      </w:pPr>
      <w:r>
        <w:t>22.</w:t>
      </w:r>
      <w:r w:rsidR="003A7FE7">
        <w:tab/>
        <w:t xml:space="preserve">Los autores de las acciones urgentes siempre resaltan las dificultades que tienen para acceder a los resultados de </w:t>
      </w:r>
      <w:r w:rsidR="003A7FE7" w:rsidRPr="00E92A4B">
        <w:t>las</w:t>
      </w:r>
      <w:r w:rsidR="003A7FE7">
        <w:t xml:space="preserve"> acciones investigativas llevadas a cabo. También resaltan las amenazas recibidas, principalmente cuando las investigaciones y los casos están a cargo de las fiscalías y juzgados locales. </w:t>
      </w:r>
    </w:p>
    <w:p w:rsidR="008E6C1B" w:rsidRDefault="00D31E18">
      <w:pPr>
        <w:pStyle w:val="SingleTxtG"/>
      </w:pPr>
      <w:r>
        <w:tab/>
      </w:r>
      <w:r w:rsidR="00DF52B9" w:rsidRPr="00C53B87">
        <w:t>a)</w:t>
      </w:r>
      <w:r w:rsidR="00C53B87">
        <w:tab/>
      </w:r>
      <w:r w:rsidR="008E6C1B" w:rsidRPr="009C493C">
        <w:rPr>
          <w:iCs/>
        </w:rPr>
        <w:t>Ejemplo</w:t>
      </w:r>
      <w:r w:rsidR="008E6C1B" w:rsidRPr="00C53B87">
        <w:t>:</w:t>
      </w:r>
      <w:r w:rsidR="008E6C1B">
        <w:t xml:space="preserve"> </w:t>
      </w:r>
      <w:r w:rsidR="00193276">
        <w:t>en una de las acciones urgentes registradas,</w:t>
      </w:r>
      <w:r w:rsidR="003A7FE7">
        <w:t xml:space="preserve"> los </w:t>
      </w:r>
      <w:r w:rsidR="003A7FE7" w:rsidRPr="00E92A4B">
        <w:t>autores</w:t>
      </w:r>
      <w:r w:rsidR="003A7FE7">
        <w:t xml:space="preserve"> pidieron al </w:t>
      </w:r>
      <w:r w:rsidR="00193276">
        <w:t>Comité</w:t>
      </w:r>
      <w:r w:rsidR="003A7FE7">
        <w:t xml:space="preserve"> que </w:t>
      </w:r>
      <w:r w:rsidR="008E6C1B">
        <w:t>requiera la reasignación del caso a Bogotá, l</w:t>
      </w:r>
      <w:r w:rsidR="00193276">
        <w:t>a</w:t>
      </w:r>
      <w:r w:rsidR="008E6C1B">
        <w:t xml:space="preserve"> cual había sido rechazada por la Corte</w:t>
      </w:r>
      <w:r w:rsidR="00392F32">
        <w:t xml:space="preserve"> </w:t>
      </w:r>
      <w:r w:rsidR="00DF52B9">
        <w:t>Suprema de Justicia</w:t>
      </w:r>
      <w:r w:rsidR="00F63E01">
        <w:t>;</w:t>
      </w:r>
    </w:p>
    <w:p w:rsidR="009D5156" w:rsidRPr="003A7FE7" w:rsidRDefault="00D31E18">
      <w:pPr>
        <w:pStyle w:val="SingleTxtG"/>
      </w:pPr>
      <w:r>
        <w:tab/>
      </w:r>
      <w:r w:rsidR="00C53B87">
        <w:t>b)</w:t>
      </w:r>
      <w:r w:rsidR="00C53B87">
        <w:tab/>
      </w:r>
      <w:r w:rsidR="008E6C1B" w:rsidRPr="009C493C">
        <w:rPr>
          <w:iCs/>
        </w:rPr>
        <w:t>Acción tomada</w:t>
      </w:r>
      <w:r w:rsidR="008E6C1B" w:rsidRPr="00C53B87">
        <w:t>:</w:t>
      </w:r>
      <w:r w:rsidR="008E6C1B">
        <w:t xml:space="preserve"> </w:t>
      </w:r>
      <w:r w:rsidR="008A1F2E">
        <w:t>t</w:t>
      </w:r>
      <w:r w:rsidR="003C5AFD">
        <w:t xml:space="preserve">omando </w:t>
      </w:r>
      <w:r w:rsidR="008E6C1B">
        <w:t>en cuenta el mandato del Comité bajo el artículo</w:t>
      </w:r>
      <w:r w:rsidR="005E1B2A">
        <w:t> </w:t>
      </w:r>
      <w:r w:rsidR="008E6C1B">
        <w:t>30, los relatores consideraron que el Comité no podía exigir tal reasignación del caso de referencia en el contexto de las acciones urgentes. Una carta de seguimiento fue enviada al Estado parte, incluyendo varias recomendaciones relacionadas con la situación de seguridad de los familiares y del abogado (reiterando la petición de medidas cautelares</w:t>
      </w:r>
      <w:r w:rsidR="00193276">
        <w:t xml:space="preserve"> previamente otorgadas por el Comité</w:t>
      </w:r>
      <w:r w:rsidR="008E6C1B">
        <w:t>).</w:t>
      </w:r>
      <w:r w:rsidR="00512BBD">
        <w:t xml:space="preserve"> </w:t>
      </w:r>
    </w:p>
    <w:p w:rsidR="005737E6" w:rsidRPr="009C493C" w:rsidRDefault="00C53B87">
      <w:pPr>
        <w:pStyle w:val="H4G"/>
        <w:rPr>
          <w:b/>
          <w:bCs/>
          <w:i w:val="0"/>
          <w:iCs/>
        </w:rPr>
      </w:pPr>
      <w:r>
        <w:tab/>
      </w:r>
      <w:r w:rsidR="004773D8" w:rsidRPr="009C493C">
        <w:rPr>
          <w:b/>
          <w:bCs/>
          <w:i w:val="0"/>
          <w:iCs/>
        </w:rPr>
        <w:t>3.</w:t>
      </w:r>
      <w:r w:rsidRPr="009C493C">
        <w:rPr>
          <w:b/>
          <w:bCs/>
          <w:i w:val="0"/>
          <w:iCs/>
        </w:rPr>
        <w:tab/>
      </w:r>
      <w:r w:rsidR="005737E6" w:rsidRPr="009C493C">
        <w:rPr>
          <w:b/>
          <w:bCs/>
          <w:i w:val="0"/>
          <w:iCs/>
        </w:rPr>
        <w:t>Iraq</w:t>
      </w:r>
    </w:p>
    <w:p w:rsidR="005737E6" w:rsidRPr="004C6DDE" w:rsidRDefault="00827DCE" w:rsidP="00D27936">
      <w:pPr>
        <w:pStyle w:val="SingleTxtG"/>
      </w:pPr>
      <w:r>
        <w:t>23.</w:t>
      </w:r>
      <w:r w:rsidR="005737E6">
        <w:tab/>
      </w:r>
      <w:r w:rsidR="005737E6" w:rsidRPr="004C6DDE">
        <w:t>En todos los casos con relación a los cuales la información</w:t>
      </w:r>
      <w:r w:rsidR="005737E6">
        <w:t xml:space="preserve"> adicional requerida sobre la identidad de los autores fue recibida</w:t>
      </w:r>
      <w:r w:rsidR="005737E6" w:rsidRPr="004C6DDE">
        <w:t xml:space="preserve">, </w:t>
      </w:r>
      <w:r w:rsidR="005737E6">
        <w:t>los relatores la transmitieron</w:t>
      </w:r>
      <w:r w:rsidR="005737E6" w:rsidRPr="004C6DDE">
        <w:t xml:space="preserve"> al Estado parte, indicando que </w:t>
      </w:r>
      <w:r w:rsidR="005737E6">
        <w:t>su</w:t>
      </w:r>
      <w:r w:rsidR="005737E6" w:rsidRPr="004C6DDE">
        <w:t xml:space="preserve"> disponibilidad no puede ser considerada </w:t>
      </w:r>
      <w:r w:rsidR="005737E6" w:rsidRPr="00E92A4B">
        <w:t>como</w:t>
      </w:r>
      <w:r w:rsidR="005737E6" w:rsidRPr="004C6DDE">
        <w:t xml:space="preserve"> condición para el registro de una acción urgente</w:t>
      </w:r>
      <w:r w:rsidR="005737E6">
        <w:t xml:space="preserve"> (v</w:t>
      </w:r>
      <w:r w:rsidR="008A1F2E">
        <w:t xml:space="preserve">éase el </w:t>
      </w:r>
      <w:r w:rsidR="005737E6">
        <w:t>informe de los relatores</w:t>
      </w:r>
      <w:r w:rsidR="008A1F2E">
        <w:t xml:space="preserve">, décimo </w:t>
      </w:r>
      <w:r w:rsidR="005737E6">
        <w:t>per</w:t>
      </w:r>
      <w:r w:rsidR="008A1F2E">
        <w:t>í</w:t>
      </w:r>
      <w:r w:rsidR="005737E6">
        <w:t>odo de sesiones)</w:t>
      </w:r>
      <w:r w:rsidR="005737E6" w:rsidRPr="004C6DDE">
        <w:t>.</w:t>
      </w:r>
      <w:r w:rsidR="00512BBD">
        <w:t xml:space="preserve"> </w:t>
      </w:r>
      <w:r w:rsidR="00B2122E">
        <w:t>T</w:t>
      </w:r>
      <w:r w:rsidR="005737E6">
        <w:t>ras</w:t>
      </w:r>
      <w:r w:rsidR="00D27936">
        <w:t> </w:t>
      </w:r>
      <w:r w:rsidR="005737E6">
        <w:t xml:space="preserve">la entrega de la información adicional requerida, las respuestas del Estado parte siguen siendo muy escuetas y no proveen información sobre las acciones tomadas para buscar y ubicar a las personas desaparecidas. </w:t>
      </w:r>
    </w:p>
    <w:p w:rsidR="005737E6" w:rsidRDefault="00827DCE">
      <w:pPr>
        <w:pStyle w:val="SingleTxtG"/>
      </w:pPr>
      <w:r>
        <w:lastRenderedPageBreak/>
        <w:t>24.</w:t>
      </w:r>
      <w:r w:rsidR="005737E6">
        <w:tab/>
      </w:r>
      <w:r w:rsidR="00B2122E">
        <w:t>E</w:t>
      </w:r>
      <w:r w:rsidR="005737E6">
        <w:t xml:space="preserve">n una de las acciones urgentes registradas, el Comité fue informado por los autores que la persona había sido liberada de un centro de detención secreto en enero de 2016. En este caso, el Estado parte no había proporcionado información alguna, a pesar de contar con toda la información solicitada. </w:t>
      </w:r>
    </w:p>
    <w:p w:rsidR="00BF0AC0" w:rsidRDefault="00827DCE">
      <w:pPr>
        <w:pStyle w:val="SingleTxtG"/>
      </w:pPr>
      <w:r>
        <w:t>25.</w:t>
      </w:r>
      <w:r w:rsidR="005737E6">
        <w:tab/>
        <w:t>En todos los casos, la falta de información por el Estado parte y las alegaciones de los autores de varias de las peticiones de acción urgente parece</w:t>
      </w:r>
      <w:r w:rsidR="00392F32">
        <w:t>n</w:t>
      </w:r>
      <w:r w:rsidR="005737E6">
        <w:t xml:space="preserve"> reflejar la persistencia de la práctica de las detenciones secretas.</w:t>
      </w:r>
      <w:r w:rsidR="00512BBD">
        <w:t xml:space="preserve"> </w:t>
      </w:r>
    </w:p>
    <w:p w:rsidR="00C11C3E" w:rsidRPr="009C493C" w:rsidRDefault="00C53B87">
      <w:pPr>
        <w:pStyle w:val="H4G"/>
        <w:jc w:val="both"/>
        <w:rPr>
          <w:b/>
          <w:bCs/>
          <w:i w:val="0"/>
          <w:iCs/>
        </w:rPr>
      </w:pPr>
      <w:r w:rsidRPr="009C493C">
        <w:rPr>
          <w:b/>
          <w:bCs/>
          <w:i w:val="0"/>
          <w:iCs/>
        </w:rPr>
        <w:tab/>
      </w:r>
      <w:r w:rsidR="004773D8" w:rsidRPr="009C493C">
        <w:rPr>
          <w:b/>
          <w:bCs/>
          <w:i w:val="0"/>
          <w:iCs/>
        </w:rPr>
        <w:t>4.</w:t>
      </w:r>
      <w:r w:rsidRPr="009C493C">
        <w:rPr>
          <w:b/>
          <w:bCs/>
          <w:i w:val="0"/>
          <w:iCs/>
        </w:rPr>
        <w:tab/>
      </w:r>
      <w:r w:rsidR="00C11C3E" w:rsidRPr="009C493C">
        <w:rPr>
          <w:b/>
          <w:bCs/>
          <w:i w:val="0"/>
          <w:iCs/>
        </w:rPr>
        <w:t>Marruecos</w:t>
      </w:r>
    </w:p>
    <w:p w:rsidR="009D5156" w:rsidRDefault="00827DCE">
      <w:pPr>
        <w:pStyle w:val="SingleTxtG"/>
      </w:pPr>
      <w:r>
        <w:t>26.</w:t>
      </w:r>
      <w:r w:rsidR="009D5156">
        <w:tab/>
      </w:r>
      <w:r w:rsidR="00C11C3E">
        <w:t>Una acción urgente fue registrada</w:t>
      </w:r>
      <w:r w:rsidR="009D5156">
        <w:t xml:space="preserve"> el 24 de marzo de 2016</w:t>
      </w:r>
      <w:r w:rsidR="00C11C3E">
        <w:t xml:space="preserve"> </w:t>
      </w:r>
      <w:r w:rsidR="009D5156">
        <w:t xml:space="preserve">con relación a la desaparición de un estudiante en diciembre de 2015. Los autores alegaron la posible participación de agentes estatales. El 7 de abril, el Estado </w:t>
      </w:r>
      <w:r w:rsidR="009D5156" w:rsidRPr="00E92A4B">
        <w:t>parte</w:t>
      </w:r>
      <w:r w:rsidR="009D5156">
        <w:t xml:space="preserve"> respondió a la petición de acción urgente, rechazando la posibilidad de que la alegada víctima h</w:t>
      </w:r>
      <w:r w:rsidR="004A449C">
        <w:t xml:space="preserve">ubiera </w:t>
      </w:r>
      <w:r w:rsidR="009D5156">
        <w:t xml:space="preserve">podido ser desaparecida forzosamente, alegando que </w:t>
      </w:r>
      <w:r w:rsidR="009D5156" w:rsidRPr="00E92A4B">
        <w:t>probablemente</w:t>
      </w:r>
      <w:r w:rsidR="009D5156">
        <w:t xml:space="preserve"> </w:t>
      </w:r>
      <w:r w:rsidR="004A449C">
        <w:t xml:space="preserve">se había </w:t>
      </w:r>
      <w:r w:rsidR="009D5156">
        <w:t xml:space="preserve">fugado tras una pelea con su novia. </w:t>
      </w:r>
    </w:p>
    <w:p w:rsidR="00C11C3E" w:rsidRPr="00B33B2B" w:rsidRDefault="00827DCE">
      <w:pPr>
        <w:pStyle w:val="SingleTxtG"/>
      </w:pPr>
      <w:r>
        <w:t>27.</w:t>
      </w:r>
      <w:r w:rsidR="009D5156">
        <w:tab/>
        <w:t xml:space="preserve">El 4 de mayo de 2016, el Comité fue informado por los autores de la petición de acción urgente que el cuerpo de la víctima había sido encontrado en baños desafectados de la </w:t>
      </w:r>
      <w:r w:rsidR="008A1F2E">
        <w:t>u</w:t>
      </w:r>
      <w:r w:rsidR="009D5156">
        <w:t>niversidad. De conformidad con el artículo 30</w:t>
      </w:r>
      <w:r w:rsidR="008A1F2E">
        <w:t xml:space="preserve">, párrafo </w:t>
      </w:r>
      <w:r w:rsidR="009D5156">
        <w:t>4</w:t>
      </w:r>
      <w:r w:rsidR="008A1F2E">
        <w:t>,</w:t>
      </w:r>
      <w:r w:rsidR="009D5156">
        <w:t xml:space="preserve"> de la Convención la acción urgente fue cerrada</w:t>
      </w:r>
      <w:r w:rsidR="00B33B2B">
        <w:t>.</w:t>
      </w:r>
      <w:r w:rsidR="00512BBD">
        <w:t xml:space="preserve"> </w:t>
      </w:r>
    </w:p>
    <w:p w:rsidR="00BF0AC0" w:rsidRPr="009C493C" w:rsidRDefault="00C53B87">
      <w:pPr>
        <w:pStyle w:val="H4G"/>
        <w:rPr>
          <w:b/>
          <w:bCs/>
          <w:i w:val="0"/>
          <w:iCs/>
        </w:rPr>
      </w:pPr>
      <w:r>
        <w:tab/>
      </w:r>
      <w:r w:rsidR="004773D8" w:rsidRPr="009C493C">
        <w:rPr>
          <w:b/>
          <w:bCs/>
          <w:i w:val="0"/>
          <w:iCs/>
        </w:rPr>
        <w:t>5.</w:t>
      </w:r>
      <w:r w:rsidRPr="009C493C">
        <w:rPr>
          <w:b/>
          <w:bCs/>
          <w:i w:val="0"/>
          <w:iCs/>
        </w:rPr>
        <w:tab/>
      </w:r>
      <w:r w:rsidR="00BF0AC0" w:rsidRPr="009C493C">
        <w:rPr>
          <w:b/>
          <w:bCs/>
          <w:i w:val="0"/>
          <w:iCs/>
        </w:rPr>
        <w:t>México</w:t>
      </w:r>
    </w:p>
    <w:p w:rsidR="00BF0AC0" w:rsidRDefault="00827DCE">
      <w:pPr>
        <w:pStyle w:val="SingleTxtG"/>
      </w:pPr>
      <w:r>
        <w:t>28.</w:t>
      </w:r>
      <w:r w:rsidR="00BF0AC0">
        <w:tab/>
      </w:r>
      <w:r w:rsidR="00E951ED">
        <w:t xml:space="preserve">Al 2 de julio de 2016, el </w:t>
      </w:r>
      <w:r w:rsidR="00BF0AC0">
        <w:t xml:space="preserve">Comité </w:t>
      </w:r>
      <w:r w:rsidR="00E951ED">
        <w:t>contaba</w:t>
      </w:r>
      <w:r w:rsidR="00BF0AC0">
        <w:t xml:space="preserve"> con </w:t>
      </w:r>
      <w:r w:rsidR="00E9391E">
        <w:t>261</w:t>
      </w:r>
      <w:r w:rsidR="00BF0AC0">
        <w:t xml:space="preserve"> acciones urgentes registradas con relación a hechos ocurridos en México. </w:t>
      </w:r>
      <w:r w:rsidR="00E9391E">
        <w:t xml:space="preserve">De </w:t>
      </w:r>
      <w:r w:rsidR="00635A2F">
        <w:t xml:space="preserve">estas, </w:t>
      </w:r>
      <w:r w:rsidR="00E9391E">
        <w:t>21 se refieren a la desaparición de mujeres y 10</w:t>
      </w:r>
      <w:r w:rsidR="00635A2F">
        <w:t xml:space="preserve"> a</w:t>
      </w:r>
      <w:r w:rsidR="00E9391E">
        <w:t xml:space="preserve"> </w:t>
      </w:r>
      <w:r w:rsidR="00BB333C">
        <w:t xml:space="preserve">niños o </w:t>
      </w:r>
      <w:r w:rsidR="00BB333C" w:rsidRPr="00E92A4B">
        <w:t>niñas</w:t>
      </w:r>
      <w:r w:rsidR="00BB333C">
        <w:t>.</w:t>
      </w:r>
      <w:r w:rsidR="00512BBD">
        <w:t xml:space="preserve"> </w:t>
      </w:r>
    </w:p>
    <w:p w:rsidR="00C16814" w:rsidRDefault="00827DCE">
      <w:pPr>
        <w:pStyle w:val="SingleTxtG"/>
      </w:pPr>
      <w:r>
        <w:t>29.</w:t>
      </w:r>
      <w:r w:rsidR="00BF0AC0">
        <w:tab/>
      </w:r>
      <w:r w:rsidR="00E9391E">
        <w:t xml:space="preserve">Todos </w:t>
      </w:r>
      <w:r w:rsidR="00BF0AC0">
        <w:t xml:space="preserve">los autores expresan su frustración y preocupación frente a la inefectividad de los mecanismos implementados para buscar a </w:t>
      </w:r>
      <w:r w:rsidR="00BF0AC0" w:rsidRPr="00E92A4B">
        <w:t>las</w:t>
      </w:r>
      <w:r w:rsidR="00BF0AC0">
        <w:t xml:space="preserve"> personas desaparecidas. En </w:t>
      </w:r>
      <w:r w:rsidR="00C16814">
        <w:t>particular</w:t>
      </w:r>
      <w:r w:rsidR="00BF0AC0">
        <w:t>,</w:t>
      </w:r>
      <w:r w:rsidR="00C16814">
        <w:t xml:space="preserve"> </w:t>
      </w:r>
      <w:r w:rsidR="007F6486">
        <w:t>señalan lo siguiente</w:t>
      </w:r>
      <w:r w:rsidR="00C16814">
        <w:t>:</w:t>
      </w:r>
    </w:p>
    <w:p w:rsidR="00BF0AC0" w:rsidRPr="00C4008B" w:rsidRDefault="00D31E18">
      <w:pPr>
        <w:pStyle w:val="SingleTxtG"/>
        <w:rPr>
          <w:iCs/>
        </w:rPr>
      </w:pPr>
      <w:r>
        <w:tab/>
      </w:r>
      <w:r w:rsidR="00F44469">
        <w:t>a)</w:t>
      </w:r>
      <w:r w:rsidR="00C53B87">
        <w:tab/>
      </w:r>
      <w:r w:rsidR="00BE7784" w:rsidRPr="009C493C">
        <w:rPr>
          <w:iCs/>
        </w:rPr>
        <w:t>F</w:t>
      </w:r>
      <w:r w:rsidR="00C16814" w:rsidRPr="009C493C">
        <w:rPr>
          <w:iCs/>
        </w:rPr>
        <w:t xml:space="preserve">alta de confianza </w:t>
      </w:r>
      <w:r w:rsidR="00C04004" w:rsidRPr="009C493C">
        <w:rPr>
          <w:iCs/>
        </w:rPr>
        <w:t>generalizada</w:t>
      </w:r>
      <w:r w:rsidR="00C16814" w:rsidRPr="009C493C">
        <w:rPr>
          <w:iCs/>
        </w:rPr>
        <w:t xml:space="preserve"> </w:t>
      </w:r>
      <w:r w:rsidR="00C04004" w:rsidRPr="009C493C">
        <w:rPr>
          <w:iCs/>
        </w:rPr>
        <w:t>en las autoridades a cargo de la</w:t>
      </w:r>
      <w:r w:rsidR="00C16814" w:rsidRPr="009C493C">
        <w:rPr>
          <w:iCs/>
        </w:rPr>
        <w:t xml:space="preserve"> investigación</w:t>
      </w:r>
      <w:r w:rsidR="00F63E01" w:rsidRPr="009C493C">
        <w:rPr>
          <w:iCs/>
        </w:rPr>
        <w:t>;</w:t>
      </w:r>
      <w:r w:rsidR="00512BBD">
        <w:rPr>
          <w:iCs/>
        </w:rPr>
        <w:t xml:space="preserve"> </w:t>
      </w:r>
    </w:p>
    <w:p w:rsidR="00C04004" w:rsidRDefault="00D31E18">
      <w:pPr>
        <w:pStyle w:val="SingleTxtG"/>
      </w:pPr>
      <w:r w:rsidRPr="00C4008B">
        <w:rPr>
          <w:iCs/>
        </w:rPr>
        <w:tab/>
      </w:r>
      <w:r w:rsidR="00C53B87" w:rsidRPr="00C4008B">
        <w:rPr>
          <w:iCs/>
        </w:rPr>
        <w:t>b)</w:t>
      </w:r>
      <w:r w:rsidR="00C53B87" w:rsidRPr="00C4008B">
        <w:rPr>
          <w:iCs/>
        </w:rPr>
        <w:tab/>
      </w:r>
      <w:r w:rsidR="00BE7784" w:rsidRPr="009C493C">
        <w:rPr>
          <w:iCs/>
        </w:rPr>
        <w:t>I</w:t>
      </w:r>
      <w:r w:rsidR="00C04004" w:rsidRPr="009C493C">
        <w:rPr>
          <w:iCs/>
        </w:rPr>
        <w:t>nvolucramiento directo de la policía en varios de los casos</w:t>
      </w:r>
      <w:r w:rsidR="00635A2F">
        <w:rPr>
          <w:i/>
        </w:rPr>
        <w:t xml:space="preserve"> </w:t>
      </w:r>
      <w:r w:rsidR="00635A2F" w:rsidRPr="00BB333C">
        <w:t xml:space="preserve">e </w:t>
      </w:r>
      <w:r w:rsidR="00C04004" w:rsidRPr="00BB333C">
        <w:t>i</w:t>
      </w:r>
      <w:r w:rsidR="00C04004">
        <w:t>mposibilidad de contar con la colaboración de la institución para el desarrollo de las investigaciones</w:t>
      </w:r>
      <w:r w:rsidR="00F63E01">
        <w:t>;</w:t>
      </w:r>
    </w:p>
    <w:p w:rsidR="007F6486" w:rsidRDefault="00D31E18">
      <w:pPr>
        <w:pStyle w:val="SingleTxtG"/>
      </w:pPr>
      <w:r>
        <w:tab/>
      </w:r>
      <w:r w:rsidR="00C53B87">
        <w:t>c)</w:t>
      </w:r>
      <w:r w:rsidR="00C53B87">
        <w:tab/>
      </w:r>
      <w:r w:rsidR="007F6486" w:rsidRPr="009C493C">
        <w:rPr>
          <w:iCs/>
        </w:rPr>
        <w:t>Falta de estrategia investigativa:</w:t>
      </w:r>
      <w:r w:rsidR="007F6486" w:rsidRPr="003148BF">
        <w:rPr>
          <w:i/>
        </w:rPr>
        <w:t xml:space="preserve"> </w:t>
      </w:r>
      <w:r w:rsidR="005305A4">
        <w:t>e</w:t>
      </w:r>
      <w:r w:rsidR="009E5F1C" w:rsidRPr="009E5F1C">
        <w:t xml:space="preserve">n </w:t>
      </w:r>
      <w:r w:rsidR="007F6486" w:rsidRPr="009E5F1C">
        <w:t>todas las acciones urgentes</w:t>
      </w:r>
      <w:r w:rsidR="007F6486" w:rsidRPr="003148BF">
        <w:rPr>
          <w:i/>
        </w:rPr>
        <w:t>,</w:t>
      </w:r>
      <w:r w:rsidR="007F6486">
        <w:t xml:space="preserve"> las observaciones del Estado parte y los comentarios de los autores reflejan acciones esporádicas, </w:t>
      </w:r>
      <w:r w:rsidR="00635A2F">
        <w:t xml:space="preserve">aisladas, </w:t>
      </w:r>
      <w:r w:rsidR="007F6486">
        <w:t>principalmente formales, que no parecen inscribirse en una estrategia de investigación</w:t>
      </w:r>
      <w:r w:rsidR="00635A2F">
        <w:t xml:space="preserve"> definida previamente</w:t>
      </w:r>
      <w:r w:rsidR="007A4606">
        <w:t xml:space="preserve"> ni obedecer a ella</w:t>
      </w:r>
      <w:r w:rsidR="007F6486">
        <w:t>. A manera de ejemplo, el Ministerio Público envía</w:t>
      </w:r>
      <w:r w:rsidR="00635A2F">
        <w:t>,</w:t>
      </w:r>
      <w:r w:rsidR="007F6486">
        <w:t xml:space="preserve"> en general</w:t>
      </w:r>
      <w:r w:rsidR="00635A2F">
        <w:t>,</w:t>
      </w:r>
      <w:r w:rsidR="007F6486">
        <w:t xml:space="preserve"> cartas a los </w:t>
      </w:r>
      <w:r w:rsidR="007F6486" w:rsidRPr="00E92A4B">
        <w:t>hospitales</w:t>
      </w:r>
      <w:r w:rsidR="007F6486">
        <w:t xml:space="preserve"> y centros de detención. En caso de ausencia de respuesta, varios de los casos </w:t>
      </w:r>
      <w:r w:rsidR="00635A2F">
        <w:t xml:space="preserve">reflejan </w:t>
      </w:r>
      <w:r w:rsidR="007F6486">
        <w:t xml:space="preserve">que </w:t>
      </w:r>
      <w:r w:rsidR="007F6486" w:rsidRPr="00BF0AC0">
        <w:t xml:space="preserve">el Ministerio Público no hace uso pleno de sus facultades, incluidas </w:t>
      </w:r>
      <w:r w:rsidR="00635A2F">
        <w:t xml:space="preserve">las </w:t>
      </w:r>
      <w:r w:rsidR="007F6486" w:rsidRPr="00BF0AC0">
        <w:t>medidas de apremio, para pedir a las autoridades concernidas proporcionar toda la información requerida en el contexto de la investigación o diligencias orientadas a la búsqueda de las personas desaparecidas</w:t>
      </w:r>
      <w:r w:rsidR="00F63E01">
        <w:t>;</w:t>
      </w:r>
      <w:r w:rsidR="00512BBD">
        <w:t xml:space="preserve"> </w:t>
      </w:r>
    </w:p>
    <w:p w:rsidR="00C04004" w:rsidRDefault="00D31E18" w:rsidP="00D27936">
      <w:pPr>
        <w:pStyle w:val="SingleTxtG"/>
      </w:pPr>
      <w:r>
        <w:tab/>
      </w:r>
      <w:r w:rsidR="00C53B87">
        <w:t>d)</w:t>
      </w:r>
      <w:r w:rsidR="00C53B87">
        <w:tab/>
      </w:r>
      <w:r w:rsidR="00BE7784" w:rsidRPr="003148BF">
        <w:t>F</w:t>
      </w:r>
      <w:r w:rsidR="00C04004" w:rsidRPr="003148BF">
        <w:t>ragmentación de las investigaciones entre instituciones estatales</w:t>
      </w:r>
      <w:r w:rsidR="008027AC" w:rsidRPr="003148BF">
        <w:t>, pero también entre las instituciones estatales</w:t>
      </w:r>
      <w:r w:rsidR="00C04004" w:rsidRPr="003148BF">
        <w:t xml:space="preserve"> y federales, y falta de coordinación interinstitucional</w:t>
      </w:r>
      <w:r w:rsidR="0013739D" w:rsidRPr="003148BF">
        <w:t xml:space="preserve"> y de estrategia conjunta</w:t>
      </w:r>
      <w:r w:rsidR="00BE7784" w:rsidRPr="003148BF">
        <w:t>:</w:t>
      </w:r>
      <w:r w:rsidR="00BE7784">
        <w:t xml:space="preserve"> </w:t>
      </w:r>
      <w:r w:rsidR="00581E80">
        <w:t>e</w:t>
      </w:r>
      <w:r w:rsidR="003C5AFD">
        <w:t xml:space="preserve">n </w:t>
      </w:r>
      <w:r w:rsidR="0013739D">
        <w:t xml:space="preserve">esas circunstancias, se han señalado grandes dificultades para integrar todos los elementos </w:t>
      </w:r>
      <w:r w:rsidR="0013739D" w:rsidRPr="00E92A4B">
        <w:t>probatorios</w:t>
      </w:r>
      <w:r w:rsidR="0013739D">
        <w:t xml:space="preserve"> en una sola investigación</w:t>
      </w:r>
      <w:r w:rsidR="00635A2F">
        <w:t>. La</w:t>
      </w:r>
      <w:r w:rsidR="00D27936">
        <w:t> </w:t>
      </w:r>
      <w:r w:rsidR="00635A2F">
        <w:t>fragmentación y la falta de coordinación influye</w:t>
      </w:r>
      <w:r w:rsidR="00BB333C">
        <w:t>n</w:t>
      </w:r>
      <w:r w:rsidR="00635A2F">
        <w:t xml:space="preserve"> en </w:t>
      </w:r>
      <w:r w:rsidR="0013739D">
        <w:t>la prolongación excesiva de los plazos investigativos</w:t>
      </w:r>
      <w:r w:rsidR="00F63E01">
        <w:t>;</w:t>
      </w:r>
    </w:p>
    <w:p w:rsidR="00C04004" w:rsidRDefault="00D31E18">
      <w:pPr>
        <w:pStyle w:val="SingleTxtG"/>
      </w:pPr>
      <w:r>
        <w:tab/>
      </w:r>
      <w:r w:rsidR="007F6486">
        <w:t>e</w:t>
      </w:r>
      <w:r w:rsidR="00F44469">
        <w:t>)</w:t>
      </w:r>
      <w:r w:rsidR="00C53B87">
        <w:tab/>
      </w:r>
      <w:r w:rsidR="00F44469" w:rsidRPr="009C493C">
        <w:rPr>
          <w:iCs/>
        </w:rPr>
        <w:t>D</w:t>
      </w:r>
      <w:r w:rsidR="00C04004" w:rsidRPr="009C493C">
        <w:rPr>
          <w:iCs/>
        </w:rPr>
        <w:t>ificultades reiteradas para tener acceso a los expedientes</w:t>
      </w:r>
      <w:r w:rsidR="00E951ED">
        <w:t xml:space="preserve"> por los familiares, allegados y representantes de las personas desaparecidas</w:t>
      </w:r>
      <w:r w:rsidR="00F63E01">
        <w:t>;</w:t>
      </w:r>
    </w:p>
    <w:p w:rsidR="00F44469" w:rsidRDefault="00D31E18">
      <w:pPr>
        <w:pStyle w:val="SingleTxtG"/>
      </w:pPr>
      <w:r>
        <w:lastRenderedPageBreak/>
        <w:tab/>
      </w:r>
      <w:r w:rsidR="007F6486">
        <w:t>f</w:t>
      </w:r>
      <w:r w:rsidR="00F44469">
        <w:t>)</w:t>
      </w:r>
      <w:r w:rsidR="00C53B87">
        <w:tab/>
      </w:r>
      <w:r w:rsidR="00BE7784" w:rsidRPr="009C493C">
        <w:rPr>
          <w:iCs/>
        </w:rPr>
        <w:t>Manipulación de los elementos probatorios</w:t>
      </w:r>
      <w:r w:rsidR="00BE7784">
        <w:t xml:space="preserve">: </w:t>
      </w:r>
      <w:r w:rsidR="007A4606">
        <w:t>e</w:t>
      </w:r>
      <w:r w:rsidR="003C5AFD">
        <w:t xml:space="preserve">n </w:t>
      </w:r>
      <w:r w:rsidR="008027AC">
        <w:t xml:space="preserve">50 </w:t>
      </w:r>
      <w:r w:rsidR="00253CB2">
        <w:t>de las acciones urgentes registradas</w:t>
      </w:r>
      <w:r w:rsidR="008027AC">
        <w:t xml:space="preserve">, los autores </w:t>
      </w:r>
      <w:r w:rsidR="00253CB2">
        <w:t xml:space="preserve">alegaron que las autoridades </w:t>
      </w:r>
      <w:r w:rsidR="00253CB2" w:rsidRPr="00E92A4B">
        <w:t>estatales</w:t>
      </w:r>
      <w:r w:rsidR="00253CB2">
        <w:t xml:space="preserve"> manipularon las evidencias del caso</w:t>
      </w:r>
      <w:r w:rsidR="00F63E01">
        <w:t>;</w:t>
      </w:r>
      <w:r w:rsidR="00253CB2">
        <w:t xml:space="preserve"> </w:t>
      </w:r>
    </w:p>
    <w:p w:rsidR="003F2B01" w:rsidRPr="00C4008B" w:rsidRDefault="00F63E01">
      <w:pPr>
        <w:pStyle w:val="SingleTxtG"/>
        <w:rPr>
          <w:iCs/>
        </w:rPr>
      </w:pPr>
      <w:r>
        <w:tab/>
      </w:r>
      <w:r w:rsidR="00C53B87">
        <w:t>i</w:t>
      </w:r>
      <w:r w:rsidR="002D3E82">
        <w:t>)</w:t>
      </w:r>
      <w:r w:rsidR="00C53B87">
        <w:tab/>
      </w:r>
      <w:r w:rsidR="003F2B01" w:rsidRPr="009C493C">
        <w:rPr>
          <w:iCs/>
        </w:rPr>
        <w:t>Ejemplos</w:t>
      </w:r>
      <w:r w:rsidR="0022053D" w:rsidRPr="00C4008B">
        <w:rPr>
          <w:iCs/>
        </w:rPr>
        <w:t>:</w:t>
      </w:r>
    </w:p>
    <w:p w:rsidR="00D930FE" w:rsidRDefault="009C493C" w:rsidP="00D27936">
      <w:pPr>
        <w:pStyle w:val="Bullet1G"/>
        <w:ind w:left="2268"/>
      </w:pPr>
      <w:r>
        <w:t>a.</w:t>
      </w:r>
      <w:r>
        <w:tab/>
      </w:r>
      <w:r w:rsidR="003C5AFD">
        <w:t xml:space="preserve">El </w:t>
      </w:r>
      <w:r w:rsidR="00253CB2">
        <w:t xml:space="preserve">informe del Grupo Interdisciplinario de Expertos Independientes </w:t>
      </w:r>
      <w:r w:rsidR="007A4606">
        <w:t xml:space="preserve">(GIEI) </w:t>
      </w:r>
      <w:r w:rsidR="00635A2F">
        <w:t xml:space="preserve">resaltó la existencia de manipulación de los elementos probatorios </w:t>
      </w:r>
      <w:r w:rsidR="00253CB2">
        <w:t xml:space="preserve">con relación a </w:t>
      </w:r>
      <w:r w:rsidR="00635A2F">
        <w:t xml:space="preserve">la investigación de la desaparición de </w:t>
      </w:r>
      <w:r w:rsidR="00253CB2">
        <w:t>los 43</w:t>
      </w:r>
      <w:r w:rsidR="005E1B2A">
        <w:t> </w:t>
      </w:r>
      <w:r w:rsidR="00253CB2">
        <w:t xml:space="preserve">estudiantes de </w:t>
      </w:r>
      <w:proofErr w:type="spellStart"/>
      <w:r w:rsidR="00253CB2">
        <w:t>Ayotzinapa</w:t>
      </w:r>
      <w:proofErr w:type="spellEnd"/>
      <w:r w:rsidR="00F63E01">
        <w:t>;</w:t>
      </w:r>
      <w:r w:rsidR="00253CB2">
        <w:t xml:space="preserve"> </w:t>
      </w:r>
    </w:p>
    <w:p w:rsidR="00D930FE" w:rsidRPr="00D930FE" w:rsidRDefault="009C493C" w:rsidP="00D27936">
      <w:pPr>
        <w:pStyle w:val="Bullet1G"/>
        <w:ind w:left="2268"/>
      </w:pPr>
      <w:r w:rsidRPr="00D930FE">
        <w:t>b.</w:t>
      </w:r>
      <w:r w:rsidRPr="00D930FE">
        <w:tab/>
      </w:r>
      <w:r w:rsidR="003C5AFD">
        <w:t xml:space="preserve">Los </w:t>
      </w:r>
      <w:r w:rsidR="00D930FE">
        <w:t>autores</w:t>
      </w:r>
      <w:r w:rsidR="00E951ED">
        <w:t xml:space="preserve"> de cuatro peticiones de acción urgente</w:t>
      </w:r>
      <w:r w:rsidR="00D930FE">
        <w:t xml:space="preserve"> alegan que </w:t>
      </w:r>
      <w:r w:rsidR="00E951ED">
        <w:t xml:space="preserve">según </w:t>
      </w:r>
      <w:r w:rsidR="00D930FE">
        <w:t xml:space="preserve">las autoridades estatales </w:t>
      </w:r>
      <w:r w:rsidR="00635A2F">
        <w:t xml:space="preserve">los </w:t>
      </w:r>
      <w:r w:rsidR="00D930FE">
        <w:t>cuerpos de sus hijos desaparecidos</w:t>
      </w:r>
      <w:r w:rsidR="00E951ED">
        <w:t xml:space="preserve"> fueron encontrados</w:t>
      </w:r>
      <w:r w:rsidR="00D930FE">
        <w:t xml:space="preserve">. Los familiares rechazan esa afirmación ya que </w:t>
      </w:r>
      <w:r w:rsidR="00D930FE" w:rsidRPr="00D930FE">
        <w:t>los cuerpos presentados no tenían similitud alguna con las personas desaparecidas: los cuerpos eran de personas de estatura muy alta, con dentadura dañada, incompleta, descuidada y sucia, y ninguno de los desaparecidos tenía esas características</w:t>
      </w:r>
      <w:r w:rsidR="00F63E01">
        <w:t>;</w:t>
      </w:r>
      <w:r w:rsidR="00D930FE">
        <w:t xml:space="preserve"> </w:t>
      </w:r>
    </w:p>
    <w:p w:rsidR="003F2B01" w:rsidRDefault="00C53B87" w:rsidP="009C493C">
      <w:pPr>
        <w:pStyle w:val="SingleTxtG"/>
        <w:ind w:left="1701"/>
      </w:pPr>
      <w:r>
        <w:t>ii</w:t>
      </w:r>
      <w:r w:rsidR="002D3E82">
        <w:t>)</w:t>
      </w:r>
      <w:r>
        <w:tab/>
      </w:r>
      <w:r w:rsidR="003F2B01" w:rsidRPr="009C493C">
        <w:rPr>
          <w:iCs/>
        </w:rPr>
        <w:t>Acciones tomadas</w:t>
      </w:r>
      <w:r w:rsidR="003F2B01" w:rsidRPr="00C53B87">
        <w:t>:</w:t>
      </w:r>
      <w:r w:rsidR="003F2B01">
        <w:t xml:space="preserve"> </w:t>
      </w:r>
      <w:r w:rsidR="007A4606">
        <w:t>e</w:t>
      </w:r>
      <w:r w:rsidR="003C5AFD">
        <w:t xml:space="preserve">n </w:t>
      </w:r>
      <w:r w:rsidR="003F2B01">
        <w:t xml:space="preserve">las cartas de seguimiento enviadas al Estado parte se hace referencia a estas alegaciones. Hasta ahora, el Estado parte no ha respondido </w:t>
      </w:r>
      <w:r w:rsidR="000401B3">
        <w:t xml:space="preserve">a </w:t>
      </w:r>
      <w:r w:rsidR="003F2B01">
        <w:t>las mismas</w:t>
      </w:r>
      <w:r w:rsidR="00F63E01">
        <w:t>;</w:t>
      </w:r>
    </w:p>
    <w:p w:rsidR="00C14125" w:rsidRDefault="00D31E18">
      <w:pPr>
        <w:pStyle w:val="SingleTxtG"/>
      </w:pPr>
      <w:r>
        <w:tab/>
      </w:r>
      <w:r w:rsidR="007F6486" w:rsidRPr="00C53B87">
        <w:t>g</w:t>
      </w:r>
      <w:r w:rsidR="00C53B87">
        <w:t>)</w:t>
      </w:r>
      <w:r w:rsidR="00C53B87">
        <w:tab/>
      </w:r>
      <w:r w:rsidR="00BE7784" w:rsidRPr="009C493C">
        <w:rPr>
          <w:iCs/>
        </w:rPr>
        <w:t>Inacción de las autoridades competentes:</w:t>
      </w:r>
      <w:r w:rsidR="00BE7784" w:rsidRPr="003C5AFD">
        <w:rPr>
          <w:i/>
        </w:rPr>
        <w:t xml:space="preserve"> </w:t>
      </w:r>
      <w:r w:rsidR="00BE7784" w:rsidRPr="009C493C">
        <w:t>e</w:t>
      </w:r>
      <w:r w:rsidR="0022053D" w:rsidRPr="009C493C">
        <w:t>n tres de las acciones urgentes</w:t>
      </w:r>
      <w:r w:rsidR="00E951ED">
        <w:t xml:space="preserve"> registradas,</w:t>
      </w:r>
      <w:r w:rsidR="0022053D" w:rsidRPr="003C5AFD">
        <w:rPr>
          <w:i/>
        </w:rPr>
        <w:t xml:space="preserve"> </w:t>
      </w:r>
      <w:r w:rsidR="00E951ED" w:rsidRPr="009C493C">
        <w:t>l</w:t>
      </w:r>
      <w:r w:rsidR="003C5AFD" w:rsidRPr="00C53B87">
        <w:t xml:space="preserve">os </w:t>
      </w:r>
      <w:r w:rsidR="0022053D" w:rsidRPr="00C53B87">
        <w:t xml:space="preserve">autores señalaron </w:t>
      </w:r>
      <w:r w:rsidR="000401B3" w:rsidRPr="00C53B87">
        <w:t xml:space="preserve">que </w:t>
      </w:r>
      <w:r w:rsidR="0022053D" w:rsidRPr="00C53B87">
        <w:t>en varias ocasiones sus solicitudes</w:t>
      </w:r>
      <w:r w:rsidR="0022053D">
        <w:t xml:space="preserve"> </w:t>
      </w:r>
      <w:r w:rsidR="000401B3">
        <w:t xml:space="preserve">a </w:t>
      </w:r>
      <w:r w:rsidR="0022053D">
        <w:t xml:space="preserve">las autoridades competentes </w:t>
      </w:r>
      <w:r w:rsidR="000401B3">
        <w:t xml:space="preserve">para que actuaran </w:t>
      </w:r>
      <w:r w:rsidR="0022053D">
        <w:t xml:space="preserve">no </w:t>
      </w:r>
      <w:r w:rsidR="000401B3">
        <w:t xml:space="preserve">tuvieron </w:t>
      </w:r>
      <w:r w:rsidR="0022053D">
        <w:t xml:space="preserve">efecto, aun con relación a peticiones claramente </w:t>
      </w:r>
      <w:r w:rsidR="0022053D" w:rsidRPr="00E92A4B">
        <w:t>necesarias</w:t>
      </w:r>
      <w:r w:rsidR="0022053D">
        <w:t xml:space="preserve"> en el contexto de las investigaciones de referencia</w:t>
      </w:r>
      <w:r w:rsidR="00F63E01">
        <w:t>;</w:t>
      </w:r>
    </w:p>
    <w:p w:rsidR="002104A4" w:rsidRDefault="00D31E18">
      <w:pPr>
        <w:pStyle w:val="SingleTxtG"/>
      </w:pPr>
      <w:r>
        <w:tab/>
      </w:r>
      <w:r w:rsidR="007F6486">
        <w:t>h</w:t>
      </w:r>
      <w:r w:rsidR="002D3E82">
        <w:t>)</w:t>
      </w:r>
      <w:r w:rsidR="002D3E82">
        <w:tab/>
      </w:r>
      <w:r w:rsidR="003F2B01" w:rsidRPr="009C493C">
        <w:rPr>
          <w:iCs/>
        </w:rPr>
        <w:t>Inacción de las autoridades estatales a cargo de la investigaci</w:t>
      </w:r>
      <w:r w:rsidR="00BE7784" w:rsidRPr="009C493C">
        <w:rPr>
          <w:iCs/>
        </w:rPr>
        <w:t>ón</w:t>
      </w:r>
      <w:r w:rsidR="003F2B01" w:rsidRPr="009C493C">
        <w:rPr>
          <w:iCs/>
        </w:rPr>
        <w:t xml:space="preserve"> </w:t>
      </w:r>
      <w:r w:rsidR="00BE7784" w:rsidRPr="009C493C">
        <w:rPr>
          <w:iCs/>
        </w:rPr>
        <w:t xml:space="preserve">de las desapariciones señaladas </w:t>
      </w:r>
      <w:r w:rsidR="003F2B01" w:rsidRPr="009C493C">
        <w:rPr>
          <w:iCs/>
        </w:rPr>
        <w:t>en las acciones urgentes más antiguas</w:t>
      </w:r>
      <w:r w:rsidR="00BE7784" w:rsidRPr="009C493C">
        <w:rPr>
          <w:iCs/>
        </w:rPr>
        <w:t xml:space="preserve"> del Comité:</w:t>
      </w:r>
      <w:r w:rsidR="003F2B01">
        <w:t xml:space="preserve"> </w:t>
      </w:r>
      <w:r w:rsidR="007A4606">
        <w:t>l</w:t>
      </w:r>
      <w:r w:rsidR="003C5AFD">
        <w:t xml:space="preserve">os </w:t>
      </w:r>
      <w:r w:rsidR="003F2B01">
        <w:t>informes del Estado parte reflejan un estancamiento de las actividades investigativas llevadas a cabo por las autoridades competentes. En varios de los casos, aun cuando no hay resultado alguno de las acciones investigativas llevadas a cabo, las investigaciones ya no avanzan y el Estado parte reitera la misma información en todas sus observaciones</w:t>
      </w:r>
      <w:r w:rsidR="00F63E01">
        <w:t>;</w:t>
      </w:r>
    </w:p>
    <w:p w:rsidR="007C5A7A" w:rsidRDefault="00D31E18" w:rsidP="00F93A56">
      <w:pPr>
        <w:pStyle w:val="SingleTxtG"/>
      </w:pPr>
      <w:r>
        <w:tab/>
      </w:r>
      <w:r w:rsidR="007F6486" w:rsidRPr="002D3E82">
        <w:t>i</w:t>
      </w:r>
      <w:r w:rsidR="002D3E82">
        <w:t>)</w:t>
      </w:r>
      <w:r w:rsidR="002D3E82">
        <w:tab/>
      </w:r>
      <w:r w:rsidR="002104A4" w:rsidRPr="009C493C">
        <w:rPr>
          <w:iCs/>
        </w:rPr>
        <w:t>Multiplicación de las iniciativas de los familiar</w:t>
      </w:r>
      <w:r w:rsidR="009E5F1C" w:rsidRPr="009C493C">
        <w:rPr>
          <w:iCs/>
        </w:rPr>
        <w:t>es de las personas desaparecidas:</w:t>
      </w:r>
    </w:p>
    <w:p w:rsidR="00CF0E5E" w:rsidRDefault="007C5A7A" w:rsidP="009C493C">
      <w:pPr>
        <w:pStyle w:val="SingleTxtG"/>
        <w:ind w:left="1701"/>
      </w:pPr>
      <w:r>
        <w:t>i)</w:t>
      </w:r>
      <w:r w:rsidR="00042FCB">
        <w:tab/>
      </w:r>
      <w:r>
        <w:t xml:space="preserve">Ejemplo: </w:t>
      </w:r>
      <w:r w:rsidR="007A4606">
        <w:t>p</w:t>
      </w:r>
      <w:r w:rsidR="009E5F1C" w:rsidRPr="009E5F1C">
        <w:t xml:space="preserve">ara </w:t>
      </w:r>
      <w:r w:rsidR="002104A4" w:rsidRPr="009E5F1C">
        <w:t>compensar</w:t>
      </w:r>
      <w:r w:rsidR="002104A4" w:rsidRPr="009C493C">
        <w:t xml:space="preserve"> </w:t>
      </w:r>
      <w:r w:rsidR="002104A4" w:rsidRPr="002D3E82">
        <w:t>la falta de resultado de las actividades investigativas llevadas a cabo por el</w:t>
      </w:r>
      <w:r w:rsidR="002104A4" w:rsidRPr="009C493C">
        <w:t xml:space="preserve"> </w:t>
      </w:r>
      <w:r w:rsidR="002104A4" w:rsidRPr="002D3E82">
        <w:t>Estado parte:</w:t>
      </w:r>
      <w:r w:rsidR="002104A4">
        <w:t xml:space="preserve"> en Guerrero</w:t>
      </w:r>
      <w:r w:rsidR="0084593B">
        <w:t xml:space="preserve">, Iguala y </w:t>
      </w:r>
      <w:r w:rsidR="00C51E34">
        <w:t xml:space="preserve">Veracruz, los autores de las peticiones de acciones urgentes informan al Comité sobre la existencia de iniciativas tomadas por familiares de personas desaparecidas, principalmente con el fin de buscar y ubicar fosas comunes en las cercanías. En todos estos casos, han pedido el apoyo del Comité para que requiera al Estado parte </w:t>
      </w:r>
      <w:r w:rsidR="000401B3">
        <w:t xml:space="preserve">que les </w:t>
      </w:r>
      <w:r w:rsidR="00C51E34">
        <w:t>brind</w:t>
      </w:r>
      <w:r w:rsidR="000401B3">
        <w:t xml:space="preserve">e </w:t>
      </w:r>
      <w:r w:rsidR="00C51E34">
        <w:t xml:space="preserve">el acompañamiento técnico y las medidas de protección necesarias </w:t>
      </w:r>
      <w:r w:rsidR="000401B3">
        <w:t>para el</w:t>
      </w:r>
      <w:r w:rsidR="00C51E34">
        <w:t xml:space="preserve"> desarrollo de sus actividades</w:t>
      </w:r>
      <w:r w:rsidR="00F63E01">
        <w:t>;</w:t>
      </w:r>
    </w:p>
    <w:p w:rsidR="000417D3" w:rsidRDefault="007C5A7A" w:rsidP="009C493C">
      <w:pPr>
        <w:pStyle w:val="SingleTxtG"/>
        <w:ind w:left="1701"/>
      </w:pPr>
      <w:r>
        <w:t>ii)</w:t>
      </w:r>
      <w:r w:rsidR="00042FCB">
        <w:tab/>
      </w:r>
      <w:r w:rsidR="0041207F" w:rsidRPr="009C493C">
        <w:t>Acciones tomadas:</w:t>
      </w:r>
      <w:r w:rsidR="0041207F" w:rsidRPr="002D3E82">
        <w:t xml:space="preserve"> </w:t>
      </w:r>
      <w:r w:rsidR="007A4606">
        <w:t>l</w:t>
      </w:r>
      <w:r w:rsidR="009E5F1C">
        <w:t xml:space="preserve">as </w:t>
      </w:r>
      <w:r w:rsidR="00BE7784">
        <w:t>cartas de seguimiento enviadas al Estado parte insisten sobre la necesidad de brindar el apoyo necesario a los grupos de familiares,</w:t>
      </w:r>
      <w:r w:rsidR="000417D3">
        <w:t xml:space="preserve"> y de fomentar sus actividades</w:t>
      </w:r>
      <w:r w:rsidR="0029737F">
        <w:t>;</w:t>
      </w:r>
    </w:p>
    <w:p w:rsidR="002104A4" w:rsidRDefault="00D31E18">
      <w:pPr>
        <w:pStyle w:val="SingleTxtG"/>
      </w:pPr>
      <w:r>
        <w:tab/>
      </w:r>
      <w:r w:rsidR="007F6486" w:rsidRPr="002D3E82">
        <w:t>j</w:t>
      </w:r>
      <w:r w:rsidR="002D3E82">
        <w:t>)</w:t>
      </w:r>
      <w:r w:rsidR="002D3E82">
        <w:tab/>
      </w:r>
      <w:r w:rsidR="002104A4" w:rsidRPr="009C493C">
        <w:rPr>
          <w:iCs/>
        </w:rPr>
        <w:t xml:space="preserve">Amenazas a los autores de las </w:t>
      </w:r>
      <w:r w:rsidR="007A4606" w:rsidRPr="009C493C">
        <w:rPr>
          <w:iCs/>
        </w:rPr>
        <w:t xml:space="preserve">acciones urgentes </w:t>
      </w:r>
      <w:r w:rsidR="002104A4" w:rsidRPr="009C493C">
        <w:rPr>
          <w:iCs/>
        </w:rPr>
        <w:t>y multiplicación de la</w:t>
      </w:r>
      <w:r w:rsidR="00BE7784" w:rsidRPr="009C493C">
        <w:rPr>
          <w:iCs/>
        </w:rPr>
        <w:t>s peticiones</w:t>
      </w:r>
      <w:r w:rsidR="002104A4" w:rsidRPr="009C493C">
        <w:rPr>
          <w:iCs/>
        </w:rPr>
        <w:t xml:space="preserve"> de medidas cautelares</w:t>
      </w:r>
      <w:r w:rsidR="00E47BCB" w:rsidRPr="009C493C">
        <w:rPr>
          <w:iCs/>
        </w:rPr>
        <w:t xml:space="preserve"> a favor de los familiares de las personas desaparecidas</w:t>
      </w:r>
      <w:r w:rsidR="002104A4" w:rsidRPr="009C493C">
        <w:rPr>
          <w:iCs/>
        </w:rPr>
        <w:t>:</w:t>
      </w:r>
      <w:r w:rsidR="0004427C" w:rsidRPr="002D3E82">
        <w:t xml:space="preserve"> </w:t>
      </w:r>
      <w:r w:rsidR="007A4606">
        <w:t>l</w:t>
      </w:r>
      <w:r w:rsidR="009E5F1C" w:rsidRPr="002D3E82">
        <w:t xml:space="preserve">a </w:t>
      </w:r>
      <w:r w:rsidR="007F6486" w:rsidRPr="002D3E82">
        <w:t>gran mayoría de las peticiones de acción urgente han sido acompañadas de peticiones de medidas</w:t>
      </w:r>
      <w:r w:rsidR="007F6486">
        <w:t xml:space="preserve"> cautelares de protección para los familiare</w:t>
      </w:r>
      <w:r w:rsidR="003D4EA4">
        <w:t>s de las personas desaparecidas</w:t>
      </w:r>
      <w:r w:rsidR="007F6486">
        <w:t xml:space="preserve">. </w:t>
      </w:r>
      <w:r w:rsidR="003D4EA4">
        <w:t xml:space="preserve">La información recibida también refleja la multiplicación </w:t>
      </w:r>
      <w:r w:rsidR="006C760B">
        <w:t>de serias amenazas en contra de familiares de las víctimas, inclus</w:t>
      </w:r>
      <w:r w:rsidR="007A4606">
        <w:t xml:space="preserve">o </w:t>
      </w:r>
      <w:r w:rsidR="006C760B">
        <w:t>en contra de los integrantes de los colectivos conformados</w:t>
      </w:r>
      <w:r w:rsidR="00E47BCB">
        <w:t>, incluyendo la muerte de uno de ellos</w:t>
      </w:r>
      <w:r w:rsidR="00F63E01">
        <w:t>;</w:t>
      </w:r>
      <w:r w:rsidR="006C760B">
        <w:t xml:space="preserve"> </w:t>
      </w:r>
    </w:p>
    <w:p w:rsidR="00042FCB" w:rsidRDefault="006C760B" w:rsidP="009C493C">
      <w:pPr>
        <w:pStyle w:val="SingleTxtG"/>
        <w:ind w:left="1701"/>
      </w:pPr>
      <w:r w:rsidRPr="002D3E82">
        <w:lastRenderedPageBreak/>
        <w:t>i</w:t>
      </w:r>
      <w:r w:rsidR="002D3E82">
        <w:t>)</w:t>
      </w:r>
      <w:r w:rsidR="002D3E82">
        <w:tab/>
      </w:r>
      <w:r w:rsidR="00883C93" w:rsidRPr="009C493C">
        <w:rPr>
          <w:iCs/>
        </w:rPr>
        <w:t>Principales retos encontrados:</w:t>
      </w:r>
    </w:p>
    <w:p w:rsidR="006C760B" w:rsidRDefault="00042FCB" w:rsidP="00D27936">
      <w:pPr>
        <w:pStyle w:val="Bullet1G"/>
        <w:ind w:left="2268"/>
      </w:pPr>
      <w:r>
        <w:tab/>
        <w:t>a.</w:t>
      </w:r>
      <w:r>
        <w:tab/>
      </w:r>
      <w:r w:rsidR="007A4606">
        <w:t>E</w:t>
      </w:r>
      <w:r w:rsidR="009E5F1C">
        <w:t xml:space="preserve">n </w:t>
      </w:r>
      <w:r w:rsidR="00883C93">
        <w:t xml:space="preserve">varias ocasiones, </w:t>
      </w:r>
      <w:r w:rsidR="000401B3">
        <w:t xml:space="preserve">fueron presentadas </w:t>
      </w:r>
      <w:r w:rsidR="00883C93">
        <w:t xml:space="preserve">peticiones de medidas cautelares </w:t>
      </w:r>
      <w:r w:rsidR="007A4606">
        <w:t xml:space="preserve">por </w:t>
      </w:r>
      <w:r w:rsidR="00144077">
        <w:t xml:space="preserve">los </w:t>
      </w:r>
      <w:r w:rsidR="00883C93">
        <w:t>familiares y allegados de las personas desaparecidas</w:t>
      </w:r>
      <w:r w:rsidR="00F63E01">
        <w:t>;</w:t>
      </w:r>
      <w:r w:rsidR="00883C93">
        <w:t xml:space="preserve"> </w:t>
      </w:r>
    </w:p>
    <w:p w:rsidR="00883C93" w:rsidRPr="00144077" w:rsidRDefault="00042FCB" w:rsidP="009C493C">
      <w:pPr>
        <w:pStyle w:val="Bullet1G"/>
        <w:ind w:left="2268"/>
      </w:pPr>
      <w:r>
        <w:t>b.</w:t>
      </w:r>
      <w:r>
        <w:tab/>
      </w:r>
      <w:r w:rsidR="00390685" w:rsidRPr="00144077">
        <w:t>L</w:t>
      </w:r>
      <w:r w:rsidR="009E5F1C" w:rsidRPr="00144077">
        <w:t xml:space="preserve">os </w:t>
      </w:r>
      <w:r w:rsidR="00883C93" w:rsidRPr="00144077">
        <w:t>autores informan que en la mayoría de los casos las medidas cautelares otorgadas no son implementadas o solamente de forma parcial</w:t>
      </w:r>
      <w:r w:rsidR="00F63E01">
        <w:t>;</w:t>
      </w:r>
      <w:r w:rsidR="00883C93" w:rsidRPr="00144077">
        <w:t xml:space="preserve"> </w:t>
      </w:r>
    </w:p>
    <w:p w:rsidR="006C760B" w:rsidRPr="002D3E82" w:rsidRDefault="00883C93" w:rsidP="009C493C">
      <w:pPr>
        <w:pStyle w:val="SingleTxtG"/>
        <w:ind w:left="1701"/>
      </w:pPr>
      <w:r w:rsidRPr="002D3E82">
        <w:t>i</w:t>
      </w:r>
      <w:r w:rsidR="00A420B3">
        <w:t>i</w:t>
      </w:r>
      <w:r w:rsidR="002D3E82">
        <w:t>)</w:t>
      </w:r>
      <w:r w:rsidR="002D3E82">
        <w:tab/>
      </w:r>
      <w:r w:rsidRPr="009C493C">
        <w:rPr>
          <w:iCs/>
        </w:rPr>
        <w:t>Acciones tomadas:</w:t>
      </w:r>
      <w:r w:rsidR="00207574" w:rsidRPr="002D3E82">
        <w:t xml:space="preserve"> </w:t>
      </w:r>
    </w:p>
    <w:p w:rsidR="00207574" w:rsidRDefault="00042FCB" w:rsidP="009C493C">
      <w:pPr>
        <w:pStyle w:val="Bullet1G"/>
        <w:ind w:left="2268"/>
      </w:pPr>
      <w:r>
        <w:t>a.</w:t>
      </w:r>
      <w:r>
        <w:tab/>
      </w:r>
      <w:r w:rsidR="007A4606">
        <w:t>S</w:t>
      </w:r>
      <w:r w:rsidR="009E5F1C">
        <w:t xml:space="preserve">e </w:t>
      </w:r>
      <w:r w:rsidR="00207574">
        <w:t>envía una carta a cada una de las personas a las cuales se otorgaron medidas cautelares, para informarles, pero también para permitirles que requieran la implementación de las mismas a las autoridades competentes</w:t>
      </w:r>
      <w:r w:rsidR="00F63E01">
        <w:t>;</w:t>
      </w:r>
    </w:p>
    <w:p w:rsidR="00207574" w:rsidRPr="00207574" w:rsidRDefault="00042FCB" w:rsidP="009C493C">
      <w:pPr>
        <w:pStyle w:val="Bullet1G"/>
        <w:ind w:left="2268"/>
      </w:pPr>
      <w:r>
        <w:t>b.</w:t>
      </w:r>
      <w:r>
        <w:tab/>
      </w:r>
      <w:r w:rsidR="007A4606">
        <w:t>S</w:t>
      </w:r>
      <w:r w:rsidR="009E5F1C">
        <w:t xml:space="preserve">e </w:t>
      </w:r>
      <w:r w:rsidR="00207574">
        <w:t>reiteran las medidas cautelares en las cartas de seguimiento enviadas al Estado parte, recordando su obligación en aplicación del artículo 30</w:t>
      </w:r>
      <w:r w:rsidR="007A4606">
        <w:t xml:space="preserve">, párrafo </w:t>
      </w:r>
      <w:r w:rsidR="00207574">
        <w:t>3</w:t>
      </w:r>
      <w:r w:rsidR="007A4606">
        <w:t>,</w:t>
      </w:r>
      <w:r w:rsidR="00207574">
        <w:t xml:space="preserve"> de la Convención</w:t>
      </w:r>
      <w:r w:rsidR="00F63E01">
        <w:t>;</w:t>
      </w:r>
    </w:p>
    <w:p w:rsidR="00DE7C39" w:rsidRDefault="00D31E18" w:rsidP="009C493C">
      <w:pPr>
        <w:pStyle w:val="SingleTxtG"/>
      </w:pPr>
      <w:r>
        <w:tab/>
      </w:r>
      <w:r w:rsidR="002D3E82">
        <w:t>k)</w:t>
      </w:r>
      <w:r w:rsidR="002D3E82">
        <w:tab/>
      </w:r>
      <w:r w:rsidR="00207574" w:rsidRPr="009C493C">
        <w:rPr>
          <w:iCs/>
        </w:rPr>
        <w:t>Peticiones de medidas cautelares para la protección de lugares y de elementos probatorios:</w:t>
      </w:r>
      <w:r w:rsidR="00207574" w:rsidRPr="002D3E82">
        <w:t xml:space="preserve"> </w:t>
      </w:r>
      <w:r w:rsidR="007A4606">
        <w:t>e</w:t>
      </w:r>
      <w:r w:rsidR="009E5F1C" w:rsidRPr="002D3E82">
        <w:t xml:space="preserve">n </w:t>
      </w:r>
      <w:r w:rsidR="007A4606">
        <w:t xml:space="preserve">12 </w:t>
      </w:r>
      <w:r w:rsidR="005B4426" w:rsidRPr="002D3E82">
        <w:t>de las acciones urgentes registradas, se pidieron medidas cautelares</w:t>
      </w:r>
      <w:r w:rsidR="005B4426">
        <w:t xml:space="preserve"> específicas para la protección de lugares y elementos probatorios relevantes para los casos referidos</w:t>
      </w:r>
      <w:r w:rsidR="000E3630">
        <w:t>,</w:t>
      </w:r>
      <w:r w:rsidR="005B4426">
        <w:t xml:space="preserve"> </w:t>
      </w:r>
      <w:r w:rsidR="00042FCB">
        <w:t xml:space="preserve">y en </w:t>
      </w:r>
      <w:r w:rsidR="00A320DF" w:rsidRPr="009C493C">
        <w:t>ocho acciones urgentes,</w:t>
      </w:r>
      <w:r w:rsidR="003D4EA4" w:rsidRPr="002D3E82">
        <w:t xml:space="preserve"> </w:t>
      </w:r>
      <w:r w:rsidR="00A320DF">
        <w:t>s</w:t>
      </w:r>
      <w:r w:rsidR="00A320DF" w:rsidRPr="002D3E82">
        <w:t xml:space="preserve">e </w:t>
      </w:r>
      <w:r w:rsidR="005B4426" w:rsidRPr="002D3E82">
        <w:t>requirió</w:t>
      </w:r>
      <w:r w:rsidR="005B4426">
        <w:t xml:space="preserve"> al Estado parte que adopte</w:t>
      </w:r>
      <w:r w:rsidR="005B4426" w:rsidRPr="005B4426">
        <w:t xml:space="preserve"> medidas cautelares</w:t>
      </w:r>
      <w:r w:rsidR="00C4579B">
        <w:t xml:space="preserve"> </w:t>
      </w:r>
      <w:r w:rsidR="005B4426" w:rsidRPr="005B4426">
        <w:t xml:space="preserve">para </w:t>
      </w:r>
      <w:r w:rsidR="005B4426">
        <w:t>la protección y adecuada custodia y preservación de</w:t>
      </w:r>
      <w:r w:rsidR="005B4426" w:rsidRPr="005B4426">
        <w:t xml:space="preserve"> tres fosas clandestinas localizadas (proporcionando datos sobre la ubicación exacta de las mismas)</w:t>
      </w:r>
      <w:r w:rsidR="005B4426">
        <w:t xml:space="preserve">; </w:t>
      </w:r>
      <w:r w:rsidR="00C4579B">
        <w:t xml:space="preserve">y </w:t>
      </w:r>
      <w:r w:rsidR="005B4426">
        <w:t>para la pr</w:t>
      </w:r>
      <w:r w:rsidR="003D4EA4" w:rsidRPr="005B4426">
        <w:t>onta identificación de los restos encontrados, por expertos forenses independientes, especializados y competentes, de conformidad con los estándares internac</w:t>
      </w:r>
      <w:r w:rsidR="005B4426">
        <w:t>ionales aplicables</w:t>
      </w:r>
      <w:r w:rsidR="00F63E01">
        <w:t>;</w:t>
      </w:r>
    </w:p>
    <w:p w:rsidR="00390685" w:rsidRDefault="00D31E18" w:rsidP="009C493C">
      <w:pPr>
        <w:pStyle w:val="SingleTxtG"/>
      </w:pPr>
      <w:r>
        <w:tab/>
      </w:r>
      <w:r w:rsidR="00A420B3">
        <w:t>l)</w:t>
      </w:r>
      <w:r w:rsidR="00A420B3">
        <w:tab/>
      </w:r>
      <w:r w:rsidR="00A36CC9" w:rsidRPr="009C493C">
        <w:rPr>
          <w:iCs/>
        </w:rPr>
        <w:t xml:space="preserve">Petición de apoyo a las recomendaciones de la </w:t>
      </w:r>
      <w:r w:rsidR="00153975" w:rsidRPr="009C493C">
        <w:rPr>
          <w:iCs/>
        </w:rPr>
        <w:t xml:space="preserve">Comisión Interamericana de Derechos Humanos </w:t>
      </w:r>
      <w:r w:rsidR="00A36CC9" w:rsidRPr="009C493C">
        <w:rPr>
          <w:iCs/>
        </w:rPr>
        <w:t>con relación al establecimiento de un mecanismo de seguimiento a las recomendaciones del GIEI:</w:t>
      </w:r>
      <w:r w:rsidR="00A36CC9">
        <w:t xml:space="preserve"> </w:t>
      </w:r>
      <w:r w:rsidR="007A4606">
        <w:t>t</w:t>
      </w:r>
      <w:r w:rsidR="009E5F1C">
        <w:t xml:space="preserve">ras </w:t>
      </w:r>
      <w:r w:rsidR="00153975">
        <w:t xml:space="preserve">la </w:t>
      </w:r>
      <w:r w:rsidR="0043028E">
        <w:t xml:space="preserve">culminación de las labores </w:t>
      </w:r>
      <w:r w:rsidR="00153975">
        <w:t>del GIEI de México, el Estado parte aceptó la</w:t>
      </w:r>
      <w:r w:rsidR="005D0F8D">
        <w:t xml:space="preserve"> solicitud de la Comisión Interamericana de Derechos Humanos de crear </w:t>
      </w:r>
      <w:r w:rsidR="00153975">
        <w:t xml:space="preserve">un mecanismo de seguimiento a las recomendaciones del GIEI. Con </w:t>
      </w:r>
      <w:r w:rsidR="009516BD">
        <w:t>la intención</w:t>
      </w:r>
      <w:r w:rsidR="00153975">
        <w:t xml:space="preserve"> de asegurar la efectividad de dicho mecanismo, la Comisión Interamericana de Derechos Humanos</w:t>
      </w:r>
      <w:r w:rsidR="005D0F8D">
        <w:t xml:space="preserve"> envió una serie de recomendaciones sobre las condiciones mínimas que considera necesarias para que </w:t>
      </w:r>
      <w:r w:rsidR="005D0F8D" w:rsidRPr="005D0F8D">
        <w:t xml:space="preserve">dicho seguimiento </w:t>
      </w:r>
      <w:r w:rsidR="009516BD">
        <w:t xml:space="preserve">pueda ser efectivo. </w:t>
      </w:r>
      <w:r w:rsidR="000E3630">
        <w:t>El</w:t>
      </w:r>
      <w:r w:rsidR="00C30825">
        <w:t xml:space="preserve"> </w:t>
      </w:r>
      <w:r w:rsidR="005D0F8D">
        <w:t>Comité</w:t>
      </w:r>
      <w:r w:rsidR="004409F3">
        <w:t xml:space="preserve"> envió</w:t>
      </w:r>
      <w:r w:rsidR="005D0F8D">
        <w:t xml:space="preserve"> una carta en el contexto de las acciones </w:t>
      </w:r>
      <w:r w:rsidR="005D0F8D" w:rsidRPr="00C4008B">
        <w:rPr>
          <w:iCs/>
        </w:rPr>
        <w:t>urgentes</w:t>
      </w:r>
      <w:r w:rsidR="005D0F8D">
        <w:t xml:space="preserve"> relacionadas</w:t>
      </w:r>
      <w:r w:rsidR="00FF36D3">
        <w:t>,</w:t>
      </w:r>
      <w:r w:rsidR="005D0F8D">
        <w:t xml:space="preserve"> </w:t>
      </w:r>
      <w:r w:rsidR="004409F3">
        <w:t>resaltando</w:t>
      </w:r>
      <w:r w:rsidR="005D0F8D">
        <w:t xml:space="preserve"> lo siguiente: </w:t>
      </w:r>
      <w:r w:rsidR="000E3630">
        <w:t>i)</w:t>
      </w:r>
      <w:r w:rsidR="005E1B2A">
        <w:t> </w:t>
      </w:r>
      <w:r w:rsidR="000E3630">
        <w:t>p</w:t>
      </w:r>
      <w:r w:rsidR="005D0F8D">
        <w:t>etición de información adicional de conformidad con el artículo 30</w:t>
      </w:r>
      <w:r w:rsidR="00FF36D3">
        <w:t xml:space="preserve">, párrafo </w:t>
      </w:r>
      <w:r w:rsidR="005D0F8D">
        <w:t>3</w:t>
      </w:r>
      <w:r w:rsidR="00FF36D3">
        <w:t>,</w:t>
      </w:r>
      <w:r w:rsidR="005D0F8D">
        <w:t xml:space="preserve"> de la Convención, sobre las acciones de búsqueda desarrolladas y sobre la implementación de las medidas cautelares;</w:t>
      </w:r>
      <w:r w:rsidR="000E3630">
        <w:t xml:space="preserve"> ii)</w:t>
      </w:r>
      <w:r w:rsidR="005E1B2A">
        <w:t> </w:t>
      </w:r>
      <w:r w:rsidR="000E3630">
        <w:t>r</w:t>
      </w:r>
      <w:r w:rsidR="005D0F8D">
        <w:t>eiteración de varias de las recomendaciones anteriores del Comité;</w:t>
      </w:r>
      <w:r w:rsidR="000E3630">
        <w:t xml:space="preserve"> y</w:t>
      </w:r>
      <w:r w:rsidR="005E1B2A">
        <w:t> </w:t>
      </w:r>
      <w:r w:rsidR="000E3630">
        <w:t>iii)</w:t>
      </w:r>
      <w:r w:rsidR="005E1B2A">
        <w:t> </w:t>
      </w:r>
      <w:r w:rsidR="000E3630">
        <w:t>e</w:t>
      </w:r>
      <w:r w:rsidR="009516BD">
        <w:t xml:space="preserve">xpresión del apoyo del Comité </w:t>
      </w:r>
      <w:r w:rsidR="0043028E">
        <w:t xml:space="preserve">a </w:t>
      </w:r>
      <w:r w:rsidR="002C27B0">
        <w:t>los</w:t>
      </w:r>
      <w:r w:rsidR="009516BD">
        <w:t xml:space="preserve"> </w:t>
      </w:r>
      <w:r w:rsidR="005D0F8D" w:rsidRPr="005D0F8D">
        <w:t>elementos mínimos</w:t>
      </w:r>
      <w:r w:rsidR="002C27B0">
        <w:t xml:space="preserve"> generales que fueron</w:t>
      </w:r>
      <w:r w:rsidR="005D0F8D" w:rsidRPr="005D0F8D">
        <w:t xml:space="preserve"> identificados por la Comisión Interamericana de Derechos Humanos</w:t>
      </w:r>
      <w:r w:rsidR="009516BD">
        <w:t xml:space="preserve">, resaltando que son necesarios para que el mecanismo de seguimiento permita al Estado parte </w:t>
      </w:r>
      <w:r w:rsidR="009516BD" w:rsidRPr="009516BD">
        <w:t>cumplir con sus obligaciones internacionales, incluidas aquellas que surgen de la Convención</w:t>
      </w:r>
      <w:r w:rsidR="00585B7B">
        <w:t>;</w:t>
      </w:r>
    </w:p>
    <w:p w:rsidR="006B3183" w:rsidRPr="00F63E01" w:rsidRDefault="00D31E18" w:rsidP="009C493C">
      <w:pPr>
        <w:pStyle w:val="SingleTxtG"/>
      </w:pPr>
      <w:r>
        <w:tab/>
      </w:r>
      <w:r w:rsidR="002D3E82">
        <w:t>m)</w:t>
      </w:r>
      <w:r w:rsidR="002D3E82">
        <w:tab/>
      </w:r>
      <w:r w:rsidR="0033221C" w:rsidRPr="009C493C">
        <w:rPr>
          <w:iCs/>
        </w:rPr>
        <w:t>Peticiones al Comité</w:t>
      </w:r>
      <w:r w:rsidR="0043028E" w:rsidRPr="009C493C">
        <w:rPr>
          <w:iCs/>
        </w:rPr>
        <w:t xml:space="preserve"> de realizar visitas</w:t>
      </w:r>
      <w:r w:rsidR="00F63E01" w:rsidRPr="009C493C">
        <w:rPr>
          <w:iCs/>
        </w:rPr>
        <w:t>:</w:t>
      </w:r>
      <w:r w:rsidR="00F63E01">
        <w:rPr>
          <w:i/>
        </w:rPr>
        <w:t xml:space="preserve"> </w:t>
      </w:r>
      <w:r w:rsidR="00F63E01" w:rsidRPr="00F63E01">
        <w:t>e</w:t>
      </w:r>
      <w:r w:rsidR="0033221C" w:rsidRPr="00F63E01">
        <w:t xml:space="preserve">n varias de las acciones urgentes relacionadas </w:t>
      </w:r>
      <w:r w:rsidR="0043028E" w:rsidRPr="00F63E01">
        <w:t xml:space="preserve">con </w:t>
      </w:r>
      <w:r w:rsidR="0033221C" w:rsidRPr="00F63E01">
        <w:t xml:space="preserve">desapariciones ocurridas en México, los autores de las peticiones pidieron al </w:t>
      </w:r>
      <w:r w:rsidR="00390634" w:rsidRPr="00F63E01">
        <w:t>Comité que realice de forma urgente</w:t>
      </w:r>
      <w:r w:rsidR="0033221C" w:rsidRPr="00F63E01">
        <w:t xml:space="preserve"> una visita al Estado parte</w:t>
      </w:r>
      <w:r w:rsidR="0043028E" w:rsidRPr="00F63E01">
        <w:t>,</w:t>
      </w:r>
      <w:r w:rsidR="0033221C" w:rsidRPr="00F63E01">
        <w:t xml:space="preserve"> en aplicación del artículo 3</w:t>
      </w:r>
      <w:r w:rsidR="00390634" w:rsidRPr="00F63E01">
        <w:t>3</w:t>
      </w:r>
      <w:r w:rsidR="0033221C" w:rsidRPr="00F63E01">
        <w:t xml:space="preserve">, o que active el mecanismo del artículo 34 de la Convención. </w:t>
      </w:r>
      <w:r w:rsidR="004409F3" w:rsidRPr="00F63E01">
        <w:t>Una visita</w:t>
      </w:r>
      <w:r w:rsidR="00EB6231" w:rsidRPr="00F63E01">
        <w:t xml:space="preserve"> en virtud del artículo 33 de la Convención</w:t>
      </w:r>
      <w:r w:rsidR="004409F3" w:rsidRPr="00F63E01">
        <w:t xml:space="preserve"> ha sido requerida al Estado parte </w:t>
      </w:r>
      <w:r w:rsidR="00EB6231" w:rsidRPr="00F63E01">
        <w:t>desde el 14 de mayo de 2013. En vista de la falta de respuesta</w:t>
      </w:r>
      <w:r w:rsidR="00244594" w:rsidRPr="00F63E01">
        <w:t xml:space="preserve"> firme</w:t>
      </w:r>
      <w:r w:rsidR="00EB6231" w:rsidRPr="00F63E01">
        <w:t xml:space="preserve"> del Estado parte, el Comité ha reiterado su solicitud de visita </w:t>
      </w:r>
      <w:r w:rsidR="006B3183" w:rsidRPr="00F63E01">
        <w:t xml:space="preserve">con fechas </w:t>
      </w:r>
      <w:r w:rsidR="00EB6231" w:rsidRPr="00F63E01">
        <w:t xml:space="preserve">6 de enero </w:t>
      </w:r>
      <w:r w:rsidR="006B3183" w:rsidRPr="00F63E01">
        <w:t xml:space="preserve">y </w:t>
      </w:r>
      <w:r w:rsidR="00EB6231" w:rsidRPr="00F63E01">
        <w:t>31 de marzo de 2014</w:t>
      </w:r>
      <w:r w:rsidR="006B3183" w:rsidRPr="00F63E01">
        <w:t>,</w:t>
      </w:r>
      <w:r w:rsidR="00EB6231" w:rsidRPr="00F63E01">
        <w:t xml:space="preserve"> y </w:t>
      </w:r>
      <w:r w:rsidR="00C30825">
        <w:t>17 de marzo de 2016. A </w:t>
      </w:r>
      <w:r w:rsidR="00EB6231" w:rsidRPr="00F63E01">
        <w:t xml:space="preserve">la fecha del presente informe, </w:t>
      </w:r>
      <w:r w:rsidR="006F7FDB" w:rsidRPr="00F63E01">
        <w:t>no se ha recibido respuesta del Estado parte</w:t>
      </w:r>
      <w:r w:rsidR="00EB6231" w:rsidRPr="00F63E01">
        <w:t>.</w:t>
      </w:r>
    </w:p>
    <w:p w:rsidR="00E2270F" w:rsidRDefault="00E2704E" w:rsidP="009C493C">
      <w:pPr>
        <w:pStyle w:val="H1G"/>
      </w:pPr>
      <w:r>
        <w:lastRenderedPageBreak/>
        <w:tab/>
      </w:r>
      <w:r w:rsidR="00541AA2">
        <w:t>I</w:t>
      </w:r>
      <w:r w:rsidR="004773D8">
        <w:t>.</w:t>
      </w:r>
      <w:r>
        <w:tab/>
      </w:r>
      <w:r w:rsidR="00E2270F" w:rsidRPr="00E90F37">
        <w:t xml:space="preserve">Acciones urgentes </w:t>
      </w:r>
      <w:r w:rsidR="0075024B">
        <w:t xml:space="preserve">discontinuadas </w:t>
      </w:r>
      <w:r w:rsidR="00E2270F" w:rsidRPr="00E90F37">
        <w:t>o cerradas</w:t>
      </w:r>
      <w:r w:rsidR="00EE5B20">
        <w:t xml:space="preserve"> </w:t>
      </w:r>
    </w:p>
    <w:p w:rsidR="00F4276E" w:rsidRDefault="00CE643D">
      <w:pPr>
        <w:pStyle w:val="SingleTxtG"/>
      </w:pPr>
      <w:r>
        <w:t>30.</w:t>
      </w:r>
      <w:r w:rsidR="00344C04">
        <w:tab/>
      </w:r>
      <w:r w:rsidR="00E012A4">
        <w:t xml:space="preserve">Desde el </w:t>
      </w:r>
      <w:r w:rsidR="00EB631A">
        <w:t xml:space="preserve">décimo </w:t>
      </w:r>
      <w:r w:rsidR="00E012A4">
        <w:t xml:space="preserve">período </w:t>
      </w:r>
      <w:r w:rsidR="00E012A4" w:rsidRPr="001E3150">
        <w:t>de</w:t>
      </w:r>
      <w:r w:rsidR="00E012A4">
        <w:t xml:space="preserve"> </w:t>
      </w:r>
      <w:r w:rsidR="00E012A4" w:rsidRPr="001E3150">
        <w:t>sesiones</w:t>
      </w:r>
      <w:r w:rsidR="00E012A4">
        <w:t xml:space="preserve">, el Comité ha cerrado </w:t>
      </w:r>
      <w:r w:rsidR="009C4C13">
        <w:t>tres</w:t>
      </w:r>
      <w:r w:rsidR="00F13CB4">
        <w:t xml:space="preserve"> acciones urgentes en las cuales las víctimas fueron </w:t>
      </w:r>
      <w:r w:rsidR="00F13CB4" w:rsidRPr="00E92A4B">
        <w:t>encontradas</w:t>
      </w:r>
      <w:r w:rsidR="00F13CB4">
        <w:t xml:space="preserve"> muertas</w:t>
      </w:r>
      <w:r w:rsidR="00E03224">
        <w:t xml:space="preserve"> o vivas</w:t>
      </w:r>
      <w:r w:rsidR="00EB4633">
        <w:t xml:space="preserve">: </w:t>
      </w:r>
      <w:r w:rsidR="009C4C13">
        <w:t>una relacionada</w:t>
      </w:r>
      <w:r w:rsidR="00F13CB4">
        <w:t xml:space="preserve"> con hechos ocurridos en México</w:t>
      </w:r>
      <w:r w:rsidR="00CB6A0A">
        <w:t>,</w:t>
      </w:r>
      <w:r w:rsidR="00EB4633">
        <w:t xml:space="preserve"> </w:t>
      </w:r>
      <w:r w:rsidR="00E03224">
        <w:t xml:space="preserve">dos </w:t>
      </w:r>
      <w:r w:rsidR="000A698D">
        <w:t xml:space="preserve">en </w:t>
      </w:r>
      <w:r w:rsidR="00170820">
        <w:t xml:space="preserve">el </w:t>
      </w:r>
      <w:r w:rsidR="000A698D">
        <w:t xml:space="preserve">Iraq </w:t>
      </w:r>
      <w:r w:rsidR="00EB4633">
        <w:t xml:space="preserve">y una en Marruecos. </w:t>
      </w:r>
      <w:r w:rsidR="00E03224">
        <w:t xml:space="preserve">Otra acción urgente fue </w:t>
      </w:r>
      <w:r w:rsidR="0075024B">
        <w:t xml:space="preserve">discontinuada </w:t>
      </w:r>
      <w:r w:rsidR="00E03224">
        <w:t>tras la identificación del lugar de detención de la persona desaparecida</w:t>
      </w:r>
      <w:r w:rsidR="0046309F">
        <w:t>.</w:t>
      </w:r>
    </w:p>
    <w:p w:rsidR="00CB6A0A" w:rsidRDefault="00CE643D">
      <w:pPr>
        <w:pStyle w:val="SingleTxtG"/>
      </w:pPr>
      <w:r>
        <w:t>31.</w:t>
      </w:r>
      <w:r w:rsidR="005E1B2A">
        <w:tab/>
      </w:r>
      <w:r w:rsidR="00EB4633">
        <w:t xml:space="preserve">Dichas decisiones fueron adoptadas </w:t>
      </w:r>
      <w:r w:rsidR="00CB6A0A">
        <w:t xml:space="preserve">de conformidad con los criterios adoptados en plenaria por el Comité con ocasión de su </w:t>
      </w:r>
      <w:r w:rsidR="00EB631A">
        <w:t xml:space="preserve">octavo </w:t>
      </w:r>
      <w:r w:rsidR="00CB6A0A">
        <w:t>per</w:t>
      </w:r>
      <w:r w:rsidR="00EB631A">
        <w:t>í</w:t>
      </w:r>
      <w:r w:rsidR="00CB6A0A">
        <w:t>odo de sesiones:</w:t>
      </w:r>
    </w:p>
    <w:p w:rsidR="00CB6A0A" w:rsidRDefault="00D31E18">
      <w:pPr>
        <w:pStyle w:val="SingleTxtG"/>
      </w:pPr>
      <w:r>
        <w:tab/>
      </w:r>
      <w:r w:rsidR="00CB6A0A">
        <w:t>a)</w:t>
      </w:r>
      <w:r w:rsidR="00CB6A0A">
        <w:tab/>
        <w:t xml:space="preserve">Se </w:t>
      </w:r>
      <w:r w:rsidR="0075024B">
        <w:t xml:space="preserve">discontinúa </w:t>
      </w:r>
      <w:r w:rsidR="00CB6A0A">
        <w:t>una acción urgente cuando la persona desaparecida ha sido ubicada, pero sigue detenida</w:t>
      </w:r>
      <w:r w:rsidR="00EB08BD">
        <w:t>;</w:t>
      </w:r>
    </w:p>
    <w:p w:rsidR="00EB631A" w:rsidRDefault="00D31E18" w:rsidP="009C493C">
      <w:pPr>
        <w:pStyle w:val="SingleTxtG"/>
      </w:pPr>
      <w:r>
        <w:tab/>
      </w:r>
      <w:r w:rsidR="00CB6A0A">
        <w:t>b)</w:t>
      </w:r>
      <w:r w:rsidR="00CB6A0A">
        <w:tab/>
        <w:t xml:space="preserve">Se cierra </w:t>
      </w:r>
      <w:r w:rsidR="000E3630">
        <w:t xml:space="preserve">una </w:t>
      </w:r>
      <w:r w:rsidR="00CB6A0A">
        <w:t xml:space="preserve">acción urgente cuando la persona desaparecida ha sido ubicada y </w:t>
      </w:r>
      <w:r w:rsidR="00F4276E">
        <w:t>puesta en libertad</w:t>
      </w:r>
      <w:r w:rsidR="00CB6A0A">
        <w:t>, o ha sido ubicada muerta</w:t>
      </w:r>
      <w:r w:rsidR="00EB08BD">
        <w:t>;</w:t>
      </w:r>
    </w:p>
    <w:p w:rsidR="00E03224" w:rsidRDefault="00EB08BD" w:rsidP="009C493C">
      <w:pPr>
        <w:pStyle w:val="SingleTxtG"/>
      </w:pPr>
      <w:r>
        <w:tab/>
      </w:r>
      <w:r w:rsidR="00CB6A0A">
        <w:t>c)</w:t>
      </w:r>
      <w:r w:rsidR="00CB6A0A">
        <w:tab/>
        <w:t xml:space="preserve">Se mantiene </w:t>
      </w:r>
      <w:r w:rsidR="00F4276E">
        <w:t xml:space="preserve">abierta una </w:t>
      </w:r>
      <w:r w:rsidR="00CB6A0A">
        <w:t>acción urgente si la persona desaparecida ha sido ubicada, pero las personas a favor de las cuales se ha</w:t>
      </w:r>
      <w:r w:rsidR="00F4276E">
        <w:t>bía</w:t>
      </w:r>
      <w:r w:rsidR="00CB6A0A">
        <w:t>n otorgado medidas cautelares en el contexto de la acción urgente siguen amenazadas</w:t>
      </w:r>
      <w:r w:rsidR="00F13CB4">
        <w:t>.</w:t>
      </w:r>
      <w:r w:rsidR="00E03224">
        <w:t xml:space="preserve"> </w:t>
      </w:r>
    </w:p>
    <w:p w:rsidR="00EB631A" w:rsidRDefault="00CE643D" w:rsidP="009C493C">
      <w:pPr>
        <w:pStyle w:val="SingleTxtG"/>
        <w:suppressAutoHyphens/>
        <w:spacing w:before="240" w:after="0"/>
      </w:pPr>
      <w:r>
        <w:t>32.</w:t>
      </w:r>
      <w:r w:rsidR="00EE5B20">
        <w:tab/>
      </w:r>
      <w:r w:rsidR="00E012A4" w:rsidRPr="00A9166B">
        <w:t>Por lo tanto, a</w:t>
      </w:r>
      <w:r w:rsidR="00043BCB" w:rsidRPr="00A9166B">
        <w:t xml:space="preserve"> la fecha de la presente nota, el Comité ha </w:t>
      </w:r>
      <w:r w:rsidR="0075024B">
        <w:t xml:space="preserve">discontinuado </w:t>
      </w:r>
      <w:r w:rsidR="00043BCB" w:rsidRPr="00A9166B">
        <w:t>dos acciones urgentes</w:t>
      </w:r>
      <w:r w:rsidR="00EB4FA6">
        <w:t xml:space="preserve"> relacionadas con personas desaparecidas que fueron ubicadas pero quedan en detención y ha cerrado </w:t>
      </w:r>
      <w:r w:rsidR="000E30BE">
        <w:t>cinco</w:t>
      </w:r>
      <w:r w:rsidR="00EB4FA6">
        <w:t xml:space="preserve"> acciones urgentes relacionadas con personas desaparecidas que fueron ubicadas vivas y </w:t>
      </w:r>
      <w:r w:rsidR="00760E1C">
        <w:t>puestas en libertad</w:t>
      </w:r>
      <w:r w:rsidR="000E3630">
        <w:t xml:space="preserve"> (tres casos)</w:t>
      </w:r>
      <w:r w:rsidR="00EB4FA6">
        <w:t>, o fueron ubicadas muertas</w:t>
      </w:r>
      <w:r w:rsidR="000E30BE">
        <w:t xml:space="preserve"> (dos</w:t>
      </w:r>
      <w:r w:rsidR="005E1B2A">
        <w:t> </w:t>
      </w:r>
      <w:r w:rsidR="000E30BE">
        <w:t>casos)</w:t>
      </w:r>
      <w:r w:rsidR="00EB4FA6">
        <w:t xml:space="preserve">. </w:t>
      </w:r>
    </w:p>
    <w:p w:rsidR="00E2270F" w:rsidRPr="000E30BE" w:rsidRDefault="00E2270F">
      <w:pPr>
        <w:pStyle w:val="SingleTxtG"/>
        <w:suppressAutoHyphens/>
        <w:spacing w:before="240" w:after="0"/>
        <w:jc w:val="center"/>
        <w:rPr>
          <w:u w:val="single"/>
        </w:rPr>
      </w:pPr>
      <w:r w:rsidRPr="000E30BE">
        <w:rPr>
          <w:u w:val="single"/>
        </w:rPr>
        <w:tab/>
      </w:r>
      <w:r w:rsidRPr="000E30BE">
        <w:rPr>
          <w:u w:val="single"/>
        </w:rPr>
        <w:tab/>
      </w:r>
      <w:r w:rsidRPr="000E30BE">
        <w:rPr>
          <w:u w:val="single"/>
        </w:rPr>
        <w:tab/>
      </w:r>
    </w:p>
    <w:sectPr w:rsidR="00E2270F" w:rsidRPr="000E30BE" w:rsidSect="00512BBD">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2C" w:rsidRDefault="00022E2C">
      <w:r>
        <w:separator/>
      </w:r>
    </w:p>
  </w:endnote>
  <w:endnote w:type="continuationSeparator" w:id="0">
    <w:p w:rsidR="00022E2C" w:rsidRDefault="0002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8B" w:rsidRPr="006F4F13" w:rsidRDefault="00C4008B" w:rsidP="006F4F13">
    <w:pPr>
      <w:pStyle w:val="Piedepgina"/>
      <w:tabs>
        <w:tab w:val="right" w:pos="9638"/>
      </w:tabs>
    </w:pPr>
    <w:r w:rsidRPr="006F4F13">
      <w:rPr>
        <w:b/>
        <w:sz w:val="18"/>
      </w:rPr>
      <w:fldChar w:fldCharType="begin"/>
    </w:r>
    <w:r w:rsidRPr="006F4F13">
      <w:rPr>
        <w:b/>
        <w:sz w:val="18"/>
      </w:rPr>
      <w:instrText xml:space="preserve"> PAGE  \* MERGEFORMAT </w:instrText>
    </w:r>
    <w:r w:rsidRPr="006F4F13">
      <w:rPr>
        <w:b/>
        <w:sz w:val="18"/>
      </w:rPr>
      <w:fldChar w:fldCharType="separate"/>
    </w:r>
    <w:r w:rsidR="008032C8">
      <w:rPr>
        <w:b/>
        <w:noProof/>
        <w:sz w:val="18"/>
      </w:rPr>
      <w:t>10</w:t>
    </w:r>
    <w:r w:rsidRPr="006F4F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8B" w:rsidRPr="006F4F13" w:rsidRDefault="00C4008B" w:rsidP="006F4F13">
    <w:pPr>
      <w:pStyle w:val="Piedepgina"/>
      <w:tabs>
        <w:tab w:val="right" w:pos="9638"/>
      </w:tabs>
      <w:rPr>
        <w:b/>
        <w:sz w:val="18"/>
      </w:rPr>
    </w:pPr>
    <w:r>
      <w:tab/>
    </w:r>
    <w:r w:rsidRPr="006F4F13">
      <w:rPr>
        <w:b/>
        <w:sz w:val="18"/>
      </w:rPr>
      <w:fldChar w:fldCharType="begin"/>
    </w:r>
    <w:r w:rsidRPr="006F4F13">
      <w:rPr>
        <w:b/>
        <w:sz w:val="18"/>
      </w:rPr>
      <w:instrText xml:space="preserve"> PAGE  \* MERGEFORMAT </w:instrText>
    </w:r>
    <w:r w:rsidRPr="006F4F13">
      <w:rPr>
        <w:b/>
        <w:sz w:val="18"/>
      </w:rPr>
      <w:fldChar w:fldCharType="separate"/>
    </w:r>
    <w:r w:rsidR="008032C8">
      <w:rPr>
        <w:b/>
        <w:noProof/>
        <w:sz w:val="18"/>
      </w:rPr>
      <w:t>11</w:t>
    </w:r>
    <w:r w:rsidRPr="006F4F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18" w:rsidRPr="00E75418" w:rsidRDefault="00E75418" w:rsidP="00E75418">
    <w:pPr>
      <w:pStyle w:val="Piedepgina"/>
      <w:spacing w:before="120" w:line="240" w:lineRule="auto"/>
      <w:rPr>
        <w:sz w:val="20"/>
      </w:rPr>
    </w:pPr>
    <w:proofErr w:type="spellStart"/>
    <w:r>
      <w:rPr>
        <w:sz w:val="20"/>
      </w:rPr>
      <w:t>GE.16</w:t>
    </w:r>
    <w:proofErr w:type="spellEnd"/>
    <w:r>
      <w:rPr>
        <w:sz w:val="20"/>
      </w:rPr>
      <w:t>-</w:t>
    </w:r>
    <w:proofErr w:type="gramStart"/>
    <w:r>
      <w:rPr>
        <w:sz w:val="20"/>
      </w:rPr>
      <w:t>20071  (</w:t>
    </w:r>
    <w:proofErr w:type="gramEnd"/>
    <w:r>
      <w:rPr>
        <w:sz w:val="20"/>
      </w:rPr>
      <w:t>S)</w:t>
    </w:r>
    <w:r>
      <w:rPr>
        <w:sz w:val="20"/>
      </w:rPr>
      <w:br/>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sz w:val="56"/>
      </w:rPr>
      <w:t></w:t>
    </w:r>
    <w:r w:rsidRPr="00E75418">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ED/C/1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2C" w:rsidRPr="001075E9" w:rsidRDefault="00022E2C" w:rsidP="001075E9">
      <w:pPr>
        <w:tabs>
          <w:tab w:val="right" w:pos="2155"/>
        </w:tabs>
        <w:spacing w:after="80" w:line="240" w:lineRule="auto"/>
        <w:ind w:left="680"/>
        <w:rPr>
          <w:u w:val="single"/>
        </w:rPr>
      </w:pPr>
      <w:r>
        <w:rPr>
          <w:u w:val="single"/>
        </w:rPr>
        <w:tab/>
      </w:r>
    </w:p>
  </w:footnote>
  <w:footnote w:type="continuationSeparator" w:id="0">
    <w:p w:rsidR="00022E2C" w:rsidRDefault="00022E2C" w:rsidP="00407B78">
      <w:pPr>
        <w:tabs>
          <w:tab w:val="right" w:pos="2155"/>
        </w:tabs>
        <w:spacing w:after="80"/>
        <w:ind w:left="680"/>
        <w:rPr>
          <w:u w:val="single"/>
        </w:rPr>
      </w:pPr>
      <w:r>
        <w:rPr>
          <w:u w:val="single"/>
        </w:rPr>
        <w:tab/>
      </w:r>
    </w:p>
  </w:footnote>
  <w:footnote w:id="1">
    <w:p w:rsidR="00512BBD" w:rsidRPr="00EE09F3" w:rsidRDefault="00512BBD">
      <w:pPr>
        <w:pStyle w:val="Textonotapie"/>
        <w:rPr>
          <w:lang w:val="es-ES"/>
        </w:rPr>
      </w:pPr>
      <w:r w:rsidRPr="00EE09F3">
        <w:rPr>
          <w:rStyle w:val="Refdenotaalpie"/>
          <w:lang w:val="es-ES"/>
        </w:rPr>
        <w:tab/>
      </w:r>
      <w:r w:rsidRPr="00EE09F3">
        <w:rPr>
          <w:rStyle w:val="Refdenotaalpie"/>
          <w:sz w:val="20"/>
          <w:vertAlign w:val="baseline"/>
          <w:lang w:val="es-ES"/>
        </w:rPr>
        <w:t>*</w:t>
      </w:r>
      <w:r w:rsidRPr="00EE09F3">
        <w:rPr>
          <w:rStyle w:val="Refdenotaalpie"/>
          <w:sz w:val="20"/>
          <w:vertAlign w:val="baseline"/>
          <w:lang w:val="es-ES"/>
        </w:rPr>
        <w:tab/>
      </w:r>
      <w:r w:rsidRPr="00EE09F3">
        <w:rPr>
          <w:lang w:val="es-ES"/>
        </w:rPr>
        <w:t>Adoptado por el Comité en su 11º período de sesiones (3 a 14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8B" w:rsidRPr="006F4F13" w:rsidRDefault="00C4008B">
    <w:pPr>
      <w:pStyle w:val="Encabezado"/>
    </w:pPr>
    <w:r>
      <w:t>CED/C/11/3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8B" w:rsidRPr="006F4F13" w:rsidRDefault="00C4008B" w:rsidP="006F4F13">
    <w:pPr>
      <w:pStyle w:val="Encabezado"/>
      <w:jc w:val="right"/>
    </w:pPr>
    <w:r>
      <w:t>CED/C/11/3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B4F0BAD"/>
    <w:multiLevelType w:val="hybridMultilevel"/>
    <w:tmpl w:val="8514EEDC"/>
    <w:lvl w:ilvl="0" w:tplc="141AA460">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E715F3"/>
    <w:multiLevelType w:val="hybridMultilevel"/>
    <w:tmpl w:val="7EDC3E1A"/>
    <w:lvl w:ilvl="0" w:tplc="E77E5F5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39E43A0"/>
    <w:multiLevelType w:val="hybridMultilevel"/>
    <w:tmpl w:val="1B60B1F2"/>
    <w:lvl w:ilvl="0" w:tplc="B38EC5E2">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7E85508"/>
    <w:multiLevelType w:val="hybridMultilevel"/>
    <w:tmpl w:val="9196AC06"/>
    <w:lvl w:ilvl="0" w:tplc="E77E5F5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C9D5DFA"/>
    <w:multiLevelType w:val="hybridMultilevel"/>
    <w:tmpl w:val="01940BF6"/>
    <w:lvl w:ilvl="0" w:tplc="B38EC5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25F4481B"/>
    <w:multiLevelType w:val="hybridMultilevel"/>
    <w:tmpl w:val="9F4E1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90A8F"/>
    <w:multiLevelType w:val="hybridMultilevel"/>
    <w:tmpl w:val="E1982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8D34406"/>
    <w:multiLevelType w:val="hybridMultilevel"/>
    <w:tmpl w:val="D9B4619A"/>
    <w:lvl w:ilvl="0" w:tplc="E77E5F5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47E667E"/>
    <w:multiLevelType w:val="hybridMultilevel"/>
    <w:tmpl w:val="58F4207C"/>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0">
    <w:nsid w:val="5028480E"/>
    <w:multiLevelType w:val="hybridMultilevel"/>
    <w:tmpl w:val="EC5E945C"/>
    <w:lvl w:ilvl="0" w:tplc="E77E5F5E">
      <w:start w:val="1"/>
      <w:numFmt w:val="bullet"/>
      <w:lvlText w:val="•"/>
      <w:lvlJc w:val="left"/>
      <w:pPr>
        <w:ind w:left="2628" w:hanging="360"/>
      </w:pPr>
      <w:rPr>
        <w:rFonts w:ascii="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nsid w:val="53070475"/>
    <w:multiLevelType w:val="hybridMultilevel"/>
    <w:tmpl w:val="3316613C"/>
    <w:lvl w:ilvl="0" w:tplc="E77E5F5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5B5E5FA6"/>
    <w:multiLevelType w:val="hybridMultilevel"/>
    <w:tmpl w:val="3A7E4F10"/>
    <w:lvl w:ilvl="0" w:tplc="E77E5F5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D0C6CC8"/>
    <w:multiLevelType w:val="hybridMultilevel"/>
    <w:tmpl w:val="A1524876"/>
    <w:lvl w:ilvl="0" w:tplc="B52E4B0C">
      <w:start w:val="55"/>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4DD4BD7"/>
    <w:multiLevelType w:val="multilevel"/>
    <w:tmpl w:val="8E8AB9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E86C3A"/>
    <w:multiLevelType w:val="multilevel"/>
    <w:tmpl w:val="79645A2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AFD3DE4"/>
    <w:multiLevelType w:val="hybridMultilevel"/>
    <w:tmpl w:val="5FC23500"/>
    <w:lvl w:ilvl="0" w:tplc="E77E5F5E">
      <w:start w:val="1"/>
      <w:numFmt w:val="bullet"/>
      <w:lvlText w:val="•"/>
      <w:lvlJc w:val="left"/>
      <w:pPr>
        <w:tabs>
          <w:tab w:val="num" w:pos="2381"/>
        </w:tabs>
        <w:ind w:left="2381" w:hanging="170"/>
      </w:pPr>
      <w:rPr>
        <w:rFonts w:ascii="Times New Roman" w:hAnsi="Times New Roman" w:cs="Times New Roman" w:hint="default"/>
      </w:rPr>
    </w:lvl>
    <w:lvl w:ilvl="1" w:tplc="0C0A0003">
      <w:start w:val="1"/>
      <w:numFmt w:val="bullet"/>
      <w:lvlText w:val="o"/>
      <w:lvlJc w:val="left"/>
      <w:pPr>
        <w:tabs>
          <w:tab w:val="num" w:pos="2120"/>
        </w:tabs>
        <w:ind w:left="2120" w:hanging="360"/>
      </w:pPr>
      <w:rPr>
        <w:rFonts w:ascii="Courier New" w:hAnsi="Courier New" w:hint="default"/>
      </w:rPr>
    </w:lvl>
    <w:lvl w:ilvl="2" w:tplc="B8C29212">
      <w:start w:val="1"/>
      <w:numFmt w:val="lowerLetter"/>
      <w:lvlText w:val="%3."/>
      <w:lvlJc w:val="left"/>
      <w:pPr>
        <w:tabs>
          <w:tab w:val="num" w:pos="3195"/>
        </w:tabs>
        <w:ind w:left="3195" w:hanging="360"/>
      </w:pPr>
      <w:rPr>
        <w:rFonts w:hint="default"/>
      </w:rPr>
    </w:lvl>
    <w:lvl w:ilvl="3" w:tplc="0C0A000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28">
    <w:nsid w:val="71743C6C"/>
    <w:multiLevelType w:val="hybridMultilevel"/>
    <w:tmpl w:val="36803D5C"/>
    <w:lvl w:ilvl="0" w:tplc="9DD8ECDC">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717D19D7"/>
    <w:multiLevelType w:val="multilevel"/>
    <w:tmpl w:val="10FCE93C"/>
    <w:lvl w:ilvl="0">
      <w:start w:val="1"/>
      <w:numFmt w:val="bullet"/>
      <w:pStyle w:val="AIBulletList"/>
      <w:lvlText w:val=""/>
      <w:lvlJc w:val="left"/>
      <w:pPr>
        <w:tabs>
          <w:tab w:val="num" w:pos="357"/>
        </w:tabs>
        <w:ind w:left="357" w:hanging="357"/>
      </w:pPr>
      <w:rPr>
        <w:rFonts w:ascii="Wingdings" w:hAnsi="Wingdings" w:cs="Times New Roman" w:hint="default"/>
        <w:b/>
        <w:i w:val="0"/>
        <w:color w:val="999999"/>
        <w:sz w:val="15"/>
        <w:szCs w:val="14"/>
      </w:rPr>
    </w:lvl>
    <w:lvl w:ilvl="1">
      <w:start w:val="1"/>
      <w:numFmt w:val="bullet"/>
      <w:lvlText w:val=""/>
      <w:lvlJc w:val="left"/>
      <w:pPr>
        <w:tabs>
          <w:tab w:val="num" w:pos="357"/>
        </w:tabs>
        <w:ind w:left="714" w:hanging="354"/>
      </w:pPr>
      <w:rPr>
        <w:rFonts w:ascii="Wingdings" w:hAnsi="Wingdings" w:cs="Times New Roman" w:hint="default"/>
        <w:b/>
        <w:i w:val="0"/>
        <w:color w:val="999999"/>
        <w:sz w:val="15"/>
        <w:szCs w:val="14"/>
      </w:rPr>
    </w:lvl>
    <w:lvl w:ilvl="2">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3">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4">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5">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6">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7">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8">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7"/>
  </w:num>
  <w:num w:numId="3">
    <w:abstractNumId w:val="31"/>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8"/>
  </w:num>
  <w:num w:numId="18">
    <w:abstractNumId w:val="16"/>
  </w:num>
  <w:num w:numId="19">
    <w:abstractNumId w:val="10"/>
  </w:num>
  <w:num w:numId="20">
    <w:abstractNumId w:val="14"/>
  </w:num>
  <w:num w:numId="21">
    <w:abstractNumId w:val="12"/>
  </w:num>
  <w:num w:numId="22">
    <w:abstractNumId w:val="23"/>
  </w:num>
  <w:num w:numId="23">
    <w:abstractNumId w:val="25"/>
  </w:num>
  <w:num w:numId="24">
    <w:abstractNumId w:val="26"/>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1"/>
  </w:num>
  <w:num w:numId="35">
    <w:abstractNumId w:val="11"/>
  </w:num>
  <w:num w:numId="36">
    <w:abstractNumId w:val="13"/>
  </w:num>
  <w:num w:numId="37">
    <w:abstractNumId w:val="22"/>
  </w:num>
  <w:num w:numId="38">
    <w:abstractNumId w:val="18"/>
  </w:num>
  <w:num w:numId="39">
    <w:abstractNumId w:val="20"/>
  </w:num>
  <w:num w:numId="40">
    <w:abstractNumId w:val="15"/>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13"/>
    <w:rsid w:val="00007784"/>
    <w:rsid w:val="00013B07"/>
    <w:rsid w:val="00016189"/>
    <w:rsid w:val="00022E2C"/>
    <w:rsid w:val="00024918"/>
    <w:rsid w:val="00026B67"/>
    <w:rsid w:val="0003014B"/>
    <w:rsid w:val="00033437"/>
    <w:rsid w:val="00033EE1"/>
    <w:rsid w:val="00035A1C"/>
    <w:rsid w:val="000401B3"/>
    <w:rsid w:val="000417D3"/>
    <w:rsid w:val="00042B72"/>
    <w:rsid w:val="00042FCB"/>
    <w:rsid w:val="00043BCB"/>
    <w:rsid w:val="0004427C"/>
    <w:rsid w:val="000454A8"/>
    <w:rsid w:val="00046AD0"/>
    <w:rsid w:val="000558BD"/>
    <w:rsid w:val="000626D7"/>
    <w:rsid w:val="00063858"/>
    <w:rsid w:val="00064720"/>
    <w:rsid w:val="000667B0"/>
    <w:rsid w:val="00074DFA"/>
    <w:rsid w:val="00077B7B"/>
    <w:rsid w:val="00077B9C"/>
    <w:rsid w:val="00080EB8"/>
    <w:rsid w:val="00091349"/>
    <w:rsid w:val="000A698D"/>
    <w:rsid w:val="000B42C4"/>
    <w:rsid w:val="000B57E7"/>
    <w:rsid w:val="000B6373"/>
    <w:rsid w:val="000B797B"/>
    <w:rsid w:val="000C3891"/>
    <w:rsid w:val="000C5C1F"/>
    <w:rsid w:val="000D6C08"/>
    <w:rsid w:val="000D7567"/>
    <w:rsid w:val="000D7E24"/>
    <w:rsid w:val="000E0ACB"/>
    <w:rsid w:val="000E0F32"/>
    <w:rsid w:val="000E30BE"/>
    <w:rsid w:val="000E3630"/>
    <w:rsid w:val="000E6304"/>
    <w:rsid w:val="000F09DF"/>
    <w:rsid w:val="000F13C1"/>
    <w:rsid w:val="000F5111"/>
    <w:rsid w:val="000F61B2"/>
    <w:rsid w:val="00102D8D"/>
    <w:rsid w:val="00105715"/>
    <w:rsid w:val="001071E0"/>
    <w:rsid w:val="001075E9"/>
    <w:rsid w:val="001130F8"/>
    <w:rsid w:val="0011483C"/>
    <w:rsid w:val="0011635A"/>
    <w:rsid w:val="001218B5"/>
    <w:rsid w:val="001268B9"/>
    <w:rsid w:val="001312D2"/>
    <w:rsid w:val="001315B8"/>
    <w:rsid w:val="0013739D"/>
    <w:rsid w:val="00144077"/>
    <w:rsid w:val="001473D5"/>
    <w:rsid w:val="00150E1D"/>
    <w:rsid w:val="00153975"/>
    <w:rsid w:val="00154770"/>
    <w:rsid w:val="00156B36"/>
    <w:rsid w:val="00170820"/>
    <w:rsid w:val="00174D67"/>
    <w:rsid w:val="00177C5F"/>
    <w:rsid w:val="00180183"/>
    <w:rsid w:val="00183A63"/>
    <w:rsid w:val="0018649F"/>
    <w:rsid w:val="001873EE"/>
    <w:rsid w:val="00187F0A"/>
    <w:rsid w:val="001929BD"/>
    <w:rsid w:val="00193276"/>
    <w:rsid w:val="00196389"/>
    <w:rsid w:val="001A5907"/>
    <w:rsid w:val="001A6A46"/>
    <w:rsid w:val="001B1867"/>
    <w:rsid w:val="001B2DF9"/>
    <w:rsid w:val="001B3886"/>
    <w:rsid w:val="001B3EF6"/>
    <w:rsid w:val="001B5584"/>
    <w:rsid w:val="001C1BCC"/>
    <w:rsid w:val="001C5CD2"/>
    <w:rsid w:val="001C7A89"/>
    <w:rsid w:val="001D4C12"/>
    <w:rsid w:val="001D59FF"/>
    <w:rsid w:val="001E02D3"/>
    <w:rsid w:val="001E14EA"/>
    <w:rsid w:val="001E3150"/>
    <w:rsid w:val="001F04F2"/>
    <w:rsid w:val="001F0FA6"/>
    <w:rsid w:val="001F148E"/>
    <w:rsid w:val="001F1A89"/>
    <w:rsid w:val="001F64EF"/>
    <w:rsid w:val="001F7D17"/>
    <w:rsid w:val="00200DB1"/>
    <w:rsid w:val="00203E62"/>
    <w:rsid w:val="0020518E"/>
    <w:rsid w:val="00205900"/>
    <w:rsid w:val="00207574"/>
    <w:rsid w:val="0021027C"/>
    <w:rsid w:val="002104A4"/>
    <w:rsid w:val="00213E89"/>
    <w:rsid w:val="002170A6"/>
    <w:rsid w:val="00217D93"/>
    <w:rsid w:val="0022053D"/>
    <w:rsid w:val="00226500"/>
    <w:rsid w:val="00231438"/>
    <w:rsid w:val="002316E9"/>
    <w:rsid w:val="00241CD6"/>
    <w:rsid w:val="00244594"/>
    <w:rsid w:val="0024480A"/>
    <w:rsid w:val="00251B93"/>
    <w:rsid w:val="00252F4C"/>
    <w:rsid w:val="0025349D"/>
    <w:rsid w:val="00253CB2"/>
    <w:rsid w:val="00271497"/>
    <w:rsid w:val="002716D6"/>
    <w:rsid w:val="00274F7B"/>
    <w:rsid w:val="002765D9"/>
    <w:rsid w:val="00286EBB"/>
    <w:rsid w:val="002928E7"/>
    <w:rsid w:val="0029317A"/>
    <w:rsid w:val="00294ACE"/>
    <w:rsid w:val="0029737F"/>
    <w:rsid w:val="00297543"/>
    <w:rsid w:val="002A2EFC"/>
    <w:rsid w:val="002B0AB5"/>
    <w:rsid w:val="002B0DF0"/>
    <w:rsid w:val="002B17E4"/>
    <w:rsid w:val="002B6507"/>
    <w:rsid w:val="002C0E18"/>
    <w:rsid w:val="002C0EB9"/>
    <w:rsid w:val="002C1943"/>
    <w:rsid w:val="002C231F"/>
    <w:rsid w:val="002C27B0"/>
    <w:rsid w:val="002C3023"/>
    <w:rsid w:val="002C70FE"/>
    <w:rsid w:val="002D1BF1"/>
    <w:rsid w:val="002D3E82"/>
    <w:rsid w:val="002D5AAC"/>
    <w:rsid w:val="002D679A"/>
    <w:rsid w:val="002E3FAE"/>
    <w:rsid w:val="002F21C0"/>
    <w:rsid w:val="002F4AF7"/>
    <w:rsid w:val="00300958"/>
    <w:rsid w:val="00301299"/>
    <w:rsid w:val="00301394"/>
    <w:rsid w:val="003058F4"/>
    <w:rsid w:val="00307FB6"/>
    <w:rsid w:val="003148BF"/>
    <w:rsid w:val="00315DFE"/>
    <w:rsid w:val="00316867"/>
    <w:rsid w:val="00317339"/>
    <w:rsid w:val="00322004"/>
    <w:rsid w:val="003313D1"/>
    <w:rsid w:val="0033146D"/>
    <w:rsid w:val="0033221C"/>
    <w:rsid w:val="003339A9"/>
    <w:rsid w:val="00337A31"/>
    <w:rsid w:val="003402C2"/>
    <w:rsid w:val="00344C04"/>
    <w:rsid w:val="0034528E"/>
    <w:rsid w:val="00347C1E"/>
    <w:rsid w:val="00350E5C"/>
    <w:rsid w:val="003534E7"/>
    <w:rsid w:val="00355E1D"/>
    <w:rsid w:val="003570CA"/>
    <w:rsid w:val="00357150"/>
    <w:rsid w:val="003574FF"/>
    <w:rsid w:val="00357553"/>
    <w:rsid w:val="0036083B"/>
    <w:rsid w:val="0036159F"/>
    <w:rsid w:val="00362BF1"/>
    <w:rsid w:val="00364C14"/>
    <w:rsid w:val="00366547"/>
    <w:rsid w:val="00372DE2"/>
    <w:rsid w:val="00375F74"/>
    <w:rsid w:val="0038001C"/>
    <w:rsid w:val="00381C24"/>
    <w:rsid w:val="003834F6"/>
    <w:rsid w:val="00386D47"/>
    <w:rsid w:val="00390634"/>
    <w:rsid w:val="00390685"/>
    <w:rsid w:val="00392828"/>
    <w:rsid w:val="00392F32"/>
    <w:rsid w:val="00394E75"/>
    <w:rsid w:val="003958D0"/>
    <w:rsid w:val="003A0133"/>
    <w:rsid w:val="003A0ADF"/>
    <w:rsid w:val="003A32C1"/>
    <w:rsid w:val="003A46B5"/>
    <w:rsid w:val="003A4BF7"/>
    <w:rsid w:val="003A7FE7"/>
    <w:rsid w:val="003B00E5"/>
    <w:rsid w:val="003C4D3A"/>
    <w:rsid w:val="003C5AFD"/>
    <w:rsid w:val="003D13D6"/>
    <w:rsid w:val="003D4D38"/>
    <w:rsid w:val="003D4EA4"/>
    <w:rsid w:val="003E0123"/>
    <w:rsid w:val="003E3F45"/>
    <w:rsid w:val="003E5565"/>
    <w:rsid w:val="003E7803"/>
    <w:rsid w:val="003E7F6A"/>
    <w:rsid w:val="003F2B01"/>
    <w:rsid w:val="003F38EF"/>
    <w:rsid w:val="0040612E"/>
    <w:rsid w:val="00407B78"/>
    <w:rsid w:val="0041207F"/>
    <w:rsid w:val="004133EA"/>
    <w:rsid w:val="00414228"/>
    <w:rsid w:val="00414B3D"/>
    <w:rsid w:val="004211A0"/>
    <w:rsid w:val="0042299F"/>
    <w:rsid w:val="00424203"/>
    <w:rsid w:val="0043028E"/>
    <w:rsid w:val="004347CD"/>
    <w:rsid w:val="00434FD5"/>
    <w:rsid w:val="004409F3"/>
    <w:rsid w:val="004439E6"/>
    <w:rsid w:val="00443B86"/>
    <w:rsid w:val="00444F00"/>
    <w:rsid w:val="0045119B"/>
    <w:rsid w:val="00453E28"/>
    <w:rsid w:val="00454E07"/>
    <w:rsid w:val="00455626"/>
    <w:rsid w:val="004613D1"/>
    <w:rsid w:val="00461E75"/>
    <w:rsid w:val="0046309F"/>
    <w:rsid w:val="004664C0"/>
    <w:rsid w:val="0046743F"/>
    <w:rsid w:val="00471237"/>
    <w:rsid w:val="00472574"/>
    <w:rsid w:val="004773D8"/>
    <w:rsid w:val="0048032A"/>
    <w:rsid w:val="00480367"/>
    <w:rsid w:val="00496B9E"/>
    <w:rsid w:val="004A449C"/>
    <w:rsid w:val="004C0CA8"/>
    <w:rsid w:val="004C11F9"/>
    <w:rsid w:val="004C6C08"/>
    <w:rsid w:val="004C6DDE"/>
    <w:rsid w:val="004D6E50"/>
    <w:rsid w:val="0050108D"/>
    <w:rsid w:val="00503362"/>
    <w:rsid w:val="00505532"/>
    <w:rsid w:val="00506794"/>
    <w:rsid w:val="00506A6A"/>
    <w:rsid w:val="00506A6E"/>
    <w:rsid w:val="00512BBD"/>
    <w:rsid w:val="00513081"/>
    <w:rsid w:val="005164B9"/>
    <w:rsid w:val="00516E8A"/>
    <w:rsid w:val="00517901"/>
    <w:rsid w:val="00523E75"/>
    <w:rsid w:val="00526683"/>
    <w:rsid w:val="005305A4"/>
    <w:rsid w:val="0053362F"/>
    <w:rsid w:val="0053386A"/>
    <w:rsid w:val="00541AA2"/>
    <w:rsid w:val="005420AA"/>
    <w:rsid w:val="00542B03"/>
    <w:rsid w:val="00545090"/>
    <w:rsid w:val="0055297B"/>
    <w:rsid w:val="00552C14"/>
    <w:rsid w:val="00556A7E"/>
    <w:rsid w:val="00570101"/>
    <w:rsid w:val="005709E0"/>
    <w:rsid w:val="00572E19"/>
    <w:rsid w:val="005737E6"/>
    <w:rsid w:val="00576455"/>
    <w:rsid w:val="00581E80"/>
    <w:rsid w:val="00583222"/>
    <w:rsid w:val="00583887"/>
    <w:rsid w:val="00584748"/>
    <w:rsid w:val="00585B7B"/>
    <w:rsid w:val="00587F8C"/>
    <w:rsid w:val="005944CA"/>
    <w:rsid w:val="005955C7"/>
    <w:rsid w:val="005961C8"/>
    <w:rsid w:val="005A357F"/>
    <w:rsid w:val="005B4426"/>
    <w:rsid w:val="005B5168"/>
    <w:rsid w:val="005C1D81"/>
    <w:rsid w:val="005D0F8D"/>
    <w:rsid w:val="005D1CE6"/>
    <w:rsid w:val="005D38B7"/>
    <w:rsid w:val="005D7299"/>
    <w:rsid w:val="005D7914"/>
    <w:rsid w:val="005E0755"/>
    <w:rsid w:val="005E18F4"/>
    <w:rsid w:val="005E1B2A"/>
    <w:rsid w:val="005E496B"/>
    <w:rsid w:val="005E5E7B"/>
    <w:rsid w:val="005F069F"/>
    <w:rsid w:val="005F0B42"/>
    <w:rsid w:val="005F0EC6"/>
    <w:rsid w:val="005F65D8"/>
    <w:rsid w:val="005F7D57"/>
    <w:rsid w:val="00606B85"/>
    <w:rsid w:val="006111CE"/>
    <w:rsid w:val="00612E34"/>
    <w:rsid w:val="00621189"/>
    <w:rsid w:val="0062179B"/>
    <w:rsid w:val="00621C18"/>
    <w:rsid w:val="00623204"/>
    <w:rsid w:val="00624A12"/>
    <w:rsid w:val="00627D67"/>
    <w:rsid w:val="006318A3"/>
    <w:rsid w:val="006328D9"/>
    <w:rsid w:val="00634F28"/>
    <w:rsid w:val="006352D9"/>
    <w:rsid w:val="00635A2F"/>
    <w:rsid w:val="00642338"/>
    <w:rsid w:val="006550B4"/>
    <w:rsid w:val="00655485"/>
    <w:rsid w:val="00664931"/>
    <w:rsid w:val="00677DED"/>
    <w:rsid w:val="00681903"/>
    <w:rsid w:val="00681A10"/>
    <w:rsid w:val="00685E5E"/>
    <w:rsid w:val="00686EB0"/>
    <w:rsid w:val="006871A8"/>
    <w:rsid w:val="00690ECD"/>
    <w:rsid w:val="00690F0E"/>
    <w:rsid w:val="006A0FFB"/>
    <w:rsid w:val="006A3B7D"/>
    <w:rsid w:val="006A5A92"/>
    <w:rsid w:val="006B0BCC"/>
    <w:rsid w:val="006B0F97"/>
    <w:rsid w:val="006B185A"/>
    <w:rsid w:val="006B3183"/>
    <w:rsid w:val="006C2031"/>
    <w:rsid w:val="006C380F"/>
    <w:rsid w:val="006C5DB4"/>
    <w:rsid w:val="006C760B"/>
    <w:rsid w:val="006C7C3A"/>
    <w:rsid w:val="006D461A"/>
    <w:rsid w:val="006D75BC"/>
    <w:rsid w:val="006E2B20"/>
    <w:rsid w:val="006E63AC"/>
    <w:rsid w:val="006E7C89"/>
    <w:rsid w:val="006F0B93"/>
    <w:rsid w:val="006F35EE"/>
    <w:rsid w:val="006F4F13"/>
    <w:rsid w:val="006F6DC7"/>
    <w:rsid w:val="006F7D6E"/>
    <w:rsid w:val="006F7E83"/>
    <w:rsid w:val="006F7FDB"/>
    <w:rsid w:val="007011EE"/>
    <w:rsid w:val="00702170"/>
    <w:rsid w:val="007021FF"/>
    <w:rsid w:val="007220C8"/>
    <w:rsid w:val="00722357"/>
    <w:rsid w:val="00731226"/>
    <w:rsid w:val="007415F8"/>
    <w:rsid w:val="0075024B"/>
    <w:rsid w:val="00752025"/>
    <w:rsid w:val="00753EEB"/>
    <w:rsid w:val="00757357"/>
    <w:rsid w:val="00760E1C"/>
    <w:rsid w:val="00761472"/>
    <w:rsid w:val="0076157E"/>
    <w:rsid w:val="0076705F"/>
    <w:rsid w:val="0077260B"/>
    <w:rsid w:val="0077320F"/>
    <w:rsid w:val="00774AE2"/>
    <w:rsid w:val="00782D1F"/>
    <w:rsid w:val="007A1945"/>
    <w:rsid w:val="007A1FB9"/>
    <w:rsid w:val="007A326E"/>
    <w:rsid w:val="007A4606"/>
    <w:rsid w:val="007B2D23"/>
    <w:rsid w:val="007B3F22"/>
    <w:rsid w:val="007B4204"/>
    <w:rsid w:val="007B5D77"/>
    <w:rsid w:val="007B65E1"/>
    <w:rsid w:val="007C39BD"/>
    <w:rsid w:val="007C5A7A"/>
    <w:rsid w:val="007C7CAF"/>
    <w:rsid w:val="007D24D7"/>
    <w:rsid w:val="007D4263"/>
    <w:rsid w:val="007D4EC0"/>
    <w:rsid w:val="007D6EB6"/>
    <w:rsid w:val="007E2899"/>
    <w:rsid w:val="007E4214"/>
    <w:rsid w:val="007E61AC"/>
    <w:rsid w:val="007E67ED"/>
    <w:rsid w:val="007E68E8"/>
    <w:rsid w:val="007F36DB"/>
    <w:rsid w:val="007F6486"/>
    <w:rsid w:val="0080257C"/>
    <w:rsid w:val="008027AC"/>
    <w:rsid w:val="008032C8"/>
    <w:rsid w:val="0080459F"/>
    <w:rsid w:val="00806573"/>
    <w:rsid w:val="00807524"/>
    <w:rsid w:val="008210A2"/>
    <w:rsid w:val="00825F8D"/>
    <w:rsid w:val="00827DCE"/>
    <w:rsid w:val="0083338B"/>
    <w:rsid w:val="00834B71"/>
    <w:rsid w:val="00836EA1"/>
    <w:rsid w:val="00842EEF"/>
    <w:rsid w:val="0084488B"/>
    <w:rsid w:val="0084593B"/>
    <w:rsid w:val="0084605D"/>
    <w:rsid w:val="00847DF0"/>
    <w:rsid w:val="0086445C"/>
    <w:rsid w:val="00864C16"/>
    <w:rsid w:val="00865ABF"/>
    <w:rsid w:val="00874925"/>
    <w:rsid w:val="00883C93"/>
    <w:rsid w:val="00884062"/>
    <w:rsid w:val="00886A8A"/>
    <w:rsid w:val="00893044"/>
    <w:rsid w:val="00893C7F"/>
    <w:rsid w:val="00894693"/>
    <w:rsid w:val="00894C83"/>
    <w:rsid w:val="008A08D7"/>
    <w:rsid w:val="008A1F2E"/>
    <w:rsid w:val="008A25F4"/>
    <w:rsid w:val="008A486F"/>
    <w:rsid w:val="008A67E8"/>
    <w:rsid w:val="008B23F0"/>
    <w:rsid w:val="008B38F6"/>
    <w:rsid w:val="008B6909"/>
    <w:rsid w:val="008C41C4"/>
    <w:rsid w:val="008D143B"/>
    <w:rsid w:val="008D5FEB"/>
    <w:rsid w:val="008E2101"/>
    <w:rsid w:val="008E6668"/>
    <w:rsid w:val="008E6C1B"/>
    <w:rsid w:val="008E753F"/>
    <w:rsid w:val="008F4B4E"/>
    <w:rsid w:val="008F6890"/>
    <w:rsid w:val="008F7ED3"/>
    <w:rsid w:val="009035A5"/>
    <w:rsid w:val="00906890"/>
    <w:rsid w:val="00906C2C"/>
    <w:rsid w:val="00910CF4"/>
    <w:rsid w:val="009118B6"/>
    <w:rsid w:val="00911BE4"/>
    <w:rsid w:val="0091553A"/>
    <w:rsid w:val="00917B04"/>
    <w:rsid w:val="00925B83"/>
    <w:rsid w:val="00931D65"/>
    <w:rsid w:val="00934D7E"/>
    <w:rsid w:val="00934D86"/>
    <w:rsid w:val="0094392D"/>
    <w:rsid w:val="009516BD"/>
    <w:rsid w:val="00951972"/>
    <w:rsid w:val="00960399"/>
    <w:rsid w:val="009671E0"/>
    <w:rsid w:val="0096748A"/>
    <w:rsid w:val="0097110F"/>
    <w:rsid w:val="009760E5"/>
    <w:rsid w:val="00976500"/>
    <w:rsid w:val="0098063E"/>
    <w:rsid w:val="009818F7"/>
    <w:rsid w:val="00983BB9"/>
    <w:rsid w:val="00983D16"/>
    <w:rsid w:val="00985FC8"/>
    <w:rsid w:val="00987ECF"/>
    <w:rsid w:val="00990972"/>
    <w:rsid w:val="00991D40"/>
    <w:rsid w:val="0099703D"/>
    <w:rsid w:val="009973FB"/>
    <w:rsid w:val="009A2760"/>
    <w:rsid w:val="009A4E90"/>
    <w:rsid w:val="009A5667"/>
    <w:rsid w:val="009B1938"/>
    <w:rsid w:val="009B77ED"/>
    <w:rsid w:val="009C2CF9"/>
    <w:rsid w:val="009C4579"/>
    <w:rsid w:val="009C4742"/>
    <w:rsid w:val="009C493C"/>
    <w:rsid w:val="009C4C13"/>
    <w:rsid w:val="009C6753"/>
    <w:rsid w:val="009D06F4"/>
    <w:rsid w:val="009D381A"/>
    <w:rsid w:val="009D4B38"/>
    <w:rsid w:val="009D5156"/>
    <w:rsid w:val="009D5261"/>
    <w:rsid w:val="009D6B5F"/>
    <w:rsid w:val="009D7825"/>
    <w:rsid w:val="009D7E90"/>
    <w:rsid w:val="009E2200"/>
    <w:rsid w:val="009E23D1"/>
    <w:rsid w:val="009E5F1C"/>
    <w:rsid w:val="009F2141"/>
    <w:rsid w:val="009F2359"/>
    <w:rsid w:val="00A00201"/>
    <w:rsid w:val="00A03469"/>
    <w:rsid w:val="00A079A4"/>
    <w:rsid w:val="00A135BD"/>
    <w:rsid w:val="00A16415"/>
    <w:rsid w:val="00A20DF5"/>
    <w:rsid w:val="00A216D0"/>
    <w:rsid w:val="00A24641"/>
    <w:rsid w:val="00A27A45"/>
    <w:rsid w:val="00A310AA"/>
    <w:rsid w:val="00A320DF"/>
    <w:rsid w:val="00A32A80"/>
    <w:rsid w:val="00A34B7B"/>
    <w:rsid w:val="00A36CC9"/>
    <w:rsid w:val="00A4166F"/>
    <w:rsid w:val="00A420B3"/>
    <w:rsid w:val="00A466E6"/>
    <w:rsid w:val="00A46EE7"/>
    <w:rsid w:val="00A50C54"/>
    <w:rsid w:val="00A63E8A"/>
    <w:rsid w:val="00A6520F"/>
    <w:rsid w:val="00A705D7"/>
    <w:rsid w:val="00A72791"/>
    <w:rsid w:val="00A72ABA"/>
    <w:rsid w:val="00A73422"/>
    <w:rsid w:val="00A80027"/>
    <w:rsid w:val="00A80CFE"/>
    <w:rsid w:val="00A84021"/>
    <w:rsid w:val="00A8547D"/>
    <w:rsid w:val="00A9166B"/>
    <w:rsid w:val="00A917B3"/>
    <w:rsid w:val="00A94778"/>
    <w:rsid w:val="00A97762"/>
    <w:rsid w:val="00AA0D2D"/>
    <w:rsid w:val="00AA525D"/>
    <w:rsid w:val="00AB4B51"/>
    <w:rsid w:val="00AB5752"/>
    <w:rsid w:val="00AB6B38"/>
    <w:rsid w:val="00AC0D61"/>
    <w:rsid w:val="00AC1AB8"/>
    <w:rsid w:val="00AC38D1"/>
    <w:rsid w:val="00AD1129"/>
    <w:rsid w:val="00AE3A74"/>
    <w:rsid w:val="00AF3E1C"/>
    <w:rsid w:val="00AF5DB8"/>
    <w:rsid w:val="00AF783A"/>
    <w:rsid w:val="00B0377E"/>
    <w:rsid w:val="00B10CC7"/>
    <w:rsid w:val="00B124C9"/>
    <w:rsid w:val="00B15C71"/>
    <w:rsid w:val="00B2122E"/>
    <w:rsid w:val="00B26E13"/>
    <w:rsid w:val="00B30AB0"/>
    <w:rsid w:val="00B3233D"/>
    <w:rsid w:val="00B32568"/>
    <w:rsid w:val="00B33B2B"/>
    <w:rsid w:val="00B3508D"/>
    <w:rsid w:val="00B352CC"/>
    <w:rsid w:val="00B448B5"/>
    <w:rsid w:val="00B52F8B"/>
    <w:rsid w:val="00B5399D"/>
    <w:rsid w:val="00B539E7"/>
    <w:rsid w:val="00B60A7F"/>
    <w:rsid w:val="00B6130C"/>
    <w:rsid w:val="00B62458"/>
    <w:rsid w:val="00B6372C"/>
    <w:rsid w:val="00B64DB9"/>
    <w:rsid w:val="00B902F7"/>
    <w:rsid w:val="00B95C9F"/>
    <w:rsid w:val="00B97455"/>
    <w:rsid w:val="00BA24F1"/>
    <w:rsid w:val="00BA5B75"/>
    <w:rsid w:val="00BB333C"/>
    <w:rsid w:val="00BB4620"/>
    <w:rsid w:val="00BB6B8D"/>
    <w:rsid w:val="00BB7BEA"/>
    <w:rsid w:val="00BC3A37"/>
    <w:rsid w:val="00BC5C00"/>
    <w:rsid w:val="00BC6251"/>
    <w:rsid w:val="00BD1097"/>
    <w:rsid w:val="00BD33EE"/>
    <w:rsid w:val="00BE31CB"/>
    <w:rsid w:val="00BE3A75"/>
    <w:rsid w:val="00BE459D"/>
    <w:rsid w:val="00BE693B"/>
    <w:rsid w:val="00BE7784"/>
    <w:rsid w:val="00BF09D4"/>
    <w:rsid w:val="00BF0AC0"/>
    <w:rsid w:val="00BF149A"/>
    <w:rsid w:val="00BF274A"/>
    <w:rsid w:val="00BF3266"/>
    <w:rsid w:val="00C00239"/>
    <w:rsid w:val="00C03D44"/>
    <w:rsid w:val="00C04004"/>
    <w:rsid w:val="00C106D5"/>
    <w:rsid w:val="00C11120"/>
    <w:rsid w:val="00C11C3E"/>
    <w:rsid w:val="00C14125"/>
    <w:rsid w:val="00C16814"/>
    <w:rsid w:val="00C206B7"/>
    <w:rsid w:val="00C302B3"/>
    <w:rsid w:val="00C30825"/>
    <w:rsid w:val="00C33C03"/>
    <w:rsid w:val="00C33E1D"/>
    <w:rsid w:val="00C36F71"/>
    <w:rsid w:val="00C3793B"/>
    <w:rsid w:val="00C4008B"/>
    <w:rsid w:val="00C40A3F"/>
    <w:rsid w:val="00C4579B"/>
    <w:rsid w:val="00C47214"/>
    <w:rsid w:val="00C51E34"/>
    <w:rsid w:val="00C5255A"/>
    <w:rsid w:val="00C5299D"/>
    <w:rsid w:val="00C53407"/>
    <w:rsid w:val="00C53B87"/>
    <w:rsid w:val="00C60F0C"/>
    <w:rsid w:val="00C62518"/>
    <w:rsid w:val="00C70518"/>
    <w:rsid w:val="00C76618"/>
    <w:rsid w:val="00C7792D"/>
    <w:rsid w:val="00C805C9"/>
    <w:rsid w:val="00C82E31"/>
    <w:rsid w:val="00C84A92"/>
    <w:rsid w:val="00C91A96"/>
    <w:rsid w:val="00C92939"/>
    <w:rsid w:val="00C953A6"/>
    <w:rsid w:val="00C97507"/>
    <w:rsid w:val="00CA1679"/>
    <w:rsid w:val="00CA3266"/>
    <w:rsid w:val="00CA6841"/>
    <w:rsid w:val="00CB58E0"/>
    <w:rsid w:val="00CB6A0A"/>
    <w:rsid w:val="00CB7564"/>
    <w:rsid w:val="00CC28E4"/>
    <w:rsid w:val="00CC64A3"/>
    <w:rsid w:val="00CC66D1"/>
    <w:rsid w:val="00CC6D3E"/>
    <w:rsid w:val="00CD4E70"/>
    <w:rsid w:val="00CD6CA4"/>
    <w:rsid w:val="00CE2044"/>
    <w:rsid w:val="00CE42C8"/>
    <w:rsid w:val="00CE563F"/>
    <w:rsid w:val="00CE5A1A"/>
    <w:rsid w:val="00CE643D"/>
    <w:rsid w:val="00CF0E5E"/>
    <w:rsid w:val="00CF50F8"/>
    <w:rsid w:val="00CF55F6"/>
    <w:rsid w:val="00CF5C99"/>
    <w:rsid w:val="00CF690B"/>
    <w:rsid w:val="00CF6B30"/>
    <w:rsid w:val="00D03685"/>
    <w:rsid w:val="00D0660A"/>
    <w:rsid w:val="00D13915"/>
    <w:rsid w:val="00D17EB5"/>
    <w:rsid w:val="00D17EF0"/>
    <w:rsid w:val="00D23303"/>
    <w:rsid w:val="00D2452A"/>
    <w:rsid w:val="00D27936"/>
    <w:rsid w:val="00D31E18"/>
    <w:rsid w:val="00D3307B"/>
    <w:rsid w:val="00D33D63"/>
    <w:rsid w:val="00D41669"/>
    <w:rsid w:val="00D4439F"/>
    <w:rsid w:val="00D47FEA"/>
    <w:rsid w:val="00D50320"/>
    <w:rsid w:val="00D527EA"/>
    <w:rsid w:val="00D601DD"/>
    <w:rsid w:val="00D620CF"/>
    <w:rsid w:val="00D6313F"/>
    <w:rsid w:val="00D64C46"/>
    <w:rsid w:val="00D7125B"/>
    <w:rsid w:val="00D73207"/>
    <w:rsid w:val="00D736F8"/>
    <w:rsid w:val="00D81D83"/>
    <w:rsid w:val="00D8265D"/>
    <w:rsid w:val="00D90138"/>
    <w:rsid w:val="00D930FE"/>
    <w:rsid w:val="00D973AD"/>
    <w:rsid w:val="00D9797C"/>
    <w:rsid w:val="00DA5220"/>
    <w:rsid w:val="00DB13AB"/>
    <w:rsid w:val="00DB4E10"/>
    <w:rsid w:val="00DB790A"/>
    <w:rsid w:val="00DC5415"/>
    <w:rsid w:val="00DC5A3C"/>
    <w:rsid w:val="00DD3F57"/>
    <w:rsid w:val="00DE2DC4"/>
    <w:rsid w:val="00DE7C39"/>
    <w:rsid w:val="00DF52B9"/>
    <w:rsid w:val="00E012A4"/>
    <w:rsid w:val="00E03224"/>
    <w:rsid w:val="00E1127B"/>
    <w:rsid w:val="00E20612"/>
    <w:rsid w:val="00E20F04"/>
    <w:rsid w:val="00E2270F"/>
    <w:rsid w:val="00E2298D"/>
    <w:rsid w:val="00E23338"/>
    <w:rsid w:val="00E2704E"/>
    <w:rsid w:val="00E3656F"/>
    <w:rsid w:val="00E46212"/>
    <w:rsid w:val="00E47BCB"/>
    <w:rsid w:val="00E522C4"/>
    <w:rsid w:val="00E547AC"/>
    <w:rsid w:val="00E54D46"/>
    <w:rsid w:val="00E56813"/>
    <w:rsid w:val="00E574FC"/>
    <w:rsid w:val="00E6360C"/>
    <w:rsid w:val="00E65FC8"/>
    <w:rsid w:val="00E70172"/>
    <w:rsid w:val="00E73F76"/>
    <w:rsid w:val="00E74F05"/>
    <w:rsid w:val="00E75418"/>
    <w:rsid w:val="00E8267F"/>
    <w:rsid w:val="00E90F37"/>
    <w:rsid w:val="00E92A4B"/>
    <w:rsid w:val="00E9391E"/>
    <w:rsid w:val="00E941BE"/>
    <w:rsid w:val="00E951ED"/>
    <w:rsid w:val="00EA2C9F"/>
    <w:rsid w:val="00EA40EB"/>
    <w:rsid w:val="00EA512C"/>
    <w:rsid w:val="00EA5EE5"/>
    <w:rsid w:val="00EB08BD"/>
    <w:rsid w:val="00EB41B4"/>
    <w:rsid w:val="00EB4633"/>
    <w:rsid w:val="00EB4FA6"/>
    <w:rsid w:val="00EB6231"/>
    <w:rsid w:val="00EB631A"/>
    <w:rsid w:val="00ED283C"/>
    <w:rsid w:val="00EE09F3"/>
    <w:rsid w:val="00EE44C1"/>
    <w:rsid w:val="00EE5B20"/>
    <w:rsid w:val="00EF1360"/>
    <w:rsid w:val="00EF139C"/>
    <w:rsid w:val="00EF3220"/>
    <w:rsid w:val="00EF438C"/>
    <w:rsid w:val="00EF5E24"/>
    <w:rsid w:val="00F04EA0"/>
    <w:rsid w:val="00F11031"/>
    <w:rsid w:val="00F13CB4"/>
    <w:rsid w:val="00F16C31"/>
    <w:rsid w:val="00F24991"/>
    <w:rsid w:val="00F26523"/>
    <w:rsid w:val="00F34ABE"/>
    <w:rsid w:val="00F3772D"/>
    <w:rsid w:val="00F4276E"/>
    <w:rsid w:val="00F42A3A"/>
    <w:rsid w:val="00F44469"/>
    <w:rsid w:val="00F447B5"/>
    <w:rsid w:val="00F46465"/>
    <w:rsid w:val="00F46AE1"/>
    <w:rsid w:val="00F501A3"/>
    <w:rsid w:val="00F50A18"/>
    <w:rsid w:val="00F575BA"/>
    <w:rsid w:val="00F6108E"/>
    <w:rsid w:val="00F63E01"/>
    <w:rsid w:val="00F80B67"/>
    <w:rsid w:val="00F81099"/>
    <w:rsid w:val="00F86F98"/>
    <w:rsid w:val="00F91EBD"/>
    <w:rsid w:val="00F93A56"/>
    <w:rsid w:val="00F94155"/>
    <w:rsid w:val="00F95485"/>
    <w:rsid w:val="00FA15D1"/>
    <w:rsid w:val="00FA421E"/>
    <w:rsid w:val="00FB2EA4"/>
    <w:rsid w:val="00FB36B6"/>
    <w:rsid w:val="00FD07DA"/>
    <w:rsid w:val="00FD1A0E"/>
    <w:rsid w:val="00FD2279"/>
    <w:rsid w:val="00FD2EF7"/>
    <w:rsid w:val="00FD432B"/>
    <w:rsid w:val="00FE00FB"/>
    <w:rsid w:val="00FE1DF0"/>
    <w:rsid w:val="00FE447E"/>
    <w:rsid w:val="00FE4FC4"/>
    <w:rsid w:val="00FE7A75"/>
    <w:rsid w:val="00FF074D"/>
    <w:rsid w:val="00FF36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512BBD"/>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512BBD"/>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uiPriority w:val="20"/>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uiPriority w:val="99"/>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SingleTxtGChar">
    <w:name w:val="_ Single Txt_G Char"/>
    <w:link w:val="SingleTxtG"/>
    <w:rsid w:val="00E2270F"/>
    <w:rPr>
      <w:lang w:val="es-ES" w:eastAsia="es-ES"/>
    </w:rPr>
  </w:style>
  <w:style w:type="paragraph" w:customStyle="1" w:styleId="AIBulletList">
    <w:name w:val="AI Bullet List"/>
    <w:basedOn w:val="Normal"/>
    <w:rsid w:val="00E2270F"/>
    <w:pPr>
      <w:numPr>
        <w:numId w:val="16"/>
      </w:numPr>
      <w:tabs>
        <w:tab w:val="clear" w:pos="357"/>
        <w:tab w:val="num" w:pos="1701"/>
      </w:tabs>
      <w:snapToGrid w:val="0"/>
      <w:spacing w:line="276" w:lineRule="auto"/>
      <w:ind w:left="1701" w:hanging="170"/>
    </w:pPr>
    <w:rPr>
      <w:rFonts w:ascii="Cambria" w:eastAsia="Cambria" w:hAnsi="Cambria"/>
      <w:sz w:val="22"/>
      <w:szCs w:val="24"/>
      <w:lang w:val="en-GB" w:eastAsia="en-US"/>
    </w:rPr>
  </w:style>
  <w:style w:type="paragraph" w:styleId="Textodeglobo">
    <w:name w:val="Balloon Text"/>
    <w:basedOn w:val="Normal"/>
    <w:link w:val="TextodegloboCar"/>
    <w:rsid w:val="00CF690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F690B"/>
    <w:rPr>
      <w:rFonts w:ascii="Tahoma" w:hAnsi="Tahoma" w:cs="Tahoma"/>
      <w:sz w:val="16"/>
      <w:szCs w:val="16"/>
      <w:lang w:val="es-ES" w:eastAsia="es-ES"/>
    </w:rPr>
  </w:style>
  <w:style w:type="paragraph" w:styleId="Prrafodelista">
    <w:name w:val="List Paragraph"/>
    <w:basedOn w:val="Normal"/>
    <w:uiPriority w:val="34"/>
    <w:qFormat/>
    <w:rsid w:val="00F81099"/>
    <w:pPr>
      <w:ind w:left="720"/>
      <w:contextualSpacing/>
    </w:pPr>
  </w:style>
  <w:style w:type="table" w:styleId="Sombreadoclaro">
    <w:name w:val="Light Shading"/>
    <w:basedOn w:val="Tablanormal"/>
    <w:uiPriority w:val="60"/>
    <w:rsid w:val="003E55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rsid w:val="00CE42C8"/>
    <w:rPr>
      <w:sz w:val="18"/>
      <w:szCs w:val="18"/>
    </w:rPr>
  </w:style>
  <w:style w:type="paragraph" w:styleId="Textocomentario">
    <w:name w:val="annotation text"/>
    <w:basedOn w:val="Normal"/>
    <w:link w:val="TextocomentarioCar"/>
    <w:rsid w:val="00CE42C8"/>
    <w:pPr>
      <w:spacing w:line="240" w:lineRule="auto"/>
    </w:pPr>
    <w:rPr>
      <w:sz w:val="24"/>
      <w:szCs w:val="24"/>
    </w:rPr>
  </w:style>
  <w:style w:type="character" w:customStyle="1" w:styleId="TextocomentarioCar">
    <w:name w:val="Texto comentario Car"/>
    <w:basedOn w:val="Fuentedeprrafopredeter"/>
    <w:link w:val="Textocomentario"/>
    <w:rsid w:val="00CE42C8"/>
    <w:rPr>
      <w:sz w:val="24"/>
      <w:szCs w:val="24"/>
      <w:lang w:val="es-ES" w:eastAsia="es-ES"/>
    </w:rPr>
  </w:style>
  <w:style w:type="paragraph" w:styleId="Asuntodelcomentario">
    <w:name w:val="annotation subject"/>
    <w:basedOn w:val="Textocomentario"/>
    <w:next w:val="Textocomentario"/>
    <w:link w:val="AsuntodelcomentarioCar"/>
    <w:rsid w:val="00CE42C8"/>
    <w:rPr>
      <w:b/>
      <w:bCs/>
      <w:sz w:val="20"/>
      <w:szCs w:val="20"/>
    </w:rPr>
  </w:style>
  <w:style w:type="character" w:customStyle="1" w:styleId="AsuntodelcomentarioCar">
    <w:name w:val="Asunto del comentario Car"/>
    <w:basedOn w:val="TextocomentarioCar"/>
    <w:link w:val="Asuntodelcomentario"/>
    <w:rsid w:val="00CE42C8"/>
    <w:rPr>
      <w:b/>
      <w:bCs/>
      <w:sz w:val="24"/>
      <w:szCs w:val="24"/>
      <w:lang w:val="es-ES" w:eastAsia="es-ES"/>
    </w:rPr>
  </w:style>
  <w:style w:type="character" w:customStyle="1" w:styleId="TextonotapieCar">
    <w:name w:val="Texto nota pie Car"/>
    <w:aliases w:val="5_G Car"/>
    <w:link w:val="Textonotapie"/>
    <w:rsid w:val="00FE4FC4"/>
    <w:rPr>
      <w:rFonts w:eastAsia="SimSun"/>
      <w:sz w:val="18"/>
      <w:lang w:eastAsia="zh-CN"/>
    </w:rPr>
  </w:style>
  <w:style w:type="character" w:customStyle="1" w:styleId="st1">
    <w:name w:val="st1"/>
    <w:basedOn w:val="Fuentedeprrafopredeter"/>
    <w:rsid w:val="005F0EC6"/>
  </w:style>
  <w:style w:type="paragraph" w:customStyle="1" w:styleId="Default">
    <w:name w:val="Default"/>
    <w:rsid w:val="005D0F8D"/>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basedOn w:val="Fuentedeprrafopredeter"/>
    <w:rsid w:val="005A357F"/>
  </w:style>
  <w:style w:type="paragraph" w:styleId="Revisin">
    <w:name w:val="Revision"/>
    <w:hidden/>
    <w:uiPriority w:val="99"/>
    <w:semiHidden/>
    <w:rsid w:val="00FD2279"/>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512BBD"/>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512BBD"/>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semiHidden/>
    <w:rsid w:val="00681A10"/>
    <w:rPr>
      <w:i/>
      <w:iCs/>
    </w:rPr>
  </w:style>
  <w:style w:type="character" w:styleId="CdigoHTML">
    <w:name w:val="HTML Code"/>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uiPriority w:val="20"/>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uiPriority w:val="99"/>
    <w:rsid w:val="00681A10"/>
    <w:rPr>
      <w:color w:val="0000FF"/>
      <w:u w:val="single"/>
    </w:rPr>
  </w:style>
  <w:style w:type="character" w:styleId="Hipervnculovisitado">
    <w:name w:val="FollowedHyperlink"/>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rsid w:val="00681A10"/>
    <w:rPr>
      <w:b/>
      <w:sz w:val="18"/>
    </w:rPr>
  </w:style>
  <w:style w:type="character" w:styleId="Refdenotaalfinal">
    <w:name w:val="endnote reference"/>
    <w:aliases w:val="1_G"/>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qFormat/>
    <w:rsid w:val="00681A10"/>
    <w:pPr>
      <w:spacing w:before="240" w:after="60"/>
      <w:jc w:val="center"/>
      <w:outlineLvl w:val="0"/>
    </w:pPr>
    <w:rPr>
      <w:rFonts w:ascii="Arial" w:hAnsi="Arial" w:cs="Arial"/>
      <w:b/>
      <w:bCs/>
      <w:kern w:val="28"/>
      <w:sz w:val="32"/>
      <w:szCs w:val="32"/>
    </w:rPr>
  </w:style>
  <w:style w:type="character" w:styleId="VariableHTML">
    <w:name w:val="HTML Variable"/>
    <w:semiHidden/>
    <w:rsid w:val="00681A10"/>
    <w:rPr>
      <w:i/>
      <w:iCs/>
    </w:rPr>
  </w:style>
  <w:style w:type="paragraph" w:customStyle="1" w:styleId="Bullet1G">
    <w:name w:val="_Bullet 1_G"/>
    <w:basedOn w:val="Normal"/>
    <w:rsid w:val="00681A10"/>
    <w:p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SingleTxtGChar">
    <w:name w:val="_ Single Txt_G Char"/>
    <w:link w:val="SingleTxtG"/>
    <w:rsid w:val="00E2270F"/>
    <w:rPr>
      <w:lang w:val="es-ES" w:eastAsia="es-ES"/>
    </w:rPr>
  </w:style>
  <w:style w:type="paragraph" w:customStyle="1" w:styleId="AIBulletList">
    <w:name w:val="AI Bullet List"/>
    <w:basedOn w:val="Normal"/>
    <w:rsid w:val="00E2270F"/>
    <w:pPr>
      <w:numPr>
        <w:numId w:val="16"/>
      </w:numPr>
      <w:tabs>
        <w:tab w:val="clear" w:pos="357"/>
        <w:tab w:val="num" w:pos="1701"/>
      </w:tabs>
      <w:snapToGrid w:val="0"/>
      <w:spacing w:line="276" w:lineRule="auto"/>
      <w:ind w:left="1701" w:hanging="170"/>
    </w:pPr>
    <w:rPr>
      <w:rFonts w:ascii="Cambria" w:eastAsia="Cambria" w:hAnsi="Cambria"/>
      <w:sz w:val="22"/>
      <w:szCs w:val="24"/>
      <w:lang w:val="en-GB" w:eastAsia="en-US"/>
    </w:rPr>
  </w:style>
  <w:style w:type="paragraph" w:styleId="Textodeglobo">
    <w:name w:val="Balloon Text"/>
    <w:basedOn w:val="Normal"/>
    <w:link w:val="TextodegloboCar"/>
    <w:rsid w:val="00CF690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F690B"/>
    <w:rPr>
      <w:rFonts w:ascii="Tahoma" w:hAnsi="Tahoma" w:cs="Tahoma"/>
      <w:sz w:val="16"/>
      <w:szCs w:val="16"/>
      <w:lang w:val="es-ES" w:eastAsia="es-ES"/>
    </w:rPr>
  </w:style>
  <w:style w:type="paragraph" w:styleId="Prrafodelista">
    <w:name w:val="List Paragraph"/>
    <w:basedOn w:val="Normal"/>
    <w:uiPriority w:val="34"/>
    <w:qFormat/>
    <w:rsid w:val="00F81099"/>
    <w:pPr>
      <w:ind w:left="720"/>
      <w:contextualSpacing/>
    </w:pPr>
  </w:style>
  <w:style w:type="table" w:styleId="Sombreadoclaro">
    <w:name w:val="Light Shading"/>
    <w:basedOn w:val="Tablanormal"/>
    <w:uiPriority w:val="60"/>
    <w:rsid w:val="003E55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rsid w:val="00CE42C8"/>
    <w:rPr>
      <w:sz w:val="18"/>
      <w:szCs w:val="18"/>
    </w:rPr>
  </w:style>
  <w:style w:type="paragraph" w:styleId="Textocomentario">
    <w:name w:val="annotation text"/>
    <w:basedOn w:val="Normal"/>
    <w:link w:val="TextocomentarioCar"/>
    <w:rsid w:val="00CE42C8"/>
    <w:pPr>
      <w:spacing w:line="240" w:lineRule="auto"/>
    </w:pPr>
    <w:rPr>
      <w:sz w:val="24"/>
      <w:szCs w:val="24"/>
    </w:rPr>
  </w:style>
  <w:style w:type="character" w:customStyle="1" w:styleId="TextocomentarioCar">
    <w:name w:val="Texto comentario Car"/>
    <w:basedOn w:val="Fuentedeprrafopredeter"/>
    <w:link w:val="Textocomentario"/>
    <w:rsid w:val="00CE42C8"/>
    <w:rPr>
      <w:sz w:val="24"/>
      <w:szCs w:val="24"/>
      <w:lang w:val="es-ES" w:eastAsia="es-ES"/>
    </w:rPr>
  </w:style>
  <w:style w:type="paragraph" w:styleId="Asuntodelcomentario">
    <w:name w:val="annotation subject"/>
    <w:basedOn w:val="Textocomentario"/>
    <w:next w:val="Textocomentario"/>
    <w:link w:val="AsuntodelcomentarioCar"/>
    <w:rsid w:val="00CE42C8"/>
    <w:rPr>
      <w:b/>
      <w:bCs/>
      <w:sz w:val="20"/>
      <w:szCs w:val="20"/>
    </w:rPr>
  </w:style>
  <w:style w:type="character" w:customStyle="1" w:styleId="AsuntodelcomentarioCar">
    <w:name w:val="Asunto del comentario Car"/>
    <w:basedOn w:val="TextocomentarioCar"/>
    <w:link w:val="Asuntodelcomentario"/>
    <w:rsid w:val="00CE42C8"/>
    <w:rPr>
      <w:b/>
      <w:bCs/>
      <w:sz w:val="24"/>
      <w:szCs w:val="24"/>
      <w:lang w:val="es-ES" w:eastAsia="es-ES"/>
    </w:rPr>
  </w:style>
  <w:style w:type="character" w:customStyle="1" w:styleId="TextonotapieCar">
    <w:name w:val="Texto nota pie Car"/>
    <w:aliases w:val="5_G Car"/>
    <w:link w:val="Textonotapie"/>
    <w:rsid w:val="00FE4FC4"/>
    <w:rPr>
      <w:rFonts w:eastAsia="SimSun"/>
      <w:sz w:val="18"/>
      <w:lang w:eastAsia="zh-CN"/>
    </w:rPr>
  </w:style>
  <w:style w:type="character" w:customStyle="1" w:styleId="st1">
    <w:name w:val="st1"/>
    <w:basedOn w:val="Fuentedeprrafopredeter"/>
    <w:rsid w:val="005F0EC6"/>
  </w:style>
  <w:style w:type="paragraph" w:customStyle="1" w:styleId="Default">
    <w:name w:val="Default"/>
    <w:rsid w:val="005D0F8D"/>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basedOn w:val="Fuentedeprrafopredeter"/>
    <w:rsid w:val="005A357F"/>
  </w:style>
  <w:style w:type="paragraph" w:styleId="Revisin">
    <w:name w:val="Revision"/>
    <w:hidden/>
    <w:uiPriority w:val="99"/>
    <w:semiHidden/>
    <w:rsid w:val="00FD22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89">
      <w:bodyDiv w:val="1"/>
      <w:marLeft w:val="0"/>
      <w:marRight w:val="0"/>
      <w:marTop w:val="0"/>
      <w:marBottom w:val="0"/>
      <w:divBdr>
        <w:top w:val="none" w:sz="0" w:space="0" w:color="auto"/>
        <w:left w:val="none" w:sz="0" w:space="0" w:color="auto"/>
        <w:bottom w:val="none" w:sz="0" w:space="0" w:color="auto"/>
        <w:right w:val="none" w:sz="0" w:space="0" w:color="auto"/>
      </w:divBdr>
      <w:divsChild>
        <w:div w:id="80558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365101">
      <w:bodyDiv w:val="1"/>
      <w:marLeft w:val="0"/>
      <w:marRight w:val="0"/>
      <w:marTop w:val="0"/>
      <w:marBottom w:val="0"/>
      <w:divBdr>
        <w:top w:val="none" w:sz="0" w:space="0" w:color="auto"/>
        <w:left w:val="none" w:sz="0" w:space="0" w:color="auto"/>
        <w:bottom w:val="none" w:sz="0" w:space="0" w:color="auto"/>
        <w:right w:val="none" w:sz="0" w:space="0" w:color="auto"/>
      </w:divBdr>
      <w:divsChild>
        <w:div w:id="151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48316077">
      <w:bodyDiv w:val="1"/>
      <w:marLeft w:val="0"/>
      <w:marRight w:val="0"/>
      <w:marTop w:val="0"/>
      <w:marBottom w:val="0"/>
      <w:divBdr>
        <w:top w:val="none" w:sz="0" w:space="0" w:color="auto"/>
        <w:left w:val="none" w:sz="0" w:space="0" w:color="auto"/>
        <w:bottom w:val="none" w:sz="0" w:space="0" w:color="auto"/>
        <w:right w:val="none" w:sz="0" w:space="0" w:color="auto"/>
      </w:divBdr>
      <w:divsChild>
        <w:div w:id="1180047950">
          <w:marLeft w:val="0"/>
          <w:marRight w:val="0"/>
          <w:marTop w:val="0"/>
          <w:marBottom w:val="0"/>
          <w:divBdr>
            <w:top w:val="none" w:sz="0" w:space="0" w:color="auto"/>
            <w:left w:val="none" w:sz="0" w:space="0" w:color="auto"/>
            <w:bottom w:val="none" w:sz="0" w:space="0" w:color="auto"/>
            <w:right w:val="none" w:sz="0" w:space="0" w:color="auto"/>
          </w:divBdr>
          <w:divsChild>
            <w:div w:id="1154375391">
              <w:marLeft w:val="0"/>
              <w:marRight w:val="0"/>
              <w:marTop w:val="0"/>
              <w:marBottom w:val="0"/>
              <w:divBdr>
                <w:top w:val="none" w:sz="0" w:space="0" w:color="auto"/>
                <w:left w:val="none" w:sz="0" w:space="0" w:color="auto"/>
                <w:bottom w:val="none" w:sz="0" w:space="0" w:color="auto"/>
                <w:right w:val="none" w:sz="0" w:space="0" w:color="auto"/>
              </w:divBdr>
              <w:divsChild>
                <w:div w:id="128522804">
                  <w:marLeft w:val="0"/>
                  <w:marRight w:val="0"/>
                  <w:marTop w:val="0"/>
                  <w:marBottom w:val="0"/>
                  <w:divBdr>
                    <w:top w:val="none" w:sz="0" w:space="0" w:color="auto"/>
                    <w:left w:val="none" w:sz="0" w:space="0" w:color="auto"/>
                    <w:bottom w:val="none" w:sz="0" w:space="0" w:color="auto"/>
                    <w:right w:val="none" w:sz="0" w:space="0" w:color="auto"/>
                  </w:divBdr>
                  <w:divsChild>
                    <w:div w:id="890965126">
                      <w:marLeft w:val="0"/>
                      <w:marRight w:val="0"/>
                      <w:marTop w:val="0"/>
                      <w:marBottom w:val="0"/>
                      <w:divBdr>
                        <w:top w:val="none" w:sz="0" w:space="0" w:color="auto"/>
                        <w:left w:val="none" w:sz="0" w:space="0" w:color="auto"/>
                        <w:bottom w:val="none" w:sz="0" w:space="0" w:color="auto"/>
                        <w:right w:val="none" w:sz="0" w:space="0" w:color="auto"/>
                      </w:divBdr>
                      <w:divsChild>
                        <w:div w:id="1201436108">
                          <w:marLeft w:val="0"/>
                          <w:marRight w:val="0"/>
                          <w:marTop w:val="0"/>
                          <w:marBottom w:val="0"/>
                          <w:divBdr>
                            <w:top w:val="none" w:sz="0" w:space="0" w:color="auto"/>
                            <w:left w:val="none" w:sz="0" w:space="0" w:color="auto"/>
                            <w:bottom w:val="none" w:sz="0" w:space="0" w:color="auto"/>
                            <w:right w:val="none" w:sz="0" w:space="0" w:color="auto"/>
                          </w:divBdr>
                          <w:divsChild>
                            <w:div w:id="1917979217">
                              <w:marLeft w:val="0"/>
                              <w:marRight w:val="0"/>
                              <w:marTop w:val="0"/>
                              <w:marBottom w:val="0"/>
                              <w:divBdr>
                                <w:top w:val="none" w:sz="0" w:space="0" w:color="auto"/>
                                <w:left w:val="none" w:sz="0" w:space="0" w:color="auto"/>
                                <w:bottom w:val="none" w:sz="0" w:space="0" w:color="auto"/>
                                <w:right w:val="none" w:sz="0" w:space="0" w:color="auto"/>
                              </w:divBdr>
                              <w:divsChild>
                                <w:div w:id="1380739910">
                                  <w:marLeft w:val="0"/>
                                  <w:marRight w:val="0"/>
                                  <w:marTop w:val="0"/>
                                  <w:marBottom w:val="0"/>
                                  <w:divBdr>
                                    <w:top w:val="none" w:sz="0" w:space="0" w:color="auto"/>
                                    <w:left w:val="none" w:sz="0" w:space="0" w:color="auto"/>
                                    <w:bottom w:val="none" w:sz="0" w:space="0" w:color="auto"/>
                                    <w:right w:val="none" w:sz="0" w:space="0" w:color="auto"/>
                                  </w:divBdr>
                                  <w:divsChild>
                                    <w:div w:id="325786871">
                                      <w:marLeft w:val="0"/>
                                      <w:marRight w:val="0"/>
                                      <w:marTop w:val="0"/>
                                      <w:marBottom w:val="0"/>
                                      <w:divBdr>
                                        <w:top w:val="none" w:sz="0" w:space="0" w:color="auto"/>
                                        <w:left w:val="none" w:sz="0" w:space="0" w:color="auto"/>
                                        <w:bottom w:val="none" w:sz="0" w:space="0" w:color="auto"/>
                                        <w:right w:val="none" w:sz="0" w:space="0" w:color="auto"/>
                                      </w:divBdr>
                                      <w:divsChild>
                                        <w:div w:id="296188280">
                                          <w:marLeft w:val="0"/>
                                          <w:marRight w:val="0"/>
                                          <w:marTop w:val="0"/>
                                          <w:marBottom w:val="0"/>
                                          <w:divBdr>
                                            <w:top w:val="none" w:sz="0" w:space="0" w:color="auto"/>
                                            <w:left w:val="none" w:sz="0" w:space="0" w:color="auto"/>
                                            <w:bottom w:val="none" w:sz="0" w:space="0" w:color="auto"/>
                                            <w:right w:val="none" w:sz="0" w:space="0" w:color="auto"/>
                                          </w:divBdr>
                                          <w:divsChild>
                                            <w:div w:id="1113091557">
                                              <w:marLeft w:val="0"/>
                                              <w:marRight w:val="0"/>
                                              <w:marTop w:val="0"/>
                                              <w:marBottom w:val="0"/>
                                              <w:divBdr>
                                                <w:top w:val="none" w:sz="0" w:space="0" w:color="auto"/>
                                                <w:left w:val="none" w:sz="0" w:space="0" w:color="auto"/>
                                                <w:bottom w:val="none" w:sz="0" w:space="0" w:color="auto"/>
                                                <w:right w:val="none" w:sz="0" w:space="0" w:color="auto"/>
                                              </w:divBdr>
                                              <w:divsChild>
                                                <w:div w:id="816990692">
                                                  <w:marLeft w:val="0"/>
                                                  <w:marRight w:val="0"/>
                                                  <w:marTop w:val="0"/>
                                                  <w:marBottom w:val="0"/>
                                                  <w:divBdr>
                                                    <w:top w:val="none" w:sz="0" w:space="0" w:color="auto"/>
                                                    <w:left w:val="none" w:sz="0" w:space="0" w:color="auto"/>
                                                    <w:bottom w:val="none" w:sz="0" w:space="0" w:color="auto"/>
                                                    <w:right w:val="none" w:sz="0" w:space="0" w:color="auto"/>
                                                  </w:divBdr>
                                                  <w:divsChild>
                                                    <w:div w:id="1054042644">
                                                      <w:marLeft w:val="0"/>
                                                      <w:marRight w:val="0"/>
                                                      <w:marTop w:val="0"/>
                                                      <w:marBottom w:val="0"/>
                                                      <w:divBdr>
                                                        <w:top w:val="none" w:sz="0" w:space="0" w:color="auto"/>
                                                        <w:left w:val="none" w:sz="0" w:space="0" w:color="auto"/>
                                                        <w:bottom w:val="none" w:sz="0" w:space="0" w:color="auto"/>
                                                        <w:right w:val="none" w:sz="0" w:space="0" w:color="auto"/>
                                                      </w:divBdr>
                                                      <w:divsChild>
                                                        <w:div w:id="1890071307">
                                                          <w:marLeft w:val="0"/>
                                                          <w:marRight w:val="0"/>
                                                          <w:marTop w:val="0"/>
                                                          <w:marBottom w:val="0"/>
                                                          <w:divBdr>
                                                            <w:top w:val="none" w:sz="0" w:space="0" w:color="auto"/>
                                                            <w:left w:val="none" w:sz="0" w:space="0" w:color="auto"/>
                                                            <w:bottom w:val="none" w:sz="0" w:space="0" w:color="auto"/>
                                                            <w:right w:val="none" w:sz="0" w:space="0" w:color="auto"/>
                                                          </w:divBdr>
                                                          <w:divsChild>
                                                            <w:div w:id="176118980">
                                                              <w:marLeft w:val="0"/>
                                                              <w:marRight w:val="0"/>
                                                              <w:marTop w:val="0"/>
                                                              <w:marBottom w:val="0"/>
                                                              <w:divBdr>
                                                                <w:top w:val="none" w:sz="0" w:space="0" w:color="auto"/>
                                                                <w:left w:val="none" w:sz="0" w:space="0" w:color="auto"/>
                                                                <w:bottom w:val="none" w:sz="0" w:space="0" w:color="auto"/>
                                                                <w:right w:val="none" w:sz="0" w:space="0" w:color="auto"/>
                                                              </w:divBdr>
                                                              <w:divsChild>
                                                                <w:div w:id="110784580">
                                                                  <w:marLeft w:val="0"/>
                                                                  <w:marRight w:val="0"/>
                                                                  <w:marTop w:val="0"/>
                                                                  <w:marBottom w:val="0"/>
                                                                  <w:divBdr>
                                                                    <w:top w:val="none" w:sz="0" w:space="0" w:color="auto"/>
                                                                    <w:left w:val="none" w:sz="0" w:space="0" w:color="auto"/>
                                                                    <w:bottom w:val="none" w:sz="0" w:space="0" w:color="auto"/>
                                                                    <w:right w:val="none" w:sz="0" w:space="0" w:color="auto"/>
                                                                  </w:divBdr>
                                                                  <w:divsChild>
                                                                    <w:div w:id="1858041524">
                                                                      <w:marLeft w:val="0"/>
                                                                      <w:marRight w:val="0"/>
                                                                      <w:marTop w:val="0"/>
                                                                      <w:marBottom w:val="0"/>
                                                                      <w:divBdr>
                                                                        <w:top w:val="none" w:sz="0" w:space="0" w:color="auto"/>
                                                                        <w:left w:val="none" w:sz="0" w:space="0" w:color="auto"/>
                                                                        <w:bottom w:val="none" w:sz="0" w:space="0" w:color="auto"/>
                                                                        <w:right w:val="none" w:sz="0" w:space="0" w:color="auto"/>
                                                                      </w:divBdr>
                                                                      <w:divsChild>
                                                                        <w:div w:id="1477448832">
                                                                          <w:marLeft w:val="0"/>
                                                                          <w:marRight w:val="0"/>
                                                                          <w:marTop w:val="0"/>
                                                                          <w:marBottom w:val="0"/>
                                                                          <w:divBdr>
                                                                            <w:top w:val="none" w:sz="0" w:space="0" w:color="auto"/>
                                                                            <w:left w:val="none" w:sz="0" w:space="0" w:color="auto"/>
                                                                            <w:bottom w:val="none" w:sz="0" w:space="0" w:color="auto"/>
                                                                            <w:right w:val="none" w:sz="0" w:space="0" w:color="auto"/>
                                                                          </w:divBdr>
                                                                          <w:divsChild>
                                                                            <w:div w:id="285087985">
                                                                              <w:marLeft w:val="0"/>
                                                                              <w:marRight w:val="0"/>
                                                                              <w:marTop w:val="0"/>
                                                                              <w:marBottom w:val="0"/>
                                                                              <w:divBdr>
                                                                                <w:top w:val="none" w:sz="0" w:space="0" w:color="auto"/>
                                                                                <w:left w:val="none" w:sz="0" w:space="0" w:color="auto"/>
                                                                                <w:bottom w:val="none" w:sz="0" w:space="0" w:color="auto"/>
                                                                                <w:right w:val="none" w:sz="0" w:space="0" w:color="auto"/>
                                                                              </w:divBdr>
                                                                              <w:divsChild>
                                                                                <w:div w:id="502278551">
                                                                                  <w:marLeft w:val="0"/>
                                                                                  <w:marRight w:val="0"/>
                                                                                  <w:marTop w:val="0"/>
                                                                                  <w:marBottom w:val="0"/>
                                                                                  <w:divBdr>
                                                                                    <w:top w:val="none" w:sz="0" w:space="0" w:color="auto"/>
                                                                                    <w:left w:val="none" w:sz="0" w:space="0" w:color="auto"/>
                                                                                    <w:bottom w:val="none" w:sz="0" w:space="0" w:color="auto"/>
                                                                                    <w:right w:val="none" w:sz="0" w:space="0" w:color="auto"/>
                                                                                  </w:divBdr>
                                                                                  <w:divsChild>
                                                                                    <w:div w:id="279651832">
                                                                                      <w:marLeft w:val="0"/>
                                                                                      <w:marRight w:val="0"/>
                                                                                      <w:marTop w:val="0"/>
                                                                                      <w:marBottom w:val="0"/>
                                                                                      <w:divBdr>
                                                                                        <w:top w:val="single" w:sz="6" w:space="0" w:color="A7B3BD"/>
                                                                                        <w:left w:val="none" w:sz="0" w:space="0" w:color="auto"/>
                                                                                        <w:bottom w:val="none" w:sz="0" w:space="0" w:color="auto"/>
                                                                                        <w:right w:val="none" w:sz="0" w:space="0" w:color="auto"/>
                                                                                      </w:divBdr>
                                                                                      <w:divsChild>
                                                                                        <w:div w:id="1082948036">
                                                                                          <w:marLeft w:val="0"/>
                                                                                          <w:marRight w:val="0"/>
                                                                                          <w:marTop w:val="0"/>
                                                                                          <w:marBottom w:val="0"/>
                                                                                          <w:divBdr>
                                                                                            <w:top w:val="none" w:sz="0" w:space="0" w:color="auto"/>
                                                                                            <w:left w:val="none" w:sz="0" w:space="0" w:color="auto"/>
                                                                                            <w:bottom w:val="none" w:sz="0" w:space="0" w:color="auto"/>
                                                                                            <w:right w:val="none" w:sz="0" w:space="0" w:color="auto"/>
                                                                                          </w:divBdr>
                                                                                          <w:divsChild>
                                                                                            <w:div w:id="1115099562">
                                                                                              <w:marLeft w:val="0"/>
                                                                                              <w:marRight w:val="0"/>
                                                                                              <w:marTop w:val="0"/>
                                                                                              <w:marBottom w:val="0"/>
                                                                                              <w:divBdr>
                                                                                                <w:top w:val="none" w:sz="0" w:space="0" w:color="auto"/>
                                                                                                <w:left w:val="single" w:sz="12" w:space="4" w:color="000000"/>
                                                                                                <w:bottom w:val="none" w:sz="0" w:space="0" w:color="auto"/>
                                                                                                <w:right w:val="none" w:sz="0" w:space="0" w:color="auto"/>
                                                                                              </w:divBdr>
                                                                                              <w:divsChild>
                                                                                                <w:div w:id="10402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739862">
      <w:bodyDiv w:val="1"/>
      <w:marLeft w:val="0"/>
      <w:marRight w:val="0"/>
      <w:marTop w:val="0"/>
      <w:marBottom w:val="0"/>
      <w:divBdr>
        <w:top w:val="none" w:sz="0" w:space="0" w:color="auto"/>
        <w:left w:val="none" w:sz="0" w:space="0" w:color="auto"/>
        <w:bottom w:val="none" w:sz="0" w:space="0" w:color="auto"/>
        <w:right w:val="none" w:sz="0" w:space="0" w:color="auto"/>
      </w:divBdr>
      <w:divsChild>
        <w:div w:id="992640307">
          <w:marLeft w:val="0"/>
          <w:marRight w:val="0"/>
          <w:marTop w:val="0"/>
          <w:marBottom w:val="0"/>
          <w:divBdr>
            <w:top w:val="none" w:sz="0" w:space="0" w:color="auto"/>
            <w:left w:val="none" w:sz="0" w:space="0" w:color="auto"/>
            <w:bottom w:val="none" w:sz="0" w:space="0" w:color="auto"/>
            <w:right w:val="none" w:sz="0" w:space="0" w:color="auto"/>
          </w:divBdr>
          <w:divsChild>
            <w:div w:id="59837450">
              <w:marLeft w:val="0"/>
              <w:marRight w:val="0"/>
              <w:marTop w:val="0"/>
              <w:marBottom w:val="0"/>
              <w:divBdr>
                <w:top w:val="none" w:sz="0" w:space="0" w:color="auto"/>
                <w:left w:val="none" w:sz="0" w:space="0" w:color="auto"/>
                <w:bottom w:val="none" w:sz="0" w:space="0" w:color="auto"/>
                <w:right w:val="none" w:sz="0" w:space="0" w:color="auto"/>
              </w:divBdr>
            </w:div>
            <w:div w:id="1551845194">
              <w:marLeft w:val="0"/>
              <w:marRight w:val="0"/>
              <w:marTop w:val="0"/>
              <w:marBottom w:val="0"/>
              <w:divBdr>
                <w:top w:val="none" w:sz="0" w:space="0" w:color="auto"/>
                <w:left w:val="none" w:sz="0" w:space="0" w:color="auto"/>
                <w:bottom w:val="none" w:sz="0" w:space="0" w:color="auto"/>
                <w:right w:val="none" w:sz="0" w:space="0" w:color="auto"/>
              </w:divBdr>
            </w:div>
            <w:div w:id="2119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1197">
      <w:bodyDiv w:val="1"/>
      <w:marLeft w:val="0"/>
      <w:marRight w:val="0"/>
      <w:marTop w:val="0"/>
      <w:marBottom w:val="0"/>
      <w:divBdr>
        <w:top w:val="none" w:sz="0" w:space="0" w:color="auto"/>
        <w:left w:val="none" w:sz="0" w:space="0" w:color="auto"/>
        <w:bottom w:val="none" w:sz="0" w:space="0" w:color="auto"/>
        <w:right w:val="none" w:sz="0" w:space="0" w:color="auto"/>
      </w:divBdr>
      <w:divsChild>
        <w:div w:id="272595588">
          <w:marLeft w:val="0"/>
          <w:marRight w:val="0"/>
          <w:marTop w:val="0"/>
          <w:marBottom w:val="0"/>
          <w:divBdr>
            <w:top w:val="none" w:sz="0" w:space="0" w:color="auto"/>
            <w:left w:val="none" w:sz="0" w:space="0" w:color="auto"/>
            <w:bottom w:val="none" w:sz="0" w:space="0" w:color="auto"/>
            <w:right w:val="none" w:sz="0" w:space="0" w:color="auto"/>
          </w:divBdr>
          <w:divsChild>
            <w:div w:id="1094476527">
              <w:marLeft w:val="0"/>
              <w:marRight w:val="0"/>
              <w:marTop w:val="0"/>
              <w:marBottom w:val="0"/>
              <w:divBdr>
                <w:top w:val="none" w:sz="0" w:space="0" w:color="auto"/>
                <w:left w:val="none" w:sz="0" w:space="0" w:color="auto"/>
                <w:bottom w:val="none" w:sz="0" w:space="0" w:color="auto"/>
                <w:right w:val="none" w:sz="0" w:space="0" w:color="auto"/>
              </w:divBdr>
              <w:divsChild>
                <w:div w:id="5894318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814">
      <w:bodyDiv w:val="1"/>
      <w:marLeft w:val="0"/>
      <w:marRight w:val="0"/>
      <w:marTop w:val="0"/>
      <w:marBottom w:val="0"/>
      <w:divBdr>
        <w:top w:val="none" w:sz="0" w:space="0" w:color="auto"/>
        <w:left w:val="none" w:sz="0" w:space="0" w:color="auto"/>
        <w:bottom w:val="none" w:sz="0" w:space="0" w:color="auto"/>
        <w:right w:val="none" w:sz="0" w:space="0" w:color="auto"/>
      </w:divBdr>
    </w:div>
    <w:div w:id="1572693570">
      <w:bodyDiv w:val="1"/>
      <w:marLeft w:val="0"/>
      <w:marRight w:val="0"/>
      <w:marTop w:val="0"/>
      <w:marBottom w:val="0"/>
      <w:divBdr>
        <w:top w:val="none" w:sz="0" w:space="0" w:color="auto"/>
        <w:left w:val="none" w:sz="0" w:space="0" w:color="auto"/>
        <w:bottom w:val="none" w:sz="0" w:space="0" w:color="auto"/>
        <w:right w:val="none" w:sz="0" w:space="0" w:color="auto"/>
      </w:divBdr>
      <w:divsChild>
        <w:div w:id="1268537933">
          <w:marLeft w:val="0"/>
          <w:marRight w:val="0"/>
          <w:marTop w:val="0"/>
          <w:marBottom w:val="0"/>
          <w:divBdr>
            <w:top w:val="none" w:sz="0" w:space="0" w:color="auto"/>
            <w:left w:val="none" w:sz="0" w:space="0" w:color="auto"/>
            <w:bottom w:val="none" w:sz="0" w:space="0" w:color="auto"/>
            <w:right w:val="none" w:sz="0" w:space="0" w:color="auto"/>
          </w:divBdr>
        </w:div>
      </w:divsChild>
    </w:div>
    <w:div w:id="1861502433">
      <w:bodyDiv w:val="1"/>
      <w:marLeft w:val="0"/>
      <w:marRight w:val="0"/>
      <w:marTop w:val="0"/>
      <w:marBottom w:val="0"/>
      <w:divBdr>
        <w:top w:val="none" w:sz="0" w:space="0" w:color="auto"/>
        <w:left w:val="none" w:sz="0" w:space="0" w:color="auto"/>
        <w:bottom w:val="none" w:sz="0" w:space="0" w:color="auto"/>
        <w:right w:val="none" w:sz="0" w:space="0" w:color="auto"/>
      </w:divBdr>
      <w:divsChild>
        <w:div w:id="1240485956">
          <w:marLeft w:val="0"/>
          <w:marRight w:val="0"/>
          <w:marTop w:val="0"/>
          <w:marBottom w:val="0"/>
          <w:divBdr>
            <w:top w:val="none" w:sz="0" w:space="0" w:color="auto"/>
            <w:left w:val="none" w:sz="0" w:space="0" w:color="auto"/>
            <w:bottom w:val="none" w:sz="0" w:space="0" w:color="auto"/>
            <w:right w:val="none" w:sz="0" w:space="0" w:color="auto"/>
          </w:divBdr>
          <w:divsChild>
            <w:div w:id="832838119">
              <w:marLeft w:val="0"/>
              <w:marRight w:val="0"/>
              <w:marTop w:val="0"/>
              <w:marBottom w:val="0"/>
              <w:divBdr>
                <w:top w:val="none" w:sz="0" w:space="0" w:color="auto"/>
                <w:left w:val="none" w:sz="0" w:space="0" w:color="auto"/>
                <w:bottom w:val="none" w:sz="0" w:space="0" w:color="auto"/>
                <w:right w:val="none" w:sz="0" w:space="0" w:color="auto"/>
              </w:divBdr>
              <w:divsChild>
                <w:div w:id="20246308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9029">
      <w:bodyDiv w:val="1"/>
      <w:marLeft w:val="0"/>
      <w:marRight w:val="0"/>
      <w:marTop w:val="0"/>
      <w:marBottom w:val="0"/>
      <w:divBdr>
        <w:top w:val="none" w:sz="0" w:space="0" w:color="auto"/>
        <w:left w:val="none" w:sz="0" w:space="0" w:color="auto"/>
        <w:bottom w:val="none" w:sz="0" w:space="0" w:color="auto"/>
        <w:right w:val="none" w:sz="0" w:space="0" w:color="auto"/>
      </w:divBdr>
      <w:divsChild>
        <w:div w:id="1965503796">
          <w:marLeft w:val="0"/>
          <w:marRight w:val="0"/>
          <w:marTop w:val="0"/>
          <w:marBottom w:val="0"/>
          <w:divBdr>
            <w:top w:val="none" w:sz="0" w:space="0" w:color="auto"/>
            <w:left w:val="none" w:sz="0" w:space="0" w:color="auto"/>
            <w:bottom w:val="none" w:sz="0" w:space="0" w:color="auto"/>
            <w:right w:val="none" w:sz="0" w:space="0" w:color="auto"/>
          </w:divBdr>
        </w:div>
        <w:div w:id="834027576">
          <w:marLeft w:val="0"/>
          <w:marRight w:val="0"/>
          <w:marTop w:val="0"/>
          <w:marBottom w:val="0"/>
          <w:divBdr>
            <w:top w:val="none" w:sz="0" w:space="0" w:color="auto"/>
            <w:left w:val="none" w:sz="0" w:space="0" w:color="auto"/>
            <w:bottom w:val="none" w:sz="0" w:space="0" w:color="auto"/>
            <w:right w:val="none" w:sz="0" w:space="0" w:color="auto"/>
          </w:divBdr>
        </w:div>
        <w:div w:id="890851313">
          <w:marLeft w:val="0"/>
          <w:marRight w:val="0"/>
          <w:marTop w:val="0"/>
          <w:marBottom w:val="0"/>
          <w:divBdr>
            <w:top w:val="none" w:sz="0" w:space="0" w:color="auto"/>
            <w:left w:val="none" w:sz="0" w:space="0" w:color="auto"/>
            <w:bottom w:val="none" w:sz="0" w:space="0" w:color="auto"/>
            <w:right w:val="none" w:sz="0" w:space="0" w:color="auto"/>
          </w:divBdr>
        </w:div>
        <w:div w:id="1940718686">
          <w:marLeft w:val="0"/>
          <w:marRight w:val="0"/>
          <w:marTop w:val="0"/>
          <w:marBottom w:val="0"/>
          <w:divBdr>
            <w:top w:val="none" w:sz="0" w:space="0" w:color="auto"/>
            <w:left w:val="none" w:sz="0" w:space="0" w:color="auto"/>
            <w:bottom w:val="none" w:sz="0" w:space="0" w:color="auto"/>
            <w:right w:val="none" w:sz="0" w:space="0" w:color="auto"/>
          </w:divBdr>
        </w:div>
        <w:div w:id="350569791">
          <w:marLeft w:val="0"/>
          <w:marRight w:val="0"/>
          <w:marTop w:val="0"/>
          <w:marBottom w:val="0"/>
          <w:divBdr>
            <w:top w:val="none" w:sz="0" w:space="0" w:color="auto"/>
            <w:left w:val="none" w:sz="0" w:space="0" w:color="auto"/>
            <w:bottom w:val="none" w:sz="0" w:space="0" w:color="auto"/>
            <w:right w:val="none" w:sz="0" w:space="0" w:color="auto"/>
          </w:divBdr>
        </w:div>
        <w:div w:id="306787299">
          <w:marLeft w:val="0"/>
          <w:marRight w:val="0"/>
          <w:marTop w:val="0"/>
          <w:marBottom w:val="0"/>
          <w:divBdr>
            <w:top w:val="none" w:sz="0" w:space="0" w:color="auto"/>
            <w:left w:val="none" w:sz="0" w:space="0" w:color="auto"/>
            <w:bottom w:val="none" w:sz="0" w:space="0" w:color="auto"/>
            <w:right w:val="none" w:sz="0" w:space="0" w:color="auto"/>
          </w:divBdr>
        </w:div>
        <w:div w:id="348920523">
          <w:marLeft w:val="0"/>
          <w:marRight w:val="0"/>
          <w:marTop w:val="0"/>
          <w:marBottom w:val="0"/>
          <w:divBdr>
            <w:top w:val="none" w:sz="0" w:space="0" w:color="auto"/>
            <w:left w:val="none" w:sz="0" w:space="0" w:color="auto"/>
            <w:bottom w:val="none" w:sz="0" w:space="0" w:color="auto"/>
            <w:right w:val="none" w:sz="0" w:space="0" w:color="auto"/>
          </w:divBdr>
        </w:div>
        <w:div w:id="2093817549">
          <w:marLeft w:val="0"/>
          <w:marRight w:val="0"/>
          <w:marTop w:val="0"/>
          <w:marBottom w:val="0"/>
          <w:divBdr>
            <w:top w:val="none" w:sz="0" w:space="0" w:color="auto"/>
            <w:left w:val="none" w:sz="0" w:space="0" w:color="auto"/>
            <w:bottom w:val="none" w:sz="0" w:space="0" w:color="auto"/>
            <w:right w:val="none" w:sz="0" w:space="0" w:color="auto"/>
          </w:divBdr>
        </w:div>
        <w:div w:id="721053396">
          <w:marLeft w:val="0"/>
          <w:marRight w:val="0"/>
          <w:marTop w:val="0"/>
          <w:marBottom w:val="0"/>
          <w:divBdr>
            <w:top w:val="none" w:sz="0" w:space="0" w:color="auto"/>
            <w:left w:val="none" w:sz="0" w:space="0" w:color="auto"/>
            <w:bottom w:val="none" w:sz="0" w:space="0" w:color="auto"/>
            <w:right w:val="none" w:sz="0" w:space="0" w:color="auto"/>
          </w:divBdr>
        </w:div>
        <w:div w:id="1921524022">
          <w:marLeft w:val="0"/>
          <w:marRight w:val="0"/>
          <w:marTop w:val="0"/>
          <w:marBottom w:val="0"/>
          <w:divBdr>
            <w:top w:val="none" w:sz="0" w:space="0" w:color="auto"/>
            <w:left w:val="none" w:sz="0" w:space="0" w:color="auto"/>
            <w:bottom w:val="none" w:sz="0" w:space="0" w:color="auto"/>
            <w:right w:val="none" w:sz="0" w:space="0" w:color="auto"/>
          </w:divBdr>
        </w:div>
        <w:div w:id="578904641">
          <w:marLeft w:val="0"/>
          <w:marRight w:val="0"/>
          <w:marTop w:val="0"/>
          <w:marBottom w:val="0"/>
          <w:divBdr>
            <w:top w:val="none" w:sz="0" w:space="0" w:color="auto"/>
            <w:left w:val="none" w:sz="0" w:space="0" w:color="auto"/>
            <w:bottom w:val="none" w:sz="0" w:space="0" w:color="auto"/>
            <w:right w:val="none" w:sz="0" w:space="0" w:color="auto"/>
          </w:divBdr>
        </w:div>
        <w:div w:id="15692380">
          <w:marLeft w:val="0"/>
          <w:marRight w:val="0"/>
          <w:marTop w:val="0"/>
          <w:marBottom w:val="0"/>
          <w:divBdr>
            <w:top w:val="none" w:sz="0" w:space="0" w:color="auto"/>
            <w:left w:val="none" w:sz="0" w:space="0" w:color="auto"/>
            <w:bottom w:val="none" w:sz="0" w:space="0" w:color="auto"/>
            <w:right w:val="none" w:sz="0" w:space="0" w:color="auto"/>
          </w:divBdr>
        </w:div>
        <w:div w:id="1483935133">
          <w:marLeft w:val="0"/>
          <w:marRight w:val="0"/>
          <w:marTop w:val="0"/>
          <w:marBottom w:val="0"/>
          <w:divBdr>
            <w:top w:val="none" w:sz="0" w:space="0" w:color="auto"/>
            <w:left w:val="none" w:sz="0" w:space="0" w:color="auto"/>
            <w:bottom w:val="none" w:sz="0" w:space="0" w:color="auto"/>
            <w:right w:val="none" w:sz="0" w:space="0" w:color="auto"/>
          </w:divBdr>
        </w:div>
        <w:div w:id="1136143085">
          <w:marLeft w:val="0"/>
          <w:marRight w:val="0"/>
          <w:marTop w:val="0"/>
          <w:marBottom w:val="0"/>
          <w:divBdr>
            <w:top w:val="none" w:sz="0" w:space="0" w:color="auto"/>
            <w:left w:val="none" w:sz="0" w:space="0" w:color="auto"/>
            <w:bottom w:val="none" w:sz="0" w:space="0" w:color="auto"/>
            <w:right w:val="none" w:sz="0" w:space="0" w:color="auto"/>
          </w:divBdr>
        </w:div>
        <w:div w:id="1424449144">
          <w:marLeft w:val="0"/>
          <w:marRight w:val="0"/>
          <w:marTop w:val="0"/>
          <w:marBottom w:val="0"/>
          <w:divBdr>
            <w:top w:val="none" w:sz="0" w:space="0" w:color="auto"/>
            <w:left w:val="none" w:sz="0" w:space="0" w:color="auto"/>
            <w:bottom w:val="none" w:sz="0" w:space="0" w:color="auto"/>
            <w:right w:val="none" w:sz="0" w:space="0" w:color="auto"/>
          </w:divBdr>
        </w:div>
        <w:div w:id="1484616661">
          <w:marLeft w:val="0"/>
          <w:marRight w:val="0"/>
          <w:marTop w:val="0"/>
          <w:marBottom w:val="0"/>
          <w:divBdr>
            <w:top w:val="none" w:sz="0" w:space="0" w:color="auto"/>
            <w:left w:val="none" w:sz="0" w:space="0" w:color="auto"/>
            <w:bottom w:val="none" w:sz="0" w:space="0" w:color="auto"/>
            <w:right w:val="none" w:sz="0" w:space="0" w:color="auto"/>
          </w:divBdr>
        </w:div>
        <w:div w:id="1564095488">
          <w:marLeft w:val="0"/>
          <w:marRight w:val="0"/>
          <w:marTop w:val="0"/>
          <w:marBottom w:val="0"/>
          <w:divBdr>
            <w:top w:val="none" w:sz="0" w:space="0" w:color="auto"/>
            <w:left w:val="none" w:sz="0" w:space="0" w:color="auto"/>
            <w:bottom w:val="none" w:sz="0" w:space="0" w:color="auto"/>
            <w:right w:val="none" w:sz="0" w:space="0" w:color="auto"/>
          </w:divBdr>
        </w:div>
        <w:div w:id="1760590696">
          <w:marLeft w:val="0"/>
          <w:marRight w:val="0"/>
          <w:marTop w:val="0"/>
          <w:marBottom w:val="0"/>
          <w:divBdr>
            <w:top w:val="none" w:sz="0" w:space="0" w:color="auto"/>
            <w:left w:val="none" w:sz="0" w:space="0" w:color="auto"/>
            <w:bottom w:val="none" w:sz="0" w:space="0" w:color="auto"/>
            <w:right w:val="none" w:sz="0" w:space="0" w:color="auto"/>
          </w:divBdr>
        </w:div>
        <w:div w:id="10573520">
          <w:marLeft w:val="0"/>
          <w:marRight w:val="0"/>
          <w:marTop w:val="0"/>
          <w:marBottom w:val="0"/>
          <w:divBdr>
            <w:top w:val="none" w:sz="0" w:space="0" w:color="auto"/>
            <w:left w:val="none" w:sz="0" w:space="0" w:color="auto"/>
            <w:bottom w:val="none" w:sz="0" w:space="0" w:color="auto"/>
            <w:right w:val="none" w:sz="0" w:space="0" w:color="auto"/>
          </w:divBdr>
        </w:div>
        <w:div w:id="433981481">
          <w:marLeft w:val="0"/>
          <w:marRight w:val="0"/>
          <w:marTop w:val="0"/>
          <w:marBottom w:val="0"/>
          <w:divBdr>
            <w:top w:val="none" w:sz="0" w:space="0" w:color="auto"/>
            <w:left w:val="none" w:sz="0" w:space="0" w:color="auto"/>
            <w:bottom w:val="none" w:sz="0" w:space="0" w:color="auto"/>
            <w:right w:val="none" w:sz="0" w:space="0" w:color="auto"/>
          </w:divBdr>
        </w:div>
        <w:div w:id="680818974">
          <w:marLeft w:val="0"/>
          <w:marRight w:val="0"/>
          <w:marTop w:val="0"/>
          <w:marBottom w:val="0"/>
          <w:divBdr>
            <w:top w:val="none" w:sz="0" w:space="0" w:color="auto"/>
            <w:left w:val="none" w:sz="0" w:space="0" w:color="auto"/>
            <w:bottom w:val="none" w:sz="0" w:space="0" w:color="auto"/>
            <w:right w:val="none" w:sz="0" w:space="0" w:color="auto"/>
          </w:divBdr>
        </w:div>
        <w:div w:id="693843099">
          <w:marLeft w:val="0"/>
          <w:marRight w:val="0"/>
          <w:marTop w:val="0"/>
          <w:marBottom w:val="0"/>
          <w:divBdr>
            <w:top w:val="none" w:sz="0" w:space="0" w:color="auto"/>
            <w:left w:val="none" w:sz="0" w:space="0" w:color="auto"/>
            <w:bottom w:val="none" w:sz="0" w:space="0" w:color="auto"/>
            <w:right w:val="none" w:sz="0" w:space="0" w:color="auto"/>
          </w:divBdr>
        </w:div>
        <w:div w:id="1186019036">
          <w:marLeft w:val="0"/>
          <w:marRight w:val="0"/>
          <w:marTop w:val="0"/>
          <w:marBottom w:val="0"/>
          <w:divBdr>
            <w:top w:val="none" w:sz="0" w:space="0" w:color="auto"/>
            <w:left w:val="none" w:sz="0" w:space="0" w:color="auto"/>
            <w:bottom w:val="none" w:sz="0" w:space="0" w:color="auto"/>
            <w:right w:val="none" w:sz="0" w:space="0" w:color="auto"/>
          </w:divBdr>
        </w:div>
        <w:div w:id="1071537805">
          <w:marLeft w:val="0"/>
          <w:marRight w:val="0"/>
          <w:marTop w:val="0"/>
          <w:marBottom w:val="0"/>
          <w:divBdr>
            <w:top w:val="none" w:sz="0" w:space="0" w:color="auto"/>
            <w:left w:val="none" w:sz="0" w:space="0" w:color="auto"/>
            <w:bottom w:val="none" w:sz="0" w:space="0" w:color="auto"/>
            <w:right w:val="none" w:sz="0" w:space="0" w:color="auto"/>
          </w:divBdr>
        </w:div>
        <w:div w:id="1819029231">
          <w:marLeft w:val="0"/>
          <w:marRight w:val="0"/>
          <w:marTop w:val="0"/>
          <w:marBottom w:val="0"/>
          <w:divBdr>
            <w:top w:val="none" w:sz="0" w:space="0" w:color="auto"/>
            <w:left w:val="none" w:sz="0" w:space="0" w:color="auto"/>
            <w:bottom w:val="none" w:sz="0" w:space="0" w:color="auto"/>
            <w:right w:val="none" w:sz="0" w:space="0" w:color="auto"/>
          </w:divBdr>
        </w:div>
        <w:div w:id="261497983">
          <w:marLeft w:val="0"/>
          <w:marRight w:val="0"/>
          <w:marTop w:val="0"/>
          <w:marBottom w:val="0"/>
          <w:divBdr>
            <w:top w:val="none" w:sz="0" w:space="0" w:color="auto"/>
            <w:left w:val="none" w:sz="0" w:space="0" w:color="auto"/>
            <w:bottom w:val="none" w:sz="0" w:space="0" w:color="auto"/>
            <w:right w:val="none" w:sz="0" w:space="0" w:color="auto"/>
          </w:divBdr>
        </w:div>
        <w:div w:id="903562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EB68-B4BC-4BCF-BBAC-0F5C523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1</TotalTime>
  <Pages>11</Pages>
  <Words>4543</Words>
  <Characters>24989</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CED/C/11/3</dc:title>
  <dc:subject/>
  <dc:creator>Generic TPSSPA1</dc:creator>
  <cp:keywords/>
  <dc:description/>
  <cp:lastModifiedBy>Generic TPSSPA1</cp:lastModifiedBy>
  <cp:revision>3</cp:revision>
  <cp:lastPrinted>2016-11-16T13:42:00Z</cp:lastPrinted>
  <dcterms:created xsi:type="dcterms:W3CDTF">2016-11-16T13:42:00Z</dcterms:created>
  <dcterms:modified xsi:type="dcterms:W3CDTF">2016-11-16T13:43:00Z</dcterms:modified>
</cp:coreProperties>
</file>