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940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940FB" w:rsidP="007940FB">
            <w:pPr>
              <w:jc w:val="right"/>
            </w:pPr>
            <w:r w:rsidRPr="007940FB">
              <w:rPr>
                <w:sz w:val="40"/>
              </w:rPr>
              <w:t>CERD</w:t>
            </w:r>
            <w:r>
              <w:t>/C/SLV/CO/18-19</w:t>
            </w:r>
          </w:p>
        </w:tc>
      </w:tr>
      <w:tr w:rsidR="002D5AAC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940FB" w:rsidP="008D2AAD">
            <w:pPr>
              <w:spacing w:before="240"/>
            </w:pPr>
            <w:r>
              <w:t>Distr.: General</w:t>
            </w:r>
          </w:p>
          <w:p w:rsidR="007940FB" w:rsidRDefault="007940FB" w:rsidP="007940FB">
            <w:pPr>
              <w:spacing w:line="240" w:lineRule="exact"/>
            </w:pPr>
            <w:r>
              <w:t>13 September 2019</w:t>
            </w:r>
          </w:p>
          <w:p w:rsidR="007940FB" w:rsidRDefault="007940FB" w:rsidP="007940FB">
            <w:pPr>
              <w:spacing w:line="240" w:lineRule="exact"/>
            </w:pPr>
            <w:r>
              <w:t>Russian</w:t>
            </w:r>
          </w:p>
          <w:p w:rsidR="007940FB" w:rsidRPr="007C46C9" w:rsidRDefault="003C197D" w:rsidP="007940FB">
            <w:pPr>
              <w:spacing w:line="240" w:lineRule="exact"/>
            </w:pPr>
            <w:r>
              <w:t>Original: Span</w:t>
            </w:r>
            <w:r w:rsidR="007940FB">
              <w:t>ish</w:t>
            </w:r>
          </w:p>
        </w:tc>
      </w:tr>
    </w:tbl>
    <w:p w:rsidR="007940FB" w:rsidRPr="001C740D" w:rsidRDefault="007940FB" w:rsidP="007940FB">
      <w:pPr>
        <w:spacing w:before="120"/>
        <w:rPr>
          <w:b/>
          <w:sz w:val="24"/>
          <w:szCs w:val="24"/>
        </w:rPr>
      </w:pPr>
      <w:r w:rsidRPr="001C740D">
        <w:rPr>
          <w:b/>
          <w:sz w:val="24"/>
          <w:szCs w:val="24"/>
        </w:rPr>
        <w:t>Комитет по ликвидации расовой дискриминации</w:t>
      </w:r>
    </w:p>
    <w:p w:rsidR="007940FB" w:rsidRPr="001C740D" w:rsidRDefault="007940FB" w:rsidP="007940FB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восемнадцатому и девятнадцатому периодическим докладам Сальвадора</w:t>
      </w:r>
      <w:r w:rsidRPr="003C197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7940FB" w:rsidRPr="001C740D" w:rsidRDefault="007940FB" w:rsidP="007940FB">
      <w:pPr>
        <w:pStyle w:val="SingleTxtG"/>
      </w:pPr>
      <w:r>
        <w:t>1.</w:t>
      </w:r>
      <w:r>
        <w:tab/>
        <w:t>Комитет рассмотрел объединенные восемнадцатый и девятнадцатый периодические доклады Сальвадора (CERD/C/SLV/18-19), представленные в одном документе, на своих 2743-м и 2744-м заседаниях (CERD/C/SR.2743 и 2744), состоявшихся 7 и 8 августа 2019 года. На своем 2762-м заседании, состоявшемся 22</w:t>
      </w:r>
      <w:r w:rsidR="003C197D">
        <w:rPr>
          <w:lang w:val="en-US"/>
        </w:rPr>
        <w:t> </w:t>
      </w:r>
      <w:r>
        <w:t>августа 2019 года, Комитет принял следующие заключительные замечания.</w:t>
      </w:r>
    </w:p>
    <w:p w:rsidR="007940FB" w:rsidRPr="001C740D" w:rsidRDefault="007940FB" w:rsidP="007940FB">
      <w:pPr>
        <w:pStyle w:val="H1G"/>
      </w:pPr>
      <w:r>
        <w:tab/>
        <w:t>A.</w:t>
      </w:r>
      <w:r>
        <w:tab/>
      </w:r>
      <w:r>
        <w:tab/>
      </w:r>
      <w:r>
        <w:rPr>
          <w:bCs/>
        </w:rPr>
        <w:t>Введение</w:t>
      </w:r>
    </w:p>
    <w:p w:rsidR="007940FB" w:rsidRPr="001C740D" w:rsidRDefault="007940FB" w:rsidP="007940FB">
      <w:pPr>
        <w:pStyle w:val="SingleTxtG"/>
      </w:pPr>
      <w:r>
        <w:t>2.</w:t>
      </w:r>
      <w:r>
        <w:tab/>
        <w:t xml:space="preserve">Комитет приветствует представление объединенных восемнадцатого и девятнадцатого периодических докладов государства-участника. Комитет с удовлетворением отмечает открытый диалог с делегацией государства-участника и благодарит за всю дополнительную информацию, доведенную до сведения Комитета. </w:t>
      </w:r>
    </w:p>
    <w:p w:rsidR="007940FB" w:rsidRPr="001C740D" w:rsidRDefault="007940FB" w:rsidP="007940FB">
      <w:pPr>
        <w:pStyle w:val="H1G"/>
      </w:pPr>
      <w:r>
        <w:tab/>
        <w:t>B.</w:t>
      </w:r>
      <w:r>
        <w:tab/>
      </w:r>
      <w:r>
        <w:tab/>
      </w:r>
      <w:r>
        <w:rPr>
          <w:bCs/>
        </w:rPr>
        <w:t>Позитивные аспекты</w:t>
      </w:r>
    </w:p>
    <w:p w:rsidR="007940FB" w:rsidRPr="001C740D" w:rsidRDefault="007940FB" w:rsidP="007940FB">
      <w:pPr>
        <w:pStyle w:val="SingleTxtG"/>
      </w:pPr>
      <w:r>
        <w:t>3.</w:t>
      </w:r>
      <w:r>
        <w:tab/>
        <w:t xml:space="preserve">Комитет приветствует ратификацию 9 февраля 2015 года Факультативного протокола к Конвенции о правах ребенка, касающегося процедуры сообщений. </w:t>
      </w:r>
    </w:p>
    <w:p w:rsidR="007940FB" w:rsidRPr="001C740D" w:rsidRDefault="007940FB" w:rsidP="007940FB">
      <w:pPr>
        <w:pStyle w:val="SingleTxtG"/>
      </w:pPr>
      <w:r>
        <w:t>4.</w:t>
      </w:r>
      <w:r>
        <w:tab/>
        <w:t xml:space="preserve">Комитет приветствует заявление государства-участника от 23 марта 2016 года, в котором государство-участник признало компетенцию Комитета получать и рассматривать индивидуальные сообщения в соответствии со статьей 14 Конвенции. </w:t>
      </w:r>
    </w:p>
    <w:p w:rsidR="007940FB" w:rsidRPr="001C740D" w:rsidRDefault="007940FB" w:rsidP="007940FB">
      <w:pPr>
        <w:pStyle w:val="SingleTxtG"/>
      </w:pPr>
      <w:r>
        <w:t>5.</w:t>
      </w:r>
      <w:r>
        <w:tab/>
        <w:t xml:space="preserve">Комитет приветствует также принятие в 2018 году Государственной политики в интересах коренных народов, Национальной политики в области здравоохранения в интересах коренных народов и Национального плана действий в интересах коренных народов. </w:t>
      </w:r>
    </w:p>
    <w:p w:rsidR="007940FB" w:rsidRPr="001C740D" w:rsidRDefault="007940FB" w:rsidP="007940FB">
      <w:pPr>
        <w:pStyle w:val="H1G"/>
      </w:pPr>
      <w:r>
        <w:tab/>
        <w:t>C.</w:t>
      </w:r>
      <w:r>
        <w:tab/>
      </w:r>
      <w:r>
        <w:tab/>
      </w:r>
      <w:r>
        <w:rPr>
          <w:bCs/>
        </w:rPr>
        <w:t>Вопросы, вызывающие обеспокоенность, и рекомендации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Статистические данные и перепись населения</w:t>
      </w:r>
    </w:p>
    <w:p w:rsidR="007940FB" w:rsidRPr="001C740D" w:rsidRDefault="007940FB" w:rsidP="007940FB">
      <w:pPr>
        <w:pStyle w:val="SingleTxtG"/>
      </w:pPr>
      <w:r>
        <w:t>6.</w:t>
      </w:r>
      <w:r>
        <w:tab/>
        <w:t xml:space="preserve">Комитет сожалеет об отсутствии статистической информации о демографическом составе населения в разбивке по этническим группам, полу и возрасту, с тем чтобы Комитет мог оценить ход осуществления Конвенции и государственную политику в отношении групп, подвергающихся расовой дискриминации, в частности в отношении коренных народов, лиц африканского </w:t>
      </w:r>
      <w:r>
        <w:lastRenderedPageBreak/>
        <w:t xml:space="preserve">происхождения и мигрантов, беженцев, просителей убежища, внутренне перемещенных лиц, лиц без гражданства и других неграждан (статья 2). </w:t>
      </w:r>
    </w:p>
    <w:p w:rsidR="007940FB" w:rsidRPr="001C740D" w:rsidRDefault="007940FB" w:rsidP="007940FB">
      <w:pPr>
        <w:pStyle w:val="SingleTxtG"/>
        <w:rPr>
          <w:b/>
        </w:rPr>
      </w:pPr>
      <w:r>
        <w:t>7.</w:t>
      </w:r>
      <w:r>
        <w:tab/>
      </w:r>
      <w:r>
        <w:rPr>
          <w:b/>
          <w:bCs/>
        </w:rPr>
        <w:t>В свете своей предыдущей рекомендации (CERD/C/SLV/CO/16-17, пункт 9) и своей общей рекомендации № 4 (1973), касающейся представления докладов государствами-участниками, Комитет настоятельно призывает государство-участник принять в связи с вопросом демографического состава населения</w:t>
      </w:r>
      <w:r w:rsidRPr="00F67C3F">
        <w:rPr>
          <w:b/>
          <w:bCs/>
        </w:rPr>
        <w:t xml:space="preserve"> </w:t>
      </w:r>
      <w:r>
        <w:rPr>
          <w:b/>
          <w:bCs/>
        </w:rPr>
        <w:t>следующие меры, заключающиеся в то, чтобы: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получать надежные, обновляемые и всеобъемлющие данные о демографическом составе населения в разбивке по этническим группам, полу и возрасту в целях принятия мер в соответствии с обязательствами государства-участника по Конвенции;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обеспечивать участие коренных народов и лиц африканского происхождения в процессе утверждения и применения методологии VII переписи населения;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обеспечивать включение принципа самоидентификации в VII перепись населения в отношении коренных народов и лиц африканского происхождения;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провести в преддверии переписи населения информационно-просветительскую кампанию, предназначенную для коренных народов и лиц африканского происхождения.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Определение расовой дискриминации</w:t>
      </w:r>
    </w:p>
    <w:p w:rsidR="007940FB" w:rsidRPr="001C740D" w:rsidRDefault="007940FB" w:rsidP="007940FB">
      <w:pPr>
        <w:pStyle w:val="SingleTxtG"/>
      </w:pPr>
      <w:r>
        <w:t>8.</w:t>
      </w:r>
      <w:r>
        <w:tab/>
        <w:t xml:space="preserve">Комитет принимает к сведению статью 3 Конституции и статью 30 Закона о культуре 2016 года, касающиеся равенства и недискриминации. Вместе с тем Комитет вновь выражает обеспокоенность в связи с неадекватностью определения расовой дискриминации в законодательных положениях государства-участника, поскольку оно не включает в себя все закрепленные в Конвенции элементы определения расовой дискриминации, в частности в отношении ненавистнических высказываний расистского толка. В этой связи Комитет выражает обеспокоенность расистскими и дискриминационными высказываниями государственных должностных лиц в отношении представителей коренных народов (статья 1). </w:t>
      </w:r>
    </w:p>
    <w:p w:rsidR="007940FB" w:rsidRPr="001C740D" w:rsidRDefault="007940FB" w:rsidP="007940FB">
      <w:pPr>
        <w:pStyle w:val="SingleTxtG"/>
        <w:rPr>
          <w:b/>
        </w:rPr>
      </w:pPr>
      <w:r>
        <w:t>9.</w:t>
      </w:r>
      <w:r>
        <w:tab/>
      </w:r>
      <w:r>
        <w:rPr>
          <w:b/>
          <w:bCs/>
        </w:rPr>
        <w:t>Принимая во внимание свои общие рекомендации № 14 (1993) по пункту 1 статьи 1 Конвенции, № 29 (2002) о дискриминации по признаку родового происхождения, № 15 (1993) по статье 4 Конвенции и № 35 (2013) о борьбе с ненавистническими высказываниями расистского толка, Комитет вновь рекомендует государству-участнику принять меры для того, чтобы: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привести действующие положения о расовой дискриминации в соответствие с определением, содержащимся в статье 1 Конвенции, путем принятия основного закона.</w:t>
      </w:r>
      <w:r>
        <w:t xml:space="preserve"> </w:t>
      </w:r>
      <w:r>
        <w:rPr>
          <w:b/>
          <w:bCs/>
        </w:rPr>
        <w:t>В этой связи Комитет подчеркивает полезность наличия специального закона о борьбе с расовой дискриминацией (CERD/C/SLV/CO/16-17, пункт 11);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>принять национальную политику повышения осведомленности о проблеме расовой дискриминации и поощрения межкультурного диалога, направленную на борьбу с расовыми стереотипами, ненавистническими высказываниями расистского толка и всеми формами расовой дискриминации (CERD/C/SLV/CO/16-17, пункт 12).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Запрещение расовой дискриминации</w:t>
      </w:r>
    </w:p>
    <w:p w:rsidR="007940FB" w:rsidRPr="001C740D" w:rsidRDefault="007940FB" w:rsidP="007940FB">
      <w:pPr>
        <w:pStyle w:val="SingleTxtG"/>
      </w:pPr>
      <w:r>
        <w:t>10.</w:t>
      </w:r>
      <w:r>
        <w:tab/>
        <w:t>Комитет обеспокоен тем, что законодательство государства-участника, в частности Уголовный кодекс, не охватывает все виды преступлений, перечисленных в статье 4 Конвенции (статья 4).</w:t>
      </w:r>
    </w:p>
    <w:p w:rsidR="007940FB" w:rsidRPr="001C740D" w:rsidRDefault="007940FB" w:rsidP="007940FB">
      <w:pPr>
        <w:pStyle w:val="SingleTxtG"/>
        <w:rPr>
          <w:b/>
        </w:rPr>
      </w:pPr>
      <w:r>
        <w:t>11.</w:t>
      </w:r>
      <w:r>
        <w:tab/>
      </w:r>
      <w:r>
        <w:rPr>
          <w:b/>
          <w:bCs/>
        </w:rPr>
        <w:t xml:space="preserve">Комитет рекомендует государству-участнику привести действующие положения, касающиеся преступления расовой дискриминации, в частности </w:t>
      </w:r>
      <w:r>
        <w:rPr>
          <w:b/>
          <w:bCs/>
        </w:rPr>
        <w:lastRenderedPageBreak/>
        <w:t>статью 30 Закона о культуре и статью 292 Уголовного кодекса, в соответствие с положениями статьи 4 Конвенции (CERD/C/SLV/CO/16-17, пункт 12).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Институциональные рамки борьбы с расовой дискриминацией</w:t>
      </w:r>
    </w:p>
    <w:p w:rsidR="007940FB" w:rsidRPr="001C740D" w:rsidRDefault="007940FB" w:rsidP="007940FB">
      <w:pPr>
        <w:pStyle w:val="SingleTxtG"/>
      </w:pPr>
      <w:r>
        <w:t>12.</w:t>
      </w:r>
      <w:r>
        <w:tab/>
        <w:t xml:space="preserve">Комитет обеспокоен отсутствием государственного органа, конкретно занимающегося вопросами ликвидации расовой дискриминации. Принимая к сведению деятельность Управления по делам коренных народов в составе Министерства культуры, Комитет все же обеспокоен тем, что осуществление Конвенции в отношении коренных народов ограничивается сферой культурной политики (статья 2). </w:t>
      </w:r>
    </w:p>
    <w:p w:rsidR="007940FB" w:rsidRPr="001C740D" w:rsidRDefault="007940FB" w:rsidP="007940FB">
      <w:pPr>
        <w:pStyle w:val="SingleTxtG"/>
        <w:rPr>
          <w:b/>
        </w:rPr>
      </w:pPr>
      <w:r>
        <w:t>13.</w:t>
      </w:r>
      <w:r>
        <w:tab/>
      </w:r>
      <w:r>
        <w:rPr>
          <w:b/>
          <w:bCs/>
        </w:rPr>
        <w:t>В свете своей общей рекомендации № 17 (1993) о создании национальных институтов по содействию осуществлению Конвенции Комитет рекомендует государству-участнику принять следующие меры: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создать государственный орган, отвечающий за борьбу с расовой дискриминацией, обладающий компетенцией принимать жалобы на расовую дискриминацию и располагающий достаточными финансовыми ресурсами и соответствующим персоналом;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надлежащее финансирование Управления по защите прав человека;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укрепить Управление по делам коренных народов, расширив сферу его задач и обеспечив его достаточными финансовыми средствами и соответствующим персоналом.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Структурная дискриминация</w:t>
      </w:r>
    </w:p>
    <w:p w:rsidR="007940FB" w:rsidRPr="001C740D" w:rsidRDefault="007940FB" w:rsidP="007940FB">
      <w:pPr>
        <w:pStyle w:val="SingleTxtG"/>
      </w:pPr>
      <w:r>
        <w:t>14.</w:t>
      </w:r>
      <w:r>
        <w:tab/>
        <w:t>Комитет принимает к сведению меры в социально-экономической области, такие как Государственный п</w:t>
      </w:r>
      <w:r w:rsidR="00110A02">
        <w:t>ятилетний план развития на 2014–</w:t>
      </w:r>
      <w:r>
        <w:t xml:space="preserve">2019 годы, Закон о развитии и социальной защите 2014 года и Стратегия искоренения нищеты 2017 года. Комитет отмечает также создание в 2019 году Министерства социального обеспечения. Вместе с тем Комитет с обеспокоенностью отмечает, что условия нищеты и социальной изоляции по-прежнему в непропорционально большой степени затрагивают коренные народы, лиц африканского происхождения, а также мигрантов, беженцев, просителей убежища, апатридов, внутренне перемещенных лиц и лиц без гражданства (статьи 2 и 5). </w:t>
      </w:r>
    </w:p>
    <w:p w:rsidR="007940FB" w:rsidRPr="001C740D" w:rsidRDefault="007940FB" w:rsidP="007940FB">
      <w:pPr>
        <w:pStyle w:val="SingleTxtG"/>
        <w:rPr>
          <w:b/>
        </w:rPr>
      </w:pPr>
      <w:r>
        <w:t>15.</w:t>
      </w:r>
      <w:r>
        <w:tab/>
      </w:r>
      <w:r>
        <w:rPr>
          <w:b/>
          <w:bCs/>
        </w:rPr>
        <w:t>Принимая во внимание свою общую рекомендацию № 32 (2009) о значении и сфере применения особых мер в Конвенции, Комитет рекомендует государству-участнику принять всеобъемлющую национальную политику по борьбе с расовой дискриминацией и расизмом, реально способствующую социальной интеграции и снижению сохраняющихся высоких уровней нищеты и неравенства, которые затрагивают представителей коренных народов и лиц африканского происхождения, уделяя приоритетное внимание мерам по повышению уровня жизни детей, принадлежащих к этим группам.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Положение лиц африканского происхождения</w:t>
      </w:r>
    </w:p>
    <w:p w:rsidR="007940FB" w:rsidRPr="001C740D" w:rsidRDefault="007940FB" w:rsidP="007940FB">
      <w:pPr>
        <w:pStyle w:val="SingleTxtG"/>
      </w:pPr>
      <w:r>
        <w:t>16.</w:t>
      </w:r>
      <w:r>
        <w:tab/>
        <w:t>Комитет принимает к сведению представление в Законодательное собрание предложения о внесении поправки во второй пункт статьи 63 Конституции государства-участника, включающей признание существования лиц африканского происхождения. Отмечая инициативы по признанию истории и культуры лиц африканского происхождения, Комитет в то же время обеспокоен отсутствием национальной политики по защите их прав. Комитет также обеспокоен отсутствием государственного органа, конкретно занимающегося вопросами лиц африканского происхождения (статьи 2 и 5).</w:t>
      </w:r>
    </w:p>
    <w:p w:rsidR="007940FB" w:rsidRPr="001C740D" w:rsidRDefault="007940FB" w:rsidP="007940FB">
      <w:pPr>
        <w:pStyle w:val="SingleTxtG"/>
        <w:rPr>
          <w:b/>
        </w:rPr>
      </w:pPr>
      <w:r>
        <w:t>17.</w:t>
      </w:r>
      <w:r>
        <w:tab/>
      </w:r>
      <w:r>
        <w:rPr>
          <w:b/>
          <w:bCs/>
        </w:rPr>
        <w:t>В свете своей общей рекомендации № 34 (2011) о расовой дискриминации в отношении лиц африканского происхождения Комитет рекомендует государству-участнику принять необходимые меры, с тем чтобы: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lastRenderedPageBreak/>
        <w:t>a)</w:t>
      </w:r>
      <w:r>
        <w:tab/>
      </w:r>
      <w:r>
        <w:rPr>
          <w:b/>
          <w:bCs/>
        </w:rPr>
        <w:t>в возможно короткие сроки принять конституционную реформу для признания существования в государстве-участнике лиц африканского происхождения;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разработать инициативы по защите прав лиц африканского происхождения с участием представляющих их общин и организаций;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создать государственный орган по защите и поощрению прав лиц африканского происхождения.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Нормативно-правовые рамки прав коренных народов</w:t>
      </w:r>
    </w:p>
    <w:p w:rsidR="007940FB" w:rsidRPr="001C740D" w:rsidRDefault="007940FB" w:rsidP="007940FB">
      <w:pPr>
        <w:pStyle w:val="SingleTxtG"/>
      </w:pPr>
      <w:r>
        <w:t>18.</w:t>
      </w:r>
      <w:r>
        <w:tab/>
        <w:t xml:space="preserve">Комитет принимает к сведению конституционное признание коренных народов и законопроект о правах коренных народов, находящийся на рассмотрении в Законодательном собрании. Комитет отмечает, что Общий закон о культуре включает главу о правах коренных народов, и принимает к сведению семь муниципальных постановлений о правах коренных общин. Вместе с тем Комитет обеспокоен тем, что разработка нормативной базы и государственной политики основывается на Конвенции Международной организации труда (МОТ) 1957 года о коренном и другом населении, ведущем племенной образ жизни (№ 107), которая утратила свою актуальность и силу в международном праве по причине своей ассимиляционной ориентации. Кроме того, Комитет обеспокоен отсутствием надлежащих консультаций, посвященных законодательству о коренных народах, в частности муниципальным постановлениям и законопроекту о правах коренных народов (статьи 2 и 5). </w:t>
      </w:r>
    </w:p>
    <w:p w:rsidR="007940FB" w:rsidRPr="001C740D" w:rsidRDefault="007940FB" w:rsidP="007940FB">
      <w:pPr>
        <w:pStyle w:val="SingleTxtG"/>
        <w:rPr>
          <w:b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ускорить ратификацию Конвенции МОТ 1989 года о коренных народах и народах, ведущих племенной образ жизни (№ 169), в свете повторных рекомендаций Комитета (CERD/C/SLV/CO/14-15, пункт 15, и CERD/C/SLV/</w:t>
      </w:r>
      <w:r w:rsidR="00B83B31">
        <w:rPr>
          <w:b/>
          <w:bCs/>
        </w:rPr>
        <w:br/>
      </w:r>
      <w:r>
        <w:rPr>
          <w:b/>
          <w:bCs/>
        </w:rPr>
        <w:t>CO/16-17, пункт 16);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эффективно осуществлять Национальный план действий в интересах коренных народов;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гарантировать право коренных народов на участие и на предварительные консультации, позволяющие заручиться свободным и осознанным согласием по поводу законодательных изменений, которые касаются их прав.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Земли, территории и природные ресурсы</w:t>
      </w:r>
    </w:p>
    <w:p w:rsidR="007940FB" w:rsidRPr="001C740D" w:rsidRDefault="007940FB" w:rsidP="007940FB">
      <w:pPr>
        <w:pStyle w:val="SingleTxtG"/>
      </w:pPr>
      <w:r>
        <w:t>20.</w:t>
      </w:r>
      <w:r>
        <w:tab/>
        <w:t xml:space="preserve">Комитет выражает обеспокоенность по поводу ограниченности прав собственности на землю коренных народов и лиц африканского происхождения. Кроме того, хотя в государстве-участнике на базе Института сельскохозяйственных преобразований имеется регистр земель сельского населения, в нем отсутствует информация о землевладении коренных народов или лиц африканского происхождения. Комитет обеспокоен также трудностями, связанными с доступом к воде, в силу ее нехватки и деятельности банд, которые усугубляют сложившуюся ситуацию (статьи 2 и 5). </w:t>
      </w:r>
    </w:p>
    <w:p w:rsidR="007940FB" w:rsidRPr="001C740D" w:rsidRDefault="007940FB" w:rsidP="007940FB">
      <w:pPr>
        <w:pStyle w:val="SingleTxtG"/>
        <w:rPr>
          <w:b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продолжать усилия по обеспечению доступа к земле и территории путем предоставления индивидуальных и коллективных прав собственности коренным народам и лицам африканского происхождения в свете его общей рекомендации № 23 (1997) о правах коренных народов (CERD/C/SLV/CO/16-17, пункт 17);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осуществлять меры по защите земель, территорий и природных ресурсов, предусмотренные в Национальном плане действий в интересах коренных народов и направленные на обеспечение правовой защиты земель коренных народов, сохранение и защиту земель, территорий и природных ресурсов, а также обеспечение продовольственной и пищевой безопасности в соответствии с мировоззрением и самобытностью коренных народов;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lastRenderedPageBreak/>
        <w:t>c)</w:t>
      </w:r>
      <w:r>
        <w:tab/>
      </w:r>
      <w:r>
        <w:rPr>
          <w:b/>
          <w:bCs/>
        </w:rPr>
        <w:t>поддерживать и укреплять диалог в формате круглого стола между Министерством охраны окружающей среды и организациями коренных народов, в частности по вопросам политики, направленной на преодоление климатического кризиса;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принять меры, направленные на обеспечение доступа к воде для коренных народов и общин африканского происхождения, включая меры по защите от нападений со стороны банд.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Участие, предварительные консультации и свободное, предварительное и</w:t>
      </w:r>
      <w:r w:rsidR="00110A02">
        <w:rPr>
          <w:bCs/>
          <w:lang w:val="en-US"/>
        </w:rPr>
        <w:t> </w:t>
      </w:r>
      <w:r>
        <w:rPr>
          <w:bCs/>
        </w:rPr>
        <w:t>осознанное согласие</w:t>
      </w:r>
    </w:p>
    <w:p w:rsidR="007940FB" w:rsidRPr="001C740D" w:rsidRDefault="007940FB" w:rsidP="007940FB">
      <w:pPr>
        <w:pStyle w:val="SingleTxtG"/>
      </w:pPr>
      <w:r>
        <w:t>22.</w:t>
      </w:r>
      <w:r>
        <w:tab/>
        <w:t>Комитет отмечает, что право коренных народов на участие в принятии затрагивающих их решений закреплено в Законе о культуре и что право на консультации предусмотрено в статье 32 этого Закона, а также на местном уровне в муниципальных постановлениях. Комитет принимает к сведению, что в рамках Министерства культуры имеется</w:t>
      </w:r>
      <w:r w:rsidRPr="00EE7B99">
        <w:t xml:space="preserve"> </w:t>
      </w:r>
      <w:r>
        <w:t xml:space="preserve">межведомственный круглый стол по вопросам коренных народов, что законопроект о коренных народах предусматривает создание совета коренных народов и что организации коренных народов предложили создать межправительственный совет коренных народов Сальвадора. Отмечая, что государство-участник проводило консультации с коренными народами, Комитет в то же время выражает обеспокоенность тем, что эти консультации не проводились надлежащим образом, систематически и с участием организаций самих коренных народов (статьи 2 и 5). </w:t>
      </w:r>
    </w:p>
    <w:p w:rsidR="007940FB" w:rsidRPr="001C740D" w:rsidRDefault="007940FB" w:rsidP="007940FB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принимать необходимые меры, с тем чтобы гарантировать права коренных народов на консультации по любым законодательным или административным мерам, которые могут затрагивать их права, с целью получения свободного, предварительного и осознанного согласия, обеспечивая своевременный, систематический и транспарентный характер консультаций, должную представленность соответствующих народов и уважение культурных особенностей и традиций каждого народа, включая те, которые связаны с принятием решений.</w:t>
      </w:r>
      <w:r>
        <w:t xml:space="preserve"> </w:t>
      </w:r>
      <w:r>
        <w:rPr>
          <w:b/>
          <w:bCs/>
        </w:rPr>
        <w:t>В этой связи Комитет призывает государство-участник: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взять процесс разработки Национального плана действий в интересах коренных народов в качестве примера надлежащей практики проведения консультаций;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должным образом рассмотреть предложение о создании межправительственного совета коренных народов Сальвадора, внесенное организациями коренных народов;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провести консультации по выработке порядка действий или других национальных институциональных рамок для обеспечения права на консультации и свободное, предварительное и осознанное согласие;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обеспечить проведение надлежащих консультаций при разработке и осуществлении мероприятий Министерства культуры, касающихся коренных народов;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как можно скорее провести консультации по законопроекту о правах коренных народов, а также по разработке и осуществлению муниципальных постановлений;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>привести право на консультации, предусмотренное муниципальными постановлениями, в соответствие с национальным законодательством и положениями Конвенции.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Культурные права коренных народов</w:t>
      </w:r>
    </w:p>
    <w:p w:rsidR="007940FB" w:rsidRPr="001C740D" w:rsidRDefault="007940FB" w:rsidP="007940FB">
      <w:pPr>
        <w:pStyle w:val="SingleTxtG"/>
      </w:pPr>
      <w:r>
        <w:t>24.</w:t>
      </w:r>
      <w:r>
        <w:tab/>
        <w:t xml:space="preserve">Отмечая меры по возрождению языка науа-пипиль, Комитет в то же время выражает обеспокоенность отсутствием аналогичных мер в отношении языка писби народности какавира и языка потон народности ленка. Комитет обеспокоен также </w:t>
      </w:r>
      <w:r>
        <w:lastRenderedPageBreak/>
        <w:t xml:space="preserve">мерами по поощрению кустарных промыслов коренных народов и использованию их традиционных знаний без консультаций с коренными народами или получения их согласия и без гарантий соблюдения их прав в этой области (статья 5). </w:t>
      </w:r>
    </w:p>
    <w:p w:rsidR="007940FB" w:rsidRPr="001C740D" w:rsidRDefault="007940FB" w:rsidP="007940FB">
      <w:pPr>
        <w:pStyle w:val="SingleTxtG"/>
        <w:rPr>
          <w:b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разработать политику защиты и поощрения всех языков коренных народов, независимо от уровня их использования, включая проведение национального дня всех языков коренных народов;</w:t>
      </w:r>
    </w:p>
    <w:p w:rsidR="007940FB" w:rsidRPr="001C740D" w:rsidRDefault="007940FB" w:rsidP="007940FB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 xml:space="preserve">принять необходимые меры для обеспечения надлежащей защиты кустарных промыслов и традиционных знаний коренных народов и их использования при условии проведения консультаций с коренными народами и справедливого распределения </w:t>
      </w:r>
      <w:r w:rsidRPr="00AF0E35">
        <w:rPr>
          <w:b/>
          <w:bCs/>
        </w:rPr>
        <w:t>выгод</w:t>
      </w:r>
      <w:r>
        <w:rPr>
          <w:b/>
          <w:bCs/>
        </w:rPr>
        <w:t xml:space="preserve"> с учетом статьи 8 j) Конвенции о биологическом разнообразии.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Положение женщин из числа коренных народов и женщин африканского происхождения</w:t>
      </w:r>
      <w:r>
        <w:t xml:space="preserve"> </w:t>
      </w:r>
    </w:p>
    <w:p w:rsidR="007940FB" w:rsidRPr="001C740D" w:rsidRDefault="007940FB" w:rsidP="007940FB">
      <w:pPr>
        <w:pStyle w:val="SingleTxtG"/>
      </w:pPr>
      <w:r>
        <w:t>26.</w:t>
      </w:r>
      <w:r>
        <w:tab/>
        <w:t>Комитет принимает к сведению законы о защите женщин, такие как Закон о равенстве, справедливости и ликвидации дискриминации в отношении женщин и Специальный всеобъемлющий закон о свободной от насилия жизни для женщин, а также политику равенства и недискриминации Института сельскохозяйственных преобразований. Комитет отмечает, что в настоящее время идет разработка политики, направленной на защиту интересов женщин, принадлежащих к сельскому и коренному населению и крестьянским общинам. Вместе с тем Комитет с обеспокоенностью отмечает отсутствие нормативных положений и специальных мер в отношении женщин из числа коренных народов и женщин африканского происхождения. В</w:t>
      </w:r>
      <w:r w:rsidR="00B83B31">
        <w:rPr>
          <w:lang w:val="en-US"/>
        </w:rPr>
        <w:t> </w:t>
      </w:r>
      <w:r>
        <w:t xml:space="preserve">области охраны сексуального и репродуктивного здоровья Комитет обеспокоен также криминализацией абортов, в том числе при любых обстоятельствах, что особо затрагивает женщин из числа коренных народов и женщин африканского происхождения (статьи 1, 2 и 5). </w:t>
      </w:r>
    </w:p>
    <w:p w:rsidR="007940FB" w:rsidRPr="001C740D" w:rsidRDefault="007940FB" w:rsidP="007940FB">
      <w:pPr>
        <w:pStyle w:val="SingleTxtG"/>
        <w:rPr>
          <w:b/>
        </w:rPr>
      </w:pPr>
      <w:r>
        <w:t>27.</w:t>
      </w:r>
      <w:r>
        <w:tab/>
      </w:r>
      <w:r>
        <w:rPr>
          <w:b/>
          <w:bCs/>
        </w:rPr>
        <w:t>В свете своей общей рекомендации № 25 (2000) о гендерных аспектах расовой дискриминации Комитет настоятельно призывает государство-участник: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активизировать свои усилия по борьбе с множественной дискриминацией, жертвами которой становятся женщины из числа коренных народов и женщины африканского происхождения, в том числе посредством учета гендерного фактора во всех политических мерах и стратегиях по борьбе с расовой дискриминацией;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принимать меры, гарантирующие женщинам из числа коренных народов и женщинам африканского происхождения доступ к образованию, занятости и медицинскому обслуживанию с учетом культурных различий;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гарантировать доступ к услугам по охране сексуального и репродуктивного здоровья для женщин из числа коренных народов и женщин африканского происхождения и пересмотреть законодательство об абортах в целях обеспечения соблюдения других прав человека, таких как право женщин на жизнь и на физическое и психическое здоровье;</w:t>
      </w:r>
      <w:r>
        <w:t xml:space="preserve"> 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принимать меры для обеспечения защиты женщин и предотвращения гендерного насилия в отношении женщин из числа коренных народов и женщин африканского происхождения, а также обеспечивать защиту жертв и проведение тщательных расследований всех случаев гендерного насилия.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Положение внутренне перемещенных лиц, мигрантов и других неграждан</w:t>
      </w:r>
      <w:r>
        <w:t xml:space="preserve"> </w:t>
      </w:r>
    </w:p>
    <w:p w:rsidR="007940FB" w:rsidRPr="001C740D" w:rsidRDefault="007940FB" w:rsidP="007940FB">
      <w:pPr>
        <w:pStyle w:val="SingleTxtG"/>
      </w:pPr>
      <w:r>
        <w:t>28.</w:t>
      </w:r>
      <w:r>
        <w:tab/>
        <w:t xml:space="preserve">Комитет отмечает принятие в 2019 году Специального закона о миграции и иностранцах, который предусматривает запрещение ограничений, основанных, в частности, на признаках расы, и защитные меры в отношении лиц без гражданства. </w:t>
      </w:r>
      <w:r>
        <w:lastRenderedPageBreak/>
        <w:t>Вместе с тем Комитет обеспокоен уязвимостью внутренне перемещенных лиц, мигрантов и других неграждан перед расовой дискриминацией и отсутствием информации на этот счет (статьи 2 и 5).</w:t>
      </w:r>
    </w:p>
    <w:p w:rsidR="007940FB" w:rsidRPr="001C740D" w:rsidRDefault="007940FB" w:rsidP="007940FB">
      <w:pPr>
        <w:pStyle w:val="SingleTxtG"/>
        <w:rPr>
          <w:b/>
        </w:rPr>
      </w:pPr>
      <w:r>
        <w:t>29.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де-юре и де-факто защиту мигрантов, беженцев, просителей убежища, лиц без гражданства, неграждан и внутренне перемещенных лиц в соответствии с Конвенцией;</w:t>
      </w:r>
    </w:p>
    <w:p w:rsidR="007940FB" w:rsidRPr="001C740D" w:rsidRDefault="007940FB" w:rsidP="007940FB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вести сбор дезагрегированных данных о социально-экономическом положении этих групп населения и принимать специальные меры защиты от проявлений расовой дискриминации.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Жалобы в органы судебной системы</w:t>
      </w:r>
      <w:r>
        <w:t xml:space="preserve"> </w:t>
      </w:r>
    </w:p>
    <w:p w:rsidR="007940FB" w:rsidRPr="001C740D" w:rsidRDefault="007940FB" w:rsidP="007940FB">
      <w:pPr>
        <w:pStyle w:val="SingleTxtG"/>
      </w:pPr>
      <w:r>
        <w:t>30.</w:t>
      </w:r>
      <w:r>
        <w:tab/>
        <w:t xml:space="preserve">Комитет отмечает, что в Верховном суде отсутствует система регистрации случаев расовой дискриминации. В этой связи Комитет вновь выражает свою обеспокоенность в связи с представленной государством-участником информацией о том, что в суды и трибуналы государства-участника не поступает жалоб на расовую дискриминацию (статьи 2 и 5). </w:t>
      </w:r>
    </w:p>
    <w:p w:rsidR="007940FB" w:rsidRPr="001C740D" w:rsidRDefault="007940FB" w:rsidP="007940FB">
      <w:pPr>
        <w:pStyle w:val="SingleTxtG"/>
        <w:rPr>
          <w:b/>
        </w:rPr>
      </w:pPr>
      <w:r>
        <w:t>31.</w:t>
      </w:r>
      <w:r>
        <w:tab/>
      </w:r>
      <w:r>
        <w:rPr>
          <w:b/>
          <w:bCs/>
        </w:rPr>
        <w:t>Комитет повторяет свою рекомендацию о проведении информационных кампаний, особенно среди наиболее уязвимых групп населения, с целью предоставления информации о правах человека, особенно о праве на недискриминацию, а также об имеющихся средствах правовой защиты.</w:t>
      </w:r>
      <w:r>
        <w:t xml:space="preserve"> </w:t>
      </w:r>
      <w:r>
        <w:rPr>
          <w:b/>
          <w:bCs/>
        </w:rPr>
        <w:t>Комитет вновь рекомендует государству-участнику принять во внимание его общую рекомендацию № 31 (2005) о предупреждении расовой дискриминации в процессе отправления и функционирования системы уголовного правосудия (CERD/C/SLV/CO/16-17, пункт 13).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Осуществление решений о защите прав человека</w:t>
      </w:r>
    </w:p>
    <w:p w:rsidR="007940FB" w:rsidRPr="001C740D" w:rsidRDefault="007940FB" w:rsidP="007940FB">
      <w:pPr>
        <w:pStyle w:val="SingleTxtG"/>
      </w:pPr>
      <w:r>
        <w:t>32.</w:t>
      </w:r>
      <w:r>
        <w:tab/>
        <w:t>Комитет принимает к сведению решение Верховного суда 2016 года о признании неконституционности Закона об амнистии и о проведении расследования серьезных нарушений прав человека, имевших место в ходе прошлого внутреннего конфликта. Комитет принимает к сведению создание в структуре Генеральной прокуратуры Республики специального подразделения для расследования случаев, имевших место в рамках внутреннего вооруженного конфликта. Комитет обеспокоен отсутствием подробной информации об эффективном возмещении ущерба жертвам, в частности жертвам из числа коренных народов, а также в связи с массовыми убийствами в Лас-Охас и Эль-Мосоте (статьи 2 и 5).</w:t>
      </w:r>
    </w:p>
    <w:p w:rsidR="007940FB" w:rsidRPr="001C740D" w:rsidRDefault="007940FB" w:rsidP="007940FB">
      <w:pPr>
        <w:pStyle w:val="SingleTxtG"/>
        <w:rPr>
          <w:b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выполнения решения Верховного суда, в частности в отношении принятия законодательных мер, касающихся возмещения ущерба жертвам и эффективного проведения расследований, в том числе по делам о массовых убийствах в Лас-Охас и Эль-Мосоте.</w:t>
      </w:r>
      <w:r>
        <w:t xml:space="preserve"> </w:t>
      </w:r>
      <w:r>
        <w:rPr>
          <w:b/>
          <w:bCs/>
        </w:rPr>
        <w:t>Комитет рекомендует государству-участнику принять необходимые меры для принятия Закона о комплексном возмещении ущерба жертвам.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Межкультурное образование и здравоохранение</w:t>
      </w:r>
    </w:p>
    <w:p w:rsidR="007940FB" w:rsidRPr="001C740D" w:rsidRDefault="007940FB" w:rsidP="007940FB">
      <w:pPr>
        <w:pStyle w:val="SingleTxtG"/>
      </w:pPr>
      <w:r>
        <w:t>34.</w:t>
      </w:r>
      <w:r>
        <w:tab/>
        <w:t xml:space="preserve">Комитет принимает к сведению Национальную политику в области здравоохранения в интересах коренных народов и меры по повышению осведомленности и поощрению межкультурного образования. Комитет отмечает создание школы профессиональной подготовки для сотрудников государственных учреждений по вопросам прав коренных народов и лиц африканского происхождения. Вместе с тем Комитет обеспокоен отсутствием информации о результатах этих мер и отсутствием межкультурной политики в области здравоохранения и образования в интересах лиц африканского происхождения (статьи 2 и 7). </w:t>
      </w:r>
    </w:p>
    <w:p w:rsidR="007940FB" w:rsidRPr="001C740D" w:rsidRDefault="007940FB" w:rsidP="007940FB">
      <w:pPr>
        <w:pStyle w:val="SingleTxtG"/>
        <w:rPr>
          <w:b/>
        </w:rPr>
      </w:pPr>
      <w:r>
        <w:t>35.</w:t>
      </w:r>
      <w:r>
        <w:tab/>
      </w:r>
      <w:r>
        <w:rPr>
          <w:b/>
          <w:bCs/>
        </w:rPr>
        <w:t xml:space="preserve">Комитет призывает государство-участник продолжать свои усилия по укреплению систем межкультурного здравоохранения и образования, в </w:t>
      </w:r>
      <w:r>
        <w:rPr>
          <w:b/>
          <w:bCs/>
        </w:rPr>
        <w:lastRenderedPageBreak/>
        <w:t>частности посредством осуществления, в координации с коренными народами, Национальной политики в области здравоохранения в интересах коренных народов и мер, предусмотренных в этих сферах в рамках Национального плана действий в интересах коренных народов.</w:t>
      </w:r>
      <w:r>
        <w:t xml:space="preserve"> </w:t>
      </w:r>
      <w:r>
        <w:rPr>
          <w:b/>
          <w:bCs/>
        </w:rPr>
        <w:t>Комитет рекомендует государству-участнику принять меры в области здравоохранения и образования, которые учитывали бы реальное положение лиц африканского происхождения.</w:t>
      </w:r>
    </w:p>
    <w:p w:rsidR="007940FB" w:rsidRPr="001C740D" w:rsidRDefault="007940FB" w:rsidP="007940FB">
      <w:pPr>
        <w:pStyle w:val="H1G"/>
      </w:pPr>
      <w:r>
        <w:tab/>
        <w:t>D.</w:t>
      </w:r>
      <w:r>
        <w:tab/>
      </w:r>
      <w:r>
        <w:tab/>
      </w:r>
      <w:r>
        <w:rPr>
          <w:bCs/>
        </w:rPr>
        <w:t>Другие рекомендации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</w:p>
    <w:p w:rsidR="007940FB" w:rsidRPr="001C740D" w:rsidRDefault="007940FB" w:rsidP="007940FB">
      <w:pPr>
        <w:pStyle w:val="SingleTxtG"/>
      </w:pPr>
      <w:r>
        <w:t>36.</w:t>
      </w:r>
      <w:r>
        <w:tab/>
      </w:r>
      <w:r>
        <w:rPr>
          <w:b/>
          <w:bCs/>
        </w:rPr>
        <w:t>Памятуя о неделимости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тех, чьи положения имеют непосредственное отношение к общинам, которые могут подвергаться расовой дискриминации, таких как Международная конвенция для защиты всех лиц от насильственных исчезновений и Факультативный протокол к Конвенции против пыток и других жестоких, бесчеловечных или унижающих достоинство видов обращения и наказания.</w:t>
      </w:r>
      <w:r>
        <w:t xml:space="preserve"> </w:t>
      </w:r>
      <w:r>
        <w:rPr>
          <w:b/>
          <w:bCs/>
        </w:rPr>
        <w:t>Комитет призывает государство-участник присоединиться к Конвенции 1961 года о сокращении безгражданства.</w:t>
      </w:r>
      <w:r>
        <w:t xml:space="preserve"> </w:t>
      </w:r>
      <w:r>
        <w:rPr>
          <w:b/>
          <w:bCs/>
        </w:rPr>
        <w:t>Наконец, Комитет рекомендует государству-участнику рассмотреть вопрос о ратификации Межамериканской конвенции о борьбе против расизма, расовой дискриминации и связанных с ними форм нетерпимости.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Поправка к статье 8 Конвенции</w:t>
      </w:r>
    </w:p>
    <w:p w:rsidR="007940FB" w:rsidRPr="001C740D" w:rsidRDefault="007940FB" w:rsidP="007940FB">
      <w:pPr>
        <w:pStyle w:val="SingleTxtG"/>
      </w:pPr>
      <w:r>
        <w:t>37.</w:t>
      </w:r>
      <w:r>
        <w:tab/>
      </w:r>
      <w:r>
        <w:rPr>
          <w:b/>
          <w:bCs/>
        </w:rPr>
        <w:t xml:space="preserve"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</w:t>
      </w:r>
      <w:r w:rsidR="00110A02">
        <w:rPr>
          <w:b/>
          <w:bCs/>
          <w:lang w:val="en-US"/>
        </w:rPr>
        <w:t>–</w:t>
      </w:r>
      <w:r>
        <w:rPr>
          <w:b/>
          <w:bCs/>
        </w:rPr>
        <w:t xml:space="preserve"> участников Конвенции и одобренную Генеральной Ассамблеей в ее резолюции 47/111.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Последующие меры в связи с Дурбанской декларацией и Программой действий</w:t>
      </w:r>
    </w:p>
    <w:p w:rsidR="007940FB" w:rsidRPr="001C740D" w:rsidRDefault="007940FB" w:rsidP="007940FB">
      <w:pPr>
        <w:pStyle w:val="SingleTxtG"/>
      </w:pPr>
      <w:r>
        <w:t>38.</w:t>
      </w:r>
      <w:r>
        <w:tab/>
      </w:r>
      <w:r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внутреннего законодательства предпринять шаги по выполнению Дурбанской декларации и Программы действий, принятой в сентябре 2001 года Всемирной конференцией по борьбе против расизма, расовой дискриминации, ксенофобии и связанной с ними нетерпимости, с учетом итогового документа Конференции по обзору Дурбанского процесса, состоявшейся в апреле 2009 года в Женеве.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периодический доклад конкретную информацию об утвержденных планах действий и о других мерах, принятых с целью осуществления Дурбанской декларации и Программы действий на национальном уровне.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  <w:r>
        <w:t xml:space="preserve"> </w:t>
      </w:r>
    </w:p>
    <w:p w:rsidR="007940FB" w:rsidRPr="001C740D" w:rsidRDefault="007940FB" w:rsidP="007940FB">
      <w:pPr>
        <w:pStyle w:val="SingleTxtG"/>
      </w:pPr>
      <w:r>
        <w:t>39.</w:t>
      </w:r>
      <w:r>
        <w:tab/>
      </w:r>
      <w:r>
        <w:rPr>
          <w:b/>
          <w:bCs/>
        </w:rPr>
        <w:t>В свете резолюции 68/237 Генеральной Ассамблеи о провозглашении периода 2015–2024 годов Международным десятилетием лиц африканского происхождения, а также резолюции 69/16 Генеральной Ассамблеи, касающейся программы мероприятий по проведению этого Десятилетия, Комитет рекомендует государству-участнику разработать и осуществить приемлемую программу соответствующих мер и политику в сотрудничестве с лицами африканского происхождения и представляющими их организациями.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доклад точные сведения о принятых им в этой связи конкретных мерах с учетом общей рекомендации № 34 (2011) о расовой дискриминации в отношении лиц африканского происхождения.</w:t>
      </w:r>
      <w:r>
        <w:t xml:space="preserve"> </w:t>
      </w:r>
    </w:p>
    <w:p w:rsidR="007940FB" w:rsidRPr="001C740D" w:rsidRDefault="007940FB" w:rsidP="007940FB">
      <w:pPr>
        <w:pStyle w:val="H23G"/>
      </w:pPr>
      <w:r>
        <w:lastRenderedPageBreak/>
        <w:tab/>
      </w:r>
      <w:r>
        <w:tab/>
      </w:r>
      <w:r>
        <w:rPr>
          <w:bCs/>
        </w:rPr>
        <w:t>Консультации с гражданским обществом</w:t>
      </w:r>
    </w:p>
    <w:p w:rsidR="007940FB" w:rsidRPr="001C740D" w:rsidRDefault="007940FB" w:rsidP="007940FB">
      <w:pPr>
        <w:pStyle w:val="SingleTxtG"/>
        <w:rPr>
          <w:b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 продолжать проводить консультации и расширять диалог с организациями гражданского общества, занимающимися защитой прав человека, в частности ведущими борьбу против расовой дискриминации, в рамках подготовки следующего периодического доклада и принятия последующих мер по настоящим заключительным замечаниям.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:rsidR="007940FB" w:rsidRPr="001C740D" w:rsidRDefault="007940FB" w:rsidP="007940FB">
      <w:pPr>
        <w:pStyle w:val="SingleTxtG"/>
      </w:pPr>
      <w:r>
        <w:t>41.</w:t>
      </w:r>
      <w:r>
        <w:tab/>
      </w:r>
      <w:r>
        <w:rPr>
          <w:b/>
          <w:bCs/>
        </w:rPr>
        <w:t xml:space="preserve">Комитет рекомендует, чтобы доклады государства-участника носили открытый характер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органам, занимающимся осуществлением Конвенции, включая муниципалитеты, и публиковались на </w:t>
      </w:r>
      <w:r w:rsidR="00DA52BF">
        <w:rPr>
          <w:b/>
          <w:bCs/>
        </w:rPr>
        <w:br/>
      </w:r>
      <w:r>
        <w:rPr>
          <w:b/>
          <w:bCs/>
        </w:rPr>
        <w:t>веб-сайте Министерства иностранных дел на официальных языках, а при необходимости – и на других широко используемых языках.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:rsidR="007940FB" w:rsidRPr="001C740D" w:rsidRDefault="007940FB" w:rsidP="007940FB">
      <w:pPr>
        <w:pStyle w:val="SingleTxtG"/>
      </w:pPr>
      <w:r>
        <w:t>42.</w:t>
      </w:r>
      <w:r>
        <w:tab/>
      </w:r>
      <w:r>
        <w:rPr>
          <w:b/>
          <w:bCs/>
        </w:rPr>
        <w:t>В соответствии с пунктом 9 статьи 1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17 и 19 выше.</w:t>
      </w:r>
      <w:r>
        <w:t xml:space="preserve"> 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Пункты, имеющие особое значение</w:t>
      </w:r>
    </w:p>
    <w:p w:rsidR="007940FB" w:rsidRPr="001C740D" w:rsidRDefault="007940FB" w:rsidP="007940FB">
      <w:pPr>
        <w:pStyle w:val="SingleTxtG"/>
        <w:rPr>
          <w:b/>
        </w:rPr>
      </w:pPr>
      <w:r>
        <w:t>43.</w:t>
      </w:r>
      <w:r>
        <w:tab/>
      </w:r>
      <w:r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21, 27, 29 и 33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</w:t>
      </w:r>
    </w:p>
    <w:p w:rsidR="007940FB" w:rsidRPr="001C740D" w:rsidRDefault="007940FB" w:rsidP="007940FB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:rsidR="007940FB" w:rsidRPr="001C740D" w:rsidRDefault="007940FB" w:rsidP="007940FB">
      <w:pPr>
        <w:pStyle w:val="SingleTxtG"/>
        <w:rPr>
          <w:b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</w:t>
      </w:r>
      <w:r w:rsidR="00110A02">
        <w:rPr>
          <w:b/>
          <w:bCs/>
        </w:rPr>
        <w:t>енные двадцатый–</w:t>
      </w:r>
      <w:r>
        <w:rPr>
          <w:b/>
          <w:bCs/>
        </w:rPr>
        <w:t>двадцать второй периодические доклады не позднее 30</w:t>
      </w:r>
      <w:r w:rsidR="00110A02">
        <w:rPr>
          <w:b/>
          <w:bCs/>
          <w:lang w:val="en-US"/>
        </w:rPr>
        <w:t> </w:t>
      </w:r>
      <w:r>
        <w:rPr>
          <w:b/>
          <w:bCs/>
        </w:rPr>
        <w:t>декабря 2022 года с учетом руководящих принципов подготовки докладов по Конвенции, утвержденных Комитетом на его семьдесят первой сессии (CERD/C/2007/1), отразив в них все вопросы, поднятые в настоящих заключительных 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 и ограничение в 42 400 слов для общего базового документа.</w:t>
      </w:r>
    </w:p>
    <w:p w:rsidR="007940FB" w:rsidRPr="00B83B31" w:rsidRDefault="00B83B31" w:rsidP="00B83B3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4055E9"/>
    <w:sectPr w:rsidR="00381C24" w:rsidRPr="00BC18B2" w:rsidSect="007940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E4" w:rsidRPr="00A312BC" w:rsidRDefault="00AC10E4" w:rsidP="00A312BC"/>
  </w:endnote>
  <w:endnote w:type="continuationSeparator" w:id="0">
    <w:p w:rsidR="00AC10E4" w:rsidRPr="00A312BC" w:rsidRDefault="00AC10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FB" w:rsidRPr="007940FB" w:rsidRDefault="007940FB">
    <w:pPr>
      <w:pStyle w:val="a8"/>
    </w:pPr>
    <w:r w:rsidRPr="007940FB">
      <w:rPr>
        <w:b/>
        <w:sz w:val="18"/>
      </w:rPr>
      <w:fldChar w:fldCharType="begin"/>
    </w:r>
    <w:r w:rsidRPr="007940FB">
      <w:rPr>
        <w:b/>
        <w:sz w:val="18"/>
      </w:rPr>
      <w:instrText xml:space="preserve"> PAGE  \* MERGEFORMAT </w:instrText>
    </w:r>
    <w:r w:rsidRPr="007940FB">
      <w:rPr>
        <w:b/>
        <w:sz w:val="18"/>
      </w:rPr>
      <w:fldChar w:fldCharType="separate"/>
    </w:r>
    <w:r w:rsidR="00CB0897">
      <w:rPr>
        <w:b/>
        <w:noProof/>
        <w:sz w:val="18"/>
      </w:rPr>
      <w:t>8</w:t>
    </w:r>
    <w:r w:rsidRPr="007940FB">
      <w:rPr>
        <w:b/>
        <w:sz w:val="18"/>
      </w:rPr>
      <w:fldChar w:fldCharType="end"/>
    </w:r>
    <w:r>
      <w:rPr>
        <w:b/>
        <w:sz w:val="18"/>
      </w:rPr>
      <w:tab/>
    </w:r>
    <w:r>
      <w:t>GE.19-15731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FB" w:rsidRPr="007940FB" w:rsidRDefault="007940FB" w:rsidP="007940FB">
    <w:pPr>
      <w:pStyle w:val="a8"/>
      <w:tabs>
        <w:tab w:val="clear" w:pos="9639"/>
        <w:tab w:val="right" w:pos="9638"/>
      </w:tabs>
      <w:rPr>
        <w:b/>
        <w:sz w:val="18"/>
      </w:rPr>
    </w:pPr>
    <w:r>
      <w:t>GE.19-15731</w:t>
    </w:r>
    <w:r>
      <w:tab/>
    </w:r>
    <w:r w:rsidRPr="007940FB">
      <w:rPr>
        <w:b/>
        <w:sz w:val="18"/>
      </w:rPr>
      <w:fldChar w:fldCharType="begin"/>
    </w:r>
    <w:r w:rsidRPr="007940FB">
      <w:rPr>
        <w:b/>
        <w:sz w:val="18"/>
      </w:rPr>
      <w:instrText xml:space="preserve"> PAGE  \* MERGEFORMAT </w:instrText>
    </w:r>
    <w:r w:rsidRPr="007940FB">
      <w:rPr>
        <w:b/>
        <w:sz w:val="18"/>
      </w:rPr>
      <w:fldChar w:fldCharType="separate"/>
    </w:r>
    <w:r w:rsidR="00CB0897">
      <w:rPr>
        <w:b/>
        <w:noProof/>
        <w:sz w:val="18"/>
      </w:rPr>
      <w:t>9</w:t>
    </w:r>
    <w:r w:rsidRPr="007940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940FB" w:rsidRDefault="007940FB" w:rsidP="007940F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19-15731  (R)</w:t>
    </w:r>
    <w:r w:rsidR="003C197D">
      <w:rPr>
        <w:lang w:val="en-US"/>
      </w:rPr>
      <w:t xml:space="preserve">  011019  021019</w:t>
    </w:r>
    <w:r>
      <w:br/>
    </w:r>
    <w:r w:rsidRPr="007940FB">
      <w:rPr>
        <w:rFonts w:ascii="C39T30Lfz" w:hAnsi="C39T30Lfz"/>
        <w:kern w:val="14"/>
        <w:sz w:val="56"/>
      </w:rPr>
      <w:t></w:t>
    </w:r>
    <w:r w:rsidRPr="007940FB">
      <w:rPr>
        <w:rFonts w:ascii="C39T30Lfz" w:hAnsi="C39T30Lfz"/>
        <w:kern w:val="14"/>
        <w:sz w:val="56"/>
      </w:rPr>
      <w:t></w:t>
    </w:r>
    <w:r w:rsidRPr="007940FB">
      <w:rPr>
        <w:rFonts w:ascii="C39T30Lfz" w:hAnsi="C39T30Lfz"/>
        <w:kern w:val="14"/>
        <w:sz w:val="56"/>
      </w:rPr>
      <w:t></w:t>
    </w:r>
    <w:r w:rsidRPr="007940FB">
      <w:rPr>
        <w:rFonts w:ascii="C39T30Lfz" w:hAnsi="C39T30Lfz"/>
        <w:kern w:val="14"/>
        <w:sz w:val="56"/>
      </w:rPr>
      <w:t></w:t>
    </w:r>
    <w:r w:rsidRPr="007940FB">
      <w:rPr>
        <w:rFonts w:ascii="C39T30Lfz" w:hAnsi="C39T30Lfz"/>
        <w:kern w:val="14"/>
        <w:sz w:val="56"/>
      </w:rPr>
      <w:t></w:t>
    </w:r>
    <w:r w:rsidRPr="007940FB">
      <w:rPr>
        <w:rFonts w:ascii="C39T30Lfz" w:hAnsi="C39T30Lfz"/>
        <w:kern w:val="14"/>
        <w:sz w:val="56"/>
      </w:rPr>
      <w:t></w:t>
    </w:r>
    <w:r w:rsidRPr="007940FB">
      <w:rPr>
        <w:rFonts w:ascii="C39T30Lfz" w:hAnsi="C39T30Lfz"/>
        <w:kern w:val="14"/>
        <w:sz w:val="56"/>
      </w:rPr>
      <w:t></w:t>
    </w:r>
    <w:r w:rsidRPr="007940FB">
      <w:rPr>
        <w:rFonts w:ascii="C39T30Lfz" w:hAnsi="C39T30Lfz"/>
        <w:kern w:val="14"/>
        <w:sz w:val="56"/>
      </w:rPr>
      <w:t></w:t>
    </w:r>
    <w:r w:rsidRPr="007940F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SLV/CO/18-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SLV/CO/18-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E4" w:rsidRPr="001075E9" w:rsidRDefault="00AC10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10E4" w:rsidRDefault="00AC10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940FB" w:rsidRPr="001C740D" w:rsidRDefault="007940FB" w:rsidP="007940FB">
      <w:pPr>
        <w:pStyle w:val="ad"/>
        <w:rPr>
          <w:sz w:val="20"/>
        </w:rPr>
      </w:pPr>
      <w:r>
        <w:tab/>
      </w:r>
      <w:r w:rsidRPr="003C197D">
        <w:rPr>
          <w:sz w:val="20"/>
        </w:rPr>
        <w:t>*</w:t>
      </w:r>
      <w:r>
        <w:tab/>
        <w:t>Приняты Комитетом на его девяносто девятой сессии (5</w:t>
      </w:r>
      <w:r w:rsidR="003C197D">
        <w:t>–</w:t>
      </w:r>
      <w:r>
        <w:t>29 августа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FB" w:rsidRPr="007940FB" w:rsidRDefault="00CB089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1B3D7A">
      <w:t>CERD/C/SLV/CO/18-19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FB" w:rsidRPr="007940FB" w:rsidRDefault="00CB0897" w:rsidP="007940F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B3D7A">
      <w:t>CERD/C/SLV/CO/18-19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E4"/>
    <w:rsid w:val="00033EE1"/>
    <w:rsid w:val="00042B72"/>
    <w:rsid w:val="000558BD"/>
    <w:rsid w:val="000B57E7"/>
    <w:rsid w:val="000B6373"/>
    <w:rsid w:val="000F09DF"/>
    <w:rsid w:val="000F61B2"/>
    <w:rsid w:val="001075E9"/>
    <w:rsid w:val="00110A02"/>
    <w:rsid w:val="00180183"/>
    <w:rsid w:val="0018024D"/>
    <w:rsid w:val="0018649F"/>
    <w:rsid w:val="00196389"/>
    <w:rsid w:val="001B3D7A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C197D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940FB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AC10E4"/>
    <w:rsid w:val="00B10CC7"/>
    <w:rsid w:val="00B27969"/>
    <w:rsid w:val="00B32719"/>
    <w:rsid w:val="00B36DF7"/>
    <w:rsid w:val="00B539E7"/>
    <w:rsid w:val="00B62458"/>
    <w:rsid w:val="00B67B12"/>
    <w:rsid w:val="00B8087D"/>
    <w:rsid w:val="00B83B31"/>
    <w:rsid w:val="00BC18B2"/>
    <w:rsid w:val="00BD33EE"/>
    <w:rsid w:val="00C106D6"/>
    <w:rsid w:val="00C60F0C"/>
    <w:rsid w:val="00C805C9"/>
    <w:rsid w:val="00C92939"/>
    <w:rsid w:val="00CA1679"/>
    <w:rsid w:val="00CB0897"/>
    <w:rsid w:val="00CB151C"/>
    <w:rsid w:val="00CE5A1A"/>
    <w:rsid w:val="00CF55F6"/>
    <w:rsid w:val="00D33D63"/>
    <w:rsid w:val="00D90028"/>
    <w:rsid w:val="00D90138"/>
    <w:rsid w:val="00DA52BF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3509D9-A79B-4A8F-A1C4-277854AD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940F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9</Pages>
  <Words>3326</Words>
  <Characters>23563</Characters>
  <Application>Microsoft Office Word</Application>
  <DocSecurity>0</DocSecurity>
  <Lines>441</Lines>
  <Paragraphs>114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CERD/C/SLV/CO/18-19</vt:lpstr>
      <vt:lpstr>A/</vt:lpstr>
      <vt:lpstr>A/</vt:lpstr>
    </vt:vector>
  </TitlesOfParts>
  <Company>DCM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CERD/C/SLV/CO/18-19</dc:title>
  <dc:subject/>
  <dc:creator>Tatiana SHARKINA</dc:creator>
  <cp:keywords/>
  <cp:lastModifiedBy>Tatiana Sharkina</cp:lastModifiedBy>
  <cp:revision>4</cp:revision>
  <cp:lastPrinted>2019-10-02T12:10:00Z</cp:lastPrinted>
  <dcterms:created xsi:type="dcterms:W3CDTF">2019-10-02T12:10:00Z</dcterms:created>
  <dcterms:modified xsi:type="dcterms:W3CDTF">2019-10-02T12:12:00Z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