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83A16" w:rsidP="00BD0362">
            <w:pPr>
              <w:bidi w:val="0"/>
              <w:spacing w:after="20"/>
              <w:jc w:val="left"/>
              <w:rPr>
                <w:szCs w:val="20"/>
              </w:rPr>
            </w:pPr>
            <w:r w:rsidRPr="00B83A16">
              <w:rPr>
                <w:sz w:val="40"/>
                <w:szCs w:val="20"/>
              </w:rPr>
              <w:t>CRC</w:t>
            </w:r>
            <w:r>
              <w:rPr>
                <w:szCs w:val="20"/>
              </w:rPr>
              <w:t>/C/77/D/10/2017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BD0362" w:rsidP="00BD0362">
            <w:pPr>
              <w:bidi w:val="0"/>
              <w:spacing w:before="240"/>
              <w:jc w:val="left"/>
            </w:pPr>
            <w:r>
              <w:t>Distr.: General</w:t>
            </w:r>
          </w:p>
          <w:p w:rsidR="00BD0362" w:rsidRDefault="00BD0362" w:rsidP="00BD0362">
            <w:pPr>
              <w:bidi w:val="0"/>
              <w:jc w:val="left"/>
            </w:pPr>
            <w:r>
              <w:t>26 March 2018</w:t>
            </w:r>
          </w:p>
          <w:p w:rsidR="00BD0362" w:rsidRDefault="00BD0362" w:rsidP="00BD0362">
            <w:pPr>
              <w:bidi w:val="0"/>
              <w:jc w:val="left"/>
            </w:pPr>
            <w:r>
              <w:t>Arabic</w:t>
            </w:r>
          </w:p>
          <w:p w:rsidR="00BD0362" w:rsidRPr="008B4BC6" w:rsidRDefault="00BD0362" w:rsidP="00BD0362">
            <w:pPr>
              <w:bidi w:val="0"/>
              <w:jc w:val="left"/>
            </w:pPr>
            <w:r>
              <w:t xml:space="preserve">Original: French </w:t>
            </w:r>
          </w:p>
        </w:tc>
      </w:tr>
    </w:tbl>
    <w:p w:rsidR="00BD0362" w:rsidRPr="00BD0362" w:rsidRDefault="00BD0362" w:rsidP="00BD0362">
      <w:pPr>
        <w:spacing w:before="120" w:after="120" w:line="380" w:lineRule="exact"/>
        <w:rPr>
          <w:rFonts w:hint="cs"/>
          <w:b/>
          <w:bCs/>
          <w:sz w:val="26"/>
          <w:szCs w:val="36"/>
          <w:rtl/>
          <w:lang w:bidi="ar-DZ"/>
        </w:rPr>
      </w:pPr>
      <w:r w:rsidRPr="00BD0362">
        <w:rPr>
          <w:b/>
          <w:bCs/>
          <w:sz w:val="26"/>
          <w:szCs w:val="36"/>
          <w:rtl/>
        </w:rPr>
        <w:t>لجنة حقوق الطفل</w:t>
      </w:r>
    </w:p>
    <w:p w:rsidR="00BD0362" w:rsidRDefault="00BD0362" w:rsidP="00BD0362">
      <w:pPr>
        <w:pStyle w:val="HChGA"/>
        <w:spacing w:before="240"/>
        <w:rPr>
          <w:rtl/>
        </w:rPr>
      </w:pPr>
      <w:r>
        <w:rPr>
          <w:rtl/>
        </w:rPr>
        <w:tab/>
      </w:r>
      <w:r w:rsidRPr="00BD0362">
        <w:rPr>
          <w:sz w:val="38"/>
          <w:rtl/>
        </w:rPr>
        <w:tab/>
        <w:t xml:space="preserve">قرار </w:t>
      </w:r>
      <w:r w:rsidRPr="00BD0362">
        <w:rPr>
          <w:rFonts w:hint="cs"/>
          <w:sz w:val="38"/>
          <w:rtl/>
        </w:rPr>
        <w:t xml:space="preserve">اعتمدته </w:t>
      </w:r>
      <w:r w:rsidRPr="00BD0362">
        <w:rPr>
          <w:sz w:val="38"/>
          <w:rtl/>
        </w:rPr>
        <w:t>لجنة</w:t>
      </w:r>
      <w:r w:rsidRPr="00D82381">
        <w:rPr>
          <w:rtl/>
        </w:rPr>
        <w:t xml:space="preserve"> حقوق الطفل بموجب البروتوكول الاختياري لاتفاقية حقوق الطفل </w:t>
      </w:r>
      <w:r>
        <w:rPr>
          <w:rFonts w:hint="cs"/>
          <w:rtl/>
        </w:rPr>
        <w:t>المتعلق ب</w:t>
      </w:r>
      <w:r w:rsidRPr="00D82381">
        <w:rPr>
          <w:rtl/>
        </w:rPr>
        <w:t>إج</w:t>
      </w:r>
      <w:bookmarkStart w:id="0" w:name="_GoBack"/>
      <w:bookmarkEnd w:id="0"/>
      <w:r w:rsidRPr="00D82381">
        <w:rPr>
          <w:rtl/>
        </w:rPr>
        <w:t xml:space="preserve">راء </w:t>
      </w:r>
      <w:r>
        <w:rPr>
          <w:rFonts w:hint="cs"/>
          <w:rtl/>
        </w:rPr>
        <w:t xml:space="preserve">تقديم </w:t>
      </w:r>
      <w:r w:rsidRPr="00D82381">
        <w:rPr>
          <w:rtl/>
        </w:rPr>
        <w:t xml:space="preserve">البلاغات </w:t>
      </w:r>
    </w:p>
    <w:p w:rsidR="00BD0362" w:rsidRPr="00D82381" w:rsidRDefault="00BD0362" w:rsidP="00BD0362">
      <w:pPr>
        <w:pStyle w:val="H1GA"/>
        <w:rPr>
          <w:rtl/>
        </w:rPr>
      </w:pPr>
      <w:r>
        <w:rPr>
          <w:rtl/>
        </w:rPr>
        <w:tab/>
      </w:r>
      <w:r>
        <w:rPr>
          <w:rtl/>
        </w:rPr>
        <w:tab/>
      </w:r>
      <w:r w:rsidRPr="00D82381">
        <w:rPr>
          <w:rtl/>
        </w:rPr>
        <w:t xml:space="preserve">بشأن البلاغ رقم </w:t>
      </w:r>
      <w:r>
        <w:rPr>
          <w:rtl/>
        </w:rPr>
        <w:t>10/2017</w:t>
      </w:r>
      <w:r w:rsidRPr="00D82381">
        <w:rPr>
          <w:rStyle w:val="FootnoteReference"/>
          <w:sz w:val="20"/>
          <w:vertAlign w:val="baseline"/>
          <w:rtl/>
        </w:rPr>
        <w:footnoteReference w:customMarkFollows="1" w:id="1"/>
        <w:t>*</w:t>
      </w:r>
      <w:r>
        <w:rPr>
          <w:rFonts w:hint="cs"/>
          <w:rtl/>
        </w:rPr>
        <w:t xml:space="preserve"> </w:t>
      </w:r>
      <w:r w:rsidRPr="00D82381">
        <w:rPr>
          <w:rStyle w:val="FootnoteReference"/>
          <w:sz w:val="20"/>
          <w:vertAlign w:val="baseline"/>
          <w:rtl/>
        </w:rPr>
        <w:footnoteReference w:customMarkFollows="1" w:id="2"/>
        <w:t>**</w:t>
      </w:r>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rFonts w:hint="cs"/>
          <w:i/>
          <w:iCs/>
          <w:sz w:val="30"/>
          <w:rtl/>
        </w:rPr>
        <w:t>ال</w:t>
      </w:r>
      <w:r w:rsidRPr="00D82381">
        <w:rPr>
          <w:i/>
          <w:iCs/>
          <w:sz w:val="30"/>
          <w:rtl/>
        </w:rPr>
        <w:t>مقدم من:</w:t>
      </w:r>
      <w:r>
        <w:rPr>
          <w:sz w:val="30"/>
          <w:rtl/>
        </w:rPr>
        <w:tab/>
      </w:r>
      <w:r>
        <w:rPr>
          <w:rFonts w:hint="cs"/>
          <w:sz w:val="30"/>
          <w:rtl/>
        </w:rPr>
        <w:t>س. ك</w:t>
      </w:r>
      <w:r w:rsidRPr="00D82381">
        <w:rPr>
          <w:sz w:val="30"/>
          <w:rtl/>
        </w:rPr>
        <w:t>.</w:t>
      </w:r>
      <w:r>
        <w:rPr>
          <w:rFonts w:hint="cs"/>
          <w:sz w:val="30"/>
          <w:rtl/>
        </w:rPr>
        <w:t xml:space="preserve"> س.</w:t>
      </w:r>
    </w:p>
    <w:p w:rsidR="00BD0362" w:rsidRPr="00BD0362" w:rsidRDefault="00BD0362" w:rsidP="002A1734">
      <w:pPr>
        <w:pStyle w:val="SingleTxtGA"/>
        <w:tabs>
          <w:tab w:val="clear" w:pos="3289"/>
          <w:tab w:val="clear" w:pos="3969"/>
          <w:tab w:val="clear" w:pos="4649"/>
          <w:tab w:val="clear" w:pos="5330"/>
          <w:tab w:val="left" w:pos="4795"/>
        </w:tabs>
        <w:spacing w:line="360" w:lineRule="exact"/>
        <w:ind w:left="4795" w:hanging="2867"/>
        <w:rPr>
          <w:spacing w:val="-6"/>
          <w:sz w:val="30"/>
          <w:rtl/>
        </w:rPr>
      </w:pPr>
      <w:r w:rsidRPr="00BD0362">
        <w:rPr>
          <w:rFonts w:hint="cs"/>
          <w:i/>
          <w:iCs/>
          <w:spacing w:val="-6"/>
          <w:sz w:val="30"/>
          <w:rtl/>
        </w:rPr>
        <w:t>الأشخاص المدعى أنهم ضحايا</w:t>
      </w:r>
      <w:r w:rsidRPr="00BD0362">
        <w:rPr>
          <w:i/>
          <w:iCs/>
          <w:spacing w:val="-6"/>
          <w:sz w:val="30"/>
          <w:rtl/>
        </w:rPr>
        <w:t>:</w:t>
      </w:r>
      <w:r w:rsidRPr="00BD0362">
        <w:rPr>
          <w:spacing w:val="-6"/>
          <w:sz w:val="30"/>
          <w:rtl/>
        </w:rPr>
        <w:tab/>
      </w:r>
      <w:r w:rsidRPr="00BD0362">
        <w:rPr>
          <w:rFonts w:hint="cs"/>
          <w:spacing w:val="-6"/>
          <w:sz w:val="30"/>
          <w:rtl/>
        </w:rPr>
        <w:t>ب. س. س.، وك. أ. س.، وك</w:t>
      </w:r>
      <w:r w:rsidRPr="00BD0362">
        <w:rPr>
          <w:spacing w:val="-6"/>
          <w:sz w:val="30"/>
          <w:rtl/>
        </w:rPr>
        <w:t>.</w:t>
      </w:r>
      <w:r w:rsidRPr="00BD0362">
        <w:rPr>
          <w:rFonts w:hint="cs"/>
          <w:spacing w:val="-6"/>
          <w:sz w:val="30"/>
          <w:rtl/>
        </w:rPr>
        <w:t xml:space="preserve"> م. س.</w:t>
      </w:r>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i/>
          <w:iCs/>
          <w:sz w:val="30"/>
          <w:rtl/>
        </w:rPr>
        <w:t>الدولة الطرف:</w:t>
      </w:r>
      <w:r>
        <w:rPr>
          <w:sz w:val="30"/>
          <w:rtl/>
        </w:rPr>
        <w:tab/>
      </w:r>
      <w:r w:rsidRPr="002A1734">
        <w:rPr>
          <w:spacing w:val="-4"/>
          <w:sz w:val="30"/>
          <w:rtl/>
        </w:rPr>
        <w:t>فرنسا</w:t>
      </w:r>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i/>
          <w:iCs/>
          <w:sz w:val="30"/>
          <w:rtl/>
        </w:rPr>
        <w:t xml:space="preserve">تاريخ </w:t>
      </w:r>
      <w:r w:rsidRPr="00D82381">
        <w:rPr>
          <w:rFonts w:hint="cs"/>
          <w:i/>
          <w:iCs/>
          <w:sz w:val="30"/>
          <w:rtl/>
        </w:rPr>
        <w:t>البلاغ</w:t>
      </w:r>
      <w:r w:rsidRPr="00D82381">
        <w:rPr>
          <w:i/>
          <w:iCs/>
          <w:sz w:val="30"/>
          <w:rtl/>
        </w:rPr>
        <w:t>:</w:t>
      </w:r>
      <w:r>
        <w:rPr>
          <w:sz w:val="30"/>
          <w:rtl/>
        </w:rPr>
        <w:tab/>
      </w:r>
      <w:r w:rsidRPr="00D82381">
        <w:rPr>
          <w:sz w:val="30"/>
          <w:rtl/>
        </w:rPr>
        <w:t xml:space="preserve">5 </w:t>
      </w:r>
      <w:r>
        <w:rPr>
          <w:rFonts w:hint="cs"/>
          <w:sz w:val="30"/>
          <w:rtl/>
        </w:rPr>
        <w:t>كانون الثاني/</w:t>
      </w:r>
      <w:r w:rsidRPr="00D82381">
        <w:rPr>
          <w:sz w:val="30"/>
          <w:rtl/>
        </w:rPr>
        <w:t>يناير 2017</w:t>
      </w:r>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i/>
          <w:iCs/>
          <w:sz w:val="30"/>
          <w:rtl/>
        </w:rPr>
        <w:t xml:space="preserve">تاريخ </w:t>
      </w:r>
      <w:r w:rsidRPr="00D82381">
        <w:rPr>
          <w:rFonts w:hint="cs"/>
          <w:i/>
          <w:iCs/>
          <w:sz w:val="30"/>
          <w:rtl/>
        </w:rPr>
        <w:t xml:space="preserve">اعتماد هذا </w:t>
      </w:r>
      <w:r w:rsidRPr="00D82381">
        <w:rPr>
          <w:i/>
          <w:iCs/>
          <w:sz w:val="30"/>
          <w:rtl/>
        </w:rPr>
        <w:t>القرار:</w:t>
      </w:r>
      <w:r>
        <w:rPr>
          <w:sz w:val="30"/>
          <w:rtl/>
        </w:rPr>
        <w:tab/>
      </w:r>
      <w:r w:rsidRPr="00D82381">
        <w:rPr>
          <w:sz w:val="30"/>
          <w:rtl/>
        </w:rPr>
        <w:t xml:space="preserve">25 </w:t>
      </w:r>
      <w:r>
        <w:rPr>
          <w:rFonts w:hint="cs"/>
          <w:sz w:val="30"/>
          <w:rtl/>
        </w:rPr>
        <w:t>كانون الثاني/</w:t>
      </w:r>
      <w:r w:rsidRPr="00D82381">
        <w:rPr>
          <w:sz w:val="30"/>
          <w:rtl/>
        </w:rPr>
        <w:t>يناير 2018</w:t>
      </w:r>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i/>
          <w:iCs/>
          <w:sz w:val="30"/>
          <w:rtl/>
        </w:rPr>
        <w:t>الموضوع:</w:t>
      </w:r>
      <w:r>
        <w:rPr>
          <w:i/>
          <w:iCs/>
          <w:sz w:val="30"/>
          <w:rtl/>
        </w:rPr>
        <w:tab/>
      </w:r>
      <w:r>
        <w:rPr>
          <w:i/>
          <w:iCs/>
          <w:sz w:val="30"/>
          <w:rtl/>
        </w:rPr>
        <w:tab/>
      </w:r>
      <w:r w:rsidRPr="002A1734">
        <w:rPr>
          <w:rFonts w:hint="cs"/>
          <w:spacing w:val="-4"/>
          <w:sz w:val="30"/>
          <w:rtl/>
        </w:rPr>
        <w:t>إخلاء</w:t>
      </w:r>
      <w:r>
        <w:rPr>
          <w:rFonts w:hint="cs"/>
          <w:sz w:val="30"/>
          <w:rtl/>
        </w:rPr>
        <w:t xml:space="preserve"> أسرة </w:t>
      </w:r>
      <w:r w:rsidRPr="00D82381">
        <w:rPr>
          <w:sz w:val="30"/>
          <w:rtl/>
        </w:rPr>
        <w:t xml:space="preserve">لديها أطفال من مخيم </w:t>
      </w:r>
      <w:proofErr w:type="spellStart"/>
      <w:r w:rsidRPr="00D82381">
        <w:rPr>
          <w:sz w:val="30"/>
          <w:rtl/>
        </w:rPr>
        <w:t>للروما</w:t>
      </w:r>
      <w:proofErr w:type="spellEnd"/>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rFonts w:hint="cs"/>
          <w:i/>
          <w:iCs/>
          <w:sz w:val="30"/>
          <w:rtl/>
        </w:rPr>
        <w:t>المسائل الإجرائية</w:t>
      </w:r>
      <w:r w:rsidRPr="00D82381">
        <w:rPr>
          <w:i/>
          <w:iCs/>
          <w:sz w:val="30"/>
          <w:rtl/>
        </w:rPr>
        <w:t>:</w:t>
      </w:r>
      <w:r>
        <w:rPr>
          <w:sz w:val="30"/>
          <w:rtl/>
        </w:rPr>
        <w:tab/>
      </w:r>
      <w:r w:rsidRPr="00D82381">
        <w:rPr>
          <w:sz w:val="30"/>
          <w:rtl/>
        </w:rPr>
        <w:t xml:space="preserve">عدم </w:t>
      </w:r>
      <w:r>
        <w:rPr>
          <w:rFonts w:hint="cs"/>
          <w:sz w:val="30"/>
          <w:rtl/>
        </w:rPr>
        <w:t xml:space="preserve">تطابق البلاغ مع أحكام العهد من </w:t>
      </w:r>
      <w:r w:rsidRPr="002A1734">
        <w:rPr>
          <w:rFonts w:hint="cs"/>
          <w:spacing w:val="-4"/>
          <w:sz w:val="30"/>
          <w:rtl/>
        </w:rPr>
        <w:t>حيث</w:t>
      </w:r>
      <w:r>
        <w:rPr>
          <w:rFonts w:hint="cs"/>
          <w:sz w:val="30"/>
          <w:rtl/>
        </w:rPr>
        <w:t xml:space="preserve"> الاختصاص الزمني</w:t>
      </w:r>
    </w:p>
    <w:p w:rsidR="00BD0362" w:rsidRPr="002A1734" w:rsidRDefault="00BD0362" w:rsidP="002A1734">
      <w:pPr>
        <w:pStyle w:val="SingleTxtGA"/>
        <w:tabs>
          <w:tab w:val="clear" w:pos="3289"/>
          <w:tab w:val="clear" w:pos="3969"/>
          <w:tab w:val="clear" w:pos="4649"/>
          <w:tab w:val="clear" w:pos="5330"/>
          <w:tab w:val="left" w:pos="4795"/>
        </w:tabs>
        <w:spacing w:line="360" w:lineRule="exact"/>
        <w:ind w:left="4795" w:hanging="2867"/>
        <w:rPr>
          <w:spacing w:val="-4"/>
          <w:sz w:val="30"/>
          <w:rtl/>
        </w:rPr>
      </w:pPr>
      <w:r w:rsidRPr="00D82381">
        <w:rPr>
          <w:rFonts w:hint="cs"/>
          <w:i/>
          <w:iCs/>
          <w:sz w:val="30"/>
          <w:rtl/>
        </w:rPr>
        <w:t>المسائل الموضوعية</w:t>
      </w:r>
      <w:r w:rsidRPr="00D82381">
        <w:rPr>
          <w:i/>
          <w:iCs/>
          <w:sz w:val="30"/>
          <w:rtl/>
        </w:rPr>
        <w:t>:</w:t>
      </w:r>
      <w:r>
        <w:rPr>
          <w:sz w:val="30"/>
          <w:rtl/>
        </w:rPr>
        <w:tab/>
      </w:r>
      <w:r w:rsidRPr="002A1734">
        <w:rPr>
          <w:rFonts w:hint="cs"/>
          <w:spacing w:val="-4"/>
          <w:sz w:val="30"/>
          <w:rtl/>
        </w:rPr>
        <w:t xml:space="preserve">مصالح </w:t>
      </w:r>
      <w:r w:rsidRPr="002A1734">
        <w:rPr>
          <w:spacing w:val="-4"/>
          <w:sz w:val="30"/>
          <w:rtl/>
        </w:rPr>
        <w:t xml:space="preserve">الطفل الفضلى، والحق في السكن، والحق في الصحة، والحق في التعليم، والمعاملة القاسية أو اللاإنسانية أو المهينة، والتمييز </w:t>
      </w:r>
      <w:r w:rsidRPr="002A1734">
        <w:rPr>
          <w:rFonts w:hint="cs"/>
          <w:spacing w:val="-4"/>
          <w:sz w:val="30"/>
          <w:rtl/>
        </w:rPr>
        <w:t xml:space="preserve">القائم </w:t>
      </w:r>
      <w:r w:rsidRPr="002A1734">
        <w:rPr>
          <w:spacing w:val="-4"/>
          <w:sz w:val="30"/>
          <w:rtl/>
        </w:rPr>
        <w:t xml:space="preserve">على أساس </w:t>
      </w:r>
      <w:r w:rsidRPr="002A1734">
        <w:rPr>
          <w:rFonts w:hint="cs"/>
          <w:spacing w:val="-4"/>
          <w:sz w:val="30"/>
          <w:rtl/>
        </w:rPr>
        <w:t xml:space="preserve">الانتماء </w:t>
      </w:r>
      <w:proofErr w:type="spellStart"/>
      <w:r w:rsidRPr="002A1734">
        <w:rPr>
          <w:rFonts w:hint="cs"/>
          <w:spacing w:val="-4"/>
          <w:sz w:val="30"/>
          <w:rtl/>
        </w:rPr>
        <w:t>الإثني</w:t>
      </w:r>
      <w:proofErr w:type="spellEnd"/>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rFonts w:hint="cs"/>
          <w:i/>
          <w:iCs/>
          <w:sz w:val="30"/>
          <w:rtl/>
        </w:rPr>
        <w:t xml:space="preserve">مواد </w:t>
      </w:r>
      <w:r w:rsidRPr="00D82381">
        <w:rPr>
          <w:i/>
          <w:iCs/>
          <w:sz w:val="30"/>
          <w:rtl/>
        </w:rPr>
        <w:t>الاتفاقية:</w:t>
      </w:r>
      <w:r>
        <w:rPr>
          <w:sz w:val="30"/>
          <w:rtl/>
        </w:rPr>
        <w:tab/>
      </w:r>
      <w:r w:rsidRPr="00D82381">
        <w:rPr>
          <w:sz w:val="30"/>
          <w:rtl/>
        </w:rPr>
        <w:t>2</w:t>
      </w:r>
      <w:r>
        <w:rPr>
          <w:sz w:val="30"/>
          <w:rtl/>
        </w:rPr>
        <w:t xml:space="preserve"> و</w:t>
      </w:r>
      <w:r w:rsidRPr="00D82381">
        <w:rPr>
          <w:sz w:val="30"/>
          <w:rtl/>
        </w:rPr>
        <w:t>3</w:t>
      </w:r>
      <w:r>
        <w:rPr>
          <w:sz w:val="30"/>
          <w:rtl/>
        </w:rPr>
        <w:t xml:space="preserve"> </w:t>
      </w:r>
      <w:r w:rsidRPr="002A1734">
        <w:rPr>
          <w:spacing w:val="-4"/>
          <w:sz w:val="30"/>
          <w:rtl/>
        </w:rPr>
        <w:t>و4</w:t>
      </w:r>
      <w:r>
        <w:rPr>
          <w:sz w:val="30"/>
          <w:rtl/>
        </w:rPr>
        <w:t xml:space="preserve"> و</w:t>
      </w:r>
      <w:r w:rsidRPr="00D82381">
        <w:rPr>
          <w:sz w:val="30"/>
          <w:rtl/>
        </w:rPr>
        <w:t>2</w:t>
      </w:r>
      <w:r>
        <w:rPr>
          <w:sz w:val="30"/>
          <w:rtl/>
        </w:rPr>
        <w:t>7</w:t>
      </w:r>
      <w:r w:rsidRPr="00D82381">
        <w:rPr>
          <w:sz w:val="30"/>
          <w:rtl/>
        </w:rPr>
        <w:t>(3)</w:t>
      </w:r>
      <w:r>
        <w:rPr>
          <w:rFonts w:hint="cs"/>
          <w:sz w:val="30"/>
          <w:rtl/>
        </w:rPr>
        <w:t>،</w:t>
      </w:r>
      <w:r>
        <w:rPr>
          <w:sz w:val="30"/>
          <w:rtl/>
        </w:rPr>
        <w:t xml:space="preserve"> و28 و37</w:t>
      </w:r>
      <w:r w:rsidRPr="00D82381">
        <w:rPr>
          <w:sz w:val="30"/>
          <w:rtl/>
        </w:rPr>
        <w:t>(أ)</w:t>
      </w:r>
    </w:p>
    <w:p w:rsidR="00BD0362" w:rsidRPr="00D82381" w:rsidRDefault="00BD0362" w:rsidP="002A1734">
      <w:pPr>
        <w:pStyle w:val="SingleTxtGA"/>
        <w:tabs>
          <w:tab w:val="clear" w:pos="3289"/>
          <w:tab w:val="clear" w:pos="3969"/>
          <w:tab w:val="clear" w:pos="4649"/>
          <w:tab w:val="clear" w:pos="5330"/>
          <w:tab w:val="left" w:pos="4795"/>
        </w:tabs>
        <w:spacing w:line="360" w:lineRule="exact"/>
        <w:ind w:left="4795" w:hanging="2867"/>
        <w:rPr>
          <w:sz w:val="30"/>
          <w:rtl/>
        </w:rPr>
      </w:pPr>
      <w:r w:rsidRPr="00D82381">
        <w:rPr>
          <w:rFonts w:hint="cs"/>
          <w:i/>
          <w:iCs/>
          <w:sz w:val="30"/>
          <w:rtl/>
        </w:rPr>
        <w:t xml:space="preserve">مادة </w:t>
      </w:r>
      <w:r w:rsidRPr="00D82381">
        <w:rPr>
          <w:i/>
          <w:iCs/>
          <w:sz w:val="30"/>
          <w:rtl/>
        </w:rPr>
        <w:t>البروتوكول الاختياري:</w:t>
      </w:r>
      <w:r>
        <w:rPr>
          <w:sz w:val="30"/>
          <w:rtl/>
        </w:rPr>
        <w:tab/>
        <w:t>7</w:t>
      </w:r>
      <w:r w:rsidRPr="00D82381">
        <w:rPr>
          <w:sz w:val="30"/>
          <w:rtl/>
        </w:rPr>
        <w:t>(ز)</w:t>
      </w:r>
    </w:p>
    <w:p w:rsidR="00BD0362" w:rsidRPr="00D82381" w:rsidRDefault="00BD0362" w:rsidP="00BD0362">
      <w:pPr>
        <w:pStyle w:val="SingleTxtGA"/>
        <w:rPr>
          <w:rtl/>
        </w:rPr>
      </w:pPr>
      <w:r>
        <w:rPr>
          <w:rFonts w:hint="cs"/>
          <w:rtl/>
        </w:rPr>
        <w:lastRenderedPageBreak/>
        <w:t>1-1</w:t>
      </w:r>
      <w:r>
        <w:rPr>
          <w:rFonts w:hint="cs"/>
          <w:rtl/>
        </w:rPr>
        <w:tab/>
      </w:r>
      <w:r>
        <w:rPr>
          <w:rtl/>
        </w:rPr>
        <w:t>صاحبة البلاغ</w:t>
      </w:r>
      <w:r>
        <w:rPr>
          <w:rFonts w:hint="cs"/>
          <w:rtl/>
        </w:rPr>
        <w:t>، السيدة س. ك. س.</w:t>
      </w:r>
      <w:r w:rsidRPr="00D82381">
        <w:rPr>
          <w:rtl/>
        </w:rPr>
        <w:t xml:space="preserve">، </w:t>
      </w:r>
      <w:r>
        <w:rPr>
          <w:rFonts w:hint="cs"/>
          <w:rtl/>
        </w:rPr>
        <w:t xml:space="preserve">هي مواطنة رومانية تنتمي إلى أقلية </w:t>
      </w:r>
      <w:proofErr w:type="spellStart"/>
      <w:r>
        <w:rPr>
          <w:rFonts w:hint="cs"/>
          <w:rtl/>
        </w:rPr>
        <w:t>الروما</w:t>
      </w:r>
      <w:proofErr w:type="spellEnd"/>
      <w:r>
        <w:rPr>
          <w:rFonts w:hint="cs"/>
          <w:rtl/>
        </w:rPr>
        <w:t xml:space="preserve"> الإثنية من مواليد سنة</w:t>
      </w:r>
      <w:r>
        <w:rPr>
          <w:rtl/>
        </w:rPr>
        <w:t xml:space="preserve"> 1972</w:t>
      </w:r>
      <w:r>
        <w:rPr>
          <w:rFonts w:hint="cs"/>
          <w:rtl/>
        </w:rPr>
        <w:t>.</w:t>
      </w:r>
      <w:r w:rsidRPr="00D82381">
        <w:rPr>
          <w:rtl/>
        </w:rPr>
        <w:t xml:space="preserve"> وهي تقدم </w:t>
      </w:r>
      <w:r>
        <w:rPr>
          <w:rFonts w:hint="cs"/>
          <w:rtl/>
        </w:rPr>
        <w:t xml:space="preserve">هذا </w:t>
      </w:r>
      <w:r w:rsidRPr="00D82381">
        <w:rPr>
          <w:rtl/>
        </w:rPr>
        <w:t xml:space="preserve">البلاغ </w:t>
      </w:r>
      <w:r>
        <w:rPr>
          <w:rFonts w:hint="cs"/>
          <w:rtl/>
        </w:rPr>
        <w:t>بال</w:t>
      </w:r>
      <w:r w:rsidRPr="00D82381">
        <w:rPr>
          <w:rtl/>
        </w:rPr>
        <w:t xml:space="preserve">نيابة عن </w:t>
      </w:r>
      <w:r>
        <w:rPr>
          <w:rFonts w:hint="cs"/>
          <w:rtl/>
        </w:rPr>
        <w:t>ابنتها ب. س. س.</w:t>
      </w:r>
      <w:r w:rsidRPr="00D82381">
        <w:rPr>
          <w:rtl/>
        </w:rPr>
        <w:t>،</w:t>
      </w:r>
      <w:r>
        <w:rPr>
          <w:rFonts w:hint="cs"/>
          <w:rtl/>
        </w:rPr>
        <w:t xml:space="preserve"> المولودة في </w:t>
      </w:r>
      <w:r>
        <w:rPr>
          <w:rtl/>
        </w:rPr>
        <w:t>22 آذار/</w:t>
      </w:r>
      <w:r>
        <w:rPr>
          <w:rFonts w:hint="cs"/>
          <w:rtl/>
        </w:rPr>
        <w:t xml:space="preserve"> </w:t>
      </w:r>
      <w:r>
        <w:rPr>
          <w:rtl/>
        </w:rPr>
        <w:t>مارس 2005</w:t>
      </w:r>
      <w:r w:rsidRPr="00D82381">
        <w:rPr>
          <w:rtl/>
        </w:rPr>
        <w:t>،</w:t>
      </w:r>
      <w:r>
        <w:rPr>
          <w:rtl/>
        </w:rPr>
        <w:t xml:space="preserve"> و</w:t>
      </w:r>
      <w:r>
        <w:rPr>
          <w:rFonts w:hint="cs"/>
          <w:rtl/>
        </w:rPr>
        <w:t xml:space="preserve">ابنها ك. أ. س. المولود </w:t>
      </w:r>
      <w:r>
        <w:rPr>
          <w:rtl/>
        </w:rPr>
        <w:t>في 12 تشرين الثاني/نوفمبر 2009، وحفيدها</w:t>
      </w:r>
      <w:r w:rsidRPr="00D82381">
        <w:rPr>
          <w:rtl/>
        </w:rPr>
        <w:t xml:space="preserve">، </w:t>
      </w:r>
      <w:r>
        <w:rPr>
          <w:rFonts w:hint="cs"/>
          <w:rtl/>
        </w:rPr>
        <w:t>ك.</w:t>
      </w:r>
      <w:r>
        <w:rPr>
          <w:rFonts w:hint="eastAsia"/>
          <w:rtl/>
        </w:rPr>
        <w:t> </w:t>
      </w:r>
      <w:r>
        <w:rPr>
          <w:rFonts w:hint="cs"/>
          <w:rtl/>
        </w:rPr>
        <w:t xml:space="preserve">م. س.، المولود </w:t>
      </w:r>
      <w:r w:rsidRPr="00D82381">
        <w:rPr>
          <w:rtl/>
        </w:rPr>
        <w:t xml:space="preserve">في 14 </w:t>
      </w:r>
      <w:r>
        <w:rPr>
          <w:rFonts w:hint="cs"/>
          <w:rtl/>
        </w:rPr>
        <w:t>حزيران/</w:t>
      </w:r>
      <w:proofErr w:type="gramStart"/>
      <w:r>
        <w:rPr>
          <w:rtl/>
        </w:rPr>
        <w:t>يوني</w:t>
      </w:r>
      <w:r>
        <w:rPr>
          <w:rFonts w:hint="cs"/>
          <w:rtl/>
        </w:rPr>
        <w:t>ه</w:t>
      </w:r>
      <w:proofErr w:type="gramEnd"/>
      <w:r w:rsidRPr="00D82381">
        <w:rPr>
          <w:rtl/>
        </w:rPr>
        <w:t xml:space="preserve"> 2011. </w:t>
      </w:r>
      <w:r>
        <w:rPr>
          <w:rFonts w:hint="cs"/>
          <w:rtl/>
        </w:rPr>
        <w:t>وت</w:t>
      </w:r>
      <w:r w:rsidR="001062C1">
        <w:rPr>
          <w:rFonts w:hint="cs"/>
          <w:rtl/>
        </w:rPr>
        <w:t>ؤكد أن ب. س. س.، وك. أ. س.، وك.</w:t>
      </w:r>
      <w:r w:rsidR="001062C1">
        <w:rPr>
          <w:rFonts w:hint="eastAsia"/>
          <w:rtl/>
        </w:rPr>
        <w:t> </w:t>
      </w:r>
      <w:r>
        <w:rPr>
          <w:rFonts w:hint="cs"/>
          <w:rtl/>
        </w:rPr>
        <w:t xml:space="preserve">م. س. وقعوا </w:t>
      </w:r>
      <w:r w:rsidRPr="00D82381">
        <w:rPr>
          <w:rtl/>
        </w:rPr>
        <w:t xml:space="preserve">ضحايا </w:t>
      </w:r>
      <w:r>
        <w:rPr>
          <w:rFonts w:hint="cs"/>
          <w:rtl/>
        </w:rPr>
        <w:t>ل</w:t>
      </w:r>
      <w:r w:rsidRPr="00D82381">
        <w:rPr>
          <w:rtl/>
        </w:rPr>
        <w:t xml:space="preserve">انتهاك </w:t>
      </w:r>
      <w:r>
        <w:rPr>
          <w:rFonts w:hint="cs"/>
          <w:rtl/>
        </w:rPr>
        <w:t>ا</w:t>
      </w:r>
      <w:r w:rsidRPr="00D82381">
        <w:rPr>
          <w:rtl/>
        </w:rPr>
        <w:t>لمواد 3</w:t>
      </w:r>
      <w:r>
        <w:rPr>
          <w:rtl/>
        </w:rPr>
        <w:t xml:space="preserve"> و</w:t>
      </w:r>
      <w:r w:rsidRPr="00D82381">
        <w:rPr>
          <w:rtl/>
        </w:rPr>
        <w:t>4</w:t>
      </w:r>
      <w:r>
        <w:rPr>
          <w:rtl/>
        </w:rPr>
        <w:t xml:space="preserve"> و</w:t>
      </w:r>
      <w:r w:rsidRPr="00D82381">
        <w:rPr>
          <w:rtl/>
        </w:rPr>
        <w:t>24</w:t>
      </w:r>
      <w:r>
        <w:rPr>
          <w:rtl/>
        </w:rPr>
        <w:t xml:space="preserve"> و27</w:t>
      </w:r>
      <w:r w:rsidRPr="00D82381">
        <w:rPr>
          <w:rtl/>
        </w:rPr>
        <w:t>(</w:t>
      </w:r>
      <w:r>
        <w:rPr>
          <w:rFonts w:hint="cs"/>
          <w:rtl/>
        </w:rPr>
        <w:t>الفقرة 3</w:t>
      </w:r>
      <w:r w:rsidRPr="00D82381">
        <w:rPr>
          <w:rtl/>
        </w:rPr>
        <w:t>)</w:t>
      </w:r>
      <w:r>
        <w:rPr>
          <w:rtl/>
        </w:rPr>
        <w:t xml:space="preserve"> و</w:t>
      </w:r>
      <w:r w:rsidRPr="00D82381">
        <w:rPr>
          <w:rtl/>
        </w:rPr>
        <w:t>28</w:t>
      </w:r>
      <w:r>
        <w:rPr>
          <w:rtl/>
        </w:rPr>
        <w:t xml:space="preserve"> و</w:t>
      </w:r>
      <w:r w:rsidRPr="00D82381">
        <w:rPr>
          <w:rtl/>
        </w:rPr>
        <w:t>37</w:t>
      </w:r>
      <w:r>
        <w:rPr>
          <w:rFonts w:hint="cs"/>
          <w:rtl/>
        </w:rPr>
        <w:t>(أ)</w:t>
      </w:r>
      <w:r>
        <w:rPr>
          <w:rtl/>
        </w:rPr>
        <w:t>، وكذلك المادة 2</w:t>
      </w:r>
      <w:r w:rsidRPr="00D82381">
        <w:rPr>
          <w:rtl/>
        </w:rPr>
        <w:t>، مقروءة بالاقتران مع المواد 3</w:t>
      </w:r>
      <w:r>
        <w:rPr>
          <w:rtl/>
        </w:rPr>
        <w:t xml:space="preserve"> و</w:t>
      </w:r>
      <w:r w:rsidRPr="00D82381">
        <w:rPr>
          <w:rtl/>
        </w:rPr>
        <w:t>4</w:t>
      </w:r>
      <w:r>
        <w:rPr>
          <w:rtl/>
        </w:rPr>
        <w:t xml:space="preserve"> و</w:t>
      </w:r>
      <w:r w:rsidRPr="00D82381">
        <w:rPr>
          <w:rtl/>
        </w:rPr>
        <w:t>24</w:t>
      </w:r>
      <w:r>
        <w:rPr>
          <w:rtl/>
        </w:rPr>
        <w:t xml:space="preserve"> و27</w:t>
      </w:r>
      <w:r w:rsidRPr="00D82381">
        <w:rPr>
          <w:rtl/>
        </w:rPr>
        <w:t>(</w:t>
      </w:r>
      <w:r>
        <w:rPr>
          <w:rFonts w:hint="cs"/>
          <w:rtl/>
        </w:rPr>
        <w:t>الفقرة 3</w:t>
      </w:r>
      <w:r w:rsidRPr="00D82381">
        <w:rPr>
          <w:rtl/>
        </w:rPr>
        <w:t>)</w:t>
      </w:r>
      <w:r>
        <w:rPr>
          <w:rtl/>
        </w:rPr>
        <w:t xml:space="preserve"> و</w:t>
      </w:r>
      <w:r w:rsidRPr="00D82381">
        <w:rPr>
          <w:rtl/>
        </w:rPr>
        <w:t>28</w:t>
      </w:r>
      <w:r>
        <w:rPr>
          <w:rtl/>
        </w:rPr>
        <w:t xml:space="preserve"> و37</w:t>
      </w:r>
      <w:r w:rsidRPr="00D82381">
        <w:rPr>
          <w:rtl/>
        </w:rPr>
        <w:t xml:space="preserve">(أ) من الاتفاقية. </w:t>
      </w:r>
      <w:r w:rsidRPr="002A1734">
        <w:rPr>
          <w:spacing w:val="-2"/>
          <w:rtl/>
        </w:rPr>
        <w:t>ويمثل صاحب</w:t>
      </w:r>
      <w:r w:rsidRPr="002A1734">
        <w:rPr>
          <w:rFonts w:hint="cs"/>
          <w:spacing w:val="-2"/>
          <w:rtl/>
        </w:rPr>
        <w:t>ة</w:t>
      </w:r>
      <w:r w:rsidRPr="002A1734">
        <w:rPr>
          <w:spacing w:val="-2"/>
          <w:rtl/>
        </w:rPr>
        <w:t xml:space="preserve"> البلاغ محام. </w:t>
      </w:r>
      <w:r w:rsidRPr="002A1734">
        <w:rPr>
          <w:rFonts w:hint="cs"/>
          <w:spacing w:val="-2"/>
          <w:rtl/>
        </w:rPr>
        <w:t xml:space="preserve">وقد </w:t>
      </w:r>
      <w:r w:rsidRPr="002A1734">
        <w:rPr>
          <w:spacing w:val="-2"/>
          <w:rtl/>
        </w:rPr>
        <w:t xml:space="preserve">دخل البروتوكول الاختياري حيز النفاذ </w:t>
      </w:r>
      <w:r w:rsidRPr="002A1734">
        <w:rPr>
          <w:rFonts w:hint="cs"/>
          <w:spacing w:val="-2"/>
          <w:rtl/>
        </w:rPr>
        <w:t>في ا</w:t>
      </w:r>
      <w:r w:rsidRPr="002A1734">
        <w:rPr>
          <w:spacing w:val="-2"/>
          <w:rtl/>
        </w:rPr>
        <w:t xml:space="preserve">لدولة الطرف </w:t>
      </w:r>
      <w:r w:rsidRPr="002A1734">
        <w:rPr>
          <w:rFonts w:hint="cs"/>
          <w:spacing w:val="-2"/>
          <w:rtl/>
        </w:rPr>
        <w:t xml:space="preserve">بتاريخ </w:t>
      </w:r>
      <w:r w:rsidRPr="002A1734">
        <w:rPr>
          <w:spacing w:val="-2"/>
          <w:rtl/>
        </w:rPr>
        <w:t>7</w:t>
      </w:r>
      <w:r>
        <w:rPr>
          <w:rtl/>
        </w:rPr>
        <w:t xml:space="preserve"> نيسان/</w:t>
      </w:r>
      <w:r w:rsidRPr="00D82381">
        <w:rPr>
          <w:rtl/>
        </w:rPr>
        <w:t>أبريل 2016.</w:t>
      </w:r>
      <w:r>
        <w:rPr>
          <w:rFonts w:hint="cs"/>
          <w:rtl/>
        </w:rPr>
        <w:t xml:space="preserve"> </w:t>
      </w:r>
    </w:p>
    <w:p w:rsidR="00BD0362" w:rsidRPr="00D82381" w:rsidRDefault="00BD0362" w:rsidP="00BD0362">
      <w:pPr>
        <w:pStyle w:val="SingleTxtGA"/>
        <w:rPr>
          <w:sz w:val="30"/>
          <w:rtl/>
        </w:rPr>
      </w:pPr>
      <w:r>
        <w:rPr>
          <w:rFonts w:hint="cs"/>
          <w:sz w:val="30"/>
          <w:rtl/>
        </w:rPr>
        <w:t>1</w:t>
      </w:r>
      <w:r w:rsidRPr="00BD0362">
        <w:rPr>
          <w:rFonts w:hint="cs"/>
          <w:rtl/>
        </w:rPr>
        <w:t>-2</w:t>
      </w:r>
      <w:r w:rsidRPr="00BD0362">
        <w:rPr>
          <w:rFonts w:hint="cs"/>
          <w:rtl/>
        </w:rPr>
        <w:tab/>
        <w:t>و</w:t>
      </w:r>
      <w:r w:rsidRPr="00BD0362">
        <w:rPr>
          <w:rtl/>
        </w:rPr>
        <w:t>في 16 حزيران/</w:t>
      </w:r>
      <w:proofErr w:type="gramStart"/>
      <w:r w:rsidRPr="00BD0362">
        <w:rPr>
          <w:rtl/>
        </w:rPr>
        <w:t>يونيه</w:t>
      </w:r>
      <w:proofErr w:type="gramEnd"/>
      <w:r w:rsidRPr="00BD0362">
        <w:rPr>
          <w:rtl/>
        </w:rPr>
        <w:t xml:space="preserve"> 2017، قررت اللجنة، </w:t>
      </w:r>
      <w:r w:rsidRPr="00BD0362">
        <w:rPr>
          <w:rFonts w:hint="cs"/>
          <w:rtl/>
        </w:rPr>
        <w:t xml:space="preserve">وهي تتصرف </w:t>
      </w:r>
      <w:r w:rsidRPr="00BD0362">
        <w:rPr>
          <w:rtl/>
        </w:rPr>
        <w:t xml:space="preserve">من خلال فريقها العامل المعني بالبلاغات، </w:t>
      </w:r>
      <w:r w:rsidRPr="00BD0362">
        <w:rPr>
          <w:rFonts w:hint="cs"/>
          <w:rtl/>
        </w:rPr>
        <w:t>أن</w:t>
      </w:r>
      <w:r>
        <w:rPr>
          <w:rFonts w:hint="cs"/>
          <w:sz w:val="30"/>
          <w:rtl/>
        </w:rPr>
        <w:t xml:space="preserve"> تنظر في </w:t>
      </w:r>
      <w:r w:rsidRPr="00D82381">
        <w:rPr>
          <w:sz w:val="30"/>
          <w:rtl/>
        </w:rPr>
        <w:t xml:space="preserve">مسألة مقبولية البلاغ </w:t>
      </w:r>
      <w:r>
        <w:rPr>
          <w:rFonts w:hint="cs"/>
          <w:sz w:val="30"/>
          <w:rtl/>
        </w:rPr>
        <w:t xml:space="preserve">بمعزل عن أسسه </w:t>
      </w:r>
      <w:r w:rsidRPr="00D82381">
        <w:rPr>
          <w:sz w:val="30"/>
          <w:rtl/>
        </w:rPr>
        <w:t>الموضوعية.</w:t>
      </w:r>
    </w:p>
    <w:p w:rsidR="00BD0362" w:rsidRPr="00D82381" w:rsidRDefault="00BD0362" w:rsidP="00BD0362">
      <w:pPr>
        <w:pStyle w:val="H23GA"/>
        <w:spacing w:before="240"/>
        <w:rPr>
          <w:rtl/>
        </w:rPr>
      </w:pPr>
      <w:r>
        <w:rPr>
          <w:rtl/>
        </w:rPr>
        <w:tab/>
      </w:r>
      <w:r>
        <w:rPr>
          <w:rtl/>
        </w:rPr>
        <w:tab/>
      </w:r>
      <w:r>
        <w:rPr>
          <w:rFonts w:hint="cs"/>
          <w:rtl/>
        </w:rPr>
        <w:t>الوقائع كما عرضتها صاحبة البلاغ</w:t>
      </w:r>
    </w:p>
    <w:p w:rsidR="00BD0362" w:rsidRPr="00D82381" w:rsidRDefault="00BD0362" w:rsidP="00BD0362">
      <w:pPr>
        <w:pStyle w:val="SingleTxtGA"/>
        <w:rPr>
          <w:rtl/>
        </w:rPr>
      </w:pPr>
      <w:r>
        <w:rPr>
          <w:rFonts w:hint="cs"/>
          <w:rtl/>
        </w:rPr>
        <w:t>2-1</w:t>
      </w:r>
      <w:r>
        <w:rPr>
          <w:rFonts w:hint="cs"/>
          <w:rtl/>
        </w:rPr>
        <w:tab/>
      </w:r>
      <w:r w:rsidRPr="00D82381">
        <w:rPr>
          <w:rtl/>
        </w:rPr>
        <w:t>صاحبة البلاغ و</w:t>
      </w:r>
      <w:r>
        <w:rPr>
          <w:rFonts w:hint="cs"/>
          <w:rtl/>
        </w:rPr>
        <w:t xml:space="preserve">أفراد </w:t>
      </w:r>
      <w:r w:rsidRPr="00D82381">
        <w:rPr>
          <w:rtl/>
        </w:rPr>
        <w:t>أسرتها</w:t>
      </w:r>
      <w:r>
        <w:rPr>
          <w:rtl/>
        </w:rPr>
        <w:t>،</w:t>
      </w:r>
      <w:r w:rsidRPr="00D82381">
        <w:rPr>
          <w:rtl/>
        </w:rPr>
        <w:t xml:space="preserve"> </w:t>
      </w:r>
      <w:r>
        <w:rPr>
          <w:rFonts w:hint="cs"/>
          <w:rtl/>
        </w:rPr>
        <w:t xml:space="preserve">الذين </w:t>
      </w:r>
      <w:r w:rsidRPr="00D82381">
        <w:rPr>
          <w:rtl/>
        </w:rPr>
        <w:t xml:space="preserve">ينتمون </w:t>
      </w:r>
      <w:r>
        <w:rPr>
          <w:rFonts w:hint="cs"/>
          <w:rtl/>
        </w:rPr>
        <w:t xml:space="preserve">جميعاً </w:t>
      </w:r>
      <w:r w:rsidRPr="00D82381">
        <w:rPr>
          <w:rtl/>
        </w:rPr>
        <w:t xml:space="preserve">إلى </w:t>
      </w:r>
      <w:r>
        <w:rPr>
          <w:rFonts w:hint="cs"/>
          <w:rtl/>
        </w:rPr>
        <w:t xml:space="preserve">مجتمع </w:t>
      </w:r>
      <w:proofErr w:type="spellStart"/>
      <w:r>
        <w:rPr>
          <w:rFonts w:hint="cs"/>
          <w:rtl/>
        </w:rPr>
        <w:t>الروما</w:t>
      </w:r>
      <w:proofErr w:type="spellEnd"/>
      <w:r>
        <w:rPr>
          <w:rtl/>
        </w:rPr>
        <w:t>،</w:t>
      </w:r>
      <w:r w:rsidRPr="00D82381">
        <w:rPr>
          <w:rtl/>
        </w:rPr>
        <w:t xml:space="preserve"> </w:t>
      </w:r>
      <w:r>
        <w:rPr>
          <w:rFonts w:hint="cs"/>
          <w:rtl/>
        </w:rPr>
        <w:t xml:space="preserve">غادروا </w:t>
      </w:r>
      <w:r w:rsidRPr="00D82381">
        <w:rPr>
          <w:rtl/>
        </w:rPr>
        <w:t>رومانيا</w:t>
      </w:r>
      <w:r>
        <w:rPr>
          <w:rFonts w:hint="cs"/>
          <w:rtl/>
        </w:rPr>
        <w:t xml:space="preserve"> باتجاه فرنسا </w:t>
      </w:r>
      <w:r w:rsidRPr="00D82381">
        <w:rPr>
          <w:rtl/>
        </w:rPr>
        <w:t xml:space="preserve">في تاريخ غير محدد. وبعد </w:t>
      </w:r>
      <w:r>
        <w:rPr>
          <w:rFonts w:hint="cs"/>
          <w:rtl/>
        </w:rPr>
        <w:t xml:space="preserve">إخلاء صاحبة البلاغ وأفراد أسرتها </w:t>
      </w:r>
      <w:r w:rsidRPr="00D82381">
        <w:rPr>
          <w:rtl/>
        </w:rPr>
        <w:t>في 31 آذار</w:t>
      </w:r>
      <w:r>
        <w:rPr>
          <w:rtl/>
        </w:rPr>
        <w:t>/</w:t>
      </w:r>
      <w:r w:rsidRPr="00D82381">
        <w:rPr>
          <w:rtl/>
        </w:rPr>
        <w:t xml:space="preserve">مارس 2015 من المخيم الذي </w:t>
      </w:r>
      <w:r>
        <w:rPr>
          <w:rFonts w:hint="cs"/>
          <w:rtl/>
        </w:rPr>
        <w:t xml:space="preserve">كانوا يقيمون </w:t>
      </w:r>
      <w:r w:rsidRPr="00D82381">
        <w:rPr>
          <w:rtl/>
        </w:rPr>
        <w:t>فيه</w:t>
      </w:r>
      <w:r>
        <w:rPr>
          <w:rtl/>
        </w:rPr>
        <w:t>،</w:t>
      </w:r>
      <w:r w:rsidRPr="00D82381">
        <w:rPr>
          <w:rtl/>
        </w:rPr>
        <w:t xml:space="preserve"> </w:t>
      </w:r>
      <w:r>
        <w:rPr>
          <w:rFonts w:hint="cs"/>
          <w:rtl/>
        </w:rPr>
        <w:t xml:space="preserve">استقروا من جديد في </w:t>
      </w:r>
      <w:r w:rsidRPr="00D82381">
        <w:rPr>
          <w:rtl/>
        </w:rPr>
        <w:t xml:space="preserve">مخيم ثانٍ </w:t>
      </w:r>
      <w:r>
        <w:rPr>
          <w:rFonts w:hint="cs"/>
          <w:rtl/>
        </w:rPr>
        <w:t xml:space="preserve">يقع في </w:t>
      </w:r>
      <w:r w:rsidRPr="00D82381">
        <w:rPr>
          <w:rtl/>
        </w:rPr>
        <w:t>شا</w:t>
      </w:r>
      <w:r>
        <w:rPr>
          <w:rFonts w:hint="cs"/>
          <w:rtl/>
        </w:rPr>
        <w:t xml:space="preserve">ن </w:t>
      </w:r>
      <w:r w:rsidRPr="00D82381">
        <w:rPr>
          <w:rtl/>
        </w:rPr>
        <w:t>-</w:t>
      </w:r>
      <w:r>
        <w:rPr>
          <w:rFonts w:hint="cs"/>
          <w:rtl/>
        </w:rPr>
        <w:t xml:space="preserve"> </w:t>
      </w:r>
      <w:r w:rsidRPr="00D82381">
        <w:rPr>
          <w:rtl/>
        </w:rPr>
        <w:t>سور</w:t>
      </w:r>
      <w:r>
        <w:rPr>
          <w:rFonts w:hint="cs"/>
          <w:rtl/>
        </w:rPr>
        <w:t xml:space="preserve"> </w:t>
      </w:r>
      <w:r w:rsidRPr="00D82381">
        <w:rPr>
          <w:rtl/>
        </w:rPr>
        <w:t>-</w:t>
      </w:r>
      <w:r>
        <w:rPr>
          <w:rFonts w:hint="cs"/>
          <w:rtl/>
        </w:rPr>
        <w:t xml:space="preserve"> </w:t>
      </w:r>
      <w:r w:rsidRPr="00D82381">
        <w:rPr>
          <w:rtl/>
        </w:rPr>
        <w:t>مارن</w:t>
      </w:r>
      <w:r>
        <w:rPr>
          <w:rFonts w:hint="cs"/>
          <w:rtl/>
        </w:rPr>
        <w:t xml:space="preserve"> (</w:t>
      </w:r>
      <w:r>
        <w:t>Champs-sur-Marne</w:t>
      </w:r>
      <w:r>
        <w:rPr>
          <w:rFonts w:hint="cs"/>
          <w:rtl/>
        </w:rPr>
        <w:t>)</w:t>
      </w:r>
      <w:r>
        <w:rPr>
          <w:rtl/>
        </w:rPr>
        <w:t>،</w:t>
      </w:r>
      <w:r w:rsidRPr="00D82381">
        <w:rPr>
          <w:rtl/>
        </w:rPr>
        <w:t xml:space="preserve"> </w:t>
      </w:r>
      <w:r>
        <w:rPr>
          <w:rFonts w:hint="cs"/>
          <w:rtl/>
        </w:rPr>
        <w:t xml:space="preserve">وهو مخيم تشغله عائلات أخرى </w:t>
      </w:r>
      <w:r w:rsidRPr="00D82381">
        <w:rPr>
          <w:rtl/>
        </w:rPr>
        <w:t xml:space="preserve">من </w:t>
      </w:r>
      <w:r>
        <w:rPr>
          <w:rFonts w:hint="cs"/>
          <w:rtl/>
        </w:rPr>
        <w:t xml:space="preserve">مجتمع </w:t>
      </w:r>
      <w:proofErr w:type="spellStart"/>
      <w:r>
        <w:rPr>
          <w:rFonts w:hint="cs"/>
          <w:rtl/>
        </w:rPr>
        <w:t>الروما</w:t>
      </w:r>
      <w:proofErr w:type="spellEnd"/>
      <w:r>
        <w:rPr>
          <w:rFonts w:hint="cs"/>
          <w:rtl/>
        </w:rPr>
        <w:t xml:space="preserve"> أيضاً ويقع </w:t>
      </w:r>
      <w:r w:rsidRPr="00D82381">
        <w:rPr>
          <w:rtl/>
        </w:rPr>
        <w:t xml:space="preserve">على </w:t>
      </w:r>
      <w:r>
        <w:rPr>
          <w:rFonts w:hint="cs"/>
          <w:rtl/>
        </w:rPr>
        <w:t xml:space="preserve">قطعة </w:t>
      </w:r>
      <w:r w:rsidRPr="00D82381">
        <w:rPr>
          <w:rtl/>
        </w:rPr>
        <w:t xml:space="preserve">أرض تابعة </w:t>
      </w:r>
      <w:r>
        <w:rPr>
          <w:rFonts w:hint="cs"/>
          <w:rtl/>
        </w:rPr>
        <w:t>للوكالة</w:t>
      </w:r>
      <w:r w:rsidRPr="00D82381">
        <w:rPr>
          <w:rtl/>
        </w:rPr>
        <w:t xml:space="preserve"> </w:t>
      </w:r>
      <w:r>
        <w:rPr>
          <w:rFonts w:hint="cs"/>
          <w:rtl/>
        </w:rPr>
        <w:t xml:space="preserve">العامة لتهيئة مدينة </w:t>
      </w:r>
      <w:r w:rsidRPr="00D82381">
        <w:rPr>
          <w:rtl/>
        </w:rPr>
        <w:t xml:space="preserve">مارن لا فاليه </w:t>
      </w:r>
      <w:r>
        <w:rPr>
          <w:rFonts w:hint="cs"/>
          <w:rtl/>
        </w:rPr>
        <w:t>(</w:t>
      </w:r>
      <w:r>
        <w:t>Marne-la-</w:t>
      </w:r>
      <w:proofErr w:type="spellStart"/>
      <w:r>
        <w:t>Vallée</w:t>
      </w:r>
      <w:proofErr w:type="spellEnd"/>
      <w:r>
        <w:rPr>
          <w:rFonts w:hint="cs"/>
          <w:rtl/>
        </w:rPr>
        <w:t>)</w:t>
      </w:r>
      <w:r w:rsidRPr="00D82381">
        <w:rPr>
          <w:rtl/>
        </w:rPr>
        <w:t>.</w:t>
      </w:r>
    </w:p>
    <w:p w:rsidR="00BD0362" w:rsidRPr="00D82381" w:rsidRDefault="00BD0362" w:rsidP="00BD0362">
      <w:pPr>
        <w:pStyle w:val="SingleTxtGA"/>
        <w:rPr>
          <w:rtl/>
        </w:rPr>
      </w:pPr>
      <w:r>
        <w:rPr>
          <w:rFonts w:hint="cs"/>
          <w:rtl/>
        </w:rPr>
        <w:t>2-2</w:t>
      </w:r>
      <w:r>
        <w:rPr>
          <w:rFonts w:hint="cs"/>
          <w:rtl/>
        </w:rPr>
        <w:tab/>
        <w:t xml:space="preserve">وبموجب قرار </w:t>
      </w:r>
      <w:r w:rsidRPr="00D82381">
        <w:rPr>
          <w:rtl/>
        </w:rPr>
        <w:t>مؤرخ 10 نيسان</w:t>
      </w:r>
      <w:r>
        <w:rPr>
          <w:rtl/>
        </w:rPr>
        <w:t>/</w:t>
      </w:r>
      <w:r w:rsidRPr="00D82381">
        <w:rPr>
          <w:rtl/>
        </w:rPr>
        <w:t>أبريل 2015</w:t>
      </w:r>
      <w:r>
        <w:rPr>
          <w:rtl/>
        </w:rPr>
        <w:t>،</w:t>
      </w:r>
      <w:r w:rsidRPr="00D82381">
        <w:rPr>
          <w:rtl/>
        </w:rPr>
        <w:t xml:space="preserve"> </w:t>
      </w:r>
      <w:r>
        <w:rPr>
          <w:rFonts w:hint="cs"/>
          <w:rtl/>
        </w:rPr>
        <w:t xml:space="preserve">وجه </w:t>
      </w:r>
      <w:r w:rsidRPr="00D82381">
        <w:rPr>
          <w:rtl/>
        </w:rPr>
        <w:t>رئيس بلدية شا</w:t>
      </w:r>
      <w:r>
        <w:rPr>
          <w:rFonts w:hint="cs"/>
          <w:rtl/>
        </w:rPr>
        <w:t>ن</w:t>
      </w:r>
      <w:r w:rsidRPr="00D82381">
        <w:rPr>
          <w:rtl/>
        </w:rPr>
        <w:t xml:space="preserve"> </w:t>
      </w:r>
      <w:r w:rsidR="001062C1">
        <w:rPr>
          <w:rFonts w:hint="cs"/>
          <w:rtl/>
        </w:rPr>
        <w:t xml:space="preserve">- </w:t>
      </w:r>
      <w:r w:rsidRPr="00D82381">
        <w:rPr>
          <w:rtl/>
        </w:rPr>
        <w:t>سور</w:t>
      </w:r>
      <w:r w:rsidR="001062C1">
        <w:rPr>
          <w:rFonts w:hint="cs"/>
          <w:rtl/>
        </w:rPr>
        <w:t xml:space="preserve"> -</w:t>
      </w:r>
      <w:r w:rsidRPr="00D82381">
        <w:rPr>
          <w:rtl/>
        </w:rPr>
        <w:t xml:space="preserve"> مارن </w:t>
      </w:r>
      <w:r>
        <w:rPr>
          <w:rFonts w:hint="cs"/>
          <w:rtl/>
        </w:rPr>
        <w:t xml:space="preserve">إنذاراً إلى المقيمين في </w:t>
      </w:r>
      <w:r w:rsidRPr="00D82381">
        <w:rPr>
          <w:rtl/>
        </w:rPr>
        <w:t xml:space="preserve">المخيم </w:t>
      </w:r>
      <w:r>
        <w:rPr>
          <w:rFonts w:hint="cs"/>
          <w:rtl/>
        </w:rPr>
        <w:t>بم</w:t>
      </w:r>
      <w:r w:rsidRPr="00D82381">
        <w:rPr>
          <w:rtl/>
        </w:rPr>
        <w:t xml:space="preserve">غادرة </w:t>
      </w:r>
      <w:r>
        <w:rPr>
          <w:rFonts w:hint="cs"/>
          <w:rtl/>
        </w:rPr>
        <w:t xml:space="preserve">المكان في غضون </w:t>
      </w:r>
      <w:r w:rsidRPr="00D82381">
        <w:rPr>
          <w:rtl/>
        </w:rPr>
        <w:t>ثمان وأربعين ساعة</w:t>
      </w:r>
      <w:r>
        <w:rPr>
          <w:rtl/>
        </w:rPr>
        <w:t>،</w:t>
      </w:r>
      <w:r w:rsidRPr="00D82381">
        <w:rPr>
          <w:rtl/>
        </w:rPr>
        <w:t xml:space="preserve"> و</w:t>
      </w:r>
      <w:r>
        <w:rPr>
          <w:rFonts w:hint="cs"/>
          <w:rtl/>
        </w:rPr>
        <w:t xml:space="preserve">إن لم يفعلوا ستضطر السلطات إلى إخلائهم </w:t>
      </w:r>
      <w:r w:rsidRPr="00D82381">
        <w:rPr>
          <w:rtl/>
        </w:rPr>
        <w:t xml:space="preserve">بالقوة. </w:t>
      </w:r>
      <w:r>
        <w:rPr>
          <w:rFonts w:hint="cs"/>
          <w:rtl/>
        </w:rPr>
        <w:t>فت</w:t>
      </w:r>
      <w:r w:rsidRPr="00D82381">
        <w:rPr>
          <w:rtl/>
        </w:rPr>
        <w:t>قدم</w:t>
      </w:r>
      <w:r>
        <w:rPr>
          <w:rFonts w:hint="cs"/>
          <w:rtl/>
        </w:rPr>
        <w:t>ت</w:t>
      </w:r>
      <w:r w:rsidRPr="00D82381">
        <w:rPr>
          <w:rtl/>
        </w:rPr>
        <w:t xml:space="preserve"> صاحب</w:t>
      </w:r>
      <w:r>
        <w:rPr>
          <w:rFonts w:hint="cs"/>
          <w:rtl/>
        </w:rPr>
        <w:t>ة</w:t>
      </w:r>
      <w:r w:rsidRPr="00D82381">
        <w:rPr>
          <w:rtl/>
        </w:rPr>
        <w:t xml:space="preserve"> البلاغ </w:t>
      </w:r>
      <w:r>
        <w:rPr>
          <w:rFonts w:hint="cs"/>
          <w:rtl/>
        </w:rPr>
        <w:t>إلى المحكمة الإدارية في مولان (</w:t>
      </w:r>
      <w:proofErr w:type="spellStart"/>
      <w:r>
        <w:t>Melun</w:t>
      </w:r>
      <w:proofErr w:type="spellEnd"/>
      <w:r>
        <w:rPr>
          <w:rFonts w:hint="cs"/>
          <w:rtl/>
        </w:rPr>
        <w:t>) بالتماس مستعجل ل</w:t>
      </w:r>
      <w:r w:rsidRPr="00D82381">
        <w:rPr>
          <w:rtl/>
        </w:rPr>
        <w:t xml:space="preserve">وقف </w:t>
      </w:r>
      <w:r>
        <w:rPr>
          <w:rFonts w:hint="cs"/>
          <w:rtl/>
        </w:rPr>
        <w:t>انتهاك حرياتها الأساسية</w:t>
      </w:r>
      <w:r>
        <w:rPr>
          <w:vertAlign w:val="superscript"/>
          <w:rtl/>
        </w:rPr>
        <w:t>(</w:t>
      </w:r>
      <w:r>
        <w:rPr>
          <w:rStyle w:val="FootnoteReference"/>
          <w:rtl/>
        </w:rPr>
        <w:footnoteReference w:id="3"/>
      </w:r>
      <w:r>
        <w:rPr>
          <w:vertAlign w:val="superscript"/>
          <w:rtl/>
        </w:rPr>
        <w:t>)</w:t>
      </w:r>
      <w:r>
        <w:rPr>
          <w:rFonts w:hint="cs"/>
          <w:rtl/>
        </w:rPr>
        <w:t>، طلبت فيه تعليق تنفيذ قرار رئيس البلدية وتعيين محامٍ</w:t>
      </w:r>
      <w:r w:rsidRPr="00D82381">
        <w:rPr>
          <w:rtl/>
        </w:rPr>
        <w:t>.</w:t>
      </w:r>
    </w:p>
    <w:p w:rsidR="00BD0362" w:rsidRPr="002A1734" w:rsidRDefault="00BD0362" w:rsidP="00BD0362">
      <w:pPr>
        <w:pStyle w:val="SingleTxtGA"/>
        <w:rPr>
          <w:rStyle w:val="FootnoteReference"/>
          <w:b w:val="0"/>
          <w:spacing w:val="-2"/>
          <w:sz w:val="30"/>
          <w:szCs w:val="30"/>
          <w:vertAlign w:val="baseline"/>
          <w:rtl/>
        </w:rPr>
      </w:pPr>
      <w:r>
        <w:rPr>
          <w:rFonts w:hint="cs"/>
          <w:rtl/>
        </w:rPr>
        <w:t>2-3</w:t>
      </w:r>
      <w:r>
        <w:rPr>
          <w:rFonts w:hint="cs"/>
          <w:rtl/>
        </w:rPr>
        <w:tab/>
      </w:r>
      <w:r w:rsidRPr="00D82381">
        <w:rPr>
          <w:rtl/>
        </w:rPr>
        <w:t>وبأمر مؤرخ 16 نيسان</w:t>
      </w:r>
      <w:r>
        <w:rPr>
          <w:rtl/>
        </w:rPr>
        <w:t>/</w:t>
      </w:r>
      <w:r w:rsidRPr="00D82381">
        <w:rPr>
          <w:rtl/>
        </w:rPr>
        <w:t>أبريل 2015</w:t>
      </w:r>
      <w:r>
        <w:rPr>
          <w:rtl/>
        </w:rPr>
        <w:t>،</w:t>
      </w:r>
      <w:r w:rsidRPr="00D82381">
        <w:rPr>
          <w:rtl/>
        </w:rPr>
        <w:t xml:space="preserve"> رفضت المحكمة</w:t>
      </w:r>
      <w:r>
        <w:rPr>
          <w:rFonts w:hint="cs"/>
          <w:rtl/>
        </w:rPr>
        <w:t xml:space="preserve"> المذكورة</w:t>
      </w:r>
      <w:r w:rsidRPr="00D82381">
        <w:rPr>
          <w:rtl/>
        </w:rPr>
        <w:t xml:space="preserve"> </w:t>
      </w:r>
      <w:r>
        <w:rPr>
          <w:rFonts w:hint="cs"/>
          <w:rtl/>
        </w:rPr>
        <w:t xml:space="preserve">الطعن </w:t>
      </w:r>
      <w:r w:rsidRPr="00D82381">
        <w:rPr>
          <w:rtl/>
        </w:rPr>
        <w:t xml:space="preserve">المقدم من </w:t>
      </w:r>
      <w:r>
        <w:rPr>
          <w:rtl/>
        </w:rPr>
        <w:t>صاحبة</w:t>
      </w:r>
      <w:r>
        <w:rPr>
          <w:rFonts w:hint="cs"/>
          <w:rtl/>
        </w:rPr>
        <w:t xml:space="preserve"> </w:t>
      </w:r>
      <w:r w:rsidRPr="00D82381">
        <w:rPr>
          <w:rtl/>
        </w:rPr>
        <w:t>البلاغ</w:t>
      </w:r>
      <w:r>
        <w:rPr>
          <w:rtl/>
        </w:rPr>
        <w:t>،</w:t>
      </w:r>
      <w:r w:rsidRPr="00D82381">
        <w:rPr>
          <w:rtl/>
        </w:rPr>
        <w:t xml:space="preserve"> معتبر</w:t>
      </w:r>
      <w:r>
        <w:rPr>
          <w:rFonts w:hint="cs"/>
          <w:rtl/>
        </w:rPr>
        <w:t>ةً</w:t>
      </w:r>
      <w:r w:rsidRPr="00D82381">
        <w:rPr>
          <w:rtl/>
        </w:rPr>
        <w:t xml:space="preserve"> أن </w:t>
      </w:r>
      <w:r>
        <w:rPr>
          <w:rFonts w:hint="cs"/>
          <w:rtl/>
        </w:rPr>
        <w:t xml:space="preserve">قرار </w:t>
      </w:r>
      <w:r w:rsidRPr="00D82381">
        <w:rPr>
          <w:rtl/>
        </w:rPr>
        <w:t xml:space="preserve">رئيس البلدية "لا </w:t>
      </w:r>
      <w:r>
        <w:rPr>
          <w:rFonts w:hint="cs"/>
          <w:rtl/>
        </w:rPr>
        <w:t>ينطوي على إغفال واضح لشرطي الضرورة والتناسب"</w:t>
      </w:r>
      <w:r>
        <w:rPr>
          <w:rtl/>
        </w:rPr>
        <w:t>،</w:t>
      </w:r>
      <w:r w:rsidRPr="00D82381">
        <w:rPr>
          <w:rtl/>
        </w:rPr>
        <w:t xml:space="preserve"> </w:t>
      </w:r>
      <w:r>
        <w:rPr>
          <w:rFonts w:hint="cs"/>
          <w:rtl/>
        </w:rPr>
        <w:t>وذلك نظراً</w:t>
      </w:r>
      <w:r w:rsidRPr="00D82381">
        <w:rPr>
          <w:rtl/>
        </w:rPr>
        <w:t xml:space="preserve"> </w:t>
      </w:r>
      <w:r>
        <w:rPr>
          <w:rFonts w:hint="cs"/>
          <w:rtl/>
        </w:rPr>
        <w:t>إلى ما تبين من مخاطر على أمن المقيمين في المخيم</w:t>
      </w:r>
      <w:r>
        <w:rPr>
          <w:vertAlign w:val="superscript"/>
          <w:rtl/>
        </w:rPr>
        <w:t>(</w:t>
      </w:r>
      <w:r>
        <w:rPr>
          <w:rStyle w:val="FootnoteReference"/>
          <w:rtl/>
        </w:rPr>
        <w:footnoteReference w:id="4"/>
      </w:r>
      <w:r>
        <w:rPr>
          <w:vertAlign w:val="superscript"/>
          <w:rtl/>
        </w:rPr>
        <w:t>)</w:t>
      </w:r>
      <w:r w:rsidRPr="00D82381">
        <w:rPr>
          <w:rtl/>
        </w:rPr>
        <w:t xml:space="preserve">. </w:t>
      </w:r>
      <w:r>
        <w:rPr>
          <w:rFonts w:hint="cs"/>
          <w:rtl/>
        </w:rPr>
        <w:t xml:space="preserve">واعتبرت </w:t>
      </w:r>
      <w:r w:rsidRPr="002A1734">
        <w:rPr>
          <w:spacing w:val="-2"/>
          <w:rtl/>
        </w:rPr>
        <w:t>المحكمة</w:t>
      </w:r>
      <w:r w:rsidRPr="002A1734">
        <w:rPr>
          <w:rFonts w:hint="cs"/>
          <w:spacing w:val="-2"/>
          <w:rtl/>
        </w:rPr>
        <w:t>،</w:t>
      </w:r>
      <w:r w:rsidRPr="002A1734">
        <w:rPr>
          <w:spacing w:val="-2"/>
          <w:rtl/>
        </w:rPr>
        <w:t xml:space="preserve"> </w:t>
      </w:r>
      <w:r w:rsidRPr="002A1734">
        <w:rPr>
          <w:rFonts w:hint="cs"/>
          <w:spacing w:val="-2"/>
          <w:rtl/>
        </w:rPr>
        <w:t xml:space="preserve">بالإضافة إلى ذلك، أن </w:t>
      </w:r>
      <w:r w:rsidRPr="002A1734">
        <w:rPr>
          <w:spacing w:val="-2"/>
          <w:rtl/>
        </w:rPr>
        <w:t xml:space="preserve">قاضي </w:t>
      </w:r>
      <w:r w:rsidRPr="002A1734">
        <w:rPr>
          <w:rFonts w:hint="cs"/>
          <w:spacing w:val="-2"/>
          <w:rtl/>
        </w:rPr>
        <w:t xml:space="preserve">الأمور المستعجلة غير مختص بتعيين محامٍ في إطار هذا الإجراء. وفي اليوم ذاته، تم إخلاء صاحبة البلاغ وأفراد أسرتها، وغيرهم من المقيمين في </w:t>
      </w:r>
      <w:r w:rsidRPr="002A1734">
        <w:rPr>
          <w:spacing w:val="-2"/>
          <w:rtl/>
        </w:rPr>
        <w:t>شا</w:t>
      </w:r>
      <w:r w:rsidRPr="002A1734">
        <w:rPr>
          <w:rFonts w:hint="cs"/>
          <w:spacing w:val="-2"/>
          <w:rtl/>
        </w:rPr>
        <w:t>ن</w:t>
      </w:r>
      <w:r w:rsidRPr="002A1734">
        <w:rPr>
          <w:spacing w:val="-2"/>
          <w:rtl/>
        </w:rPr>
        <w:t xml:space="preserve"> سور مارن</w:t>
      </w:r>
      <w:r w:rsidRPr="002A1734">
        <w:rPr>
          <w:rFonts w:hint="cs"/>
          <w:spacing w:val="-2"/>
          <w:rtl/>
        </w:rPr>
        <w:t>،</w:t>
      </w:r>
      <w:r w:rsidRPr="002A1734">
        <w:rPr>
          <w:spacing w:val="-2"/>
          <w:rtl/>
        </w:rPr>
        <w:t xml:space="preserve"> من المخيم. </w:t>
      </w:r>
      <w:r w:rsidRPr="002A1734">
        <w:rPr>
          <w:rFonts w:hint="cs"/>
          <w:spacing w:val="-2"/>
          <w:rtl/>
        </w:rPr>
        <w:t xml:space="preserve">وتؤكد </w:t>
      </w:r>
      <w:r w:rsidRPr="002A1734">
        <w:rPr>
          <w:spacing w:val="-2"/>
          <w:rtl/>
        </w:rPr>
        <w:t xml:space="preserve">صاحبة البلاغ </w:t>
      </w:r>
      <w:r w:rsidRPr="002A1734">
        <w:rPr>
          <w:rFonts w:hint="cs"/>
          <w:spacing w:val="-2"/>
          <w:rtl/>
        </w:rPr>
        <w:t xml:space="preserve">أن السلطات أعلمتهم بأنه يتعذر عليها أن توفر لهم مأوى، وذلك على الرغم من أن </w:t>
      </w:r>
      <w:r w:rsidRPr="002A1734">
        <w:rPr>
          <w:spacing w:val="-2"/>
          <w:rtl/>
        </w:rPr>
        <w:t xml:space="preserve">الأشخاص </w:t>
      </w:r>
      <w:r w:rsidRPr="002A1734">
        <w:rPr>
          <w:rFonts w:hint="cs"/>
          <w:spacing w:val="-2"/>
          <w:rtl/>
        </w:rPr>
        <w:t xml:space="preserve">بلا </w:t>
      </w:r>
      <w:r w:rsidRPr="002A1734">
        <w:rPr>
          <w:spacing w:val="-2"/>
          <w:rtl/>
        </w:rPr>
        <w:t xml:space="preserve">مأوى يحق لهم الحصول على </w:t>
      </w:r>
      <w:r w:rsidRPr="002A1734">
        <w:rPr>
          <w:rFonts w:hint="cs"/>
          <w:spacing w:val="-2"/>
          <w:rtl/>
        </w:rPr>
        <w:t>م</w:t>
      </w:r>
      <w:r w:rsidRPr="002A1734">
        <w:rPr>
          <w:spacing w:val="-2"/>
          <w:rtl/>
        </w:rPr>
        <w:t xml:space="preserve">سكن </w:t>
      </w:r>
      <w:r w:rsidRPr="002A1734">
        <w:rPr>
          <w:rFonts w:hint="cs"/>
          <w:spacing w:val="-2"/>
          <w:rtl/>
        </w:rPr>
        <w:t>في حالات ال</w:t>
      </w:r>
      <w:r w:rsidRPr="002A1734">
        <w:rPr>
          <w:spacing w:val="-2"/>
          <w:rtl/>
        </w:rPr>
        <w:t>ط</w:t>
      </w:r>
      <w:r w:rsidRPr="002A1734">
        <w:rPr>
          <w:rFonts w:hint="cs"/>
          <w:spacing w:val="-2"/>
          <w:rtl/>
        </w:rPr>
        <w:t>و</w:t>
      </w:r>
      <w:r w:rsidRPr="002A1734">
        <w:rPr>
          <w:spacing w:val="-2"/>
          <w:rtl/>
        </w:rPr>
        <w:t>ارئ</w:t>
      </w:r>
      <w:r w:rsidRPr="002A1734">
        <w:rPr>
          <w:rFonts w:hint="cs"/>
          <w:spacing w:val="-2"/>
          <w:rtl/>
        </w:rPr>
        <w:t>.</w:t>
      </w:r>
      <w:r w:rsidRPr="002A1734">
        <w:rPr>
          <w:spacing w:val="-2"/>
          <w:rtl/>
        </w:rPr>
        <w:t xml:space="preserve"> </w:t>
      </w:r>
      <w:r w:rsidRPr="002A1734">
        <w:rPr>
          <w:rFonts w:hint="cs"/>
          <w:spacing w:val="-2"/>
          <w:rtl/>
        </w:rPr>
        <w:t xml:space="preserve">وظلت صاحبة البلاغ وأفراد أسرتها، وغيرهم من المقيمين الذين تم إخلاؤهم من المخيم، ينتظرون لمدة ساعات على حافة الطريق دون أن يحصلوا على أي معلومات بشأن مصيرهم. </w:t>
      </w:r>
    </w:p>
    <w:p w:rsidR="00BD0362" w:rsidRPr="00B9063E" w:rsidRDefault="00BD0362" w:rsidP="00BD0362">
      <w:pPr>
        <w:pStyle w:val="SingleTxtGA"/>
        <w:rPr>
          <w:rStyle w:val="FootnoteReference"/>
          <w:b w:val="0"/>
          <w:sz w:val="30"/>
          <w:szCs w:val="30"/>
          <w:vertAlign w:val="baseline"/>
        </w:rPr>
      </w:pPr>
      <w:r>
        <w:rPr>
          <w:rFonts w:hint="cs"/>
          <w:rtl/>
        </w:rPr>
        <w:lastRenderedPageBreak/>
        <w:t>2-4</w:t>
      </w:r>
      <w:r>
        <w:rPr>
          <w:rFonts w:hint="cs"/>
          <w:rtl/>
        </w:rPr>
        <w:tab/>
        <w:t>وطعنت صاحبة البلاغ بالاستئناف أمام مجلس الدولة. وبموجب قرار مؤرخ 7 كانون الثاني/يناير 2016، رفض مجلس الدولة طلب صاحبة البلاغ، ولكن قضى بإلغاء الأمر الصادر عن المحكمة الإدارية في مولان بسبب عيب في الإجراءات</w:t>
      </w:r>
      <w:r>
        <w:rPr>
          <w:vertAlign w:val="superscript"/>
          <w:rtl/>
        </w:rPr>
        <w:t>(</w:t>
      </w:r>
      <w:r>
        <w:rPr>
          <w:rStyle w:val="FootnoteReference"/>
          <w:rtl/>
        </w:rPr>
        <w:footnoteReference w:id="5"/>
      </w:r>
      <w:r>
        <w:rPr>
          <w:vertAlign w:val="superscript"/>
          <w:rtl/>
        </w:rPr>
        <w:t>)</w:t>
      </w:r>
      <w:r>
        <w:rPr>
          <w:rFonts w:hint="cs"/>
          <w:rtl/>
        </w:rPr>
        <w:t>.</w:t>
      </w:r>
    </w:p>
    <w:p w:rsidR="00BD0362" w:rsidRDefault="00BD0362" w:rsidP="00BD0362">
      <w:pPr>
        <w:pStyle w:val="SingleTxtGA"/>
        <w:rPr>
          <w:rtl/>
        </w:rPr>
      </w:pPr>
      <w:r>
        <w:rPr>
          <w:rFonts w:hint="cs"/>
          <w:rtl/>
        </w:rPr>
        <w:t>2-5</w:t>
      </w:r>
      <w:r>
        <w:rPr>
          <w:rFonts w:hint="cs"/>
          <w:rtl/>
        </w:rPr>
        <w:tab/>
        <w:t xml:space="preserve">وفي 7 تموز/يوليه 2016، رفعت صاحبة البلاغ شكوى إلى المحكمة الأوروبية لحقوق الإنسان التي لم تبت بعد في الموضوع. وادعت صاحبة البلاغ في هذه الشكوى أنها تعرضت للوصم والمضايقة بسبب اثنيتها، ووقعت ضحية انتهاك حقها في احترام حياتها الخاصة والأسرية وفي عدم انتهاك حرمة منزلها، هذا بالإضافة إلى حرمانها من الحق في سبيل انتصاف فعال. </w:t>
      </w:r>
    </w:p>
    <w:p w:rsidR="00BD0362" w:rsidRDefault="00BD0362" w:rsidP="00BD0362">
      <w:pPr>
        <w:pStyle w:val="SingleTxtGA"/>
        <w:rPr>
          <w:rtl/>
        </w:rPr>
      </w:pPr>
      <w:r>
        <w:rPr>
          <w:rFonts w:hint="cs"/>
          <w:rtl/>
        </w:rPr>
        <w:t>2-6</w:t>
      </w:r>
      <w:r>
        <w:rPr>
          <w:rFonts w:hint="cs"/>
          <w:rtl/>
        </w:rPr>
        <w:tab/>
        <w:t xml:space="preserve">وتدعي صاحبة البلاغ أن إخلاءها وأفراد أسرتها من مخيم </w:t>
      </w:r>
      <w:r w:rsidRPr="00D82381">
        <w:rPr>
          <w:rtl/>
        </w:rPr>
        <w:t>شا</w:t>
      </w:r>
      <w:r>
        <w:rPr>
          <w:rFonts w:hint="cs"/>
          <w:rtl/>
        </w:rPr>
        <w:t>ن</w:t>
      </w:r>
      <w:r w:rsidRPr="00D82381">
        <w:rPr>
          <w:rtl/>
        </w:rPr>
        <w:t xml:space="preserve"> سور مارن</w:t>
      </w:r>
      <w:r>
        <w:rPr>
          <w:rFonts w:hint="cs"/>
          <w:rtl/>
        </w:rPr>
        <w:t xml:space="preserve"> كانت له آثار سلبية على المسار الدراسي لكل من ب. س. س.، </w:t>
      </w:r>
      <w:r w:rsidR="00824960">
        <w:rPr>
          <w:rFonts w:hint="cs"/>
          <w:rtl/>
        </w:rPr>
        <w:t>وك. أ. س.، وك. م. س. فابنتها ب.</w:t>
      </w:r>
      <w:r w:rsidR="00824960">
        <w:rPr>
          <w:rFonts w:hint="eastAsia"/>
          <w:rtl/>
        </w:rPr>
        <w:t> </w:t>
      </w:r>
      <w:r>
        <w:rPr>
          <w:rFonts w:hint="cs"/>
          <w:rtl/>
        </w:rPr>
        <w:t xml:space="preserve">س. س.، التي كانت تبلغ من العمر 10 سنوات وقت إخلاء الأسرة من المخيم، كانت مسجلة في المدرسة العامة وكانت تتنقل بمعية متطوع كان ينقل الأطفال </w:t>
      </w:r>
      <w:proofErr w:type="spellStart"/>
      <w:r>
        <w:rPr>
          <w:rFonts w:hint="cs"/>
          <w:rtl/>
        </w:rPr>
        <w:t>الروما</w:t>
      </w:r>
      <w:proofErr w:type="spellEnd"/>
      <w:r>
        <w:rPr>
          <w:rFonts w:hint="cs"/>
          <w:rtl/>
        </w:rPr>
        <w:t xml:space="preserve"> إلى المدرسة على متن عربته الخاصة. ومنذ شتاء عام 2015، لم يعد هذا المتطوع قادراً على مواصلة اقتياد الأطفال لأسباب شخصية، وبالتالي اضطرت ابنتها إلى الانقطاع عن الدراسة. وتشير صاحبة البلاغ أيضاً إلى أن الأسرة تعيش اليوم في كوخ بُنِيَ باستخدام مواد قابلة للاشتعال وتنعدم ف</w:t>
      </w:r>
      <w:r w:rsidR="00824960">
        <w:rPr>
          <w:rFonts w:hint="cs"/>
          <w:rtl/>
        </w:rPr>
        <w:t>يه مياه الشرب والكهرباء ولا يوجد</w:t>
      </w:r>
      <w:r>
        <w:rPr>
          <w:rFonts w:hint="cs"/>
          <w:rtl/>
        </w:rPr>
        <w:t xml:space="preserve"> به مرحاض. وقد تعرضت من جديد، هي وأفراد أسرتها، للإخلاء من مخيم كانوا يقيمون فيه بتاريخ 3 آب/أغسطس 2016، ثم في أيلول/س</w:t>
      </w:r>
      <w:r w:rsidR="00795CC3">
        <w:rPr>
          <w:rFonts w:hint="cs"/>
          <w:rtl/>
        </w:rPr>
        <w:t>بتمبر وتشرين الثاني/نوفمبر 2016.</w:t>
      </w:r>
    </w:p>
    <w:p w:rsidR="00BD0362" w:rsidRDefault="00BD0362" w:rsidP="00BD0362">
      <w:pPr>
        <w:pStyle w:val="SingleTxtGA"/>
        <w:rPr>
          <w:rtl/>
        </w:rPr>
      </w:pPr>
      <w:r>
        <w:rPr>
          <w:rFonts w:hint="cs"/>
          <w:rtl/>
        </w:rPr>
        <w:t>2-7</w:t>
      </w:r>
      <w:r>
        <w:rPr>
          <w:rFonts w:hint="cs"/>
          <w:rtl/>
        </w:rPr>
        <w:tab/>
        <w:t xml:space="preserve">وتؤكد صاحبة البلاغ أن الوقائع المعروضة في إطار هذه القضية تندرج ضمن ممارسة إدارية تهدف إلى الإخلاء القسري </w:t>
      </w:r>
      <w:proofErr w:type="spellStart"/>
      <w:r>
        <w:rPr>
          <w:rFonts w:hint="cs"/>
          <w:rtl/>
        </w:rPr>
        <w:t>للروما</w:t>
      </w:r>
      <w:proofErr w:type="spellEnd"/>
      <w:r>
        <w:rPr>
          <w:rFonts w:hint="cs"/>
          <w:rtl/>
        </w:rPr>
        <w:t>، حيث تسجَّل سنوياً الآلاف من عمليات الإخلاء</w:t>
      </w:r>
      <w:r>
        <w:rPr>
          <w:vertAlign w:val="superscript"/>
          <w:rtl/>
        </w:rPr>
        <w:t>(</w:t>
      </w:r>
      <w:r>
        <w:rPr>
          <w:rStyle w:val="FootnoteReference"/>
          <w:rtl/>
        </w:rPr>
        <w:footnoteReference w:id="6"/>
      </w:r>
      <w:r>
        <w:rPr>
          <w:vertAlign w:val="superscript"/>
          <w:rtl/>
        </w:rPr>
        <w:t>)</w:t>
      </w:r>
      <w:r>
        <w:rPr>
          <w:rFonts w:hint="cs"/>
          <w:rtl/>
        </w:rPr>
        <w:t>.</w:t>
      </w:r>
    </w:p>
    <w:p w:rsidR="00BD0362" w:rsidRDefault="00BD0362" w:rsidP="00BD0362">
      <w:pPr>
        <w:pStyle w:val="H23GA"/>
        <w:spacing w:before="240"/>
        <w:rPr>
          <w:rFonts w:hint="cs"/>
          <w:rtl/>
          <w:lang w:bidi="ar-DZ"/>
        </w:rPr>
      </w:pPr>
      <w:r>
        <w:rPr>
          <w:lang w:bidi="ar-DZ"/>
        </w:rPr>
        <w:tab/>
      </w:r>
      <w:r>
        <w:rPr>
          <w:lang w:bidi="ar-DZ"/>
        </w:rPr>
        <w:tab/>
      </w:r>
      <w:r>
        <w:rPr>
          <w:rFonts w:hint="cs"/>
          <w:rtl/>
          <w:lang w:bidi="ar-DZ"/>
        </w:rPr>
        <w:t>الشكوى</w:t>
      </w:r>
    </w:p>
    <w:p w:rsidR="00BD0362" w:rsidRDefault="00BD0362" w:rsidP="00BD0362">
      <w:pPr>
        <w:pStyle w:val="SingleTxtGA"/>
        <w:rPr>
          <w:rtl/>
          <w:lang w:eastAsia="ar-SA" w:bidi="ar-DZ"/>
        </w:rPr>
      </w:pPr>
      <w:r>
        <w:rPr>
          <w:rFonts w:hint="cs"/>
          <w:rtl/>
          <w:lang w:eastAsia="ar-SA" w:bidi="ar-DZ"/>
        </w:rPr>
        <w:t>3</w:t>
      </w:r>
      <w:r w:rsidRPr="00711B40">
        <w:rPr>
          <w:rFonts w:hint="cs"/>
          <w:spacing w:val="-6"/>
          <w:rtl/>
          <w:lang w:eastAsia="ar-SA" w:bidi="ar-DZ"/>
        </w:rPr>
        <w:t>-1</w:t>
      </w:r>
      <w:r w:rsidRPr="00711B40">
        <w:rPr>
          <w:rFonts w:hint="cs"/>
          <w:spacing w:val="-6"/>
          <w:rtl/>
          <w:lang w:eastAsia="ar-SA" w:bidi="ar-DZ"/>
        </w:rPr>
        <w:tab/>
        <w:t>تزعم صاحبة البلاغ أن الدولة الطرف انتهكت حقوق كل من ب. س. س.، وك. أ. س.،</w:t>
      </w:r>
      <w:r>
        <w:rPr>
          <w:rFonts w:hint="cs"/>
          <w:rtl/>
          <w:lang w:eastAsia="ar-SA" w:bidi="ar-DZ"/>
        </w:rPr>
        <w:t xml:space="preserve"> وك. م. س.، المكفولة لهم بموجب المادة 3 من الاتفاقية نظراً إ لأن مصالح الطفل الفضلى لم تشكِّل أحد الاعتبارات الأساسية لا في قرار رئيس بلدية شان سور مارن ولا في القرارات القضائية التي صدرت في أعقاب إخلاء أفراد أسرتها من المخيم. وتؤكد أن رئيس البلدية كان يدرك أن أطفالاً يعيشون في المخيم، ولكنه حرص على الرغم من ذلك على تنفيذ قرار الإخلاء دون اتخاذ أية تدابير لتوفير السكن البديل.</w:t>
      </w:r>
    </w:p>
    <w:p w:rsidR="00BD0362" w:rsidRDefault="00BD0362" w:rsidP="00BD0362">
      <w:pPr>
        <w:pStyle w:val="SingleTxtGA"/>
        <w:rPr>
          <w:rtl/>
          <w:lang w:eastAsia="ar-SA" w:bidi="ar-DZ"/>
        </w:rPr>
      </w:pPr>
      <w:r>
        <w:rPr>
          <w:rFonts w:hint="cs"/>
          <w:rtl/>
          <w:lang w:eastAsia="ar-SA" w:bidi="ar-DZ"/>
        </w:rPr>
        <w:t>3-2</w:t>
      </w:r>
      <w:r>
        <w:rPr>
          <w:rFonts w:hint="cs"/>
          <w:rtl/>
          <w:lang w:eastAsia="ar-SA" w:bidi="ar-DZ"/>
        </w:rPr>
        <w:tab/>
        <w:t xml:space="preserve">وتؤكد صاحبة البلاغ أن الدولة الطرف انتهكت المادة 4 من الاتفاقية على أساس أن تعميماً إدارياً بتاريخ 26 آب/أغسطس 2012 نص على اتخاذ تدابير اجتماعية تهدف إلى </w:t>
      </w:r>
      <w:r>
        <w:rPr>
          <w:rFonts w:hint="cs"/>
          <w:rtl/>
          <w:lang w:eastAsia="ar-SA" w:bidi="ar-DZ"/>
        </w:rPr>
        <w:lastRenderedPageBreak/>
        <w:t>ضمان احترام حقوق المقيمين في الأحياء الفقيرة. غير أن السلطات البلدية لم تراعِ هذا التعميم في القضية الراهنة، ولا سيما ما يتعلق بأحكامه ذات الصلة بالسكن والتعليم.</w:t>
      </w:r>
    </w:p>
    <w:p w:rsidR="00BD0362" w:rsidRDefault="00BD0362" w:rsidP="00BD0362">
      <w:pPr>
        <w:pStyle w:val="SingleTxtGA"/>
        <w:rPr>
          <w:rtl/>
          <w:lang w:eastAsia="ar-SA" w:bidi="ar-DZ"/>
        </w:rPr>
      </w:pPr>
      <w:r w:rsidRPr="00427C55">
        <w:rPr>
          <w:rFonts w:hint="cs"/>
          <w:spacing w:val="-2"/>
          <w:rtl/>
          <w:lang w:eastAsia="ar-SA" w:bidi="ar-DZ"/>
        </w:rPr>
        <w:t>3</w:t>
      </w:r>
      <w:r w:rsidRPr="00427C55">
        <w:rPr>
          <w:rFonts w:hint="cs"/>
          <w:spacing w:val="-6"/>
          <w:rtl/>
          <w:lang w:eastAsia="ar-SA" w:bidi="ar-DZ"/>
        </w:rPr>
        <w:t>-3</w:t>
      </w:r>
      <w:r w:rsidRPr="00427C55">
        <w:rPr>
          <w:rFonts w:hint="cs"/>
          <w:spacing w:val="-6"/>
          <w:rtl/>
          <w:lang w:eastAsia="ar-SA" w:bidi="ar-DZ"/>
        </w:rPr>
        <w:tab/>
        <w:t>وتزعم صاحبة البلاغ وقوع انتهاك لحقوق كل من ب. س.</w:t>
      </w:r>
      <w:r w:rsidR="003A5054" w:rsidRPr="00427C55">
        <w:rPr>
          <w:rFonts w:hint="cs"/>
          <w:spacing w:val="-6"/>
          <w:rtl/>
          <w:lang w:eastAsia="ar-SA" w:bidi="ar-DZ"/>
        </w:rPr>
        <w:t xml:space="preserve"> </w:t>
      </w:r>
      <w:r w:rsidRPr="00427C55">
        <w:rPr>
          <w:rFonts w:hint="cs"/>
          <w:spacing w:val="-6"/>
          <w:rtl/>
          <w:lang w:eastAsia="ar-SA" w:bidi="ar-DZ"/>
        </w:rPr>
        <w:t>س</w:t>
      </w:r>
      <w:r w:rsidR="003A5054" w:rsidRPr="00427C55">
        <w:rPr>
          <w:rFonts w:hint="cs"/>
          <w:spacing w:val="-6"/>
          <w:rtl/>
          <w:lang w:eastAsia="ar-SA" w:bidi="ar-DZ"/>
        </w:rPr>
        <w:t>.</w:t>
      </w:r>
      <w:r w:rsidRPr="00427C55">
        <w:rPr>
          <w:rFonts w:hint="cs"/>
          <w:spacing w:val="-6"/>
          <w:rtl/>
          <w:lang w:eastAsia="ar-SA" w:bidi="ar-DZ"/>
        </w:rPr>
        <w:t>، وك. أ. س.، وك. م. س.،</w:t>
      </w:r>
      <w:r>
        <w:rPr>
          <w:rFonts w:hint="cs"/>
          <w:rtl/>
          <w:lang w:eastAsia="ar-SA" w:bidi="ar-DZ"/>
        </w:rPr>
        <w:t xml:space="preserve"> المكفولة لهم بموجب المادة 24 والمادة 27 (الفقرة 3) من الاتفاقية، لأن السلطات الوطنية تركتهم دون مسكن، وبالتالي فهي لم تتخذ التدابير اللازمة لمنع أي خطر يمكن أن يهدد صحة الأطفال ولمساعدة صاحبة البلاغ على تأمين مستوى معيشي كافٍ يكفل نمو أطفالها.</w:t>
      </w:r>
    </w:p>
    <w:p w:rsidR="00BD0362" w:rsidRDefault="00BD0362" w:rsidP="00BD0362">
      <w:pPr>
        <w:pStyle w:val="SingleTxtGA"/>
        <w:rPr>
          <w:rtl/>
          <w:lang w:eastAsia="ar-SA" w:bidi="ar-DZ"/>
        </w:rPr>
      </w:pPr>
      <w:r>
        <w:rPr>
          <w:rFonts w:hint="cs"/>
          <w:rtl/>
          <w:lang w:eastAsia="ar-SA" w:bidi="ar-DZ"/>
        </w:rPr>
        <w:t>3-4</w:t>
      </w:r>
      <w:r>
        <w:rPr>
          <w:rFonts w:hint="cs"/>
          <w:rtl/>
          <w:lang w:eastAsia="ar-SA" w:bidi="ar-DZ"/>
        </w:rPr>
        <w:tab/>
        <w:t xml:space="preserve">وتدعي صاحبة البلاغ أن الدولة الطرف </w:t>
      </w:r>
      <w:r w:rsidR="00711B40">
        <w:rPr>
          <w:rFonts w:hint="cs"/>
          <w:rtl/>
          <w:lang w:eastAsia="ar-SA" w:bidi="ar-DZ"/>
        </w:rPr>
        <w:t>انتهكت حقوق كل من ب. س. س.، وك.</w:t>
      </w:r>
      <w:r w:rsidR="00711B40">
        <w:rPr>
          <w:rFonts w:hint="eastAsia"/>
          <w:rtl/>
          <w:lang w:eastAsia="ar-SA" w:bidi="ar-DZ"/>
        </w:rPr>
        <w:t> </w:t>
      </w:r>
      <w:r>
        <w:rPr>
          <w:rFonts w:hint="cs"/>
          <w:rtl/>
          <w:lang w:eastAsia="ar-SA" w:bidi="ar-DZ"/>
        </w:rPr>
        <w:t>أ. س.، وك. م. س.، في التعليم، وهي الحقوق التي تكفلها لهم المادة 28 من الاتفاقية. وبوجه الخصوص، لم تتخذ الدولة الطرف تدابير تكفل لابنتها ب. س. س. مواصلة تعليمها وتتيح إمكانية نيل التعليم لكل من ك. أ. س.، وك. م. س.</w:t>
      </w:r>
    </w:p>
    <w:p w:rsidR="00BD0362" w:rsidRDefault="00BD0362" w:rsidP="00BD0362">
      <w:pPr>
        <w:pStyle w:val="SingleTxtGA"/>
        <w:rPr>
          <w:rtl/>
        </w:rPr>
      </w:pPr>
      <w:r>
        <w:rPr>
          <w:rFonts w:hint="cs"/>
          <w:rtl/>
          <w:lang w:eastAsia="ar-SA" w:bidi="ar-DZ"/>
        </w:rPr>
        <w:t>3-5</w:t>
      </w:r>
      <w:r>
        <w:rPr>
          <w:rFonts w:hint="cs"/>
          <w:rtl/>
          <w:lang w:eastAsia="ar-SA" w:bidi="ar-DZ"/>
        </w:rPr>
        <w:tab/>
        <w:t>وتزعم صاحبة البلاغ أن إخلاء أفراد الأسرة من مخيم شان سور مارن شكَّل معاملة لا</w:t>
      </w:r>
      <w:r w:rsidR="00F46FC5">
        <w:rPr>
          <w:rFonts w:hint="eastAsia"/>
          <w:rtl/>
          <w:lang w:eastAsia="ar-SA" w:bidi="ar-DZ"/>
        </w:rPr>
        <w:t> </w:t>
      </w:r>
      <w:r>
        <w:rPr>
          <w:rFonts w:hint="cs"/>
          <w:rtl/>
          <w:lang w:eastAsia="ar-SA" w:bidi="ar-DZ"/>
        </w:rPr>
        <w:t>إنسانية ومهينة بالنسبة إلى كل من ب. س. س.، وك. أ. س.، وك. م. س.، بالمفهوم الوارد في المادة 37(أ) من الاتفاقية. فقد نُفذت عملية هدم المنزل على مرأى من الأطفال وفي ظل العجز التام لوالدتهم</w:t>
      </w:r>
      <w:r>
        <w:rPr>
          <w:vertAlign w:val="superscript"/>
          <w:rtl/>
          <w:lang w:eastAsia="ar-SA" w:bidi="ar-DZ"/>
        </w:rPr>
        <w:t>(</w:t>
      </w:r>
      <w:r>
        <w:rPr>
          <w:rStyle w:val="FootnoteReference"/>
          <w:rtl/>
          <w:lang w:eastAsia="ar-SA" w:bidi="ar-DZ"/>
        </w:rPr>
        <w:footnoteReference w:id="7"/>
      </w:r>
      <w:r>
        <w:rPr>
          <w:vertAlign w:val="superscript"/>
          <w:rtl/>
          <w:lang w:eastAsia="ar-SA" w:bidi="ar-DZ"/>
        </w:rPr>
        <w:t>)</w:t>
      </w:r>
      <w:r w:rsidRPr="003316B5">
        <w:rPr>
          <w:rFonts w:hint="cs"/>
          <w:rtl/>
        </w:rPr>
        <w:t>.</w:t>
      </w:r>
    </w:p>
    <w:p w:rsidR="00BD0362" w:rsidRDefault="00BD0362" w:rsidP="00BD0362">
      <w:pPr>
        <w:pStyle w:val="SingleTxtGA"/>
        <w:rPr>
          <w:rtl/>
        </w:rPr>
      </w:pPr>
      <w:r>
        <w:rPr>
          <w:rFonts w:hint="cs"/>
          <w:rtl/>
        </w:rPr>
        <w:t>3-6</w:t>
      </w:r>
      <w:r>
        <w:rPr>
          <w:rFonts w:hint="cs"/>
          <w:rtl/>
        </w:rPr>
        <w:tab/>
        <w:t>وفي الختام، تدعي صاحبة البلاغ حدوث انتهاك للماد</w:t>
      </w:r>
      <w:r w:rsidR="00711B40">
        <w:rPr>
          <w:rFonts w:hint="cs"/>
          <w:rtl/>
        </w:rPr>
        <w:t>ة 2، مقروءة بالاقتران مع المواد</w:t>
      </w:r>
      <w:r w:rsidR="00711B40">
        <w:rPr>
          <w:rFonts w:hint="eastAsia"/>
          <w:rtl/>
        </w:rPr>
        <w:t> </w:t>
      </w:r>
      <w:r>
        <w:rPr>
          <w:rFonts w:hint="cs"/>
          <w:rtl/>
        </w:rPr>
        <w:t xml:space="preserve">3 و4 و24 و27 (الفقرة 3) و28 و37(أ) من الاتفاقية، لأن عملية الإخلاء تندرج ضمن سياسة تمييزية تستهدف أقلية </w:t>
      </w:r>
      <w:proofErr w:type="spellStart"/>
      <w:r>
        <w:rPr>
          <w:rFonts w:hint="cs"/>
          <w:rtl/>
        </w:rPr>
        <w:t>الروما</w:t>
      </w:r>
      <w:proofErr w:type="spellEnd"/>
      <w:r>
        <w:rPr>
          <w:rFonts w:hint="cs"/>
          <w:rtl/>
        </w:rPr>
        <w:t xml:space="preserve"> الإثنية في فرنسا.</w:t>
      </w:r>
    </w:p>
    <w:p w:rsidR="00BD0362" w:rsidRDefault="00BD0362" w:rsidP="00BD0362">
      <w:pPr>
        <w:pStyle w:val="H23GA"/>
        <w:spacing w:before="240"/>
        <w:rPr>
          <w:rtl/>
        </w:rPr>
      </w:pPr>
      <w:r>
        <w:rPr>
          <w:rtl/>
        </w:rPr>
        <w:tab/>
      </w:r>
      <w:r>
        <w:rPr>
          <w:rtl/>
        </w:rPr>
        <w:tab/>
      </w:r>
      <w:r>
        <w:rPr>
          <w:rFonts w:hint="cs"/>
          <w:rtl/>
        </w:rPr>
        <w:t>ملاحظات الدولة الطرف بشأن المقبولية</w:t>
      </w:r>
    </w:p>
    <w:p w:rsidR="00BD0362" w:rsidRDefault="00BD0362" w:rsidP="00BD0362">
      <w:pPr>
        <w:pStyle w:val="SingleTxtGA"/>
        <w:rPr>
          <w:rtl/>
          <w:lang w:eastAsia="ar-SA"/>
        </w:rPr>
      </w:pPr>
      <w:r>
        <w:rPr>
          <w:rFonts w:hint="cs"/>
          <w:rtl/>
          <w:lang w:eastAsia="ar-SA"/>
        </w:rPr>
        <w:t>4-1</w:t>
      </w:r>
      <w:r>
        <w:rPr>
          <w:rFonts w:hint="cs"/>
          <w:rtl/>
          <w:lang w:eastAsia="ar-SA"/>
        </w:rPr>
        <w:tab/>
        <w:t>في 18 نيسان/أبريل 2017، أشارت الدولة الطرف إلى أن البروتوكول الاختياري دخل حيز النفاذ بالنسبة إلى فرنسا في 7 نيسان/أبريل 2016. أما الشكوى التي رفعتها صاحبة البلاغ، فتتعلق بإخلائها وأسرتها من مخيم شان سور مارن بتاريخ 16 نيسان/أبريل 2015، وذلك عقب القرار الذي اتخذه رئيس البلدية بتاريخ 10 نيسان/أبريل 2015. ورغم أن صاحبة البلاغ تشير إلى أنها خضعت لعمليات إخلاء أخرى، بما في ذلك في آذار/مارس 2015 ثم في أيلول/سبتمبر وتشرين الثاني/نوفمبر 2016، فإن الوقائع المعروضة في إطار هذا البلاغ والتي كانت موضوع إجراءات</w:t>
      </w:r>
      <w:r w:rsidRPr="00D36E89">
        <w:rPr>
          <w:rFonts w:hint="cs"/>
          <w:rtl/>
          <w:lang w:eastAsia="ar-SA"/>
        </w:rPr>
        <w:t xml:space="preserve"> </w:t>
      </w:r>
      <w:r>
        <w:rPr>
          <w:rFonts w:hint="cs"/>
          <w:rtl/>
          <w:lang w:eastAsia="ar-SA"/>
        </w:rPr>
        <w:t>محلية تمثلت في طعن أمام المحكمة الإدارية في مولان ثم أمام مجلس الدولة، هي وقائع تتعلق بعملية إخلاء تمت في نيسان/أبريل 2015. وبالتالي، فإن هذه الوقائع حدثت قبل دخول البروتوكول الاختياري حيز النفاذ بالنسبة إلى فرنسا.</w:t>
      </w:r>
    </w:p>
    <w:p w:rsidR="00BD0362" w:rsidRDefault="00BD0362" w:rsidP="00BD0362">
      <w:pPr>
        <w:pStyle w:val="SingleTxtGA"/>
        <w:rPr>
          <w:rtl/>
        </w:rPr>
      </w:pPr>
      <w:r>
        <w:rPr>
          <w:rFonts w:hint="cs"/>
          <w:rtl/>
          <w:lang w:eastAsia="ar-SA"/>
        </w:rPr>
        <w:lastRenderedPageBreak/>
        <w:t>4-2</w:t>
      </w:r>
      <w:r>
        <w:rPr>
          <w:rFonts w:hint="cs"/>
          <w:rtl/>
          <w:lang w:eastAsia="ar-SA"/>
        </w:rPr>
        <w:tab/>
        <w:t>زد على ذلك أن الدولة الطرف تعتبر أن صاحبة البلاغ لم تستنفد جميع سبل الانتصاف المتاحة محلياً في إطار القضية المعروضة على اللجنة، وذلك لأن الالتماس المستعجل المقدم إلى المحكمة الإدارية في مولان من أجل منع انتهاك الحقوق الأساسية لصاحبة البلاغ والطعن بالاستئناف المقدم إلى مجلس الدولة، هما طلبان رفعتهما صاحبة البلاغ بالأصالة عن نفسها ولحسابها هي وحدها، دون أن تشير بالتحديد إلى حالة ب.</w:t>
      </w:r>
      <w:r>
        <w:rPr>
          <w:rFonts w:hint="cs"/>
          <w:rtl/>
          <w:lang w:eastAsia="ar-SA" w:bidi="ar-DZ"/>
        </w:rPr>
        <w:t xml:space="preserve"> س. س.، وك. أ. س.، وك. م. س. وفي الالتماس المستعجل المقدم إلى المحكمة الإدارية، تكتفي صاحبة البلاغ بالإشارة، في مناسبة واحدة، إلى مصالح الطفل الفضلى، دون أن تتعمق في التحليل ودون أن تقدم أي دفوع تخص بالتحديد ب. س. س.، وك. أ. س.، وك. م. س. وفي مذكرات الاستئناف أمام مجلس الدولة، تثير صاحبة البلاغ بشكل عام مسألة التحاق الأطفال بالمدرسة ومصالح الطفل الفضلى. غير أن هذه الإشارات تبقى ذات طابع عام فحسب، ولا تتعلق بشكل مباشر ومحدد بأي من ب. س. س.، وك. أ. س.، وك. م. س. ثم إن المواد التي تزعم صاحبة البلاغ أنها انتُهكت لم تكن مشمولةً في أسباب الطعن التي أثارتها صاحبة البلاغ في إطار الإجراءات أمام الهيئات القضائية المحلية، عدا ما يتعلق بمصالح الطفل الفضلى</w:t>
      </w:r>
      <w:r>
        <w:rPr>
          <w:vertAlign w:val="superscript"/>
          <w:rtl/>
          <w:lang w:eastAsia="ar-SA" w:bidi="ar-DZ"/>
        </w:rPr>
        <w:t>(</w:t>
      </w:r>
      <w:r>
        <w:rPr>
          <w:rStyle w:val="FootnoteReference"/>
          <w:rtl/>
          <w:lang w:eastAsia="ar-SA" w:bidi="ar-DZ"/>
        </w:rPr>
        <w:footnoteReference w:id="8"/>
      </w:r>
      <w:r>
        <w:rPr>
          <w:vertAlign w:val="superscript"/>
          <w:rtl/>
          <w:lang w:eastAsia="ar-SA" w:bidi="ar-DZ"/>
        </w:rPr>
        <w:t>)</w:t>
      </w:r>
      <w:r w:rsidRPr="003316B5">
        <w:rPr>
          <w:rFonts w:hint="cs"/>
          <w:rtl/>
        </w:rPr>
        <w:t>.</w:t>
      </w:r>
    </w:p>
    <w:p w:rsidR="00BD0362" w:rsidRDefault="00BD0362" w:rsidP="00BD0362">
      <w:pPr>
        <w:pStyle w:val="SingleTxtGA"/>
        <w:rPr>
          <w:rtl/>
        </w:rPr>
      </w:pPr>
      <w:r>
        <w:rPr>
          <w:rFonts w:hint="cs"/>
          <w:rtl/>
        </w:rPr>
        <w:t>4-3</w:t>
      </w:r>
      <w:r>
        <w:rPr>
          <w:rFonts w:hint="cs"/>
          <w:rtl/>
        </w:rPr>
        <w:tab/>
        <w:t>وفي الختام، تشير الدولة الطرف إلى أن شكوى تتعلق بنفس الأحداث ونفس الوقائع قيد النظر في إطار هذا البلاغ، معروضةٌ في الوقت الراهن على المحكمة الأوروبية لحقوق الإنسان التي لم تبت فيها بعد. وبناءً عليه، فإن اللجنة ستنظر في "المسألة نفسها" المعروضة على المحكمة بالمفهوم الوارد في المادة 7(د) من البروتوكول الاختياري.</w:t>
      </w:r>
    </w:p>
    <w:p w:rsidR="00BD0362" w:rsidRDefault="00BD0362" w:rsidP="00BD0362">
      <w:pPr>
        <w:pStyle w:val="H23GA"/>
        <w:spacing w:before="240"/>
        <w:rPr>
          <w:rtl/>
        </w:rPr>
      </w:pPr>
      <w:r>
        <w:rPr>
          <w:rtl/>
        </w:rPr>
        <w:tab/>
      </w:r>
      <w:r>
        <w:rPr>
          <w:rtl/>
        </w:rPr>
        <w:tab/>
      </w:r>
      <w:r>
        <w:rPr>
          <w:rFonts w:hint="cs"/>
          <w:rtl/>
        </w:rPr>
        <w:t>تعليقات صاحبة البلاغ على ملاحظات الدولة الطرف</w:t>
      </w:r>
    </w:p>
    <w:p w:rsidR="00BD0362" w:rsidRDefault="00BD0362" w:rsidP="00BD0362">
      <w:pPr>
        <w:pStyle w:val="SingleTxtGA"/>
        <w:rPr>
          <w:rtl/>
          <w:lang w:eastAsia="ar-SA"/>
        </w:rPr>
      </w:pPr>
      <w:r>
        <w:rPr>
          <w:rFonts w:hint="cs"/>
          <w:rtl/>
          <w:lang w:eastAsia="ar-SA"/>
        </w:rPr>
        <w:t>5-1</w:t>
      </w:r>
      <w:r>
        <w:rPr>
          <w:rFonts w:hint="cs"/>
          <w:rtl/>
          <w:lang w:eastAsia="ar-SA"/>
        </w:rPr>
        <w:tab/>
        <w:t>في 23 أيار/مايو 2017، أعلمت صاحبة البلاغ اللجنة بأن الأسرة لا تزال تقيم في حي فقير يقع في بلدية شان سور مارن، وأن ب. س. س. انقطعت عن الدراسة، في حين أن ك. أ. س. وك. م. س.، اللذين هما الآن في سن التعليم الإلزامي في فرنسا، لتعذّر تسجيلهما في المدارس العامة التي اتصلت بها صاحبة البلاغ. وأفادت بأن الأسرة لا تتلقى أي مساعدة عامة وتعتمد فقط على ما تتلقاه من معونة من منظمات غير حكومية.</w:t>
      </w:r>
    </w:p>
    <w:p w:rsidR="00BD0362" w:rsidRDefault="00BD0362" w:rsidP="00BD0362">
      <w:pPr>
        <w:pStyle w:val="SingleTxtGA"/>
        <w:rPr>
          <w:rtl/>
        </w:rPr>
      </w:pPr>
      <w:r>
        <w:rPr>
          <w:rFonts w:hint="cs"/>
          <w:rtl/>
        </w:rPr>
        <w:t>5-2</w:t>
      </w:r>
      <w:r>
        <w:rPr>
          <w:rFonts w:hint="cs"/>
          <w:rtl/>
        </w:rPr>
        <w:tab/>
        <w:t>وتفيد صاحبة البلاغ بأن الإخلاء تم في 16 نيسان/أبريل 2015، لكن الآثار الناجمة عن هذا الحادث، وبخاصة انقطاع كل من ب. س. س.، وك. أ. س.، وك. م. س.، عن الدراسة، تواصلت بعد التاريخ المذكور ولا تزال متواصلة حتى اليوم</w:t>
      </w:r>
      <w:r>
        <w:rPr>
          <w:vertAlign w:val="superscript"/>
          <w:rtl/>
        </w:rPr>
        <w:t>(</w:t>
      </w:r>
      <w:r>
        <w:rPr>
          <w:rStyle w:val="FootnoteReference"/>
          <w:rtl/>
        </w:rPr>
        <w:footnoteReference w:id="9"/>
      </w:r>
      <w:r>
        <w:rPr>
          <w:vertAlign w:val="superscript"/>
          <w:rtl/>
        </w:rPr>
        <w:t>)</w:t>
      </w:r>
      <w:r>
        <w:rPr>
          <w:rFonts w:hint="cs"/>
          <w:rtl/>
        </w:rPr>
        <w:t xml:space="preserve">. </w:t>
      </w:r>
    </w:p>
    <w:p w:rsidR="00BD0362" w:rsidRDefault="00BD0362" w:rsidP="00BD0362">
      <w:pPr>
        <w:pStyle w:val="SingleTxtGA"/>
        <w:rPr>
          <w:rtl/>
        </w:rPr>
      </w:pPr>
      <w:r>
        <w:rPr>
          <w:rFonts w:hint="cs"/>
          <w:rtl/>
        </w:rPr>
        <w:lastRenderedPageBreak/>
        <w:t>5-3</w:t>
      </w:r>
      <w:r>
        <w:rPr>
          <w:rFonts w:hint="cs"/>
          <w:rtl/>
        </w:rPr>
        <w:tab/>
        <w:t xml:space="preserve">وتؤكد صاحبة البلاغ أنها استنفدت جميع سبل الانتصاف المتاحة على الصعيد المحلي. وتشير إلى أنها أثارت مسألة مصالح الطفل الفضلى في الالتماس المستعجل الذي تقدمت به من أجل وضع حد لانتهاك حقوقها الأساسية دون أن يمثلها محامٍ في إطار هذا الإجراء. وتؤكد أيضاً أنها أشارت بوضوح إلى حقوق أبنائها عندما أثارت الحق في التعليم في إطار الطعن المقدم إلى مجلس الدولة. وتضيف بالقول إن مسألة التمييز على أساس الانتماء </w:t>
      </w:r>
      <w:proofErr w:type="spellStart"/>
      <w:r>
        <w:rPr>
          <w:rFonts w:hint="cs"/>
          <w:rtl/>
        </w:rPr>
        <w:t>الإثني</w:t>
      </w:r>
      <w:proofErr w:type="spellEnd"/>
      <w:r>
        <w:rPr>
          <w:rFonts w:hint="cs"/>
          <w:rtl/>
        </w:rPr>
        <w:t xml:space="preserve"> قد أثارتها بشكل ضمني في الدفوع التي قدمتها، حيث أكدت أنها هي وأبناءها ينتمون إلى أقلية تعاني من حالة ضعف، هي مجتمع </w:t>
      </w:r>
      <w:proofErr w:type="spellStart"/>
      <w:r>
        <w:rPr>
          <w:rFonts w:hint="cs"/>
          <w:rtl/>
        </w:rPr>
        <w:t>الروما</w:t>
      </w:r>
      <w:proofErr w:type="spellEnd"/>
      <w:r>
        <w:rPr>
          <w:rFonts w:hint="cs"/>
          <w:rtl/>
        </w:rPr>
        <w:t xml:space="preserve">، وبالتالي فقد كانت هي وأفراد أسرتها بحاجة إلى حماية خاصة. </w:t>
      </w:r>
    </w:p>
    <w:p w:rsidR="00BD0362" w:rsidRDefault="00BD0362" w:rsidP="00BD0362">
      <w:pPr>
        <w:pStyle w:val="SingleTxtGA"/>
        <w:rPr>
          <w:rtl/>
        </w:rPr>
      </w:pPr>
      <w:r>
        <w:rPr>
          <w:rFonts w:hint="cs"/>
          <w:rtl/>
        </w:rPr>
        <w:t>5-4</w:t>
      </w:r>
      <w:r>
        <w:rPr>
          <w:rFonts w:hint="cs"/>
          <w:rtl/>
        </w:rPr>
        <w:tab/>
        <w:t xml:space="preserve">أما بخصوص الشكوى المعروضة على المحكمة الأوروبية لحقوق الإنسان، تشير صاحبة البلاغ إلى أنها استندت في هذه الشكوى إلى انتهاكات مختلفة، وهي بالتحديد التدخل في حياتها الخاصة والأسرية وعدم وجود سبيل انتصاف ذي جدوى. وبناءً عليه، فإن الشكوى المعروضة على المحكمة الأوروبية لحقوق الإنسان لا تتعلق بنفس الحقوق الأساسية. </w:t>
      </w:r>
    </w:p>
    <w:p w:rsidR="00BD0362" w:rsidRPr="00F57D99" w:rsidRDefault="00BD0362" w:rsidP="00BD0362">
      <w:pPr>
        <w:pStyle w:val="H23GA"/>
        <w:spacing w:before="240"/>
        <w:rPr>
          <w:rtl/>
        </w:rPr>
      </w:pPr>
      <w:r>
        <w:rPr>
          <w:rtl/>
        </w:rPr>
        <w:tab/>
      </w:r>
      <w:r>
        <w:rPr>
          <w:rtl/>
        </w:rPr>
        <w:tab/>
      </w:r>
      <w:r w:rsidRPr="00F57D99">
        <w:rPr>
          <w:rFonts w:hint="eastAsia"/>
          <w:rtl/>
        </w:rPr>
        <w:t>المسائل</w:t>
      </w:r>
      <w:r w:rsidRPr="00F57D99">
        <w:rPr>
          <w:rtl/>
        </w:rPr>
        <w:t xml:space="preserve"> والإجراءات المعروضة على اللجنة </w:t>
      </w:r>
    </w:p>
    <w:p w:rsidR="00BD0362" w:rsidRPr="00F57D99" w:rsidRDefault="00BD0362" w:rsidP="00BD0362">
      <w:pPr>
        <w:pStyle w:val="H4GA"/>
        <w:rPr>
          <w:rtl/>
        </w:rPr>
      </w:pPr>
      <w:r>
        <w:rPr>
          <w:rtl/>
        </w:rPr>
        <w:tab/>
      </w:r>
      <w:r>
        <w:rPr>
          <w:rtl/>
        </w:rPr>
        <w:tab/>
      </w:r>
      <w:r w:rsidRPr="00F57D99">
        <w:rPr>
          <w:rFonts w:hint="eastAsia"/>
          <w:rtl/>
        </w:rPr>
        <w:t>النظر</w:t>
      </w:r>
      <w:r w:rsidRPr="00F57D99">
        <w:rPr>
          <w:rtl/>
        </w:rPr>
        <w:t xml:space="preserve"> في المقبولية </w:t>
      </w:r>
    </w:p>
    <w:p w:rsidR="00BD0362" w:rsidRDefault="00BD0362" w:rsidP="00BD0362">
      <w:pPr>
        <w:pStyle w:val="SingleTxtGA"/>
        <w:rPr>
          <w:rtl/>
        </w:rPr>
      </w:pPr>
      <w:r>
        <w:rPr>
          <w:rFonts w:hint="cs"/>
          <w:rtl/>
        </w:rPr>
        <w:t>6-1</w:t>
      </w:r>
      <w:r>
        <w:rPr>
          <w:rtl/>
        </w:rPr>
        <w:tab/>
      </w:r>
      <w:r>
        <w:rPr>
          <w:rFonts w:hint="cs"/>
          <w:rtl/>
        </w:rPr>
        <w:t xml:space="preserve">قبل النظر في أي ادعاء يرد في بلاغ ما، يجب على اللجنة، وفقاً للمادة 20 من نظامها الداخلي، أن تقرر ما إذا كان البلاغ مقبولاً أم غير مقبول بموجب البروتوكول الاختياري لاتفاقية حقوق الطفل المتعلق بإجراء تقديم البلاغات. </w:t>
      </w:r>
    </w:p>
    <w:p w:rsidR="00BD0362" w:rsidRPr="002A1734" w:rsidRDefault="00BD0362" w:rsidP="002A1734">
      <w:pPr>
        <w:pStyle w:val="SingleTxtGA"/>
        <w:rPr>
          <w:spacing w:val="-4"/>
          <w:rtl/>
        </w:rPr>
      </w:pPr>
      <w:r w:rsidRPr="002A1734">
        <w:rPr>
          <w:rFonts w:hint="cs"/>
          <w:spacing w:val="-6"/>
          <w:rtl/>
        </w:rPr>
        <w:t>6-2</w:t>
      </w:r>
      <w:r w:rsidRPr="002A1734">
        <w:rPr>
          <w:rFonts w:hint="cs"/>
          <w:spacing w:val="-6"/>
          <w:rtl/>
        </w:rPr>
        <w:tab/>
        <w:t>وتحيط اللجنة علماً بادعاءات صاحبة البلاغ التي مفادها أن الأسرة، بمن فيها ب. س. س.،</w:t>
      </w:r>
      <w:r w:rsidRPr="002A1734">
        <w:rPr>
          <w:rFonts w:hint="cs"/>
          <w:spacing w:val="-2"/>
          <w:rtl/>
        </w:rPr>
        <w:t xml:space="preserve"> وك. أ. س.، وك. م. س.، أُخليت بتاريخ 16 نيسان/أبريل 2015 من المخيم الذي كانت تقيم فيه تنفيذاً لقرار بلدي مؤرخ 10 نيسان/أبريل 2015 وأن الطعن الذي تقدمت به صاحبة </w:t>
      </w:r>
      <w:r w:rsidRPr="002A1734">
        <w:rPr>
          <w:rFonts w:hint="cs"/>
          <w:spacing w:val="-4"/>
          <w:rtl/>
        </w:rPr>
        <w:t>البلاغ اعتراضاً على تنفيذ القرار المذكور رفضته المحكمة الإد</w:t>
      </w:r>
      <w:r w:rsidR="002A1734" w:rsidRPr="002A1734">
        <w:rPr>
          <w:rFonts w:hint="cs"/>
          <w:spacing w:val="-4"/>
          <w:rtl/>
        </w:rPr>
        <w:t>ارية في مولان في 16 نيسان/</w:t>
      </w:r>
      <w:r w:rsidR="00E17667" w:rsidRPr="002A1734">
        <w:rPr>
          <w:rFonts w:hint="cs"/>
          <w:spacing w:val="-4"/>
          <w:rtl/>
        </w:rPr>
        <w:t>أبريل</w:t>
      </w:r>
      <w:r w:rsidR="002A1734">
        <w:rPr>
          <w:rFonts w:hint="eastAsia"/>
          <w:spacing w:val="-4"/>
          <w:rtl/>
        </w:rPr>
        <w:t> </w:t>
      </w:r>
      <w:r w:rsidRPr="002A1734">
        <w:rPr>
          <w:rFonts w:hint="cs"/>
          <w:spacing w:val="-4"/>
          <w:rtl/>
        </w:rPr>
        <w:t>2015، كما رفضه مجلس الدولة في إطار إجراء استئن</w:t>
      </w:r>
      <w:r w:rsidR="002A1734" w:rsidRPr="002A1734">
        <w:rPr>
          <w:rFonts w:hint="cs"/>
          <w:spacing w:val="-4"/>
          <w:rtl/>
        </w:rPr>
        <w:t>اف بتاريخ 16 كانون الثاني/</w:t>
      </w:r>
      <w:r w:rsidR="002A1734">
        <w:rPr>
          <w:rFonts w:hint="cs"/>
          <w:spacing w:val="-4"/>
          <w:rtl/>
        </w:rPr>
        <w:t xml:space="preserve"> </w:t>
      </w:r>
      <w:r w:rsidR="00E17667" w:rsidRPr="002A1734">
        <w:rPr>
          <w:rFonts w:hint="cs"/>
          <w:spacing w:val="-4"/>
          <w:rtl/>
        </w:rPr>
        <w:t>يناير</w:t>
      </w:r>
      <w:r w:rsidR="00E17667" w:rsidRPr="002A1734">
        <w:rPr>
          <w:rFonts w:hint="eastAsia"/>
          <w:spacing w:val="-4"/>
          <w:rtl/>
        </w:rPr>
        <w:t> </w:t>
      </w:r>
      <w:r w:rsidRPr="002A1734">
        <w:rPr>
          <w:rFonts w:hint="cs"/>
          <w:spacing w:val="-4"/>
          <w:rtl/>
        </w:rPr>
        <w:t>2016. وتلاحظ اللجنة أن جميع الوقائع المعروضة في إطار هذا البلاغ، بما في ذلك القرار الصادر عن مجلس الدولة، بصفته آخر هيئة يمكن الطعن أمامها، هي وقائع حدثت قبل</w:t>
      </w:r>
      <w:r w:rsidRPr="002A1734">
        <w:rPr>
          <w:rFonts w:hint="eastAsia"/>
          <w:spacing w:val="-4"/>
          <w:rtl/>
        </w:rPr>
        <w:t> </w:t>
      </w:r>
      <w:r w:rsidRPr="002A1734">
        <w:rPr>
          <w:rFonts w:hint="cs"/>
          <w:spacing w:val="-4"/>
          <w:rtl/>
        </w:rPr>
        <w:t>7 نيسان/أبريل 2016، تاريخ دخول البروتوكول الاختياري حيز النفاذ بالنسبة إلى الدولة الطرف</w:t>
      </w:r>
      <w:r w:rsidRPr="002A1734">
        <w:rPr>
          <w:spacing w:val="-4"/>
          <w:vertAlign w:val="superscript"/>
          <w:rtl/>
        </w:rPr>
        <w:t>(</w:t>
      </w:r>
      <w:r w:rsidRPr="002A1734">
        <w:rPr>
          <w:rStyle w:val="FootnoteReference"/>
          <w:spacing w:val="-4"/>
          <w:rtl/>
        </w:rPr>
        <w:footnoteReference w:id="10"/>
      </w:r>
      <w:r w:rsidRPr="002A1734">
        <w:rPr>
          <w:spacing w:val="-4"/>
          <w:vertAlign w:val="superscript"/>
          <w:rtl/>
        </w:rPr>
        <w:t>)</w:t>
      </w:r>
      <w:r w:rsidRPr="002A1734">
        <w:rPr>
          <w:rFonts w:hint="cs"/>
          <w:spacing w:val="-4"/>
          <w:rtl/>
        </w:rPr>
        <w:t xml:space="preserve">. </w:t>
      </w:r>
    </w:p>
    <w:p w:rsidR="00BD0362" w:rsidRDefault="00BD0362" w:rsidP="00BD0362">
      <w:pPr>
        <w:pStyle w:val="SingleTxtGA"/>
        <w:rPr>
          <w:rtl/>
        </w:rPr>
      </w:pPr>
      <w:r>
        <w:rPr>
          <w:rFonts w:hint="cs"/>
          <w:rtl/>
        </w:rPr>
        <w:t>6-3</w:t>
      </w:r>
      <w:r>
        <w:rPr>
          <w:rFonts w:hint="cs"/>
          <w:rtl/>
        </w:rPr>
        <w:tab/>
        <w:t xml:space="preserve">وبناءً على ذلك، تعلن اللجنة أن الشكوى غير مقبولة من حيث الاختصاص الزمني بموجب المادة 7(ز) من البروتوكول الاختياري. </w:t>
      </w:r>
    </w:p>
    <w:p w:rsidR="00BD0362" w:rsidRDefault="00BD0362" w:rsidP="00BD0362">
      <w:pPr>
        <w:pStyle w:val="SingleTxtGA"/>
        <w:rPr>
          <w:rtl/>
        </w:rPr>
      </w:pPr>
      <w:r>
        <w:rPr>
          <w:rFonts w:hint="cs"/>
          <w:rtl/>
        </w:rPr>
        <w:t>7-</w:t>
      </w:r>
      <w:r>
        <w:rPr>
          <w:rFonts w:hint="cs"/>
          <w:rtl/>
        </w:rPr>
        <w:tab/>
        <w:t xml:space="preserve">وتقرر لجنة حقوق الطفل ما يلي: </w:t>
      </w:r>
    </w:p>
    <w:p w:rsidR="00BD0362" w:rsidRDefault="00BD0362" w:rsidP="00BD0362">
      <w:pPr>
        <w:pStyle w:val="SingleTxtGA"/>
        <w:rPr>
          <w:rtl/>
        </w:rPr>
      </w:pPr>
      <w:r>
        <w:rPr>
          <w:rtl/>
        </w:rPr>
        <w:tab/>
      </w:r>
      <w:r>
        <w:rPr>
          <w:rFonts w:hint="cs"/>
          <w:rtl/>
        </w:rPr>
        <w:t>(أ)</w:t>
      </w:r>
      <w:r>
        <w:rPr>
          <w:rFonts w:hint="cs"/>
          <w:rtl/>
        </w:rPr>
        <w:tab/>
        <w:t xml:space="preserve">أن البلاغ غير مقبول بموجب المادة 7(ز) من البروتوكول الاختياري؛ </w:t>
      </w:r>
    </w:p>
    <w:p w:rsidR="00BD0362" w:rsidRDefault="00BD0362" w:rsidP="00BD0362">
      <w:pPr>
        <w:pStyle w:val="SingleTxtGA"/>
      </w:pPr>
      <w:r>
        <w:rPr>
          <w:rtl/>
        </w:rPr>
        <w:tab/>
      </w:r>
      <w:r>
        <w:rPr>
          <w:rFonts w:hint="cs"/>
          <w:rtl/>
        </w:rPr>
        <w:t>(ب)</w:t>
      </w:r>
      <w:r>
        <w:rPr>
          <w:rFonts w:hint="cs"/>
          <w:rtl/>
        </w:rPr>
        <w:tab/>
        <w:t>أن يحال هذا القرار إلى صاحبة البلاغ وإلى الدولة الطرف للاطلاع عليه.</w:t>
      </w:r>
    </w:p>
    <w:p w:rsidR="008D2E2A" w:rsidRPr="008D2E2A" w:rsidRDefault="008D2E2A" w:rsidP="008D2E2A">
      <w:pPr>
        <w:spacing w:before="120"/>
        <w:jc w:val="center"/>
        <w:rPr>
          <w:u w:val="single"/>
          <w:rtl/>
          <w:lang w:bidi="ar-DZ"/>
        </w:rPr>
      </w:pPr>
      <w:r>
        <w:rPr>
          <w:u w:val="single"/>
          <w:rtl/>
          <w:lang w:bidi="ar-DZ"/>
        </w:rPr>
        <w:tab/>
      </w:r>
      <w:r>
        <w:rPr>
          <w:u w:val="single"/>
          <w:rtl/>
          <w:lang w:bidi="ar-DZ"/>
        </w:rPr>
        <w:tab/>
      </w:r>
      <w:r>
        <w:rPr>
          <w:u w:val="single"/>
          <w:rtl/>
          <w:lang w:bidi="ar-DZ"/>
        </w:rPr>
        <w:tab/>
      </w:r>
    </w:p>
    <w:sectPr w:rsidR="008D2E2A" w:rsidRPr="008D2E2A" w:rsidSect="00B83A1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69" w:rsidRPr="002901D9" w:rsidRDefault="00F60B69" w:rsidP="002901D9">
      <w:pPr>
        <w:spacing w:after="60" w:line="240" w:lineRule="auto"/>
        <w:rPr>
          <w:i/>
          <w:iCs/>
        </w:rPr>
      </w:pPr>
      <w:r>
        <w:rPr>
          <w:rFonts w:hint="cs"/>
          <w:i/>
          <w:iCs/>
          <w:rtl/>
        </w:rPr>
        <w:t>الحواشي</w:t>
      </w:r>
    </w:p>
  </w:endnote>
  <w:endnote w:type="continuationSeparator" w:id="0">
    <w:p w:rsidR="00F60B69" w:rsidRDefault="00F60B6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16" w:rsidRPr="00BD0362" w:rsidRDefault="00BD0362" w:rsidP="00BD0362">
    <w:pPr>
      <w:pStyle w:val="Footer"/>
      <w:tabs>
        <w:tab w:val="right" w:pos="9598"/>
      </w:tabs>
      <w:rPr>
        <w:sz w:val="17"/>
      </w:rPr>
    </w:pPr>
    <w:r>
      <w:rPr>
        <w:sz w:val="17"/>
      </w:rPr>
      <w:t>GE.18-04682</w:t>
    </w:r>
    <w:r>
      <w:rPr>
        <w:sz w:val="17"/>
      </w:rPr>
      <w:tab/>
    </w:r>
    <w:r w:rsidRPr="00BD0362">
      <w:rPr>
        <w:b/>
        <w:sz w:val="18"/>
      </w:rPr>
      <w:fldChar w:fldCharType="begin"/>
    </w:r>
    <w:r w:rsidRPr="00BD0362">
      <w:rPr>
        <w:b/>
        <w:sz w:val="18"/>
      </w:rPr>
      <w:instrText xml:space="preserve"> PAGE  \* MERGEFORMAT </w:instrText>
    </w:r>
    <w:r w:rsidRPr="00BD0362">
      <w:rPr>
        <w:b/>
        <w:sz w:val="18"/>
      </w:rPr>
      <w:fldChar w:fldCharType="separate"/>
    </w:r>
    <w:r w:rsidR="009C281D">
      <w:rPr>
        <w:b/>
        <w:noProof/>
        <w:sz w:val="18"/>
      </w:rPr>
      <w:t>6</w:t>
    </w:r>
    <w:r w:rsidRPr="00BD036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D0362" w:rsidRDefault="00BD0362" w:rsidP="006959B0">
    <w:pPr>
      <w:pStyle w:val="Footer"/>
      <w:tabs>
        <w:tab w:val="right" w:pos="9599"/>
      </w:tabs>
      <w:jc w:val="left"/>
      <w:rPr>
        <w:b/>
        <w:sz w:val="18"/>
        <w:lang w:val="en-US"/>
      </w:rPr>
    </w:pPr>
    <w:r w:rsidRPr="00BD0362">
      <w:rPr>
        <w:b/>
        <w:sz w:val="18"/>
        <w:lang w:val="en-US"/>
      </w:rPr>
      <w:fldChar w:fldCharType="begin"/>
    </w:r>
    <w:r w:rsidRPr="00BD0362">
      <w:rPr>
        <w:b/>
        <w:sz w:val="18"/>
        <w:lang w:val="en-US"/>
      </w:rPr>
      <w:instrText xml:space="preserve"> PAGE  \* MERGEFORMAT </w:instrText>
    </w:r>
    <w:r w:rsidRPr="00BD0362">
      <w:rPr>
        <w:b/>
        <w:sz w:val="18"/>
        <w:lang w:val="en-US"/>
      </w:rPr>
      <w:fldChar w:fldCharType="separate"/>
    </w:r>
    <w:r w:rsidR="009C281D">
      <w:rPr>
        <w:b/>
        <w:noProof/>
        <w:sz w:val="18"/>
        <w:lang w:val="en-US"/>
      </w:rPr>
      <w:t>5</w:t>
    </w:r>
    <w:r w:rsidRPr="00BD0362">
      <w:rPr>
        <w:b/>
        <w:sz w:val="18"/>
        <w:lang w:val="en-US"/>
      </w:rPr>
      <w:fldChar w:fldCharType="end"/>
    </w:r>
    <w:r>
      <w:rPr>
        <w:b/>
        <w:sz w:val="18"/>
        <w:lang w:val="en-US"/>
      </w:rPr>
      <w:tab/>
    </w:r>
    <w:r>
      <w:rPr>
        <w:sz w:val="17"/>
        <w:lang w:val="en-US"/>
      </w:rPr>
      <w:t>GE.18-04682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B83A16" w:rsidP="006E444F">
    <w:pPr>
      <w:pStyle w:val="Footer"/>
      <w:spacing w:before="360"/>
      <w:jc w:val="right"/>
      <w:rPr>
        <w:sz w:val="20"/>
        <w:szCs w:val="20"/>
      </w:rPr>
    </w:pPr>
    <w:r>
      <w:rPr>
        <w:sz w:val="20"/>
        <w:szCs w:val="20"/>
      </w:rPr>
      <w:t>GE.18-04682</w:t>
    </w:r>
    <w:r w:rsidR="001D5AC0">
      <w:rPr>
        <w:noProof/>
        <w:lang w:val="en-US" w:eastAsia="zh-CN"/>
      </w:rPr>
      <w:drawing>
        <wp:anchor distT="0" distB="0" distL="114300" distR="114300" simplePos="0" relativeHeight="251666432" behindDoc="1" locked="1" layoutInCell="0" allowOverlap="1" wp14:anchorId="17196F8B" wp14:editId="45D8DAE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B83A16" w:rsidRPr="00B83A16" w:rsidRDefault="00B83A16" w:rsidP="00B83A16">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69" w:rsidRDefault="00F60B69" w:rsidP="00CB28F9">
      <w:pPr>
        <w:pStyle w:val="Footer"/>
        <w:bidi/>
        <w:spacing w:after="80" w:line="200" w:lineRule="exact"/>
        <w:ind w:left="680"/>
      </w:pPr>
      <w:r>
        <w:rPr>
          <w:rtl/>
        </w:rPr>
        <w:t>__________</w:t>
      </w:r>
    </w:p>
  </w:footnote>
  <w:footnote w:type="continuationSeparator" w:id="0">
    <w:p w:rsidR="00F60B69" w:rsidRDefault="00F60B69" w:rsidP="00656392">
      <w:pPr>
        <w:spacing w:line="240" w:lineRule="auto"/>
      </w:pPr>
      <w:r>
        <w:continuationSeparator/>
      </w:r>
    </w:p>
  </w:footnote>
  <w:footnote w:id="1">
    <w:p w:rsidR="00BD0362" w:rsidRPr="00D82381" w:rsidRDefault="00F15AA9" w:rsidP="00F15AA9">
      <w:pPr>
        <w:pStyle w:val="FootnoteText1"/>
        <w:spacing w:line="280" w:lineRule="exact"/>
      </w:pPr>
      <w:r>
        <w:rPr>
          <w:rFonts w:hint="cs"/>
          <w:rtl/>
        </w:rPr>
        <w:t> </w:t>
      </w:r>
      <w:r w:rsidR="00BD0362">
        <w:rPr>
          <w:rtl/>
        </w:rPr>
        <w:t>*</w:t>
      </w:r>
      <w:r w:rsidR="00BD0362">
        <w:rPr>
          <w:rtl/>
        </w:rPr>
        <w:tab/>
      </w:r>
      <w:r w:rsidR="00BD0362">
        <w:rPr>
          <w:rFonts w:hint="cs"/>
          <w:rtl/>
        </w:rPr>
        <w:t>اعتمدته اللجنة في دورتها السابعة والسبعين (15 كانون الث</w:t>
      </w:r>
      <w:r w:rsidR="00795CC3">
        <w:rPr>
          <w:rFonts w:hint="cs"/>
          <w:rtl/>
        </w:rPr>
        <w:t xml:space="preserve">اني/يناير </w:t>
      </w:r>
      <w:r>
        <w:rPr>
          <w:rFonts w:hint="cs"/>
          <w:rtl/>
        </w:rPr>
        <w:t>-</w:t>
      </w:r>
      <w:r w:rsidR="00795CC3">
        <w:rPr>
          <w:rFonts w:hint="cs"/>
          <w:rtl/>
        </w:rPr>
        <w:t xml:space="preserve"> 2 شباط/فبراير 2018).</w:t>
      </w:r>
    </w:p>
  </w:footnote>
  <w:footnote w:id="2">
    <w:p w:rsidR="00BD0362" w:rsidRPr="00D82381" w:rsidRDefault="00BD0362" w:rsidP="00BD0362">
      <w:pPr>
        <w:pStyle w:val="FootnoteText1"/>
        <w:spacing w:line="280" w:lineRule="exact"/>
        <w:rPr>
          <w:rtl/>
        </w:rPr>
      </w:pPr>
      <w:r>
        <w:rPr>
          <w:rtl/>
        </w:rPr>
        <w:t>**</w:t>
      </w:r>
      <w:r>
        <w:rPr>
          <w:rtl/>
        </w:rPr>
        <w:tab/>
      </w:r>
      <w:r>
        <w:rPr>
          <w:rFonts w:hint="cs"/>
          <w:rtl/>
        </w:rPr>
        <w:t>شارك في النظر في هذا البلاغ أعضاء اللجنة التالية أسماؤهم: السيدة</w:t>
      </w:r>
      <w:r w:rsidRPr="005A567B">
        <w:rPr>
          <w:rFonts w:hint="cs"/>
          <w:rtl/>
        </w:rPr>
        <w:t xml:space="preserve"> </w:t>
      </w:r>
      <w:r>
        <w:rPr>
          <w:rFonts w:hint="cs"/>
          <w:rtl/>
        </w:rPr>
        <w:t xml:space="preserve">سوزان أهو أسوما، والسيدة أمل سلمان الدوسري، والسيدة هند أيوبي إدريسي، والسيد جورج </w:t>
      </w:r>
      <w:proofErr w:type="spellStart"/>
      <w:r>
        <w:rPr>
          <w:rFonts w:hint="cs"/>
          <w:rtl/>
        </w:rPr>
        <w:t>كاردونا</w:t>
      </w:r>
      <w:proofErr w:type="spellEnd"/>
      <w:r>
        <w:rPr>
          <w:rFonts w:hint="cs"/>
          <w:rtl/>
        </w:rPr>
        <w:t xml:space="preserve"> للورنس، والسيد </w:t>
      </w:r>
      <w:r w:rsidRPr="00D82381">
        <w:rPr>
          <w:rtl/>
        </w:rPr>
        <w:t xml:space="preserve">برنارد </w:t>
      </w:r>
      <w:proofErr w:type="spellStart"/>
      <w:r w:rsidRPr="00D82381">
        <w:rPr>
          <w:rtl/>
        </w:rPr>
        <w:t>غاستو</w:t>
      </w:r>
      <w:proofErr w:type="spellEnd"/>
      <w:r>
        <w:rPr>
          <w:rFonts w:hint="cs"/>
          <w:rtl/>
        </w:rPr>
        <w:t xml:space="preserve">، والسيدة </w:t>
      </w:r>
      <w:r w:rsidR="00F15AA9">
        <w:rPr>
          <w:rtl/>
        </w:rPr>
        <w:t>أولغا أ.</w:t>
      </w:r>
      <w:r w:rsidR="00F15AA9">
        <w:rPr>
          <w:rFonts w:hint="cs"/>
          <w:rtl/>
        </w:rPr>
        <w:t> </w:t>
      </w:r>
      <w:proofErr w:type="spellStart"/>
      <w:r w:rsidRPr="00D82381">
        <w:rPr>
          <w:rtl/>
        </w:rPr>
        <w:t>خازوفا</w:t>
      </w:r>
      <w:proofErr w:type="spellEnd"/>
      <w:r>
        <w:rPr>
          <w:rFonts w:hint="cs"/>
          <w:rtl/>
        </w:rPr>
        <w:t xml:space="preserve">، والسيد </w:t>
      </w:r>
      <w:r w:rsidRPr="00D82381">
        <w:rPr>
          <w:rtl/>
        </w:rPr>
        <w:t xml:space="preserve">حاتم </w:t>
      </w:r>
      <w:r>
        <w:rPr>
          <w:rFonts w:hint="cs"/>
          <w:rtl/>
        </w:rPr>
        <w:t xml:space="preserve">قطران، والسيد جهاد ماضي، والسيد </w:t>
      </w:r>
      <w:r w:rsidRPr="00D82381">
        <w:rPr>
          <w:rtl/>
        </w:rPr>
        <w:t>بنيام داويت مزمور</w:t>
      </w:r>
      <w:r>
        <w:rPr>
          <w:rFonts w:hint="cs"/>
          <w:rtl/>
        </w:rPr>
        <w:t xml:space="preserve">، والسيد </w:t>
      </w:r>
      <w:proofErr w:type="spellStart"/>
      <w:r w:rsidRPr="00D82381">
        <w:rPr>
          <w:rtl/>
        </w:rPr>
        <w:t>كلارنس</w:t>
      </w:r>
      <w:proofErr w:type="spellEnd"/>
      <w:r w:rsidRPr="00D82381">
        <w:rPr>
          <w:rtl/>
        </w:rPr>
        <w:t xml:space="preserve"> نيلسن</w:t>
      </w:r>
      <w:r>
        <w:rPr>
          <w:rFonts w:hint="cs"/>
          <w:rtl/>
        </w:rPr>
        <w:t xml:space="preserve">، والسيد </w:t>
      </w:r>
      <w:proofErr w:type="spellStart"/>
      <w:r w:rsidRPr="00D82381">
        <w:rPr>
          <w:rtl/>
        </w:rPr>
        <w:t>ميكيكو</w:t>
      </w:r>
      <w:proofErr w:type="spellEnd"/>
      <w:r w:rsidRPr="00D82381">
        <w:rPr>
          <w:rtl/>
        </w:rPr>
        <w:t xml:space="preserve"> أوتاني</w:t>
      </w:r>
      <w:r>
        <w:rPr>
          <w:rFonts w:hint="cs"/>
          <w:rtl/>
        </w:rPr>
        <w:t xml:space="preserve">، والسيد </w:t>
      </w:r>
      <w:r w:rsidRPr="00D82381">
        <w:rPr>
          <w:rtl/>
        </w:rPr>
        <w:t xml:space="preserve">لويس </w:t>
      </w:r>
      <w:proofErr w:type="spellStart"/>
      <w:r w:rsidRPr="00D82381">
        <w:rPr>
          <w:rtl/>
        </w:rPr>
        <w:t>إرنستو</w:t>
      </w:r>
      <w:proofErr w:type="spellEnd"/>
      <w:r w:rsidRPr="00D82381">
        <w:rPr>
          <w:rtl/>
        </w:rPr>
        <w:t xml:space="preserve"> </w:t>
      </w:r>
      <w:proofErr w:type="spellStart"/>
      <w:r w:rsidRPr="00D82381">
        <w:rPr>
          <w:rtl/>
        </w:rPr>
        <w:t>بيد</w:t>
      </w:r>
      <w:r>
        <w:rPr>
          <w:rFonts w:hint="cs"/>
          <w:rtl/>
        </w:rPr>
        <w:t>ر</w:t>
      </w:r>
      <w:r w:rsidRPr="00D82381">
        <w:rPr>
          <w:rtl/>
        </w:rPr>
        <w:t>نيرا</w:t>
      </w:r>
      <w:proofErr w:type="spellEnd"/>
      <w:r>
        <w:rPr>
          <w:rFonts w:hint="cs"/>
          <w:rtl/>
        </w:rPr>
        <w:t xml:space="preserve"> رينا، والسيد </w:t>
      </w:r>
      <w:r w:rsidRPr="00D82381">
        <w:rPr>
          <w:rtl/>
        </w:rPr>
        <w:t xml:space="preserve">خوسيه أنجيل </w:t>
      </w:r>
      <w:proofErr w:type="spellStart"/>
      <w:r w:rsidRPr="00D82381">
        <w:rPr>
          <w:rtl/>
        </w:rPr>
        <w:t>رودريغيز</w:t>
      </w:r>
      <w:proofErr w:type="spellEnd"/>
      <w:r w:rsidRPr="00D82381">
        <w:rPr>
          <w:rtl/>
        </w:rPr>
        <w:t xml:space="preserve"> </w:t>
      </w:r>
      <w:proofErr w:type="spellStart"/>
      <w:r w:rsidRPr="00D82381">
        <w:rPr>
          <w:rtl/>
        </w:rPr>
        <w:t>رييس</w:t>
      </w:r>
      <w:proofErr w:type="spellEnd"/>
      <w:r>
        <w:rPr>
          <w:rFonts w:hint="cs"/>
          <w:rtl/>
        </w:rPr>
        <w:t xml:space="preserve">، والسيدة </w:t>
      </w:r>
      <w:proofErr w:type="spellStart"/>
      <w:r w:rsidRPr="00D82381">
        <w:rPr>
          <w:rtl/>
        </w:rPr>
        <w:t>كيرستن</w:t>
      </w:r>
      <w:proofErr w:type="spellEnd"/>
      <w:r w:rsidRPr="00D82381">
        <w:rPr>
          <w:rtl/>
        </w:rPr>
        <w:t xml:space="preserve"> </w:t>
      </w:r>
      <w:proofErr w:type="spellStart"/>
      <w:r w:rsidRPr="00D82381">
        <w:rPr>
          <w:rtl/>
        </w:rPr>
        <w:t>ساندبيرغ</w:t>
      </w:r>
      <w:proofErr w:type="spellEnd"/>
      <w:r>
        <w:rPr>
          <w:rFonts w:hint="cs"/>
          <w:rtl/>
        </w:rPr>
        <w:t xml:space="preserve">، والسيدة </w:t>
      </w:r>
      <w:r w:rsidRPr="00D82381">
        <w:rPr>
          <w:rtl/>
        </w:rPr>
        <w:t xml:space="preserve">آن ماري </w:t>
      </w:r>
      <w:proofErr w:type="spellStart"/>
      <w:r w:rsidRPr="00D82381">
        <w:rPr>
          <w:rtl/>
        </w:rPr>
        <w:t>سكيلتون</w:t>
      </w:r>
      <w:proofErr w:type="spellEnd"/>
      <w:r>
        <w:rPr>
          <w:rFonts w:hint="cs"/>
          <w:rtl/>
        </w:rPr>
        <w:t xml:space="preserve">، والسيدة </w:t>
      </w:r>
      <w:r w:rsidRPr="00D82381">
        <w:rPr>
          <w:rtl/>
        </w:rPr>
        <w:t xml:space="preserve">فيلينا </w:t>
      </w:r>
      <w:proofErr w:type="spellStart"/>
      <w:r w:rsidRPr="00D82381">
        <w:rPr>
          <w:rtl/>
        </w:rPr>
        <w:t>تودوروفا</w:t>
      </w:r>
      <w:proofErr w:type="spellEnd"/>
      <w:r>
        <w:rPr>
          <w:rFonts w:hint="cs"/>
          <w:rtl/>
        </w:rPr>
        <w:t xml:space="preserve">، والسيدة </w:t>
      </w:r>
      <w:proofErr w:type="spellStart"/>
      <w:r w:rsidRPr="00D82381">
        <w:rPr>
          <w:rtl/>
        </w:rPr>
        <w:t>رينات</w:t>
      </w:r>
      <w:r>
        <w:rPr>
          <w:rFonts w:hint="cs"/>
          <w:rtl/>
        </w:rPr>
        <w:t>ي</w:t>
      </w:r>
      <w:proofErr w:type="spellEnd"/>
      <w:r>
        <w:rPr>
          <w:rFonts w:hint="cs"/>
          <w:rtl/>
        </w:rPr>
        <w:t xml:space="preserve"> وينتر.</w:t>
      </w:r>
    </w:p>
  </w:footnote>
  <w:footnote w:id="3">
    <w:p w:rsidR="00BD0362" w:rsidRPr="002A1734" w:rsidRDefault="00BD0362" w:rsidP="00BD0362">
      <w:pPr>
        <w:pStyle w:val="FootnoteText1"/>
        <w:rPr>
          <w:spacing w:val="-2"/>
        </w:rPr>
      </w:pPr>
      <w:r w:rsidRPr="002A1734">
        <w:rPr>
          <w:spacing w:val="-2"/>
          <w:rtl/>
        </w:rPr>
        <w:t>(</w:t>
      </w:r>
      <w:r w:rsidRPr="002A1734">
        <w:rPr>
          <w:rStyle w:val="FootnoteReference"/>
          <w:spacing w:val="-2"/>
          <w:vertAlign w:val="baseline"/>
        </w:rPr>
        <w:footnoteRef/>
      </w:r>
      <w:r w:rsidRPr="002A1734">
        <w:rPr>
          <w:spacing w:val="-2"/>
          <w:sz w:val="26"/>
          <w:rtl/>
        </w:rPr>
        <w:t>)</w:t>
      </w:r>
      <w:r w:rsidRPr="002A1734">
        <w:rPr>
          <w:spacing w:val="-2"/>
          <w:sz w:val="26"/>
          <w:rtl/>
        </w:rPr>
        <w:tab/>
      </w:r>
      <w:r w:rsidRPr="002A1734">
        <w:rPr>
          <w:rFonts w:hint="cs"/>
          <w:spacing w:val="-2"/>
          <w:rtl/>
        </w:rPr>
        <w:t>تحتج صاحبة البلاغ بالمادة 8 من الاتفاقية الأوروبية لحقوق الإنسان (الحق في الحياة الخاصة والأسرية) والمادة 3 من اتفاقية حقوق الطفل (مصالح الطفل الفضلى) كما تحتج بحقهم في حرية التنقل وحرمة البيت.</w:t>
      </w:r>
      <w:r w:rsidRPr="002A1734">
        <w:rPr>
          <w:spacing w:val="-2"/>
          <w:rtl/>
        </w:rPr>
        <w:t xml:space="preserve"> </w:t>
      </w:r>
    </w:p>
  </w:footnote>
  <w:footnote w:id="4">
    <w:p w:rsidR="00BD0362" w:rsidRPr="00EB1D70" w:rsidRDefault="00BD0362" w:rsidP="00BD0362">
      <w:pPr>
        <w:pStyle w:val="FootnoteText1"/>
      </w:pPr>
      <w:r w:rsidRPr="00EB1D70">
        <w:rPr>
          <w:rtl/>
        </w:rPr>
        <w:t>(</w:t>
      </w:r>
      <w:r w:rsidRPr="00EB1D70">
        <w:rPr>
          <w:rStyle w:val="FootnoteReference"/>
          <w:vertAlign w:val="baseline"/>
        </w:rPr>
        <w:footnoteRef/>
      </w:r>
      <w:r>
        <w:rPr>
          <w:sz w:val="26"/>
          <w:rtl/>
        </w:rPr>
        <w:t>)</w:t>
      </w:r>
      <w:r>
        <w:rPr>
          <w:sz w:val="26"/>
          <w:rtl/>
        </w:rPr>
        <w:tab/>
      </w:r>
      <w:r>
        <w:rPr>
          <w:rFonts w:hint="cs"/>
          <w:rtl/>
        </w:rPr>
        <w:t xml:space="preserve">وبخاصة "توصيل الكهرباء باستخدام أسلاك كهربائية عارية، واللجوء إلى إشعال النار في المخيم، وأكواخ مبنية بمواد رديئة وقابلة للاشتعال". </w:t>
      </w:r>
    </w:p>
  </w:footnote>
  <w:footnote w:id="5">
    <w:p w:rsidR="00BD0362" w:rsidRPr="0000250B" w:rsidRDefault="00BD0362" w:rsidP="00BD0362">
      <w:pPr>
        <w:pStyle w:val="FootnoteText1"/>
      </w:pPr>
      <w:r w:rsidRPr="0000250B">
        <w:rPr>
          <w:rtl/>
        </w:rPr>
        <w:t>(</w:t>
      </w:r>
      <w:r w:rsidRPr="0000250B">
        <w:rPr>
          <w:rStyle w:val="FootnoteReference"/>
          <w:vertAlign w:val="baseline"/>
        </w:rPr>
        <w:footnoteRef/>
      </w:r>
      <w:r>
        <w:rPr>
          <w:sz w:val="26"/>
          <w:rtl/>
        </w:rPr>
        <w:t>)</w:t>
      </w:r>
      <w:r>
        <w:rPr>
          <w:sz w:val="26"/>
          <w:rtl/>
        </w:rPr>
        <w:tab/>
      </w:r>
      <w:r>
        <w:rPr>
          <w:rFonts w:hint="cs"/>
          <w:sz w:val="26"/>
          <w:rtl/>
        </w:rPr>
        <w:t>اعتبر مجلس الدولة أن قاضي الأمور الاستعجالية أخطأ عندما اعتبر أنه غير مختص بتعيين محامٍ في إطار هذا الإجراء.</w:t>
      </w:r>
      <w:r w:rsidRPr="0000250B">
        <w:rPr>
          <w:rtl/>
        </w:rPr>
        <w:t xml:space="preserve"> </w:t>
      </w:r>
    </w:p>
  </w:footnote>
  <w:footnote w:id="6">
    <w:p w:rsidR="00BD0362" w:rsidRPr="00801C22" w:rsidRDefault="00BD0362" w:rsidP="00BD0362">
      <w:pPr>
        <w:pStyle w:val="FootnoteText1"/>
      </w:pPr>
      <w:r w:rsidRPr="00801C22">
        <w:rPr>
          <w:rtl/>
        </w:rPr>
        <w:t>(</w:t>
      </w:r>
      <w:r w:rsidRPr="00801C22">
        <w:rPr>
          <w:rStyle w:val="FootnoteReference"/>
          <w:vertAlign w:val="baseline"/>
        </w:rPr>
        <w:footnoteRef/>
      </w:r>
      <w:r>
        <w:rPr>
          <w:sz w:val="26"/>
          <w:rtl/>
        </w:rPr>
        <w:t>)</w:t>
      </w:r>
      <w:r>
        <w:rPr>
          <w:sz w:val="26"/>
          <w:rtl/>
        </w:rPr>
        <w:tab/>
      </w:r>
      <w:r>
        <w:rPr>
          <w:rFonts w:hint="cs"/>
          <w:sz w:val="26"/>
          <w:rtl/>
        </w:rPr>
        <w:t xml:space="preserve">تذكر صاحبة البلاغ التقرير الصادر عن منظمة العفو الدولية تحت عنوان "مكرهون على التسكع: عمليات الإخلاء القسري </w:t>
      </w:r>
      <w:proofErr w:type="spellStart"/>
      <w:r>
        <w:rPr>
          <w:rFonts w:hint="cs"/>
          <w:sz w:val="26"/>
          <w:rtl/>
        </w:rPr>
        <w:t>للروما</w:t>
      </w:r>
      <w:proofErr w:type="spellEnd"/>
      <w:r>
        <w:rPr>
          <w:rFonts w:hint="cs"/>
          <w:sz w:val="26"/>
          <w:rtl/>
        </w:rPr>
        <w:t xml:space="preserve"> في فرنسا" (تشرين الأول/أكتوبر 2013) تقرير مجموعة </w:t>
      </w:r>
      <w:proofErr w:type="spellStart"/>
      <w:r w:rsidRPr="00517ADA">
        <w:t>Romeurope</w:t>
      </w:r>
      <w:proofErr w:type="spellEnd"/>
      <w:r w:rsidRPr="00801C22">
        <w:rPr>
          <w:rtl/>
        </w:rPr>
        <w:t xml:space="preserve"> </w:t>
      </w:r>
      <w:r>
        <w:rPr>
          <w:rFonts w:hint="cs"/>
          <w:rtl/>
        </w:rPr>
        <w:t xml:space="preserve">"أعمال مضايقة ووصم: السياسات والخطابات العامة تزيد من سوء أحوال سكان الأحياء الفقيرة" (2014)، كما تشير إلى التقارير السنوية للمركز الأوروبي لحقوق </w:t>
      </w:r>
      <w:proofErr w:type="spellStart"/>
      <w:r>
        <w:rPr>
          <w:rFonts w:hint="cs"/>
          <w:rtl/>
        </w:rPr>
        <w:t>الروما</w:t>
      </w:r>
      <w:proofErr w:type="spellEnd"/>
      <w:r>
        <w:rPr>
          <w:rFonts w:hint="cs"/>
          <w:rtl/>
        </w:rPr>
        <w:t xml:space="preserve"> ورابطة حقوق الإنسان بشأن تعداد عمليات الإخلاء التي تستهدف </w:t>
      </w:r>
      <w:proofErr w:type="spellStart"/>
      <w:r>
        <w:rPr>
          <w:rFonts w:hint="cs"/>
          <w:rtl/>
        </w:rPr>
        <w:t>الروما</w:t>
      </w:r>
      <w:proofErr w:type="spellEnd"/>
      <w:r>
        <w:rPr>
          <w:rFonts w:hint="cs"/>
          <w:rtl/>
        </w:rPr>
        <w:t xml:space="preserve"> في فرنسا. </w:t>
      </w:r>
    </w:p>
  </w:footnote>
  <w:footnote w:id="7">
    <w:p w:rsidR="00BD0362" w:rsidRPr="002A1734" w:rsidRDefault="00BD0362" w:rsidP="005E4957">
      <w:pPr>
        <w:pStyle w:val="FootnoteText1"/>
        <w:rPr>
          <w:spacing w:val="-2"/>
          <w:rtl/>
          <w:lang w:bidi="ar-DZ"/>
        </w:rPr>
      </w:pPr>
      <w:r w:rsidRPr="002A1734">
        <w:rPr>
          <w:spacing w:val="-2"/>
          <w:rtl/>
        </w:rPr>
        <w:t>(</w:t>
      </w:r>
      <w:r w:rsidRPr="002A1734">
        <w:rPr>
          <w:rStyle w:val="FootnoteReference"/>
          <w:spacing w:val="-2"/>
          <w:szCs w:val="26"/>
          <w:vertAlign w:val="baseline"/>
        </w:rPr>
        <w:footnoteRef/>
      </w:r>
      <w:r w:rsidRPr="002A1734">
        <w:rPr>
          <w:spacing w:val="-2"/>
          <w:rtl/>
        </w:rPr>
        <w:t>)</w:t>
      </w:r>
      <w:r w:rsidRPr="002A1734">
        <w:rPr>
          <w:spacing w:val="-2"/>
          <w:rtl/>
        </w:rPr>
        <w:tab/>
      </w:r>
      <w:r w:rsidRPr="002A1734">
        <w:rPr>
          <w:rFonts w:hint="cs"/>
          <w:spacing w:val="-2"/>
          <w:rtl/>
          <w:lang w:bidi="ar-DZ"/>
        </w:rPr>
        <w:t xml:space="preserve">تحتج صاحبة البلاغ بالاجتهادات السابقة للمحكمة الأوروبية لحقوق الإنسان في قضية </w:t>
      </w:r>
      <w:proofErr w:type="spellStart"/>
      <w:r w:rsidRPr="002A1734">
        <w:rPr>
          <w:rFonts w:hint="cs"/>
          <w:i/>
          <w:iCs/>
          <w:spacing w:val="-2"/>
          <w:rtl/>
          <w:lang w:bidi="ar-DZ"/>
        </w:rPr>
        <w:t>مسقدسيفا</w:t>
      </w:r>
      <w:proofErr w:type="spellEnd"/>
      <w:r w:rsidRPr="002A1734">
        <w:rPr>
          <w:rFonts w:hint="cs"/>
          <w:i/>
          <w:iCs/>
          <w:spacing w:val="-2"/>
          <w:rtl/>
          <w:lang w:bidi="ar-DZ"/>
        </w:rPr>
        <w:t xml:space="preserve"> وآخرون ضد بلجيكا</w:t>
      </w:r>
      <w:r w:rsidRPr="002A1734">
        <w:rPr>
          <w:rFonts w:hint="cs"/>
          <w:spacing w:val="-2"/>
          <w:rtl/>
          <w:lang w:bidi="ar-DZ"/>
        </w:rPr>
        <w:t xml:space="preserve">، رقم 41442/07، 19 كانون الثاني/يناير 2010، وقضية </w:t>
      </w:r>
      <w:proofErr w:type="spellStart"/>
      <w:r w:rsidRPr="002A1734">
        <w:rPr>
          <w:rFonts w:hint="cs"/>
          <w:i/>
          <w:iCs/>
          <w:spacing w:val="-2"/>
          <w:rtl/>
          <w:lang w:bidi="ar-DZ"/>
        </w:rPr>
        <w:t>بوبوف</w:t>
      </w:r>
      <w:proofErr w:type="spellEnd"/>
      <w:r w:rsidRPr="002A1734">
        <w:rPr>
          <w:rFonts w:hint="cs"/>
          <w:i/>
          <w:iCs/>
          <w:spacing w:val="-2"/>
          <w:rtl/>
          <w:lang w:bidi="ar-DZ"/>
        </w:rPr>
        <w:t xml:space="preserve"> ضد فرنسا</w:t>
      </w:r>
      <w:r w:rsidRPr="002A1734">
        <w:rPr>
          <w:rFonts w:hint="cs"/>
          <w:spacing w:val="-2"/>
          <w:rtl/>
          <w:lang w:bidi="ar-DZ"/>
        </w:rPr>
        <w:t xml:space="preserve">، رقم 39472/07 و39474/07، 19 كانون الثاني/يناير 2012، لتبيّن أن الأطفال الذين يقفون على عجز ومعاناة والديهم المحتجزين هم أطفال يعيشون تجربة يمكن أن تشكِّل إساءة معاملة بالنسبة لهم. وتحتج صاحبة البلاغ أيضاً بقضية </w:t>
      </w:r>
      <w:r w:rsidRPr="002A1734">
        <w:rPr>
          <w:rFonts w:hint="cs"/>
          <w:i/>
          <w:iCs/>
          <w:spacing w:val="-2"/>
          <w:rtl/>
          <w:lang w:bidi="ar-DZ"/>
        </w:rPr>
        <w:t>د. ه. وآخرون ضد الجمهورية التشيكية</w:t>
      </w:r>
      <w:r w:rsidRPr="002A1734">
        <w:rPr>
          <w:rFonts w:hint="cs"/>
          <w:spacing w:val="-2"/>
          <w:rtl/>
          <w:lang w:bidi="ar-DZ"/>
        </w:rPr>
        <w:t xml:space="preserve">، رقم 57325/00، </w:t>
      </w:r>
      <w:r w:rsidRPr="002A1734">
        <w:rPr>
          <w:spacing w:val="-2"/>
          <w:lang w:bidi="ar-DZ"/>
        </w:rPr>
        <w:t>CEDH2007-</w:t>
      </w:r>
      <w:r w:rsidR="005E4957" w:rsidRPr="002A1734">
        <w:rPr>
          <w:spacing w:val="-2"/>
          <w:lang w:bidi="ar-DZ"/>
        </w:rPr>
        <w:t>IV</w:t>
      </w:r>
      <w:r w:rsidRPr="002A1734">
        <w:rPr>
          <w:rFonts w:hint="cs"/>
          <w:spacing w:val="-2"/>
          <w:rtl/>
          <w:lang w:bidi="ar-DZ"/>
        </w:rPr>
        <w:t>،</w:t>
      </w:r>
      <w:r w:rsidRPr="002A1734">
        <w:rPr>
          <w:rFonts w:hint="cs"/>
          <w:i/>
          <w:iCs/>
          <w:spacing w:val="-2"/>
          <w:rtl/>
          <w:lang w:bidi="ar-DZ"/>
        </w:rPr>
        <w:t xml:space="preserve"> وقضية م. س. س. ضد بلجيكا واليونان</w:t>
      </w:r>
      <w:r w:rsidRPr="002A1734">
        <w:rPr>
          <w:rFonts w:hint="cs"/>
          <w:spacing w:val="-2"/>
          <w:rtl/>
          <w:lang w:bidi="ar-DZ"/>
        </w:rPr>
        <w:t xml:space="preserve">، رقم 30696/09، </w:t>
      </w:r>
      <w:r w:rsidRPr="002A1734">
        <w:rPr>
          <w:spacing w:val="-2"/>
          <w:lang w:bidi="ar-DZ"/>
        </w:rPr>
        <w:t>CEDH2011</w:t>
      </w:r>
      <w:r w:rsidRPr="002A1734">
        <w:rPr>
          <w:rFonts w:hint="cs"/>
          <w:spacing w:val="-2"/>
          <w:rtl/>
          <w:lang w:bidi="ar-DZ"/>
        </w:rPr>
        <w:t>، لتبين كيف أن التخلي عن أشخاص يعيشون في حالة ضعف دون مسكن هو فعل يمكن أن تنجر عنه المسؤولية بموجب المادة 3 من الاتفاقية الأوروبية لحقوق الإنسان.</w:t>
      </w:r>
    </w:p>
  </w:footnote>
  <w:footnote w:id="8">
    <w:p w:rsidR="00BD0362" w:rsidRPr="00D37940" w:rsidRDefault="00BD0362" w:rsidP="00BD0362">
      <w:pPr>
        <w:pStyle w:val="FootnoteText1"/>
        <w:rPr>
          <w:rtl/>
          <w:lang w:bidi="ar-DZ"/>
        </w:rPr>
      </w:pPr>
      <w:r w:rsidRPr="00D37940">
        <w:rPr>
          <w:rtl/>
        </w:rPr>
        <w:t>(</w:t>
      </w:r>
      <w:r w:rsidRPr="00D37940">
        <w:rPr>
          <w:rStyle w:val="FootnoteReference"/>
          <w:szCs w:val="26"/>
          <w:vertAlign w:val="baseline"/>
        </w:rPr>
        <w:footnoteRef/>
      </w:r>
      <w:r w:rsidRPr="00D37940">
        <w:rPr>
          <w:rtl/>
        </w:rPr>
        <w:t>)</w:t>
      </w:r>
      <w:r w:rsidRPr="00D37940">
        <w:rPr>
          <w:rtl/>
        </w:rPr>
        <w:tab/>
      </w:r>
      <w:r w:rsidRPr="00D37940">
        <w:rPr>
          <w:rFonts w:hint="cs"/>
          <w:rtl/>
        </w:rPr>
        <w:t xml:space="preserve">تشير الدولة الطرف إلى اجتهادات اللجنة المعنية بحقوق الإنسان في قضية </w:t>
      </w:r>
      <w:proofErr w:type="spellStart"/>
      <w:r w:rsidRPr="00F57D99">
        <w:rPr>
          <w:rFonts w:hint="eastAsia"/>
          <w:i/>
          <w:iCs/>
          <w:rtl/>
        </w:rPr>
        <w:t>ستيفنس</w:t>
      </w:r>
      <w:proofErr w:type="spellEnd"/>
      <w:r w:rsidRPr="00F57D99">
        <w:rPr>
          <w:i/>
          <w:iCs/>
          <w:rtl/>
        </w:rPr>
        <w:t xml:space="preserve"> ضد جامايكا</w:t>
      </w:r>
      <w:r w:rsidRPr="00D37940">
        <w:rPr>
          <w:rFonts w:hint="cs"/>
          <w:rtl/>
        </w:rPr>
        <w:t xml:space="preserve"> (</w:t>
      </w:r>
      <w:r>
        <w:t>CCPR</w:t>
      </w:r>
      <w:r>
        <w:rPr>
          <w:lang w:bidi="ar-DZ"/>
        </w:rPr>
        <w:t>/C/55/D/373/1989</w:t>
      </w:r>
      <w:r>
        <w:rPr>
          <w:rFonts w:hint="cs"/>
          <w:rtl/>
          <w:lang w:bidi="ar-DZ"/>
        </w:rPr>
        <w:t xml:space="preserve">)، بتاريخ 18 تشرين الأول/أكتوبر 1995، وقضية </w:t>
      </w:r>
      <w:r w:rsidRPr="00F57D99">
        <w:rPr>
          <w:rFonts w:hint="eastAsia"/>
          <w:i/>
          <w:iCs/>
          <w:rtl/>
          <w:lang w:bidi="ar-DZ"/>
        </w:rPr>
        <w:t>سينغ</w:t>
      </w:r>
      <w:r w:rsidRPr="00F57D99">
        <w:rPr>
          <w:i/>
          <w:iCs/>
          <w:rtl/>
          <w:lang w:bidi="ar-DZ"/>
        </w:rPr>
        <w:t xml:space="preserve"> </w:t>
      </w:r>
      <w:r w:rsidRPr="00F57D99">
        <w:rPr>
          <w:rFonts w:hint="eastAsia"/>
          <w:i/>
          <w:iCs/>
          <w:rtl/>
          <w:lang w:bidi="ar-DZ"/>
        </w:rPr>
        <w:t>ضد</w:t>
      </w:r>
      <w:r w:rsidRPr="00F57D99">
        <w:rPr>
          <w:i/>
          <w:iCs/>
          <w:rtl/>
          <w:lang w:bidi="ar-DZ"/>
        </w:rPr>
        <w:t xml:space="preserve"> </w:t>
      </w:r>
      <w:r w:rsidRPr="00F57D99">
        <w:rPr>
          <w:rFonts w:hint="eastAsia"/>
          <w:i/>
          <w:iCs/>
          <w:rtl/>
          <w:lang w:bidi="ar-DZ"/>
        </w:rPr>
        <w:t>فرنسا</w:t>
      </w:r>
      <w:r>
        <w:rPr>
          <w:rFonts w:hint="cs"/>
          <w:rtl/>
          <w:lang w:bidi="ar-DZ"/>
        </w:rPr>
        <w:t xml:space="preserve"> (</w:t>
      </w:r>
      <w:r>
        <w:rPr>
          <w:lang w:bidi="ar-DZ"/>
        </w:rPr>
        <w:t>CCPR/C/106/D/1852/2008</w:t>
      </w:r>
      <w:r>
        <w:rPr>
          <w:rFonts w:hint="cs"/>
          <w:rtl/>
          <w:lang w:bidi="ar-DZ"/>
        </w:rPr>
        <w:t>)، بتاريخ 1 تشرين الثاني/نوفمبر 2012، ضمن قضايا أخرى، وهي اجتهادات مفادها أنه لا يتعين على شخص يدعي أنه ضحية انتهاك لحق من حقوقه المكفولة بموجب العهد الدولي الخاص بالحقوق المدنية والسياسية أن يستشهد صراحة بمادة بعينها من العهد. وبالمقابل، ينبغي أن يثير،</w:t>
      </w:r>
      <w:r w:rsidRPr="00951546">
        <w:rPr>
          <w:rFonts w:hint="cs"/>
          <w:rtl/>
          <w:lang w:bidi="ar-DZ"/>
        </w:rPr>
        <w:t xml:space="preserve"> </w:t>
      </w:r>
      <w:r>
        <w:rPr>
          <w:rFonts w:hint="cs"/>
          <w:rtl/>
          <w:lang w:bidi="ar-DZ"/>
        </w:rPr>
        <w:t>في إطار الإجراءات المحلية، الحقوق الأساسية المشمولة بالانتهاك كيما يتسنى للهيئات القضائية الوطنية تدارك الانتهاك المزعوم أولاً.</w:t>
      </w:r>
    </w:p>
  </w:footnote>
  <w:footnote w:id="9">
    <w:p w:rsidR="00BD0362" w:rsidRPr="00016CDB" w:rsidRDefault="00BD0362" w:rsidP="00BD0362">
      <w:pPr>
        <w:pStyle w:val="FootnoteText1"/>
        <w:rPr>
          <w:rtl/>
        </w:rPr>
      </w:pPr>
      <w:r w:rsidRPr="00D44D30">
        <w:rPr>
          <w:rtl/>
        </w:rPr>
        <w:t>(</w:t>
      </w:r>
      <w:r w:rsidRPr="00D44D30">
        <w:rPr>
          <w:rStyle w:val="FootnoteReference"/>
          <w:vertAlign w:val="baseline"/>
        </w:rPr>
        <w:footnoteRef/>
      </w:r>
      <w:r>
        <w:rPr>
          <w:sz w:val="26"/>
          <w:rtl/>
        </w:rPr>
        <w:t>)</w:t>
      </w:r>
      <w:r>
        <w:rPr>
          <w:sz w:val="26"/>
          <w:rtl/>
        </w:rPr>
        <w:tab/>
      </w:r>
      <w:r>
        <w:rPr>
          <w:rFonts w:hint="cs"/>
          <w:rtl/>
        </w:rPr>
        <w:t xml:space="preserve">تستشهد صاحبة البلاغ بقرار المحكمة الأوروبية لحقوق الإنسان في قضية </w:t>
      </w:r>
      <w:proofErr w:type="spellStart"/>
      <w:r>
        <w:rPr>
          <w:rFonts w:hint="cs"/>
          <w:i/>
          <w:iCs/>
          <w:rtl/>
        </w:rPr>
        <w:t>مولدوفان</w:t>
      </w:r>
      <w:proofErr w:type="spellEnd"/>
      <w:r>
        <w:rPr>
          <w:rFonts w:hint="cs"/>
          <w:i/>
          <w:iCs/>
          <w:rtl/>
        </w:rPr>
        <w:t xml:space="preserve"> وآخرون ضد رومانيا (رقم</w:t>
      </w:r>
      <w:r>
        <w:rPr>
          <w:rFonts w:hint="eastAsia"/>
          <w:i/>
          <w:iCs/>
          <w:rtl/>
        </w:rPr>
        <w:t> </w:t>
      </w:r>
      <w:r>
        <w:rPr>
          <w:rFonts w:hint="cs"/>
          <w:i/>
          <w:iCs/>
          <w:rtl/>
        </w:rPr>
        <w:t>2)</w:t>
      </w:r>
      <w:r>
        <w:rPr>
          <w:rFonts w:hint="cs"/>
          <w:rtl/>
        </w:rPr>
        <w:t xml:space="preserve">، رقم 41138/98 ورقم 64320/01، </w:t>
      </w:r>
      <w:r>
        <w:t>CEDH</w:t>
      </w:r>
      <w:r w:rsidR="004F740C">
        <w:t> </w:t>
      </w:r>
      <w:r w:rsidRPr="006B701A">
        <w:t>2005</w:t>
      </w:r>
      <w:r>
        <w:t>-VII</w:t>
      </w:r>
      <w:r>
        <w:rPr>
          <w:rFonts w:hint="cs"/>
          <w:rtl/>
        </w:rPr>
        <w:t xml:space="preserve">، وبالآراء التي اعتمدتها اللجنة المعنية بحقوق الأشخاص ذوي الإعاقة في قضية </w:t>
      </w:r>
      <w:proofErr w:type="spellStart"/>
      <w:r>
        <w:rPr>
          <w:rFonts w:hint="cs"/>
          <w:i/>
          <w:iCs/>
          <w:rtl/>
        </w:rPr>
        <w:t>نوبلي</w:t>
      </w:r>
      <w:proofErr w:type="spellEnd"/>
      <w:r>
        <w:rPr>
          <w:rFonts w:hint="cs"/>
          <w:i/>
          <w:iCs/>
          <w:rtl/>
        </w:rPr>
        <w:t xml:space="preserve"> ضد أستراليا</w:t>
      </w:r>
      <w:r>
        <w:rPr>
          <w:rFonts w:hint="cs"/>
          <w:rtl/>
        </w:rPr>
        <w:t xml:space="preserve"> (</w:t>
      </w:r>
      <w:r>
        <w:t>CRPD/C/16/D/</w:t>
      </w:r>
      <w:r w:rsidRPr="006B701A">
        <w:t>7/2012</w:t>
      </w:r>
      <w:r>
        <w:rPr>
          <w:rFonts w:hint="cs"/>
          <w:rtl/>
        </w:rPr>
        <w:t xml:space="preserve">). </w:t>
      </w:r>
    </w:p>
  </w:footnote>
  <w:footnote w:id="10">
    <w:p w:rsidR="00BD0362" w:rsidRPr="00E67B8A" w:rsidRDefault="00BD0362" w:rsidP="00BD0362">
      <w:pPr>
        <w:pStyle w:val="FootnoteText1"/>
        <w:rPr>
          <w:rtl/>
        </w:rPr>
      </w:pPr>
      <w:r w:rsidRPr="00E67B8A">
        <w:rPr>
          <w:rtl/>
        </w:rPr>
        <w:t>(</w:t>
      </w:r>
      <w:r w:rsidRPr="00E67B8A">
        <w:rPr>
          <w:rStyle w:val="FootnoteReference"/>
          <w:vertAlign w:val="baseline"/>
        </w:rPr>
        <w:footnoteRef/>
      </w:r>
      <w:r>
        <w:rPr>
          <w:sz w:val="26"/>
          <w:rtl/>
        </w:rPr>
        <w:t>)</w:t>
      </w:r>
      <w:r>
        <w:rPr>
          <w:sz w:val="26"/>
          <w:rtl/>
        </w:rPr>
        <w:tab/>
      </w:r>
      <w:r>
        <w:rPr>
          <w:rFonts w:hint="cs"/>
          <w:rtl/>
        </w:rPr>
        <w:t xml:space="preserve">انظر قرار لجنة حقوق الطفل في قضية </w:t>
      </w:r>
      <w:r>
        <w:rPr>
          <w:rFonts w:hint="cs"/>
          <w:i/>
          <w:iCs/>
          <w:rtl/>
        </w:rPr>
        <w:t>أ. ه. أ. ضد إسبانيا</w:t>
      </w:r>
      <w:r>
        <w:rPr>
          <w:rFonts w:hint="cs"/>
          <w:rtl/>
        </w:rPr>
        <w:t xml:space="preserve"> (</w:t>
      </w:r>
      <w:r>
        <w:t>CRC/C/69/D/</w:t>
      </w:r>
      <w:r w:rsidRPr="006B701A">
        <w:t>1/2014</w:t>
      </w:r>
      <w:r>
        <w:rPr>
          <w:rFonts w:hint="cs"/>
          <w:rtl/>
        </w:rPr>
        <w:t xml:space="preserve">) المؤرخ 4 حزيران/يونيه 2015، الفقرة 4-2.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16" w:rsidRPr="00BD0362" w:rsidRDefault="00BD0362" w:rsidP="00BD0362">
    <w:pPr>
      <w:pStyle w:val="Header"/>
      <w:jc w:val="right"/>
    </w:pPr>
    <w:r w:rsidRPr="00BD0362">
      <w:t>CRC/C/77/D/10/2017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A16" w:rsidRPr="00BD0362" w:rsidRDefault="00BD0362" w:rsidP="00BD0362">
    <w:pPr>
      <w:pStyle w:val="Header"/>
      <w:jc w:val="left"/>
    </w:pPr>
    <w:r w:rsidRPr="00BD0362">
      <w:t>CRC/C/77/D/10/2017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60B69"/>
    <w:rsid w:val="000076D5"/>
    <w:rsid w:val="00043663"/>
    <w:rsid w:val="000505CF"/>
    <w:rsid w:val="000D701C"/>
    <w:rsid w:val="000E2A71"/>
    <w:rsid w:val="001062C1"/>
    <w:rsid w:val="00120161"/>
    <w:rsid w:val="00160263"/>
    <w:rsid w:val="00181F96"/>
    <w:rsid w:val="001A1371"/>
    <w:rsid w:val="001B346A"/>
    <w:rsid w:val="001D5AC0"/>
    <w:rsid w:val="001E1CAD"/>
    <w:rsid w:val="001E290D"/>
    <w:rsid w:val="002144FA"/>
    <w:rsid w:val="0023469A"/>
    <w:rsid w:val="00243C8A"/>
    <w:rsid w:val="00267A0E"/>
    <w:rsid w:val="002901D9"/>
    <w:rsid w:val="002976C2"/>
    <w:rsid w:val="002A1734"/>
    <w:rsid w:val="002D2D42"/>
    <w:rsid w:val="003260FF"/>
    <w:rsid w:val="00343D95"/>
    <w:rsid w:val="003557CA"/>
    <w:rsid w:val="00374341"/>
    <w:rsid w:val="003A5054"/>
    <w:rsid w:val="003C50EA"/>
    <w:rsid w:val="003D1062"/>
    <w:rsid w:val="00420D7B"/>
    <w:rsid w:val="00427C55"/>
    <w:rsid w:val="00450B21"/>
    <w:rsid w:val="00453B63"/>
    <w:rsid w:val="00455780"/>
    <w:rsid w:val="0045649E"/>
    <w:rsid w:val="004A14A6"/>
    <w:rsid w:val="004B0A1C"/>
    <w:rsid w:val="004D298E"/>
    <w:rsid w:val="004F740C"/>
    <w:rsid w:val="00523BAE"/>
    <w:rsid w:val="005301BA"/>
    <w:rsid w:val="0054472E"/>
    <w:rsid w:val="005662A9"/>
    <w:rsid w:val="005827D4"/>
    <w:rsid w:val="0059622A"/>
    <w:rsid w:val="005C5878"/>
    <w:rsid w:val="005C7CEA"/>
    <w:rsid w:val="005D3C0B"/>
    <w:rsid w:val="005E4957"/>
    <w:rsid w:val="005E5217"/>
    <w:rsid w:val="005F0FA4"/>
    <w:rsid w:val="005F30EE"/>
    <w:rsid w:val="0060473A"/>
    <w:rsid w:val="00656392"/>
    <w:rsid w:val="0068781D"/>
    <w:rsid w:val="006959B0"/>
    <w:rsid w:val="006B3E27"/>
    <w:rsid w:val="006B6507"/>
    <w:rsid w:val="006C104C"/>
    <w:rsid w:val="006E444F"/>
    <w:rsid w:val="00711B40"/>
    <w:rsid w:val="00733704"/>
    <w:rsid w:val="0078071A"/>
    <w:rsid w:val="00795CC3"/>
    <w:rsid w:val="00824960"/>
    <w:rsid w:val="00852A9A"/>
    <w:rsid w:val="008D1487"/>
    <w:rsid w:val="008D2E2A"/>
    <w:rsid w:val="008F49E1"/>
    <w:rsid w:val="0090370F"/>
    <w:rsid w:val="009269D2"/>
    <w:rsid w:val="00942135"/>
    <w:rsid w:val="009521B0"/>
    <w:rsid w:val="00994130"/>
    <w:rsid w:val="009A7E9F"/>
    <w:rsid w:val="009C281D"/>
    <w:rsid w:val="009E5018"/>
    <w:rsid w:val="00A12B37"/>
    <w:rsid w:val="00A65558"/>
    <w:rsid w:val="00AB6758"/>
    <w:rsid w:val="00B13763"/>
    <w:rsid w:val="00B477A4"/>
    <w:rsid w:val="00B54045"/>
    <w:rsid w:val="00B83A16"/>
    <w:rsid w:val="00BD0362"/>
    <w:rsid w:val="00C438D7"/>
    <w:rsid w:val="00C81B50"/>
    <w:rsid w:val="00C97DBB"/>
    <w:rsid w:val="00CB28F9"/>
    <w:rsid w:val="00CD1801"/>
    <w:rsid w:val="00D10EF1"/>
    <w:rsid w:val="00D42810"/>
    <w:rsid w:val="00D914A7"/>
    <w:rsid w:val="00DD13C3"/>
    <w:rsid w:val="00DD596E"/>
    <w:rsid w:val="00DD621E"/>
    <w:rsid w:val="00DF0575"/>
    <w:rsid w:val="00E17667"/>
    <w:rsid w:val="00E70E04"/>
    <w:rsid w:val="00E76499"/>
    <w:rsid w:val="00EC05A7"/>
    <w:rsid w:val="00EC4B6B"/>
    <w:rsid w:val="00EF1EE5"/>
    <w:rsid w:val="00F15AA9"/>
    <w:rsid w:val="00F46FC5"/>
    <w:rsid w:val="00F60B69"/>
    <w:rsid w:val="00F763B4"/>
    <w:rsid w:val="00F900C3"/>
    <w:rsid w:val="00FD2424"/>
    <w:rsid w:val="00FD464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217C51"/>
  <w15:docId w15:val="{FFCF6A7F-ADCB-4AB5-8535-605EBC00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1A0C-BE5C-42E7-8E7A-EC6E2CB1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CRC/C/77/D/10/2017</vt:lpstr>
    </vt:vector>
  </TitlesOfParts>
  <Company>DCM</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CRC/C/77/D/10/2017</dc:title>
  <dc:subject>1804682A</dc:subject>
  <dc:creator>MBU, MBO</dc:creator>
  <cp:keywords>1807732</cp:keywords>
  <dc:description>General_x000d_
26 March 2018_x000d_
French</dc:description>
  <cp:lastModifiedBy>Generic Tpsara</cp:lastModifiedBy>
  <cp:revision>2</cp:revision>
  <cp:lastPrinted>2018-04-06T06:04:00Z</cp:lastPrinted>
  <dcterms:created xsi:type="dcterms:W3CDTF">2018-04-06T11:10:00Z</dcterms:created>
  <dcterms:modified xsi:type="dcterms:W3CDTF">2018-04-06T11:10:00Z</dcterms:modified>
</cp:coreProperties>
</file>