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F6AC7F4" w14:textId="77777777" w:rsidTr="007A2AE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5B08642" w14:textId="77777777" w:rsidR="002D5AAC" w:rsidRDefault="002D5AAC" w:rsidP="00E34B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01B6B25" w14:textId="77777777" w:rsidR="002D5AAC" w:rsidRPr="00BD33EE" w:rsidRDefault="00DF71B9" w:rsidP="007A2AE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6EA23C3" w14:textId="53FB5593" w:rsidR="002D5AAC" w:rsidRDefault="00E34BF9" w:rsidP="00E34BF9">
            <w:pPr>
              <w:jc w:val="right"/>
            </w:pPr>
            <w:r w:rsidRPr="000B5147">
              <w:rPr>
                <w:sz w:val="40"/>
              </w:rPr>
              <w:t>CMW</w:t>
            </w:r>
            <w:r w:rsidRPr="000B5147">
              <w:t>/C/SYR/CO/2-3</w:t>
            </w:r>
          </w:p>
        </w:tc>
      </w:tr>
      <w:tr w:rsidR="002D5AAC" w:rsidRPr="00F16C40" w14:paraId="403DE807" w14:textId="77777777" w:rsidTr="007A2AE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85CCDB" w14:textId="77777777" w:rsidR="002D5AAC" w:rsidRDefault="002E5067" w:rsidP="007A2AE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B93FE42" wp14:editId="378DFBB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10D915" w14:textId="77777777" w:rsidR="002D5AAC" w:rsidRPr="00033EE1" w:rsidRDefault="00734ACB" w:rsidP="007A2AE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D6A00">
              <w:rPr>
                <w:b/>
                <w:spacing w:val="-4"/>
                <w:sz w:val="34"/>
                <w:szCs w:val="40"/>
              </w:rPr>
              <w:t xml:space="preserve">Международная </w:t>
            </w:r>
            <w:r>
              <w:rPr>
                <w:b/>
                <w:spacing w:val="-4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535BF14" w14:textId="77777777" w:rsidR="002D5AAC" w:rsidRPr="00E34BF9" w:rsidRDefault="00E34BF9" w:rsidP="007A2AE0">
            <w:pPr>
              <w:spacing w:before="240"/>
              <w:rPr>
                <w:lang w:val="en-US"/>
              </w:rPr>
            </w:pPr>
            <w:r w:rsidRPr="00E34BF9">
              <w:rPr>
                <w:lang w:val="en-US"/>
              </w:rPr>
              <w:t>Distr.: General</w:t>
            </w:r>
          </w:p>
          <w:p w14:paraId="5F9FB40B" w14:textId="77777777" w:rsidR="00E34BF9" w:rsidRPr="00E34BF9" w:rsidRDefault="00E34BF9" w:rsidP="00E34BF9">
            <w:pPr>
              <w:spacing w:line="240" w:lineRule="exact"/>
              <w:rPr>
                <w:lang w:val="en-US"/>
              </w:rPr>
            </w:pPr>
            <w:r w:rsidRPr="00E34BF9">
              <w:rPr>
                <w:lang w:val="en-US"/>
              </w:rPr>
              <w:t>24 October 2022</w:t>
            </w:r>
          </w:p>
          <w:p w14:paraId="24A173B3" w14:textId="77777777" w:rsidR="00E34BF9" w:rsidRPr="00E34BF9" w:rsidRDefault="00E34BF9" w:rsidP="00E34BF9">
            <w:pPr>
              <w:spacing w:line="240" w:lineRule="exact"/>
              <w:rPr>
                <w:lang w:val="en-US"/>
              </w:rPr>
            </w:pPr>
            <w:r w:rsidRPr="00E34BF9">
              <w:rPr>
                <w:lang w:val="en-US"/>
              </w:rPr>
              <w:t>Russian</w:t>
            </w:r>
          </w:p>
          <w:p w14:paraId="0764C749" w14:textId="1A828316" w:rsidR="00E34BF9" w:rsidRPr="00E34BF9" w:rsidRDefault="00E34BF9" w:rsidP="00E34BF9">
            <w:pPr>
              <w:spacing w:line="240" w:lineRule="exact"/>
              <w:rPr>
                <w:lang w:val="en-US"/>
              </w:rPr>
            </w:pPr>
            <w:r w:rsidRPr="00E34BF9">
              <w:rPr>
                <w:lang w:val="en-US"/>
              </w:rPr>
              <w:t>Original: English</w:t>
            </w:r>
          </w:p>
        </w:tc>
      </w:tr>
    </w:tbl>
    <w:p w14:paraId="21FB2A57" w14:textId="2994C170" w:rsidR="00E34BF9" w:rsidRPr="00454F36" w:rsidRDefault="00454F36" w:rsidP="00454F36">
      <w:pPr>
        <w:spacing w:before="120"/>
        <w:rPr>
          <w:sz w:val="24"/>
          <w:szCs w:val="24"/>
        </w:rPr>
      </w:pPr>
      <w:r w:rsidRPr="00454F36">
        <w:rPr>
          <w:rFonts w:eastAsia="Times New Roman" w:cs="Times New Roman"/>
          <w:b/>
          <w:bCs/>
          <w:sz w:val="24"/>
          <w:szCs w:val="24"/>
        </w:rPr>
        <w:t xml:space="preserve">Комитет по защите прав всех </w:t>
      </w:r>
      <w:r>
        <w:rPr>
          <w:rFonts w:eastAsia="Times New Roman" w:cs="Times New Roman"/>
          <w:b/>
          <w:bCs/>
          <w:sz w:val="24"/>
          <w:szCs w:val="24"/>
        </w:rPr>
        <w:br/>
      </w:r>
      <w:r w:rsidRPr="00454F36">
        <w:rPr>
          <w:rFonts w:eastAsia="Times New Roman" w:cs="Times New Roman"/>
          <w:b/>
          <w:bCs/>
          <w:sz w:val="24"/>
          <w:szCs w:val="24"/>
        </w:rPr>
        <w:t>трудящихся-мигрантов и членов их семей</w:t>
      </w:r>
    </w:p>
    <w:p w14:paraId="239E0A1B" w14:textId="40B19409" w:rsidR="00454F36" w:rsidRPr="00454F36" w:rsidRDefault="00454F36" w:rsidP="00454F36">
      <w:pPr>
        <w:pStyle w:val="HChG"/>
      </w:pPr>
      <w:r w:rsidRPr="00454F36">
        <w:tab/>
      </w:r>
      <w:r w:rsidRPr="00454F36">
        <w:tab/>
        <w:t xml:space="preserve">Заключительные замечания по объединенным второму </w:t>
      </w:r>
      <w:r>
        <w:br/>
      </w:r>
      <w:r w:rsidRPr="00454F36">
        <w:t>и третьему периодическим докладам Сирийской Арабской Республики</w:t>
      </w:r>
      <w:r w:rsidRPr="00454F36">
        <w:rPr>
          <w:b w:val="0"/>
          <w:bCs/>
          <w:sz w:val="20"/>
        </w:rPr>
        <w:footnoteReference w:customMarkFollows="1" w:id="1"/>
        <w:t>*</w:t>
      </w:r>
    </w:p>
    <w:p w14:paraId="00F666FC" w14:textId="77777777" w:rsidR="00454F36" w:rsidRPr="00454F36" w:rsidRDefault="00454F36" w:rsidP="00454F36">
      <w:pPr>
        <w:pStyle w:val="SingleTxtG"/>
        <w:rPr>
          <w:b/>
        </w:rPr>
      </w:pPr>
      <w:r w:rsidRPr="00454F36">
        <w:t>1.</w:t>
      </w:r>
      <w:r w:rsidRPr="00454F36">
        <w:tab/>
        <w:t xml:space="preserve">Комитет рассмотрел объединенные второй и третий периодические доклады </w:t>
      </w:r>
      <w:r w:rsidRPr="00454F36">
        <w:rPr>
          <w:bCs/>
        </w:rPr>
        <w:t>Сирийской Арабской Республики</w:t>
      </w:r>
      <w:r w:rsidRPr="00454F36">
        <w:rPr>
          <w:rStyle w:val="aa"/>
        </w:rPr>
        <w:footnoteReference w:id="2"/>
      </w:r>
      <w:r w:rsidRPr="00454F36">
        <w:t xml:space="preserve"> на своих 499-м, 501-м и 503-м заседаниях</w:t>
      </w:r>
      <w:r w:rsidRPr="00454F36">
        <w:rPr>
          <w:rStyle w:val="aa"/>
        </w:rPr>
        <w:footnoteReference w:id="3"/>
      </w:r>
      <w:r w:rsidRPr="00454F36">
        <w:t>, состоявшихся 22, 23 и 26 сентября 2022 года. На своем 512-м заседании, состоявшемся 30 сентября 2022 года, он принял нижеследующие заключительные замечания.</w:t>
      </w:r>
    </w:p>
    <w:p w14:paraId="07D9755E" w14:textId="3C959137" w:rsidR="00454F36" w:rsidRPr="00454F36" w:rsidRDefault="00454F36" w:rsidP="00454F36">
      <w:pPr>
        <w:pStyle w:val="H1G"/>
      </w:pPr>
      <w:r>
        <w:tab/>
      </w:r>
      <w:r w:rsidRPr="00454F36">
        <w:t>A.</w:t>
      </w:r>
      <w:r w:rsidRPr="00454F36">
        <w:tab/>
      </w:r>
      <w:r w:rsidRPr="00454F36">
        <w:tab/>
        <w:t>Введение</w:t>
      </w:r>
    </w:p>
    <w:p w14:paraId="3C7843E2" w14:textId="77777777" w:rsidR="00454F36" w:rsidRPr="00454F36" w:rsidRDefault="00454F36" w:rsidP="00454F36">
      <w:pPr>
        <w:pStyle w:val="SingleTxtG"/>
        <w:rPr>
          <w:b/>
        </w:rPr>
      </w:pPr>
      <w:r w:rsidRPr="00454F36">
        <w:t>2.</w:t>
      </w:r>
      <w:r w:rsidRPr="00454F36">
        <w:tab/>
        <w:t>Комитет приветствует представление объединенных второго и третьего периодических докладов государства-участника, его ответы на перечень вопросов к ним</w:t>
      </w:r>
      <w:r w:rsidRPr="00454F36">
        <w:rPr>
          <w:rStyle w:val="aa"/>
        </w:rPr>
        <w:footnoteReference w:id="4"/>
      </w:r>
      <w:r w:rsidRPr="00454F36">
        <w:t xml:space="preserve"> и дополнительную информацию, представленную межведомственной делегацией во главе с Постоянным представителем Сирийской Арабской Республики при Отделении Организации Объединенных Наций и других международных организациях в Женеве в составе заместителя Министра и представителей Министерства социальных вопросов и труда, Министерства внутренних дел и Сирийской комиссии по делам семьи и населения, а также сотрудников Постоянного представительства Сирийской Арабской Республики при Отделении Организации Объединенных Наций и других международных организациях в Женеве.</w:t>
      </w:r>
    </w:p>
    <w:p w14:paraId="6CD104EF" w14:textId="77777777" w:rsidR="00454F36" w:rsidRPr="00454F36" w:rsidRDefault="00454F36" w:rsidP="00454F36">
      <w:pPr>
        <w:pStyle w:val="SingleTxtG"/>
        <w:rPr>
          <w:b/>
        </w:rPr>
      </w:pPr>
      <w:r w:rsidRPr="00454F36">
        <w:t>3.</w:t>
      </w:r>
      <w:r w:rsidRPr="00454F36">
        <w:tab/>
        <w:t>Комитет высоко оценивает открытый и конструктивный диалог с делегацией, который состоялся в смешанном формате.</w:t>
      </w:r>
    </w:p>
    <w:p w14:paraId="29B74674" w14:textId="77777777" w:rsidR="00454F36" w:rsidRPr="00454F36" w:rsidRDefault="00454F36" w:rsidP="00454F36">
      <w:pPr>
        <w:pStyle w:val="SingleTxtG"/>
        <w:rPr>
          <w:b/>
        </w:rPr>
      </w:pPr>
      <w:r w:rsidRPr="00454F36">
        <w:t>4.</w:t>
      </w:r>
      <w:r w:rsidRPr="00454F36">
        <w:tab/>
        <w:t>Комитету известно, что Сирийская Арабская Республика стала страной происхождения трудящихся-мигрантов. Комитет отмечает наличие в государстве-участнике большого количества лиц, нуждающихся в международной защите, а также большого количества сирийцев за пределами государства-участника, которые также нуждаются в международной защите.</w:t>
      </w:r>
    </w:p>
    <w:p w14:paraId="77168CE8" w14:textId="7F021586" w:rsidR="00454F36" w:rsidRPr="00454F36" w:rsidRDefault="00454F36" w:rsidP="00454F36">
      <w:pPr>
        <w:pStyle w:val="H1G"/>
      </w:pPr>
      <w:r>
        <w:tab/>
      </w:r>
      <w:r w:rsidRPr="00454F36">
        <w:t>B.</w:t>
      </w:r>
      <w:r w:rsidRPr="00454F36">
        <w:tab/>
      </w:r>
      <w:r w:rsidRPr="00454F36">
        <w:tab/>
        <w:t>Позитивные аспекты</w:t>
      </w:r>
    </w:p>
    <w:p w14:paraId="37288609" w14:textId="77777777" w:rsidR="00454F36" w:rsidRPr="00454F36" w:rsidRDefault="00454F36" w:rsidP="00454F36">
      <w:pPr>
        <w:pStyle w:val="SingleTxtG"/>
        <w:rPr>
          <w:b/>
        </w:rPr>
      </w:pPr>
      <w:r w:rsidRPr="00454F36">
        <w:t>5.</w:t>
      </w:r>
      <w:r w:rsidRPr="00454F36">
        <w:tab/>
        <w:t>Комитет с признательностью принимает к сведению ратификацию государством-участником следующих международных договоров:</w:t>
      </w:r>
    </w:p>
    <w:p w14:paraId="28AAD486" w14:textId="0E00B835" w:rsidR="00454F36" w:rsidRPr="00454F36" w:rsidRDefault="00454F36" w:rsidP="00454F36">
      <w:pPr>
        <w:pStyle w:val="SingleTxtG"/>
        <w:rPr>
          <w:b/>
        </w:rPr>
      </w:pPr>
      <w:r>
        <w:tab/>
      </w:r>
      <w:r w:rsidRPr="00454F36">
        <w:t>a)</w:t>
      </w:r>
      <w:r w:rsidRPr="00454F36">
        <w:tab/>
        <w:t>Конвенции о правах инвалидов в июле 2009 года;</w:t>
      </w:r>
    </w:p>
    <w:p w14:paraId="3CA7D692" w14:textId="2CA18C0F" w:rsidR="00454F36" w:rsidRPr="00454F36" w:rsidRDefault="00454F36" w:rsidP="00454F36">
      <w:pPr>
        <w:pStyle w:val="SingleTxtG"/>
      </w:pPr>
      <w:r>
        <w:lastRenderedPageBreak/>
        <w:tab/>
      </w:r>
      <w:r w:rsidRPr="00454F36">
        <w:t>b)</w:t>
      </w:r>
      <w:r w:rsidRPr="00454F36">
        <w:tab/>
        <w:t>Конвенции Организации Объединенных Наций против транснациональной организованной преступности, Протокола о предупреждении и пресечении и торговли людьми, особенно женщинами и детьми, и наказании за нее, дополняющего Конвенцию против организованной преступности, и Протокола против незаконного ввоза мигрантов по суше, морю и воздуху, дополняющего Конвенцию против организованной преступности, причем каждый из них был ратифицирован в 2009 году</w:t>
      </w:r>
      <w:r w:rsidR="00AE173E" w:rsidRPr="00AE173E">
        <w:t>.</w:t>
      </w:r>
    </w:p>
    <w:p w14:paraId="0DDF7A3B" w14:textId="77777777" w:rsidR="00454F36" w:rsidRPr="00454F36" w:rsidRDefault="00454F36" w:rsidP="00454F36">
      <w:pPr>
        <w:pStyle w:val="SingleTxtG"/>
      </w:pPr>
      <w:r w:rsidRPr="00454F36">
        <w:t>6.</w:t>
      </w:r>
      <w:r w:rsidRPr="00454F36">
        <w:tab/>
        <w:t>Комитет приветствует принятие следующих законодательных мер:</w:t>
      </w:r>
    </w:p>
    <w:p w14:paraId="5160DF15" w14:textId="6E3B238C" w:rsidR="00454F36" w:rsidRPr="00454F36" w:rsidRDefault="00454F36" w:rsidP="00454F36">
      <w:pPr>
        <w:pStyle w:val="SingleTxtG"/>
      </w:pPr>
      <w:r>
        <w:tab/>
      </w:r>
      <w:r w:rsidRPr="00454F36">
        <w:t>a)</w:t>
      </w:r>
      <w:r w:rsidRPr="00454F36">
        <w:tab/>
        <w:t>Закона о детях № 21</w:t>
      </w:r>
      <w:r w:rsidR="00AE173E">
        <w:rPr>
          <w:lang w:val="en-US"/>
        </w:rPr>
        <w:t> </w:t>
      </w:r>
      <w:r w:rsidRPr="00454F36">
        <w:t>от 2021 года, которым, среди прочего, предусмотрена защита от детского труда и защита детей от торговли людьми;</w:t>
      </w:r>
    </w:p>
    <w:p w14:paraId="0C5B0492" w14:textId="26F22A3F" w:rsidR="00454F36" w:rsidRPr="00454F36" w:rsidRDefault="00454F36" w:rsidP="00454F36">
      <w:pPr>
        <w:pStyle w:val="SingleTxtG"/>
      </w:pPr>
      <w:r>
        <w:tab/>
      </w:r>
      <w:r w:rsidRPr="00454F36">
        <w:t>b)</w:t>
      </w:r>
      <w:r w:rsidRPr="00454F36">
        <w:tab/>
        <w:t>Закона о борьбе с незаконным ввозом людей в Сирийскую Арабскую Республику № 14 от 2021 года;</w:t>
      </w:r>
    </w:p>
    <w:p w14:paraId="1ACB03A6" w14:textId="334B6936" w:rsidR="00454F36" w:rsidRPr="00454F36" w:rsidRDefault="00454F36" w:rsidP="00454F36">
      <w:pPr>
        <w:pStyle w:val="SingleTxtG"/>
      </w:pPr>
      <w:r>
        <w:tab/>
      </w:r>
      <w:r w:rsidRPr="00454F36">
        <w:t>c)</w:t>
      </w:r>
      <w:r w:rsidRPr="00454F36">
        <w:tab/>
      </w:r>
      <w:bookmarkStart w:id="0" w:name="_Hlk121407146"/>
      <w:r w:rsidRPr="00454F36">
        <w:t>Закона о въезде иностранцев в Сирийскую Арабскую Республику, их выезде из нее и проживании в ней № 2 от 2014 года</w:t>
      </w:r>
      <w:bookmarkEnd w:id="0"/>
      <w:r w:rsidRPr="00454F36">
        <w:t xml:space="preserve"> с изменениями, внесенными Законом № 30 от 2016 года и Законом № 13 от 2017 года, в той мере, в какой он обеспечивает правовую основу для управления миграционными потоками в страну, через нее, из нее и обратно;</w:t>
      </w:r>
    </w:p>
    <w:p w14:paraId="7957AA07" w14:textId="5184DD4A" w:rsidR="00454F36" w:rsidRPr="00454F36" w:rsidRDefault="00454F36" w:rsidP="00454F36">
      <w:pPr>
        <w:pStyle w:val="SingleTxtG"/>
      </w:pPr>
      <w:r>
        <w:tab/>
      </w:r>
      <w:r w:rsidRPr="00454F36">
        <w:t>d)</w:t>
      </w:r>
      <w:r w:rsidRPr="00454F36">
        <w:tab/>
        <w:t>Законодательного декрета №</w:t>
      </w:r>
      <w:r w:rsidR="00AE173E">
        <w:rPr>
          <w:lang w:val="en-US"/>
        </w:rPr>
        <w:t> </w:t>
      </w:r>
      <w:r w:rsidRPr="00454F36">
        <w:t>65 от 2013 года в отношении трудоустройства не являющихся сирийскими гражданами трудящихся, включая домашних работников-мигрантов, с изменениями, внесенными Законом № 40 от 2017</w:t>
      </w:r>
      <w:r w:rsidR="000B5147">
        <w:rPr>
          <w:lang w:val="en-US"/>
        </w:rPr>
        <w:t> </w:t>
      </w:r>
      <w:r w:rsidRPr="00454F36">
        <w:t>года;</w:t>
      </w:r>
    </w:p>
    <w:p w14:paraId="3322CD9F" w14:textId="55714CBD" w:rsidR="00454F36" w:rsidRPr="00454F36" w:rsidRDefault="00454F36" w:rsidP="00454F36">
      <w:pPr>
        <w:pStyle w:val="SingleTxtG"/>
      </w:pPr>
      <w:r>
        <w:tab/>
      </w:r>
      <w:r w:rsidRPr="00454F36">
        <w:t>e)</w:t>
      </w:r>
      <w:r w:rsidRPr="00454F36">
        <w:tab/>
        <w:t>Закона о занятости № 17 от 2010 года, который предусматривает регулирование занятости трудящихся-мигрантов из числа «арабов, не являющихся сирийскими гражданами», включая домашних работников-мигрантов, и разрешение Премьер-министру и Министру социальных вопросов и труда регулировать деятельность частных агентств по найму в этом контексте;</w:t>
      </w:r>
    </w:p>
    <w:p w14:paraId="593728FF" w14:textId="7699CB32" w:rsidR="00454F36" w:rsidRPr="00454F36" w:rsidRDefault="00454F36" w:rsidP="00454F36">
      <w:pPr>
        <w:pStyle w:val="SingleTxtG"/>
      </w:pPr>
      <w:r>
        <w:tab/>
      </w:r>
      <w:r w:rsidRPr="00454F36">
        <w:t>f)</w:t>
      </w:r>
      <w:r w:rsidRPr="00454F36">
        <w:tab/>
        <w:t>Закона о предотвращении торговли людьми № 3 от 2010 года, которым установлена уголовная ответственность за торговлю людьми.</w:t>
      </w:r>
    </w:p>
    <w:p w14:paraId="342CAF7B" w14:textId="77777777" w:rsidR="00454F36" w:rsidRPr="00454F36" w:rsidRDefault="00454F36" w:rsidP="00454F36">
      <w:pPr>
        <w:pStyle w:val="SingleTxtG"/>
      </w:pPr>
      <w:r w:rsidRPr="00454F36">
        <w:t>7.</w:t>
      </w:r>
      <w:r w:rsidRPr="00454F36">
        <w:tab/>
        <w:t>Комитет также приветствует следующие институциональные и политические меры:</w:t>
      </w:r>
    </w:p>
    <w:p w14:paraId="3154CA4A" w14:textId="05152385" w:rsidR="00454F36" w:rsidRPr="00454F36" w:rsidRDefault="00454F36" w:rsidP="00454F36">
      <w:pPr>
        <w:pStyle w:val="SingleTxtG"/>
      </w:pPr>
      <w:r>
        <w:tab/>
      </w:r>
      <w:r w:rsidRPr="00454F36">
        <w:t>a)</w:t>
      </w:r>
      <w:r w:rsidRPr="00454F36">
        <w:tab/>
        <w:t>принятие национального плана по сокращению масштабов детского труда и ликвидации наихудших форм детского труда;</w:t>
      </w:r>
    </w:p>
    <w:p w14:paraId="1CE15319" w14:textId="17005D97" w:rsidR="00454F36" w:rsidRPr="00454F36" w:rsidRDefault="00454F36" w:rsidP="00454F36">
      <w:pPr>
        <w:pStyle w:val="SingleTxtG"/>
      </w:pPr>
      <w:r>
        <w:tab/>
      </w:r>
      <w:r w:rsidRPr="00454F36">
        <w:t>b)</w:t>
      </w:r>
      <w:r w:rsidRPr="00454F36">
        <w:tab/>
        <w:t>создание Комиссии по планированию и международному сотрудничеству для надзора за реализацией национальной программы Сирийской Арабской Республики после завершения войны (Стратегия на период до 2030 года), в которую включена программа занятости;</w:t>
      </w:r>
    </w:p>
    <w:p w14:paraId="0B3DB43C" w14:textId="04132D25" w:rsidR="00454F36" w:rsidRPr="00454F36" w:rsidRDefault="00454F36" w:rsidP="00454F36">
      <w:pPr>
        <w:pStyle w:val="SingleTxtG"/>
      </w:pPr>
      <w:r>
        <w:tab/>
      </w:r>
      <w:r w:rsidRPr="00454F36">
        <w:t>c)</w:t>
      </w:r>
      <w:r w:rsidRPr="00454F36">
        <w:tab/>
        <w:t>принятие национального плана по борьбе с торговлей людьми и создание Департамента по борьбе с торговлей людьми, а также Национального комитета по борьбе с торговлей людьми.</w:t>
      </w:r>
    </w:p>
    <w:p w14:paraId="59382694" w14:textId="0A6E7680" w:rsidR="00454F36" w:rsidRPr="00454F36" w:rsidRDefault="00454F36" w:rsidP="00454F36">
      <w:pPr>
        <w:pStyle w:val="SingleTxtG"/>
      </w:pPr>
      <w:r w:rsidRPr="00454F36">
        <w:t>8.</w:t>
      </w:r>
      <w:r w:rsidRPr="00454F36">
        <w:tab/>
        <w:t xml:space="preserve">Комитет отмечает в качестве позитивного тот факт, что государство-участник проголосовало за Глобальный договор о безопасной, упорядоченной и легальной миграции, одобренный Генеральной Ассамблеей в ее резолюции </w:t>
      </w:r>
      <w:hyperlink r:id="rId8" w:history="1">
        <w:r w:rsidRPr="00454F36">
          <w:rPr>
            <w:rStyle w:val="af1"/>
          </w:rPr>
          <w:t>73/195</w:t>
        </w:r>
      </w:hyperlink>
      <w:r w:rsidRPr="00454F36">
        <w:t>. Комитет рекомендует государству-участнику и впредь прилагать усилия по его осуществлению в рамках своих международных обязательств, содержащихся в Конвенции, с учетом того, что оба этих международных договора направлены на защиту прав трудящихся-мигрантов и членов их семей.</w:t>
      </w:r>
    </w:p>
    <w:p w14:paraId="5A2CF23A" w14:textId="03A50B06" w:rsidR="00454F36" w:rsidRPr="00454F36" w:rsidRDefault="00454F36" w:rsidP="00454F36">
      <w:pPr>
        <w:pStyle w:val="H1G"/>
      </w:pPr>
      <w:r>
        <w:tab/>
      </w:r>
      <w:r w:rsidRPr="00454F36">
        <w:t>C.</w:t>
      </w:r>
      <w:r w:rsidRPr="00454F36">
        <w:tab/>
      </w:r>
      <w:r w:rsidRPr="00454F36">
        <w:tab/>
        <w:t>Факторы и трудности, препятствующие осуществлению Конвенции</w:t>
      </w:r>
    </w:p>
    <w:p w14:paraId="09557B95" w14:textId="77777777" w:rsidR="00454F36" w:rsidRPr="00454F36" w:rsidRDefault="00454F36" w:rsidP="00454F36">
      <w:pPr>
        <w:pStyle w:val="SingleTxtG"/>
      </w:pPr>
      <w:r w:rsidRPr="00454F36">
        <w:t>9.</w:t>
      </w:r>
      <w:r w:rsidRPr="00454F36">
        <w:tab/>
        <w:t xml:space="preserve">Комитет признает крайне тяжелые последствия продолжающегося вооруженного конфликта, политическую, экономическую и социальную </w:t>
      </w:r>
      <w:r w:rsidRPr="00454F36">
        <w:lastRenderedPageBreak/>
        <w:t>нестабильность, в том числе в результате принятия односторонних мер принуждения, а также присутствие иностранных вооруженных сил и негосударственных вооруженных групп, некоторые из которых признаны Организацией Объединенных Наций террористическими организациями. Все это приводит к грубым нарушениям прав человека, которые имеют серьезные последствия для трудящихся-мигрантов и членов их семей как в Сирийской Арабской Республике, так и за рубежом, и создает серьезное препятствие для осуществления прав, закрепленных в Конвенции. Комитет сознает сложность обеспечения прав трудящихся-мигрантов и членов их семей на территориях, где государство-участник не осуществляет эффективного контроля, в том числе на оккупированных сирийских Голанах. Однако Комитет обеспокоен полученными им утверждениями об условиях, в которых вынуждены находиться мигранты и которые приводят к смерти, страданиям или тяжелым телесным повреждениям, либо к нанесению вреда их психическому или физическому здоровью. Согласно этим утверждениям, такое обращение широко распространено как в районах, находящихся под контролем государства-участника, так и там, где государство-участник не осуществляет эффективного контроля. Акты насилия, совершенные в отношении мигрантов, включают незаконные убийства, пытки и другие формы жестокого, бесчеловечного или унижающего достоинство обращения и наказания, изнасилования, сексуальное порабощение и другие формы сексуального насилия, насильственные исчезновения или похищения, торговлю людьми, произвольное лишение свободы и эксплуататорские условия труда для домашних работников-мигрантов, которые не только серьезно нарушают права человека, но и могут представлять собой преступления по международному праву.</w:t>
      </w:r>
    </w:p>
    <w:p w14:paraId="2F72B4CF" w14:textId="2349C461" w:rsidR="00454F36" w:rsidRPr="00454F36" w:rsidRDefault="00454F36" w:rsidP="00454F36">
      <w:pPr>
        <w:pStyle w:val="SingleTxtG"/>
      </w:pPr>
      <w:r w:rsidRPr="00454F36">
        <w:t>10.</w:t>
      </w:r>
      <w:r w:rsidRPr="00454F36">
        <w:tab/>
        <w:t>Комитет напоминает государству-участнику о непрерывном характере его международных обязательств в области прав человека, а также о том, что закрепленные в Конвенции права применимы ко всем трудящимся-мигрантам и членам их семей во всякое время и что государство-участник несет основную ответственность за их защиту и, следовательно, оно должно принять незамедлительные меры для предотвращения дальнейшего насилия над ними. Комитет настоятельно призывает государство-участник незамедлительно принять необходимые меры, в том числе в рамках любых усилий по восстановлению, для защиты всех трудящихся-мигрантов и членов их семей от любых условий, которые могут нарушать их права по Конвенции и применимому международному праву, а</w:t>
      </w:r>
      <w:r w:rsidR="00AE173E">
        <w:rPr>
          <w:lang w:val="en-US"/>
        </w:rPr>
        <w:t> </w:t>
      </w:r>
      <w:r w:rsidRPr="00454F36">
        <w:t>также гарантировать им все права по Конвенции на всей своей территории без дискриминации независимо от места их проживания в целях поощрения культуры терпимости, мира и примирения между всеми общинами. Комитет также настоятельно призывает государство-участник обеспечить, чтобы его законы об амнистии, в том числе принятые для поощрения возвращения сирийских трудящихся-мигрантов и членов их семей, соответствовали международному праву, т</w:t>
      </w:r>
      <w:r w:rsidR="00AE173E" w:rsidRPr="00AE173E">
        <w:t>.</w:t>
      </w:r>
      <w:r w:rsidR="00AE173E">
        <w:rPr>
          <w:lang w:val="en-US"/>
        </w:rPr>
        <w:t> </w:t>
      </w:r>
      <w:r w:rsidRPr="00454F36">
        <w:t>е</w:t>
      </w:r>
      <w:r w:rsidR="00AE173E" w:rsidRPr="00AE173E">
        <w:t>.</w:t>
      </w:r>
      <w:r w:rsidRPr="00454F36">
        <w:t xml:space="preserve"> чтобы они не: </w:t>
      </w:r>
      <w:r w:rsidR="000B5147">
        <w:br/>
      </w:r>
      <w:r w:rsidRPr="00454F36">
        <w:t xml:space="preserve">a) препятствовали судебному преследованию лиц, которые могут нести уголовную ответственность за военные преступления, геноцид, преступления против человечности или грубые нарушения прав человека; b) нарушали права жертв на эффективное средство правовой защиты, включая возмещение ущерба; или </w:t>
      </w:r>
      <w:r w:rsidR="000B5147">
        <w:br/>
      </w:r>
      <w:r w:rsidRPr="00454F36">
        <w:t>c) ограничивали права жертв и общества знать правду о нарушениях прав человека и гуманитарного права.</w:t>
      </w:r>
    </w:p>
    <w:p w14:paraId="5E8F2D15" w14:textId="5FFF8E62" w:rsidR="00454F36" w:rsidRPr="00454F36" w:rsidRDefault="00454F36" w:rsidP="00454F36">
      <w:pPr>
        <w:pStyle w:val="SingleTxtG"/>
      </w:pPr>
      <w:r w:rsidRPr="00454F36">
        <w:t>11.</w:t>
      </w:r>
      <w:r w:rsidRPr="00454F36">
        <w:tab/>
        <w:t xml:space="preserve">Комитет с обеспокоенностью отмечает, что в ситуациях миграционного кризиса различные принимающие страны применяют разный подход в зависимости от гражданской принадлежности затрагиваемых людей. Некоторые из них поспешили выразить свою солидарность с украинскими мигрантами, спасающимися от вооруженного конфликта. За семь месяцев они мобилизовали средства, СМИ и население, с тем чтобы по праву и справедливости гостеприимно принять более </w:t>
      </w:r>
      <w:r w:rsidR="00AE173E">
        <w:br/>
      </w:r>
      <w:r w:rsidRPr="00454F36">
        <w:t xml:space="preserve">7 млн украинцев, которые смогут остаться, работать и получать доступ к социальным услугам, жилью, системе образования и медицинскому обслуживанию в принимающих странах. Приветствуя и поощряя такую систему, которая продемонстрировала, что прием и гостеприимство возможны и достижимы, Комитет выражает глубокое сожаление по поводу того, что к сирийцам не применяется схожее обращение. Комитет испытывает искреннюю боль по поводу такого различия в </w:t>
      </w:r>
      <w:r w:rsidRPr="00454F36">
        <w:lastRenderedPageBreak/>
        <w:t xml:space="preserve">обращении и выражает твердую надежду на то, что украинский случай сможет изменить психологические установки и послужить образцом в последующие годы. </w:t>
      </w:r>
    </w:p>
    <w:p w14:paraId="35C16E33" w14:textId="0C0FF443" w:rsidR="00454F36" w:rsidRPr="00454F36" w:rsidRDefault="00454F36" w:rsidP="00454F36">
      <w:pPr>
        <w:pStyle w:val="H1G"/>
      </w:pPr>
      <w:r>
        <w:tab/>
      </w:r>
      <w:r w:rsidRPr="00454F36">
        <w:t>D.</w:t>
      </w:r>
      <w:r w:rsidRPr="00454F36">
        <w:tab/>
      </w:r>
      <w:r w:rsidRPr="00454F36">
        <w:tab/>
        <w:t>Основные вопросы, вызывающие обеспокоенность, и</w:t>
      </w:r>
      <w:r w:rsidR="00AE173E">
        <w:rPr>
          <w:lang w:val="en-US"/>
        </w:rPr>
        <w:t> </w:t>
      </w:r>
      <w:r w:rsidRPr="00454F36">
        <w:t>рекомендации</w:t>
      </w:r>
    </w:p>
    <w:p w14:paraId="58AD5FC3" w14:textId="24DFD91B" w:rsidR="00454F36" w:rsidRPr="00454F36" w:rsidRDefault="00454F36" w:rsidP="00454F36">
      <w:pPr>
        <w:pStyle w:val="H23G"/>
      </w:pPr>
      <w:r>
        <w:tab/>
      </w:r>
      <w:r w:rsidRPr="00454F36">
        <w:t>1.</w:t>
      </w:r>
      <w:r w:rsidRPr="00454F36">
        <w:tab/>
      </w:r>
      <w:r w:rsidRPr="00454F36">
        <w:tab/>
        <w:t>Общие меры по осуществлению (ст. 73 и 84)</w:t>
      </w:r>
    </w:p>
    <w:p w14:paraId="0E3F8F63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>Современный контекст</w:t>
      </w:r>
    </w:p>
    <w:p w14:paraId="376C90BF" w14:textId="77777777" w:rsidR="00454F36" w:rsidRPr="00454F36" w:rsidRDefault="00454F36" w:rsidP="00454F36">
      <w:pPr>
        <w:pStyle w:val="SingleTxtG"/>
      </w:pPr>
      <w:r w:rsidRPr="00454F36">
        <w:t>12.</w:t>
      </w:r>
      <w:r w:rsidRPr="00454F36">
        <w:tab/>
      </w:r>
      <w:r w:rsidRPr="00454F36">
        <w:rPr>
          <w:b/>
          <w:bCs/>
        </w:rPr>
        <w:t>Комитет рекомендует государству-участнику защищать права трудящихся-мигрантов и членов их семей, в частности право на здоровье, и смягчать негативные последствия пандемии коронавирусного заболевания (COVID-19) в свете совместной руководящей записки о последствиях пандемии COVID-19 для прав человека мигрантов, подготовленной Комитетом и Специальным докладчиком по вопросу о правах человека мигрантов</w:t>
      </w:r>
      <w:r w:rsidRPr="00454F36">
        <w:rPr>
          <w:rStyle w:val="aa"/>
        </w:rPr>
        <w:footnoteReference w:id="5"/>
      </w:r>
      <w:r w:rsidRPr="00454F36">
        <w:rPr>
          <w:b/>
          <w:bCs/>
        </w:rPr>
        <w:t>.</w:t>
      </w:r>
      <w:r w:rsidRPr="00454F36">
        <w:t xml:space="preserve"> </w:t>
      </w:r>
      <w:r w:rsidRPr="00454F36">
        <w:rPr>
          <w:b/>
          <w:bCs/>
        </w:rPr>
        <w:t>Комитет, в частности, рекомендует государству-участнику гарантировать равный доступ к вакцинации против COVID-19 всем мигрантам и членам их семей, независимо от их гражданской принадлежности, миграционного статуса или других запрещенных оснований для дискриминации, в соответствии с рекомендациями, принятыми Комитетом и другими региональными правозащитными механизмами, изложенными в вышеупомянутой совместной руководящей записке.</w:t>
      </w:r>
    </w:p>
    <w:p w14:paraId="5AF9C9AD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>Законодательство и правоприменение</w:t>
      </w:r>
    </w:p>
    <w:p w14:paraId="3BBAC6F7" w14:textId="0C0BF92A" w:rsidR="00454F36" w:rsidRPr="00454F36" w:rsidRDefault="00454F36" w:rsidP="00454F36">
      <w:pPr>
        <w:pStyle w:val="SingleTxtG"/>
      </w:pPr>
      <w:r w:rsidRPr="00454F36">
        <w:t>13.</w:t>
      </w:r>
      <w:r w:rsidRPr="00454F36">
        <w:tab/>
        <w:t>Комитет отмечает, что после принятия предыдущих заключительных замечаний</w:t>
      </w:r>
      <w:r w:rsidRPr="00454F36">
        <w:rPr>
          <w:rStyle w:val="aa"/>
        </w:rPr>
        <w:footnoteReference w:id="6"/>
      </w:r>
      <w:r w:rsidRPr="00454F36">
        <w:t xml:space="preserve"> в 2008 году государство-участник приняло определенные законодательные меры для приведения внутреннего законодательства в соответствие с положениями Конвенции. Однако он обеспокоен тем, что </w:t>
      </w:r>
      <w:bookmarkStart w:id="1" w:name="_Hlk121407088"/>
      <w:r w:rsidRPr="00454F36">
        <w:t>Закон</w:t>
      </w:r>
      <w:r>
        <w:t xml:space="preserve"> </w:t>
      </w:r>
      <w:r w:rsidRPr="00454F36">
        <w:t>о въезде иностранцев в Сирийскую Арабскую Республику, их выезде из нее и проживании в ней</w:t>
      </w:r>
      <w:bookmarkEnd w:id="1"/>
      <w:r w:rsidRPr="00454F36">
        <w:t xml:space="preserve"> № 2 от 2014 года, которым предусмотрена уголовная ответственность в случае незаконного въезда в страну, пребывания в ней и выезда из нее и преследует цели по защите границ и предотвращению нарушений безопасности границ на основе таких расплывчатых критериев, как «требование о соблюдении безопасности и общественных интересов» (ст. 26), до сих пор не приведен в соответствие с положениями Конвенции.</w:t>
      </w:r>
    </w:p>
    <w:p w14:paraId="076FD8C3" w14:textId="77777777" w:rsidR="00454F36" w:rsidRPr="00454F36" w:rsidRDefault="00454F36" w:rsidP="00454F36">
      <w:pPr>
        <w:pStyle w:val="SingleTxtG"/>
      </w:pPr>
      <w:r w:rsidRPr="00454F36">
        <w:t>14.</w:t>
      </w:r>
      <w:r w:rsidRPr="00454F36">
        <w:tab/>
      </w:r>
      <w:r w:rsidRPr="00454F36">
        <w:rPr>
          <w:b/>
          <w:bCs/>
        </w:rPr>
        <w:t>Комитет рекомендует государству-участнику принять всеобъемлющее законодательство по вопросам миграции и привести свое внутреннее законодательство в соответствие с положениями Конвенции и замечаниями общего порядка Комитета.</w:t>
      </w:r>
    </w:p>
    <w:p w14:paraId="68DB5AF3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>Статьи 76 и 77</w:t>
      </w:r>
    </w:p>
    <w:p w14:paraId="423CF943" w14:textId="77777777" w:rsidR="00454F36" w:rsidRPr="00454F36" w:rsidRDefault="00454F36" w:rsidP="00454F36">
      <w:pPr>
        <w:pStyle w:val="SingleTxtG"/>
      </w:pPr>
      <w:r w:rsidRPr="00454F36">
        <w:t>15.</w:t>
      </w:r>
      <w:r w:rsidRPr="00454F36">
        <w:tab/>
        <w:t>Комитет отмечает, что государству-участнику еще предстоит сделать заявления, предусмотренные в статьях 76 и 77 Конвенции.</w:t>
      </w:r>
    </w:p>
    <w:p w14:paraId="38336924" w14:textId="77777777" w:rsidR="00454F36" w:rsidRPr="00454F36" w:rsidRDefault="00454F36" w:rsidP="00454F36">
      <w:pPr>
        <w:pStyle w:val="SingleTxtG"/>
      </w:pPr>
      <w:r w:rsidRPr="00454F36">
        <w:t>16.</w:t>
      </w:r>
      <w:r w:rsidRPr="00454F36">
        <w:tab/>
      </w:r>
      <w:r w:rsidRPr="00454F36">
        <w:rPr>
          <w:b/>
          <w:bCs/>
        </w:rPr>
        <w:t>Подтверждая свою предыдущую рекомендацию</w:t>
      </w:r>
      <w:r w:rsidRPr="00454F36">
        <w:rPr>
          <w:rStyle w:val="aa"/>
        </w:rPr>
        <w:footnoteReference w:id="7"/>
      </w:r>
      <w:r w:rsidRPr="00454F36">
        <w:rPr>
          <w:b/>
          <w:bCs/>
        </w:rPr>
        <w:t>, Комитет вновь рекомендует государству-участнику сделать предусмотренные в статьях 76 и 77 Конвенции заявления о признании компетенции Комитета получать и рассматривать сообщения от государств-участников и отдельных лиц о нарушении прав, закрепленных в Конвенции.</w:t>
      </w:r>
    </w:p>
    <w:p w14:paraId="27554FD7" w14:textId="421054FE" w:rsidR="00454F36" w:rsidRPr="00454F36" w:rsidRDefault="00AE173E" w:rsidP="00AE173E">
      <w:pPr>
        <w:pStyle w:val="H23G"/>
      </w:pPr>
      <w:r>
        <w:tab/>
      </w:r>
      <w:r>
        <w:tab/>
      </w:r>
      <w:r w:rsidR="00454F36" w:rsidRPr="00454F36">
        <w:t>Ратификация соответствующих договоров</w:t>
      </w:r>
    </w:p>
    <w:p w14:paraId="0EE4A2B5" w14:textId="77777777" w:rsidR="00454F36" w:rsidRPr="00454F36" w:rsidRDefault="00454F36" w:rsidP="00454F36">
      <w:pPr>
        <w:pStyle w:val="SingleTxtG"/>
      </w:pPr>
      <w:r w:rsidRPr="00454F36">
        <w:t>17.</w:t>
      </w:r>
      <w:r w:rsidRPr="00454F36">
        <w:tab/>
        <w:t xml:space="preserve">Комитет принимает к сведению представленное государством-участником пояснение о том, что в настоящее время рассматривается возможность ратификации </w:t>
      </w:r>
      <w:r w:rsidRPr="00454F36">
        <w:lastRenderedPageBreak/>
        <w:t>дополнительных конвенций Международной организации труда (МОТ), участником которых оно до сих пор не является, или присоединения к ним.</w:t>
      </w:r>
    </w:p>
    <w:p w14:paraId="7442A4AF" w14:textId="1FB81546" w:rsidR="00454F36" w:rsidRPr="00454F36" w:rsidRDefault="00454F36" w:rsidP="00454F36">
      <w:pPr>
        <w:pStyle w:val="SingleTxtG"/>
      </w:pPr>
      <w:r w:rsidRPr="00454F36">
        <w:t>18.</w:t>
      </w:r>
      <w:r w:rsidRPr="00454F36">
        <w:tab/>
      </w:r>
      <w:r w:rsidRPr="00454F36">
        <w:rPr>
          <w:b/>
          <w:bCs/>
        </w:rPr>
        <w:t>Подтверждая свою предыдущую рекомендацию</w:t>
      </w:r>
      <w:r w:rsidRPr="00454F36">
        <w:rPr>
          <w:rStyle w:val="aa"/>
        </w:rPr>
        <w:footnoteReference w:id="8"/>
      </w:r>
      <w:r w:rsidRPr="00454F36">
        <w:rPr>
          <w:b/>
          <w:bCs/>
        </w:rPr>
        <w:t xml:space="preserve">, Комитет рекомендует государству-участнику как можно скорее ратифицировать Международную конвенцию для защиты всех лиц от насильственных исчезновений, </w:t>
      </w:r>
      <w:r w:rsidR="00AE173E">
        <w:rPr>
          <w:b/>
          <w:bCs/>
        </w:rPr>
        <w:br/>
      </w:r>
      <w:r w:rsidRPr="00454F36">
        <w:rPr>
          <w:b/>
          <w:bCs/>
        </w:rPr>
        <w:t>Конвенцию МОТ о работниках-мигрантах (пересмотренную) 1949 года (№ 97), Конвенцию МОТ о работниках-мигрантах (дополнительные положения) 1975</w:t>
      </w:r>
      <w:r w:rsidR="00AE173E">
        <w:rPr>
          <w:b/>
          <w:bCs/>
          <w:lang w:val="en-US"/>
        </w:rPr>
        <w:t> </w:t>
      </w:r>
      <w:r w:rsidRPr="00454F36">
        <w:rPr>
          <w:b/>
          <w:bCs/>
        </w:rPr>
        <w:t>года (№ 143), Конвенцию МОТ о безопасности и гигиене труда в строительстве 1988 года (№ 167), Конвенцию МОТ о частных агентствах занятости 1997 года (№ 181) и Конвенцию МОТ о достойном труде домашних работников 2011 (№ 189) года или присоединиться к ним. Комитет также рекомендует государству-участнику рассмотреть вопрос о ратификации Конвенции МОТ об искоренении насилия и домогательств в сфере труда 2019</w:t>
      </w:r>
      <w:r w:rsidR="00AE173E">
        <w:rPr>
          <w:b/>
          <w:bCs/>
          <w:lang w:val="en-US"/>
        </w:rPr>
        <w:t> </w:t>
      </w:r>
      <w:r w:rsidRPr="00454F36">
        <w:rPr>
          <w:b/>
          <w:bCs/>
        </w:rPr>
        <w:t>года (№ 190).</w:t>
      </w:r>
    </w:p>
    <w:p w14:paraId="3BB4D0D9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>Всеобъемлющая политика и стратегия</w:t>
      </w:r>
    </w:p>
    <w:p w14:paraId="22BCF7AA" w14:textId="77777777" w:rsidR="00454F36" w:rsidRPr="00454F36" w:rsidRDefault="00454F36" w:rsidP="00454F36">
      <w:pPr>
        <w:pStyle w:val="SingleTxtG"/>
      </w:pPr>
      <w:r w:rsidRPr="00454F36">
        <w:t>19.</w:t>
      </w:r>
      <w:r w:rsidRPr="00454F36">
        <w:tab/>
        <w:t>Комитет отмечает отмену некоторых ограничений на трудоустройство иностранных трудящихся-мигрантов в государстве-участнике Законодательным декретом № 65 от 2013 года с изменениями, внесенными Законом № 40 от 2017 года, и Законом о занятости № 17 от 2010 года. Однако он обеспокоен отсутствием всеобъемлющей национальной миграционной стратегии, которая бы включала вопросы трудовой миграции.</w:t>
      </w:r>
    </w:p>
    <w:p w14:paraId="4675FEA3" w14:textId="77777777" w:rsidR="00454F36" w:rsidRPr="00454F36" w:rsidRDefault="00454F36" w:rsidP="00454F36">
      <w:pPr>
        <w:pStyle w:val="SingleTxtG"/>
        <w:rPr>
          <w:b/>
          <w:bCs/>
        </w:rPr>
      </w:pPr>
      <w:r w:rsidRPr="00454F36">
        <w:t>20.</w:t>
      </w:r>
      <w:r w:rsidRPr="00454F36">
        <w:tab/>
      </w:r>
      <w:r w:rsidRPr="00454F36">
        <w:rPr>
          <w:b/>
          <w:bCs/>
        </w:rPr>
        <w:t>Комитет рекомендует государству-участнику принять национальную миграционную стратегию, а также:</w:t>
      </w:r>
    </w:p>
    <w:p w14:paraId="37B690CD" w14:textId="5F8BAE85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a)</w:t>
      </w:r>
      <w:r w:rsidRPr="00454F36">
        <w:rPr>
          <w:b/>
          <w:bCs/>
        </w:rPr>
        <w:tab/>
        <w:t>обеспечить, чтобы в стратегии был сделан акцент на осуществлении Конвенции, и чтобы она предусматривала проведение комплексной миграционной политики, учитывающей гендерные аспекты и интересы детей, а</w:t>
      </w:r>
      <w:r w:rsidR="00AE173E">
        <w:rPr>
          <w:b/>
          <w:bCs/>
          <w:lang w:val="en-US"/>
        </w:rPr>
        <w:t> </w:t>
      </w:r>
      <w:r w:rsidRPr="00454F36">
        <w:rPr>
          <w:b/>
          <w:bCs/>
        </w:rPr>
        <w:t>также основанную на правах человека миграционную политику по защите прав иностранных трудящихся-мигрантов и членов их семей;</w:t>
      </w:r>
    </w:p>
    <w:p w14:paraId="71DDDD4A" w14:textId="11CCFC68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>принять эффективные меры для осуществления этой стратегии с четким указанием их сроков, показателей и процедуры контроля, а также контрольных параметров их оценки; обеспечить выделение достаточных людских, технических и финансовых ресурсов для ее реализации и включить в свой следующий периодический доклад подкрепленную статистическими данными информацию о достигнутых результатах и возникших трудностях.</w:t>
      </w:r>
    </w:p>
    <w:p w14:paraId="677F5166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>Координация</w:t>
      </w:r>
    </w:p>
    <w:p w14:paraId="1A629717" w14:textId="77777777" w:rsidR="00454F36" w:rsidRPr="00454F36" w:rsidRDefault="00454F36" w:rsidP="00454F36">
      <w:pPr>
        <w:pStyle w:val="SingleTxtG"/>
      </w:pPr>
      <w:r w:rsidRPr="00454F36">
        <w:t>21.</w:t>
      </w:r>
      <w:r w:rsidRPr="00454F36">
        <w:tab/>
        <w:t>Комитет принимает к сведению пояснение государства-участника о том, что Министерство социальных вопросов и труда отвечает за сектор занятости и связанные с ним вопросы. Тем не менее Комитет обеспокоен отсутствием информации о том министерстве или государственном учреждении, которое несет ответственность за координацию осуществления Конвенции и поощрение прав трудящихся-мигрантов и членов их семей как в государстве-участнике, так и за рубежом.</w:t>
      </w:r>
    </w:p>
    <w:p w14:paraId="534B0972" w14:textId="77777777" w:rsidR="00454F36" w:rsidRPr="00454F36" w:rsidRDefault="00454F36" w:rsidP="00454F36">
      <w:pPr>
        <w:pStyle w:val="SingleTxtG"/>
      </w:pPr>
      <w:r w:rsidRPr="00454F36">
        <w:t>22.</w:t>
      </w:r>
      <w:r w:rsidRPr="00454F36">
        <w:tab/>
      </w:r>
      <w:r w:rsidRPr="00454F36">
        <w:rPr>
          <w:b/>
          <w:bCs/>
        </w:rPr>
        <w:t>Комитет рекомендует государству-участнику создать соответствующий межведомственный орган высокого уровня, который бы был наделен четким мандатом и достаточными полномочиями для координации всей деятельности по эффективному осуществлению прав, защищаемых Конвенцией, и обеспечить такой координационный орган людскими, техническими и финансовыми ресурсами, необходимыми для его эффективного и устойчивого функционирования.</w:t>
      </w:r>
    </w:p>
    <w:p w14:paraId="00B64E2F" w14:textId="77777777" w:rsidR="00454F36" w:rsidRPr="00454F36" w:rsidRDefault="00454F36" w:rsidP="00454F36">
      <w:pPr>
        <w:pStyle w:val="H23G"/>
      </w:pPr>
      <w:r w:rsidRPr="00454F36">
        <w:lastRenderedPageBreak/>
        <w:tab/>
      </w:r>
      <w:r w:rsidRPr="00454F36">
        <w:tab/>
        <w:t xml:space="preserve">Сбор данных </w:t>
      </w:r>
    </w:p>
    <w:p w14:paraId="6CE20689" w14:textId="77777777" w:rsidR="00454F36" w:rsidRPr="00454F36" w:rsidRDefault="00454F36" w:rsidP="00454F36">
      <w:pPr>
        <w:pStyle w:val="SingleTxtG"/>
      </w:pPr>
      <w:r w:rsidRPr="00454F36">
        <w:t>23.</w:t>
      </w:r>
      <w:r w:rsidRPr="00454F36">
        <w:tab/>
        <w:t xml:space="preserve">Комитет отмечает, что за последние два года государство-участник смогло собрать некоторые данные по вопросам, связанным с миграцией. Однако он обеспокоен отсутствием в государстве-участнике системы сбора и анализа данных, связанных с миграцией, которая бы позволяла ему в полной мере оценивать степень и способ осуществления в государстве-участнике прав, изложенных в Конвенции, в частности, в отношении трудящихся-мигрантов, находящихся за рубежом и условий их занятости, положения мигрантов, возвратившихся в страну, в том числе тех, кто был принудительно возвращен и/или вытеснен на международные границы государства-участника, трудящихся женщин-мигрантов, несопровождаемых детей-мигрантов, детей, оставленных родителями-мигрантами, мигрантах, следующих транзитом, и иностранных трудящихся-мигрантов, находящихся в государстве-участнике. </w:t>
      </w:r>
    </w:p>
    <w:p w14:paraId="3621AF15" w14:textId="77777777" w:rsidR="00454F36" w:rsidRPr="00454F36" w:rsidRDefault="00454F36" w:rsidP="00454F36">
      <w:pPr>
        <w:pStyle w:val="SingleTxtG"/>
        <w:rPr>
          <w:b/>
          <w:bCs/>
        </w:rPr>
      </w:pPr>
      <w:r w:rsidRPr="00454F36">
        <w:t>24.</w:t>
      </w:r>
      <w:r w:rsidRPr="00454F36">
        <w:tab/>
      </w:r>
      <w:r w:rsidRPr="00454F36">
        <w:rPr>
          <w:b/>
          <w:bCs/>
        </w:rPr>
        <w:t>Ссылаясь на свои предыдущие рекомендации</w:t>
      </w:r>
      <w:r w:rsidRPr="00454F36">
        <w:rPr>
          <w:rStyle w:val="aa"/>
        </w:rPr>
        <w:footnoteReference w:id="9"/>
      </w:r>
      <w:r w:rsidRPr="00454F36">
        <w:rPr>
          <w:b/>
          <w:bCs/>
        </w:rPr>
        <w:t>, Комитет рекомендует государству-участнику:</w:t>
      </w:r>
    </w:p>
    <w:p w14:paraId="45467AA4" w14:textId="67DD89F6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a)</w:t>
      </w:r>
      <w:r w:rsidRPr="00454F36">
        <w:rPr>
          <w:b/>
          <w:bCs/>
        </w:rPr>
        <w:tab/>
        <w:t>создать в соответствии с задачей 17.18 целей в области устойчивого развития и целью 1 Глобального договора о безопасной, упорядоченной и легальной миграции систему сбора данных о положении трудящихся-мигрантов и членов их семей в государстве-участнике, в частности о положении трудящихся-мигрантах с неурегулированным статусом, которая бы охватывала все аспекты Конвенции, чтобы иметь в открытом доступе статистические данные об иностранных трудящихся-мигрантах как с урегулированным, так и с неурегулированным статусом и трудящихся-мигрантах, следующих транзитом, членах их семей, гражданах, работающих за рубежом, и условиях их трудовой деятельности, возвратившихся мигрантах, детях, мигрирующих за рубеж, включая несопровождаемых детей, а также о супругах и детях трудящихся-мигрантов, оставшихся в государстве-участнике, в целях эффективного содействия осуществлению миграционной политики, основанной на правах человека;</w:t>
      </w:r>
    </w:p>
    <w:p w14:paraId="3BDBC064" w14:textId="02FB257D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>применять в процессе сбора данных учитывающий гендерные аспекты и интересы детей подход, основанный на правах человека, и</w:t>
      </w:r>
      <w:r w:rsidRPr="00454F36">
        <w:t xml:space="preserve"> </w:t>
      </w:r>
      <w:r w:rsidRPr="00454F36">
        <w:rPr>
          <w:b/>
          <w:bCs/>
        </w:rPr>
        <w:t>обеспечить защиту права на неприкосновенность частной жизни, информации с персональными данными и данных трудящихся-мигрантов и членов их семей, в том числе путем создания соответствующих систем защиты и ограничения доступа к предоставляемой информации, а также уничтожения информации с персональными данными после достижения цели сбора данных, с тем чтобы персональные данные не использовались для миграционного контроля или с целью дискриминации государственными и частными службами;</w:t>
      </w:r>
    </w:p>
    <w:p w14:paraId="78709BDC" w14:textId="77D9D325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c)</w:t>
      </w:r>
      <w:r w:rsidRPr="00454F36">
        <w:rPr>
          <w:b/>
          <w:bCs/>
        </w:rPr>
        <w:tab/>
        <w:t>включить в такую систему данные о положении всех трудящихся-мигрантов и членов их семей, для которых Сирийская Арабская Республика является страной происхождения, транзита, назначения или возвращения, и собирать статистические данные в разбивке, среди прочего, по полу, возрасту, гражданской принадлежности, причинам въезда в страну и выезда из нее, типу выполняемой работы, категории трудящегося-мигранта, этническому происхождению, миграционному статусу и инвалидности;</w:t>
      </w:r>
    </w:p>
    <w:p w14:paraId="13183778" w14:textId="7A862F1F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d)</w:t>
      </w:r>
      <w:r w:rsidRPr="00454F36">
        <w:rPr>
          <w:b/>
          <w:bCs/>
        </w:rPr>
        <w:tab/>
        <w:t>обеспечить координацию, интеграцию и распространение таких данных и разработать показатели для оценки прогресса и результатов политики и программ, основанных на таких данных;</w:t>
      </w:r>
    </w:p>
    <w:p w14:paraId="2314A37A" w14:textId="08CAB2C6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e)</w:t>
      </w:r>
      <w:r w:rsidRPr="00454F36">
        <w:rPr>
          <w:b/>
          <w:bCs/>
        </w:rPr>
        <w:tab/>
        <w:t>представить в своем следующем периодическом докладе данные, основанные на исследованиях или оценках, если невозможно получить точные сведения, например о трудящихся-мигрантах с неурегулированным статусом.</w:t>
      </w:r>
    </w:p>
    <w:p w14:paraId="69D05197" w14:textId="77777777" w:rsidR="00454F36" w:rsidRPr="00454F36" w:rsidRDefault="00454F36" w:rsidP="00454F36">
      <w:pPr>
        <w:pStyle w:val="H23G"/>
      </w:pPr>
      <w:r w:rsidRPr="00454F36">
        <w:lastRenderedPageBreak/>
        <w:tab/>
      </w:r>
      <w:r w:rsidRPr="00454F36">
        <w:tab/>
        <w:t>Независимый мониторинг</w:t>
      </w:r>
    </w:p>
    <w:p w14:paraId="77D6F8A0" w14:textId="044C6E9A" w:rsidR="00454F36" w:rsidRPr="00454F36" w:rsidRDefault="00454F36" w:rsidP="00454F36">
      <w:pPr>
        <w:pStyle w:val="SingleTxtG"/>
      </w:pPr>
      <w:r w:rsidRPr="00454F36">
        <w:t>25.</w:t>
      </w:r>
      <w:r w:rsidRPr="00454F36">
        <w:tab/>
        <w:t>Комитет с признательностью отмечает принятие государством-участником в ходе третьего цикла универсального периодического обзора 2022 года обязательство создать независимое национальное правозащитное учреждение в соответствии с принципами, касающимися статуса национальных учреждений, занимающихся поощрением и защитой прав человека (Парижские принципы)</w:t>
      </w:r>
      <w:r w:rsidRPr="00454F36">
        <w:rPr>
          <w:rStyle w:val="aa"/>
        </w:rPr>
        <w:footnoteReference w:id="10"/>
      </w:r>
      <w:r w:rsidRPr="00454F36">
        <w:t>. Однако он сожалеет по поводу того, что национальное правозащитное учреждение до сих пор не создано, и принимает к сведению пояснение, данное государством-участником в ходе интерактивного диалога, согласно которому</w:t>
      </w:r>
      <w:r w:rsidR="005602FD">
        <w:t>:</w:t>
      </w:r>
      <w:r w:rsidRPr="00454F36">
        <w:t xml:space="preserve"> a) хотя работа по его созданию началась несколько лет назад, государству-участнику пришлось пересмотреть свои национальные приоритеты и сосредоточиться на борьбе с терроризмом, поддержании безопасности и стабильности, противостоянии негативным последствиям односторонних принудительных мер, повлиявших на условия жизни, обеспечении гуманитарных потребностей своих граждан и устранении социально-экономических последствий пандемии COVID-19; b) в настоящее время в Народном совете действуют три парламентских комитета по защите прав человека; и c) в настоящее время государство-участник изучает опыт других стран, связанный с их национальными правозащитными учреждениями.</w:t>
      </w:r>
    </w:p>
    <w:p w14:paraId="0D0D0C1D" w14:textId="77777777" w:rsidR="00454F36" w:rsidRPr="00454F36" w:rsidRDefault="00454F36" w:rsidP="00454F36">
      <w:pPr>
        <w:pStyle w:val="SingleTxtG"/>
      </w:pPr>
      <w:r w:rsidRPr="00454F36">
        <w:t>26.</w:t>
      </w:r>
      <w:r w:rsidRPr="00454F36">
        <w:tab/>
      </w:r>
      <w:r w:rsidRPr="00454F36">
        <w:rPr>
          <w:b/>
          <w:bCs/>
        </w:rPr>
        <w:t>Комитет рекомендует государству-участнику, несмотря на проблемы в области безопасности и институциональные трудности, без дальнейшего промедления создать национальное правозащитное учреждение, полностью соответствующее Парижским принципам, и воспользоваться в этом процессе технической помощью Управления Верховного комиссара Организации Объединенных Наций по правам человека (УВКПЧ).</w:t>
      </w:r>
    </w:p>
    <w:p w14:paraId="48965CEC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 xml:space="preserve">Подготовка по вопросам, касающимся Конвенции, и распространение информации о ней </w:t>
      </w:r>
    </w:p>
    <w:p w14:paraId="4B779FE7" w14:textId="77777777" w:rsidR="00454F36" w:rsidRPr="00454F36" w:rsidRDefault="00454F36" w:rsidP="00454F36">
      <w:pPr>
        <w:pStyle w:val="SingleTxtG"/>
      </w:pPr>
      <w:r w:rsidRPr="00454F36">
        <w:t>27.</w:t>
      </w:r>
      <w:r w:rsidRPr="00454F36">
        <w:tab/>
        <w:t xml:space="preserve">Комитет принимает к сведению предоставленную государством-участником информацию об инициативах по проведению подготовки </w:t>
      </w:r>
      <w:r w:rsidRPr="00454F36">
        <w:rPr>
          <w:bCs/>
        </w:rPr>
        <w:t>по вопросам, касающимся прав в рамках Конвенции,</w:t>
      </w:r>
      <w:r w:rsidRPr="00454F36">
        <w:t xml:space="preserve"> и распространению среди заинтересованных сторон информации об инициативах, относящихся к этим правам. Вместе с тем Комитет обеспокоен:</w:t>
      </w:r>
    </w:p>
    <w:p w14:paraId="473E3669" w14:textId="1ABA1913" w:rsidR="00454F36" w:rsidRPr="00454F36" w:rsidRDefault="00454F36" w:rsidP="00454F36">
      <w:pPr>
        <w:pStyle w:val="SingleTxtG"/>
      </w:pPr>
      <w:r>
        <w:tab/>
      </w:r>
      <w:r w:rsidRPr="00454F36">
        <w:t>a)</w:t>
      </w:r>
      <w:r w:rsidRPr="00454F36">
        <w:tab/>
        <w:t>отсутствием конкретной информации в этой связи, возможно, вследствие недостаточности прилагаемых усилий;</w:t>
      </w:r>
    </w:p>
    <w:p w14:paraId="38BA3DA6" w14:textId="195DBB0D" w:rsidR="00454F36" w:rsidRPr="00454F36" w:rsidRDefault="00454F36" w:rsidP="00454F36">
      <w:pPr>
        <w:pStyle w:val="SingleTxtG"/>
      </w:pPr>
      <w:r>
        <w:tab/>
      </w:r>
      <w:r w:rsidRPr="00454F36">
        <w:t>b)</w:t>
      </w:r>
      <w:r w:rsidRPr="00454F36">
        <w:tab/>
        <w:t xml:space="preserve">возможным отсутствием доступа трудящихся-мигрантов и членов их семей, не владеющих арабским языком, к информации, касающейся их прав по Конвенции. </w:t>
      </w:r>
    </w:p>
    <w:p w14:paraId="5BDBEB89" w14:textId="64295D49" w:rsidR="00454F36" w:rsidRPr="00454F36" w:rsidRDefault="00454F36" w:rsidP="00454F36">
      <w:pPr>
        <w:pStyle w:val="SingleTxtG"/>
        <w:rPr>
          <w:b/>
          <w:bCs/>
        </w:rPr>
      </w:pPr>
      <w:r w:rsidRPr="00454F36">
        <w:t>28.</w:t>
      </w:r>
      <w:r w:rsidRPr="00454F36">
        <w:tab/>
      </w:r>
      <w:r w:rsidRPr="00454F36">
        <w:rPr>
          <w:b/>
          <w:bCs/>
        </w:rPr>
        <w:t>В свете своего замечания общего порядка № 1 (2011) и, подтверждая свою предыдущую рекомендацию</w:t>
      </w:r>
      <w:r w:rsidRPr="00454F36">
        <w:rPr>
          <w:rStyle w:val="aa"/>
        </w:rPr>
        <w:footnoteReference w:id="11"/>
      </w:r>
      <w:r w:rsidRPr="00454F36">
        <w:rPr>
          <w:b/>
          <w:bCs/>
        </w:rPr>
        <w:t>, Комитет рекомендует государству-участнику:</w:t>
      </w:r>
    </w:p>
    <w:p w14:paraId="1EE7C5A2" w14:textId="48D3789D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a)</w:t>
      </w:r>
      <w:r w:rsidRPr="00454F36">
        <w:rPr>
          <w:b/>
          <w:bCs/>
        </w:rPr>
        <w:tab/>
        <w:t>разработать и усилить образовательные и учебные программы, посвященные предусмотренным Конвенцией правам трудящихся-мигрантов и членов их семей, и предоставить доступ к таким программам всем должностным лицам и специалистам, работающим в области миграции, в частности сотрудникам правоохранительных органов и пограничных служб, судьям, прокурорам, консульским работникам, должностным лицам национального, регионального и местного уровней, социальным работникам и представителям организаций гражданского общества, включая организации мигрантов;</w:t>
      </w:r>
    </w:p>
    <w:p w14:paraId="3C9589AE" w14:textId="73C6F892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 xml:space="preserve">предпринять дальнейшие шаги для обеспечения доступа трудящимся-мигрантам к информации и руководящим документам, касающимся их прав по Конвенции, на всех широко используемых в государстве-участнике языках без дискриминации, в частности посредством осуществления программ по ориентации до трудоустройства и отъезда, которые бы включали </w:t>
      </w:r>
      <w:r w:rsidRPr="00454F36">
        <w:rPr>
          <w:b/>
          <w:bCs/>
        </w:rPr>
        <w:lastRenderedPageBreak/>
        <w:t>информирование об условиях приема и работы, а также о правах и обязанностях в соответствии с законодательством и практикой государств работы по найму;</w:t>
      </w:r>
    </w:p>
    <w:p w14:paraId="4FCFAA08" w14:textId="2454DBA0" w:rsidR="00454F36" w:rsidRPr="00454F36" w:rsidRDefault="00454F36" w:rsidP="00454F36">
      <w:pPr>
        <w:pStyle w:val="SingleTxtG"/>
        <w:rPr>
          <w:b/>
          <w:bCs/>
        </w:rPr>
      </w:pPr>
      <w:r>
        <w:rPr>
          <w:b/>
          <w:bCs/>
        </w:rPr>
        <w:tab/>
      </w:r>
      <w:r w:rsidRPr="00454F36">
        <w:rPr>
          <w:b/>
          <w:bCs/>
        </w:rPr>
        <w:t>c</w:t>
      </w:r>
      <w:r w:rsidRPr="00454F36">
        <w:t>)</w:t>
      </w:r>
      <w:r w:rsidRPr="00454F36">
        <w:tab/>
      </w:r>
      <w:r w:rsidRPr="00454F36">
        <w:rPr>
          <w:b/>
          <w:bCs/>
        </w:rPr>
        <w:t>усилить свою работу с организациями гражданского общества и средствами массовой информации в целях распространения информации о Конвенции и ее пропаганды на всей территории государства-участника</w:t>
      </w:r>
      <w:r w:rsidR="005602FD">
        <w:rPr>
          <w:b/>
          <w:bCs/>
        </w:rPr>
        <w:t>;</w:t>
      </w:r>
    </w:p>
    <w:p w14:paraId="6CBADC3B" w14:textId="482F9E9D" w:rsidR="00454F36" w:rsidRPr="00454F36" w:rsidRDefault="00454F36" w:rsidP="00454F36">
      <w:pPr>
        <w:pStyle w:val="SingleTxtG"/>
        <w:rPr>
          <w:b/>
          <w:bCs/>
        </w:rPr>
      </w:pPr>
      <w:r>
        <w:rPr>
          <w:b/>
          <w:bCs/>
        </w:rPr>
        <w:tab/>
      </w:r>
      <w:r w:rsidRPr="00454F36">
        <w:rPr>
          <w:b/>
          <w:bCs/>
        </w:rPr>
        <w:t>d</w:t>
      </w:r>
      <w:r w:rsidRPr="00454F36">
        <w:t>)</w:t>
      </w:r>
      <w:r w:rsidRPr="00454F36">
        <w:tab/>
      </w:r>
      <w:r w:rsidRPr="00454F36">
        <w:rPr>
          <w:b/>
          <w:bCs/>
        </w:rPr>
        <w:t>создать всеобъемлющий механизм для осуществления настоящих заключительных замечаний и последующих действий в связи с ними, в соответствии с обязательством, данным в ходе универсального периодического обзора</w:t>
      </w:r>
      <w:r w:rsidRPr="00454F36">
        <w:rPr>
          <w:rStyle w:val="aa"/>
        </w:rPr>
        <w:footnoteReference w:id="12"/>
      </w:r>
      <w:r w:rsidRPr="00454F36">
        <w:rPr>
          <w:b/>
          <w:bCs/>
        </w:rPr>
        <w:t>, и привлечь к работе этого механизма национальное правозащитное учреждение, как только оно будет создано, а также неправительственные организации, в частности организации мигрантов, с учетом потенциала национального механизма, необходимого для подготовки докладов и осуществления последующей деятельности, в четырех ключевых областях, а</w:t>
      </w:r>
      <w:r w:rsidR="005602FD">
        <w:rPr>
          <w:b/>
          <w:bCs/>
        </w:rPr>
        <w:t> </w:t>
      </w:r>
      <w:r w:rsidRPr="00454F36">
        <w:rPr>
          <w:b/>
          <w:bCs/>
        </w:rPr>
        <w:t>именно участие, координация, консультации и управление информацией.</w:t>
      </w:r>
    </w:p>
    <w:p w14:paraId="579FAFC7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 xml:space="preserve">Участие гражданского общества </w:t>
      </w:r>
    </w:p>
    <w:p w14:paraId="2427584F" w14:textId="77777777" w:rsidR="00454F36" w:rsidRPr="00454F36" w:rsidRDefault="00454F36" w:rsidP="00454F36">
      <w:pPr>
        <w:pStyle w:val="SingleTxtG"/>
      </w:pPr>
      <w:r w:rsidRPr="00454F36">
        <w:t>29.</w:t>
      </w:r>
      <w:r w:rsidRPr="00454F36">
        <w:tab/>
        <w:t>Комитет отмечает, что в подготовке доклада государства-участника участвовали Всеобщая федерация профсоюзов, Федерация торговых палат, Ассоциация адвокатов, научные круги и неправительственные организации. Однако Комитет глубоко обеспокоен утверждениями о том, что некоторые организации гражданского общества, выступающие в защиту прав человека, по сообщениям, подвергаются запугиваниям и репрессиям со стороны государственных должностных лиц, в том числе при поиске исчезнувших лиц или обращении с вопросами о местонахождении лиц, находящихся в заключении, и что такие организации имеют ограниченный доступ к местам содержания под стражей.</w:t>
      </w:r>
    </w:p>
    <w:p w14:paraId="1473A193" w14:textId="77777777" w:rsidR="00454F36" w:rsidRPr="00454F36" w:rsidRDefault="00454F36" w:rsidP="00454F36">
      <w:pPr>
        <w:pStyle w:val="SingleTxtG"/>
        <w:rPr>
          <w:b/>
          <w:bCs/>
        </w:rPr>
      </w:pPr>
      <w:r w:rsidRPr="00454F36">
        <w:t>30.</w:t>
      </w:r>
      <w:r w:rsidRPr="00454F36">
        <w:tab/>
      </w:r>
      <w:r w:rsidRPr="00454F36">
        <w:rPr>
          <w:b/>
          <w:bCs/>
        </w:rPr>
        <w:t>Напоминая государству-участнику о том, что правозащитники заслуживают особой защиты, поскольку их работа имеет крайне важное значение для поощрения прав человека для всех, включая трудящихся-мигрантов и членов их семей, Комитет настоятельно призывает государство-участник обеспечить:</w:t>
      </w:r>
    </w:p>
    <w:p w14:paraId="330A33D5" w14:textId="6FE22BF4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a)</w:t>
      </w:r>
      <w:r w:rsidRPr="00454F36">
        <w:rPr>
          <w:b/>
          <w:bCs/>
        </w:rPr>
        <w:tab/>
        <w:t>возможность для правозащитников и организаций гражданского общества осуществлять свои права на свободу выражения мнения и ассоциации, не подвергаясь запугиваниям или репрессиям;</w:t>
      </w:r>
    </w:p>
    <w:p w14:paraId="29734B65" w14:textId="52BD18FD" w:rsidR="00454F36" w:rsidRPr="00454F36" w:rsidRDefault="00454F36" w:rsidP="00454F36">
      <w:pPr>
        <w:pStyle w:val="SingleTxtG"/>
        <w:rPr>
          <w:b/>
          <w:bCs/>
        </w:rPr>
      </w:pPr>
      <w:r>
        <w:rPr>
          <w:b/>
          <w:bCs/>
        </w:rPr>
        <w:tab/>
      </w:r>
      <w:r w:rsidRPr="00454F36">
        <w:rPr>
          <w:b/>
          <w:bCs/>
        </w:rPr>
        <w:t>b</w:t>
      </w:r>
      <w:r w:rsidRPr="00454F36">
        <w:t>)</w:t>
      </w:r>
      <w:r w:rsidRPr="00454F36">
        <w:tab/>
      </w:r>
      <w:r w:rsidRPr="00454F36">
        <w:rPr>
          <w:b/>
          <w:bCs/>
        </w:rPr>
        <w:t>оперативное и независимое расследование известных случаев запугивания и репрессий в отношении правозащитников и членов неправительственных организаций, привлечение к ответственности лиц, виновных в таких нарушениях;</w:t>
      </w:r>
    </w:p>
    <w:p w14:paraId="47203370" w14:textId="161880C1" w:rsidR="00454F36" w:rsidRPr="00454F36" w:rsidRDefault="00454F36" w:rsidP="00454F36">
      <w:pPr>
        <w:pStyle w:val="SingleTxtG"/>
        <w:rPr>
          <w:b/>
          <w:bCs/>
        </w:rPr>
      </w:pPr>
      <w:r>
        <w:rPr>
          <w:b/>
          <w:bCs/>
        </w:rPr>
        <w:tab/>
      </w:r>
      <w:r w:rsidRPr="00454F36">
        <w:rPr>
          <w:b/>
          <w:bCs/>
        </w:rPr>
        <w:t>c</w:t>
      </w:r>
      <w:r w:rsidRPr="00454F36">
        <w:t>)</w:t>
      </w:r>
      <w:r w:rsidRPr="00454F36">
        <w:tab/>
      </w:r>
      <w:r w:rsidRPr="00454F36">
        <w:rPr>
          <w:b/>
          <w:bCs/>
        </w:rPr>
        <w:t>поощрение неправительственных организаций оказывать поддержку трудящимся-мигрантам и членам их семей, включая лиц с неурегулированным правовым статусом</w:t>
      </w:r>
      <w:r w:rsidR="005602FD">
        <w:rPr>
          <w:b/>
          <w:bCs/>
        </w:rPr>
        <w:t>;</w:t>
      </w:r>
    </w:p>
    <w:p w14:paraId="3962300C" w14:textId="00FB2C90" w:rsidR="00454F36" w:rsidRPr="00454F36" w:rsidRDefault="00454F36" w:rsidP="00454F36">
      <w:pPr>
        <w:pStyle w:val="SingleTxtG"/>
        <w:rPr>
          <w:b/>
          <w:bCs/>
        </w:rPr>
      </w:pPr>
      <w:r>
        <w:rPr>
          <w:b/>
          <w:bCs/>
        </w:rPr>
        <w:tab/>
      </w:r>
      <w:r w:rsidRPr="00454F36">
        <w:rPr>
          <w:b/>
          <w:bCs/>
        </w:rPr>
        <w:t>d</w:t>
      </w:r>
      <w:r w:rsidRPr="00454F36">
        <w:t>)</w:t>
      </w:r>
      <w:r w:rsidRPr="00454F36">
        <w:tab/>
      </w:r>
      <w:r w:rsidRPr="00454F36">
        <w:rPr>
          <w:b/>
          <w:bCs/>
        </w:rPr>
        <w:t>систематическое участие неправительственных организаций, включая организации, обслуживающие сирийскую диаспору, а также научных кругов в осуществлении Конвенции, в том числе в подготовке периодических докладов государства-участника;</w:t>
      </w:r>
    </w:p>
    <w:p w14:paraId="06DA0678" w14:textId="21ECA079" w:rsidR="00454F36" w:rsidRPr="00454F36" w:rsidRDefault="000B5147" w:rsidP="00454F36">
      <w:pPr>
        <w:pStyle w:val="SingleTxtG"/>
        <w:rPr>
          <w:b/>
          <w:bCs/>
        </w:rPr>
      </w:pPr>
      <w:r w:rsidRPr="000B5147">
        <w:rPr>
          <w:b/>
          <w:bCs/>
        </w:rPr>
        <w:tab/>
      </w:r>
      <w:r w:rsidR="00454F36" w:rsidRPr="00454F36">
        <w:rPr>
          <w:b/>
          <w:bCs/>
        </w:rPr>
        <w:t>e)</w:t>
      </w:r>
      <w:r w:rsidR="00454F36" w:rsidRPr="00454F36">
        <w:tab/>
      </w:r>
      <w:r w:rsidR="00454F36" w:rsidRPr="00454F36">
        <w:rPr>
          <w:b/>
          <w:bCs/>
        </w:rPr>
        <w:t>предоставление неправительственным организациям беспрепятственного доступа в места содержания под стражей, с тем чтобы они могли оказывать задержанным трудящимся-мигрантам и членам их семей эффективную поддержку.</w:t>
      </w:r>
    </w:p>
    <w:p w14:paraId="7536CF5B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>Коррупция</w:t>
      </w:r>
    </w:p>
    <w:p w14:paraId="52BDC4E0" w14:textId="77777777" w:rsidR="00454F36" w:rsidRPr="00454F36" w:rsidRDefault="00454F36" w:rsidP="00454F36">
      <w:pPr>
        <w:pStyle w:val="SingleTxtG"/>
      </w:pPr>
      <w:r w:rsidRPr="00454F36">
        <w:t>31.</w:t>
      </w:r>
      <w:r w:rsidRPr="00454F36">
        <w:tab/>
        <w:t xml:space="preserve">Комитет выражает сожаление по поводу отсутствия информации о мерах, принимаемых для предупреждения коррупции среди должностных лиц, которые </w:t>
      </w:r>
      <w:r w:rsidRPr="00454F36">
        <w:lastRenderedPageBreak/>
        <w:t>выполняют функции, связанные с Конвенцией, а также беспокойство сообщениями о случаях коррупции со стороны должностных лиц иммиграционной и пограничной служб и сотрудников полиции.</w:t>
      </w:r>
    </w:p>
    <w:p w14:paraId="5536B817" w14:textId="77777777" w:rsidR="00454F36" w:rsidRPr="00454F36" w:rsidRDefault="00454F36" w:rsidP="00454F36">
      <w:pPr>
        <w:pStyle w:val="SingleTxtG"/>
        <w:rPr>
          <w:b/>
          <w:bCs/>
        </w:rPr>
      </w:pPr>
      <w:r w:rsidRPr="00454F36">
        <w:t>32.</w:t>
      </w:r>
      <w:r w:rsidRPr="00454F36">
        <w:tab/>
      </w:r>
      <w:r w:rsidRPr="00454F36">
        <w:rPr>
          <w:b/>
          <w:bCs/>
        </w:rPr>
        <w:t>Комитет настоятельно призывает государство-участник:</w:t>
      </w:r>
    </w:p>
    <w:p w14:paraId="2F4127B8" w14:textId="474702BD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a)</w:t>
      </w:r>
      <w:r w:rsidRPr="00454F36">
        <w:rPr>
          <w:b/>
          <w:bCs/>
        </w:rPr>
        <w:tab/>
        <w:t>тщательно расследовать все случаи коррупции, включая все случаи сговора и соучастия в незаконном ввозе мигрантов, торговле людьми и вымогательстве, а также принять надлежащие превентивные меры и меры наказания, включая увольнение государственных служащих в соответствующих случаях;</w:t>
      </w:r>
    </w:p>
    <w:p w14:paraId="719D7DC1" w14:textId="0A40EF1F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>создать безопасные пространства или механизмы с учетом гендерных аспектов для защиты заявителей от преследований;</w:t>
      </w:r>
    </w:p>
    <w:p w14:paraId="41EE52FE" w14:textId="78221F4C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c)</w:t>
      </w:r>
      <w:r w:rsidRPr="00454F36">
        <w:rPr>
          <w:b/>
          <w:bCs/>
        </w:rPr>
        <w:tab/>
        <w:t>проводить кампании по повышению осведомленности с целью стимулирования трудящихся-мигрантов и членов их семей, которые считают себя жертвами коррупции, сообщать об этом;</w:t>
      </w:r>
    </w:p>
    <w:p w14:paraId="6EF2BA1B" w14:textId="501798CD" w:rsidR="00454F36" w:rsidRPr="00454F36" w:rsidRDefault="00454F36" w:rsidP="00454F36">
      <w:pPr>
        <w:pStyle w:val="SingleTxtG"/>
        <w:rPr>
          <w:b/>
        </w:rPr>
      </w:pPr>
      <w:r w:rsidRPr="00454F36">
        <w:rPr>
          <w:b/>
          <w:bCs/>
        </w:rPr>
        <w:tab/>
        <w:t>d)</w:t>
      </w:r>
      <w:r w:rsidRPr="00454F36">
        <w:rPr>
          <w:b/>
          <w:bCs/>
        </w:rPr>
        <w:tab/>
        <w:t>представить в своем следующем периодическом докладе информацию о мерах, принятых для предупреждения коррупции среди должностных лиц, которые выполняют функции, имеющие отношение к Конвенции, в том числе статистическую информацию, касающуюся проведения расследований и применения санкций.</w:t>
      </w:r>
    </w:p>
    <w:p w14:paraId="70DA83DC" w14:textId="3519B21B" w:rsidR="00454F36" w:rsidRPr="00454F36" w:rsidRDefault="00454F36" w:rsidP="00454F36">
      <w:pPr>
        <w:pStyle w:val="H23G"/>
      </w:pPr>
      <w:r>
        <w:tab/>
      </w:r>
      <w:r w:rsidRPr="00454F36">
        <w:t>2.</w:t>
      </w:r>
      <w:r w:rsidRPr="00454F36">
        <w:tab/>
      </w:r>
      <w:r w:rsidRPr="00454F36">
        <w:tab/>
        <w:t>Общие принципы (ст. 7 и 83)</w:t>
      </w:r>
    </w:p>
    <w:p w14:paraId="0A01780D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>Недискриминация</w:t>
      </w:r>
    </w:p>
    <w:p w14:paraId="75673834" w14:textId="77777777" w:rsidR="00454F36" w:rsidRPr="00454F36" w:rsidRDefault="00454F36" w:rsidP="00454F36">
      <w:pPr>
        <w:pStyle w:val="SingleTxtG"/>
      </w:pPr>
      <w:r w:rsidRPr="00454F36">
        <w:t>33.</w:t>
      </w:r>
      <w:r w:rsidRPr="00454F36">
        <w:tab/>
        <w:t>Комитет принимает к сведению запрещенные основания для дискриминации, включенные в пункт 4 статьи 8 и пункт 3 статьи 33 Конституции и Закон о занятости № 17 от 2010 года. Однако Комитет обеспокоен тем, что:</w:t>
      </w:r>
    </w:p>
    <w:p w14:paraId="13E4068C" w14:textId="451030F9" w:rsidR="00454F36" w:rsidRPr="00454F36" w:rsidRDefault="00454F36" w:rsidP="00454F36">
      <w:pPr>
        <w:pStyle w:val="SingleTxtG"/>
      </w:pPr>
      <w:r>
        <w:tab/>
      </w:r>
      <w:r w:rsidRPr="00454F36">
        <w:t>a)</w:t>
      </w:r>
      <w:r w:rsidRPr="00454F36">
        <w:tab/>
        <w:t>в Законе о въезде иностранцев в Сирийскую Арабскую Республику, их выезде из нее и проживании в ней № 2 от 2014 года не содержится никаких положений о недискриминации и что Конституция и Закон № 17 от 2010 года не охватывают все запрещенные основания для дискриминации, указанные в пункте 1 статьи 1 и статье 7 Конвенции;</w:t>
      </w:r>
    </w:p>
    <w:p w14:paraId="2DDBF2D1" w14:textId="34B14CA6" w:rsidR="00454F36" w:rsidRPr="00454F36" w:rsidRDefault="00454F36" w:rsidP="00454F36">
      <w:pPr>
        <w:pStyle w:val="SingleTxtG"/>
      </w:pPr>
      <w:r>
        <w:tab/>
      </w:r>
      <w:r w:rsidRPr="00454F36">
        <w:t>b)</w:t>
      </w:r>
      <w:r w:rsidRPr="00454F36">
        <w:tab/>
        <w:t>мужчины могут запрещать своим женам покидать страну, подав соответствующее заявление в Министерство внутренних дел, что серьезно сказывается на праве трудящихся женщин-мигрантов обращаться за трудоустройством за рубежом.</w:t>
      </w:r>
    </w:p>
    <w:p w14:paraId="69FEFA1D" w14:textId="77777777" w:rsidR="00454F36" w:rsidRPr="00454F36" w:rsidRDefault="00454F36" w:rsidP="00454F36">
      <w:pPr>
        <w:pStyle w:val="SingleTxtG"/>
      </w:pPr>
      <w:r w:rsidRPr="00454F36">
        <w:t>34.</w:t>
      </w:r>
      <w:r w:rsidRPr="00454F36">
        <w:tab/>
      </w:r>
      <w:r w:rsidRPr="00454F36">
        <w:rPr>
          <w:b/>
          <w:bCs/>
        </w:rPr>
        <w:t>Подтверждая свою предыдущую рекомендацию</w:t>
      </w:r>
      <w:r w:rsidRPr="00454F36">
        <w:rPr>
          <w:rStyle w:val="aa"/>
        </w:rPr>
        <w:footnoteReference w:id="13"/>
      </w:r>
      <w:r w:rsidRPr="00454F36">
        <w:rPr>
          <w:b/>
          <w:bCs/>
        </w:rPr>
        <w:t>, Комитет рекомендует государству-участнику:</w:t>
      </w:r>
      <w:r w:rsidRPr="00454F36">
        <w:t xml:space="preserve"> </w:t>
      </w:r>
    </w:p>
    <w:p w14:paraId="75CE2198" w14:textId="6B48CC10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a)</w:t>
      </w:r>
      <w:r w:rsidRPr="00454F36">
        <w:rPr>
          <w:b/>
          <w:bCs/>
        </w:rPr>
        <w:tab/>
        <w:t>углубить законодательные и политические меры для обеспечения того, чтобы все трудящиеся-мигранты и члены их семей на территории страны или под ее юрисдикцией могли независимо от их статуса без дискриминации пользоваться правами, признаваемыми в Конвенции, в соответствии с пунктом</w:t>
      </w:r>
      <w:r w:rsidR="005602FD">
        <w:rPr>
          <w:b/>
          <w:bCs/>
        </w:rPr>
        <w:t> </w:t>
      </w:r>
      <w:r w:rsidRPr="00454F36">
        <w:rPr>
          <w:b/>
          <w:bCs/>
        </w:rPr>
        <w:t xml:space="preserve">1 ее статьи 7 и принять всеобъемлющий закон, который бы устанавливал запрет на все формы дискриминации; </w:t>
      </w:r>
    </w:p>
    <w:p w14:paraId="7FEBB61B" w14:textId="09ED1888" w:rsidR="00454F36" w:rsidRPr="00454F36" w:rsidRDefault="00454F36" w:rsidP="00454F36">
      <w:pPr>
        <w:pStyle w:val="SingleTxtG"/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>представить в своем следующем периодическом докладе информацию о мерах, принятых в целях совершенствования и осуществления законодательной базы с точки зрения недопущения дискриминации в связи с соблюдением прав трудящихся-мигрантов и членов их семей, независимо от их миграционного статуса.</w:t>
      </w:r>
    </w:p>
    <w:p w14:paraId="10B62D9C" w14:textId="77777777" w:rsidR="00454F36" w:rsidRPr="00454F36" w:rsidRDefault="00454F36" w:rsidP="00454F36">
      <w:pPr>
        <w:pStyle w:val="H23G"/>
      </w:pPr>
      <w:r w:rsidRPr="00454F36">
        <w:lastRenderedPageBreak/>
        <w:tab/>
      </w:r>
      <w:r w:rsidRPr="00454F36">
        <w:tab/>
        <w:t>Право на эффективное средство правовой защиты</w:t>
      </w:r>
    </w:p>
    <w:p w14:paraId="380080A1" w14:textId="77777777" w:rsidR="00454F36" w:rsidRPr="00454F36" w:rsidRDefault="00454F36" w:rsidP="00454F36">
      <w:pPr>
        <w:pStyle w:val="SingleTxtG"/>
      </w:pPr>
      <w:r w:rsidRPr="00454F36">
        <w:t>35.</w:t>
      </w:r>
      <w:r w:rsidRPr="00454F36">
        <w:tab/>
        <w:t>Комитет отмечает, что в Законе о занятости № 17 от 2010 года предусмотрены механизмы урегулирования трудовых споров и запрет на дискриминацию по ряду признаков. Тем не менее он глубоко обеспокоен широко распространенной безнаказанностью за нарушения прав, признанных в Конвенции, и тем, что трудящиеся-мигранты, включая тех, кто подвергается эксплуатации, трудящихся-мигрантов с неурегулированным статусом и жертв торговли людьми, могут оказаться не в состоянии добиться справедливости в случае нарушения их прав вследствие отсутствия независимости у судебной системы, опасности произвольного задержания или опасения быть задержанными либо высланными по причине неурегулированного статуса при въезде в страну и во время их пребывания в ней.</w:t>
      </w:r>
    </w:p>
    <w:p w14:paraId="06537ADB" w14:textId="77777777" w:rsidR="00454F36" w:rsidRPr="00BD6ADB" w:rsidRDefault="00454F36" w:rsidP="00454F36">
      <w:pPr>
        <w:pStyle w:val="SingleTxtG"/>
        <w:rPr>
          <w:b/>
          <w:bCs/>
        </w:rPr>
      </w:pPr>
      <w:r w:rsidRPr="00454F36">
        <w:t>36.</w:t>
      </w:r>
      <w:r w:rsidRPr="00454F36">
        <w:tab/>
      </w:r>
      <w:r w:rsidRPr="00454F36">
        <w:rPr>
          <w:b/>
          <w:bCs/>
        </w:rPr>
        <w:t>Подтверждая свои предыдущие рекомендации</w:t>
      </w:r>
      <w:r w:rsidRPr="00454F36">
        <w:rPr>
          <w:rStyle w:val="aa"/>
        </w:rPr>
        <w:footnoteReference w:id="14"/>
      </w:r>
      <w:r w:rsidRPr="00454F36">
        <w:rPr>
          <w:b/>
          <w:bCs/>
        </w:rPr>
        <w:t>, Комитет рекомендует государству-участнику:</w:t>
      </w:r>
    </w:p>
    <w:p w14:paraId="4B9CD948" w14:textId="7665D48C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a)</w:t>
      </w:r>
      <w:r w:rsidRPr="00454F36">
        <w:rPr>
          <w:b/>
          <w:bCs/>
        </w:rPr>
        <w:tab/>
        <w:t>обеспечивать в законодательстве и на практике равные с гражданами государства-участника возможности для трудящихся-мигрантов и членов их семей и независимо от их статуса подавать жалобы и добиваться эффективного восстановления своих прав в судах, в том числе путем пересмотра законов, с тем чтобы гарантировать принцип разделения властей и независимость судей и адвокатов, а также проводить эффективное расследование, когда государству-участнику сообщают о преступлениях и нарушениях прав;</w:t>
      </w:r>
    </w:p>
    <w:p w14:paraId="5B48820F" w14:textId="3B97E4C3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>оказывать жертвам помощь путем предоставления им юридической защиты и услуг переводчиков, соблюдать их право на рассмотрение дел в индивидуальном порядке, проводить собеседования с учетом гендерных аспектов, гарантировать им право на возможность обжалования и предоставлять жертвам возмещение ущерба и/или компенсацию;</w:t>
      </w:r>
      <w:r w:rsidRPr="00454F36">
        <w:t xml:space="preserve"> </w:t>
      </w:r>
    </w:p>
    <w:p w14:paraId="07B270AA" w14:textId="05C57CAD" w:rsidR="00454F36" w:rsidRPr="00454F36" w:rsidRDefault="000B5147" w:rsidP="00454F36">
      <w:pPr>
        <w:pStyle w:val="SingleTxtG"/>
        <w:rPr>
          <w:b/>
          <w:bCs/>
        </w:rPr>
      </w:pPr>
      <w:r>
        <w:rPr>
          <w:b/>
          <w:bCs/>
        </w:rPr>
        <w:tab/>
      </w:r>
      <w:r w:rsidR="00454F36" w:rsidRPr="00454F36">
        <w:rPr>
          <w:b/>
          <w:bCs/>
        </w:rPr>
        <w:t>c)</w:t>
      </w:r>
      <w:r w:rsidR="00454F36" w:rsidRPr="00454F36">
        <w:rPr>
          <w:b/>
          <w:bCs/>
        </w:rPr>
        <w:tab/>
        <w:t>обеспечивать трудящимся-мигрантам и членам их семей доступ к системе правосудия и правоохранительным службам, не вызывая у них опасения подвергнуться аресту, задержанию или высылке.</w:t>
      </w:r>
    </w:p>
    <w:p w14:paraId="6398DCDB" w14:textId="55279843" w:rsidR="00454F36" w:rsidRPr="00454F36" w:rsidRDefault="00454F36" w:rsidP="00454F36">
      <w:pPr>
        <w:pStyle w:val="H23G"/>
      </w:pPr>
      <w:r>
        <w:tab/>
      </w:r>
      <w:r w:rsidRPr="00454F36">
        <w:t>3.</w:t>
      </w:r>
      <w:r w:rsidRPr="00454F36">
        <w:tab/>
      </w:r>
      <w:r w:rsidRPr="00454F36">
        <w:tab/>
        <w:t>Права человека всех трудящихся-мигрантов и членов их семей (ст. 8–35)</w:t>
      </w:r>
    </w:p>
    <w:p w14:paraId="7A5DB91D" w14:textId="331A7D54" w:rsidR="00454F36" w:rsidRPr="00454F36" w:rsidRDefault="00454F36" w:rsidP="00454F36">
      <w:pPr>
        <w:pStyle w:val="H23G"/>
      </w:pPr>
      <w:r w:rsidRPr="00454F36">
        <w:tab/>
      </w:r>
      <w:r>
        <w:tab/>
      </w:r>
      <w:r w:rsidRPr="00454F36">
        <w:tab/>
        <w:t xml:space="preserve">Защита от насилия, угроз и запугивания </w:t>
      </w:r>
    </w:p>
    <w:p w14:paraId="78937B87" w14:textId="24ADB7C7" w:rsidR="00454F36" w:rsidRPr="00454F36" w:rsidRDefault="00454F36" w:rsidP="00454F36">
      <w:pPr>
        <w:pStyle w:val="SingleTxtG"/>
      </w:pPr>
      <w:r w:rsidRPr="00454F36">
        <w:t>37.</w:t>
      </w:r>
      <w:r w:rsidRPr="00454F36">
        <w:tab/>
        <w:t>Комитет принимает к сведению, что акты пыток и другие формы неправомерного обращения запрещены статьей 53 Конституции и криминализированы статьей 391 Уголовного кодекса, а также статьей 216 Военного кодекса и что в статье</w:t>
      </w:r>
      <w:r w:rsidR="000B5147">
        <w:t> </w:t>
      </w:r>
      <w:r w:rsidRPr="00454F36">
        <w:t>53 Конституции, Уголовно-процессуальном кодексе и других соответствующих законах содержатся определенные гарантии против насильственных исчезновений, которые в национальном законодательстве определяются как похищение. Вместе с тем Комитет серьезно обеспокоен:</w:t>
      </w:r>
    </w:p>
    <w:p w14:paraId="4CF6DCC2" w14:textId="0E522812" w:rsidR="00454F36" w:rsidRPr="00454F36" w:rsidRDefault="000B5147" w:rsidP="00454F36">
      <w:pPr>
        <w:pStyle w:val="SingleTxtG"/>
      </w:pPr>
      <w:r>
        <w:tab/>
      </w:r>
      <w:r w:rsidR="00454F36" w:rsidRPr="00454F36">
        <w:t>a)</w:t>
      </w:r>
      <w:r w:rsidR="00454F36" w:rsidRPr="00454F36">
        <w:tab/>
        <w:t>применением к трудящимся-мигрантам, беженцам и просителям убежища пыток, включая сексуальное насилие, или насильственных исчезновений по возвращении в государство-участник, в том числе после принятия законов об амнистии для поощрения их возвращения;</w:t>
      </w:r>
    </w:p>
    <w:p w14:paraId="357FDBEA" w14:textId="00D7EDF2" w:rsidR="00454F36" w:rsidRPr="00454F36" w:rsidRDefault="000B5147" w:rsidP="00454F36">
      <w:pPr>
        <w:pStyle w:val="SingleTxtG"/>
      </w:pPr>
      <w:r>
        <w:tab/>
      </w:r>
      <w:r w:rsidR="00454F36" w:rsidRPr="00454F36">
        <w:t>b)</w:t>
      </w:r>
      <w:r w:rsidR="00454F36" w:rsidRPr="00454F36">
        <w:tab/>
        <w:t xml:space="preserve">повсеместной безнаказанностью государственных должностных лиц за незаконные убийства, акты пыток, неправомерное обращение и насильственные исчезновения. </w:t>
      </w:r>
    </w:p>
    <w:p w14:paraId="052466E5" w14:textId="77777777" w:rsidR="00454F36" w:rsidRPr="00454F36" w:rsidRDefault="00454F36" w:rsidP="00454F36">
      <w:pPr>
        <w:pStyle w:val="SingleTxtG"/>
        <w:rPr>
          <w:b/>
          <w:bCs/>
        </w:rPr>
      </w:pPr>
      <w:r w:rsidRPr="00454F36">
        <w:t>38.</w:t>
      </w:r>
      <w:r w:rsidRPr="00454F36">
        <w:tab/>
      </w:r>
      <w:r w:rsidRPr="00454F36">
        <w:rPr>
          <w:b/>
          <w:bCs/>
        </w:rPr>
        <w:t>Комитет настоятельно призывает государство-участник:</w:t>
      </w:r>
      <w:r w:rsidRPr="00454F36">
        <w:t xml:space="preserve"> </w:t>
      </w:r>
    </w:p>
    <w:p w14:paraId="608C0C39" w14:textId="240375F1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a)</w:t>
      </w:r>
      <w:r w:rsidRPr="00454F36">
        <w:rPr>
          <w:b/>
          <w:bCs/>
        </w:rPr>
        <w:tab/>
        <w:t xml:space="preserve">решительно обеспечивать применение Уголовного кодекса в отношении преступлений, совершенных против трудящихся-мигрантов и членов </w:t>
      </w:r>
      <w:r w:rsidRPr="00454F36">
        <w:rPr>
          <w:b/>
          <w:bCs/>
        </w:rPr>
        <w:lastRenderedPageBreak/>
        <w:t xml:space="preserve">их семей, обеспечивать тщательное расследование этих действий и назначать наказания, соразмерные тяжести совершенного преступления; </w:t>
      </w:r>
    </w:p>
    <w:p w14:paraId="77BDC6E9" w14:textId="33D0539A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>принять безотлагательные и решительные меры для обеспечения того, чтобы государственные должностные лица были лишены возможности совершать преступления против мигрантов, и защищать мигрантов от актов пыток и всех форм неправомерного обращения и насильственного исчезновения;</w:t>
      </w:r>
      <w:r w:rsidRPr="00454F36">
        <w:t xml:space="preserve"> </w:t>
      </w:r>
    </w:p>
    <w:p w14:paraId="4684E18A" w14:textId="5A24057F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c)</w:t>
      </w:r>
      <w:r w:rsidRPr="00454F36">
        <w:tab/>
      </w:r>
      <w:r w:rsidRPr="00454F36">
        <w:rPr>
          <w:b/>
          <w:bCs/>
        </w:rPr>
        <w:t>обеспечивать выявление жертв и их передачу под защиту служб, учитывающих гендерные аспекты и интересы детей, в том числе служб по оказанию медицинской и психологической помощи;</w:t>
      </w:r>
    </w:p>
    <w:p w14:paraId="72CD3F93" w14:textId="7E32DA9F" w:rsidR="00454F36" w:rsidRPr="00454F36" w:rsidRDefault="00454F36" w:rsidP="00454F36">
      <w:pPr>
        <w:pStyle w:val="SingleTxtG"/>
        <w:rPr>
          <w:b/>
          <w:bCs/>
        </w:rPr>
      </w:pPr>
      <w:r>
        <w:rPr>
          <w:b/>
          <w:bCs/>
        </w:rPr>
        <w:tab/>
      </w:r>
      <w:r w:rsidRPr="00454F36">
        <w:rPr>
          <w:b/>
          <w:bCs/>
        </w:rPr>
        <w:t>d</w:t>
      </w:r>
      <w:r w:rsidRPr="00454F36">
        <w:t>)</w:t>
      </w:r>
      <w:r w:rsidRPr="00454F36">
        <w:tab/>
      </w:r>
      <w:r w:rsidRPr="00454F36">
        <w:rPr>
          <w:b/>
          <w:bCs/>
        </w:rPr>
        <w:t xml:space="preserve">принять всеобъемлющие меры по оказанию помощи, защите и реабилитации трудящихся-мигрантов и членов их семей, ставших жертвами тяжких преступлений, включая изнасилования и другие формы сексуального насилия, разыскивать, устанавливать местонахождение и освобождать мигрантов, подвергшихся исчезновению, а в случае смерти </w:t>
      </w:r>
      <w:r w:rsidR="006C0ACE" w:rsidRPr="006C0ACE">
        <w:rPr>
          <w:b/>
          <w:bCs/>
        </w:rPr>
        <w:t>—</w:t>
      </w:r>
      <w:r w:rsidRPr="00454F36">
        <w:rPr>
          <w:b/>
          <w:bCs/>
        </w:rPr>
        <w:t xml:space="preserve"> эксгумировать и идентифицировать останки исчезнувших лиц и организовать их достойное возвращение;</w:t>
      </w:r>
    </w:p>
    <w:p w14:paraId="470CDF71" w14:textId="4E5BE1FF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e)</w:t>
      </w:r>
      <w:r w:rsidRPr="00454F36">
        <w:rPr>
          <w:b/>
          <w:bCs/>
        </w:rPr>
        <w:tab/>
        <w:t>ратифицировать Факультативный протокол к Конвенции против пыток и других жестоких, бесчеловечных или унижающих достоинство видов обращения и наказания.</w:t>
      </w:r>
    </w:p>
    <w:p w14:paraId="53E4C166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 xml:space="preserve">Трудовая эксплуатация и другие формы неправомерного обращения </w:t>
      </w:r>
    </w:p>
    <w:p w14:paraId="09DC4D9C" w14:textId="24CCF820" w:rsidR="00454F36" w:rsidRPr="00454F36" w:rsidRDefault="00454F36" w:rsidP="00454F36">
      <w:pPr>
        <w:pStyle w:val="SingleTxtG"/>
      </w:pPr>
      <w:r w:rsidRPr="00454F36">
        <w:t>39.</w:t>
      </w:r>
      <w:r w:rsidRPr="00454F36">
        <w:tab/>
        <w:t>Комитет с признательностью отмечает принятие Закона о детях № 21 от 2021</w:t>
      </w:r>
      <w:r w:rsidR="000B5147">
        <w:t> </w:t>
      </w:r>
      <w:r w:rsidRPr="00454F36">
        <w:t>года и национального плана по сокращению масштабов детского труда и ликвидации наихудших форм детского труда, которые обеспечивают защиту от детского труда, в том числе в интересах детей-мигрантов, например путем установления минимального возраста для найма на работу в 15 лет. Вместе с тем Комитет глубоко обеспокоен:</w:t>
      </w:r>
    </w:p>
    <w:p w14:paraId="639A0E32" w14:textId="1D9A834C" w:rsidR="00454F36" w:rsidRPr="00454F36" w:rsidRDefault="00454F36" w:rsidP="00454F36">
      <w:pPr>
        <w:pStyle w:val="SingleTxtG"/>
      </w:pPr>
      <w:r>
        <w:tab/>
      </w:r>
      <w:r w:rsidRPr="00454F36">
        <w:t>a)</w:t>
      </w:r>
      <w:r w:rsidRPr="00454F36">
        <w:tab/>
        <w:t>распространенностью детского труда, в том числе в опасных и уязвимых условиях, а также случаями сексуальной эксплуатации, которые усугубились в результате вооруженного конфликта и затронули как детей-мигрантов в государстве-участнике, так и сирийских детей в соседних странах;</w:t>
      </w:r>
    </w:p>
    <w:p w14:paraId="281F7AAB" w14:textId="4BABBE6B" w:rsidR="00454F36" w:rsidRPr="00454F36" w:rsidRDefault="00454F36" w:rsidP="00454F36">
      <w:pPr>
        <w:pStyle w:val="SingleTxtG"/>
      </w:pPr>
      <w:r>
        <w:tab/>
      </w:r>
      <w:r w:rsidRPr="00454F36">
        <w:t>b)</w:t>
      </w:r>
      <w:r w:rsidRPr="00454F36">
        <w:tab/>
        <w:t>сообщениями об иностранных трудящихся-мигрантах, работающих контракта в государстве-участнике без официального, что приводит к эксплуататорским условиям труда, в частности в секторе безопасности.</w:t>
      </w:r>
    </w:p>
    <w:p w14:paraId="5AB1B82E" w14:textId="77777777" w:rsidR="00454F36" w:rsidRPr="00454F36" w:rsidRDefault="00454F36" w:rsidP="00454F36">
      <w:pPr>
        <w:pStyle w:val="SingleTxtG"/>
        <w:rPr>
          <w:b/>
          <w:bCs/>
        </w:rPr>
      </w:pPr>
      <w:r w:rsidRPr="00454F36">
        <w:t>40.</w:t>
      </w:r>
      <w:r w:rsidRPr="00454F36">
        <w:tab/>
      </w:r>
      <w:r w:rsidRPr="00454F36">
        <w:rPr>
          <w:b/>
          <w:bCs/>
        </w:rPr>
        <w:t>В соответствии с задачами 8.7 и 16.2 целей в области устойчивого развития Комитет рекомендует государству-участнику:</w:t>
      </w:r>
      <w:r w:rsidRPr="00454F36">
        <w:t xml:space="preserve"> </w:t>
      </w:r>
    </w:p>
    <w:p w14:paraId="6EF3902E" w14:textId="16B4F779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a)</w:t>
      </w:r>
      <w:r w:rsidRPr="00454F36">
        <w:rPr>
          <w:b/>
          <w:bCs/>
        </w:rPr>
        <w:tab/>
        <w:t xml:space="preserve">увеличить количество проводимых по собственной инициативе и необъявленных проверок трудовой инспекцией, например, в неформальном секторе экономики и секторе безопасности, а также привлекать к ответственности, наказывать и подвергать санкциям отдельных лиц или группы лиц, которые эксплуатируют трудящихся-мигрантов, в частности детей, или принуждают их к труду и злоупотребляют их положением, особенно в неформальном секторе экономики и в секторе безопасности, или сексуальной эксплуатации; </w:t>
      </w:r>
    </w:p>
    <w:p w14:paraId="10EF1BE4" w14:textId="0F2D40FB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>эффективно осуществлять национальный план по сокращению масштабов детского труда и ликвидации наихудших форм детского труда, пользуясь технической помощью МОТ и Детского фонда Организации Объединенных Наций, и предоставлять надлежащую помощь, защиту и реабилитацию, включая психосоциальную реабилитацию, трудящимся-мигрантам, в частности детям, которые стали жертвами трудовой и других форм эксплуатации;</w:t>
      </w:r>
    </w:p>
    <w:p w14:paraId="400DB1F3" w14:textId="57362EBC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c)</w:t>
      </w:r>
      <w:r w:rsidRPr="00454F36">
        <w:rPr>
          <w:b/>
          <w:bCs/>
        </w:rPr>
        <w:tab/>
        <w:t xml:space="preserve">собирать информацию о масштабах детского труда, в том числе детей-мигрантов, в государстве-участнике и за рубежом для обеспечения соблюдения своей законодательной и политической базы, а также своих </w:t>
      </w:r>
      <w:r w:rsidRPr="00454F36">
        <w:rPr>
          <w:b/>
          <w:bCs/>
        </w:rPr>
        <w:lastRenderedPageBreak/>
        <w:t>обязательств по Конвенции МОТ о принудительном или обязательном труде 1930</w:t>
      </w:r>
      <w:r w:rsidR="000B5147">
        <w:rPr>
          <w:b/>
          <w:bCs/>
        </w:rPr>
        <w:t> </w:t>
      </w:r>
      <w:r w:rsidRPr="00454F36">
        <w:rPr>
          <w:b/>
          <w:bCs/>
        </w:rPr>
        <w:t>года (№ 29), Конвенции МОТ об упразднении принудительного труда 1957</w:t>
      </w:r>
      <w:r w:rsidR="000B5147">
        <w:rPr>
          <w:b/>
          <w:bCs/>
        </w:rPr>
        <w:t> </w:t>
      </w:r>
      <w:r w:rsidRPr="00454F36">
        <w:rPr>
          <w:b/>
          <w:bCs/>
        </w:rPr>
        <w:t>года (№ 105) и Конвенции МОТ о наихудших формах детского труда 1999</w:t>
      </w:r>
      <w:r w:rsidR="000B5147">
        <w:rPr>
          <w:b/>
          <w:bCs/>
        </w:rPr>
        <w:t> </w:t>
      </w:r>
      <w:r w:rsidRPr="00454F36">
        <w:rPr>
          <w:b/>
          <w:bCs/>
        </w:rPr>
        <w:t>года (№ 182).</w:t>
      </w:r>
    </w:p>
    <w:p w14:paraId="687092FD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>Надлежащая правовая процедура, задержание, равенство перед судом и условия содержания под стражей</w:t>
      </w:r>
    </w:p>
    <w:p w14:paraId="41C3DA56" w14:textId="77777777" w:rsidR="00454F36" w:rsidRPr="00454F36" w:rsidRDefault="00454F36" w:rsidP="00454F36">
      <w:pPr>
        <w:pStyle w:val="SingleTxtG"/>
      </w:pPr>
      <w:r w:rsidRPr="00454F36">
        <w:t>41.</w:t>
      </w:r>
      <w:r w:rsidRPr="00454F36">
        <w:tab/>
        <w:t>Комитет отмечает, что в статье 53 Конституции и Уголовно-процессуальном кодексе, а также в других соответствующих законодательных актах содержатся определенные гарантии против произвольного ареста, задержания и насильственных исчезновений или похищений, и что гуманитарные организации имею возможность посещать центры временного содержания. Вместе с тем Комитет серьезно обеспокоен:</w:t>
      </w:r>
    </w:p>
    <w:p w14:paraId="119BFAB3" w14:textId="2E2CE749" w:rsidR="00454F36" w:rsidRPr="00454F36" w:rsidRDefault="00454F36" w:rsidP="00454F36">
      <w:pPr>
        <w:pStyle w:val="SingleTxtG"/>
      </w:pPr>
      <w:r>
        <w:tab/>
      </w:r>
      <w:r w:rsidRPr="00454F36">
        <w:t>a)</w:t>
      </w:r>
      <w:r w:rsidRPr="00454F36">
        <w:tab/>
        <w:t>сообщениями о произвольном задержании трудящихся-мигрантов, беженцев и просителей убежища, после их возвращения из зарубежных стран, в том числе после принятия законов об амнистии для поощрения их возвращения, а также членов их семей, оставшихся в стране;</w:t>
      </w:r>
    </w:p>
    <w:p w14:paraId="27ED5642" w14:textId="0BB19511" w:rsidR="00454F36" w:rsidRPr="00454F36" w:rsidRDefault="00454F36" w:rsidP="00454F36">
      <w:pPr>
        <w:pStyle w:val="SingleTxtG"/>
      </w:pPr>
      <w:r>
        <w:tab/>
      </w:r>
      <w:r w:rsidRPr="00454F36">
        <w:t>b)</w:t>
      </w:r>
      <w:r w:rsidRPr="00454F36">
        <w:tab/>
        <w:t>полученной им информацией о случаях смерти и насилия в центрах временного содержания иммигрантов;</w:t>
      </w:r>
    </w:p>
    <w:p w14:paraId="5712E26A" w14:textId="48E32BAB" w:rsidR="00454F36" w:rsidRPr="00454F36" w:rsidRDefault="00454F36" w:rsidP="00454F36">
      <w:pPr>
        <w:pStyle w:val="SingleTxtG"/>
      </w:pPr>
      <w:r>
        <w:tab/>
      </w:r>
      <w:r w:rsidRPr="00454F36">
        <w:t>c)</w:t>
      </w:r>
      <w:r w:rsidRPr="00454F36">
        <w:tab/>
        <w:t>главой VIII Закона о въезде иностранцев в Сирийскую Арабскую Республику, их выезде из нее и проживании в ней №</w:t>
      </w:r>
      <w:r w:rsidR="00573D87">
        <w:t> </w:t>
      </w:r>
      <w:r w:rsidRPr="00454F36">
        <w:t>2 от 2014 года, предусматривающей уголовные санкции, включая тюремное заключение, задержание и высылку за незаконный въезд, пребывание в стране и выезд из нее;</w:t>
      </w:r>
    </w:p>
    <w:p w14:paraId="0A84DE71" w14:textId="2A58973C" w:rsidR="00454F36" w:rsidRPr="00454F36" w:rsidRDefault="00454F36" w:rsidP="00454F36">
      <w:pPr>
        <w:pStyle w:val="SingleTxtG"/>
      </w:pPr>
      <w:r>
        <w:tab/>
      </w:r>
      <w:r w:rsidRPr="00454F36">
        <w:t>d)</w:t>
      </w:r>
      <w:r w:rsidRPr="00454F36">
        <w:tab/>
        <w:t>статьей 26 Закона № 2 от 2014 года, предусматривающей задержание иностранцев до высылки по усмотрению Министра внутренних дел без каких-либо определенных законодательством критериев в отношении обстоятельств, при которых может быть отдано распоряжение о задержании иммигрантов, кроме расплывчатого критерия, связанного с «требованиями безопасности и общественных интересов»;</w:t>
      </w:r>
    </w:p>
    <w:p w14:paraId="2656580A" w14:textId="23AE9F02" w:rsidR="00454F36" w:rsidRPr="00454F36" w:rsidRDefault="00454F36" w:rsidP="00454F36">
      <w:pPr>
        <w:pStyle w:val="SingleTxtG"/>
      </w:pPr>
      <w:r>
        <w:tab/>
      </w:r>
      <w:r w:rsidRPr="00454F36">
        <w:t>e)</w:t>
      </w:r>
      <w:r w:rsidRPr="00454F36">
        <w:tab/>
        <w:t>отсутствием в Законе № 2 от 2014 года права на обжалование решений, связанных с административным задержанием мигрантов;</w:t>
      </w:r>
    </w:p>
    <w:p w14:paraId="597C39F1" w14:textId="7D16CAC4" w:rsidR="00454F36" w:rsidRPr="00454F36" w:rsidRDefault="00454F36" w:rsidP="00454F36">
      <w:pPr>
        <w:pStyle w:val="SingleTxtG"/>
      </w:pPr>
      <w:r>
        <w:tab/>
      </w:r>
      <w:r w:rsidRPr="00454F36">
        <w:t>f)</w:t>
      </w:r>
      <w:r w:rsidRPr="00454F36">
        <w:tab/>
        <w:t>отсутствием в Законе № 2 от 2014 года запрета на помещение детей и других уязвимых групп мигрантов в центры временного содержания мигрантов;</w:t>
      </w:r>
    </w:p>
    <w:p w14:paraId="0DC7C93E" w14:textId="6E6DC680" w:rsidR="00454F36" w:rsidRPr="00454F36" w:rsidRDefault="00454F36" w:rsidP="00454F36">
      <w:pPr>
        <w:pStyle w:val="SingleTxtG"/>
      </w:pPr>
      <w:r>
        <w:tab/>
      </w:r>
      <w:r w:rsidRPr="00454F36">
        <w:t>g)</w:t>
      </w:r>
      <w:r w:rsidRPr="00454F36">
        <w:tab/>
        <w:t>сообщениями о плачевных условиях содержания в тюрьмах, центрах временного содержания и лагерях для интернированных, которые могут быть равносильны жестокому, бесчеловечному или унижающему достоинство обращению.</w:t>
      </w:r>
    </w:p>
    <w:p w14:paraId="447FF836" w14:textId="4AEE32A5" w:rsidR="00454F36" w:rsidRPr="00454F36" w:rsidRDefault="00454F36" w:rsidP="00454F36">
      <w:pPr>
        <w:pStyle w:val="SingleTxtG"/>
        <w:rPr>
          <w:b/>
          <w:bCs/>
        </w:rPr>
      </w:pPr>
      <w:r w:rsidRPr="00454F36">
        <w:t>42.</w:t>
      </w:r>
      <w:r w:rsidRPr="00454F36">
        <w:tab/>
      </w:r>
      <w:r w:rsidRPr="00454F36">
        <w:rPr>
          <w:b/>
          <w:bCs/>
        </w:rPr>
        <w:t>В соответствии со своим замечанием общего порядка № 5 (2021) и совместными замечаниями общего порядка №</w:t>
      </w:r>
      <w:r w:rsidR="000B5147">
        <w:rPr>
          <w:b/>
          <w:bCs/>
        </w:rPr>
        <w:t>№</w:t>
      </w:r>
      <w:r w:rsidRPr="00454F36">
        <w:rPr>
          <w:b/>
          <w:bCs/>
        </w:rPr>
        <w:t xml:space="preserve"> 3 и 4 Комитета/№</w:t>
      </w:r>
      <w:r w:rsidR="000B5147">
        <w:rPr>
          <w:b/>
          <w:bCs/>
        </w:rPr>
        <w:t>№</w:t>
      </w:r>
      <w:r w:rsidRPr="00454F36">
        <w:rPr>
          <w:b/>
          <w:bCs/>
        </w:rPr>
        <w:t xml:space="preserve"> 22 и 23 Комитета по правам ребенка (2017) о</w:t>
      </w:r>
      <w:r w:rsidRPr="00454F36">
        <w:t xml:space="preserve"> </w:t>
      </w:r>
      <w:r w:rsidRPr="00454F36">
        <w:rPr>
          <w:b/>
          <w:bCs/>
        </w:rPr>
        <w:t>правах человека детей в контексте международной миграции Комитет рекомендует государству-участнику:</w:t>
      </w:r>
      <w:r w:rsidRPr="00454F36">
        <w:t xml:space="preserve"> </w:t>
      </w:r>
    </w:p>
    <w:p w14:paraId="7C61FB4B" w14:textId="0464FBBD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a)</w:t>
      </w:r>
      <w:r w:rsidRPr="00454F36">
        <w:rPr>
          <w:b/>
          <w:bCs/>
        </w:rPr>
        <w:tab/>
        <w:t>освободить всех произвольно задержанных мигрантов и эффективно расследовать и преследовать в судебном порядке все случаи произвольного задержания, насилия, других нарушений прав человека и смерти задержанных мигрантов и обеспечить на систематической основе обязательное обучение по вопросам прав человека, гендерного равенства, наилучшего обеспечения интересов ребенка и недискриминации всех государственных должностных лиц, имеющих дело с мигрантами, с целью предотвращения подобных нарушений;</w:t>
      </w:r>
    </w:p>
    <w:p w14:paraId="55F2579E" w14:textId="311A300B" w:rsidR="00454F36" w:rsidRPr="00454F36" w:rsidRDefault="00454F36" w:rsidP="00454F36">
      <w:pPr>
        <w:pStyle w:val="SingleTxtG"/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>декриминализировать неурегулированный миграционный статус,</w:t>
      </w:r>
      <w:r w:rsidRPr="00454F36">
        <w:t xml:space="preserve"> </w:t>
      </w:r>
      <w:r w:rsidRPr="00454F36">
        <w:rPr>
          <w:b/>
          <w:bCs/>
        </w:rPr>
        <w:t>принять меры по поэтапному сокращению количества иммигрантов в центрах временного содержания</w:t>
      </w:r>
      <w:r w:rsidRPr="00454F36">
        <w:t xml:space="preserve"> </w:t>
      </w:r>
      <w:r w:rsidRPr="00454F36">
        <w:rPr>
          <w:b/>
          <w:bCs/>
        </w:rPr>
        <w:t>и в конечном счете прекращению их содержания в таких центрах, а также ввести в законодательство презумпцию против их помещения в центры временного содержания</w:t>
      </w:r>
      <w:r w:rsidRPr="00454F36">
        <w:t xml:space="preserve"> </w:t>
      </w:r>
      <w:r w:rsidRPr="00454F36">
        <w:rPr>
          <w:b/>
          <w:bCs/>
        </w:rPr>
        <w:t>и, следовательно, в пользу их нахождения на свободе;</w:t>
      </w:r>
      <w:r w:rsidRPr="00454F36">
        <w:t xml:space="preserve"> </w:t>
      </w:r>
    </w:p>
    <w:p w14:paraId="4D182D7A" w14:textId="4E0F2BD7" w:rsid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c)</w:t>
      </w:r>
      <w:r w:rsidRPr="00454F36">
        <w:rPr>
          <w:b/>
          <w:bCs/>
        </w:rPr>
        <w:tab/>
        <w:t xml:space="preserve">незамедлительно прекратить практику помещения в центры временного содержания детей-мигрантов, будь они несопровождаемыми, </w:t>
      </w:r>
      <w:r w:rsidRPr="00454F36">
        <w:rPr>
          <w:b/>
          <w:bCs/>
        </w:rPr>
        <w:lastRenderedPageBreak/>
        <w:t>разлученными со своими родителями или вместе со своими семьями, и других уязвимых групп трудящихся-мигрантов и членов их семей, а также просителей убежища и беженцев;</w:t>
      </w:r>
    </w:p>
    <w:p w14:paraId="33957C6F" w14:textId="460BFBCA" w:rsidR="00454F36" w:rsidRPr="00454F36" w:rsidRDefault="00454F36" w:rsidP="00573D87">
      <w:pPr>
        <w:pStyle w:val="SingleTxtG"/>
        <w:rPr>
          <w:b/>
          <w:bCs/>
        </w:rPr>
      </w:pPr>
      <w:r w:rsidRPr="00454F36">
        <w:rPr>
          <w:b/>
          <w:bCs/>
        </w:rPr>
        <w:tab/>
        <w:t>d)</w:t>
      </w:r>
      <w:r w:rsidRPr="00454F36">
        <w:rPr>
          <w:b/>
          <w:bCs/>
        </w:rPr>
        <w:tab/>
        <w:t>обеспечить, чтобы:</w:t>
      </w:r>
    </w:p>
    <w:p w14:paraId="08D3835F" w14:textId="103A9E50" w:rsidR="00454F36" w:rsidRPr="00454F36" w:rsidRDefault="00454F36" w:rsidP="00454F36">
      <w:pPr>
        <w:pStyle w:val="SingleTxtG"/>
        <w:ind w:left="1701"/>
        <w:rPr>
          <w:b/>
          <w:bCs/>
        </w:rPr>
      </w:pPr>
      <w:r w:rsidRPr="00454F36">
        <w:rPr>
          <w:b/>
          <w:bCs/>
        </w:rPr>
        <w:t>i)</w:t>
      </w:r>
      <w:r w:rsidRPr="00454F36">
        <w:rPr>
          <w:b/>
          <w:bCs/>
        </w:rPr>
        <w:tab/>
        <w:t>во всех других случаях содержание мигрантов под стражей являлось исключительной, крайней, преследующей законную цель, необходимой и соразмерной мерой и применялось в течение как можно более короткого периода времени;</w:t>
      </w:r>
    </w:p>
    <w:p w14:paraId="35638D35" w14:textId="33D82740" w:rsidR="00454F36" w:rsidRPr="00454F36" w:rsidRDefault="00454F36" w:rsidP="00454F36">
      <w:pPr>
        <w:pStyle w:val="SingleTxtG"/>
        <w:ind w:left="1701"/>
        <w:rPr>
          <w:b/>
          <w:bCs/>
        </w:rPr>
      </w:pPr>
      <w:r w:rsidRPr="00454F36">
        <w:rPr>
          <w:b/>
          <w:bCs/>
        </w:rPr>
        <w:t>ii)</w:t>
      </w:r>
      <w:r w:rsidRPr="00454F36">
        <w:rPr>
          <w:b/>
          <w:bCs/>
        </w:rPr>
        <w:tab/>
        <w:t>в каждом случае приводились основания для задержания с указанием конкретных причин, по которым не могут быть применены альтернативные меры;</w:t>
      </w:r>
    </w:p>
    <w:p w14:paraId="472CFED9" w14:textId="79D672E5" w:rsidR="00454F36" w:rsidRPr="00454F36" w:rsidRDefault="00454F36" w:rsidP="00454F36">
      <w:pPr>
        <w:pStyle w:val="SingleTxtG"/>
        <w:ind w:left="1701"/>
        <w:rPr>
          <w:b/>
          <w:bCs/>
        </w:rPr>
      </w:pPr>
      <w:r w:rsidRPr="00454F36">
        <w:rPr>
          <w:b/>
          <w:bCs/>
        </w:rPr>
        <w:t>iii)</w:t>
      </w:r>
      <w:r w:rsidRPr="00454F36">
        <w:rPr>
          <w:b/>
          <w:bCs/>
        </w:rPr>
        <w:tab/>
        <w:t>вопрос об обоснованности применения этой меры рассматривался в течение 24 часов независимым и беспристрастным судебным органом;</w:t>
      </w:r>
    </w:p>
    <w:p w14:paraId="2439A772" w14:textId="77777777" w:rsidR="00454F36" w:rsidRPr="00454F36" w:rsidRDefault="00454F36" w:rsidP="00454F36">
      <w:pPr>
        <w:pStyle w:val="SingleTxtG"/>
        <w:ind w:left="1701"/>
      </w:pPr>
      <w:r w:rsidRPr="00454F36">
        <w:rPr>
          <w:b/>
          <w:bCs/>
        </w:rPr>
        <w:t>iv)</w:t>
      </w:r>
      <w:r w:rsidRPr="00454F36">
        <w:rPr>
          <w:b/>
          <w:bCs/>
        </w:rPr>
        <w:tab/>
        <w:t>в соответствии с обязательствами государства-участника в области прав человека перед применением мер в виде заключения под стражу рассматривался вопрос об использовании альтернативных мер.</w:t>
      </w:r>
      <w:r w:rsidRPr="00454F36">
        <w:t xml:space="preserve"> </w:t>
      </w:r>
      <w:r w:rsidRPr="00454F36">
        <w:rPr>
          <w:b/>
          <w:bCs/>
        </w:rPr>
        <w:t>В качестве мер, альтернативных задержанию, Комитет признает все предусмотренные законодательством, политикой и практикой варианты размещения на уровне общин или в учреждениях открытого типа, которые являются менее ограничительными, по сравнению с содержанием под стражей и должны рассматриваться в контексте законных процедур принятия решения о задержании для обеспечения того, чтобы оно было во всех случаях необходимым и соразмерным, с целью соблюдения прав человека и недопущения произвольного задержания мигрантов, просителей убежища, беженцев и лиц без гражданства;</w:t>
      </w:r>
    </w:p>
    <w:p w14:paraId="52D9875F" w14:textId="3302BE2B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e)</w:t>
      </w:r>
      <w:r w:rsidRPr="00454F36">
        <w:rPr>
          <w:b/>
          <w:bCs/>
        </w:rPr>
        <w:tab/>
        <w:t>обеспечить применение к просителям убежища, и беженцам альтернативных содержанию под стражей мер и во всех случаях добровольного возвращения, а также информирование трудящихся-мигрантов и членов их семей об их правах и о процедурах в контексте задержания на понятном им языке, а также предоставление им доступа к правовой помощи, эффективным средствам правовой защиты, правосудию и консульским услугам;</w:t>
      </w:r>
    </w:p>
    <w:p w14:paraId="7E2B21DF" w14:textId="6B540FCE" w:rsidR="00454F36" w:rsidRPr="00454F36" w:rsidRDefault="00454F36" w:rsidP="00454F36">
      <w:pPr>
        <w:pStyle w:val="SingleTxtG"/>
        <w:rPr>
          <w:b/>
          <w:bCs/>
        </w:rPr>
      </w:pPr>
      <w:r w:rsidRPr="000B5147">
        <w:rPr>
          <w:b/>
          <w:bCs/>
        </w:rPr>
        <w:tab/>
      </w:r>
      <w:r w:rsidRPr="00454F36">
        <w:rPr>
          <w:b/>
          <w:bCs/>
        </w:rPr>
        <w:t>f)</w:t>
      </w:r>
      <w:r w:rsidRPr="00454F36">
        <w:rPr>
          <w:b/>
          <w:bCs/>
        </w:rPr>
        <w:tab/>
        <w:t>обеспечить, чтобы в ходе административного и судебного производства, в том числе по обвинениям, не связанным с иммиграционным статусом, мигрантам было гарантировано соблюдение надлежащей правовой процедуры и право на справедливое судебное разбирательство в судах и трибуналах наравне с гражданами государства-участника;</w:t>
      </w:r>
    </w:p>
    <w:p w14:paraId="57BF6A76" w14:textId="12EF490D" w:rsidR="00454F36" w:rsidRPr="00454F36" w:rsidRDefault="00454F36" w:rsidP="00454F36">
      <w:pPr>
        <w:pStyle w:val="SingleTxtG"/>
        <w:rPr>
          <w:b/>
          <w:bCs/>
        </w:rPr>
      </w:pPr>
      <w:r w:rsidRPr="000B5147">
        <w:rPr>
          <w:b/>
          <w:bCs/>
        </w:rPr>
        <w:tab/>
      </w:r>
      <w:r w:rsidRPr="00454F36">
        <w:rPr>
          <w:b/>
          <w:bCs/>
        </w:rPr>
        <w:t>g)</w:t>
      </w:r>
      <w:r w:rsidRPr="00454F36">
        <w:rPr>
          <w:b/>
          <w:bCs/>
        </w:rPr>
        <w:tab/>
        <w:t>в исключительных случаях, когда невозможно избежать содержания под стражей, обеспечить, чтобы все центры временного содержания иммигрантов были официально предназначены для этой цели, гарантировать надлежащие и достойные условия, включая предоставление медицинских услуг с учетом гендерных аспектов, в том числе услуг по охране сексуального и репродуктивного здоровья, психологической помощи, обеспечение водой, санитарией и гигиеной, питанием, достаточным пространством и вентиляцией, досугом и рекреационной деятельностью, а также доступом к площадкам на открытом воздухе;</w:t>
      </w:r>
    </w:p>
    <w:p w14:paraId="656413D8" w14:textId="00D22AE7" w:rsidR="00454F36" w:rsidRPr="00454F36" w:rsidRDefault="00454F36" w:rsidP="00454F36">
      <w:pPr>
        <w:pStyle w:val="SingleTxtG"/>
        <w:rPr>
          <w:b/>
          <w:bCs/>
        </w:rPr>
      </w:pPr>
      <w:r w:rsidRPr="000B5147">
        <w:rPr>
          <w:b/>
          <w:bCs/>
        </w:rPr>
        <w:tab/>
      </w:r>
      <w:r w:rsidRPr="00454F36">
        <w:rPr>
          <w:b/>
          <w:bCs/>
        </w:rPr>
        <w:t>h)</w:t>
      </w:r>
      <w:r w:rsidRPr="00454F36">
        <w:rPr>
          <w:b/>
          <w:bCs/>
        </w:rPr>
        <w:tab/>
        <w:t>обеспечить отдельное содержание задержанных женщин от мужчин, осуществление их охраны лишь надлежащим образом подготовленными сотрудниками из числа женщин, а также их защиту от сексуального и гендерного насилия и предусмотреть особые нормы для беременных и кормящих женщин;</w:t>
      </w:r>
    </w:p>
    <w:p w14:paraId="4B5A43A6" w14:textId="19C495B8" w:rsidR="00454F36" w:rsidRPr="00454F36" w:rsidRDefault="00454F36" w:rsidP="00454F36">
      <w:pPr>
        <w:pStyle w:val="SingleTxtG"/>
        <w:rPr>
          <w:b/>
          <w:bCs/>
        </w:rPr>
      </w:pPr>
      <w:r w:rsidRPr="000B5147">
        <w:rPr>
          <w:b/>
          <w:bCs/>
        </w:rPr>
        <w:tab/>
      </w:r>
      <w:r w:rsidRPr="00454F36">
        <w:rPr>
          <w:b/>
          <w:bCs/>
        </w:rPr>
        <w:t>i)</w:t>
      </w:r>
      <w:r w:rsidRPr="00454F36">
        <w:rPr>
          <w:b/>
          <w:bCs/>
        </w:rPr>
        <w:tab/>
        <w:t>укрепить механизмы регулярного мониторинга условий в центрах временного содержания мигрантов и предоставлять наблюдателям за соблюдением прав человека, включая гуманитарные агентства и неправительственные организации, возможность необъявленного и беспрепятственного доступа во все центры временного содержания мигрантов.</w:t>
      </w:r>
    </w:p>
    <w:p w14:paraId="60E20CA5" w14:textId="77777777" w:rsidR="00454F36" w:rsidRPr="00454F36" w:rsidRDefault="00454F36" w:rsidP="00454F36">
      <w:pPr>
        <w:pStyle w:val="H23G"/>
      </w:pPr>
      <w:r w:rsidRPr="00454F36">
        <w:lastRenderedPageBreak/>
        <w:tab/>
      </w:r>
      <w:r w:rsidRPr="00454F36">
        <w:tab/>
        <w:t>Высылка</w:t>
      </w:r>
    </w:p>
    <w:p w14:paraId="5B0C11DF" w14:textId="77777777" w:rsidR="00454F36" w:rsidRPr="00454F36" w:rsidRDefault="00454F36" w:rsidP="00454F36">
      <w:pPr>
        <w:pStyle w:val="SingleTxtG"/>
      </w:pPr>
      <w:r w:rsidRPr="00454F36">
        <w:t>43.</w:t>
      </w:r>
      <w:r w:rsidRPr="00454F36">
        <w:tab/>
        <w:t xml:space="preserve">Комитет принимает к сведению представленное государством-участником пояснение о том, что административные решения, включая решения о высылке, могут быть обжалованы в административных судах. Вместе с тем Комитет обеспокоен: </w:t>
      </w:r>
    </w:p>
    <w:p w14:paraId="7916827B" w14:textId="10E64BF6" w:rsidR="00454F36" w:rsidRPr="00454F36" w:rsidRDefault="00454F36" w:rsidP="00454F36">
      <w:pPr>
        <w:pStyle w:val="SingleTxtG"/>
      </w:pPr>
      <w:r>
        <w:tab/>
      </w:r>
      <w:r w:rsidRPr="00454F36">
        <w:t>a)</w:t>
      </w:r>
      <w:r w:rsidRPr="00454F36">
        <w:tab/>
        <w:t>по поводу того, что статьей 26 Закона № 2 от 2014 года решение о высылке иностранцев и регулирование процедуры высылки, включая право на обжалование, оставлено на усмотрение Министра внутренних дел без применения каких-либо критериев, определенных законодательством, относительно того, при каких обстоятельствах может быть принято решение о высылке, кроме расплывчатого критерия, связанного с «требованиями безопасности и общественных интересов»;</w:t>
      </w:r>
    </w:p>
    <w:p w14:paraId="6F98AD27" w14:textId="6DFCDE60" w:rsidR="00454F36" w:rsidRPr="00454F36" w:rsidRDefault="00454F36" w:rsidP="00454F36">
      <w:pPr>
        <w:pStyle w:val="SingleTxtG"/>
      </w:pPr>
      <w:r>
        <w:tab/>
      </w:r>
      <w:r w:rsidRPr="00454F36">
        <w:t>b)</w:t>
      </w:r>
      <w:r w:rsidRPr="00454F36">
        <w:tab/>
        <w:t>отсутствием информации о том, имеет ли подача административного обжалования автоматическое приостанавливающее действие, в какой степени трудящиеся-мигранты, подлежащие высылке, пользуются этим правом, а также о политике, направленной на обеспечение альтернатив высылке или возвращению.</w:t>
      </w:r>
    </w:p>
    <w:p w14:paraId="4F37B6C4" w14:textId="56FFC0D6" w:rsidR="00454F36" w:rsidRPr="00454F36" w:rsidRDefault="00454F36" w:rsidP="00454F36">
      <w:pPr>
        <w:pStyle w:val="SingleTxtG"/>
        <w:rPr>
          <w:b/>
          <w:bCs/>
        </w:rPr>
      </w:pPr>
      <w:r w:rsidRPr="00454F36">
        <w:t>44.</w:t>
      </w:r>
      <w:r w:rsidRPr="00454F36">
        <w:tab/>
      </w:r>
      <w:r w:rsidRPr="00454F36">
        <w:rPr>
          <w:b/>
          <w:bCs/>
        </w:rPr>
        <w:t>В соответствии с Рекомендуемыми принципами и руководящими положениями по вопросу о правах человека и торговле людьми Комитет рекомендует государству-участнику:</w:t>
      </w:r>
    </w:p>
    <w:p w14:paraId="276B51F3" w14:textId="18EC0A0E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a)</w:t>
      </w:r>
      <w:r w:rsidRPr="00454F36">
        <w:rPr>
          <w:b/>
          <w:bCs/>
        </w:rPr>
        <w:tab/>
        <w:t>предпринять необходимые законодательные шаги, с тем чтобы обжалование распоряжений о высылке в суде имело по закону автоматическое приостанавливающее действие, и гарантировать надлежащую правовую процедуру и соблюдение процессуальных гарантий, а также обеспечить трудящимся-мигрантам и членам их семей, в отношении которых осуществляется процедура высылки, возможность использовать, согласно пункту 4 статьи 22 Конвенции, свое право ходатайствовать о приостановлении решения о высылке до завершения процедуры пересмотра такого решения компетентным органом;</w:t>
      </w:r>
    </w:p>
    <w:p w14:paraId="5B339B76" w14:textId="324A7442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 xml:space="preserve">обеспечить соблюдение принципа недопустимости неправомерной высылки в любое время и в любой ситуации, а также эффективную координацию с государством происхождения или принимающим государством; </w:t>
      </w:r>
    </w:p>
    <w:p w14:paraId="65DFE2F2" w14:textId="6D5AD227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c)</w:t>
      </w:r>
      <w:r w:rsidRPr="00454F36">
        <w:rPr>
          <w:b/>
          <w:bCs/>
        </w:rPr>
        <w:tab/>
        <w:t>разработать меры политики и механизмы, призванные обеспечить альтернативы высылке или возвращению, включая процедуры предоставления убежища и международной защиты, выдачу разрешения на пребывание по гуманитарным соображениям и обычные механизмы получения постоянного статуса, которые в соответствии со статьей 69 Конвенции регулируются законом и применяются ко всем мигрантам, независимо от их миграционного статуса.</w:t>
      </w:r>
    </w:p>
    <w:p w14:paraId="59123907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>Оплата труда, условия работы и свобода передвижения</w:t>
      </w:r>
    </w:p>
    <w:p w14:paraId="2B229697" w14:textId="58E2F6FA" w:rsidR="00454F36" w:rsidRPr="00454F36" w:rsidRDefault="00454F36" w:rsidP="00454F36">
      <w:pPr>
        <w:pStyle w:val="SingleTxtG"/>
      </w:pPr>
      <w:r w:rsidRPr="00454F36">
        <w:t>45.</w:t>
      </w:r>
      <w:r w:rsidRPr="00454F36">
        <w:tab/>
        <w:t>Комитет с признательностью отмечает принятие Законодательного декрета №</w:t>
      </w:r>
      <w:r w:rsidR="00A61BA6">
        <w:t> </w:t>
      </w:r>
      <w:r w:rsidRPr="00454F36">
        <w:t xml:space="preserve">65 от 2013 года, который создает правовую основу, в том числе для трудоустройства домашних работников-мигрантов, которое ранее регулировалось исключительно договором между работодателями и домашними работниками-мигрантами, что, по сообщениям, приводило к эксплуататорским и даже рабским условиям жизни и труда. Вместе с тем Комитет обеспокоен: </w:t>
      </w:r>
    </w:p>
    <w:p w14:paraId="68F7D88C" w14:textId="5CA03D2C" w:rsidR="00454F36" w:rsidRPr="00454F36" w:rsidRDefault="00454F36" w:rsidP="00454F36">
      <w:pPr>
        <w:pStyle w:val="SingleTxtG"/>
      </w:pPr>
      <w:r>
        <w:tab/>
      </w:r>
      <w:r w:rsidRPr="00454F36">
        <w:t>a)</w:t>
      </w:r>
      <w:r w:rsidRPr="00454F36">
        <w:tab/>
        <w:t>отсутствием информации о практическом эффекте законодательных мер, регулирующих домашний труд;</w:t>
      </w:r>
    </w:p>
    <w:p w14:paraId="073B6DD2" w14:textId="0A57980E" w:rsidR="00454F36" w:rsidRPr="00454F36" w:rsidRDefault="00454F36" w:rsidP="00454F36">
      <w:pPr>
        <w:pStyle w:val="SingleTxtG"/>
      </w:pPr>
      <w:r>
        <w:tab/>
      </w:r>
      <w:r w:rsidRPr="00454F36">
        <w:t>b)</w:t>
      </w:r>
      <w:r w:rsidRPr="00454F36">
        <w:tab/>
        <w:t>отсутствием у женщин равных с мужчинами прав на свободу передвижения по территории государства-участника и выбора места жительства, что самым неблагоприятным образом сказывается на осуществлении прав, предусмотренных Конвенцией, домашними работниками-мигрантами, которые в своем большинстве являются женщинами;</w:t>
      </w:r>
    </w:p>
    <w:p w14:paraId="0DF0C78A" w14:textId="5D71071C" w:rsidR="00454F36" w:rsidRPr="00454F36" w:rsidRDefault="00454F36" w:rsidP="00454F36">
      <w:pPr>
        <w:pStyle w:val="SingleTxtG"/>
      </w:pPr>
      <w:r>
        <w:tab/>
      </w:r>
      <w:r w:rsidRPr="00454F36">
        <w:t>c)</w:t>
      </w:r>
      <w:r w:rsidRPr="00454F36">
        <w:tab/>
        <w:t xml:space="preserve">кроме того, Комитет призывает государство-участник ратифицировать </w:t>
      </w:r>
      <w:bookmarkStart w:id="2" w:name="_Hlk121565327"/>
      <w:r w:rsidRPr="00454F36">
        <w:t xml:space="preserve">Конвенцию МОТ о достойном труде домашних работников </w:t>
      </w:r>
      <w:bookmarkEnd w:id="2"/>
      <w:r w:rsidRPr="00454F36">
        <w:t>2011 года (№ 189).</w:t>
      </w:r>
    </w:p>
    <w:p w14:paraId="6923C016" w14:textId="74E7D85B" w:rsidR="00454F36" w:rsidRPr="00454F36" w:rsidRDefault="00454F36" w:rsidP="00454F36">
      <w:pPr>
        <w:pStyle w:val="SingleTxtG"/>
      </w:pPr>
      <w:r w:rsidRPr="00454F36">
        <w:lastRenderedPageBreak/>
        <w:t>46.</w:t>
      </w:r>
      <w:r w:rsidRPr="00454F36">
        <w:tab/>
      </w:r>
      <w:r w:rsidRPr="00454F36">
        <w:rPr>
          <w:b/>
          <w:bCs/>
        </w:rPr>
        <w:t>В свете своего замечания общего порядка № 1 (2011) о трудящихся-мигрантах, работающих в качестве домашней прислуги, Комитет рекомендует государству-участнику:</w:t>
      </w:r>
    </w:p>
    <w:p w14:paraId="1B8D0CB9" w14:textId="542A9596" w:rsidR="00454F36" w:rsidRPr="00454F36" w:rsidRDefault="00454F36" w:rsidP="00454F36">
      <w:pPr>
        <w:pStyle w:val="SingleTxtG"/>
      </w:pPr>
      <w:r w:rsidRPr="00454F36">
        <w:rPr>
          <w:b/>
          <w:bCs/>
        </w:rPr>
        <w:tab/>
        <w:t>a)</w:t>
      </w:r>
      <w:r w:rsidRPr="00454F36">
        <w:rPr>
          <w:b/>
          <w:bCs/>
        </w:rPr>
        <w:tab/>
        <w:t>обеспечить эффективное применение на практике законодательства, регулирующего труд домашних работников, с тем чтобы домашние работники-мигранты пользовались тем же уровнем защиты, что и национальные работники, в отношении минимальной заработной платы, продолжительности рабочего дня, дней отдыха, свободы ассоциации и других условий труда, и, в частности, чтобы оно:</w:t>
      </w:r>
    </w:p>
    <w:p w14:paraId="0D2DCAEF" w14:textId="77777777" w:rsidR="00454F36" w:rsidRPr="00454F36" w:rsidRDefault="00454F36" w:rsidP="00454F36">
      <w:pPr>
        <w:pStyle w:val="SingleTxtG"/>
        <w:ind w:left="1701"/>
        <w:rPr>
          <w:b/>
          <w:bCs/>
        </w:rPr>
      </w:pPr>
      <w:r w:rsidRPr="00454F36">
        <w:rPr>
          <w:b/>
          <w:bCs/>
        </w:rPr>
        <w:t>i)</w:t>
      </w:r>
      <w:r w:rsidRPr="00454F36">
        <w:rPr>
          <w:b/>
          <w:bCs/>
        </w:rPr>
        <w:tab/>
        <w:t>защищало права домашних работников-мигрантов на свободу передвижения и проживания, а также на сохранение своих проездных документов и удостоверений личности;</w:t>
      </w:r>
    </w:p>
    <w:p w14:paraId="30CEEF5E" w14:textId="77777777" w:rsidR="00454F36" w:rsidRPr="00454F36" w:rsidRDefault="00454F36" w:rsidP="00454F36">
      <w:pPr>
        <w:pStyle w:val="SingleTxtG"/>
        <w:ind w:left="1701"/>
        <w:rPr>
          <w:b/>
          <w:bCs/>
        </w:rPr>
      </w:pPr>
      <w:r w:rsidRPr="00454F36">
        <w:rPr>
          <w:b/>
          <w:bCs/>
        </w:rPr>
        <w:t>ii)</w:t>
      </w:r>
      <w:r w:rsidRPr="00454F36">
        <w:rPr>
          <w:b/>
          <w:bCs/>
        </w:rPr>
        <w:tab/>
        <w:t>обеспечить предоставление трудящимся-мигрантам, работающим в качестве домашней прислуги, четко оговоренных и зафиксированных в письменной форме на понятном им языке условий работы по найму с указанием их конкретных обязанностей, часов работы, вознаграждения, дней отдыха и других договорных условий работы на основе принципа свободы и справедливости, с которыми бы они были полностью согласны;</w:t>
      </w:r>
    </w:p>
    <w:p w14:paraId="0DC1BA00" w14:textId="77777777" w:rsidR="00454F36" w:rsidRPr="00454F36" w:rsidRDefault="00454F36" w:rsidP="00454F36">
      <w:pPr>
        <w:pStyle w:val="SingleTxtG"/>
        <w:ind w:left="1701"/>
        <w:rPr>
          <w:b/>
          <w:bCs/>
        </w:rPr>
      </w:pPr>
      <w:r w:rsidRPr="00454F36">
        <w:rPr>
          <w:b/>
          <w:bCs/>
        </w:rPr>
        <w:t>iii)</w:t>
      </w:r>
      <w:r w:rsidRPr="00454F36">
        <w:rPr>
          <w:b/>
          <w:bCs/>
        </w:rPr>
        <w:tab/>
        <w:t>обеспечить трудящимся-мигрантам доступ к правосудию и укрепить службы трудовой инспекции в целях эффективного мониторинга условий домашнего труда, а также для приема, расследования и рассмотрения жалоб на предполагаемые нарушения в этой области;</w:t>
      </w:r>
    </w:p>
    <w:p w14:paraId="5C09451A" w14:textId="00B98239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>ратифицировать Конвенцию МОТ о достойном труде домашних работников 2011 года (№ 189);</w:t>
      </w:r>
    </w:p>
    <w:p w14:paraId="6AACCBA3" w14:textId="67C5794E" w:rsidR="00454F36" w:rsidRPr="00454F36" w:rsidRDefault="00454F36" w:rsidP="00454F36">
      <w:pPr>
        <w:pStyle w:val="SingleTxtG"/>
      </w:pPr>
      <w:r w:rsidRPr="00454F36">
        <w:rPr>
          <w:b/>
          <w:bCs/>
        </w:rPr>
        <w:tab/>
        <w:t>c)</w:t>
      </w:r>
      <w:r w:rsidRPr="00454F36">
        <w:rPr>
          <w:b/>
          <w:bCs/>
        </w:rPr>
        <w:tab/>
        <w:t>представить соответствующую информацию, подкрепленную статистическими данными и анализом, в своем следующем периодическом докладе.</w:t>
      </w:r>
    </w:p>
    <w:p w14:paraId="020D1A37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>Социальное обеспечение</w:t>
      </w:r>
    </w:p>
    <w:p w14:paraId="4BB355F8" w14:textId="77777777" w:rsidR="00454F36" w:rsidRPr="00454F36" w:rsidRDefault="00454F36" w:rsidP="00454F36">
      <w:pPr>
        <w:pStyle w:val="SingleTxtG"/>
        <w:rPr>
          <w:b/>
        </w:rPr>
      </w:pPr>
      <w:r w:rsidRPr="00454F36">
        <w:t>47.</w:t>
      </w:r>
      <w:r w:rsidRPr="00454F36">
        <w:tab/>
        <w:t>Комитет принимает к сведению представленную ему информацию о том, что все трудящиеся-мигранты имеют право на социальное обеспечение. Однако он сожалеет по поводу отсутствия информации о некоторых аспектах осуществления этого права на практике, например, о правовых требованиях, которые должны выполнять трудящиеся-мигранты с неурегулированным статусом для получения доступа к социальному обеспечению на равных условиях с гражданами страны, а также сожалеет о том, что государство-участник заключило лишь несколько двусторонних и многосторонних соглашений о социальном обеспечении.</w:t>
      </w:r>
    </w:p>
    <w:p w14:paraId="39F5E875" w14:textId="77777777" w:rsidR="00454F36" w:rsidRPr="00454F36" w:rsidRDefault="00454F36" w:rsidP="00454F36">
      <w:pPr>
        <w:pStyle w:val="SingleTxtG"/>
        <w:rPr>
          <w:b/>
        </w:rPr>
      </w:pPr>
      <w:r w:rsidRPr="00454F36">
        <w:t>48.</w:t>
      </w:r>
      <w:r w:rsidRPr="00454F36">
        <w:tab/>
      </w:r>
      <w:r w:rsidRPr="00454F36">
        <w:rPr>
          <w:b/>
          <w:bCs/>
        </w:rPr>
        <w:t>Комитет рекомендует государству-участнику:</w:t>
      </w:r>
    </w:p>
    <w:p w14:paraId="29E3A76C" w14:textId="2C91AAF6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a)</w:t>
      </w:r>
      <w:r w:rsidRPr="00454F36">
        <w:rPr>
          <w:b/>
          <w:bCs/>
        </w:rPr>
        <w:tab/>
        <w:t xml:space="preserve">обеспечить всем трудящимся-мигрантам и членам их семей независимо от их статуса возможность присоединиться к системе социального обеспечения и их информирование о своих правах в этой связи; </w:t>
      </w:r>
    </w:p>
    <w:p w14:paraId="1D9AA8B0" w14:textId="6B5879A7" w:rsidR="00454F36" w:rsidRPr="00454F36" w:rsidRDefault="00454F36" w:rsidP="00454F36">
      <w:pPr>
        <w:pStyle w:val="SingleTxtG"/>
        <w:rPr>
          <w:b/>
        </w:rPr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>заключить учитывающие гендерные аспекты и недискриминационные двусторонние и многосторонние соглашения о социальном обеспечении со всеми странами назначения, с тем чтобы гарантировать социальную защиту трудящихся-мигрантов.</w:t>
      </w:r>
    </w:p>
    <w:p w14:paraId="5146223B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 xml:space="preserve">Регистрация рождений и гражданство </w:t>
      </w:r>
    </w:p>
    <w:p w14:paraId="0A9C176A" w14:textId="77777777" w:rsidR="00454F36" w:rsidRPr="00454F36" w:rsidRDefault="00454F36" w:rsidP="00454F36">
      <w:pPr>
        <w:pStyle w:val="SingleTxtG"/>
      </w:pPr>
      <w:r w:rsidRPr="00454F36">
        <w:t>49.</w:t>
      </w:r>
      <w:r w:rsidRPr="00454F36">
        <w:tab/>
        <w:t>Комитет отмечает усилия государства-участника по упрощению процедур, связанных с гражданским статусом, включая внесение изменений в Закон о гражданском состоянии в 2021 году и отмену штрафа за несвоевременную регистрацию с целью упорядочения гражданского статуса ранее не зарегистрированных сирийских граждан (maktoumeen) или незаконно покинувших страну сирийцев после их возвращения в государство-участник. Однако Комитет обеспокоен тем, что:</w:t>
      </w:r>
    </w:p>
    <w:p w14:paraId="213AF927" w14:textId="1A5E60F0" w:rsidR="00454F36" w:rsidRPr="00454F36" w:rsidRDefault="00454F36" w:rsidP="00454F36">
      <w:pPr>
        <w:pStyle w:val="SingleTxtG"/>
      </w:pPr>
      <w:r>
        <w:lastRenderedPageBreak/>
        <w:tab/>
      </w:r>
      <w:r w:rsidRPr="00454F36">
        <w:t>a)</w:t>
      </w:r>
      <w:r w:rsidRPr="00454F36">
        <w:tab/>
        <w:t>у находящихся за рубежом сирийцев, включая сирийских трудящихся-мигрантов и членов их семей, вследствие отсутствия консульского обслуживания может отсутствовать возможность для получения необходимого свидетельства о рождении для своих детей, родившихся за рубежом;</w:t>
      </w:r>
    </w:p>
    <w:p w14:paraId="6E75171F" w14:textId="31B99E4C" w:rsidR="00454F36" w:rsidRPr="00454F36" w:rsidRDefault="00454F36" w:rsidP="00454F36">
      <w:pPr>
        <w:pStyle w:val="SingleTxtG"/>
      </w:pPr>
      <w:r>
        <w:tab/>
      </w:r>
      <w:r w:rsidRPr="00454F36">
        <w:t>b)</w:t>
      </w:r>
      <w:r w:rsidRPr="00454F36">
        <w:tab/>
        <w:t xml:space="preserve">матери, включая матерей из числа трудящихся-мигрантов и членов их семей, не могут передавать свое гражданство своим детям, родившимся в государстве-участнике, но отмечает при этом представленное государством-участником пояснение о том, что в настоящее время изучается возможность проведения реформы; </w:t>
      </w:r>
    </w:p>
    <w:p w14:paraId="1D04E4D1" w14:textId="38FA8B8C" w:rsidR="00454F36" w:rsidRPr="00454F36" w:rsidRDefault="00454F36" w:rsidP="00454F36">
      <w:pPr>
        <w:pStyle w:val="SingleTxtG"/>
        <w:rPr>
          <w:b/>
        </w:rPr>
      </w:pPr>
      <w:r>
        <w:tab/>
      </w:r>
      <w:r w:rsidRPr="00454F36">
        <w:t>c)</w:t>
      </w:r>
      <w:r w:rsidRPr="00454F36">
        <w:tab/>
        <w:t xml:space="preserve">государство-участник не является стороной Конвенции о статусе апатридов и Конвенции о сокращении безгражданства. </w:t>
      </w:r>
    </w:p>
    <w:p w14:paraId="5FCAF6C6" w14:textId="3E09ABFA" w:rsidR="00454F36" w:rsidRPr="00454F36" w:rsidRDefault="00454F36" w:rsidP="00454F36">
      <w:pPr>
        <w:pStyle w:val="SingleTxtG"/>
        <w:rPr>
          <w:b/>
          <w:bCs/>
        </w:rPr>
      </w:pPr>
      <w:r w:rsidRPr="00454F36">
        <w:t>50.</w:t>
      </w:r>
      <w:r w:rsidRPr="00454F36">
        <w:tab/>
      </w:r>
      <w:r w:rsidRPr="00454F36">
        <w:rPr>
          <w:b/>
          <w:bCs/>
        </w:rPr>
        <w:t>В соответствии совместными замечаниями общего порядка №</w:t>
      </w:r>
      <w:r w:rsidR="00A61BA6">
        <w:rPr>
          <w:b/>
          <w:bCs/>
        </w:rPr>
        <w:t>№</w:t>
      </w:r>
      <w:r w:rsidRPr="00454F36">
        <w:rPr>
          <w:b/>
          <w:bCs/>
        </w:rPr>
        <w:t xml:space="preserve"> 3 и 4 Комитета/</w:t>
      </w:r>
      <w:r w:rsidR="00A61BA6">
        <w:rPr>
          <w:b/>
          <w:bCs/>
        </w:rPr>
        <w:t>№</w:t>
      </w:r>
      <w:r w:rsidRPr="00454F36">
        <w:rPr>
          <w:b/>
          <w:bCs/>
        </w:rPr>
        <w:t>№ 22 и 23 Комитета по правам ребенка (2017) о правах человека детей в контексте международной миграции и с учетом задачи 16.9 целей в области устойчивого развития Комитет рекомендует государству-участнику:</w:t>
      </w:r>
    </w:p>
    <w:p w14:paraId="0869E366" w14:textId="7EC84DB3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a)</w:t>
      </w:r>
      <w:r w:rsidRPr="00454F36">
        <w:rPr>
          <w:b/>
          <w:bCs/>
        </w:rPr>
        <w:tab/>
        <w:t>обеспечить, в том числе с целью снижения риска того, что они станут лицами без гражданства, чтобы:</w:t>
      </w:r>
    </w:p>
    <w:p w14:paraId="61456EE2" w14:textId="2C95A6F0" w:rsidR="00454F36" w:rsidRPr="00454F36" w:rsidRDefault="00454F36" w:rsidP="00BD6ADB">
      <w:pPr>
        <w:pStyle w:val="SingleTxtG"/>
        <w:ind w:left="1701"/>
        <w:rPr>
          <w:b/>
          <w:bCs/>
        </w:rPr>
      </w:pPr>
      <w:r w:rsidRPr="00454F36">
        <w:rPr>
          <w:b/>
          <w:bCs/>
        </w:rPr>
        <w:t>i)</w:t>
      </w:r>
      <w:r w:rsidRPr="00454F36">
        <w:rPr>
          <w:b/>
          <w:bCs/>
        </w:rPr>
        <w:tab/>
        <w:t>все находящиеся за рубежом дети сирийских трудящихся-мигрантов, рождающиеся за рубежом и дети, родившиеся на территории государства-участника, в частности дети мигрантов с неурегулированным статусом и просителей убежища, регистрировались при рождении и получали документы, удостоверяющие личность;</w:t>
      </w:r>
    </w:p>
    <w:p w14:paraId="3FBBC219" w14:textId="77777777" w:rsidR="00454F36" w:rsidRPr="00454F36" w:rsidRDefault="00454F36" w:rsidP="00454F36">
      <w:pPr>
        <w:pStyle w:val="SingleTxtG"/>
        <w:ind w:left="1701"/>
        <w:rPr>
          <w:b/>
          <w:bCs/>
        </w:rPr>
      </w:pPr>
      <w:r w:rsidRPr="00454F36">
        <w:rPr>
          <w:b/>
          <w:bCs/>
        </w:rPr>
        <w:t>ii)</w:t>
      </w:r>
      <w:r w:rsidRPr="00454F36">
        <w:rPr>
          <w:b/>
          <w:bCs/>
        </w:rPr>
        <w:tab/>
        <w:t>систематически применять альтернативные и простые процедуры установления личности для лиц, включая трудящихся-мигрантов и членов их семей, которые сталкиваются с трудностями в получении доступа к своим гражданским документам, как это она обязалась сделать в ходе интерактивного диалога и универсального периодического обзора</w:t>
      </w:r>
      <w:r w:rsidRPr="00454F36">
        <w:rPr>
          <w:rStyle w:val="aa"/>
        </w:rPr>
        <w:footnoteReference w:id="15"/>
      </w:r>
      <w:r w:rsidRPr="00454F36">
        <w:rPr>
          <w:b/>
          <w:bCs/>
        </w:rPr>
        <w:t>;</w:t>
      </w:r>
    </w:p>
    <w:p w14:paraId="21120570" w14:textId="2A30659E" w:rsidR="00454F36" w:rsidRPr="00454F36" w:rsidRDefault="00454F36" w:rsidP="00454F36">
      <w:pPr>
        <w:pStyle w:val="SingleTxtG"/>
        <w:ind w:left="1701"/>
        <w:rPr>
          <w:b/>
          <w:bCs/>
        </w:rPr>
      </w:pPr>
      <w:r w:rsidRPr="00A61BA6">
        <w:rPr>
          <w:b/>
          <w:bCs/>
          <w:lang w:val="en-US"/>
        </w:rPr>
        <w:t>i</w:t>
      </w:r>
      <w:r w:rsidRPr="00454F36">
        <w:rPr>
          <w:b/>
          <w:bCs/>
        </w:rPr>
        <w:t>ii)</w:t>
      </w:r>
      <w:r w:rsidRPr="00454F36">
        <w:rPr>
          <w:b/>
          <w:bCs/>
        </w:rPr>
        <w:tab/>
        <w:t>повысить осведомленность о важности регистрации рождений и других форм гражданского состояния среди мигрантов, независимо от их миграционного статуса;</w:t>
      </w:r>
    </w:p>
    <w:p w14:paraId="4B6750AF" w14:textId="1DB72F19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b)</w:t>
      </w:r>
      <w:r w:rsidRPr="00454F36">
        <w:tab/>
      </w:r>
      <w:r w:rsidRPr="00454F36">
        <w:rPr>
          <w:b/>
          <w:bCs/>
        </w:rPr>
        <w:t>внести изменения в дискриминационное законодательство, касающееся гражданства, с тем чтобы женщины из числа трудящихся-мигрантов и женщин, являющихся членами семьи трудящегося-мигранта, имели законную возможность приобретать, передавать своим детям, сохранять и изменять свое гражданство наравне с мужчинами;</w:t>
      </w:r>
    </w:p>
    <w:p w14:paraId="558F2FDA" w14:textId="3B0BAEE4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c)</w:t>
      </w:r>
      <w:r w:rsidRPr="00454F36">
        <w:rPr>
          <w:b/>
          <w:bCs/>
        </w:rPr>
        <w:tab/>
        <w:t>создать эффективную процедуру определения безгражданства с особыми процедурными соображениями и гарантиями ввиду крайне важного значения наличия гражданства для всех людей и представить в своем следующем периодическом докладе информацию, включая статистические данные, о масштабах этого явления</w:t>
      </w:r>
      <w:r w:rsidR="009A6D3C">
        <w:rPr>
          <w:b/>
          <w:bCs/>
        </w:rPr>
        <w:t>;</w:t>
      </w:r>
    </w:p>
    <w:p w14:paraId="712B95B5" w14:textId="2535A326" w:rsidR="00454F36" w:rsidRPr="00454F36" w:rsidRDefault="00454F36" w:rsidP="00454F36">
      <w:pPr>
        <w:pStyle w:val="SingleTxtG"/>
      </w:pPr>
      <w:r w:rsidRPr="00A61BA6">
        <w:rPr>
          <w:b/>
          <w:bCs/>
        </w:rPr>
        <w:tab/>
      </w:r>
      <w:r w:rsidRPr="00454F36">
        <w:rPr>
          <w:b/>
          <w:bCs/>
        </w:rPr>
        <w:t>d)</w:t>
      </w:r>
      <w:r w:rsidRPr="00454F36">
        <w:rPr>
          <w:b/>
          <w:bCs/>
        </w:rPr>
        <w:tab/>
        <w:t>ратифицировать Конвенцию о статусе апатридов и Конвенцию о сокращении безгражданства или присоединиться к ним</w:t>
      </w:r>
      <w:r w:rsidR="009A6D3C">
        <w:rPr>
          <w:b/>
          <w:bCs/>
        </w:rPr>
        <w:t>.</w:t>
      </w:r>
    </w:p>
    <w:p w14:paraId="301B46F4" w14:textId="1A886023" w:rsidR="00454F36" w:rsidRPr="00454F36" w:rsidRDefault="00454F36" w:rsidP="00454F36">
      <w:pPr>
        <w:pStyle w:val="H23G"/>
      </w:pPr>
      <w:r>
        <w:tab/>
      </w:r>
      <w:r w:rsidRPr="00454F36">
        <w:t>4.</w:t>
      </w:r>
      <w:r w:rsidRPr="00454F36">
        <w:tab/>
      </w:r>
      <w:r w:rsidRPr="00454F36">
        <w:tab/>
        <w:t>Другие права трудящихся-мигрантов и членов их семей, имеющих постоянный статус (ст. 36–56)</w:t>
      </w:r>
    </w:p>
    <w:p w14:paraId="217DBE68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 xml:space="preserve">Разрешения на работу и проживание </w:t>
      </w:r>
    </w:p>
    <w:p w14:paraId="6FFE655C" w14:textId="15C0B0D0" w:rsidR="00454F36" w:rsidRPr="00454F36" w:rsidRDefault="00454F36" w:rsidP="00454F36">
      <w:pPr>
        <w:pStyle w:val="SingleTxtG"/>
      </w:pPr>
      <w:r w:rsidRPr="00454F36">
        <w:t>51.</w:t>
      </w:r>
      <w:r w:rsidRPr="00454F36">
        <w:tab/>
        <w:t>Комитет отмечает выдачу и продление около 2350 разрешений на работу для трудящихся-мигрантов в 2020 и 2021 годах, а также отмечает, что мигрантам и беженцам, зарегистрированным в Управлении Верховного комиссара ООН по делам беженцев в государстве-участнике, разрешается работать после получения разрешения на проживание и работу. Вместе с тем Комитет серьезно обеспокоен тем, что:</w:t>
      </w:r>
    </w:p>
    <w:p w14:paraId="0D836280" w14:textId="1417731C" w:rsidR="00454F36" w:rsidRPr="00454F36" w:rsidRDefault="00A61BA6" w:rsidP="00454F36">
      <w:pPr>
        <w:pStyle w:val="SingleTxtG"/>
      </w:pPr>
      <w:r>
        <w:lastRenderedPageBreak/>
        <w:tab/>
      </w:r>
      <w:r w:rsidR="00454F36" w:rsidRPr="00454F36">
        <w:t>a)</w:t>
      </w:r>
      <w:r w:rsidR="00454F36" w:rsidRPr="00454F36">
        <w:tab/>
        <w:t xml:space="preserve">трудящиеся-мигранты, не уплатившие сбор за выдачу или продление разрешения на работу, подлежат высылке; </w:t>
      </w:r>
    </w:p>
    <w:p w14:paraId="04668785" w14:textId="62A7B21E" w:rsidR="00454F36" w:rsidRPr="00454F36" w:rsidRDefault="00A61BA6" w:rsidP="00454F36">
      <w:pPr>
        <w:pStyle w:val="SingleTxtG"/>
      </w:pPr>
      <w:r>
        <w:tab/>
      </w:r>
      <w:r w:rsidR="00454F36" w:rsidRPr="00454F36">
        <w:t>b)</w:t>
      </w:r>
      <w:r w:rsidR="00454F36" w:rsidRPr="00454F36">
        <w:tab/>
        <w:t>статья 12 Закона о сельском хозяйстве № 50 от 2004 года освобождает от обязанности получать вид на жительство перед трудоустройством в сельскохозяйственном секторе лишь трудящихся-мигрантов из арабских стран и при этом принимает к сведению пояснение, данное в ходе интерактивного диалога, согласно которому законы государства-участника предусматривают одинаковые права для всех трудящихся-мигрантов.</w:t>
      </w:r>
    </w:p>
    <w:p w14:paraId="6C69A393" w14:textId="77777777" w:rsidR="00454F36" w:rsidRPr="00454F36" w:rsidRDefault="00454F36" w:rsidP="00454F36">
      <w:pPr>
        <w:pStyle w:val="SingleTxtG"/>
        <w:rPr>
          <w:b/>
          <w:bCs/>
        </w:rPr>
      </w:pPr>
      <w:r w:rsidRPr="00454F36">
        <w:t>52.</w:t>
      </w:r>
      <w:r w:rsidRPr="00454F36">
        <w:tab/>
      </w:r>
      <w:r w:rsidRPr="00454F36">
        <w:rPr>
          <w:b/>
          <w:bCs/>
        </w:rPr>
        <w:t>Комитет рекомендует государству-участнику пересмотреть и усовершенствовать систему выдачи разрешений на работу в целях предотвращения ненадлежащих условиях труда и трудовой эксплуатации, в том числе путем:</w:t>
      </w:r>
      <w:r w:rsidRPr="00454F36">
        <w:t xml:space="preserve"> </w:t>
      </w:r>
    </w:p>
    <w:p w14:paraId="2BB52954" w14:textId="058DC3CB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a)</w:t>
      </w:r>
      <w:r w:rsidRPr="00454F36">
        <w:rPr>
          <w:b/>
          <w:bCs/>
        </w:rPr>
        <w:tab/>
        <w:t>отмены положений, предусматривающих наказания для трудящихся-мигрантов и их высылку за неуплату сбора, взимаемого при выдаче разрешения на работу;</w:t>
      </w:r>
    </w:p>
    <w:p w14:paraId="5FFF36C8" w14:textId="2A9CF58D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>принять меры, необходимые для обеспечения того, чтобы все трудящиеся-мигранты без дискриминации пользовались своими правами по Конвенции.</w:t>
      </w:r>
    </w:p>
    <w:p w14:paraId="5CE58A7E" w14:textId="69182C65" w:rsidR="00454F36" w:rsidRPr="00454F36" w:rsidRDefault="00454F36" w:rsidP="00454F36">
      <w:pPr>
        <w:pStyle w:val="H23G"/>
      </w:pPr>
      <w:r>
        <w:rPr>
          <w:bCs/>
        </w:rPr>
        <w:tab/>
      </w:r>
      <w:r w:rsidRPr="00454F36">
        <w:rPr>
          <w:bCs/>
        </w:rPr>
        <w:t>5.</w:t>
      </w:r>
      <w:r w:rsidRPr="00454F36">
        <w:tab/>
      </w:r>
      <w:r w:rsidRPr="00454F36">
        <w:tab/>
        <w:t xml:space="preserve">Содействие созданию нормальных, справедливых, гуманных и законных условий в связи с международной миграцией трудящихся и членов их семей </w:t>
      </w:r>
      <w:r>
        <w:br/>
      </w:r>
      <w:r w:rsidRPr="00454F36">
        <w:t>(ст. 64–71)</w:t>
      </w:r>
    </w:p>
    <w:p w14:paraId="6CFEFCEE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>Мигранты в странах, переживающих кризис</w:t>
      </w:r>
    </w:p>
    <w:p w14:paraId="0D3A2BA7" w14:textId="77777777" w:rsidR="00454F36" w:rsidRPr="00454F36" w:rsidRDefault="00454F36" w:rsidP="00454F36">
      <w:pPr>
        <w:pStyle w:val="SingleTxtG"/>
      </w:pPr>
      <w:r w:rsidRPr="00454F36">
        <w:t>53.</w:t>
      </w:r>
      <w:r w:rsidRPr="00454F36">
        <w:tab/>
        <w:t xml:space="preserve">Комитет глубоко обеспокоен утверждениями о неизбирательных и даже преднамеренных обстрелах гражданского населения и гражданских объектов, включая медицинские учреждения, незаконных убийствах, актах пыток и неправомерном обращении, насильственных исчезновениях или похищениях и произвольных арестах, направленных против медицинского персонала, которые приводят к гибели людей, вызывают миграцию большого количества медицинского персонала и могут быть приравнены к преступлениям по международному праву. </w:t>
      </w:r>
    </w:p>
    <w:p w14:paraId="0BA95C72" w14:textId="77777777" w:rsidR="00454F36" w:rsidRPr="00454F36" w:rsidRDefault="00454F36" w:rsidP="00454F36">
      <w:pPr>
        <w:pStyle w:val="SingleTxtG"/>
      </w:pPr>
      <w:r w:rsidRPr="00454F36">
        <w:t>54.</w:t>
      </w:r>
      <w:r w:rsidRPr="00454F36">
        <w:tab/>
      </w:r>
      <w:r w:rsidRPr="00454F36">
        <w:rPr>
          <w:b/>
          <w:bCs/>
        </w:rPr>
        <w:t>Комитет настоятельно призывает государство-участник:</w:t>
      </w:r>
    </w:p>
    <w:p w14:paraId="7B4C2C6B" w14:textId="7BEE28CF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a)</w:t>
      </w:r>
      <w:r w:rsidRPr="00454F36">
        <w:rPr>
          <w:b/>
          <w:bCs/>
        </w:rPr>
        <w:tab/>
        <w:t>прекратить неизбирательные и преднамеренные военные нападения на гражданских лиц, включая рабочих-мигрантов и членов их семей, или гражданские объекты, на которых они работают, в соответствии с принципами избирательности, соразмерности, необходимости и гуманности;</w:t>
      </w:r>
    </w:p>
    <w:p w14:paraId="34510F1D" w14:textId="7AA0832C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>защитить мигрантов, в частности детей-мигрантов, от практики грубых и систематических нарушений международного права прав человека;</w:t>
      </w:r>
    </w:p>
    <w:p w14:paraId="24BDAA52" w14:textId="7AD51BDA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c)</w:t>
      </w:r>
      <w:r w:rsidRPr="00454F36">
        <w:rPr>
          <w:b/>
          <w:bCs/>
        </w:rPr>
        <w:tab/>
        <w:t>облегчить мигрантам возможность перемещаться в безопасное место, переселять и эвакуировать их в случае необходимости, оказывать гуманитарную помощь мигрантам без дискриминации и привлекать мигрантов и организации мигрантов к усилиям по восстановлению в соответствии с Руководящими положениями по защите мигрантов в странах, переживающих конфликт или стихийное бедствие.</w:t>
      </w:r>
      <w:r w:rsidRPr="00454F36">
        <w:t xml:space="preserve"> </w:t>
      </w:r>
    </w:p>
    <w:p w14:paraId="1B3BDD04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>Международное сотрудничество со странами транзита и назначения</w:t>
      </w:r>
    </w:p>
    <w:p w14:paraId="629A9208" w14:textId="77777777" w:rsidR="00454F36" w:rsidRPr="00454F36" w:rsidRDefault="00454F36" w:rsidP="00454F36">
      <w:pPr>
        <w:pStyle w:val="SingleTxtG"/>
      </w:pPr>
      <w:r w:rsidRPr="00454F36">
        <w:t>55.</w:t>
      </w:r>
      <w:r w:rsidRPr="00454F36">
        <w:tab/>
        <w:t>Комитет принимает к сведению заключение ряда двусторонних соглашений о сотрудничестве по вопросу о трудящихся-мигрантов и пояснение, данное в ходе интерактивного диалога о том, что государство-участник будет стремиться к заключению дополнительных соглашений. Вместе с тем Комитет выражает сожаление по поводу того, что государство-участник еще не подписало двусторонние или многосторонние соглашения со всеми странами, в которых находится значительное количество сирийцев или через которые они следуют транзитом.</w:t>
      </w:r>
    </w:p>
    <w:p w14:paraId="5EE123DB" w14:textId="77777777" w:rsidR="00454F36" w:rsidRPr="00454F36" w:rsidRDefault="00454F36" w:rsidP="00454F36">
      <w:pPr>
        <w:pStyle w:val="SingleTxtG"/>
        <w:rPr>
          <w:b/>
          <w:bCs/>
        </w:rPr>
      </w:pPr>
      <w:r w:rsidRPr="00454F36">
        <w:lastRenderedPageBreak/>
        <w:t>56.</w:t>
      </w:r>
      <w:r w:rsidRPr="00454F36">
        <w:tab/>
      </w:r>
      <w:r w:rsidRPr="00454F36">
        <w:rPr>
          <w:b/>
          <w:bCs/>
        </w:rPr>
        <w:t>Подтверждая свою предыдущую рекомендацию</w:t>
      </w:r>
      <w:r w:rsidRPr="00454F36">
        <w:rPr>
          <w:rStyle w:val="aa"/>
        </w:rPr>
        <w:footnoteReference w:id="16"/>
      </w:r>
      <w:r w:rsidRPr="00454F36">
        <w:rPr>
          <w:b/>
          <w:bCs/>
        </w:rPr>
        <w:t>, Комитет рекомендует государству-участнику:</w:t>
      </w:r>
    </w:p>
    <w:p w14:paraId="7E29786C" w14:textId="2D24DA1F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a)</w:t>
      </w:r>
      <w:r w:rsidRPr="00454F36">
        <w:rPr>
          <w:b/>
          <w:bCs/>
        </w:rPr>
        <w:tab/>
        <w:t>продолжить заключение двусторонних и многосторонних соглашений о свободном передвижении трудящихся-мигрантов и членов их семей, в частности со странами транзита и назначения, в которых находится значительное количество сирийцев, в целях более эффективной защиты их прав и содействия предоставлению им соответствующих консульских и других услуг для обеспечения нормальных, справедливых и гуманных условий сирийским трудящимся-мигрантам и членам их семей;</w:t>
      </w:r>
    </w:p>
    <w:p w14:paraId="17FDCEB5" w14:textId="79D09526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>гарантировать при осуществлении любых двусторонних или многосторонних соглашений жизнь и физическую неприкосновенность мигрантов, включая трудящихся-мигрантов и членов их семей, в свете нынешних обстоятельств в государстве-участнике, и обеспечить, чтобы такие двусторонние и многосторонние соглашения полностью соответствовали Конвенции и замечаниям общего порядка Комитета;</w:t>
      </w:r>
    </w:p>
    <w:p w14:paraId="7EEFB8D0" w14:textId="51F6D45B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c)</w:t>
      </w:r>
      <w:r w:rsidRPr="00454F36">
        <w:rPr>
          <w:b/>
          <w:bCs/>
        </w:rPr>
        <w:tab/>
        <w:t>взаимодействовать с УВКПЧ и обращаться за технической помощью, относящейся к осуществлению указанных соглашений и переговоров по будущим соглашениям для обеспечения их соответствия положениям Конвенции.</w:t>
      </w:r>
    </w:p>
    <w:p w14:paraId="4D91F335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>Агентства по найму</w:t>
      </w:r>
    </w:p>
    <w:p w14:paraId="732C049A" w14:textId="77777777" w:rsidR="00454F36" w:rsidRPr="00454F36" w:rsidRDefault="00454F36" w:rsidP="00454F36">
      <w:pPr>
        <w:pStyle w:val="SingleTxtG"/>
      </w:pPr>
      <w:r w:rsidRPr="00454F36">
        <w:t>57.</w:t>
      </w:r>
      <w:r w:rsidRPr="00454F36">
        <w:tab/>
        <w:t>Комитет принимает к сведению представленную информацию о действующих в государстве-участнике с момента принятия Закона о занятости № 17 2010 года и соответствующих подзаконных актов нормативно-правовой базе и системе лицензирования частных агентств по трудоустройству. Однако он обеспокоен полученными сообщениями о том, что агентства по найму взимают высокую плату за организацию трудоустройства за рубежом и тем самым создают препятствия для сирийских трудящихся-мигрантов, ищущих работу в зарубежных странах, и что компетентные контрольные органы вмешиваются только в тех случаях, когда они получают жалобы на нарушения прав трудящихся-мигрантов.</w:t>
      </w:r>
    </w:p>
    <w:p w14:paraId="7AB98BAA" w14:textId="20708AD8" w:rsidR="00454F36" w:rsidRPr="00454F36" w:rsidRDefault="00454F36" w:rsidP="00454F36">
      <w:pPr>
        <w:pStyle w:val="SingleTxtG"/>
      </w:pPr>
      <w:r w:rsidRPr="00454F36">
        <w:t>58.</w:t>
      </w:r>
      <w:r w:rsidRPr="00454F36">
        <w:tab/>
      </w:r>
      <w:r w:rsidRPr="00454F36">
        <w:rPr>
          <w:b/>
          <w:bCs/>
        </w:rPr>
        <w:t>В свете своего замечания общего порядка № 1 (2011) и в соответствии с Руководящими принципами предпринимательской деятельности в аспекте прав человека Комитет рекомендует государству-участнику:</w:t>
      </w:r>
    </w:p>
    <w:p w14:paraId="3B30058C" w14:textId="07EB7ACE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a)</w:t>
      </w:r>
      <w:r w:rsidRPr="00454F36">
        <w:rPr>
          <w:b/>
          <w:bCs/>
        </w:rPr>
        <w:tab/>
        <w:t>усилить режим регулирования деятельности частных агентств по найму и укрепить существующую систему лицензирования таких агентств в целях обеспечения защиты прав трудящихся-мигрантов в соответствии с Конвенцией;</w:t>
      </w:r>
    </w:p>
    <w:p w14:paraId="3C51B163" w14:textId="6FD2E6B5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>усилить контроль за наймом и проверки в целях недопущения взимания частными агентствами по найму чрезмерной платы за свои услуги с трудящихся-мигрантов и выполнения ими роли посредников в интересах недобросовестных иностранных работодателей;</w:t>
      </w:r>
    </w:p>
    <w:p w14:paraId="250F0187" w14:textId="4192E9BE" w:rsidR="00454F36" w:rsidRPr="00454F36" w:rsidRDefault="00454F36" w:rsidP="00454F36">
      <w:pPr>
        <w:pStyle w:val="SingleTxtG"/>
      </w:pPr>
      <w:r w:rsidRPr="00454F36">
        <w:rPr>
          <w:b/>
          <w:bCs/>
        </w:rPr>
        <w:tab/>
        <w:t>c)</w:t>
      </w:r>
      <w:r w:rsidRPr="00454F36">
        <w:rPr>
          <w:b/>
          <w:bCs/>
        </w:rPr>
        <w:tab/>
        <w:t>обеспечить предоставление частными агентствами по найму лицам, ищущим работу за рубежом, полной информации и гарантии действительной выплаты всех согласованных видов вознаграждения за труд и в первую очередь заработной платы;</w:t>
      </w:r>
    </w:p>
    <w:p w14:paraId="4BBA545C" w14:textId="05761C57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d)</w:t>
      </w:r>
      <w:r w:rsidRPr="00454F36">
        <w:rPr>
          <w:b/>
          <w:bCs/>
        </w:rPr>
        <w:tab/>
        <w:t xml:space="preserve">расследовать незаконные виды практики и наказывать за их применение агентства по найму с целью предотвращения практики эксплуатации; </w:t>
      </w:r>
    </w:p>
    <w:p w14:paraId="46432FBA" w14:textId="1F29F765" w:rsidR="00454F36" w:rsidRPr="00454F36" w:rsidRDefault="00454F36" w:rsidP="00454F36">
      <w:pPr>
        <w:pStyle w:val="SingleTxtG"/>
      </w:pPr>
      <w:r w:rsidRPr="00454F36">
        <w:rPr>
          <w:b/>
          <w:bCs/>
        </w:rPr>
        <w:tab/>
        <w:t>e)</w:t>
      </w:r>
      <w:r w:rsidRPr="00454F36">
        <w:rPr>
          <w:b/>
          <w:bCs/>
        </w:rPr>
        <w:tab/>
        <w:t>принять политику в отношении агентств по найму, которая бы отвечала интересам лиц, намеревающихся работать за рубежом.</w:t>
      </w:r>
    </w:p>
    <w:p w14:paraId="1A8AD867" w14:textId="77777777" w:rsidR="00454F36" w:rsidRPr="00454F36" w:rsidRDefault="00454F36" w:rsidP="00454F36">
      <w:pPr>
        <w:pStyle w:val="H23G"/>
      </w:pPr>
      <w:r w:rsidRPr="00454F36">
        <w:lastRenderedPageBreak/>
        <w:tab/>
      </w:r>
      <w:r w:rsidRPr="00454F36">
        <w:tab/>
        <w:t>Возвращение и реинтеграция</w:t>
      </w:r>
    </w:p>
    <w:p w14:paraId="5B9C951F" w14:textId="77777777" w:rsidR="00454F36" w:rsidRPr="00454F36" w:rsidRDefault="00454F36" w:rsidP="00454F36">
      <w:pPr>
        <w:pStyle w:val="SingleTxtG"/>
      </w:pPr>
      <w:r w:rsidRPr="00454F36">
        <w:t>59.</w:t>
      </w:r>
      <w:r w:rsidRPr="00454F36">
        <w:tab/>
        <w:t>Комитет отмечает указанные государством-участником в ходе интерактивного диалога усилия по содействию добровольному и достойному возвращению своих граждан из-за рубежа, повышению уровня жизни в стране, в том числе посредством программ по расширению возможностей сельских общин, в частности женщин-мигрантов, и его намерение активизировать реализацию двусторонних соглашений в этой области со странами происхождения и назначения. Однако Комитет глубоко обеспокоен сообщениями о принудительном возвращении сирийских беженцев в государство-участник и случаями «вытеснения» на международных границах государства-участника.</w:t>
      </w:r>
    </w:p>
    <w:p w14:paraId="2111BED3" w14:textId="188B5225" w:rsidR="00454F36" w:rsidRPr="00454F36" w:rsidRDefault="00454F36" w:rsidP="00454F36">
      <w:pPr>
        <w:pStyle w:val="SingleTxtG"/>
        <w:rPr>
          <w:b/>
          <w:bCs/>
        </w:rPr>
      </w:pPr>
      <w:r w:rsidRPr="00454F36">
        <w:t>60.</w:t>
      </w:r>
      <w:r w:rsidRPr="00454F36">
        <w:tab/>
      </w:r>
      <w:r w:rsidRPr="00454F36">
        <w:rPr>
          <w:b/>
          <w:bCs/>
        </w:rPr>
        <w:t>В соответствии с опубликованными УВКПЧ Рекомендуемыми принципами и руководящими положениями по вопросу о правах человека и торговле людьми Комитет рекомендует государству-участнику:</w:t>
      </w:r>
    </w:p>
    <w:p w14:paraId="40D26218" w14:textId="12D91820" w:rsidR="00454F36" w:rsidRPr="00454F36" w:rsidRDefault="00454F36" w:rsidP="00454F36">
      <w:pPr>
        <w:pStyle w:val="SingleTxtG"/>
        <w:rPr>
          <w:b/>
          <w:bCs/>
        </w:rPr>
      </w:pPr>
      <w:r>
        <w:tab/>
      </w:r>
      <w:r w:rsidRPr="00454F36">
        <w:rPr>
          <w:b/>
          <w:bCs/>
        </w:rPr>
        <w:t>a)</w:t>
      </w:r>
      <w:r w:rsidRPr="00454F36">
        <w:rPr>
          <w:b/>
          <w:bCs/>
        </w:rPr>
        <w:tab/>
        <w:t>принять необходимые меры для предотвращения принудительного возвращения сирийских беженцев и трудящихся-мигрантов в государство-участник и обеспечить, чтобы возвращение всегда осуществлялось на добровольной основе и в соответствии с международным правом, включая Конвенцию, в частности, в соответствии с гарантиями соблюдения надлежащей правовой процедуры, а также с соблюдением принципов недопустимости неправомерной высылки и защиты от произвольной и коллективной высылки;</w:t>
      </w:r>
    </w:p>
    <w:p w14:paraId="620A0A75" w14:textId="74E0B1D1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>обеспечить, чтобы заключенные с другими государствами-участниками двусторонние соглашения о сотрудничестве и реадмиссии охраняли права и гарантии, предусмотренные в Конвенции, и чтобы такие соглашения способствовали добровольному возвращению трудящихся-мигрантов в страны их происхождения и устанавливали запрет на их принудительное возвращение</w:t>
      </w:r>
      <w:r w:rsidR="00D4183D">
        <w:rPr>
          <w:b/>
          <w:bCs/>
        </w:rPr>
        <w:t>;</w:t>
      </w:r>
    </w:p>
    <w:p w14:paraId="36401F3E" w14:textId="032A00DD" w:rsidR="00454F36" w:rsidRPr="00454F36" w:rsidRDefault="00454F36" w:rsidP="00454F36">
      <w:pPr>
        <w:pStyle w:val="SingleTxtG"/>
      </w:pPr>
      <w:r w:rsidRPr="00454F36">
        <w:rPr>
          <w:b/>
          <w:bCs/>
        </w:rPr>
        <w:tab/>
        <w:t>c)</w:t>
      </w:r>
      <w:r w:rsidRPr="00454F36">
        <w:rPr>
          <w:b/>
          <w:bCs/>
        </w:rPr>
        <w:tab/>
        <w:t>и впредь предусматривать в рамках мер государственной политики и программ для возвращающихся лиц, включая тех, кто был принудительно возвращен или вытеснен, соответствующие социальные, экономические, правовые и другие условия, необходимые для содействия их возвращению и устойчивой реинтеграции, включая содействие обращениям с требованием вернуть недвижимое имущество;</w:t>
      </w:r>
    </w:p>
    <w:p w14:paraId="54FB6736" w14:textId="7D6FDAC0" w:rsidR="00454F36" w:rsidRPr="00454F36" w:rsidRDefault="00454F36" w:rsidP="00454F36">
      <w:pPr>
        <w:pStyle w:val="SingleTxtG"/>
      </w:pPr>
      <w:r w:rsidRPr="00454F36">
        <w:rPr>
          <w:b/>
          <w:bCs/>
        </w:rPr>
        <w:tab/>
        <w:t>d)</w:t>
      </w:r>
      <w:r w:rsidRPr="00454F36">
        <w:rPr>
          <w:b/>
          <w:bCs/>
        </w:rPr>
        <w:tab/>
        <w:t>обеспечить учитывающую гендерные аспекты поддержку возвращению и реинтеграции трудящихся-мигрантов, членов их семей и беженцев, в частности жертв торговли людьми, для удовлетворения особых потребностей, связанных с состоянием физического и психического здоровья лиц, переживших насилие, включая жестокое обращение или сексуальную эксплуатацию.</w:t>
      </w:r>
    </w:p>
    <w:p w14:paraId="4BB36CB7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>Торговля людьми и незаконный ввоз мигрантов</w:t>
      </w:r>
    </w:p>
    <w:p w14:paraId="3D5E8A1D" w14:textId="77777777" w:rsidR="00454F36" w:rsidRPr="00454F36" w:rsidRDefault="00454F36" w:rsidP="00454F36">
      <w:pPr>
        <w:pStyle w:val="SingleTxtG"/>
      </w:pPr>
      <w:r w:rsidRPr="00454F36">
        <w:t>61.</w:t>
      </w:r>
      <w:r w:rsidRPr="00454F36">
        <w:tab/>
        <w:t xml:space="preserve">Комитет принимает к сведению принятие Закона о борьбе с торговлей людьми № 3 от 2010 года, Закона о борьбе с незаконным ввозом людей в Сирийскую Арабскую Республику № 14 от 2021 года, Закона о детях № 21 от 2021 года, который также направлен на защиту детей-мигрантов от торговли людьми, национального плана по борьбе с торговлей людьми, создание Департамента по борьбе с торговлей людьми и Национального комитета по борьбе с торговлей людьми, а также участие государства-участника в 2021 году в операции «Либертерра» по борьбе с незаконным ввозом мигрантов и торговлей людьми и мигрантами, находящимися в уязвимом положении. Он также отмечает меры по решению проблемы незаконной миграции, в частности незаконного ввоза мигрантов, которые были изложены государством-участником в ходе интерактивного диалога. Однако Комитет глубоко обеспокоен увеличением, как это подтвердило государство-участник в ходе интерактивного диалога, количества случаев торговли людьми и незаконного ввоза мигрантов, в частности женщин и детей, в том числе с целью сексуальной эксплуатации. </w:t>
      </w:r>
    </w:p>
    <w:p w14:paraId="6EE54802" w14:textId="77777777" w:rsidR="00454F36" w:rsidRPr="00454F36" w:rsidRDefault="00454F36" w:rsidP="00454F36">
      <w:pPr>
        <w:pStyle w:val="SingleTxtG"/>
      </w:pPr>
      <w:r w:rsidRPr="00454F36">
        <w:t>62.</w:t>
      </w:r>
      <w:r w:rsidRPr="00454F36">
        <w:tab/>
      </w:r>
      <w:r w:rsidRPr="00454F36">
        <w:rPr>
          <w:b/>
          <w:bCs/>
        </w:rPr>
        <w:t xml:space="preserve">Комитет рекомендует государству-участнику в соответствии с Принципами и руководящими положениями по вопросу о правах человека и </w:t>
      </w:r>
      <w:r w:rsidRPr="00454F36">
        <w:rPr>
          <w:b/>
          <w:bCs/>
        </w:rPr>
        <w:lastRenderedPageBreak/>
        <w:t>торговле людьми активизировать усилия по борьбе с торговлей людьми и злоупотреблениями лиц, занимающихся незаконным ввозом мигрантов, и в частности:</w:t>
      </w:r>
    </w:p>
    <w:p w14:paraId="6D086DE2" w14:textId="4A3AFF16" w:rsidR="00454F36" w:rsidRPr="00454F36" w:rsidRDefault="00454F36" w:rsidP="00454F36">
      <w:pPr>
        <w:pStyle w:val="SingleTxtG"/>
      </w:pPr>
      <w:r w:rsidRPr="00454F36">
        <w:rPr>
          <w:b/>
          <w:bCs/>
        </w:rPr>
        <w:tab/>
        <w:t>a)</w:t>
      </w:r>
      <w:r w:rsidRPr="00454F36">
        <w:rPr>
          <w:b/>
          <w:bCs/>
        </w:rPr>
        <w:tab/>
        <w:t>усилить меры по выявлению, предотвращению и пресечению незаконных потоков трудящихся-мигрантов, в том числе путем расширения сотрудничества с другими странами, и обеспечить, чтобы меры, направленные на борьбу с незаконной миграцией и незаконным ввозом мигрантов, не оказывали негативного влияния на права человека трудящихся-мигрантов и членов их семей;</w:t>
      </w:r>
    </w:p>
    <w:p w14:paraId="776C6C5C" w14:textId="5458B952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b)</w:t>
      </w:r>
      <w:r w:rsidRPr="00454F36">
        <w:rPr>
          <w:b/>
          <w:bCs/>
        </w:rPr>
        <w:tab/>
        <w:t xml:space="preserve">расширить кампании по предотвращению торговли трудящимися-мигрантами и членами их семей, в частности являющимися мигрантами женщинами и детьми, и активизировать свои усилия по полному осуществлению национального плана по борьбе с торговлей людьми; </w:t>
      </w:r>
    </w:p>
    <w:p w14:paraId="15860FF8" w14:textId="6ACA5FD2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c)</w:t>
      </w:r>
      <w:r w:rsidRPr="00454F36">
        <w:rPr>
          <w:b/>
          <w:bCs/>
        </w:rPr>
        <w:tab/>
        <w:t xml:space="preserve">выделять достаточные людские, технические и финансовые ресурсы для эффективного применения законов и стратегий, направленных на предотвращение и искоренение торговли людьми и незаконного ввоза мигрантов, и создать национальный механизм по передаче под защиту в целях выявления жертв торговли людьми и злоупотреблений со стороны лиц, занимающихся незаконным ввозом мигрантов, и предоставления жертвам защиты и помощи; </w:t>
      </w:r>
    </w:p>
    <w:p w14:paraId="531F4B06" w14:textId="70CADDBE" w:rsidR="00454F36" w:rsidRPr="00454F36" w:rsidRDefault="00454F36" w:rsidP="00454F36">
      <w:pPr>
        <w:pStyle w:val="SingleTxtG"/>
        <w:rPr>
          <w:b/>
          <w:bCs/>
        </w:rPr>
      </w:pPr>
      <w:r w:rsidRPr="00454F36">
        <w:rPr>
          <w:b/>
          <w:bCs/>
        </w:rPr>
        <w:tab/>
        <w:t>d)</w:t>
      </w:r>
      <w:r w:rsidRPr="00454F36">
        <w:rPr>
          <w:b/>
          <w:bCs/>
        </w:rPr>
        <w:tab/>
        <w:t>проводить оперативные, эффективные и беспристрастные расследования всех актов торговли людьми, незаконного ввоза мигрантов и злоупотреблений лиц, занимающихся незаконным ввозом мигрантов, а также преследовать в судебном порядке и наказывать лиц, виновных в совершении таких актов, и их сообщников, в том числе государственных должностных лиц.</w:t>
      </w:r>
    </w:p>
    <w:p w14:paraId="728E0C47" w14:textId="6E15670F" w:rsidR="00454F36" w:rsidRPr="00454F36" w:rsidRDefault="00454F36" w:rsidP="00454F36">
      <w:pPr>
        <w:pStyle w:val="H23G"/>
      </w:pPr>
      <w:r>
        <w:tab/>
      </w:r>
      <w:r w:rsidRPr="00454F36">
        <w:t>6.</w:t>
      </w:r>
      <w:r w:rsidRPr="00454F36">
        <w:tab/>
      </w:r>
      <w:r w:rsidRPr="00454F36">
        <w:tab/>
        <w:t>Распространение информации и последующая деятельность</w:t>
      </w:r>
    </w:p>
    <w:p w14:paraId="4E79FD99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>Распространение информации</w:t>
      </w:r>
    </w:p>
    <w:p w14:paraId="3902AF86" w14:textId="77777777" w:rsidR="00454F36" w:rsidRPr="00454F36" w:rsidRDefault="00454F36" w:rsidP="00454F36">
      <w:pPr>
        <w:pStyle w:val="SingleTxtG"/>
        <w:rPr>
          <w:b/>
          <w:bCs/>
        </w:rPr>
      </w:pPr>
      <w:r w:rsidRPr="00454F36">
        <w:t>63.</w:t>
      </w:r>
      <w:r w:rsidRPr="00454F36">
        <w:tab/>
      </w:r>
      <w:r w:rsidRPr="00454F36">
        <w:rPr>
          <w:b/>
          <w:bCs/>
        </w:rPr>
        <w:t>Комитет просит государство-участник обеспечить своевременное распространение настоящих заключительных замечаний на официальном языке государства-участника среди соответствующих государственных учреждений на всех уровнях, в том числе среди правительственных министерств, законодательных органов, судебных органов и соответствующих местных органов власти, а также неправительственных организаций и других субъектов гражданского общества.</w:t>
      </w:r>
      <w:r w:rsidRPr="00454F36">
        <w:t xml:space="preserve"> </w:t>
      </w:r>
    </w:p>
    <w:p w14:paraId="37147276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 xml:space="preserve">Техническая помощь </w:t>
      </w:r>
    </w:p>
    <w:p w14:paraId="2677D6FC" w14:textId="42531F0C" w:rsidR="00454F36" w:rsidRPr="00454F36" w:rsidRDefault="00454F36" w:rsidP="00454F36">
      <w:pPr>
        <w:pStyle w:val="SingleTxtG"/>
      </w:pPr>
      <w:r w:rsidRPr="00454F36">
        <w:t>64.</w:t>
      </w:r>
      <w:r w:rsidRPr="00454F36">
        <w:tab/>
      </w:r>
      <w:r w:rsidRPr="00454F36">
        <w:rPr>
          <w:b/>
          <w:bCs/>
        </w:rPr>
        <w:t>Комитет рекомендует государству-участнику и впредь пользоваться международной и межправительственной помощью для выполнения рекомендаций, содержащихся в настоящих заключительных замечаниях, в соответствии с Повесткой дня в области устойчивого развития на период до 2030</w:t>
      </w:r>
      <w:r w:rsidR="00D4183D">
        <w:rPr>
          <w:b/>
          <w:bCs/>
        </w:rPr>
        <w:t> </w:t>
      </w:r>
      <w:r w:rsidRPr="00454F36">
        <w:rPr>
          <w:b/>
          <w:bCs/>
        </w:rPr>
        <w:t>года.</w:t>
      </w:r>
      <w:r w:rsidRPr="00454F36">
        <w:t xml:space="preserve"> </w:t>
      </w:r>
      <w:r w:rsidRPr="00454F36">
        <w:rPr>
          <w:b/>
          <w:bCs/>
        </w:rPr>
        <w:t>Он также рекомендует государству-участнику продолжать сотрудничество со специализированными учреждениями и программами системы Организации Объединенных Наций.</w:t>
      </w:r>
    </w:p>
    <w:p w14:paraId="5E7F4B46" w14:textId="77777777" w:rsidR="00454F36" w:rsidRPr="00454F36" w:rsidRDefault="00454F36" w:rsidP="00454F36">
      <w:pPr>
        <w:pStyle w:val="H23G"/>
      </w:pPr>
      <w:r w:rsidRPr="00454F36">
        <w:tab/>
      </w:r>
      <w:r w:rsidRPr="00454F36">
        <w:tab/>
        <w:t>Последующие меры в связи с заключительными замечаниями</w:t>
      </w:r>
    </w:p>
    <w:p w14:paraId="5477B271" w14:textId="341BCFCF" w:rsidR="00454F36" w:rsidRPr="00454F36" w:rsidRDefault="00454F36" w:rsidP="00454F36">
      <w:pPr>
        <w:pStyle w:val="SingleTxtG"/>
      </w:pPr>
      <w:r w:rsidRPr="00454F36">
        <w:t>65.</w:t>
      </w:r>
      <w:r w:rsidRPr="00454F36">
        <w:tab/>
      </w:r>
      <w:r w:rsidRPr="00454F36">
        <w:rPr>
          <w:b/>
          <w:bCs/>
        </w:rPr>
        <w:t xml:space="preserve">Комитет просит государство-участник представить в течение двух лет </w:t>
      </w:r>
      <w:r w:rsidR="00A61BA6">
        <w:rPr>
          <w:b/>
          <w:bCs/>
        </w:rPr>
        <w:br/>
      </w:r>
      <w:r w:rsidRPr="00454F36">
        <w:rPr>
          <w:b/>
          <w:bCs/>
        </w:rPr>
        <w:t>(т</w:t>
      </w:r>
      <w:r w:rsidR="00A61BA6">
        <w:rPr>
          <w:b/>
          <w:bCs/>
        </w:rPr>
        <w:t>. </w:t>
      </w:r>
      <w:r w:rsidRPr="00454F36">
        <w:rPr>
          <w:b/>
          <w:bCs/>
        </w:rPr>
        <w:t>е</w:t>
      </w:r>
      <w:r w:rsidR="00A61BA6">
        <w:rPr>
          <w:b/>
          <w:bCs/>
        </w:rPr>
        <w:t>.</w:t>
      </w:r>
      <w:r w:rsidRPr="00454F36">
        <w:rPr>
          <w:b/>
          <w:bCs/>
        </w:rPr>
        <w:t xml:space="preserve"> к 1 октября 2024 года) письменную информацию о выполнении рекомендаций, содержащихся в пунктах 18 (ратификация соответствующих договоров), 26 (независимый мониторинг), 42 (надлежащая правовая процедура, задержание, равенство перед судом и условия содержания под стражей) и 46</w:t>
      </w:r>
      <w:r w:rsidR="00A61BA6">
        <w:rPr>
          <w:b/>
          <w:bCs/>
        </w:rPr>
        <w:t> </w:t>
      </w:r>
      <w:r w:rsidRPr="00454F36">
        <w:rPr>
          <w:b/>
          <w:bCs/>
        </w:rPr>
        <w:t>(</w:t>
      </w:r>
      <w:r w:rsidRPr="00454F36">
        <w:rPr>
          <w:b/>
        </w:rPr>
        <w:t>оплата труда, условия работы и свобода передвижения</w:t>
      </w:r>
      <w:r w:rsidRPr="00454F36">
        <w:rPr>
          <w:b/>
          <w:bCs/>
        </w:rPr>
        <w:t>) выше.</w:t>
      </w:r>
    </w:p>
    <w:p w14:paraId="0F05761D" w14:textId="77777777" w:rsidR="00454F36" w:rsidRPr="00454F36" w:rsidRDefault="00454F36" w:rsidP="00454F36">
      <w:pPr>
        <w:pStyle w:val="H23G"/>
      </w:pPr>
      <w:r w:rsidRPr="00454F36">
        <w:lastRenderedPageBreak/>
        <w:tab/>
      </w:r>
      <w:r w:rsidRPr="00454F36">
        <w:tab/>
        <w:t xml:space="preserve">Следующий периодический доклад </w:t>
      </w:r>
    </w:p>
    <w:p w14:paraId="5F9100F0" w14:textId="677DF5CC" w:rsidR="00454F36" w:rsidRDefault="00454F36" w:rsidP="00454F36">
      <w:pPr>
        <w:pStyle w:val="SingleTxtG"/>
      </w:pPr>
      <w:r w:rsidRPr="00454F36">
        <w:t>66.</w:t>
      </w:r>
      <w:r w:rsidRPr="00454F36">
        <w:tab/>
      </w:r>
      <w:r w:rsidRPr="00454F36">
        <w:rPr>
          <w:b/>
          <w:bCs/>
        </w:rPr>
        <w:t>Четвертый периодический доклад государства-участника должен быть представлен к 1 октября 2027 года.</w:t>
      </w:r>
      <w:r w:rsidRPr="00454F36">
        <w:t xml:space="preserve"> </w:t>
      </w:r>
      <w:r w:rsidRPr="00454F36">
        <w:rPr>
          <w:b/>
          <w:bCs/>
        </w:rPr>
        <w:t>Комитет утвердит перечень вопросов до представления доклада в соответствии с упрощенной процедурой представления докладов на одной из своих сессий, предшествующих этой дате, если государство-участник не сделает явного выбора в пользу традиционной процедуры представления докладов в отношении своего четвертого периодического доклада.</w:t>
      </w:r>
      <w:r w:rsidRPr="00454F36">
        <w:t xml:space="preserve"> </w:t>
      </w:r>
      <w:r w:rsidRPr="00454F36">
        <w:rPr>
          <w:b/>
          <w:bCs/>
        </w:rPr>
        <w:t>Комитет обращает внимание государства-участника на свои согласованные руководящие принципы подготовки докладов по конкретным договорам</w:t>
      </w:r>
      <w:r w:rsidRPr="00454F36">
        <w:rPr>
          <w:rStyle w:val="aa"/>
        </w:rPr>
        <w:footnoteReference w:id="17"/>
      </w:r>
      <w:r w:rsidRPr="00454F36">
        <w:t>.</w:t>
      </w:r>
    </w:p>
    <w:p w14:paraId="664B6F0B" w14:textId="76EFF453" w:rsidR="00454F36" w:rsidRPr="00454F36" w:rsidRDefault="00454F36" w:rsidP="00454F3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4F36" w:rsidRPr="00454F36" w:rsidSect="00E34BF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BFAC" w14:textId="77777777" w:rsidR="006F11E9" w:rsidRPr="00A312BC" w:rsidRDefault="006F11E9" w:rsidP="00A312BC"/>
  </w:endnote>
  <w:endnote w:type="continuationSeparator" w:id="0">
    <w:p w14:paraId="60ED72BF" w14:textId="77777777" w:rsidR="006F11E9" w:rsidRPr="00A312BC" w:rsidRDefault="006F11E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DF7E" w14:textId="55C751E4" w:rsidR="00E34BF9" w:rsidRPr="00E34BF9" w:rsidRDefault="00E34BF9">
    <w:pPr>
      <w:pStyle w:val="a8"/>
    </w:pPr>
    <w:r w:rsidRPr="00E34BF9">
      <w:rPr>
        <w:b/>
        <w:sz w:val="18"/>
      </w:rPr>
      <w:fldChar w:fldCharType="begin"/>
    </w:r>
    <w:r w:rsidRPr="00E34BF9">
      <w:rPr>
        <w:b/>
        <w:sz w:val="18"/>
      </w:rPr>
      <w:instrText xml:space="preserve"> PAGE  \* MERGEFORMAT </w:instrText>
    </w:r>
    <w:r w:rsidRPr="00E34BF9">
      <w:rPr>
        <w:b/>
        <w:sz w:val="18"/>
      </w:rPr>
      <w:fldChar w:fldCharType="separate"/>
    </w:r>
    <w:r w:rsidRPr="00E34BF9">
      <w:rPr>
        <w:b/>
        <w:noProof/>
        <w:sz w:val="18"/>
      </w:rPr>
      <w:t>2</w:t>
    </w:r>
    <w:r w:rsidRPr="00E34BF9">
      <w:rPr>
        <w:b/>
        <w:sz w:val="18"/>
      </w:rPr>
      <w:fldChar w:fldCharType="end"/>
    </w:r>
    <w:r>
      <w:rPr>
        <w:b/>
        <w:sz w:val="18"/>
      </w:rPr>
      <w:tab/>
    </w:r>
    <w:r>
      <w:t>GE.22-17403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59C6" w14:textId="7AA7F61E" w:rsidR="00E34BF9" w:rsidRPr="00E34BF9" w:rsidRDefault="00E34BF9" w:rsidP="00E34BF9">
    <w:pPr>
      <w:pStyle w:val="a8"/>
      <w:tabs>
        <w:tab w:val="clear" w:pos="9639"/>
        <w:tab w:val="right" w:pos="9638"/>
      </w:tabs>
      <w:rPr>
        <w:b/>
        <w:sz w:val="18"/>
      </w:rPr>
    </w:pPr>
    <w:r>
      <w:t>GE.22-17403</w:t>
    </w:r>
    <w:r>
      <w:tab/>
    </w:r>
    <w:r w:rsidRPr="00E34BF9">
      <w:rPr>
        <w:b/>
        <w:sz w:val="18"/>
      </w:rPr>
      <w:fldChar w:fldCharType="begin"/>
    </w:r>
    <w:r w:rsidRPr="00E34BF9">
      <w:rPr>
        <w:b/>
        <w:sz w:val="18"/>
      </w:rPr>
      <w:instrText xml:space="preserve"> PAGE  \* MERGEFORMAT </w:instrText>
    </w:r>
    <w:r w:rsidRPr="00E34BF9">
      <w:rPr>
        <w:b/>
        <w:sz w:val="18"/>
      </w:rPr>
      <w:fldChar w:fldCharType="separate"/>
    </w:r>
    <w:r w:rsidRPr="00E34BF9">
      <w:rPr>
        <w:b/>
        <w:noProof/>
        <w:sz w:val="18"/>
      </w:rPr>
      <w:t>3</w:t>
    </w:r>
    <w:r w:rsidRPr="00E34B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DDC1" w14:textId="1453A3F5" w:rsidR="00042B72" w:rsidRPr="00E34BF9" w:rsidRDefault="00E34BF9" w:rsidP="00E34BF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47129B" wp14:editId="0C2EE10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22-17403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8CA0A0" wp14:editId="727B143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13122</w:t>
    </w:r>
    <w:r w:rsidR="00DE5F09">
      <w:t>2</w:t>
    </w:r>
    <w:r>
      <w:rPr>
        <w:lang w:val="en-US"/>
      </w:rPr>
      <w:t xml:space="preserve">  060323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C890" w14:textId="77777777" w:rsidR="006F11E9" w:rsidRPr="001075E9" w:rsidRDefault="006F11E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FFC0C8" w14:textId="77777777" w:rsidR="006F11E9" w:rsidRDefault="006F11E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ED8E81" w14:textId="77777777" w:rsidR="00454F36" w:rsidRPr="00ED17DA" w:rsidRDefault="00454F36" w:rsidP="00454F36">
      <w:pPr>
        <w:pStyle w:val="ad"/>
      </w:pPr>
      <w:r>
        <w:tab/>
      </w:r>
      <w:r w:rsidRPr="00454F36">
        <w:rPr>
          <w:sz w:val="20"/>
        </w:rPr>
        <w:t>*</w:t>
      </w:r>
      <w:r>
        <w:tab/>
        <w:t>Приняты Комитетом на его тридцать пятой сессии (19−30 сентября 2022 года).</w:t>
      </w:r>
    </w:p>
  </w:footnote>
  <w:footnote w:id="2">
    <w:p w14:paraId="6180AC93" w14:textId="4255BFCC" w:rsidR="00454F36" w:rsidRPr="009D6089" w:rsidRDefault="00454F36" w:rsidP="00454F36">
      <w:pPr>
        <w:pStyle w:val="ad"/>
        <w:rPr>
          <w:lang w:val="de-DE"/>
        </w:rPr>
      </w:pPr>
      <w:r>
        <w:tab/>
      </w:r>
      <w:r w:rsidRPr="00454F36">
        <w:rPr>
          <w:rStyle w:val="aa"/>
        </w:rPr>
        <w:footnoteRef/>
      </w:r>
      <w:r w:rsidRPr="009D6089">
        <w:rPr>
          <w:lang w:val="de-DE"/>
        </w:rPr>
        <w:tab/>
      </w:r>
      <w:hyperlink r:id="rId1" w:history="1">
        <w:r w:rsidRPr="000B5147">
          <w:rPr>
            <w:rStyle w:val="af1"/>
            <w:lang w:val="de-DE"/>
          </w:rPr>
          <w:t>CMW/C/SYR/2-3</w:t>
        </w:r>
      </w:hyperlink>
      <w:r w:rsidRPr="009D6089">
        <w:rPr>
          <w:lang w:val="de-DE"/>
        </w:rPr>
        <w:t>.</w:t>
      </w:r>
    </w:p>
  </w:footnote>
  <w:footnote w:id="3">
    <w:p w14:paraId="206968B5" w14:textId="6CB4E30C" w:rsidR="00454F36" w:rsidRPr="009D6089" w:rsidRDefault="00454F36" w:rsidP="00454F36">
      <w:pPr>
        <w:pStyle w:val="ad"/>
        <w:rPr>
          <w:lang w:val="de-DE"/>
        </w:rPr>
      </w:pPr>
      <w:r w:rsidRPr="009D6089">
        <w:rPr>
          <w:lang w:val="de-DE"/>
        </w:rPr>
        <w:tab/>
      </w:r>
      <w:r w:rsidRPr="00454F36">
        <w:rPr>
          <w:rStyle w:val="aa"/>
        </w:rPr>
        <w:footnoteRef/>
      </w:r>
      <w:r w:rsidRPr="009D6089">
        <w:rPr>
          <w:lang w:val="de-DE"/>
        </w:rPr>
        <w:tab/>
      </w:r>
      <w:r>
        <w:t>См</w:t>
      </w:r>
      <w:r w:rsidRPr="009D6089">
        <w:rPr>
          <w:lang w:val="de-DE"/>
        </w:rPr>
        <w:t xml:space="preserve">. </w:t>
      </w:r>
      <w:hyperlink r:id="rId2" w:history="1">
        <w:r w:rsidRPr="000B5147">
          <w:rPr>
            <w:rStyle w:val="af1"/>
            <w:lang w:val="de-DE"/>
          </w:rPr>
          <w:t>CMW/C/SR.499</w:t>
        </w:r>
      </w:hyperlink>
      <w:r w:rsidRPr="009D6089">
        <w:rPr>
          <w:lang w:val="de-DE"/>
        </w:rPr>
        <w:t xml:space="preserve">, </w:t>
      </w:r>
      <w:hyperlink r:id="rId3" w:history="1">
        <w:r w:rsidRPr="000B5147">
          <w:rPr>
            <w:rStyle w:val="af1"/>
            <w:lang w:val="de-DE"/>
          </w:rPr>
          <w:t>CMW/C/SR.501</w:t>
        </w:r>
      </w:hyperlink>
      <w:r w:rsidRPr="009D6089">
        <w:rPr>
          <w:lang w:val="de-DE"/>
        </w:rPr>
        <w:t xml:space="preserve"> </w:t>
      </w:r>
      <w:r>
        <w:t>и</w:t>
      </w:r>
      <w:r w:rsidRPr="009D6089">
        <w:rPr>
          <w:lang w:val="de-DE"/>
        </w:rPr>
        <w:t xml:space="preserve"> </w:t>
      </w:r>
      <w:hyperlink r:id="rId4" w:history="1">
        <w:r w:rsidRPr="000B5147">
          <w:rPr>
            <w:rStyle w:val="af1"/>
            <w:lang w:val="de-DE"/>
          </w:rPr>
          <w:t>CMW/C/SR.503</w:t>
        </w:r>
      </w:hyperlink>
      <w:r w:rsidRPr="009D6089">
        <w:rPr>
          <w:lang w:val="de-DE"/>
        </w:rPr>
        <w:t>.</w:t>
      </w:r>
    </w:p>
  </w:footnote>
  <w:footnote w:id="4">
    <w:p w14:paraId="06E2B16A" w14:textId="6F31A1F7" w:rsidR="00454F36" w:rsidRPr="009D6089" w:rsidRDefault="00454F36" w:rsidP="00454F36">
      <w:pPr>
        <w:pStyle w:val="ad"/>
        <w:rPr>
          <w:lang w:val="de-DE"/>
        </w:rPr>
      </w:pPr>
      <w:r w:rsidRPr="009D6089">
        <w:rPr>
          <w:lang w:val="de-DE"/>
        </w:rPr>
        <w:tab/>
      </w:r>
      <w:r w:rsidRPr="00454F36">
        <w:rPr>
          <w:rStyle w:val="aa"/>
        </w:rPr>
        <w:footnoteRef/>
      </w:r>
      <w:r w:rsidRPr="009D6089">
        <w:rPr>
          <w:lang w:val="de-DE"/>
        </w:rPr>
        <w:tab/>
      </w:r>
      <w:r w:rsidR="00F16C40">
        <w:fldChar w:fldCharType="begin"/>
      </w:r>
      <w:r w:rsidR="00F16C40" w:rsidRPr="00F16C40">
        <w:rPr>
          <w:lang w:val="de-DE"/>
        </w:rPr>
        <w:instrText xml:space="preserve"> HYPERLINK "http://undocs.org/en/CMW/C/SYR/RQ/2-3" </w:instrText>
      </w:r>
      <w:r w:rsidR="00F16C40">
        <w:fldChar w:fldCharType="separate"/>
      </w:r>
      <w:r w:rsidRPr="000B5147">
        <w:rPr>
          <w:rStyle w:val="af1"/>
          <w:lang w:val="de-DE"/>
        </w:rPr>
        <w:t>CMW/C/SYR/RQ/2-3</w:t>
      </w:r>
      <w:r w:rsidR="00F16C40">
        <w:rPr>
          <w:rStyle w:val="af1"/>
          <w:lang w:val="de-DE"/>
        </w:rPr>
        <w:fldChar w:fldCharType="end"/>
      </w:r>
      <w:r w:rsidRPr="009D6089">
        <w:rPr>
          <w:lang w:val="de-DE"/>
        </w:rPr>
        <w:t>.</w:t>
      </w:r>
    </w:p>
  </w:footnote>
  <w:footnote w:id="5">
    <w:p w14:paraId="41BCD1D3" w14:textId="081D8C33" w:rsidR="00454F36" w:rsidRPr="009D6089" w:rsidRDefault="00454F36" w:rsidP="00454F36">
      <w:pPr>
        <w:pStyle w:val="ad"/>
        <w:rPr>
          <w:lang w:val="de-DE"/>
        </w:rPr>
      </w:pPr>
      <w:r w:rsidRPr="009D6089">
        <w:rPr>
          <w:lang w:val="de-DE"/>
        </w:rPr>
        <w:tab/>
      </w:r>
      <w:r w:rsidRPr="00454F36">
        <w:rPr>
          <w:rStyle w:val="aa"/>
        </w:rPr>
        <w:footnoteRef/>
      </w:r>
      <w:r w:rsidRPr="009D6089">
        <w:rPr>
          <w:lang w:val="de-DE"/>
        </w:rPr>
        <w:tab/>
      </w:r>
      <w:r>
        <w:t>См</w:t>
      </w:r>
      <w:r w:rsidRPr="009D6089">
        <w:rPr>
          <w:lang w:val="de-DE"/>
        </w:rPr>
        <w:t xml:space="preserve">. </w:t>
      </w:r>
      <w:r w:rsidR="00F16C40">
        <w:fldChar w:fldCharType="begin"/>
      </w:r>
      <w:r w:rsidR="00F16C40" w:rsidRPr="00F16C40">
        <w:rPr>
          <w:lang w:val="de-DE"/>
        </w:rPr>
        <w:instrText xml:space="preserve"> HYPERLINK "https://www.ohchr.org/sites/defau</w:instrText>
      </w:r>
      <w:r w:rsidR="00F16C40" w:rsidRPr="00F16C40">
        <w:rPr>
          <w:lang w:val="de-DE"/>
        </w:rPr>
        <w:instrText xml:space="preserve">lt/files/CMWSPMJointGuidanceNoteCOVID-19Migrants.pdf" </w:instrText>
      </w:r>
      <w:r w:rsidR="00F16C40">
        <w:fldChar w:fldCharType="separate"/>
      </w:r>
      <w:r w:rsidR="000B5147" w:rsidRPr="006B3470">
        <w:rPr>
          <w:rStyle w:val="af1"/>
          <w:lang w:val="de-DE"/>
        </w:rPr>
        <w:t>https://www.ohchr.org/sites/default/files/CMWSPMJointGuidanceNoteCOVID-19Migrants.pdf</w:t>
      </w:r>
      <w:r w:rsidR="00F16C40">
        <w:rPr>
          <w:rStyle w:val="af1"/>
          <w:lang w:val="de-DE"/>
        </w:rPr>
        <w:fldChar w:fldCharType="end"/>
      </w:r>
      <w:r w:rsidRPr="009D6089">
        <w:rPr>
          <w:lang w:val="de-DE"/>
        </w:rPr>
        <w:t>.</w:t>
      </w:r>
    </w:p>
  </w:footnote>
  <w:footnote w:id="6">
    <w:p w14:paraId="03CA6CD7" w14:textId="223D6815" w:rsidR="00454F36" w:rsidRPr="00ED17DA" w:rsidRDefault="00454F36" w:rsidP="00454F36">
      <w:pPr>
        <w:pStyle w:val="ad"/>
      </w:pPr>
      <w:r w:rsidRPr="009D6089">
        <w:rPr>
          <w:lang w:val="de-DE"/>
        </w:rPr>
        <w:tab/>
      </w:r>
      <w:r w:rsidRPr="00454F36">
        <w:rPr>
          <w:rStyle w:val="aa"/>
        </w:rPr>
        <w:footnoteRef/>
      </w:r>
      <w:r>
        <w:tab/>
      </w:r>
      <w:hyperlink r:id="rId5" w:history="1">
        <w:r w:rsidRPr="000B5147">
          <w:rPr>
            <w:rStyle w:val="af1"/>
          </w:rPr>
          <w:t>CMW/C/SYR/CO/1</w:t>
        </w:r>
      </w:hyperlink>
      <w:r>
        <w:t>.</w:t>
      </w:r>
    </w:p>
  </w:footnote>
  <w:footnote w:id="7">
    <w:p w14:paraId="07BE17C6" w14:textId="77777777" w:rsidR="00454F36" w:rsidRPr="00ED17DA" w:rsidRDefault="00454F36" w:rsidP="00454F36">
      <w:pPr>
        <w:pStyle w:val="ad"/>
      </w:pPr>
      <w:r w:rsidRPr="00804FC7">
        <w:tab/>
      </w:r>
      <w:r w:rsidRPr="00454F36">
        <w:rPr>
          <w:rStyle w:val="aa"/>
        </w:rPr>
        <w:footnoteRef/>
      </w:r>
      <w:r>
        <w:tab/>
        <w:t>Там же, п. 12.</w:t>
      </w:r>
    </w:p>
  </w:footnote>
  <w:footnote w:id="8">
    <w:p w14:paraId="22A2CC17" w14:textId="77777777" w:rsidR="00454F36" w:rsidRPr="00ED17DA" w:rsidRDefault="00454F36" w:rsidP="00454F36">
      <w:pPr>
        <w:pStyle w:val="ad"/>
      </w:pPr>
      <w:r w:rsidRPr="002F6C6E">
        <w:tab/>
      </w:r>
      <w:r w:rsidRPr="00454F36">
        <w:rPr>
          <w:rStyle w:val="aa"/>
        </w:rPr>
        <w:footnoteRef/>
      </w:r>
      <w:r>
        <w:tab/>
        <w:t>Там же, п. 14.</w:t>
      </w:r>
    </w:p>
  </w:footnote>
  <w:footnote w:id="9">
    <w:p w14:paraId="5A7C5AEE" w14:textId="77777777" w:rsidR="00454F36" w:rsidRPr="00ED17DA" w:rsidRDefault="00454F36" w:rsidP="00454F36">
      <w:pPr>
        <w:pStyle w:val="ad"/>
      </w:pPr>
      <w:r w:rsidRPr="00804FC7">
        <w:tab/>
      </w:r>
      <w:r w:rsidRPr="00454F36">
        <w:rPr>
          <w:rStyle w:val="aa"/>
        </w:rPr>
        <w:footnoteRef/>
      </w:r>
      <w:r>
        <w:tab/>
        <w:t>Там же, п. 18.</w:t>
      </w:r>
    </w:p>
  </w:footnote>
  <w:footnote w:id="10">
    <w:p w14:paraId="6FB94EB9" w14:textId="548F8DF6" w:rsidR="00454F36" w:rsidRPr="00454F36" w:rsidRDefault="00454F36" w:rsidP="00454F36">
      <w:pPr>
        <w:pStyle w:val="ad"/>
        <w:rPr>
          <w:lang w:val="en-US"/>
        </w:rPr>
      </w:pPr>
      <w:r w:rsidRPr="002F6C6E">
        <w:tab/>
      </w:r>
      <w:r w:rsidRPr="00454F36">
        <w:rPr>
          <w:rStyle w:val="aa"/>
        </w:rPr>
        <w:footnoteRef/>
      </w:r>
      <w:r w:rsidRPr="00ED17DA">
        <w:rPr>
          <w:lang w:val="en-US"/>
        </w:rPr>
        <w:tab/>
      </w:r>
      <w:r w:rsidR="00F16C40">
        <w:fldChar w:fldCharType="begin"/>
      </w:r>
      <w:r w:rsidR="00F16C40" w:rsidRPr="00F16C40">
        <w:rPr>
          <w:lang w:val="en-US"/>
        </w:rPr>
        <w:instrText xml:space="preserve"> HYPERLINK "http://undocs.org/ru/A/HRC/50/6" </w:instrText>
      </w:r>
      <w:r w:rsidR="00F16C40">
        <w:fldChar w:fldCharType="separate"/>
      </w:r>
      <w:r w:rsidRPr="000B5147">
        <w:rPr>
          <w:rStyle w:val="af1"/>
          <w:lang w:val="en-US"/>
        </w:rPr>
        <w:t>A/HRC/50/6</w:t>
      </w:r>
      <w:r w:rsidR="00F16C40">
        <w:rPr>
          <w:rStyle w:val="af1"/>
          <w:lang w:val="en-US"/>
        </w:rPr>
        <w:fldChar w:fldCharType="end"/>
      </w:r>
      <w:r w:rsidRPr="00ED17DA">
        <w:rPr>
          <w:lang w:val="en-US"/>
        </w:rPr>
        <w:t xml:space="preserve">, </w:t>
      </w:r>
      <w:r>
        <w:t>пп</w:t>
      </w:r>
      <w:r w:rsidRPr="00ED17DA">
        <w:rPr>
          <w:lang w:val="en-US"/>
        </w:rPr>
        <w:t xml:space="preserve">. 133.78–133.81; </w:t>
      </w:r>
      <w:r>
        <w:t>и</w:t>
      </w:r>
      <w:r w:rsidRPr="00ED17DA">
        <w:rPr>
          <w:lang w:val="en-US"/>
        </w:rPr>
        <w:t xml:space="preserve"> </w:t>
      </w:r>
      <w:hyperlink r:id="rId6" w:history="1">
        <w:r w:rsidRPr="000B5147">
          <w:rPr>
            <w:rStyle w:val="af1"/>
            <w:lang w:val="en-US"/>
          </w:rPr>
          <w:t>A/HRC/50/6/Add.1</w:t>
        </w:r>
      </w:hyperlink>
      <w:r w:rsidRPr="00ED17DA">
        <w:rPr>
          <w:lang w:val="en-US"/>
        </w:rPr>
        <w:t>.</w:t>
      </w:r>
    </w:p>
  </w:footnote>
  <w:footnote w:id="11">
    <w:p w14:paraId="330E0F7C" w14:textId="7E48E501" w:rsidR="00454F36" w:rsidRPr="00454F36" w:rsidRDefault="00454F36" w:rsidP="00454F36">
      <w:pPr>
        <w:pStyle w:val="ad"/>
        <w:rPr>
          <w:lang w:val="en-US"/>
        </w:rPr>
      </w:pPr>
      <w:r w:rsidRPr="00ED17DA">
        <w:rPr>
          <w:lang w:val="en-US"/>
        </w:rPr>
        <w:tab/>
      </w:r>
      <w:r w:rsidRPr="00454F36">
        <w:rPr>
          <w:rStyle w:val="aa"/>
        </w:rPr>
        <w:footnoteRef/>
      </w:r>
      <w:r w:rsidRPr="00ED17DA">
        <w:rPr>
          <w:lang w:val="en-US"/>
        </w:rPr>
        <w:tab/>
      </w:r>
      <w:r w:rsidR="00F16C40">
        <w:fldChar w:fldCharType="begin"/>
      </w:r>
      <w:r w:rsidR="00F16C40" w:rsidRPr="00F16C40">
        <w:rPr>
          <w:lang w:val="en-US"/>
        </w:rPr>
        <w:instrText xml:space="preserve"> HYPERLINK "http://undocs.org/ru/CMW/C/SYR/CO/1" </w:instrText>
      </w:r>
      <w:r w:rsidR="00F16C40">
        <w:fldChar w:fldCharType="separate"/>
      </w:r>
      <w:r w:rsidRPr="000B5147">
        <w:rPr>
          <w:rStyle w:val="af1"/>
          <w:lang w:val="en-US"/>
        </w:rPr>
        <w:t>CMW/C/SYR/CO/1</w:t>
      </w:r>
      <w:r w:rsidR="00F16C40">
        <w:rPr>
          <w:rStyle w:val="af1"/>
          <w:lang w:val="en-US"/>
        </w:rPr>
        <w:fldChar w:fldCharType="end"/>
      </w:r>
      <w:r w:rsidRPr="00ED17DA">
        <w:rPr>
          <w:lang w:val="en-US"/>
        </w:rPr>
        <w:t xml:space="preserve">, </w:t>
      </w:r>
      <w:r>
        <w:t>п</w:t>
      </w:r>
      <w:r w:rsidRPr="00ED17DA">
        <w:rPr>
          <w:lang w:val="en-US"/>
        </w:rPr>
        <w:t>. 20.</w:t>
      </w:r>
    </w:p>
  </w:footnote>
  <w:footnote w:id="12">
    <w:p w14:paraId="3D74E0B0" w14:textId="45D48A2B" w:rsidR="00454F36" w:rsidRPr="00454F36" w:rsidRDefault="00454F36" w:rsidP="00454F36">
      <w:pPr>
        <w:pStyle w:val="ad"/>
        <w:rPr>
          <w:lang w:val="en-US"/>
        </w:rPr>
      </w:pPr>
      <w:r w:rsidRPr="00ED17DA">
        <w:rPr>
          <w:lang w:val="en-US"/>
        </w:rPr>
        <w:tab/>
      </w:r>
      <w:r w:rsidRPr="00454F36">
        <w:rPr>
          <w:rStyle w:val="aa"/>
        </w:rPr>
        <w:footnoteRef/>
      </w:r>
      <w:r w:rsidRPr="00ED17DA">
        <w:rPr>
          <w:lang w:val="en-US"/>
        </w:rPr>
        <w:tab/>
      </w:r>
      <w:r w:rsidR="00F16C40">
        <w:fldChar w:fldCharType="begin"/>
      </w:r>
      <w:r w:rsidR="00F16C40" w:rsidRPr="00F16C40">
        <w:rPr>
          <w:lang w:val="en-US"/>
        </w:rPr>
        <w:instrText xml:space="preserve"> H</w:instrText>
      </w:r>
      <w:r w:rsidR="00F16C40" w:rsidRPr="00F16C40">
        <w:rPr>
          <w:lang w:val="en-US"/>
        </w:rPr>
        <w:instrText xml:space="preserve">YPERLINK "http://undocs.org/ru/A/HRC/50/6" </w:instrText>
      </w:r>
      <w:r w:rsidR="00F16C40">
        <w:fldChar w:fldCharType="separate"/>
      </w:r>
      <w:r w:rsidRPr="000B5147">
        <w:rPr>
          <w:rStyle w:val="af1"/>
          <w:lang w:val="en-US"/>
        </w:rPr>
        <w:t>A/HRC/50/6</w:t>
      </w:r>
      <w:r w:rsidR="00F16C40">
        <w:rPr>
          <w:rStyle w:val="af1"/>
          <w:lang w:val="en-US"/>
        </w:rPr>
        <w:fldChar w:fldCharType="end"/>
      </w:r>
      <w:r w:rsidRPr="00ED17DA">
        <w:rPr>
          <w:lang w:val="en-US"/>
        </w:rPr>
        <w:t xml:space="preserve">, </w:t>
      </w:r>
      <w:r>
        <w:t>п</w:t>
      </w:r>
      <w:r w:rsidR="000B5147" w:rsidRPr="000B5147">
        <w:rPr>
          <w:lang w:val="en-US"/>
        </w:rPr>
        <w:t>.</w:t>
      </w:r>
      <w:r w:rsidRPr="00ED17DA">
        <w:rPr>
          <w:lang w:val="en-US"/>
        </w:rPr>
        <w:t xml:space="preserve"> 133.82; </w:t>
      </w:r>
      <w:r>
        <w:t>и</w:t>
      </w:r>
      <w:r w:rsidRPr="00ED17DA">
        <w:rPr>
          <w:lang w:val="en-US"/>
        </w:rPr>
        <w:t xml:space="preserve"> </w:t>
      </w:r>
      <w:hyperlink r:id="rId7" w:history="1">
        <w:r w:rsidRPr="000B5147">
          <w:rPr>
            <w:rStyle w:val="af1"/>
            <w:lang w:val="en-US"/>
          </w:rPr>
          <w:t>A/HRC/50/6/Add.1</w:t>
        </w:r>
      </w:hyperlink>
      <w:r w:rsidRPr="00ED17DA">
        <w:rPr>
          <w:lang w:val="en-US"/>
        </w:rPr>
        <w:t>.</w:t>
      </w:r>
    </w:p>
  </w:footnote>
  <w:footnote w:id="13">
    <w:p w14:paraId="47DC9535" w14:textId="5D953B9A" w:rsidR="00454F36" w:rsidRPr="00454F36" w:rsidRDefault="00454F36" w:rsidP="00454F36">
      <w:pPr>
        <w:pStyle w:val="ad"/>
        <w:rPr>
          <w:lang w:val="en-US"/>
        </w:rPr>
      </w:pPr>
      <w:r w:rsidRPr="00ED17DA">
        <w:rPr>
          <w:lang w:val="en-US"/>
        </w:rPr>
        <w:tab/>
      </w:r>
      <w:r w:rsidRPr="00454F36">
        <w:rPr>
          <w:rStyle w:val="aa"/>
        </w:rPr>
        <w:footnoteRef/>
      </w:r>
      <w:r w:rsidRPr="00ED17DA">
        <w:rPr>
          <w:lang w:val="en-US"/>
        </w:rPr>
        <w:tab/>
      </w:r>
      <w:r w:rsidR="00F16C40">
        <w:fldChar w:fldCharType="begin"/>
      </w:r>
      <w:r w:rsidR="00F16C40" w:rsidRPr="00F16C40">
        <w:rPr>
          <w:lang w:val="en-US"/>
        </w:rPr>
        <w:instrText xml:space="preserve"> HYPERLINK "http://undocs.org/ru/CMW/C/SYR/CO/1" </w:instrText>
      </w:r>
      <w:r w:rsidR="00F16C40">
        <w:fldChar w:fldCharType="separate"/>
      </w:r>
      <w:r w:rsidRPr="000B5147">
        <w:rPr>
          <w:rStyle w:val="af1"/>
          <w:lang w:val="en-US"/>
        </w:rPr>
        <w:t>CMW/C/SYR/CO/1</w:t>
      </w:r>
      <w:r w:rsidR="00F16C40">
        <w:rPr>
          <w:rStyle w:val="af1"/>
          <w:lang w:val="en-US"/>
        </w:rPr>
        <w:fldChar w:fldCharType="end"/>
      </w:r>
      <w:r w:rsidRPr="00ED17DA">
        <w:rPr>
          <w:lang w:val="en-US"/>
        </w:rPr>
        <w:t xml:space="preserve">, </w:t>
      </w:r>
      <w:r>
        <w:t>п</w:t>
      </w:r>
      <w:r w:rsidRPr="00ED17DA">
        <w:rPr>
          <w:lang w:val="en-US"/>
        </w:rPr>
        <w:t>. 24.</w:t>
      </w:r>
    </w:p>
  </w:footnote>
  <w:footnote w:id="14">
    <w:p w14:paraId="7454E0DA" w14:textId="77777777" w:rsidR="00454F36" w:rsidRPr="00CD47A7" w:rsidRDefault="00454F36" w:rsidP="00454F36">
      <w:pPr>
        <w:pStyle w:val="ad"/>
        <w:rPr>
          <w:lang w:val="en-US"/>
        </w:rPr>
      </w:pPr>
      <w:r w:rsidRPr="00ED17DA">
        <w:rPr>
          <w:lang w:val="en-US"/>
        </w:rPr>
        <w:tab/>
      </w:r>
      <w:r w:rsidRPr="00454F36">
        <w:rPr>
          <w:rStyle w:val="aa"/>
        </w:rPr>
        <w:footnoteRef/>
      </w:r>
      <w:r w:rsidRPr="00CD47A7">
        <w:rPr>
          <w:lang w:val="en-US"/>
        </w:rPr>
        <w:tab/>
      </w:r>
      <w:r>
        <w:t>Там</w:t>
      </w:r>
      <w:r w:rsidRPr="00CD47A7">
        <w:rPr>
          <w:lang w:val="en-US"/>
        </w:rPr>
        <w:t xml:space="preserve"> </w:t>
      </w:r>
      <w:r>
        <w:t>же</w:t>
      </w:r>
      <w:r w:rsidRPr="00CD47A7">
        <w:rPr>
          <w:lang w:val="en-US"/>
        </w:rPr>
        <w:t xml:space="preserve">, </w:t>
      </w:r>
      <w:r>
        <w:t>п</w:t>
      </w:r>
      <w:r w:rsidRPr="00CD47A7">
        <w:rPr>
          <w:lang w:val="en-US"/>
        </w:rPr>
        <w:t>. 26.</w:t>
      </w:r>
    </w:p>
  </w:footnote>
  <w:footnote w:id="15">
    <w:p w14:paraId="7742F9C9" w14:textId="2E241622" w:rsidR="00454F36" w:rsidRPr="00BB4148" w:rsidRDefault="00454F36" w:rsidP="00454F36">
      <w:pPr>
        <w:pStyle w:val="ad"/>
        <w:rPr>
          <w:lang w:val="en-US"/>
        </w:rPr>
      </w:pPr>
      <w:r w:rsidRPr="00CD47A7">
        <w:rPr>
          <w:lang w:val="en-US"/>
        </w:rPr>
        <w:tab/>
      </w:r>
      <w:r w:rsidRPr="00454F36">
        <w:rPr>
          <w:rStyle w:val="aa"/>
        </w:rPr>
        <w:footnoteRef/>
      </w:r>
      <w:r w:rsidRPr="00BB4148">
        <w:rPr>
          <w:lang w:val="en-US"/>
        </w:rPr>
        <w:tab/>
      </w:r>
      <w:r w:rsidR="00F16C40">
        <w:fldChar w:fldCharType="begin"/>
      </w:r>
      <w:r w:rsidR="00F16C40" w:rsidRPr="00F16C40">
        <w:rPr>
          <w:lang w:val="en-US"/>
        </w:rPr>
        <w:instrText xml:space="preserve"> HYPERLINK "http://undocs.org/ru/A/HRC/50/6" </w:instrText>
      </w:r>
      <w:r w:rsidR="00F16C40">
        <w:fldChar w:fldCharType="separate"/>
      </w:r>
      <w:r w:rsidRPr="000B5147">
        <w:rPr>
          <w:rStyle w:val="af1"/>
          <w:lang w:val="en-US"/>
        </w:rPr>
        <w:t>A/HRC/50/6</w:t>
      </w:r>
      <w:r w:rsidR="00F16C40">
        <w:rPr>
          <w:rStyle w:val="af1"/>
          <w:lang w:val="en-US"/>
        </w:rPr>
        <w:fldChar w:fldCharType="end"/>
      </w:r>
      <w:r w:rsidRPr="00BB4148">
        <w:rPr>
          <w:lang w:val="en-US"/>
        </w:rPr>
        <w:t xml:space="preserve">, </w:t>
      </w:r>
      <w:r>
        <w:t>п</w:t>
      </w:r>
      <w:r w:rsidRPr="00BB4148">
        <w:rPr>
          <w:lang w:val="en-US"/>
        </w:rPr>
        <w:t xml:space="preserve">. 133.275; </w:t>
      </w:r>
      <w:r>
        <w:t>и</w:t>
      </w:r>
      <w:r w:rsidRPr="00BB4148">
        <w:rPr>
          <w:lang w:val="en-US"/>
        </w:rPr>
        <w:t xml:space="preserve"> </w:t>
      </w:r>
      <w:hyperlink r:id="rId8" w:history="1">
        <w:r w:rsidRPr="000B5147">
          <w:rPr>
            <w:rStyle w:val="af1"/>
            <w:lang w:val="en-US"/>
          </w:rPr>
          <w:t>A/HRC/50/6/Add.1</w:t>
        </w:r>
      </w:hyperlink>
      <w:r w:rsidRPr="00BB4148">
        <w:rPr>
          <w:lang w:val="en-US"/>
        </w:rPr>
        <w:t>.</w:t>
      </w:r>
    </w:p>
  </w:footnote>
  <w:footnote w:id="16">
    <w:p w14:paraId="5F75981E" w14:textId="74C29D19" w:rsidR="00454F36" w:rsidRPr="00454F36" w:rsidRDefault="00454F36" w:rsidP="00454F36">
      <w:pPr>
        <w:pStyle w:val="ad"/>
        <w:rPr>
          <w:lang w:val="en-US"/>
        </w:rPr>
      </w:pPr>
      <w:r w:rsidRPr="00BB4148">
        <w:rPr>
          <w:lang w:val="en-US"/>
        </w:rPr>
        <w:tab/>
      </w:r>
      <w:r w:rsidRPr="00454F36">
        <w:rPr>
          <w:rStyle w:val="aa"/>
        </w:rPr>
        <w:footnoteRef/>
      </w:r>
      <w:r w:rsidRPr="00ED17DA">
        <w:rPr>
          <w:lang w:val="en-US"/>
        </w:rPr>
        <w:tab/>
      </w:r>
      <w:r w:rsidR="00F16C40">
        <w:fldChar w:fldCharType="begin"/>
      </w:r>
      <w:r w:rsidR="00F16C40" w:rsidRPr="00F16C40">
        <w:rPr>
          <w:lang w:val="en-US"/>
        </w:rPr>
        <w:instrText xml:space="preserve"> HYPERLINK "http://undocs.org/ru/CMW/C/SYR/CO/1" </w:instrText>
      </w:r>
      <w:r w:rsidR="00F16C40">
        <w:fldChar w:fldCharType="separate"/>
      </w:r>
      <w:r w:rsidRPr="000B5147">
        <w:rPr>
          <w:rStyle w:val="af1"/>
          <w:lang w:val="en-US"/>
        </w:rPr>
        <w:t>CMW/C/SYR/CO/1</w:t>
      </w:r>
      <w:r w:rsidR="00F16C40">
        <w:rPr>
          <w:rStyle w:val="af1"/>
          <w:lang w:val="en-US"/>
        </w:rPr>
        <w:fldChar w:fldCharType="end"/>
      </w:r>
      <w:r w:rsidRPr="00ED17DA">
        <w:rPr>
          <w:lang w:val="en-US"/>
        </w:rPr>
        <w:t xml:space="preserve">, </w:t>
      </w:r>
      <w:r>
        <w:t>п</w:t>
      </w:r>
      <w:r w:rsidRPr="00ED17DA">
        <w:rPr>
          <w:lang w:val="en-US"/>
        </w:rPr>
        <w:t>. 38.</w:t>
      </w:r>
    </w:p>
  </w:footnote>
  <w:footnote w:id="17">
    <w:p w14:paraId="3D5999BB" w14:textId="384095C7" w:rsidR="00454F36" w:rsidRDefault="00454F36" w:rsidP="00454F36">
      <w:pPr>
        <w:pStyle w:val="ad"/>
      </w:pPr>
      <w:r w:rsidRPr="00ED17DA">
        <w:rPr>
          <w:lang w:val="en-US"/>
        </w:rPr>
        <w:tab/>
      </w:r>
      <w:r w:rsidRPr="00454F36">
        <w:rPr>
          <w:rStyle w:val="aa"/>
        </w:rPr>
        <w:footnoteRef/>
      </w:r>
      <w:r>
        <w:tab/>
      </w:r>
      <w:hyperlink r:id="rId9" w:history="1">
        <w:r w:rsidRPr="000B5147">
          <w:rPr>
            <w:rStyle w:val="af1"/>
          </w:rPr>
          <w:t>HRI/GEN/2/Rev.6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157C" w14:textId="333C5039" w:rsidR="00E34BF9" w:rsidRPr="00E34BF9" w:rsidRDefault="007958B9">
    <w:pPr>
      <w:pStyle w:val="a5"/>
    </w:pPr>
    <w:fldSimple w:instr=" TITLE  \* MERGEFORMAT ">
      <w:r>
        <w:t>CMW/C/SYR/CO/2-3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2924" w14:textId="0C419D8A" w:rsidR="00E34BF9" w:rsidRPr="00E34BF9" w:rsidRDefault="007958B9" w:rsidP="00E34BF9">
    <w:pPr>
      <w:pStyle w:val="a5"/>
      <w:jc w:val="right"/>
    </w:pPr>
    <w:fldSimple w:instr=" TITLE  \* MERGEFORMAT ">
      <w:r>
        <w:t>CMW/C/SYR/CO/2-3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2B362816"/>
    <w:lvl w:ilvl="0" w:tplc="7568A6F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AACE3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6F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E8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0F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24E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22F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48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5C5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7D797D"/>
    <w:multiLevelType w:val="hybridMultilevel"/>
    <w:tmpl w:val="4D0E7E40"/>
    <w:lvl w:ilvl="0" w:tplc="E4D41F48">
      <w:start w:val="1"/>
      <w:numFmt w:val="lowerLetter"/>
      <w:lvlText w:val="%1)"/>
      <w:lvlJc w:val="left"/>
      <w:pPr>
        <w:ind w:left="206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3" w15:restartNumberingAfterBreak="0">
    <w:nsid w:val="14901300"/>
    <w:multiLevelType w:val="hybridMultilevel"/>
    <w:tmpl w:val="AF249670"/>
    <w:lvl w:ilvl="0" w:tplc="34B8C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4512A4"/>
    <w:multiLevelType w:val="hybridMultilevel"/>
    <w:tmpl w:val="A6F6BC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67B10"/>
    <w:multiLevelType w:val="multilevel"/>
    <w:tmpl w:val="DC16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CF4EB2"/>
    <w:multiLevelType w:val="hybridMultilevel"/>
    <w:tmpl w:val="CB6C816A"/>
    <w:lvl w:ilvl="0" w:tplc="89DE754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36DACD4A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1B588806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DC428D82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5E0412DA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8B2469E2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A59836D6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344A46D2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4E744AAA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E894ECF"/>
    <w:multiLevelType w:val="hybridMultilevel"/>
    <w:tmpl w:val="53820190"/>
    <w:lvl w:ilvl="0" w:tplc="856C1E4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431828AF"/>
    <w:multiLevelType w:val="hybridMultilevel"/>
    <w:tmpl w:val="88AE185C"/>
    <w:lvl w:ilvl="0" w:tplc="E3F0EF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A221F"/>
    <w:multiLevelType w:val="multilevel"/>
    <w:tmpl w:val="7A86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BF4058"/>
    <w:multiLevelType w:val="hybridMultilevel"/>
    <w:tmpl w:val="15B40292"/>
    <w:lvl w:ilvl="0" w:tplc="08090015">
      <w:start w:val="1"/>
      <w:numFmt w:val="upperLetter"/>
      <w:lvlText w:val="%1."/>
      <w:lvlJc w:val="left"/>
      <w:pPr>
        <w:ind w:left="211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852" w:hanging="360"/>
      </w:pPr>
    </w:lvl>
    <w:lvl w:ilvl="2" w:tplc="0809001B">
      <w:start w:val="1"/>
      <w:numFmt w:val="lowerRoman"/>
      <w:lvlText w:val="%3."/>
      <w:lvlJc w:val="right"/>
      <w:pPr>
        <w:ind w:left="22572" w:hanging="180"/>
      </w:pPr>
    </w:lvl>
    <w:lvl w:ilvl="3" w:tplc="0809000F" w:tentative="1">
      <w:start w:val="1"/>
      <w:numFmt w:val="decimal"/>
      <w:lvlText w:val="%4."/>
      <w:lvlJc w:val="left"/>
      <w:pPr>
        <w:ind w:left="23292" w:hanging="360"/>
      </w:pPr>
    </w:lvl>
    <w:lvl w:ilvl="4" w:tplc="08090019" w:tentative="1">
      <w:start w:val="1"/>
      <w:numFmt w:val="lowerLetter"/>
      <w:lvlText w:val="%5."/>
      <w:lvlJc w:val="left"/>
      <w:pPr>
        <w:ind w:left="24012" w:hanging="360"/>
      </w:pPr>
    </w:lvl>
    <w:lvl w:ilvl="5" w:tplc="0809001B" w:tentative="1">
      <w:start w:val="1"/>
      <w:numFmt w:val="lowerRoman"/>
      <w:lvlText w:val="%6."/>
      <w:lvlJc w:val="right"/>
      <w:pPr>
        <w:ind w:left="24732" w:hanging="180"/>
      </w:pPr>
    </w:lvl>
    <w:lvl w:ilvl="6" w:tplc="0809000F" w:tentative="1">
      <w:start w:val="1"/>
      <w:numFmt w:val="decimal"/>
      <w:lvlText w:val="%7."/>
      <w:lvlJc w:val="left"/>
      <w:pPr>
        <w:ind w:left="25452" w:hanging="360"/>
      </w:pPr>
    </w:lvl>
    <w:lvl w:ilvl="7" w:tplc="08090019" w:tentative="1">
      <w:start w:val="1"/>
      <w:numFmt w:val="lowerLetter"/>
      <w:lvlText w:val="%8."/>
      <w:lvlJc w:val="left"/>
      <w:pPr>
        <w:ind w:left="26172" w:hanging="360"/>
      </w:pPr>
    </w:lvl>
    <w:lvl w:ilvl="8" w:tplc="0809001B" w:tentative="1">
      <w:start w:val="1"/>
      <w:numFmt w:val="lowerRoman"/>
      <w:lvlText w:val="%9."/>
      <w:lvlJc w:val="right"/>
      <w:pPr>
        <w:ind w:left="26892" w:hanging="180"/>
      </w:pPr>
    </w:lvl>
  </w:abstractNum>
  <w:abstractNum w:abstractNumId="2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56269"/>
    <w:multiLevelType w:val="hybridMultilevel"/>
    <w:tmpl w:val="8D706512"/>
    <w:lvl w:ilvl="0" w:tplc="AAF4CACC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0" w:hanging="360"/>
      </w:pPr>
    </w:lvl>
    <w:lvl w:ilvl="2" w:tplc="0809001B" w:tentative="1">
      <w:start w:val="1"/>
      <w:numFmt w:val="lowerRoman"/>
      <w:lvlText w:val="%3."/>
      <w:lvlJc w:val="right"/>
      <w:pPr>
        <w:ind w:left="3500" w:hanging="180"/>
      </w:pPr>
    </w:lvl>
    <w:lvl w:ilvl="3" w:tplc="0809000F" w:tentative="1">
      <w:start w:val="1"/>
      <w:numFmt w:val="decimal"/>
      <w:lvlText w:val="%4."/>
      <w:lvlJc w:val="left"/>
      <w:pPr>
        <w:ind w:left="4220" w:hanging="360"/>
      </w:pPr>
    </w:lvl>
    <w:lvl w:ilvl="4" w:tplc="08090019" w:tentative="1">
      <w:start w:val="1"/>
      <w:numFmt w:val="lowerLetter"/>
      <w:lvlText w:val="%5."/>
      <w:lvlJc w:val="left"/>
      <w:pPr>
        <w:ind w:left="4940" w:hanging="360"/>
      </w:pPr>
    </w:lvl>
    <w:lvl w:ilvl="5" w:tplc="0809001B" w:tentative="1">
      <w:start w:val="1"/>
      <w:numFmt w:val="lowerRoman"/>
      <w:lvlText w:val="%6."/>
      <w:lvlJc w:val="right"/>
      <w:pPr>
        <w:ind w:left="5660" w:hanging="180"/>
      </w:pPr>
    </w:lvl>
    <w:lvl w:ilvl="6" w:tplc="0809000F" w:tentative="1">
      <w:start w:val="1"/>
      <w:numFmt w:val="decimal"/>
      <w:lvlText w:val="%7."/>
      <w:lvlJc w:val="left"/>
      <w:pPr>
        <w:ind w:left="6380" w:hanging="360"/>
      </w:pPr>
    </w:lvl>
    <w:lvl w:ilvl="7" w:tplc="08090019" w:tentative="1">
      <w:start w:val="1"/>
      <w:numFmt w:val="lowerLetter"/>
      <w:lvlText w:val="%8."/>
      <w:lvlJc w:val="left"/>
      <w:pPr>
        <w:ind w:left="7100" w:hanging="360"/>
      </w:pPr>
    </w:lvl>
    <w:lvl w:ilvl="8" w:tplc="08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8" w15:restartNumberingAfterBreak="0">
    <w:nsid w:val="562A5F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D85D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D07B2"/>
    <w:multiLevelType w:val="hybridMultilevel"/>
    <w:tmpl w:val="7FEE3222"/>
    <w:lvl w:ilvl="0" w:tplc="4CE4419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E780ADDC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846ECEF8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841E0306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474229B2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D70C6BDE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C270CDAA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A4D89A88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CD89772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6A771D9B"/>
    <w:multiLevelType w:val="hybridMultilevel"/>
    <w:tmpl w:val="D29C26EC"/>
    <w:lvl w:ilvl="0" w:tplc="9D6A983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57A1A93"/>
    <w:multiLevelType w:val="multilevel"/>
    <w:tmpl w:val="6048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2F36EE"/>
    <w:multiLevelType w:val="hybridMultilevel"/>
    <w:tmpl w:val="5DD2DF04"/>
    <w:lvl w:ilvl="0" w:tplc="8C120530">
      <w:start w:val="1"/>
      <w:numFmt w:val="lowerLetter"/>
      <w:lvlText w:val="%1)"/>
      <w:lvlJc w:val="left"/>
      <w:pPr>
        <w:ind w:left="20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80" w:hanging="360"/>
      </w:pPr>
    </w:lvl>
    <w:lvl w:ilvl="2" w:tplc="0809001B" w:tentative="1">
      <w:start w:val="1"/>
      <w:numFmt w:val="lowerRoman"/>
      <w:lvlText w:val="%3."/>
      <w:lvlJc w:val="right"/>
      <w:pPr>
        <w:ind w:left="3500" w:hanging="180"/>
      </w:pPr>
    </w:lvl>
    <w:lvl w:ilvl="3" w:tplc="0809000F" w:tentative="1">
      <w:start w:val="1"/>
      <w:numFmt w:val="decimal"/>
      <w:lvlText w:val="%4."/>
      <w:lvlJc w:val="left"/>
      <w:pPr>
        <w:ind w:left="4220" w:hanging="360"/>
      </w:pPr>
    </w:lvl>
    <w:lvl w:ilvl="4" w:tplc="08090019" w:tentative="1">
      <w:start w:val="1"/>
      <w:numFmt w:val="lowerLetter"/>
      <w:lvlText w:val="%5."/>
      <w:lvlJc w:val="left"/>
      <w:pPr>
        <w:ind w:left="4940" w:hanging="360"/>
      </w:pPr>
    </w:lvl>
    <w:lvl w:ilvl="5" w:tplc="0809001B" w:tentative="1">
      <w:start w:val="1"/>
      <w:numFmt w:val="lowerRoman"/>
      <w:lvlText w:val="%6."/>
      <w:lvlJc w:val="right"/>
      <w:pPr>
        <w:ind w:left="5660" w:hanging="180"/>
      </w:pPr>
    </w:lvl>
    <w:lvl w:ilvl="6" w:tplc="0809000F" w:tentative="1">
      <w:start w:val="1"/>
      <w:numFmt w:val="decimal"/>
      <w:lvlText w:val="%7."/>
      <w:lvlJc w:val="left"/>
      <w:pPr>
        <w:ind w:left="6380" w:hanging="360"/>
      </w:pPr>
    </w:lvl>
    <w:lvl w:ilvl="7" w:tplc="08090019" w:tentative="1">
      <w:start w:val="1"/>
      <w:numFmt w:val="lowerLetter"/>
      <w:lvlText w:val="%8."/>
      <w:lvlJc w:val="left"/>
      <w:pPr>
        <w:ind w:left="7100" w:hanging="360"/>
      </w:pPr>
    </w:lvl>
    <w:lvl w:ilvl="8" w:tplc="08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89543514">
    <w:abstractNumId w:val="37"/>
  </w:num>
  <w:num w:numId="2" w16cid:durableId="677269682">
    <w:abstractNumId w:val="19"/>
  </w:num>
  <w:num w:numId="3" w16cid:durableId="482234431">
    <w:abstractNumId w:val="16"/>
  </w:num>
  <w:num w:numId="4" w16cid:durableId="260603406">
    <w:abstractNumId w:val="38"/>
  </w:num>
  <w:num w:numId="5" w16cid:durableId="49810326">
    <w:abstractNumId w:val="29"/>
  </w:num>
  <w:num w:numId="6" w16cid:durableId="58141357">
    <w:abstractNumId w:val="8"/>
  </w:num>
  <w:num w:numId="7" w16cid:durableId="1518351740">
    <w:abstractNumId w:val="3"/>
  </w:num>
  <w:num w:numId="8" w16cid:durableId="1086729650">
    <w:abstractNumId w:val="2"/>
  </w:num>
  <w:num w:numId="9" w16cid:durableId="1871187450">
    <w:abstractNumId w:val="1"/>
  </w:num>
  <w:num w:numId="10" w16cid:durableId="1282808600">
    <w:abstractNumId w:val="0"/>
  </w:num>
  <w:num w:numId="11" w16cid:durableId="1756439894">
    <w:abstractNumId w:val="9"/>
  </w:num>
  <w:num w:numId="12" w16cid:durableId="96338099">
    <w:abstractNumId w:val="7"/>
  </w:num>
  <w:num w:numId="13" w16cid:durableId="603154786">
    <w:abstractNumId w:val="6"/>
  </w:num>
  <w:num w:numId="14" w16cid:durableId="240990564">
    <w:abstractNumId w:val="5"/>
  </w:num>
  <w:num w:numId="15" w16cid:durableId="107163608">
    <w:abstractNumId w:val="4"/>
  </w:num>
  <w:num w:numId="16" w16cid:durableId="34277559">
    <w:abstractNumId w:val="34"/>
  </w:num>
  <w:num w:numId="17" w16cid:durableId="1635209487">
    <w:abstractNumId w:val="26"/>
  </w:num>
  <w:num w:numId="18" w16cid:durableId="2092853209">
    <w:abstractNumId w:val="30"/>
  </w:num>
  <w:num w:numId="19" w16cid:durableId="203832913">
    <w:abstractNumId w:val="34"/>
  </w:num>
  <w:num w:numId="20" w16cid:durableId="1891763385">
    <w:abstractNumId w:val="26"/>
  </w:num>
  <w:num w:numId="21" w16cid:durableId="832985330">
    <w:abstractNumId w:val="30"/>
  </w:num>
  <w:num w:numId="22" w16cid:durableId="445194292">
    <w:abstractNumId w:val="18"/>
  </w:num>
  <w:num w:numId="23" w16cid:durableId="619805469">
    <w:abstractNumId w:val="17"/>
  </w:num>
  <w:num w:numId="24" w16cid:durableId="1519077170">
    <w:abstractNumId w:val="10"/>
  </w:num>
  <w:num w:numId="25" w16cid:durableId="2147040600">
    <w:abstractNumId w:val="31"/>
  </w:num>
  <w:num w:numId="26" w16cid:durableId="576325775">
    <w:abstractNumId w:val="33"/>
  </w:num>
  <w:num w:numId="27" w16cid:durableId="267079762">
    <w:abstractNumId w:val="41"/>
  </w:num>
  <w:num w:numId="28" w16cid:durableId="372383559">
    <w:abstractNumId w:val="14"/>
  </w:num>
  <w:num w:numId="29" w16cid:durableId="498228088">
    <w:abstractNumId w:val="35"/>
  </w:num>
  <w:num w:numId="30" w16cid:durableId="1456825703">
    <w:abstractNumId w:val="21"/>
  </w:num>
  <w:num w:numId="31" w16cid:durableId="2057121383">
    <w:abstractNumId w:val="11"/>
  </w:num>
  <w:num w:numId="32" w16cid:durableId="1901942604">
    <w:abstractNumId w:val="32"/>
  </w:num>
  <w:num w:numId="33" w16cid:durableId="1057506703">
    <w:abstractNumId w:val="28"/>
  </w:num>
  <w:num w:numId="34" w16cid:durableId="1136802949">
    <w:abstractNumId w:val="25"/>
  </w:num>
  <w:num w:numId="35" w16cid:durableId="2045910480">
    <w:abstractNumId w:val="15"/>
  </w:num>
  <w:num w:numId="36" w16cid:durableId="1702625352">
    <w:abstractNumId w:val="13"/>
  </w:num>
  <w:num w:numId="37" w16cid:durableId="1930961110">
    <w:abstractNumId w:val="23"/>
  </w:num>
  <w:num w:numId="38" w16cid:durableId="1762557312">
    <w:abstractNumId w:val="40"/>
  </w:num>
  <w:num w:numId="39" w16cid:durableId="2071222520">
    <w:abstractNumId w:val="22"/>
  </w:num>
  <w:num w:numId="40" w16cid:durableId="2054113722">
    <w:abstractNumId w:val="36"/>
  </w:num>
  <w:num w:numId="41" w16cid:durableId="875896443">
    <w:abstractNumId w:val="27"/>
  </w:num>
  <w:num w:numId="42" w16cid:durableId="490567228">
    <w:abstractNumId w:val="12"/>
  </w:num>
  <w:num w:numId="43" w16cid:durableId="601180273">
    <w:abstractNumId w:val="20"/>
  </w:num>
  <w:num w:numId="44" w16cid:durableId="1519852629">
    <w:abstractNumId w:val="24"/>
  </w:num>
  <w:num w:numId="45" w16cid:durableId="843086828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E9"/>
    <w:rsid w:val="00033EE1"/>
    <w:rsid w:val="00042B72"/>
    <w:rsid w:val="000554DB"/>
    <w:rsid w:val="000558BD"/>
    <w:rsid w:val="000B5147"/>
    <w:rsid w:val="000B57E7"/>
    <w:rsid w:val="000B6373"/>
    <w:rsid w:val="000F09DF"/>
    <w:rsid w:val="000F61B2"/>
    <w:rsid w:val="001075E9"/>
    <w:rsid w:val="00167A27"/>
    <w:rsid w:val="00180183"/>
    <w:rsid w:val="0018024D"/>
    <w:rsid w:val="0018649F"/>
    <w:rsid w:val="00196389"/>
    <w:rsid w:val="001B3EF6"/>
    <w:rsid w:val="001C6847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A81"/>
    <w:rsid w:val="00317339"/>
    <w:rsid w:val="00322004"/>
    <w:rsid w:val="003402C2"/>
    <w:rsid w:val="003414A1"/>
    <w:rsid w:val="00381C24"/>
    <w:rsid w:val="003958D0"/>
    <w:rsid w:val="003B00E5"/>
    <w:rsid w:val="00407B78"/>
    <w:rsid w:val="004102E9"/>
    <w:rsid w:val="00424203"/>
    <w:rsid w:val="00452493"/>
    <w:rsid w:val="00453318"/>
    <w:rsid w:val="00454E07"/>
    <w:rsid w:val="00454F36"/>
    <w:rsid w:val="00472C5C"/>
    <w:rsid w:val="004B3A26"/>
    <w:rsid w:val="0050108D"/>
    <w:rsid w:val="00513081"/>
    <w:rsid w:val="00517901"/>
    <w:rsid w:val="00526683"/>
    <w:rsid w:val="005602FD"/>
    <w:rsid w:val="005709E0"/>
    <w:rsid w:val="00572E19"/>
    <w:rsid w:val="00573D87"/>
    <w:rsid w:val="005961C8"/>
    <w:rsid w:val="005966F1"/>
    <w:rsid w:val="005D7914"/>
    <w:rsid w:val="005E2B41"/>
    <w:rsid w:val="005F0B42"/>
    <w:rsid w:val="00636A7C"/>
    <w:rsid w:val="00681A10"/>
    <w:rsid w:val="00690B89"/>
    <w:rsid w:val="006A1ED8"/>
    <w:rsid w:val="006C0ACE"/>
    <w:rsid w:val="006C2031"/>
    <w:rsid w:val="006C6846"/>
    <w:rsid w:val="006D461A"/>
    <w:rsid w:val="006D479F"/>
    <w:rsid w:val="006E6002"/>
    <w:rsid w:val="006F11E9"/>
    <w:rsid w:val="006F35EE"/>
    <w:rsid w:val="007021FF"/>
    <w:rsid w:val="00712895"/>
    <w:rsid w:val="00734ACB"/>
    <w:rsid w:val="00757357"/>
    <w:rsid w:val="0077018E"/>
    <w:rsid w:val="007958B9"/>
    <w:rsid w:val="007A2AE0"/>
    <w:rsid w:val="007C127B"/>
    <w:rsid w:val="00806737"/>
    <w:rsid w:val="00825F8D"/>
    <w:rsid w:val="00834B71"/>
    <w:rsid w:val="00837F45"/>
    <w:rsid w:val="0086445C"/>
    <w:rsid w:val="00894693"/>
    <w:rsid w:val="008A08D7"/>
    <w:rsid w:val="008B6909"/>
    <w:rsid w:val="00900A96"/>
    <w:rsid w:val="00906890"/>
    <w:rsid w:val="00911BE4"/>
    <w:rsid w:val="0093403D"/>
    <w:rsid w:val="00951972"/>
    <w:rsid w:val="00953A1C"/>
    <w:rsid w:val="009608F3"/>
    <w:rsid w:val="0098262B"/>
    <w:rsid w:val="009A24AC"/>
    <w:rsid w:val="009A6D3C"/>
    <w:rsid w:val="009D78CB"/>
    <w:rsid w:val="00A14DA8"/>
    <w:rsid w:val="00A212B7"/>
    <w:rsid w:val="00A312BC"/>
    <w:rsid w:val="00A522B0"/>
    <w:rsid w:val="00A543C6"/>
    <w:rsid w:val="00A61BA6"/>
    <w:rsid w:val="00A81A6E"/>
    <w:rsid w:val="00A84021"/>
    <w:rsid w:val="00A84D35"/>
    <w:rsid w:val="00A917B3"/>
    <w:rsid w:val="00AB4B51"/>
    <w:rsid w:val="00AE173E"/>
    <w:rsid w:val="00B10CC7"/>
    <w:rsid w:val="00B36DF7"/>
    <w:rsid w:val="00B539E7"/>
    <w:rsid w:val="00B62458"/>
    <w:rsid w:val="00B65084"/>
    <w:rsid w:val="00BC18B2"/>
    <w:rsid w:val="00BD33EE"/>
    <w:rsid w:val="00BD3AA6"/>
    <w:rsid w:val="00BD3C18"/>
    <w:rsid w:val="00BD6ADB"/>
    <w:rsid w:val="00C106D6"/>
    <w:rsid w:val="00C60F0C"/>
    <w:rsid w:val="00C805C9"/>
    <w:rsid w:val="00C8236D"/>
    <w:rsid w:val="00C92939"/>
    <w:rsid w:val="00CA1679"/>
    <w:rsid w:val="00CB151C"/>
    <w:rsid w:val="00CE5A1A"/>
    <w:rsid w:val="00CF55F6"/>
    <w:rsid w:val="00D33D63"/>
    <w:rsid w:val="00D40EFD"/>
    <w:rsid w:val="00D4183D"/>
    <w:rsid w:val="00D90028"/>
    <w:rsid w:val="00D90138"/>
    <w:rsid w:val="00DA7285"/>
    <w:rsid w:val="00DD78D1"/>
    <w:rsid w:val="00DE32CD"/>
    <w:rsid w:val="00DE5F09"/>
    <w:rsid w:val="00DF71B9"/>
    <w:rsid w:val="00E34BF9"/>
    <w:rsid w:val="00E73F76"/>
    <w:rsid w:val="00EA2C9F"/>
    <w:rsid w:val="00EA420E"/>
    <w:rsid w:val="00EA5E41"/>
    <w:rsid w:val="00ED0BDA"/>
    <w:rsid w:val="00EE7AC6"/>
    <w:rsid w:val="00EF1360"/>
    <w:rsid w:val="00EF3220"/>
    <w:rsid w:val="00F16C40"/>
    <w:rsid w:val="00F43903"/>
    <w:rsid w:val="00F93FFB"/>
    <w:rsid w:val="00F94155"/>
    <w:rsid w:val="00F9783F"/>
    <w:rsid w:val="00FC261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1A67F"/>
  <w15:docId w15:val="{F9436B34-EF95-4ED3-879B-B5BAC818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61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D40EF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F93FF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F9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F93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F93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F93FF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F93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F93F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F93FF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6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D40EF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6C684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D40EFD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D40EFD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D40EFD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D40EFD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C6846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D40EF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D40EF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qFormat/>
    <w:rsid w:val="00D40EFD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rsid w:val="00D40EFD"/>
    <w:rPr>
      <w:b/>
      <w:sz w:val="18"/>
      <w:lang w:val="en-GB" w:eastAsia="ru-RU"/>
    </w:rPr>
  </w:style>
  <w:style w:type="character" w:styleId="a7">
    <w:name w:val="page number"/>
    <w:aliases w:val="7_GR,7_G"/>
    <w:basedOn w:val="a0"/>
    <w:qFormat/>
    <w:rsid w:val="00D40EFD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qFormat/>
    <w:rsid w:val="00D40EFD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rsid w:val="00D40EFD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D40EF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qFormat/>
    <w:rsid w:val="00D40EF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C261C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,5_G"/>
    <w:basedOn w:val="a"/>
    <w:link w:val="ae"/>
    <w:qFormat/>
    <w:rsid w:val="00D40EFD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D40EFD"/>
    <w:rPr>
      <w:sz w:val="18"/>
      <w:lang w:val="ru-RU" w:eastAsia="ru-RU"/>
    </w:rPr>
  </w:style>
  <w:style w:type="paragraph" w:styleId="af">
    <w:name w:val="endnote text"/>
    <w:aliases w:val="2_GR,2_G"/>
    <w:basedOn w:val="ad"/>
    <w:link w:val="af0"/>
    <w:qFormat/>
    <w:rsid w:val="00D40EFD"/>
  </w:style>
  <w:style w:type="character" w:customStyle="1" w:styleId="af0">
    <w:name w:val="Текст концевой сноски Знак"/>
    <w:aliases w:val="2_GR Знак,2_G Знак"/>
    <w:basedOn w:val="a0"/>
    <w:link w:val="af"/>
    <w:rsid w:val="00D40EFD"/>
    <w:rPr>
      <w:sz w:val="18"/>
      <w:lang w:val="ru-RU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D40EFD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D40EFD"/>
    <w:rPr>
      <w:color w:val="0000FF" w:themeColor="hyperlink"/>
      <w:u w:val="none"/>
    </w:rPr>
  </w:style>
  <w:style w:type="character" w:styleId="af2">
    <w:name w:val="FollowedHyperlink"/>
    <w:basedOn w:val="a0"/>
    <w:rsid w:val="00D40EFD"/>
    <w:rPr>
      <w:color w:val="800080" w:themeColor="followedHyperlink"/>
      <w:u w:val="none"/>
    </w:rPr>
  </w:style>
  <w:style w:type="numbering" w:styleId="111111">
    <w:name w:val="Outline List 2"/>
    <w:basedOn w:val="a2"/>
    <w:semiHidden/>
    <w:rsid w:val="00454F36"/>
    <w:pPr>
      <w:numPr>
        <w:numId w:val="26"/>
      </w:numPr>
    </w:pPr>
  </w:style>
  <w:style w:type="numbering" w:styleId="1ai">
    <w:name w:val="Outline List 1"/>
    <w:basedOn w:val="a2"/>
    <w:semiHidden/>
    <w:rsid w:val="00454F36"/>
    <w:pPr>
      <w:numPr>
        <w:numId w:val="27"/>
      </w:numPr>
    </w:pPr>
  </w:style>
  <w:style w:type="character" w:customStyle="1" w:styleId="20">
    <w:name w:val="Заголовок 2 Знак"/>
    <w:basedOn w:val="a0"/>
    <w:link w:val="2"/>
    <w:semiHidden/>
    <w:rsid w:val="00454F36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454F36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454F36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454F36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454F36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454F36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454F36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454F36"/>
    <w:rPr>
      <w:rFonts w:ascii="Arial" w:eastAsiaTheme="minorHAnsi" w:hAnsi="Arial" w:cs="Arial"/>
      <w:sz w:val="22"/>
      <w:szCs w:val="22"/>
      <w:lang w:val="ru-RU" w:eastAsia="en-US"/>
    </w:rPr>
  </w:style>
  <w:style w:type="character" w:styleId="af3">
    <w:name w:val="Book Title"/>
    <w:basedOn w:val="a0"/>
    <w:uiPriority w:val="33"/>
    <w:rsid w:val="00454F36"/>
    <w:rPr>
      <w:b/>
      <w:bCs/>
      <w:smallCaps/>
      <w:spacing w:val="5"/>
    </w:rPr>
  </w:style>
  <w:style w:type="paragraph" w:customStyle="1" w:styleId="ParNoG">
    <w:name w:val="_ParNo_G"/>
    <w:basedOn w:val="a"/>
    <w:qFormat/>
    <w:rsid w:val="00454F36"/>
    <w:pPr>
      <w:numPr>
        <w:numId w:val="31"/>
      </w:numPr>
      <w:tabs>
        <w:tab w:val="left" w:pos="1701"/>
        <w:tab w:val="left" w:pos="2268"/>
        <w:tab w:val="left" w:pos="2835"/>
      </w:tabs>
      <w:suppressAutoHyphens w:val="0"/>
      <w:kinsoku w:val="0"/>
      <w:overflowPunct w:val="0"/>
      <w:autoSpaceDE w:val="0"/>
      <w:autoSpaceDN w:val="0"/>
      <w:adjustRightInd w:val="0"/>
      <w:snapToGrid w:val="0"/>
      <w:spacing w:after="120" w:line="240" w:lineRule="auto"/>
      <w:ind w:right="1134"/>
      <w:jc w:val="both"/>
    </w:pPr>
    <w:rPr>
      <w:rFonts w:cs="Times New Roman"/>
      <w:szCs w:val="20"/>
      <w:lang w:val="en-GB" w:eastAsia="zh-CN"/>
    </w:rPr>
  </w:style>
  <w:style w:type="character" w:customStyle="1" w:styleId="SingleTxtGChar">
    <w:name w:val="_ Single Txt_G Char"/>
    <w:link w:val="SingleTxtG"/>
    <w:locked/>
    <w:rsid w:val="00454F36"/>
    <w:rPr>
      <w:lang w:val="ru-RU" w:eastAsia="en-US"/>
    </w:rPr>
  </w:style>
  <w:style w:type="table" w:customStyle="1" w:styleId="TableGrid1">
    <w:name w:val="Table Grid1"/>
    <w:basedOn w:val="a1"/>
    <w:rsid w:val="00454F36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f4">
    <w:name w:val="annotation reference"/>
    <w:uiPriority w:val="99"/>
    <w:rsid w:val="00454F36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54F36"/>
    <w:pPr>
      <w:suppressAutoHyphens w:val="0"/>
      <w:spacing w:line="240" w:lineRule="auto"/>
    </w:pPr>
    <w:rPr>
      <w:rFonts w:eastAsia="SimSun" w:cs="Times New Roman"/>
      <w:szCs w:val="20"/>
      <w:lang w:val="x-none" w:eastAsia="zh-CN"/>
    </w:rPr>
  </w:style>
  <w:style w:type="character" w:customStyle="1" w:styleId="af6">
    <w:name w:val="Текст примечания Знак"/>
    <w:basedOn w:val="a0"/>
    <w:link w:val="af5"/>
    <w:uiPriority w:val="99"/>
    <w:rsid w:val="00454F36"/>
    <w:rPr>
      <w:rFonts w:eastAsia="SimSun"/>
      <w:lang w:val="x-none" w:eastAsia="zh-CN"/>
    </w:rPr>
  </w:style>
  <w:style w:type="character" w:customStyle="1" w:styleId="H23GChar">
    <w:name w:val="_ H_2/3_G Char"/>
    <w:link w:val="H23G"/>
    <w:rsid w:val="00454F36"/>
    <w:rPr>
      <w:b/>
      <w:lang w:val="ru-RU" w:eastAsia="ru-RU"/>
    </w:rPr>
  </w:style>
  <w:style w:type="paragraph" w:styleId="af7">
    <w:name w:val="List Paragraph"/>
    <w:basedOn w:val="a"/>
    <w:uiPriority w:val="34"/>
    <w:qFormat/>
    <w:rsid w:val="00454F36"/>
    <w:pPr>
      <w:suppressAutoHyphens w:val="0"/>
      <w:spacing w:line="240" w:lineRule="auto"/>
      <w:ind w:left="720"/>
      <w:contextualSpacing/>
    </w:pPr>
    <w:rPr>
      <w:rFonts w:eastAsia="SimSun" w:cs="Times New Roman"/>
      <w:szCs w:val="20"/>
      <w:lang w:val="en-GB" w:eastAsia="zh-CN"/>
    </w:rPr>
  </w:style>
  <w:style w:type="paragraph" w:styleId="af8">
    <w:name w:val="annotation subject"/>
    <w:basedOn w:val="af5"/>
    <w:next w:val="af5"/>
    <w:link w:val="af9"/>
    <w:uiPriority w:val="99"/>
    <w:semiHidden/>
    <w:unhideWhenUsed/>
    <w:rsid w:val="00454F36"/>
    <w:rPr>
      <w:b/>
      <w:bCs/>
      <w:lang w:val="en-GB"/>
    </w:rPr>
  </w:style>
  <w:style w:type="character" w:customStyle="1" w:styleId="af9">
    <w:name w:val="Тема примечания Знак"/>
    <w:basedOn w:val="af6"/>
    <w:link w:val="af8"/>
    <w:uiPriority w:val="99"/>
    <w:semiHidden/>
    <w:rsid w:val="00454F36"/>
    <w:rPr>
      <w:rFonts w:eastAsia="SimSun"/>
      <w:b/>
      <w:bCs/>
      <w:lang w:val="en-GB" w:eastAsia="zh-CN"/>
    </w:rPr>
  </w:style>
  <w:style w:type="paragraph" w:styleId="afa">
    <w:name w:val="Revision"/>
    <w:hidden/>
    <w:uiPriority w:val="99"/>
    <w:semiHidden/>
    <w:rsid w:val="00454F36"/>
    <w:rPr>
      <w:lang w:val="en-GB" w:eastAsia="en-US"/>
    </w:rPr>
  </w:style>
  <w:style w:type="character" w:styleId="afb">
    <w:name w:val="Unresolved Mention"/>
    <w:basedOn w:val="a0"/>
    <w:uiPriority w:val="99"/>
    <w:semiHidden/>
    <w:unhideWhenUsed/>
    <w:rsid w:val="00454F36"/>
    <w:rPr>
      <w:color w:val="605E5C"/>
      <w:shd w:val="clear" w:color="auto" w:fill="E1DFDD"/>
    </w:rPr>
  </w:style>
  <w:style w:type="character" w:styleId="afc">
    <w:name w:val="Strong"/>
    <w:basedOn w:val="a0"/>
    <w:uiPriority w:val="22"/>
    <w:qFormat/>
    <w:rsid w:val="00454F36"/>
    <w:rPr>
      <w:b/>
      <w:bCs/>
    </w:rPr>
  </w:style>
  <w:style w:type="paragraph" w:styleId="afd">
    <w:name w:val="Normal (Web)"/>
    <w:basedOn w:val="a"/>
    <w:uiPriority w:val="99"/>
    <w:semiHidden/>
    <w:unhideWhenUsed/>
    <w:rsid w:val="00454F3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name w:val="a"/>
    <w:basedOn w:val="a"/>
    <w:rsid w:val="00454F3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454F3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454F3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itlesmall">
    <w:name w:val="title_small"/>
    <w:basedOn w:val="a"/>
    <w:rsid w:val="00454F3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20"/>
    <w:qFormat/>
    <w:rsid w:val="00454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A/RES/73/195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A/HRC/50/6/Add.1" TargetMode="External"/><Relationship Id="rId3" Type="http://schemas.openxmlformats.org/officeDocument/2006/relationships/hyperlink" Target="http://undocs.org/en/CMW/C/SR.501" TargetMode="External"/><Relationship Id="rId7" Type="http://schemas.openxmlformats.org/officeDocument/2006/relationships/hyperlink" Target="http://undocs.org/ru/A/HRC/50/6/Add.1" TargetMode="External"/><Relationship Id="rId2" Type="http://schemas.openxmlformats.org/officeDocument/2006/relationships/hyperlink" Target="http://undocs.org/en/CMW/C/SR.499" TargetMode="External"/><Relationship Id="rId1" Type="http://schemas.openxmlformats.org/officeDocument/2006/relationships/hyperlink" Target="http://undocs.org/en/CMW/C/SYR/2-3" TargetMode="External"/><Relationship Id="rId6" Type="http://schemas.openxmlformats.org/officeDocument/2006/relationships/hyperlink" Target="http://undocs.org/ru/A/HRC/50/6/Add.1" TargetMode="External"/><Relationship Id="rId5" Type="http://schemas.openxmlformats.org/officeDocument/2006/relationships/hyperlink" Target="http://undocs.org/ru/CMW/C/SYR/CO/1" TargetMode="External"/><Relationship Id="rId4" Type="http://schemas.openxmlformats.org/officeDocument/2006/relationships/hyperlink" Target="http://undocs.org/en/CMW/C/SR.503" TargetMode="External"/><Relationship Id="rId9" Type="http://schemas.openxmlformats.org/officeDocument/2006/relationships/hyperlink" Target="http://undocs.org/ru/HRI/GEN/2/Rev.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MW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5</TotalTime>
  <Pages>21</Pages>
  <Words>7958</Words>
  <Characters>55713</Characters>
  <Application>Microsoft Office Word</Application>
  <DocSecurity>0</DocSecurity>
  <Lines>1012</Lines>
  <Paragraphs>236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CMW/C/SYR/CO/2-3</vt:lpstr>
      <vt:lpstr>A/</vt:lpstr>
      <vt:lpstr>A/</vt:lpstr>
      <vt:lpstr>A/</vt:lpstr>
    </vt:vector>
  </TitlesOfParts>
  <Company>DCM</Company>
  <LinksUpToDate>false</LinksUpToDate>
  <CharactersWithSpaces>63663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CMW/C/SYR/CO/2-3</dc:title>
  <dc:subject/>
  <dc:creator>Elena IZOTOVA</dc:creator>
  <cp:keywords/>
  <cp:lastModifiedBy>Anna Blagodatskikh</cp:lastModifiedBy>
  <cp:revision>4</cp:revision>
  <cp:lastPrinted>2023-03-06T11:34:00Z</cp:lastPrinted>
  <dcterms:created xsi:type="dcterms:W3CDTF">2023-03-06T11:34:00Z</dcterms:created>
  <dcterms:modified xsi:type="dcterms:W3CDTF">2023-03-06T13:30:00Z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