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13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42203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rPr>
                      <w:lang w:val="en-US"/>
                    </w:rPr>
                    <w:tab/>
                    <w:t>300604    010704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3093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"Символ документа" \* MERGEFORMAT </w:instrText>
            </w:r>
            <w:r>
              <w:rPr>
                <w:sz w:val="22"/>
              </w:rPr>
              <w:fldChar w:fldCharType="separate"/>
            </w:r>
            <w:proofErr w:type="spellStart"/>
            <w:r>
              <w:rPr>
                <w:sz w:val="22"/>
              </w:rPr>
              <w:t>CAT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CR</w:t>
            </w:r>
            <w:proofErr w:type="spellEnd"/>
            <w:r>
              <w:rPr>
                <w:sz w:val="22"/>
              </w:rPr>
              <w:t>/32/5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14 </w:t>
            </w:r>
            <w:proofErr w:type="spellStart"/>
            <w:r>
              <w:rPr>
                <w:sz w:val="22"/>
              </w:rPr>
              <w:t>June</w:t>
            </w:r>
            <w:proofErr w:type="spellEnd"/>
            <w:r>
              <w:rPr>
                <w:sz w:val="22"/>
              </w:rPr>
              <w:t xml:space="preserve"> 2004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RUSSIAN</w:t>
            </w:r>
            <w:proofErr w:type="spellEnd"/>
          </w:p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Original</w:t>
            </w:r>
            <w:proofErr w:type="spellEnd"/>
            <w:r>
              <w:rPr>
                <w:sz w:val="22"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КОМИТЕТ ПРОТИВ ПЫТОК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Тридцать вторая сессия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3-21 мая 2004 года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pStyle w:val="10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Cs/>
        </w:rPr>
      </w:pPr>
      <w:r>
        <w:rPr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pStyle w:val="10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Cs/>
        </w:rPr>
      </w:pPr>
    </w:p>
    <w:p w:rsidR="00000000" w:rsidRDefault="00000000">
      <w:pPr>
        <w:pStyle w:val="14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Cs/>
          <w:u w:val="none"/>
        </w:rPr>
      </w:pPr>
      <w:r>
        <w:rPr>
          <w:bCs/>
          <w:u w:val="none"/>
        </w:rPr>
        <w:t>Выводы и рекомендации Комитета против пыток</w:t>
      </w:r>
    </w:p>
    <w:p w:rsidR="00000000" w:rsidRDefault="00000000">
      <w:pPr>
        <w:pStyle w:val="14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Cs/>
        </w:rPr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jc w:val="center"/>
        <w:rPr>
          <w:b/>
          <w:bCs/>
        </w:rPr>
      </w:pPr>
      <w:r>
        <w:rPr>
          <w:b/>
          <w:bCs/>
        </w:rPr>
        <w:t>Чили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jc w:val="center"/>
        <w:rPr>
          <w:b/>
          <w:bCs/>
        </w:rPr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1.</w:t>
      </w:r>
      <w:r>
        <w:tab/>
        <w:t>Комитет рассмотрел третий периодический доклад Чили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/39/</w:t>
      </w:r>
      <w:r>
        <w:rPr>
          <w:lang w:val="en-US"/>
        </w:rPr>
        <w:t>Add</w:t>
      </w:r>
      <w:r>
        <w:t xml:space="preserve">.5 и </w:t>
      </w:r>
      <w:proofErr w:type="spellStart"/>
      <w:r>
        <w:rPr>
          <w:lang w:val="en-US"/>
        </w:rPr>
        <w:t>Corr</w:t>
      </w:r>
      <w:proofErr w:type="spellEnd"/>
      <w:r>
        <w:t>.1) на своих 602-м и 605-м заседаниях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.602 и 605), состоявшихся 10 и 11 мая 2004 года, и принял следующие выводы и рекомендации.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pStyle w:val="16"/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2.</w:t>
      </w:r>
      <w:r>
        <w:tab/>
        <w:t>Комитет приветствует третий периодический доклад Чили, который подлежал представлению в 1997 году и который был подготовлен в соответствии с руководящими принципами Комитета.  Однако он выражает сожаление по поводу задержки с его представлением.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3.</w:t>
      </w:r>
      <w:r>
        <w:tab/>
        <w:t xml:space="preserve">Комитет приветствует дополнительную информацию, препровожденную государством-участником, а также обстоятельные и конструктивные письменные и устные ответы на вопросы, сформулированные Комитетом как до начала, так и во время сессии.  Комитет также с удовлетворением отмечает присутствие в ходе рассмотрения 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br w:type="page"/>
        <w:t>доклада представительной и весьма компетентной делегации государства-участника, что способствовало проведению всестороннего и углубленного анализа выполнения обязательств согласно Конвенции.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pStyle w:val="10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Cs/>
        </w:rPr>
      </w:pPr>
      <w:r>
        <w:rPr>
          <w:bCs/>
        </w:rPr>
        <w:t>В.</w:t>
      </w:r>
      <w:r>
        <w:rPr>
          <w:bCs/>
        </w:rPr>
        <w:tab/>
        <w:t>Позитивные аспекты</w:t>
      </w:r>
    </w:p>
    <w:p w:rsidR="00000000" w:rsidRDefault="00000000">
      <w:pPr>
        <w:pStyle w:val="10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Cs/>
        </w:rPr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4.</w:t>
      </w:r>
      <w:r>
        <w:tab/>
        <w:t>Комитет с удовлетворением отмечает следующие позитивные аспекты: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  <w:t>а)</w:t>
      </w:r>
      <w:r>
        <w:tab/>
      </w:r>
      <w:proofErr w:type="spellStart"/>
      <w:r>
        <w:t>квалифицирование</w:t>
      </w:r>
      <w:proofErr w:type="spellEnd"/>
      <w:r>
        <w:t xml:space="preserve"> актов пыток во внутреннем уголовном праве в качестве преступления;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b</w:t>
      </w:r>
      <w:r>
        <w:t>)</w:t>
      </w:r>
      <w:r>
        <w:tab/>
        <w:t>проведение коренной реформы Уголовно-процессуального кодекса, в частности в том, что касается изменений, направленных на обеспечение более надежной защиты лиц, лишенных свободы;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c</w:t>
      </w:r>
      <w:r>
        <w:t>)</w:t>
      </w:r>
      <w:r>
        <w:tab/>
        <w:t>создание Управления народного защитника по уголовным делам и прокуратуры;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d</w:t>
      </w:r>
      <w:r>
        <w:t>)</w:t>
      </w:r>
      <w:r>
        <w:tab/>
        <w:t>отмену положений о "задержании по подозрению";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e</w:t>
      </w:r>
      <w:r>
        <w:t>)</w:t>
      </w:r>
      <w:r>
        <w:tab/>
        <w:t>сокращение продолжительности периода содержания под стражей в полиции максимум до 24 часов;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f</w:t>
      </w:r>
      <w:r>
        <w:t>)</w:t>
      </w:r>
      <w:r>
        <w:tab/>
        <w:t>заверение делегации государства-участника в том, что на положения Конвенции можно прямо ссылаться в судах;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g</w:t>
      </w:r>
      <w:r>
        <w:t>)</w:t>
      </w:r>
      <w:r>
        <w:tab/>
        <w:t>создание Национальной комиссии по делам политических заключенных и фактам применения пыток для выявления лиц, подвергавшихся лишению свободы и пыткам по политическим мотивам в период военной диктатуры, а также заверения делегации государства-участника о продлении действия мандата этой Комиссии в порядке обеспечения ей возможности полностью завершить свою работу;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h</w:t>
      </w:r>
      <w:r>
        <w:t>)</w:t>
      </w:r>
      <w:r>
        <w:tab/>
        <w:t>данные делегацией государства-участника заверения в создании механизмов, призванных гарантировать, что судами не будут приниматься никакие доказательства, полученные под пыткой, а также признание ею факта существования серьезной проблемы, связанной с получением под давлением признаний у женщин, которые обращаются в государственные больницы за срочной медицинской помощью после неудачного подпольного аборта;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получение подтверждения того, что представителям неправительственных организаций разрешается периодически посещать центры содержания под стражей;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j</w:t>
      </w:r>
      <w:r>
        <w:t>)</w:t>
      </w:r>
      <w:r>
        <w:tab/>
        <w:t>сделанные в соответствии со статьями 21 и 22 Конвенции заявления о признании компетенции Комитета получать и рассматривать жалобы на государство-участника от других государств-участников (статья 21) и физических лиц (статья 22);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k</w:t>
      </w:r>
      <w:r>
        <w:t>)</w:t>
      </w:r>
      <w:r>
        <w:tab/>
        <w:t>представление делегацией государства-участника информации относительно начала процесса ратификации Факультативного протокола к Конвенции против пыток.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</w:pPr>
    </w:p>
    <w:p w:rsidR="00000000" w:rsidRDefault="00000000">
      <w:pPr>
        <w:pStyle w:val="10"/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  <w:rPr>
          <w:bCs/>
        </w:rPr>
      </w:pPr>
      <w:r>
        <w:rPr>
          <w:bCs/>
        </w:rPr>
        <w:t>С.</w:t>
      </w:r>
      <w:r>
        <w:rPr>
          <w:bCs/>
        </w:rPr>
        <w:tab/>
        <w:t>Факторы и трудности, препятствующие осуществлению Конвенции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5.</w:t>
      </w:r>
      <w:r>
        <w:tab/>
        <w:t>Как утверждается в докладе государства-участника, конституционное регулирование, которое явилось частью политического соглашения, обеспечившего условия для перехода от военной диктатуры к демократии, ставит под вопрос возможность полномасштабного осуществления основных прав человека.  Комитет сознает политические последствия указанного регулирования, а также трудности, которые оно влечет за собой, и отмечает, что многие правительства вносили в конгресс соответствующие конституционные поправки.  Однако Комитет подчеркивает, что внутриполитические перипетии не могут служить оправданием для несоблюдения государством-участником обязательств, взятых по Конвенции.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Вопросы, вызывающие обеспокоенность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  <w:jc w:val="center"/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</w:pPr>
      <w:r>
        <w:t>6.</w:t>
      </w:r>
      <w:r>
        <w:tab/>
        <w:t>У Комитета вызывают обеспокоенность следующие моменты: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16" w:lineRule="auto"/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  <w:t>а)</w:t>
      </w:r>
      <w:r>
        <w:tab/>
        <w:t>поступающие сообщения о сохраняющейся практике жестокого и грубого обращения с людьми, которое подчас равнозначно пыткам, со стороны сотрудников службы карабинеров, сотрудников следственной полиции и персонала жандармерии, и тот факт, что по соответствующим жалобам не проводится полного и беспристрастного расследования;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b</w:t>
      </w:r>
      <w:r>
        <w:t>)</w:t>
      </w:r>
      <w:r>
        <w:tab/>
        <w:t>остаются в силе некоторые конституционные нормы, препятствующие полному осуществлению основополагающих прав человека, а также декрет-закон об амнистии, который запрещает рассматривать в судебном порядке нарушения прав человека, допущенные в период с 11 сентября 1973 года по 10 марта 1978 года, и который обеспечивает безнаказанность лиц, ответственных за пытки, исчезновения людей и другие серьезные нарушения прав человека, совершенные во времена военной диктатуры.  Кроме того, жертвам пыток не предоставляется никакой компенсации;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  <w:t>с)</w:t>
      </w:r>
      <w:r>
        <w:tab/>
        <w:t>закрепленное в Уголовном кодексе определение пыток не полностью соответствует статье 1 Конвенции и в недостаточной степени отражает цели применения пыток и возможность совершения таких актов с ведома или согласия государственных должностных лиц;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d</w:t>
      </w:r>
      <w:r>
        <w:t>)</w:t>
      </w:r>
      <w:r>
        <w:tab/>
        <w:t>тот факт, что корпус карабинеров и силы следственной полиции продолжают оставаться в структуре министерства обороны, вследствие чего, помимо всего прочего, военная юрисдикция по</w:t>
      </w:r>
      <w:r>
        <w:noBreakHyphen/>
        <w:t>прежнему имеет слишком широкие полномочия;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proofErr w:type="spellStart"/>
      <w:r>
        <w:t>е</w:t>
      </w:r>
      <w:proofErr w:type="spellEnd"/>
      <w:r>
        <w:t>)</w:t>
      </w:r>
      <w:r>
        <w:tab/>
        <w:t>информация, согласно которой некоторые должностные лица, причастные к совершению актов пыток в период военной диктатуры, были назначены на высокие официальные посты;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f</w:t>
      </w:r>
      <w:r>
        <w:t>)</w:t>
      </w:r>
      <w:r>
        <w:tab/>
        <w:t>отсутствие во внутреннем законодательстве норм, недвусмысленно запрещающих высылку, возвращение или выдачу лиц при наличии оснований полагать, что они могут стать жертвами пыток в странах, куда они высылаются, а также отсутствие во внутреннем законодательстве положений, регулирующих применение статей 5, 6, 7 и 8 Конвенции;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g</w:t>
      </w:r>
      <w:r>
        <w:t>)</w:t>
      </w:r>
      <w:r>
        <w:tab/>
        <w:t xml:space="preserve">ограниченность полномочий </w:t>
      </w:r>
      <w:r>
        <w:rPr>
          <w:bCs/>
        </w:rPr>
        <w:t>Национальной комиссии по делам политических заключенных и фактам применения пыток</w:t>
      </w:r>
      <w:r>
        <w:t>, задачей которой является выявление лиц, оказавшихся жертвами пыток в период правления военной диктатуры, и определение условий для получения компенсации.  В частности, Комитет с обеспокоенностью отмечает: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ind w:left="1134" w:hanging="1134"/>
      </w:pPr>
    </w:p>
    <w:p w:rsidR="00000000" w:rsidRDefault="00000000">
      <w:pPr>
        <w:tabs>
          <w:tab w:val="decimal" w:pos="1134"/>
        </w:tabs>
        <w:ind w:left="1701" w:hanging="1701"/>
      </w:pPr>
      <w:r>
        <w:rPr>
          <w:sz w:val="20"/>
        </w:rPr>
        <w:tab/>
      </w:r>
      <w:r>
        <w:rPr>
          <w:sz w:val="20"/>
        </w:rPr>
        <w:tab/>
      </w:r>
      <w:r>
        <w:rPr>
          <w:lang w:val="es-ES_tradnl"/>
        </w:rPr>
        <w:t>i</w:t>
      </w:r>
      <w:r>
        <w:t>)</w:t>
      </w:r>
      <w:r>
        <w:tab/>
        <w:t>установление ограниченных сроков, в течение которых предполагаемые жертвы должны зарегистрироваться в реестре Комиссии, что явилось причиной меньшего количества зарегистрировавшихся по сравнению с предварительными расчетами;</w:t>
      </w:r>
    </w:p>
    <w:p w:rsidR="00000000" w:rsidRDefault="00000000">
      <w:pPr>
        <w:tabs>
          <w:tab w:val="decimal" w:pos="1134"/>
        </w:tabs>
      </w:pPr>
    </w:p>
    <w:p w:rsidR="00000000" w:rsidRDefault="00000000">
      <w:pPr>
        <w:tabs>
          <w:tab w:val="decimal" w:pos="1134"/>
        </w:tabs>
        <w:ind w:left="1701" w:hanging="1701"/>
      </w:pPr>
      <w:r>
        <w:tab/>
      </w:r>
      <w:r>
        <w:tab/>
      </w:r>
      <w:r>
        <w:rPr>
          <w:lang w:val="en-US"/>
        </w:rPr>
        <w:t>ii</w:t>
      </w:r>
      <w:r>
        <w:t>)</w:t>
      </w:r>
      <w:r>
        <w:tab/>
        <w:t>отсутствие ясности относительно того, какого рода акты квалифицируются Комиссией в качестве пыток;</w:t>
      </w:r>
    </w:p>
    <w:p w:rsidR="00000000" w:rsidRDefault="00000000">
      <w:pPr>
        <w:tabs>
          <w:tab w:val="decimal" w:pos="1134"/>
        </w:tabs>
      </w:pPr>
    </w:p>
    <w:p w:rsidR="00000000" w:rsidRDefault="00000000">
      <w:pPr>
        <w:tabs>
          <w:tab w:val="decimal" w:pos="1134"/>
        </w:tabs>
        <w:ind w:left="1701" w:hanging="1701"/>
      </w:pPr>
      <w:r>
        <w:tab/>
      </w:r>
      <w:r>
        <w:tab/>
      </w:r>
      <w:r>
        <w:rPr>
          <w:lang w:val="es-ES_tradnl"/>
        </w:rPr>
        <w:t>iii</w:t>
      </w:r>
      <w:r>
        <w:t>)</w:t>
      </w:r>
      <w:r>
        <w:tab/>
        <w:t>что, согласно полученной информации, заявления не принимаются к рассмотрению, если они не подаются лично, причем даже когда заинтересованное лицо не в состоянии сделать это в связи с болезнью;</w:t>
      </w:r>
    </w:p>
    <w:p w:rsidR="00000000" w:rsidRDefault="00000000">
      <w:pPr>
        <w:tabs>
          <w:tab w:val="decimal" w:pos="1134"/>
        </w:tabs>
      </w:pPr>
    </w:p>
    <w:p w:rsidR="00000000" w:rsidRDefault="00000000">
      <w:pPr>
        <w:tabs>
          <w:tab w:val="decimal" w:pos="1134"/>
        </w:tabs>
        <w:ind w:left="1701" w:hanging="1701"/>
      </w:pPr>
      <w:r>
        <w:tab/>
      </w:r>
      <w:r>
        <w:tab/>
      </w:r>
      <w:r>
        <w:rPr>
          <w:lang w:val="es-ES_tradnl"/>
        </w:rPr>
        <w:t>iv</w:t>
      </w:r>
      <w:r>
        <w:t>)</w:t>
      </w:r>
      <w:r>
        <w:tab/>
        <w:t>отсутствие возможности зарегистрироваться для лиц, уже получивших компенсацию в качестве жертв других видов нарушений прав человека (как, например, насильственное исчезновение или высылка);</w:t>
      </w:r>
    </w:p>
    <w:p w:rsidR="00000000" w:rsidRDefault="00000000">
      <w:pPr>
        <w:tabs>
          <w:tab w:val="decimal" w:pos="1134"/>
        </w:tabs>
      </w:pPr>
    </w:p>
    <w:p w:rsidR="00000000" w:rsidRDefault="00000000">
      <w:pPr>
        <w:tabs>
          <w:tab w:val="decimal" w:pos="1134"/>
        </w:tabs>
        <w:ind w:left="1701" w:hanging="1701"/>
      </w:pPr>
      <w:r>
        <w:tab/>
      </w:r>
      <w:r>
        <w:tab/>
      </w:r>
      <w:r>
        <w:rPr>
          <w:lang w:val="es-ES_tradnl"/>
        </w:rPr>
        <w:t>v</w:t>
      </w:r>
      <w:r>
        <w:t>)</w:t>
      </w:r>
      <w:r>
        <w:tab/>
        <w:t>что "жестко ограниченная и символическая" компенсация не соответствует "справедливой и адекватной" компенсации, как того требует статья 14 Конвенции;</w:t>
      </w:r>
    </w:p>
    <w:p w:rsidR="00000000" w:rsidRDefault="00000000">
      <w:pPr>
        <w:tabs>
          <w:tab w:val="left" w:pos="567"/>
          <w:tab w:val="decimal" w:pos="1134"/>
          <w:tab w:val="left" w:pos="1701"/>
          <w:tab w:val="left" w:pos="2268"/>
          <w:tab w:val="left" w:pos="6237"/>
        </w:tabs>
        <w:ind w:left="1134" w:hanging="1134"/>
      </w:pPr>
    </w:p>
    <w:p w:rsidR="00000000" w:rsidRDefault="00000000">
      <w:pPr>
        <w:tabs>
          <w:tab w:val="left" w:pos="567"/>
          <w:tab w:val="decimal" w:pos="1134"/>
          <w:tab w:val="left" w:pos="1701"/>
          <w:tab w:val="left" w:pos="2268"/>
          <w:tab w:val="left" w:pos="6237"/>
        </w:tabs>
        <w:ind w:left="1701" w:hanging="1701"/>
      </w:pPr>
      <w:r>
        <w:tab/>
      </w:r>
      <w:r>
        <w:tab/>
      </w:r>
      <w:r>
        <w:rPr>
          <w:lang w:val="en-US"/>
        </w:rPr>
        <w:t>vi</w:t>
      </w:r>
      <w:r>
        <w:t>)</w:t>
      </w:r>
      <w:r>
        <w:tab/>
        <w:t>что Комиссия не наделена полномочиями проводить расследования по жалобам о применении пыток в порядке выявления виновных с целью привлечения их к ответственности;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h</w:t>
      </w:r>
      <w:r>
        <w:t>)</w:t>
      </w:r>
      <w:r>
        <w:tab/>
        <w:t xml:space="preserve">серьезная проблема </w:t>
      </w:r>
      <w:proofErr w:type="spellStart"/>
      <w:r>
        <w:t>переполненности</w:t>
      </w:r>
      <w:proofErr w:type="spellEnd"/>
      <w:r>
        <w:t xml:space="preserve"> тюрем и плохие условия содержания в центрах лишения свободы, а также информация о том, что систематические проверки таких мест не проводятся;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сохранение в статьях 334 и 335 Кодекса военной юстиции принципа должного повиновения, несмотря на распоряжения, утверждающие право подчиненного на опротестование приказов, предполагающих совершение противоправных действий;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j</w:t>
      </w:r>
      <w:r>
        <w:t>)</w:t>
      </w:r>
      <w:r>
        <w:tab/>
        <w:t>тот факт, что, согласно имеющейся информации, оказание медицинской помощи женщинам, жизнь которых подвергается опасности в связи с осложнениями, наступившими по причине незаконных абортов, ставится в зависимость от сообщения ими сведений о лицах, производящих подобные аборты.  Эти признания могут быть использованы в дальнейшем для возбуждения против них самих и третьих лиц уголовных дел, что противоречит положениям Конвенции;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k</w:t>
      </w:r>
      <w:r>
        <w:t>)</w:t>
      </w:r>
      <w:r>
        <w:tab/>
        <w:t>то обстоятельство, что введение в действие на территории столичной области нового Уголовно-процессуального кодекса было отложено до конца 2005 года;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l</w:t>
      </w:r>
      <w:r>
        <w:t>)</w:t>
      </w:r>
      <w:r>
        <w:tab/>
        <w:t xml:space="preserve">крайне малое число случаев исчезновения людей, выявленных на основе информации, предоставленной армейскими структурами, несмотря на усилия правительства по налаживанию диалога </w:t>
      </w:r>
      <w:r>
        <w:rPr>
          <w:lang w:val="es-ES_tradnl"/>
        </w:rPr>
        <w:t>"</w:t>
      </w:r>
      <w:r>
        <w:t>за круглым</w:t>
      </w:r>
      <w:r>
        <w:rPr>
          <w:lang w:val="es-ES_tradnl"/>
        </w:rPr>
        <w:t xml:space="preserve"> </w:t>
      </w:r>
      <w:r>
        <w:t>столом</w:t>
      </w:r>
      <w:r>
        <w:rPr>
          <w:lang w:val="es-ES_tradnl"/>
        </w:rPr>
        <w:t>"</w:t>
      </w:r>
      <w:r>
        <w:t>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m</w:t>
      </w:r>
      <w:r>
        <w:t>)</w:t>
      </w:r>
      <w:r>
        <w:tab/>
        <w:t xml:space="preserve">отсутствие </w:t>
      </w:r>
      <w:proofErr w:type="spellStart"/>
      <w:r>
        <w:t>дезагрегированных</w:t>
      </w:r>
      <w:proofErr w:type="spellEnd"/>
      <w:r>
        <w:t xml:space="preserve"> данных по представленным жалобам, результатам расследований и процессуальным действиям, возбужденным в связи с положениями Конвенции;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n</w:t>
      </w:r>
      <w:r>
        <w:t>)</w:t>
      </w:r>
      <w:r>
        <w:tab/>
        <w:t xml:space="preserve">недостаточный объем информации относительно применения Конвенции в вооруженных силах. 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pStyle w:val="10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Cs/>
        </w:rPr>
      </w:pPr>
      <w:r>
        <w:rPr>
          <w:bCs/>
        </w:rPr>
        <w:t>Е.</w:t>
      </w:r>
      <w:r>
        <w:rPr>
          <w:bCs/>
        </w:rPr>
        <w:tab/>
        <w:t>Рекомендации</w:t>
      </w:r>
    </w:p>
    <w:p w:rsidR="00000000" w:rsidRDefault="00000000">
      <w:pPr>
        <w:pStyle w:val="10"/>
        <w:tabs>
          <w:tab w:val="left" w:pos="567"/>
          <w:tab w:val="left" w:pos="1134"/>
          <w:tab w:val="left" w:pos="1701"/>
          <w:tab w:val="left" w:pos="2268"/>
          <w:tab w:val="left" w:pos="6237"/>
        </w:tabs>
        <w:rPr>
          <w:bCs/>
        </w:rPr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7.</w:t>
      </w:r>
      <w:r>
        <w:tab/>
        <w:t>Комитет рекомендует государству-участнику: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  <w:t>а)</w:t>
      </w:r>
      <w:r>
        <w:tab/>
        <w:t>принять определение понятия "пытка", согласующееся с определением, закрепленным в статье 1 Конвенции, и проследить за тем, чтобы им охватывались все виды пыток в любой форме;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b</w:t>
      </w:r>
      <w:r>
        <w:t>)</w:t>
      </w:r>
      <w:r>
        <w:tab/>
        <w:t>внести в Конституцию поправки, призванные гарантировать полную защиту прав человека, включая право не подвергаться пыткам и другим жестоким, бесчеловечным или унижающим достоинство видам обращения и наказания, как того требует Конвенция, и с этой целью отменить действие декрета-закона об амнистии;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c</w:t>
      </w:r>
      <w:r>
        <w:t>)</w:t>
      </w:r>
      <w:r>
        <w:tab/>
        <w:t>передать функции надзора за корпусом карабинеров и силами следственной полиции из ведения министерства обороны в ведение министерства внутренних дел и следить за тем, чтобы юрисдикция военных трибуналов распространялась только на преступления военного характера;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d</w:t>
      </w:r>
      <w:r>
        <w:t>)</w:t>
      </w:r>
      <w:r>
        <w:tab/>
        <w:t>упразднить закрепленный в Кодексе военной юстиции принцип должного повиновения, что позволит обеспечить защищенность при неисполнении приказов, отданных вышестоящими начальниками, и будет соответствовать положениям пункта 3 статьи 2 Конвенции;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proofErr w:type="spellStart"/>
      <w:r>
        <w:t>е</w:t>
      </w:r>
      <w:proofErr w:type="spellEnd"/>
      <w:r>
        <w:t>)</w:t>
      </w:r>
      <w:r>
        <w:tab/>
        <w:t>принять все необходимые меры для того, чтобы гарантировать оперативное, беспристрастное и полное расследование всех сообщений об актах пыток и других жестоких, бесчеловечных или унижающих достоинство видов обращения и наказания, а также судебное преследование и наказание виновных, равно как и выплату жертвам справедливой и адекватной компенсации в соответствии с положениями Конвенции;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f</w:t>
      </w:r>
      <w:r>
        <w:t>)</w:t>
      </w:r>
      <w:r>
        <w:tab/>
        <w:t>рассмотреть возможность упразднения срока давности или увеличения ныне действующего срока давности в 10 лет, предусмотренного за применение пыток, принимая во внимание тяжесть таких преступлений;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g</w:t>
      </w:r>
      <w:r>
        <w:t>)</w:t>
      </w:r>
      <w:r>
        <w:tab/>
        <w:t>ввести нормы, призванные установить запрет на высылку, возвращение или выдачу лиц в те страны, где им может угрожать опасность подвергнуться применению пыток;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h</w:t>
      </w:r>
      <w:r>
        <w:t>)</w:t>
      </w:r>
      <w:r>
        <w:tab/>
        <w:t>принять меры правового характера, призванные четко определить статус Конвенции во внутреннем законодательстве, с тем чтобы гарантировать ее применение, или же принять специальный закон, в котором нашли бы отражение ее положения;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>разработать программы подготовки судей, работников прокуратуры и сотрудников органов юстиции, ответственных за соблюдение законодательства, связанного с применением положений Конвенции.  Указанные программы должны включать запрет на применение пыток и жестоких, бесчеловечных или унижающих достоинство видов обращения со стороны военнослужащих, сотрудников полиции и других сил по поддержанию правопорядка, а также со стороны лиц, тем или иным образом причастных к задержанию, проведению допросов или обращению с лицами, могущими быть подвергнутыми пыткам.  Государство-участник должно также следить за тем, чтобы медицинские работники получали специальную подготовку по вопросам установления и документального подтверждения случаев применения пыток;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j</w:t>
      </w:r>
      <w:r>
        <w:t>)</w:t>
      </w:r>
      <w:r>
        <w:tab/>
        <w:t xml:space="preserve">улучшить условия содержания в местах лишения свободы в целях доведения их до международных стандартов и принять срочные меры для решения проблемы </w:t>
      </w:r>
      <w:proofErr w:type="spellStart"/>
      <w:r>
        <w:t>переполненности</w:t>
      </w:r>
      <w:proofErr w:type="spellEnd"/>
      <w:r>
        <w:t xml:space="preserve"> тюрем и других мест лишения свободы.  Кроме того, государство-участник должно внедрить эффективную систему инспектирования на предмет проверки условий содержания, обращения с заключенными, а также выявления случаев насилия среди заключенных и проявлений сексуального насилия в их среде;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k</w:t>
      </w:r>
      <w:r>
        <w:t>)</w:t>
      </w:r>
      <w:r>
        <w:tab/>
        <w:t>продлить мандат и расширить полномочия Национальной комиссии по делам политических заключенных и фактам применения пыток в целях обеспечения жертвам всех видов пыток, включая жертв сексуального насилия, возможности подавать жалобы.  В этих целях Комитет рекомендует государству-участнику: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decimal" w:pos="1134"/>
        </w:tabs>
        <w:ind w:left="1701" w:hanging="1701"/>
      </w:pPr>
      <w:r>
        <w:tab/>
      </w:r>
      <w:r>
        <w:tab/>
      </w:r>
      <w:r>
        <w:rPr>
          <w:lang w:val="es-ES_tradnl"/>
        </w:rPr>
        <w:t>i</w:t>
      </w:r>
      <w:r>
        <w:t>)</w:t>
      </w:r>
      <w:r>
        <w:tab/>
        <w:t>принять меры по более широкому освещению деятельности Комиссии с привлечением всех средств массовой информации и с разъяснением определения понятия "пытка", причем в анкетах, заполняемых жертвами, должен фигурировать не  носящий исчерпывающего характера перечень, в котором конкретизируются различные виды пыток, включая сексуальное насилие;</w:t>
      </w:r>
    </w:p>
    <w:p w:rsidR="00000000" w:rsidRDefault="00000000">
      <w:pPr>
        <w:tabs>
          <w:tab w:val="decimal" w:pos="1134"/>
        </w:tabs>
        <w:ind w:left="1701" w:hanging="1701"/>
      </w:pPr>
    </w:p>
    <w:p w:rsidR="00000000" w:rsidRDefault="00000000">
      <w:pPr>
        <w:tabs>
          <w:tab w:val="decimal" w:pos="1134"/>
        </w:tabs>
        <w:ind w:left="1701" w:hanging="1701"/>
      </w:pPr>
      <w:r>
        <w:tab/>
      </w:r>
      <w:r>
        <w:tab/>
      </w:r>
      <w:r>
        <w:rPr>
          <w:lang w:val="es-ES_tradnl"/>
        </w:rPr>
        <w:t>ii</w:t>
      </w:r>
      <w:r>
        <w:t>)</w:t>
      </w:r>
      <w:r>
        <w:tab/>
        <w:t>гарантировать конфиденциальный характер регистрации жертв в реестре Комиссии и возможность регистрации лиц, проживающих в сельских районах, или лиц, не имеющих по различным причинам возможности зарегистрироваться лично;</w:t>
      </w:r>
    </w:p>
    <w:p w:rsidR="00000000" w:rsidRDefault="00000000">
      <w:pPr>
        <w:tabs>
          <w:tab w:val="decimal" w:pos="1134"/>
        </w:tabs>
        <w:ind w:left="1701" w:hanging="1701"/>
      </w:pPr>
    </w:p>
    <w:p w:rsidR="00000000" w:rsidRDefault="00000000">
      <w:pPr>
        <w:tabs>
          <w:tab w:val="decimal" w:pos="1134"/>
        </w:tabs>
        <w:ind w:left="1701" w:hanging="1701"/>
      </w:pPr>
      <w:r>
        <w:tab/>
      </w:r>
      <w:r>
        <w:tab/>
      </w:r>
      <w:r>
        <w:rPr>
          <w:lang w:val="es-ES_tradnl"/>
        </w:rPr>
        <w:t>iii</w:t>
      </w:r>
      <w:r>
        <w:t>)</w:t>
      </w:r>
      <w:r>
        <w:tab/>
        <w:t xml:space="preserve">включить в итоговый доклад Комиссии </w:t>
      </w:r>
      <w:proofErr w:type="spellStart"/>
      <w:r>
        <w:t>дезагрегированные</w:t>
      </w:r>
      <w:proofErr w:type="spellEnd"/>
      <w:r>
        <w:t xml:space="preserve"> данные с разбивкой, среди прочего, по полу, возрасту и видам примененных пыток;</w:t>
      </w:r>
    </w:p>
    <w:p w:rsidR="00000000" w:rsidRDefault="00000000">
      <w:pPr>
        <w:tabs>
          <w:tab w:val="decimal" w:pos="1134"/>
        </w:tabs>
        <w:ind w:left="1701" w:hanging="1701"/>
      </w:pPr>
    </w:p>
    <w:p w:rsidR="00000000" w:rsidRDefault="00000000">
      <w:pPr>
        <w:tabs>
          <w:tab w:val="left" w:pos="567"/>
          <w:tab w:val="decimal" w:pos="1134"/>
          <w:tab w:val="left" w:pos="1701"/>
          <w:tab w:val="left" w:pos="2268"/>
          <w:tab w:val="left" w:pos="6237"/>
        </w:tabs>
        <w:ind w:left="1701" w:hanging="1701"/>
      </w:pPr>
      <w:r>
        <w:tab/>
      </w:r>
      <w:r>
        <w:tab/>
      </w:r>
      <w:r>
        <w:rPr>
          <w:lang w:val="es-ES_tradnl"/>
        </w:rPr>
        <w:t>iv</w:t>
      </w:r>
      <w:r>
        <w:t>)</w:t>
      </w:r>
      <w:r>
        <w:tab/>
        <w:t>рассмотреть возможность расширения правомочий Комиссии, с тем чтобы она могла проводить расследования, которые, когда это оправдано, могут послужить основанием для возбуждения уголовных дел в отношении лиц, которые, согласно сообщениям, виновны в совершении тех или иных деяний;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l</w:t>
      </w:r>
      <w:r>
        <w:t>)</w:t>
      </w:r>
      <w:r>
        <w:tab/>
        <w:t>создать систему выплаты адекватной и справедливой компенсации жертвам пыток, предусматривающую меры по реабилитации и возмещению ущерба;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m</w:t>
      </w:r>
      <w:r>
        <w:t>)</w:t>
      </w:r>
      <w:r>
        <w:tab/>
        <w:t>упразднить практику применения давления с целью получения признаний, могущих служить основанием для возбуждения уголовных дел, у женщин, обращающихся за неотложной медицинской помощью после неудачного подпольного аборта;  провести расследования и пересмотреть приговоры, вынесенные по делам, в которых в качестве доказательств были приняты свидетельские показания, полученные под принуждением, и принять соответствующие меры, в частности аннулировать вынесенные приговоры, не согласующиеся с положениями Конвенции.  Согласно директивным указаниям Всемирной организации здравоохранения, государство-участник обязано гарантировать немедленное и безусловное оказание медицинских услуг лицам, обращающимся за неотложной медицинской помощью;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n</w:t>
      </w:r>
      <w:r>
        <w:t>)</w:t>
      </w:r>
      <w:r>
        <w:tab/>
        <w:t>проследить за тем, чтобы действие нового Уголовно-процессуального кодекса как можно скорее было распространено на столичную область и чтобы положения имели силу на всей территории страны;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o</w:t>
      </w:r>
      <w:r>
        <w:t>)</w:t>
      </w:r>
      <w:r>
        <w:tab/>
        <w:t>в рамках реформы системы уголовного правосудия вести принцип защиты лиц, которые могут подвергнуться дополнительному травматизму в ходе проведения судебного разбирательства, особенно по делам о таких преступлениях, как жестокое обращение с несовершеннолетними и сексуальное насилие;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p</w:t>
      </w:r>
      <w:r>
        <w:t>)</w:t>
      </w:r>
      <w:r>
        <w:tab/>
        <w:t>представить Комитету обновленную информацию о положении дел в области расследования совершенных в прошлом преступлений, связанных с актами пыток, в том числе по таким делам, которые известны как "Караван смерти", "Операция «Кондор»" и "Колония «Достоинство»";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ab/>
      </w:r>
      <w:r>
        <w:rPr>
          <w:lang w:val="en-US"/>
        </w:rPr>
        <w:t>q</w:t>
      </w:r>
      <w:r>
        <w:t>)</w:t>
      </w:r>
      <w:r>
        <w:tab/>
        <w:t xml:space="preserve">представить подробные и </w:t>
      </w:r>
      <w:proofErr w:type="spellStart"/>
      <w:r>
        <w:t>дезагрегированные</w:t>
      </w:r>
      <w:proofErr w:type="spellEnd"/>
      <w:r>
        <w:t xml:space="preserve"> статистические данные с разбивкой по возрасту, полу и географическому распределению поданных жалоб в отношении актов пыток и злоупотреблений, предположительно совершенных сотрудниками сил по поддержанию правопорядка, а также в отношении соответствующих расследований, возбужденных дел и вынесенных</w:t>
      </w:r>
      <w:r>
        <w:rPr>
          <w:b/>
          <w:bCs/>
        </w:rPr>
        <w:t xml:space="preserve"> </w:t>
      </w:r>
      <w:r>
        <w:t>приговоров.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8.</w:t>
      </w:r>
      <w:r>
        <w:tab/>
        <w:t xml:space="preserve">Комитет обращается к государству-участнику с просьбой не позднее чем через год представить информацию относительно выполнения рекомендаций, сформулированных Комитетом в подпунктах </w:t>
      </w:r>
      <w:r>
        <w:rPr>
          <w:lang w:val="en-US"/>
        </w:rPr>
        <w:t>k</w:t>
      </w:r>
      <w:r>
        <w:t xml:space="preserve">), </w:t>
      </w:r>
      <w:r>
        <w:rPr>
          <w:lang w:val="en-US"/>
        </w:rPr>
        <w:t>m</w:t>
      </w:r>
      <w:r>
        <w:t xml:space="preserve">) и </w:t>
      </w:r>
      <w:r>
        <w:rPr>
          <w:lang w:val="en-US"/>
        </w:rPr>
        <w:t>q</w:t>
      </w:r>
      <w:r>
        <w:t>) пункта 7.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  <w:r>
        <w:t>9.</w:t>
      </w:r>
      <w:r>
        <w:tab/>
        <w:t>Комитет, принимая во внимание, что Чили представила информацию относительно осуществления Конвенции за период, охватываемый третьим и четвертым периодическими докладами, рекомендует государству-участнику представить свой пятый доклад не позднее 29 октября 2005 года.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jc w:val="center"/>
      </w:pPr>
      <w:r>
        <w:t>-----</w:t>
      </w:r>
    </w:p>
    <w:p w:rsidR="00000000" w:rsidRDefault="00000000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</w:pPr>
    </w:p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CAT/C/CR/32/5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65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CAT/C/CR/32/5</w:t>
    </w:r>
  </w:p>
  <w:p w:rsidR="00000000" w:rsidRDefault="00000000">
    <w:pPr>
      <w:pStyle w:val="Header"/>
      <w:tabs>
        <w:tab w:val="left" w:pos="7655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655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  <w:tab w:val="left" w:pos="76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1</TotalTime>
  <Pages>1</Pages>
  <Words>2341</Words>
  <Characters>13344</Characters>
  <Application>Microsoft Office Word</Application>
  <DocSecurity>4</DocSecurity>
  <Lines>111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0442203.doc</vt:lpstr>
    </vt:vector>
  </TitlesOfParts>
  <Company> 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0442203.doc</dc:title>
  <dc:subject/>
  <dc:creator>Beliaeva</dc:creator>
  <cp:keywords/>
  <dc:description/>
  <cp:lastModifiedBy>Beliaeva</cp:lastModifiedBy>
  <cp:revision>3</cp:revision>
  <cp:lastPrinted>2004-07-01T12:21:00Z</cp:lastPrinted>
  <dcterms:created xsi:type="dcterms:W3CDTF">2004-07-01T12:21:00Z</dcterms:created>
  <dcterms:modified xsi:type="dcterms:W3CDTF">2004-07-01T12:21:00Z</dcterms:modified>
</cp:coreProperties>
</file>