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22.65pt;width:198pt;height:18pt;z-index:1;mso-position-horizontal-relative:margin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GE.02-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42451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210602    250602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7"/>
            </w:pPr>
            <w:r>
              <w:t>CAT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0.25pt" fillcolor="window">
                  <v:imagedata r:id="rId7" o:title=""/>
                </v:shape>
              </w:pi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  <w:rPr>
                <w:b/>
                <w:sz w:val="30"/>
              </w:rPr>
            </w:pPr>
            <w:r>
              <w:rPr>
                <w:b/>
                <w:sz w:val="30"/>
              </w:rPr>
              <w:t>Конвенция против пыток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  <w:rPr>
                <w:b/>
                <w:sz w:val="30"/>
              </w:rPr>
            </w:pPr>
            <w:r>
              <w:rPr>
                <w:b/>
                <w:sz w:val="30"/>
              </w:rPr>
              <w:t>и других жестоких, бесчеловечных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  <w:rPr>
                <w:b/>
                <w:sz w:val="30"/>
              </w:rPr>
            </w:pPr>
            <w:r>
              <w:rPr>
                <w:b/>
                <w:sz w:val="30"/>
              </w:rPr>
              <w:t>или унижающих достоинство видов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>обращения и наказания</w:t>
            </w:r>
          </w:p>
        </w:tc>
        <w:tc>
          <w:tcPr>
            <w:tcW w:w="2835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Distr</w:t>
            </w:r>
            <w:proofErr w:type="spellEnd"/>
            <w:r>
              <w:rPr>
                <w:sz w:val="22"/>
              </w:rPr>
              <w:t>.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0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0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  <w:lang w:val="en-US"/>
              </w:rPr>
              <w:t>CAT/C/CR/28/7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Дата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  <w:lang w:val="en-US"/>
              </w:rPr>
              <w:t>6 June 2002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1" w:name="ПолеСоСписком3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rPr>
          <w:lang w:val="en-US"/>
        </w:rPr>
      </w:pPr>
    </w:p>
    <w:p w:rsidR="00000000" w:rsidRDefault="00000000">
      <w:r>
        <w:t>КОМИТЕТ ПРОТИВ ПЫТОК</w:t>
      </w:r>
    </w:p>
    <w:p w:rsidR="00000000" w:rsidRDefault="00000000">
      <w:r>
        <w:t>Двадцать восьмая сессия</w:t>
      </w:r>
    </w:p>
    <w:p w:rsidR="00000000" w:rsidRDefault="00000000">
      <w:r>
        <w:t xml:space="preserve">29 апреля </w:t>
      </w:r>
      <w:r>
        <w:noBreakHyphen/>
        <w:t xml:space="preserve"> 17 мая 2002 года</w:t>
      </w: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pStyle w:val="16"/>
      </w:pPr>
      <w:r>
        <w:t>РАССМОТРЕНИЕ ДОКЛАДОВ, ПРЕДСТАВЛЕННЫХ ГОСУДАРСТВАМИ</w:t>
      </w:r>
      <w:r>
        <w:noBreakHyphen/>
        <w:t xml:space="preserve"> УЧАСТНИКАМИ В СООТВЕТСТВИИ СО СТАТЬЕЙ 19 КОНВЕНЦИИ</w:t>
      </w:r>
    </w:p>
    <w:p w:rsidR="00000000" w:rsidRDefault="00000000">
      <w:pPr>
        <w:pStyle w:val="16"/>
      </w:pPr>
    </w:p>
    <w:p w:rsidR="00000000" w:rsidRDefault="00000000">
      <w:pPr>
        <w:pStyle w:val="11"/>
      </w:pPr>
      <w:r>
        <w:t>Выводы и рекомендации Комитета против пыток</w:t>
      </w:r>
    </w:p>
    <w:p w:rsidR="00000000" w:rsidRDefault="00000000">
      <w:pPr>
        <w:pStyle w:val="11"/>
      </w:pPr>
    </w:p>
    <w:p w:rsidR="00000000" w:rsidRDefault="00000000">
      <w:pPr>
        <w:pStyle w:val="16"/>
      </w:pPr>
      <w:r>
        <w:t>Узбекистан</w:t>
      </w:r>
    </w:p>
    <w:p w:rsidR="00000000" w:rsidRDefault="00000000">
      <w:pPr>
        <w:pStyle w:val="16"/>
      </w:pPr>
    </w:p>
    <w:p w:rsidR="00000000" w:rsidRDefault="00000000">
      <w:r>
        <w:t>1.</w:t>
      </w:r>
      <w:r>
        <w:tab/>
        <w:t>Комитет рассмотрел второй периодический доклад Узбекистана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/53/</w:t>
      </w:r>
      <w:r>
        <w:rPr>
          <w:lang w:val="en-US"/>
        </w:rPr>
        <w:t>Add</w:t>
      </w:r>
      <w:r>
        <w:t>.1) на своих 506, 509 и 518</w:t>
      </w:r>
      <w:r>
        <w:noBreakHyphen/>
        <w:t>м заседаниях, состоявшихся 1, 2 и 8 мая 2002 года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.506, 509 и 518), и принял следующие выводы и рекомендации.</w:t>
      </w:r>
    </w:p>
    <w:p w:rsidR="00000000" w:rsidRDefault="00000000"/>
    <w:p w:rsidR="00000000" w:rsidRDefault="00000000">
      <w:pPr>
        <w:jc w:val="center"/>
      </w:pPr>
      <w:r>
        <w:rPr>
          <w:lang w:val="en-US"/>
        </w:rPr>
        <w:t>A</w:t>
      </w:r>
      <w:r>
        <w:t>.</w:t>
      </w:r>
      <w:r>
        <w:tab/>
        <w:t>Введение</w:t>
      </w:r>
    </w:p>
    <w:p w:rsidR="00000000" w:rsidRDefault="00000000">
      <w:pPr>
        <w:jc w:val="center"/>
      </w:pPr>
    </w:p>
    <w:p w:rsidR="00000000" w:rsidRDefault="00000000">
      <w:r>
        <w:t>2.</w:t>
      </w:r>
      <w:r>
        <w:tab/>
        <w:t>Комитет приветствует второй периодический доклад Узбекистана, который был представлен своевременно и в соответствии с предыдущей просьбой Комитета.  Он ценит обстоятельную информацию о многочисленных реформах с целью привести внутреннее законодательство в соответствие с обязательствами государства</w:t>
      </w:r>
      <w:r>
        <w:noBreakHyphen/>
        <w:t>участника по Конвенции.  Отмечая, что в докладе имеется мало информации об осуществлении Конвенции на практике, Комитет вместе с тем хотел бы выразить свою признательность за информативные устные обновленные данные, приведенные представителями государства</w:t>
      </w:r>
      <w:r>
        <w:noBreakHyphen/>
        <w:t>участника в ходе рассмотрения доклада, и за готовность государства</w:t>
      </w:r>
      <w:r>
        <w:noBreakHyphen/>
        <w:t xml:space="preserve">участника предоставить дальнейшую информацию и соответствующую статистику в письменном виде.  </w:t>
      </w:r>
    </w:p>
    <w:p w:rsidR="00000000" w:rsidRDefault="00000000"/>
    <w:p w:rsidR="00000000" w:rsidRDefault="00000000">
      <w:pPr>
        <w:jc w:val="center"/>
      </w:pPr>
      <w:r>
        <w:rPr>
          <w:lang w:val="en-US"/>
        </w:rPr>
        <w:br w:type="page"/>
        <w:t>B</w:t>
      </w:r>
      <w:r>
        <w:t>.</w:t>
      </w:r>
      <w:r>
        <w:tab/>
        <w:t>Позитивные аспекты</w:t>
      </w:r>
    </w:p>
    <w:p w:rsidR="00000000" w:rsidRDefault="00000000">
      <w:pPr>
        <w:jc w:val="center"/>
      </w:pPr>
    </w:p>
    <w:p w:rsidR="00000000" w:rsidRDefault="00000000">
      <w:r>
        <w:t>3.</w:t>
      </w:r>
      <w:r>
        <w:tab/>
        <w:t xml:space="preserve">Комитет отмечает следующие позитивные события:  </w:t>
      </w:r>
    </w:p>
    <w:p w:rsidR="00000000" w:rsidRDefault="00000000"/>
    <w:p w:rsidR="00000000" w:rsidRDefault="00000000">
      <w:r>
        <w:tab/>
      </w:r>
      <w:r>
        <w:rPr>
          <w:lang w:val="en-US"/>
        </w:rPr>
        <w:t>a</w:t>
      </w:r>
      <w:r>
        <w:t>)</w:t>
      </w:r>
      <w:r>
        <w:tab/>
        <w:t>ратификацию нескольких важных договоров по правам человека и принятие многочисленных законов с целью привести законодательство в соответствие с обязательствами по этим договорам;</w:t>
      </w:r>
    </w:p>
    <w:p w:rsidR="00000000" w:rsidRDefault="00000000"/>
    <w:p w:rsidR="00000000" w:rsidRDefault="00000000">
      <w:r>
        <w:tab/>
      </w:r>
      <w:r>
        <w:rPr>
          <w:lang w:val="en-US"/>
        </w:rPr>
        <w:t>b</w:t>
      </w:r>
      <w:r>
        <w:t>)</w:t>
      </w:r>
      <w:r>
        <w:tab/>
        <w:t>предпринятые государством</w:t>
      </w:r>
      <w:r>
        <w:noBreakHyphen/>
        <w:t>участником просветительские инициативы для ознакомления различных слоев общества с международными стандартами в области прав человека и обширные усилия в плане сотрудничества с международными организациями в целях поощрения понимания прав человека, включая привлечение технического сотрудничества со стороны Управления Верховного комиссара по правам человека;</w:t>
      </w:r>
    </w:p>
    <w:p w:rsidR="00000000" w:rsidRDefault="00000000"/>
    <w:p w:rsidR="00000000" w:rsidRDefault="00000000">
      <w:r>
        <w:tab/>
      </w:r>
      <w:r>
        <w:rPr>
          <w:lang w:val="en-US"/>
        </w:rPr>
        <w:t>c</w:t>
      </w:r>
      <w:r>
        <w:t>)</w:t>
      </w:r>
      <w:r>
        <w:tab/>
        <w:t>сообщения государства</w:t>
      </w:r>
      <w:r>
        <w:noBreakHyphen/>
        <w:t>участника о его усилиях по составлению нового определения пыток, которое было бы совместимо с определением по статье 1 Конвенции, и внесение в парламент законопроекта, с тем чтобы позволить гражданам подавать жалобы, в том что касается пыток;</w:t>
      </w:r>
    </w:p>
    <w:p w:rsidR="00000000" w:rsidRDefault="00000000"/>
    <w:p w:rsidR="00000000" w:rsidRDefault="00000000">
      <w:r>
        <w:tab/>
      </w:r>
      <w:r>
        <w:rPr>
          <w:lang w:val="en-US"/>
        </w:rPr>
        <w:t>d</w:t>
      </w:r>
      <w:r>
        <w:t>)</w:t>
      </w:r>
      <w:r>
        <w:tab/>
        <w:t>заверения представителя государства</w:t>
      </w:r>
      <w:r>
        <w:noBreakHyphen/>
        <w:t>участника на тот счет, что государство намерено учредить независимую судебную власть;</w:t>
      </w:r>
    </w:p>
    <w:p w:rsidR="00000000" w:rsidRDefault="00000000"/>
    <w:p w:rsidR="00000000" w:rsidRDefault="00000000">
      <w:r>
        <w:tab/>
      </w:r>
      <w:r>
        <w:rPr>
          <w:lang w:val="en-US"/>
        </w:rPr>
        <w:t>e</w:t>
      </w:r>
      <w:r>
        <w:t>)</w:t>
      </w:r>
      <w:r>
        <w:tab/>
        <w:t>сообщение представителя государства</w:t>
      </w:r>
      <w:r>
        <w:noBreakHyphen/>
        <w:t xml:space="preserve">участника об учреждении апелляционной системы в отношении судебных приговоров и о введении альтернатив приговорам к тюремному заключению, освобождения задержанных под залог;  </w:t>
      </w:r>
    </w:p>
    <w:p w:rsidR="00000000" w:rsidRDefault="00000000"/>
    <w:p w:rsidR="00000000" w:rsidRDefault="00000000">
      <w:r>
        <w:tab/>
      </w:r>
      <w:r>
        <w:rPr>
          <w:lang w:val="en-US"/>
        </w:rPr>
        <w:t>f</w:t>
      </w:r>
      <w:r>
        <w:t>)</w:t>
      </w:r>
      <w:r>
        <w:tab/>
        <w:t>сообщенную представителем государства</w:t>
      </w:r>
      <w:r>
        <w:noBreakHyphen/>
        <w:t xml:space="preserve">участника информацию о том, что разрабатываются меры по выводам официального разбора жалоб, поступивших в Управление </w:t>
      </w:r>
      <w:proofErr w:type="spellStart"/>
      <w:r>
        <w:t>омбудсмена</w:t>
      </w:r>
      <w:proofErr w:type="spellEnd"/>
      <w:r>
        <w:t>, который позволил выявить ряд спорных судебных приговоров, случаи пыток или жестокого обращения со стороны сотрудников правоохранительных органов и неадекватный надзор за применением норм в области прав человека со стороны правоохранительных ведомств;</w:t>
      </w:r>
    </w:p>
    <w:p w:rsidR="00000000" w:rsidRDefault="00000000"/>
    <w:p w:rsidR="00000000" w:rsidRDefault="00000000">
      <w:r>
        <w:tab/>
      </w:r>
      <w:r>
        <w:rPr>
          <w:lang w:val="en-US"/>
        </w:rPr>
        <w:t>g</w:t>
      </w:r>
      <w:r>
        <w:t>)</w:t>
      </w:r>
      <w:r>
        <w:tab/>
        <w:t>судебное преследование четырех сотрудников полиции и назначение им в январе 2002 года наказания в виде тюремного заключения за применение пыток, а также заявление представителя государства</w:t>
      </w:r>
      <w:r>
        <w:noBreakHyphen/>
        <w:t>частника о том, что это стало поворотным пунктом, возвестившим о приверженности государства</w:t>
      </w:r>
      <w:r>
        <w:noBreakHyphen/>
        <w:t>участника реализации запрещения пыток на практике.</w:t>
      </w:r>
    </w:p>
    <w:p w:rsidR="00000000" w:rsidRDefault="00000000"/>
    <w:p w:rsidR="00000000" w:rsidRDefault="00000000">
      <w:pPr>
        <w:jc w:val="center"/>
      </w:pPr>
      <w:r>
        <w:rPr>
          <w:lang w:val="en-US"/>
        </w:rPr>
        <w:t>C</w:t>
      </w:r>
      <w:r>
        <w:t>.</w:t>
      </w:r>
      <w:r>
        <w:tab/>
        <w:t>Факторы и трудности, препятствующие применению Конвенции</w:t>
      </w:r>
    </w:p>
    <w:p w:rsidR="00000000" w:rsidRDefault="00000000">
      <w:pPr>
        <w:jc w:val="center"/>
      </w:pPr>
    </w:p>
    <w:p w:rsidR="00000000" w:rsidRDefault="00000000">
      <w:r>
        <w:t>4.</w:t>
      </w:r>
      <w:r>
        <w:tab/>
        <w:t>Комитет сознает трудность преодоления наследия тоталитарной системы при переходе к демократической форме правления, а также то обстоятельство, что такой переход усугубляется нестабильностью в регионе.  Тем не менее Комитет подчеркивает, что на такие обстоятельства нельзя ссылаться в качестве оправдания пыток.</w:t>
      </w:r>
    </w:p>
    <w:p w:rsidR="00000000" w:rsidRDefault="00000000"/>
    <w:p w:rsidR="00000000" w:rsidRDefault="00000000">
      <w:pPr>
        <w:jc w:val="center"/>
      </w:pPr>
      <w:r>
        <w:rPr>
          <w:lang w:val="en-US"/>
        </w:rPr>
        <w:t>D</w:t>
      </w:r>
      <w:r>
        <w:t>.</w:t>
      </w:r>
      <w:r>
        <w:tab/>
        <w:t>Проблемы, вызывающие озабоченность</w:t>
      </w:r>
    </w:p>
    <w:p w:rsidR="00000000" w:rsidRDefault="00000000">
      <w:pPr>
        <w:jc w:val="center"/>
      </w:pPr>
    </w:p>
    <w:p w:rsidR="00000000" w:rsidRDefault="00000000">
      <w:r>
        <w:t>5.</w:t>
      </w:r>
      <w:r>
        <w:tab/>
        <w:t>Комитет выражает озабоченность в отношении следующего:</w:t>
      </w:r>
    </w:p>
    <w:p w:rsidR="00000000" w:rsidRDefault="00000000"/>
    <w:p w:rsidR="00000000" w:rsidRDefault="00000000">
      <w:r>
        <w:tab/>
      </w:r>
      <w:r>
        <w:rPr>
          <w:lang w:val="en-US"/>
        </w:rPr>
        <w:t>a</w:t>
      </w:r>
      <w:r>
        <w:t>)</w:t>
      </w:r>
      <w:r>
        <w:tab/>
        <w:t>особенно многочисленных, непрекращающихся и систематических утверждений о весьма жестоких актах пыток и других жестоких, бесчеловечных или унижающих достоинство видах обращения или наказания, совершаемых сотрудниками правоохранительных органов;</w:t>
      </w:r>
    </w:p>
    <w:p w:rsidR="00000000" w:rsidRDefault="00000000"/>
    <w:p w:rsidR="00000000" w:rsidRDefault="00000000">
      <w:r>
        <w:tab/>
      </w:r>
      <w:r>
        <w:rPr>
          <w:lang w:val="en-US"/>
        </w:rPr>
        <w:t>b</w:t>
      </w:r>
      <w:r>
        <w:t>)</w:t>
      </w:r>
      <w:r>
        <w:tab/>
        <w:t>отсутствия у лиц, лишенных свободы, надлежащего доступа, сразу же после задержания, к независимому адвокату, врачу или судебно</w:t>
      </w:r>
      <w:r>
        <w:noBreakHyphen/>
        <w:t>медицинскому эксперту и к членам семьи, что является важной гарантией против пыток;</w:t>
      </w:r>
    </w:p>
    <w:p w:rsidR="00000000" w:rsidRDefault="00000000"/>
    <w:p w:rsidR="00000000" w:rsidRDefault="00000000">
      <w:r>
        <w:tab/>
      </w:r>
      <w:r>
        <w:rPr>
          <w:lang w:val="en-US"/>
        </w:rPr>
        <w:t>c</w:t>
      </w:r>
      <w:r>
        <w:t>)</w:t>
      </w:r>
      <w:r>
        <w:tab/>
        <w:t>недостаточного уровня независимости и эффективности прокуратуры, тем более что прокурор наделен компетенцией осуществлять надзор над правомерностью продолжительности срока предварительного заключения, который может быть продлен вплоть до 12 месяцев;</w:t>
      </w:r>
    </w:p>
    <w:p w:rsidR="00000000" w:rsidRDefault="00000000"/>
    <w:p w:rsidR="00000000" w:rsidRDefault="00000000">
      <w:r>
        <w:tab/>
      </w:r>
      <w:r>
        <w:rPr>
          <w:lang w:val="en-US"/>
        </w:rPr>
        <w:t>d</w:t>
      </w:r>
      <w:r>
        <w:t>)</w:t>
      </w:r>
      <w:r>
        <w:tab/>
        <w:t xml:space="preserve">недостаточной практической подготовкой  </w:t>
      </w:r>
      <w:proofErr w:type="spellStart"/>
      <w:r>
        <w:rPr>
          <w:lang w:val="en-US"/>
        </w:rPr>
        <w:t>i</w:t>
      </w:r>
      <w:proofErr w:type="spellEnd"/>
      <w:r>
        <w:t xml:space="preserve">)  врачей на предмет выявления признаков пыток или жестокого обращения у находившихся и находящихся в заключении лиц, а также  </w:t>
      </w:r>
      <w:r>
        <w:rPr>
          <w:lang w:val="en-US"/>
        </w:rPr>
        <w:t>ii</w:t>
      </w:r>
      <w:r>
        <w:t xml:space="preserve">)   правоохранительного персонала и судейских работников на предмет возбуждения оперативных беспристрастных расследований; </w:t>
      </w:r>
    </w:p>
    <w:p w:rsidR="00000000" w:rsidRDefault="00000000"/>
    <w:p w:rsidR="00000000" w:rsidRDefault="00000000">
      <w:r>
        <w:tab/>
      </w:r>
      <w:r>
        <w:rPr>
          <w:lang w:val="en-US"/>
        </w:rPr>
        <w:t>e</w:t>
      </w:r>
      <w:r>
        <w:t>)</w:t>
      </w:r>
      <w:r>
        <w:tab/>
        <w:t>недостаточной независимости судебной власти;</w:t>
      </w:r>
    </w:p>
    <w:p w:rsidR="00000000" w:rsidRDefault="00000000"/>
    <w:p w:rsidR="00000000" w:rsidRDefault="00000000">
      <w:r>
        <w:tab/>
      </w:r>
      <w:r>
        <w:rPr>
          <w:lang w:val="en-US"/>
        </w:rPr>
        <w:t>f</w:t>
      </w:r>
      <w:r>
        <w:t>)</w:t>
      </w:r>
      <w:r>
        <w:tab/>
        <w:t>фактического отказа судей принимать в расчет представления обвиняемым доказательства пыток и жесткого обращения, вследствие чего не предпринимается ни расследований, ни преследований;</w:t>
      </w:r>
    </w:p>
    <w:p w:rsidR="00000000" w:rsidRDefault="00000000"/>
    <w:p w:rsidR="00000000" w:rsidRDefault="00000000">
      <w:r>
        <w:tab/>
      </w:r>
      <w:r>
        <w:rPr>
          <w:lang w:val="en-US"/>
        </w:rPr>
        <w:t>g</w:t>
      </w:r>
      <w:r>
        <w:t>)</w:t>
      </w:r>
      <w:r>
        <w:tab/>
        <w:t>того обстоятельства, что определение пыток в Уголовном кодексе государства</w:t>
      </w:r>
      <w:r>
        <w:noBreakHyphen/>
        <w:t>участника носит неполный характер и поэтому не вполне соответствует статье 1 Конвенции;</w:t>
      </w:r>
    </w:p>
    <w:p w:rsidR="00000000" w:rsidRDefault="00000000"/>
    <w:p w:rsidR="00000000" w:rsidRDefault="00000000">
      <w:r>
        <w:tab/>
      </w:r>
      <w:r>
        <w:rPr>
          <w:lang w:val="en-US"/>
        </w:rPr>
        <w:t>h</w:t>
      </w:r>
      <w:r>
        <w:t>)</w:t>
      </w:r>
      <w:r>
        <w:tab/>
        <w:t>многочисленных случаев вынесения обвинительных приговоров на основе признательных показаний и продолжающегося использования критерия "раскрываемости преступлений" в качестве основы для продвижения по службе правоохранительного персонала, что в совокупности создает благоприятные условия применения пыток и жестокого обращения, с тем чтобы вынудить задерживаемых к "признанию";</w:t>
      </w:r>
    </w:p>
    <w:p w:rsidR="00000000" w:rsidRDefault="00000000"/>
    <w:p w:rsidR="00000000" w:rsidRDefault="00000000">
      <w:r>
        <w:tab/>
      </w:r>
      <w:proofErr w:type="spellStart"/>
      <w:r>
        <w:rPr>
          <w:lang w:val="en-US"/>
        </w:rPr>
        <w:t>i</w:t>
      </w:r>
      <w:proofErr w:type="spellEnd"/>
      <w:r>
        <w:t>)</w:t>
      </w:r>
      <w:r>
        <w:tab/>
        <w:t xml:space="preserve">отсутствия </w:t>
      </w:r>
      <w:proofErr w:type="spellStart"/>
      <w:r>
        <w:t>транспарентности</w:t>
      </w:r>
      <w:proofErr w:type="spellEnd"/>
      <w:r>
        <w:t xml:space="preserve"> в системе уголовной юстиции и недостаточности публично доступной статистики относительно заключенных, жалоб на применение пыток, а также количества и результатов расследований по таким жалобам;  кроме того, государство</w:t>
      </w:r>
      <w:r>
        <w:noBreakHyphen/>
        <w:t>участник не представило запрошенную в связи с рассмотрением в ноябре 1999 года его первоначального доклада информацию относительно численности лиц, содержащихся под стражей, и численности лиц, подвергнутых казни после вынесения смертного приговора;</w:t>
      </w:r>
    </w:p>
    <w:p w:rsidR="00000000" w:rsidRDefault="00000000"/>
    <w:p w:rsidR="00000000" w:rsidRDefault="00000000">
      <w:r>
        <w:tab/>
      </w:r>
      <w:r>
        <w:rPr>
          <w:lang w:val="en-US"/>
        </w:rPr>
        <w:t>j</w:t>
      </w:r>
      <w:r>
        <w:t>)</w:t>
      </w:r>
      <w:r>
        <w:tab/>
        <w:t>экстрадиции или высылки отдельных лиц, включая просителей убежища в Узбекистане, в страны, где они могут подвергаться риску применения пыток.</w:t>
      </w:r>
    </w:p>
    <w:p w:rsidR="00000000" w:rsidRDefault="00000000"/>
    <w:p w:rsidR="00000000" w:rsidRDefault="00000000">
      <w:pPr>
        <w:jc w:val="center"/>
      </w:pPr>
      <w:r>
        <w:rPr>
          <w:lang w:val="en-US"/>
        </w:rPr>
        <w:t>E</w:t>
      </w:r>
      <w:r>
        <w:t>.</w:t>
      </w:r>
      <w:r>
        <w:tab/>
        <w:t>Рекомендации</w:t>
      </w:r>
    </w:p>
    <w:p w:rsidR="00000000" w:rsidRDefault="00000000">
      <w:pPr>
        <w:jc w:val="center"/>
      </w:pPr>
    </w:p>
    <w:p w:rsidR="00000000" w:rsidRDefault="00000000">
      <w:r>
        <w:t>6.</w:t>
      </w:r>
      <w:r>
        <w:tab/>
        <w:t>Комитет рекомендует государству</w:t>
      </w:r>
      <w:r>
        <w:noBreakHyphen/>
        <w:t>участнику:</w:t>
      </w:r>
    </w:p>
    <w:p w:rsidR="00000000" w:rsidRDefault="00000000"/>
    <w:p w:rsidR="00000000" w:rsidRDefault="00000000">
      <w:r>
        <w:tab/>
      </w:r>
      <w:r>
        <w:rPr>
          <w:lang w:val="en-US"/>
        </w:rPr>
        <w:t>a</w:t>
      </w:r>
      <w:r>
        <w:t>)</w:t>
      </w:r>
      <w:r>
        <w:tab/>
        <w:t>безотлагательно приступить к реализации планов по рассмотрению предложений о внесении поправок в его внутреннее уголовное право, с тем чтобы включить в него преступление пыток, состав которого был бы полностью совместим с определением содержащимся в статье 1 Конвенции, и подкреплялся адекватным наказанием;</w:t>
      </w:r>
    </w:p>
    <w:p w:rsidR="00000000" w:rsidRDefault="00000000"/>
    <w:p w:rsidR="00000000" w:rsidRDefault="00000000">
      <w:r>
        <w:tab/>
      </w:r>
      <w:r>
        <w:rPr>
          <w:lang w:val="en-US"/>
        </w:rPr>
        <w:t>b</w:t>
      </w:r>
      <w:r>
        <w:t>)</w:t>
      </w:r>
      <w:r>
        <w:tab/>
        <w:t xml:space="preserve">принять экстренные и эффективные меры к тому, чтобы:  </w:t>
      </w:r>
      <w:proofErr w:type="spellStart"/>
      <w:r>
        <w:rPr>
          <w:lang w:val="en-US"/>
        </w:rPr>
        <w:t>i</w:t>
      </w:r>
      <w:proofErr w:type="spellEnd"/>
      <w:r>
        <w:t>)</w:t>
      </w:r>
      <w:r>
        <w:rPr>
          <w:lang w:val="en-US"/>
        </w:rPr>
        <w:t> </w:t>
      </w:r>
      <w:r>
        <w:t xml:space="preserve"> создать, вне рамок прокураторы, полностью независимый механизм обжалования для лиц, содержащихся в официальном заключении;  и  </w:t>
      </w:r>
      <w:r>
        <w:rPr>
          <w:lang w:val="en-US"/>
        </w:rPr>
        <w:t>ii</w:t>
      </w:r>
      <w:r>
        <w:t>)  обеспечить оперативные, беспристрастные и полные расследования сообщаемых властям многочисленных утверждений о применении пыток, а также надлежащее преследование и наказание исполнителей;</w:t>
      </w:r>
    </w:p>
    <w:p w:rsidR="00000000" w:rsidRDefault="00000000"/>
    <w:p w:rsidR="00000000" w:rsidRDefault="00000000">
      <w:r>
        <w:tab/>
        <w:t>с)</w:t>
      </w:r>
      <w:r>
        <w:tab/>
        <w:t>обеспечить, чтобы лица, обращающиеся с жалобами на применение пыток, и их свидетели были защищены от мести;</w:t>
      </w:r>
    </w:p>
    <w:p w:rsidR="00000000" w:rsidRDefault="00000000"/>
    <w:p w:rsidR="00000000" w:rsidRDefault="00000000">
      <w:r>
        <w:tab/>
      </w:r>
      <w:r>
        <w:rPr>
          <w:lang w:val="en-US"/>
        </w:rPr>
        <w:t>d</w:t>
      </w:r>
      <w:r>
        <w:t>)</w:t>
      </w:r>
      <w:r>
        <w:tab/>
        <w:t>обеспечить на практике абсолютное соблюдение принципа недопустимости показаний, полученных под пыткой;</w:t>
      </w:r>
    </w:p>
    <w:p w:rsidR="00000000" w:rsidRDefault="00000000"/>
    <w:p w:rsidR="00000000" w:rsidRDefault="00000000">
      <w:r>
        <w:tab/>
        <w:t>е)</w:t>
      </w:r>
      <w:r>
        <w:tab/>
        <w:t>принять меры по установлению и обеспечению независимости судейских работников при исполнении ими своих обязанностей в соответствии с международными стандартами, и в частности с Основными принципами независимости судей;</w:t>
      </w:r>
    </w:p>
    <w:p w:rsidR="00000000" w:rsidRDefault="00000000"/>
    <w:p w:rsidR="00000000" w:rsidRDefault="00000000">
      <w:r>
        <w:tab/>
      </w:r>
      <w:r>
        <w:rPr>
          <w:lang w:val="en-US"/>
        </w:rPr>
        <w:t>f</w:t>
      </w:r>
      <w:r>
        <w:t>)</w:t>
      </w:r>
      <w:r>
        <w:tab/>
        <w:t>принять меры к тому, чтобы позволить заключенным получить доступ к адвокату, врачу и членам семьи с момента их взятия под стражу и обеспечить, чтобы врачи предоставлялись по просьбе заключенных без необходимости заручиться разрешением со стороны тюремных должностных лиц;  а также вести реестр с именами всех заключенных с указанием времени, когда были произведены соответствующие уведомления адвокатов, врачей и членов семьи, а также результатов медицинских обследований;  такой реестр должен быть доступен в соответствующих случаях адвокатам и другим лицам;</w:t>
      </w:r>
    </w:p>
    <w:p w:rsidR="00000000" w:rsidRDefault="00000000"/>
    <w:p w:rsidR="00000000" w:rsidRDefault="00000000">
      <w:r>
        <w:tab/>
      </w:r>
      <w:r>
        <w:rPr>
          <w:lang w:val="en-US"/>
        </w:rPr>
        <w:t>g</w:t>
      </w:r>
      <w:r>
        <w:t>)</w:t>
      </w:r>
      <w:r>
        <w:tab/>
        <w:t>улучшить условия пребывания в тюрьмах и следственных изоляторах и установить систему, допускающую внезапные инспекции таких мест внушающими доверие и беспристрастными следственными работниками, чьи выводы следует предавать гласности.  Государству-участнику следует также предпринять шаги к тому, чтобы сократить нынешний срок предварительного заключения и обеспечить независимый судебный надзор за сроками и условиями предварительного заключения.  Кроме того, ордер на арест должен даваться только судом;</w:t>
      </w:r>
    </w:p>
    <w:p w:rsidR="00000000" w:rsidRDefault="00000000"/>
    <w:p w:rsidR="00000000" w:rsidRDefault="00000000">
      <w:r>
        <w:tab/>
      </w:r>
      <w:r>
        <w:rPr>
          <w:lang w:val="en-US"/>
        </w:rPr>
        <w:t>h</w:t>
      </w:r>
      <w:r>
        <w:t>)</w:t>
      </w:r>
      <w:r>
        <w:tab/>
        <w:t xml:space="preserve">обеспечить, чтобы правоохранительный судебный, медицинский и иной персонал, причастный к содержанию под стражей, проведению допросов, лечению заключенных или вступающий с ними в контакт каким-либо иным образом, получал подготовку на предмет запрещения пыток и чтобы процедура </w:t>
      </w:r>
      <w:proofErr w:type="spellStart"/>
      <w:r>
        <w:t>реквалификации</w:t>
      </w:r>
      <w:proofErr w:type="spellEnd"/>
      <w:r>
        <w:t xml:space="preserve"> ("переаттестации") такого персонала включала как проверку его осведомленности о требованиях Конвенции, так и рассмотрение его послужного списка на предмет обращения с заключенными;</w:t>
      </w:r>
    </w:p>
    <w:p w:rsidR="00000000" w:rsidRDefault="00000000"/>
    <w:p w:rsidR="00000000" w:rsidRDefault="00000000">
      <w:r>
        <w:tab/>
      </w:r>
      <w:r>
        <w:rPr>
          <w:lang w:val="en-US"/>
        </w:rPr>
        <w:t>i</w:t>
      </w:r>
      <w:r>
        <w:t>)</w:t>
      </w:r>
      <w:r>
        <w:tab/>
        <w:t>рассмотреть дальнейшие шаги по переводу пенитенциарной системы из ведения министерства внутренних дел в ведение министерства юстиции, что позволит улучшить режим пребывания в пенитенциарной системе в соответствии с Конвенцией;</w:t>
      </w:r>
    </w:p>
    <w:p w:rsidR="00000000" w:rsidRDefault="00000000"/>
    <w:p w:rsidR="00000000" w:rsidRDefault="00000000">
      <w:r>
        <w:tab/>
      </w:r>
      <w:r>
        <w:rPr>
          <w:lang w:val="en-US"/>
        </w:rPr>
        <w:t>j</w:t>
      </w:r>
      <w:r>
        <w:t>)</w:t>
      </w:r>
      <w:r>
        <w:tab/>
        <w:t>пересмотреть дела, по которым вынесение обвинительных приговоров было произведено исключительно на основе признательных показаний, за период, в течение которого Узбекистан является участником Конвенции, признавая, что многие из них могли быть основаны на доказательствах, полученных при помощи пыток или жестокого обращения, и соответственно предпринять оперативные и беспристрастные расследования и принять надлежащие коррективные меры;</w:t>
      </w:r>
    </w:p>
    <w:p w:rsidR="00000000" w:rsidRDefault="00000000"/>
    <w:p w:rsidR="00000000" w:rsidRDefault="00000000">
      <w:r>
        <w:tab/>
      </w:r>
      <w:r>
        <w:rPr>
          <w:lang w:val="en-US"/>
        </w:rPr>
        <w:t>k</w:t>
      </w:r>
      <w:r>
        <w:t>)</w:t>
      </w:r>
      <w:r>
        <w:tab/>
        <w:t>обеспечить в законодательном порядке и на практике, чтобы никто не подвергался высылке, возвращению или экстрадиции в какое-либо государство при наличии веских оснований полагать, что там ему грозила бы опасность подвергнуться применению пыток;</w:t>
      </w:r>
    </w:p>
    <w:p w:rsidR="00000000" w:rsidRDefault="00000000"/>
    <w:p w:rsidR="00000000" w:rsidRDefault="00000000">
      <w:r>
        <w:tab/>
      </w:r>
      <w:r>
        <w:rPr>
          <w:lang w:val="en-US"/>
        </w:rPr>
        <w:t>l</w:t>
      </w:r>
      <w:r>
        <w:t>)</w:t>
      </w:r>
      <w:r>
        <w:tab/>
        <w:t>рассмотреть вопрос о том, чтобы сделать заявления по статьям 21 и 22 Конвенции;</w:t>
      </w:r>
    </w:p>
    <w:p w:rsidR="00000000" w:rsidRDefault="00000000"/>
    <w:p w:rsidR="00000000" w:rsidRDefault="00000000">
      <w:r>
        <w:tab/>
      </w:r>
      <w:r>
        <w:rPr>
          <w:lang w:val="en-US"/>
        </w:rPr>
        <w:t>m</w:t>
      </w:r>
      <w:r>
        <w:t>)</w:t>
      </w:r>
      <w:r>
        <w:tab/>
        <w:t>представить в следующем периодическом докладе дезагрегированные, среди прочего, по признаку возраста, пола, этнической принадлежности соответствующих лиц, а также по географическому местонахождению, данные о гражданских и военных пенитенциарных заведениях, а также о пенитенциарных центрах для содержания несовершеннолетних и о других заведениях, где лица могут быть уязвимы с точки зрения применения пыток или жестокого обращения применительно к Конвенции;  представить в следующем периодическом докладе информацию о количестве, видах и результатах рассмотрения дел, как дисциплинарного, так и уголовного характера, в отношении полицейского и иного правоохранительного персонала, обвиняемого в применении пыток и совершении связанных с этим преступлений;</w:t>
      </w:r>
    </w:p>
    <w:p w:rsidR="00000000" w:rsidRDefault="00000000"/>
    <w:p w:rsidR="00000000" w:rsidRDefault="00000000">
      <w:r>
        <w:tab/>
      </w:r>
      <w:r>
        <w:rPr>
          <w:lang w:val="en-US"/>
        </w:rPr>
        <w:t>n</w:t>
      </w:r>
      <w:r>
        <w:t>)</w:t>
      </w:r>
      <w:r>
        <w:tab/>
        <w:t>широко распространить выводы и рекомендации Комитета и краткие отчеты относительно рассмотрения докладов государства-участника, в том числе среди правоохранительных сотрудников, в средствах массовой информации, а также за счет популяризаторской деятельности со стороны неправительственных организаций;</w:t>
      </w:r>
    </w:p>
    <w:p w:rsidR="00000000" w:rsidRDefault="00000000"/>
    <w:p w:rsidR="00000000" w:rsidRDefault="00000000">
      <w:r>
        <w:tab/>
        <w:t>о)</w:t>
      </w:r>
      <w:r>
        <w:tab/>
        <w:t>рассмотреть вопрос о проведении прямых консультаций с независимыми неправительственными правозащитными организациями при подготовке следующего периодического доклада.</w:t>
      </w:r>
    </w:p>
    <w:p w:rsidR="00000000" w:rsidRDefault="00000000"/>
    <w:p w:rsidR="00000000" w:rsidRDefault="00000000"/>
    <w:p w:rsidR="00000000" w:rsidRDefault="00000000">
      <w:pPr>
        <w:pStyle w:val="16"/>
      </w:pPr>
      <w:r>
        <w:t>------</w:t>
      </w:r>
    </w:p>
    <w:p w:rsidR="00000000" w:rsidRDefault="00000000"/>
    <w:sectPr w:rsidR="00000000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CAT/C/CR/28/7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521"/>
      </w:tabs>
      <w:ind w:left="7371"/>
      <w:rPr>
        <w:lang w:val="en-US"/>
      </w:rPr>
    </w:pPr>
    <w:r>
      <w:rPr>
        <w:lang w:val="en-US"/>
      </w:rPr>
      <w:t>CAT/C/CR/28/7</w:t>
    </w:r>
  </w:p>
  <w:p w:rsidR="00000000" w:rsidRDefault="00000000">
    <w:pPr>
      <w:pStyle w:val="Header"/>
      <w:tabs>
        <w:tab w:val="left" w:pos="6521"/>
      </w:tabs>
      <w:ind w:left="7371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521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2</TotalTime>
  <Pages>1</Pages>
  <Words>1668</Words>
  <Characters>9508</Characters>
  <Application>Microsoft Office Word</Application>
  <DocSecurity>4</DocSecurity>
  <Lines>79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Черняева</dc:creator>
  <cp:keywords/>
  <dc:description/>
  <cp:lastModifiedBy>Tatiana TCHERNIAEVA</cp:lastModifiedBy>
  <cp:revision>3</cp:revision>
  <cp:lastPrinted>2002-06-25T08:43:00Z</cp:lastPrinted>
  <dcterms:created xsi:type="dcterms:W3CDTF">2002-06-25T08:43:00Z</dcterms:created>
  <dcterms:modified xsi:type="dcterms:W3CDTF">2002-06-25T08:44:00Z</dcterms:modified>
</cp:coreProperties>
</file>