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95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pStyle w:val="Header"/>
                    <w:tabs>
                      <w:tab w:val="clear" w:pos="4153"/>
                      <w:tab w:val="clear" w:pos="8306"/>
                      <w:tab w:val="left" w:pos="567"/>
                      <w:tab w:val="left" w:pos="1134"/>
                      <w:tab w:val="left" w:pos="1701"/>
                      <w:tab w:val="left" w:pos="2268"/>
                      <w:tab w:val="left" w:pos="6237"/>
                    </w:tabs>
                    <w:spacing w:line="288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42568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090702    090702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CAT/C/CR/28/5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12 June 2002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pPr>
        <w:pStyle w:val="FootnoteText"/>
        <w:spacing w:line="288" w:lineRule="auto"/>
        <w:jc w:val="both"/>
      </w:pPr>
      <w:r>
        <w:t>КОМИТЕТ ПРОТИВ ПЫТОК</w:t>
      </w:r>
    </w:p>
    <w:p w:rsidR="00000000" w:rsidRDefault="00000000">
      <w:pPr>
        <w:jc w:val="both"/>
      </w:pPr>
      <w:r>
        <w:t>Двадцать восьмая сессия</w:t>
      </w:r>
    </w:p>
    <w:p w:rsidR="00000000" w:rsidRDefault="00000000">
      <w:pPr>
        <w:jc w:val="both"/>
      </w:pPr>
      <w:r>
        <w:t>29 апреля - 17 мая 2002 года</w:t>
      </w:r>
    </w:p>
    <w:p w:rsidR="00000000" w:rsidRDefault="00000000">
      <w:pPr>
        <w:pStyle w:val="BodyText"/>
        <w:jc w:val="left"/>
        <w:rPr>
          <w:lang w:val="en-US"/>
        </w:rPr>
      </w:pPr>
    </w:p>
    <w:p w:rsidR="00000000" w:rsidRDefault="00000000">
      <w:pPr>
        <w:pStyle w:val="BodyText"/>
        <w:jc w:val="left"/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pStyle w:val="16"/>
        <w:jc w:val="left"/>
      </w:pPr>
    </w:p>
    <w:p w:rsidR="00000000" w:rsidRDefault="00000000">
      <w:pPr>
        <w:pStyle w:val="Heading2"/>
        <w:jc w:val="center"/>
      </w:pPr>
      <w:r>
        <w:t>Выводы и рекомендации Комитета против пыток</w:t>
      </w:r>
    </w:p>
    <w:p w:rsidR="00000000" w:rsidRDefault="00000000"/>
    <w:p w:rsidR="00000000" w:rsidRDefault="00000000">
      <w:pPr>
        <w:pStyle w:val="11"/>
      </w:pPr>
      <w:r>
        <w:t>Саудовская Аравия</w:t>
      </w:r>
    </w:p>
    <w:p w:rsidR="00000000" w:rsidRDefault="00000000"/>
    <w:p w:rsidR="00000000" w:rsidRDefault="00000000">
      <w:r>
        <w:t>1.</w:t>
      </w:r>
      <w:r>
        <w:tab/>
        <w:t>Комитет рассмотрел первоначальный периодический доклад Саудовской Аравии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/42/</w:t>
      </w:r>
      <w:r>
        <w:rPr>
          <w:lang w:val="en-US"/>
        </w:rPr>
        <w:t>Add</w:t>
      </w:r>
      <w:r>
        <w:t>.2) на своих 516, 519, 521 и 524-м заседаниях 8, 10, 13 и 15 мая 2002</w:t>
      </w:r>
      <w:r>
        <w:rPr>
          <w:lang w:val="en-US"/>
        </w:rPr>
        <w:t> </w:t>
      </w:r>
      <w:r>
        <w:t>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</w:t>
      </w:r>
      <w:r>
        <w:rPr>
          <w:lang w:val="en-US"/>
        </w:rPr>
        <w:t> </w:t>
      </w:r>
      <w:r>
        <w:t>516, 519, 521 и 524) и принял нижеследующие выводы и рекомендации.</w:t>
      </w:r>
    </w:p>
    <w:p w:rsidR="00000000" w:rsidRDefault="00000000">
      <w:pPr>
        <w:jc w:val="both"/>
      </w:pPr>
    </w:p>
    <w:p w:rsidR="00000000" w:rsidRDefault="00000000">
      <w:pPr>
        <w:pStyle w:val="Heading2"/>
        <w:jc w:val="center"/>
      </w:pPr>
      <w:r>
        <w:rPr>
          <w:u w:val="none"/>
        </w:rPr>
        <w:t>А.</w:t>
      </w:r>
      <w:r>
        <w:rPr>
          <w:u w:val="none"/>
        </w:rPr>
        <w:tab/>
      </w:r>
      <w:r>
        <w:t>Введение</w:t>
      </w:r>
    </w:p>
    <w:p w:rsidR="00000000" w:rsidRDefault="00000000">
      <w:pPr>
        <w:pStyle w:val="FootnoteText"/>
        <w:spacing w:line="288" w:lineRule="auto"/>
        <w:jc w:val="both"/>
      </w:pPr>
    </w:p>
    <w:p w:rsidR="00000000" w:rsidRDefault="00000000">
      <w:pPr>
        <w:pStyle w:val="BodyText"/>
        <w:jc w:val="left"/>
      </w:pPr>
      <w:r>
        <w:t>2.</w:t>
      </w:r>
      <w:r>
        <w:tab/>
        <w:t>Комитет приветствует представление первоначального периодического доклада, однако выражает сожаление в связи с задержкой его представления и недостаточностью информации относительно практического осуществления в Саудовской Аравии прав, предусмотренных Конвенцией.  Доклад в целом соответствует руководящим принципам Комитета по представлению докладов государств-участников.  Комитет также приветствует начало диалога с представительной делегацией по многим вопросам, имеющим отношение к Конвенции, который был дополнен обширным устным докладом.</w:t>
      </w:r>
    </w:p>
    <w:p w:rsidR="00000000" w:rsidRDefault="00000000">
      <w:pPr>
        <w:jc w:val="center"/>
      </w:pPr>
      <w:r>
        <w:br w:type="page"/>
        <w:t>В.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pStyle w:val="BodyText"/>
        <w:jc w:val="left"/>
      </w:pPr>
    </w:p>
    <w:p w:rsidR="00000000" w:rsidRDefault="00000000">
      <w:r>
        <w:t>3.</w:t>
      </w:r>
      <w:r>
        <w:tab/>
        <w:t>Комитет приветствует:</w:t>
      </w:r>
    </w:p>
    <w:p w:rsidR="00000000" w:rsidRDefault="00000000">
      <w:pPr>
        <w:pStyle w:val="Header"/>
        <w:tabs>
          <w:tab w:val="clear" w:pos="4153"/>
          <w:tab w:val="clear" w:pos="8306"/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firstLine="567"/>
      </w:pPr>
      <w:r>
        <w:rPr>
          <w:lang w:val="en-US"/>
        </w:rPr>
        <w:t>a</w:t>
      </w:r>
      <w:r>
        <w:t>)</w:t>
      </w:r>
      <w:r>
        <w:tab/>
        <w:t>присоединение государства-участника 23 сентября 1997 года к Конвенции против пыток, а также его присоединение к ряду других основных договоров в области прав человека и четко выраженное намерение ратифицировать Конвенцию о статусе беженцев 1951 года и Протокол 1967 года.  Комитет также приветствует заявление государства-участника о том, что его внутреннее законодательство, включая его компоненты, основанные на законах шариата, способно обеспечить полное признание прав и обязательств по Конвенции;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 xml:space="preserve">такие изменения в правовой сфере, имевшие место уже после подготовки доклада и направленные на повышение роли права и обеспечение надлежащего отправления правосудия, как отдельные аспекты недавно принятого Гражданского процессуального кодекса, </w:t>
      </w:r>
      <w:r>
        <w:rPr>
          <w:szCs w:val="24"/>
        </w:rPr>
        <w:t xml:space="preserve">Уголовно-процессуального кодекса </w:t>
      </w:r>
      <w:r>
        <w:t xml:space="preserve">и Кодекса практики для адвокатов.  Комитет приветствует, в частности, то, что </w:t>
      </w:r>
      <w:r>
        <w:rPr>
          <w:szCs w:val="24"/>
        </w:rPr>
        <w:t>Уголовно-процессуальный кодекс</w:t>
      </w:r>
      <w:r>
        <w:rPr>
          <w:b/>
          <w:bCs/>
          <w:i/>
          <w:iCs/>
        </w:rPr>
        <w:t xml:space="preserve"> </w:t>
      </w:r>
      <w:r>
        <w:t>гарантирует любому обвиняемому право воспользоваться услугами адвоката на всех стадиях следствия и судебного разбирательства;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заявление государства-участника, согласно которому его внутреннее законодательство исключает возможность применения в целях защиты от обвинения в применении пыток каких-либо ссылок на исключительные обстоятельства, включая приказы свыше, заверения относительно того, что заявления, сделанные под пыткой, неприемлемы на любой стадии судопроизводства.  Приняты к сведению заверения  государства-участника о том, что телесные наказания не применяются по отношению к несовершеннолетним;</w:t>
      </w:r>
    </w:p>
    <w:p w:rsidR="00000000" w:rsidRDefault="00000000"/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firstLine="567"/>
      </w:pPr>
      <w:r>
        <w:rPr>
          <w:lang w:val="en-US"/>
        </w:rPr>
        <w:t>d</w:t>
      </w:r>
      <w:r>
        <w:t>)</w:t>
      </w:r>
      <w:r>
        <w:tab/>
        <w:t xml:space="preserve">компетенцию Совета по рассмотрению жалоб в заслушивании обвинений в нарушении прав человека и то, что некоторые медицинские учреждения располагают необходимой компетенцией для проведения судебно-медицинской экспертизы в целях освидетельствования возможных жертв применения пыток.  Комитет приветствует учреждение постоянно действующей комиссии по расследованию обвинений в применении к любому лицу </w:t>
      </w:r>
      <w:r>
        <w:rPr>
          <w:szCs w:val="24"/>
        </w:rPr>
        <w:t xml:space="preserve">пыток и других жестоких, бесчеловечных или унижающих достоинство видов обращения и наказания </w:t>
      </w:r>
      <w:r>
        <w:t>во время ареста, задержания или в ходе следствия в отношении подозреваемых;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 xml:space="preserve">приглашение, адресованное государством-участником Специальному докладчику по вопросу о независимости судей и адвокатов Комиссии по правам человека, изучить его законодательство, политику и практику в этой области. </w:t>
      </w:r>
    </w:p>
    <w:p w:rsidR="00000000" w:rsidRDefault="00000000"/>
    <w:p w:rsidR="00000000" w:rsidRDefault="00000000">
      <w:pPr>
        <w:pStyle w:val="11"/>
      </w:pPr>
      <w:r>
        <w:rPr>
          <w:u w:val="none"/>
        </w:rPr>
        <w:t>С.</w:t>
      </w:r>
      <w:r>
        <w:rPr>
          <w:u w:val="none"/>
        </w:rPr>
        <w:tab/>
      </w:r>
      <w:r>
        <w:t>Проблемы, вызывающие озабоченность</w:t>
      </w:r>
    </w:p>
    <w:p w:rsidR="00000000" w:rsidRDefault="00000000">
      <w:pPr>
        <w:jc w:val="both"/>
      </w:pPr>
    </w:p>
    <w:p w:rsidR="00000000" w:rsidRDefault="00000000">
      <w:pPr>
        <w:pStyle w:val="BodyText"/>
        <w:jc w:val="left"/>
      </w:pPr>
      <w:r>
        <w:t>4.</w:t>
      </w:r>
      <w:r>
        <w:tab/>
        <w:t>Комитет испытывает озабоченность в связи со следующим: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a</w:t>
      </w:r>
      <w:r>
        <w:t>)</w:t>
      </w:r>
      <w:r>
        <w:tab/>
        <w:t xml:space="preserve">хотя согласно указаниям государства-участника законы шариата четко запрещают применение пыток и </w:t>
      </w:r>
      <w:r>
        <w:rPr>
          <w:szCs w:val="24"/>
        </w:rPr>
        <w:t>других жестоких и бесчеловечных видов обращения</w:t>
      </w:r>
      <w:r>
        <w:t>, само внутреннее законодательство государства-участника не отражает в очевидной форме такого запрета, как и не устанавливает уголовного наказания в этой связи.  Комитет считает необходимым для подтверждения кардинальной важности такого запрета срочно инкорпорировать во внутреннее законодательство государства-участника положение, квалифицирующее пытки в качестве преступления, как это предусмотрено статьей 1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b</w:t>
      </w:r>
      <w:r>
        <w:t>)</w:t>
      </w:r>
      <w:r>
        <w:tab/>
        <w:t>вынесением судебными и административными органами решений о применении телесных наказаний и назначением таких наказаний, включая, в частности, избиение плетью или отсечение конечностей, что не соответствует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c</w:t>
      </w:r>
      <w:r>
        <w:t>)</w:t>
      </w:r>
      <w:r>
        <w:tab/>
        <w:t>различием режимов в законодательстве и на практике, применяемых в отношении граждан страны и иностранцев, в том что касается их законных прав быть свободными от действий, представляющих собой нарушение Конвенции, и их возможностей подавать жалобы в этой связи.  Комитет напоминает, что Конвенция и ее защитный механизм применимы ко всем деяниям, совершаемым в нарушение ее положений и входящим в сферу ее охвата, из чего вытекает, что все лица в равной степени и без какой-либо дискриминации обладают закрепленными в ней правами;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d</w:t>
      </w:r>
      <w:r>
        <w:t>)</w:t>
      </w:r>
      <w:r>
        <w:tab/>
        <w:t>утверждениями о длительном содержании под стражей до судебного разбирательства некоторых лиц с превышением установленных законом сроков, что повышает опасность действий, идущих вразрез с Конвенцией, и может в ряде случаев составлять такие действия.  В этом отношении Комитет выражает свою обеспокоенность в связи со случаями отказа задержанным иностранным гражданам, иногда в течение длительного времени, в контактах с консульскими работниками.  Более того, Комитет обеспокоен ограниченной степенью судебного надзора над практикой содержания под стражей в период до судебного разбирательства;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e</w:t>
      </w:r>
      <w:r>
        <w:t>)</w:t>
      </w:r>
      <w:r>
        <w:tab/>
        <w:t>сообщениями о содержании задержанных без связи с внешним миром, в ряде случаев в течение длительного времени, особенно в ходе досудебного следствия. Отсутствием доступа к внешней юридической консультативной и медицинской помощи, а также к членам семьи, что повышает возможность того, что действия, идущие вразрез с Конвенцией, надлежащим образом не преследуются и не подвергаются наказанию;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f</w:t>
      </w:r>
      <w:r>
        <w:t>)</w:t>
      </w:r>
      <w:r>
        <w:tab/>
        <w:t>положениями статьи 100 Статута Управления государственной безопасности, предписывающими сотруднику, проводящему расследование, прилагать все усилия к тому, чтобы "с помощью законных средств" установить причины молчания, хранимого тем или иным лицом.  Хотя данная статья формально осуждает и запрещает использование пыток или физического давления, такое требование неоправданно повышает опасность действий, идущих вразрез с Конвенцией;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g</w:t>
      </w:r>
      <w:r>
        <w:t>)</w:t>
      </w:r>
      <w:r>
        <w:tab/>
        <w:t>случаями высылки иностранных граждан, к которым было привлечено внимание Комитета и которые, как представляется, идут вразрез с обязательствами, предусмотренными статьей 3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h</w:t>
      </w:r>
      <w:r>
        <w:t>)</w:t>
      </w:r>
      <w:r>
        <w:tab/>
        <w:t>компетенцией сотрудников полиции по наблюдению за соблюдением религиозных канонов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  <w:lang w:val="en-US"/>
        </w:rPr>
        <w:t>Mutawe</w:t>
      </w:r>
      <w:proofErr w:type="spellEnd"/>
      <w:r>
        <w:rPr>
          <w:i/>
          <w:iCs/>
        </w:rPr>
        <w:t>'</w:t>
      </w:r>
      <w:r>
        <w:rPr>
          <w:i/>
          <w:iCs/>
          <w:lang w:val="en-US"/>
        </w:rPr>
        <w:t>en</w:t>
      </w:r>
      <w:r>
        <w:rPr>
          <w:i/>
          <w:iCs/>
        </w:rPr>
        <w:t xml:space="preserve">) </w:t>
      </w:r>
      <w:r>
        <w:t>преследовать, среди прочего, нарушения морального кодекса и пресекать поведение, квалифицируемое ими как не способствующее укреплению общественной морали и безопасности.  Комитет обеспокоен тем, что полномочия этих официальных должностных лиц определены в законодательстве неясно, и их действия могут представлять собой нарушение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i</w:t>
      </w:r>
      <w:r>
        <w:t>)</w:t>
      </w:r>
      <w:r>
        <w:tab/>
        <w:t>видимой неспособностью государства-участника обеспечить эффективные механизмы расследования жалоб на нарушение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j</w:t>
      </w:r>
      <w:r>
        <w:t>)</w:t>
      </w:r>
      <w:r>
        <w:tab/>
        <w:t>несмотря на учреждение государством-участником механизмов с целью обеспечения компенсации за действия, нарушающие Конвенцию, что признается в качестве полезной меры, компенсацию, как представляется, редко удается получить, и полное осуществление прав, гарантируемых Конвенцией, оказывается в этой связи ограниченным.</w:t>
      </w:r>
    </w:p>
    <w:p w:rsidR="00000000" w:rsidRDefault="00000000">
      <w:pPr>
        <w:pStyle w:val="BodyText"/>
        <w:jc w:val="left"/>
      </w:pPr>
    </w:p>
    <w:p w:rsidR="00000000" w:rsidRDefault="00000000">
      <w:pPr>
        <w:jc w:val="center"/>
        <w:rPr>
          <w:u w:val="single"/>
        </w:rPr>
      </w:pPr>
      <w:r>
        <w:rPr>
          <w:lang w:val="en-US"/>
        </w:rPr>
        <w:t>D</w:t>
      </w:r>
      <w:r>
        <w:t>.</w:t>
      </w:r>
      <w:r>
        <w:tab/>
      </w:r>
      <w:r>
        <w:rPr>
          <w:u w:val="single"/>
        </w:rPr>
        <w:t>Рекомендации</w:t>
      </w:r>
    </w:p>
    <w:p w:rsidR="00000000" w:rsidRDefault="00000000"/>
    <w:p w:rsidR="00000000" w:rsidRDefault="00000000">
      <w:r>
        <w:t>5.</w:t>
      </w:r>
      <w:r>
        <w:tab/>
        <w:t>Комитет, в частности,  рекомендует государству-участнику: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a</w:t>
      </w:r>
      <w:r>
        <w:t>)</w:t>
      </w:r>
      <w:r>
        <w:tab/>
        <w:t>непосредственно включить во внутреннее законодательство положение о том, что пытки являются уголовным преступлением в формулировке, соответствующей статье 1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b</w:t>
      </w:r>
      <w:r>
        <w:t>)</w:t>
      </w:r>
      <w:r>
        <w:tab/>
        <w:t>пересмотреть практику применения телесных наказаний, идущую вразрез с Конвенцией;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c</w:t>
      </w:r>
      <w:r>
        <w:t>)</w:t>
      </w:r>
      <w:r>
        <w:tab/>
        <w:t>обеспечить применение на практике его законов в отношении всех лиц, независимо от их национальной принадлежности, пола, религиозных убеждений или других различий, в том что касается вопросов, входящих в сферу охвата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firstLine="567"/>
      </w:pPr>
      <w:r>
        <w:rPr>
          <w:lang w:val="en-US"/>
        </w:rPr>
        <w:t>d</w:t>
      </w:r>
      <w:r>
        <w:t>)</w:t>
      </w:r>
      <w:r>
        <w:tab/>
        <w:t xml:space="preserve">обеспечить, чтобы все места содержания под стражей или лишения свободы отвечали нормам, в достаточной степени гарантирующим любому человеку, что он не подвергнется пыткам </w:t>
      </w:r>
      <w:r>
        <w:rPr>
          <w:szCs w:val="24"/>
        </w:rPr>
        <w:t>и другим жестоким, бесчеловечным или унижающим достоинство видам обращения и наказания</w:t>
      </w:r>
      <w:r>
        <w:t>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e</w:t>
      </w:r>
      <w:r>
        <w:t>)</w:t>
      </w:r>
      <w:r>
        <w:tab/>
        <w:t>обеспечить, чтобы его законы и практика отражали обязательства, налагаемые статьей 3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f</w:t>
      </w:r>
      <w:r>
        <w:t>)</w:t>
      </w:r>
      <w:r>
        <w:tab/>
        <w:t>обеспечить, чтобы все лица, оказавшиеся жертвами нарушения их прав, вытекающих из Конвенции, имели доступ как в законодательном отношении, так и на практике к средствам получения полного возмещения, включая компенсацию, а также, чтобы в отношении лиц, несущих ответственность за такие нарушения, проводилось оперативное и беспристрастное расследование, а впоследствии выносилось наказание;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g</w:t>
      </w:r>
      <w:r>
        <w:t>)</w:t>
      </w:r>
      <w:r>
        <w:tab/>
        <w:t>обеспечить, чтобы сотрудники полиции по наблюдению за соблюдением религиозных канонов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</w:t>
      </w:r>
      <w:r>
        <w:rPr>
          <w:i/>
          <w:iCs/>
          <w:lang w:val="en-US"/>
        </w:rPr>
        <w:t>Mutawe</w:t>
      </w:r>
      <w:r>
        <w:rPr>
          <w:i/>
          <w:iCs/>
        </w:rPr>
        <w:t>'</w:t>
      </w:r>
      <w:r>
        <w:rPr>
          <w:i/>
          <w:iCs/>
          <w:lang w:val="en-US"/>
        </w:rPr>
        <w:t>en</w:t>
      </w:r>
      <w:r>
        <w:rPr>
          <w:i/>
          <w:iCs/>
        </w:rPr>
        <w:t>)</w:t>
      </w:r>
      <w:r>
        <w:rPr>
          <w:b/>
          <w:bCs/>
          <w:i/>
          <w:iCs/>
          <w:color w:val="FF0000"/>
        </w:rPr>
        <w:t xml:space="preserve"> </w:t>
      </w:r>
      <w:r>
        <w:t>осуществляли ясные и четкие полномочия в соответствии с Конвенцией и другими применимыми недискриминационными нормами, регулируемые законодательством и подлежащие надзору со стороны обычных судов;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h</w:t>
      </w:r>
      <w:r>
        <w:t>)</w:t>
      </w:r>
      <w:r>
        <w:tab/>
        <w:t>обеспечить на практике, чтобы лица, содержащиеся под стражей, могли пользоваться незамедлительным доступом к правовой и медицинской помощи по своему выбору, к членам семьи, а если речь идет об иностранных гражданах - к консульским работникам;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i</w:t>
      </w:r>
      <w:r>
        <w:t>)</w:t>
      </w:r>
      <w:r>
        <w:tab/>
        <w:t xml:space="preserve">обеспечить, чтобы судейский корпус полностью соответствовал нормам, предписываемым </w:t>
      </w:r>
      <w:r>
        <w:rPr>
          <w:szCs w:val="24"/>
        </w:rPr>
        <w:t>Основными принципами независимости судебных органов</w:t>
      </w:r>
      <w:r>
        <w:t>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j</w:t>
      </w:r>
      <w:r>
        <w:t>)</w:t>
      </w:r>
      <w:r>
        <w:tab/>
        <w:t>обеспечить, чтобы подготовка персонала правоохранительных органов включала в себя учебные материалы и информацию о распознавании физических последствий пыток, аналогичные тем, которые имеются в распоряжении некоторых медицинских работников этих органов, в соответствии с положениями статьи 10 Конвенции;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k</w:t>
      </w:r>
      <w:r>
        <w:t>)</w:t>
      </w:r>
      <w:r>
        <w:tab/>
        <w:t>принять надлежащие меры, позволяющие создать независимые неправительственные организации и развивать их деятельность в правозащитной области;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l</w:t>
      </w:r>
      <w:r>
        <w:t>)</w:t>
      </w:r>
      <w:r>
        <w:tab/>
        <w:t>предоставить в следующем периодическом докладе данные в разбивке, в частности, по возрасту, полу, этнической, национальной и географической принадлежности и прочим показателям применительно к лицам, отбывающим наказание в виде лишения свободы в тюрьмах или в иных местах или же наказанным иным способом, применительно к случаям, когда они могут подвергаться действиям, нарушающим Конвенцию, а также информацию о результатах любых случаев преследования или наказания сотрудников полиции или других должностных лиц за действия, запрещенные Конвенцией;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m</w:t>
      </w:r>
      <w:r>
        <w:t>)</w:t>
      </w:r>
      <w:r>
        <w:tab/>
        <w:t>рассмотреть возможность сделать заявление в соответствии со статьей 22 Конвенции;  и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left"/>
      </w:pPr>
      <w:r>
        <w:tab/>
      </w:r>
      <w:r>
        <w:rPr>
          <w:lang w:val="en-US"/>
        </w:rPr>
        <w:t>n</w:t>
      </w:r>
      <w:r>
        <w:t xml:space="preserve">) </w:t>
      </w:r>
      <w:r>
        <w:tab/>
        <w:t>широко распространить в стране выводы и рекомендации Комитета на всех соответствующих языках.</w:t>
      </w:r>
    </w:p>
    <w:p w:rsidR="00000000" w:rsidRDefault="00000000">
      <w:pPr>
        <w:pStyle w:val="BodyText"/>
        <w:jc w:val="left"/>
      </w:pPr>
    </w:p>
    <w:p w:rsidR="00000000" w:rsidRDefault="00000000">
      <w:pPr>
        <w:pStyle w:val="BodyText"/>
        <w:jc w:val="center"/>
      </w:pPr>
      <w:r>
        <w:t>----------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CAT/C/CR/28/5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CAT/C/CR/28/5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  <w:tab w:val="left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1581</Words>
  <Characters>9013</Characters>
  <Application>Microsoft Office Word</Application>
  <DocSecurity>4</DocSecurity>
  <Lines>75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42568.doc</vt:lpstr>
    </vt:vector>
  </TitlesOfParts>
  <Company> 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42568.doc</dc:title>
  <dc:subject/>
  <dc:creator>Couderc</dc:creator>
  <cp:keywords/>
  <dc:description/>
  <cp:lastModifiedBy>Couderc</cp:lastModifiedBy>
  <cp:revision>4</cp:revision>
  <cp:lastPrinted>2002-07-09T14:40:00Z</cp:lastPrinted>
  <dcterms:created xsi:type="dcterms:W3CDTF">2002-07-09T14:40:00Z</dcterms:created>
  <dcterms:modified xsi:type="dcterms:W3CDTF">2002-07-09T14:41:00Z</dcterms:modified>
</cp:coreProperties>
</file>