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537"/>
        <w:gridCol w:w="3828"/>
      </w:tblGrid>
      <w:tr w:rsidR="006B3E27" w:rsidRPr="00C175A6" w14:paraId="56FE9BE5" w14:textId="77777777" w:rsidTr="005B51C4">
        <w:trPr>
          <w:trHeight w:hRule="exact" w:val="851"/>
        </w:trPr>
        <w:tc>
          <w:tcPr>
            <w:tcW w:w="1274" w:type="dxa"/>
            <w:tcBorders>
              <w:bottom w:val="single" w:sz="4" w:space="0" w:color="auto"/>
            </w:tcBorders>
            <w:shd w:val="clear" w:color="auto" w:fill="auto"/>
          </w:tcPr>
          <w:p w14:paraId="1E59BF0A" w14:textId="77777777" w:rsidR="006B3E27" w:rsidRPr="00C175A6" w:rsidRDefault="006B3E27" w:rsidP="00BC187E">
            <w:pPr>
              <w:kinsoku w:val="0"/>
              <w:overflowPunct w:val="0"/>
              <w:autoSpaceDE w:val="0"/>
              <w:autoSpaceDN w:val="0"/>
              <w:adjustRightInd w:val="0"/>
              <w:snapToGrid w:val="0"/>
              <w:jc w:val="center"/>
              <w:rPr>
                <w:rFonts w:hint="cs"/>
                <w:sz w:val="56"/>
                <w:szCs w:val="56"/>
                <w:rtl/>
              </w:rPr>
            </w:pPr>
          </w:p>
        </w:tc>
        <w:tc>
          <w:tcPr>
            <w:tcW w:w="4537" w:type="dxa"/>
            <w:tcBorders>
              <w:bottom w:val="single" w:sz="4" w:space="0" w:color="auto"/>
            </w:tcBorders>
            <w:shd w:val="clear" w:color="auto" w:fill="auto"/>
            <w:vAlign w:val="bottom"/>
          </w:tcPr>
          <w:p w14:paraId="7402B247" w14:textId="77777777" w:rsidR="006B3E27" w:rsidRPr="00C175A6" w:rsidRDefault="006B3E27" w:rsidP="00730446">
            <w:pPr>
              <w:spacing w:after="80" w:line="480" w:lineRule="exact"/>
              <w:ind w:left="57"/>
              <w:rPr>
                <w:sz w:val="30"/>
                <w:szCs w:val="30"/>
                <w:rtl/>
              </w:rPr>
            </w:pPr>
            <w:r w:rsidRPr="00C175A6">
              <w:rPr>
                <w:rFonts w:hint="cs"/>
                <w:sz w:val="30"/>
                <w:szCs w:val="30"/>
                <w:rtl/>
              </w:rPr>
              <w:t>الأمم المتحدة</w:t>
            </w:r>
          </w:p>
        </w:tc>
        <w:tc>
          <w:tcPr>
            <w:tcW w:w="3828" w:type="dxa"/>
            <w:tcBorders>
              <w:bottom w:val="single" w:sz="4" w:space="0" w:color="auto"/>
            </w:tcBorders>
            <w:shd w:val="clear" w:color="auto" w:fill="auto"/>
            <w:vAlign w:val="bottom"/>
          </w:tcPr>
          <w:p w14:paraId="267E5138" w14:textId="350D5C33" w:rsidR="006B3E27" w:rsidRPr="009C1D84" w:rsidRDefault="009C1D84" w:rsidP="009C1D84">
            <w:pPr>
              <w:bidi w:val="0"/>
              <w:rPr>
                <w:szCs w:val="20"/>
              </w:rPr>
            </w:pPr>
            <w:r w:rsidRPr="009C1D84">
              <w:rPr>
                <w:sz w:val="40"/>
                <w:szCs w:val="20"/>
              </w:rPr>
              <w:t>CCPR</w:t>
            </w:r>
            <w:r>
              <w:rPr>
                <w:szCs w:val="20"/>
              </w:rPr>
              <w:t>/C/</w:t>
            </w:r>
            <w:r w:rsidRPr="00033923">
              <w:t>161</w:t>
            </w:r>
          </w:p>
        </w:tc>
      </w:tr>
      <w:tr w:rsidR="006B3E27" w:rsidRPr="00C175A6" w14:paraId="3A526555" w14:textId="77777777" w:rsidTr="005B51C4">
        <w:trPr>
          <w:trHeight w:hRule="exact" w:val="2835"/>
        </w:trPr>
        <w:tc>
          <w:tcPr>
            <w:tcW w:w="1274" w:type="dxa"/>
            <w:tcBorders>
              <w:top w:val="single" w:sz="4" w:space="0" w:color="auto"/>
              <w:bottom w:val="single" w:sz="12" w:space="0" w:color="auto"/>
            </w:tcBorders>
            <w:shd w:val="clear" w:color="auto" w:fill="auto"/>
          </w:tcPr>
          <w:p w14:paraId="00AF9622" w14:textId="77777777" w:rsidR="006B3E27" w:rsidRPr="00C175A6" w:rsidRDefault="00E2228E" w:rsidP="009A0CFB">
            <w:pPr>
              <w:spacing w:before="120"/>
              <w:jc w:val="center"/>
              <w:rPr>
                <w:sz w:val="56"/>
                <w:szCs w:val="56"/>
                <w:rtl/>
              </w:rPr>
            </w:pPr>
            <w:r w:rsidRPr="00C175A6">
              <w:rPr>
                <w:noProof/>
                <w:sz w:val="56"/>
                <w:szCs w:val="56"/>
              </w:rPr>
              <w:drawing>
                <wp:inline distT="0" distB="0" distL="0" distR="0" wp14:anchorId="3B05837D" wp14:editId="5D922C2C">
                  <wp:extent cx="628015" cy="607060"/>
                  <wp:effectExtent l="0" t="0" r="0" b="0"/>
                  <wp:docPr id="2" name="Picture 1" descr="شعار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07060"/>
                          </a:xfrm>
                          <a:prstGeom prst="rect">
                            <a:avLst/>
                          </a:prstGeom>
                          <a:noFill/>
                          <a:ln>
                            <a:noFill/>
                          </a:ln>
                        </pic:spPr>
                      </pic:pic>
                    </a:graphicData>
                  </a:graphic>
                </wp:inline>
              </w:drawing>
            </w:r>
          </w:p>
        </w:tc>
        <w:tc>
          <w:tcPr>
            <w:tcW w:w="4537" w:type="dxa"/>
            <w:tcBorders>
              <w:top w:val="single" w:sz="4" w:space="0" w:color="auto"/>
              <w:bottom w:val="single" w:sz="12" w:space="0" w:color="auto"/>
            </w:tcBorders>
            <w:shd w:val="clear" w:color="auto" w:fill="auto"/>
          </w:tcPr>
          <w:p w14:paraId="6B1F4614" w14:textId="77777777" w:rsidR="006B3E27" w:rsidRPr="00033923" w:rsidRDefault="00ED7442" w:rsidP="00730446">
            <w:pPr>
              <w:spacing w:before="120" w:after="40" w:line="640" w:lineRule="exact"/>
              <w:ind w:left="57"/>
              <w:rPr>
                <w:b/>
                <w:bCs/>
                <w:sz w:val="46"/>
                <w:szCs w:val="46"/>
              </w:rPr>
            </w:pPr>
            <w:r w:rsidRPr="00033923">
              <w:rPr>
                <w:rFonts w:hint="cs"/>
                <w:b/>
                <w:bCs/>
                <w:sz w:val="46"/>
                <w:szCs w:val="46"/>
                <w:rtl/>
              </w:rPr>
              <w:t>العهد الدولي الخاص بالحقوق المدنية والسياسية</w:t>
            </w:r>
          </w:p>
        </w:tc>
        <w:tc>
          <w:tcPr>
            <w:tcW w:w="3828" w:type="dxa"/>
            <w:tcBorders>
              <w:top w:val="single" w:sz="4" w:space="0" w:color="auto"/>
              <w:bottom w:val="single" w:sz="12" w:space="0" w:color="auto"/>
            </w:tcBorders>
            <w:shd w:val="clear" w:color="auto" w:fill="auto"/>
          </w:tcPr>
          <w:p w14:paraId="69D9050A" w14:textId="77777777" w:rsidR="006B3E27" w:rsidRPr="005A7AC3" w:rsidRDefault="009C1D84" w:rsidP="004B27E0">
            <w:pPr>
              <w:bidi w:val="0"/>
              <w:spacing w:before="240"/>
            </w:pPr>
            <w:r>
              <w:rPr>
                <w:szCs w:val="20"/>
              </w:rPr>
              <w:t>Distr.: General</w:t>
            </w:r>
          </w:p>
          <w:p w14:paraId="2008B0FA" w14:textId="155F8572" w:rsidR="009C1D84" w:rsidRPr="005A7AC3" w:rsidRDefault="005A7AC3" w:rsidP="009C1D84">
            <w:pPr>
              <w:bidi w:val="0"/>
              <w:spacing w:line="240" w:lineRule="exact"/>
              <w:jc w:val="left"/>
            </w:pPr>
            <w:r w:rsidRPr="00033923">
              <w:t>23</w:t>
            </w:r>
            <w:r>
              <w:t xml:space="preserve"> December </w:t>
            </w:r>
            <w:r w:rsidRPr="00033923">
              <w:t>2021</w:t>
            </w:r>
          </w:p>
          <w:p w14:paraId="72DEF3C4" w14:textId="77777777" w:rsidR="009C1D84" w:rsidRPr="005A7AC3" w:rsidRDefault="009C1D84" w:rsidP="009C1D84">
            <w:pPr>
              <w:bidi w:val="0"/>
              <w:spacing w:line="240" w:lineRule="exact"/>
              <w:jc w:val="left"/>
            </w:pPr>
            <w:r>
              <w:rPr>
                <w:szCs w:val="20"/>
              </w:rPr>
              <w:t>Arabic</w:t>
            </w:r>
          </w:p>
          <w:p w14:paraId="29D06228" w14:textId="570C83C5" w:rsidR="009C1D84" w:rsidRPr="009C1D84" w:rsidRDefault="009C1D84" w:rsidP="009C1D84">
            <w:pPr>
              <w:bidi w:val="0"/>
              <w:spacing w:line="240" w:lineRule="exact"/>
              <w:jc w:val="left"/>
              <w:rPr>
                <w:szCs w:val="20"/>
              </w:rPr>
            </w:pPr>
            <w:r>
              <w:rPr>
                <w:szCs w:val="20"/>
              </w:rPr>
              <w:t>Original: English</w:t>
            </w:r>
          </w:p>
        </w:tc>
      </w:tr>
    </w:tbl>
    <w:p w14:paraId="765FC9AE" w14:textId="77777777" w:rsidR="005A7AC3" w:rsidRPr="005A7AC3" w:rsidRDefault="005A7AC3" w:rsidP="005A7AC3">
      <w:pPr>
        <w:spacing w:before="120" w:after="120" w:line="360" w:lineRule="exact"/>
      </w:pPr>
      <w:r w:rsidRPr="00033923">
        <w:rPr>
          <w:b/>
          <w:bCs/>
          <w:sz w:val="24"/>
          <w:szCs w:val="26"/>
          <w:rtl/>
        </w:rPr>
        <w:t>اللجنة المعنية بحقوق الإنسان</w:t>
      </w:r>
    </w:p>
    <w:p w14:paraId="53C9168A" w14:textId="5E572228" w:rsidR="005A7AC3" w:rsidRPr="00033923" w:rsidRDefault="005A7AC3" w:rsidP="005A7AC3">
      <w:pPr>
        <w:pStyle w:val="HChGA"/>
      </w:pPr>
      <w:r w:rsidRPr="00033923">
        <w:rPr>
          <w:rtl/>
        </w:rPr>
        <w:tab/>
      </w:r>
      <w:r w:rsidRPr="00033923">
        <w:rPr>
          <w:rtl/>
        </w:rPr>
        <w:tab/>
        <w:t>مذكرة أعدتها اللجنة المعنية بحقوق الإنسان بشأن إجراء متابعة الملاحظات الختامية</w:t>
      </w:r>
      <w:r w:rsidRPr="00033923">
        <w:rPr>
          <w:rStyle w:val="FootnoteReference"/>
          <w:sz w:val="22"/>
          <w:szCs w:val="22"/>
          <w:vertAlign w:val="baseline"/>
          <w:rtl/>
        </w:rPr>
        <w:footnoteReference w:customMarkFollows="1" w:id="1"/>
        <w:t>*</w:t>
      </w:r>
      <w:r w:rsidRPr="00033923">
        <w:rPr>
          <w:rFonts w:hint="cs"/>
          <w:rtl/>
        </w:rPr>
        <w:t xml:space="preserve"> </w:t>
      </w:r>
    </w:p>
    <w:p w14:paraId="64728F90" w14:textId="77777777" w:rsidR="005A7AC3" w:rsidRPr="00033923" w:rsidRDefault="005A7AC3" w:rsidP="005A7AC3">
      <w:pPr>
        <w:pStyle w:val="H1GA"/>
      </w:pPr>
      <w:r w:rsidRPr="00033923">
        <w:rPr>
          <w:rtl/>
        </w:rPr>
        <w:tab/>
      </w:r>
      <w:r w:rsidRPr="00033923">
        <w:rPr>
          <w:rtl/>
        </w:rPr>
        <w:tab/>
        <w:t>مقدمة</w:t>
      </w:r>
    </w:p>
    <w:p w14:paraId="19FA6294" w14:textId="06635A0A" w:rsidR="005A7AC3" w:rsidRPr="005A7AC3" w:rsidRDefault="005A7AC3" w:rsidP="005A7AC3">
      <w:pPr>
        <w:pStyle w:val="SingleTxtGA"/>
      </w:pPr>
      <w:r w:rsidRPr="00033923">
        <w:rPr>
          <w:spacing w:val="-2"/>
          <w:rtl/>
        </w:rPr>
        <w:t>1</w:t>
      </w:r>
      <w:r w:rsidRPr="005A7AC3">
        <w:rPr>
          <w:rFonts w:ascii="Traditional Arabic"/>
          <w:spacing w:val="-2"/>
          <w:szCs w:val="20"/>
          <w:rtl/>
        </w:rPr>
        <w:t>-</w:t>
      </w:r>
      <w:r w:rsidRPr="005A7AC3">
        <w:rPr>
          <w:spacing w:val="-2"/>
          <w:rtl/>
        </w:rPr>
        <w:tab/>
        <w:t>يجوز للجنة، وفقا</w:t>
      </w:r>
      <w:r w:rsidR="00121866">
        <w:rPr>
          <w:rFonts w:hint="cs"/>
          <w:spacing w:val="-2"/>
          <w:rtl/>
        </w:rPr>
        <w:t>ً</w:t>
      </w:r>
      <w:r w:rsidRPr="005A7AC3">
        <w:rPr>
          <w:spacing w:val="-2"/>
          <w:rtl/>
        </w:rPr>
        <w:t xml:space="preserve"> للمادة </w:t>
      </w:r>
      <w:r w:rsidRPr="00033923">
        <w:rPr>
          <w:spacing w:val="-2"/>
          <w:rtl/>
        </w:rPr>
        <w:t>40</w:t>
      </w:r>
      <w:r w:rsidRPr="005A7AC3">
        <w:rPr>
          <w:rFonts w:ascii="Traditional Arabic"/>
          <w:spacing w:val="-2"/>
          <w:szCs w:val="20"/>
          <w:rtl/>
        </w:rPr>
        <w:t>(</w:t>
      </w:r>
      <w:r w:rsidRPr="00033923">
        <w:rPr>
          <w:spacing w:val="-2"/>
          <w:rtl/>
        </w:rPr>
        <w:t>1</w:t>
      </w:r>
      <w:r w:rsidRPr="005A7AC3">
        <w:rPr>
          <w:rFonts w:ascii="Traditional Arabic"/>
          <w:spacing w:val="-2"/>
          <w:szCs w:val="20"/>
          <w:rtl/>
        </w:rPr>
        <w:t>)(</w:t>
      </w:r>
      <w:r w:rsidRPr="005A7AC3">
        <w:rPr>
          <w:spacing w:val="-2"/>
          <w:rtl/>
        </w:rPr>
        <w:t>ب</w:t>
      </w:r>
      <w:r w:rsidRPr="005A7AC3">
        <w:rPr>
          <w:rFonts w:ascii="Traditional Arabic"/>
          <w:spacing w:val="-2"/>
          <w:szCs w:val="20"/>
          <w:rtl/>
        </w:rPr>
        <w:t>)</w:t>
      </w:r>
      <w:r w:rsidRPr="005A7AC3">
        <w:rPr>
          <w:spacing w:val="-2"/>
          <w:rtl/>
        </w:rPr>
        <w:t xml:space="preserve"> من العهد، أن تعد تقارير متابعة للملاحظات الختامية استنادا</w:t>
      </w:r>
      <w:r w:rsidR="00121866">
        <w:rPr>
          <w:rFonts w:hint="cs"/>
          <w:spacing w:val="-2"/>
          <w:rtl/>
        </w:rPr>
        <w:t>ً</w:t>
      </w:r>
      <w:r w:rsidRPr="005A7AC3">
        <w:rPr>
          <w:spacing w:val="-2"/>
          <w:rtl/>
        </w:rPr>
        <w:t xml:space="preserve"> إلى التقارير المقدمة من الدول الأطراف في العهد بغية مساعدتها على الوفاء بالتزاماتها بموجب العهد.</w:t>
      </w:r>
    </w:p>
    <w:p w14:paraId="35A48462" w14:textId="568A8CD5" w:rsidR="005A7AC3" w:rsidRPr="00121866" w:rsidRDefault="005A7AC3" w:rsidP="005A7AC3">
      <w:pPr>
        <w:pStyle w:val="SingleTxtGA"/>
        <w:rPr>
          <w:spacing w:val="-2"/>
        </w:rPr>
      </w:pPr>
      <w:r w:rsidRPr="00033923">
        <w:rPr>
          <w:spacing w:val="-2"/>
          <w:rtl/>
        </w:rPr>
        <w:t>2</w:t>
      </w:r>
      <w:r w:rsidRPr="00121866">
        <w:rPr>
          <w:rFonts w:ascii="Traditional Arabic"/>
          <w:spacing w:val="-2"/>
          <w:szCs w:val="20"/>
          <w:rtl/>
        </w:rPr>
        <w:t>-</w:t>
      </w:r>
      <w:r w:rsidRPr="00121866">
        <w:rPr>
          <w:spacing w:val="-2"/>
          <w:rtl/>
        </w:rPr>
        <w:tab/>
        <w:t xml:space="preserve">وقد شرعت اللجنة في عملية متابعة الملاحظات الختامية في عام </w:t>
      </w:r>
      <w:r w:rsidRPr="00033923">
        <w:rPr>
          <w:spacing w:val="-2"/>
          <w:rtl/>
        </w:rPr>
        <w:t>2001</w:t>
      </w:r>
      <w:r w:rsidRPr="00121866">
        <w:rPr>
          <w:rFonts w:ascii="Traditional Arabic"/>
          <w:spacing w:val="-2"/>
          <w:szCs w:val="20"/>
          <w:rtl/>
        </w:rPr>
        <w:t>.</w:t>
      </w:r>
      <w:r w:rsidRPr="00121866">
        <w:rPr>
          <w:spacing w:val="-2"/>
          <w:rtl/>
        </w:rPr>
        <w:t xml:space="preserve"> وفي عام </w:t>
      </w:r>
      <w:r w:rsidRPr="00033923">
        <w:rPr>
          <w:spacing w:val="-2"/>
          <w:rtl/>
        </w:rPr>
        <w:t>2002</w:t>
      </w:r>
      <w:r w:rsidRPr="00121866">
        <w:rPr>
          <w:spacing w:val="-2"/>
          <w:rtl/>
        </w:rPr>
        <w:t xml:space="preserve">، أوصى الاجتماع المشترك بين لجان هيئات معاهدات حقوق الإنسان بأن تضع جميع هيئات المعاهدات إجراءات لمتابعة الملاحظات </w:t>
      </w:r>
      <w:proofErr w:type="gramStart"/>
      <w:r w:rsidRPr="00121866">
        <w:rPr>
          <w:spacing w:val="-2"/>
          <w:rtl/>
        </w:rPr>
        <w:t>الختامية</w:t>
      </w:r>
      <w:r w:rsidR="00121866" w:rsidRPr="00033923">
        <w:rPr>
          <w:spacing w:val="-2"/>
          <w:vertAlign w:val="superscript"/>
          <w:rtl/>
        </w:rPr>
        <w:t>(</w:t>
      </w:r>
      <w:proofErr w:type="gramEnd"/>
      <w:r w:rsidR="00121866" w:rsidRPr="00033923">
        <w:rPr>
          <w:spacing w:val="-2"/>
          <w:vertAlign w:val="superscript"/>
          <w:lang w:val="en-US"/>
        </w:rPr>
        <w:footnoteReference w:id="2"/>
      </w:r>
      <w:r w:rsidR="00121866" w:rsidRPr="00033923">
        <w:rPr>
          <w:spacing w:val="-2"/>
          <w:vertAlign w:val="superscript"/>
          <w:rtl/>
        </w:rPr>
        <w:t>)</w:t>
      </w:r>
      <w:r w:rsidRPr="00121866">
        <w:rPr>
          <w:spacing w:val="-2"/>
          <w:rtl/>
        </w:rPr>
        <w:t xml:space="preserve">. وفي عام </w:t>
      </w:r>
      <w:r w:rsidRPr="00033923">
        <w:rPr>
          <w:spacing w:val="-2"/>
          <w:rtl/>
        </w:rPr>
        <w:t>2009</w:t>
      </w:r>
      <w:r w:rsidRPr="00121866">
        <w:rPr>
          <w:spacing w:val="-2"/>
          <w:rtl/>
        </w:rPr>
        <w:t xml:space="preserve">، أعاد الاجتماع تأكيد هذه التوصية، وذكر أن إجراءات المتابعة جزء لا يتجزأ من إجراء </w:t>
      </w:r>
      <w:proofErr w:type="gramStart"/>
      <w:r w:rsidRPr="00121866">
        <w:rPr>
          <w:spacing w:val="-2"/>
          <w:rtl/>
        </w:rPr>
        <w:t>الإبلاغ</w:t>
      </w:r>
      <w:r w:rsidR="00121866" w:rsidRPr="00033923">
        <w:rPr>
          <w:spacing w:val="-2"/>
          <w:vertAlign w:val="superscript"/>
          <w:rtl/>
        </w:rPr>
        <w:t>(</w:t>
      </w:r>
      <w:proofErr w:type="gramEnd"/>
      <w:r w:rsidR="00121866" w:rsidRPr="00033923">
        <w:rPr>
          <w:spacing w:val="-2"/>
          <w:vertAlign w:val="superscript"/>
          <w:lang w:val="en-US"/>
        </w:rPr>
        <w:footnoteReference w:id="3"/>
      </w:r>
      <w:r w:rsidR="00121866" w:rsidRPr="00033923">
        <w:rPr>
          <w:spacing w:val="-2"/>
          <w:vertAlign w:val="superscript"/>
          <w:rtl/>
        </w:rPr>
        <w:t>)</w:t>
      </w:r>
      <w:r w:rsidRPr="00121866">
        <w:rPr>
          <w:spacing w:val="-2"/>
          <w:rtl/>
        </w:rPr>
        <w:t xml:space="preserve">. وتحدد المادة </w:t>
      </w:r>
      <w:r w:rsidRPr="00033923">
        <w:rPr>
          <w:spacing w:val="-2"/>
          <w:rtl/>
        </w:rPr>
        <w:t>75</w:t>
      </w:r>
      <w:r w:rsidRPr="00121866">
        <w:rPr>
          <w:spacing w:val="-2"/>
          <w:rtl/>
        </w:rPr>
        <w:t xml:space="preserve"> من النظام الداخلي إجراءات متابعة الملاحظات </w:t>
      </w:r>
      <w:proofErr w:type="gramStart"/>
      <w:r w:rsidRPr="00121866">
        <w:rPr>
          <w:spacing w:val="-2"/>
          <w:rtl/>
        </w:rPr>
        <w:t>الختامية</w:t>
      </w:r>
      <w:r w:rsidR="00121866" w:rsidRPr="00033923">
        <w:rPr>
          <w:spacing w:val="-2"/>
          <w:vertAlign w:val="superscript"/>
          <w:rtl/>
        </w:rPr>
        <w:t>(</w:t>
      </w:r>
      <w:proofErr w:type="gramEnd"/>
      <w:r w:rsidR="00121866" w:rsidRPr="00033923">
        <w:rPr>
          <w:spacing w:val="-2"/>
          <w:vertAlign w:val="superscript"/>
          <w:lang w:val="en-US"/>
        </w:rPr>
        <w:footnoteReference w:id="4"/>
      </w:r>
      <w:r w:rsidR="00121866" w:rsidRPr="00033923">
        <w:rPr>
          <w:spacing w:val="-2"/>
          <w:vertAlign w:val="superscript"/>
          <w:rtl/>
        </w:rPr>
        <w:t>)</w:t>
      </w:r>
      <w:r w:rsidRPr="00121866">
        <w:rPr>
          <w:spacing w:val="-2"/>
          <w:rtl/>
        </w:rPr>
        <w:t xml:space="preserve">. وبالإضافة إلى ذلك، وضعت اللجنة مبادئ توجيهية بشأن عملية المتابعة المشمولة بهذه المذكرة، التي اعتمدتها اللجنة في دورتها </w:t>
      </w:r>
      <w:r w:rsidRPr="00033923">
        <w:rPr>
          <w:spacing w:val="-2"/>
          <w:rtl/>
        </w:rPr>
        <w:t>133</w:t>
      </w:r>
      <w:r w:rsidRPr="00121866">
        <w:rPr>
          <w:spacing w:val="-2"/>
          <w:rtl/>
        </w:rPr>
        <w:t>، على نحو يعكس الممارسة التي بلورتها اللجنة.</w:t>
      </w:r>
    </w:p>
    <w:p w14:paraId="03777B6C" w14:textId="77777777" w:rsidR="005A7AC3" w:rsidRPr="00033923" w:rsidRDefault="005A7AC3" w:rsidP="005A7AC3">
      <w:pPr>
        <w:pStyle w:val="H1GA"/>
      </w:pPr>
      <w:r w:rsidRPr="00033923">
        <w:rPr>
          <w:rtl/>
        </w:rPr>
        <w:tab/>
      </w:r>
      <w:r w:rsidRPr="00033923">
        <w:rPr>
          <w:rtl/>
        </w:rPr>
        <w:tab/>
        <w:t>المقررون المعنيون بمتابعة الملاحظات الختامية</w:t>
      </w:r>
    </w:p>
    <w:p w14:paraId="19C68D38" w14:textId="3BD2EC2F" w:rsidR="005A7AC3" w:rsidRPr="005A7AC3" w:rsidRDefault="005A7AC3" w:rsidP="005A7AC3">
      <w:pPr>
        <w:pStyle w:val="SingleTxtGA"/>
      </w:pPr>
      <w:r w:rsidRPr="00033923">
        <w:rPr>
          <w:rtl/>
        </w:rPr>
        <w:t>3</w:t>
      </w:r>
      <w:r>
        <w:rPr>
          <w:rFonts w:ascii="Traditional Arabic"/>
          <w:szCs w:val="20"/>
          <w:rtl/>
        </w:rPr>
        <w:t>-</w:t>
      </w:r>
      <w:r>
        <w:rPr>
          <w:rtl/>
        </w:rPr>
        <w:tab/>
        <w:t>يجوز للجنة، عند اعتماد الملاحظات الختامية، أن تطلب إلى الدولة الطرف تزويدها بمعلومات متابعة عن جوانب معينة من ملاحظاتها. ولهذا الغرض، يجوز للجنة أن تعين عضواً أو أكثر من أعضائها مقررا</w:t>
      </w:r>
      <w:r w:rsidR="00121866">
        <w:rPr>
          <w:rFonts w:hint="cs"/>
          <w:rtl/>
        </w:rPr>
        <w:t>ً</w:t>
      </w:r>
      <w:r>
        <w:rPr>
          <w:rtl/>
        </w:rPr>
        <w:t xml:space="preserve"> معنيا</w:t>
      </w:r>
      <w:r w:rsidR="00121866">
        <w:rPr>
          <w:rFonts w:hint="cs"/>
          <w:rtl/>
        </w:rPr>
        <w:t>ً</w:t>
      </w:r>
      <w:r>
        <w:rPr>
          <w:rtl/>
        </w:rPr>
        <w:t xml:space="preserve">/مقررة معنية/مقررين معنيين/مقررات معنيات بمتابعة تنفيذ ملاحظاتها الختامية مع الدولة الطرف. وقررت اللجنة في دورتها </w:t>
      </w:r>
      <w:r w:rsidRPr="00033923">
        <w:rPr>
          <w:rtl/>
        </w:rPr>
        <w:t>108</w:t>
      </w:r>
      <w:r>
        <w:rPr>
          <w:rtl/>
        </w:rPr>
        <w:t xml:space="preserve"> المعقودة في تموز/يوليه </w:t>
      </w:r>
      <w:r w:rsidRPr="00033923">
        <w:rPr>
          <w:rtl/>
        </w:rPr>
        <w:t>2013</w:t>
      </w:r>
      <w:r>
        <w:rPr>
          <w:rtl/>
        </w:rPr>
        <w:t xml:space="preserve"> تعيين مقرر خاص ونائب مقرر خاص لمتابعة الملاحظات الختامية. وتعين اللجنة المقرر الخاص/المقررة الخاصة ونائبهـ(ا)/نائبتهـ(ا) كل عامين.</w:t>
      </w:r>
    </w:p>
    <w:p w14:paraId="71244C8C" w14:textId="77777777" w:rsidR="005A7AC3" w:rsidRPr="005A7AC3" w:rsidRDefault="005A7AC3" w:rsidP="005A7AC3">
      <w:pPr>
        <w:pStyle w:val="SingleTxtGA"/>
      </w:pPr>
      <w:r w:rsidRPr="00033923">
        <w:rPr>
          <w:rtl/>
        </w:rPr>
        <w:lastRenderedPageBreak/>
        <w:t>4</w:t>
      </w:r>
      <w:r>
        <w:rPr>
          <w:rFonts w:ascii="Traditional Arabic"/>
          <w:szCs w:val="20"/>
          <w:rtl/>
        </w:rPr>
        <w:t>-</w:t>
      </w:r>
      <w:r>
        <w:rPr>
          <w:rtl/>
        </w:rPr>
        <w:tab/>
        <w:t>ويقيم المقررون المعنيون/المقررات المعنيات بالمتابعة المعلومات التي تقدمها الدول الأطراف والجهات المعنية الأخرى ويقدمون تقارير إلى اللجنة فيما يتعلق بالمعلومات الواردة عن الخطوات المتخذة استجابة إلى التوصيات. ويقدم تقرير المتابعة ويعتمد في جلسة عامة تعقدها اللجنة بكامل هيئتها.</w:t>
      </w:r>
    </w:p>
    <w:p w14:paraId="18998156" w14:textId="77777777" w:rsidR="005A7AC3" w:rsidRPr="00033923" w:rsidRDefault="005A7AC3" w:rsidP="005A7AC3">
      <w:pPr>
        <w:pStyle w:val="H1GA"/>
      </w:pPr>
      <w:r w:rsidRPr="00033923">
        <w:rPr>
          <w:rtl/>
        </w:rPr>
        <w:tab/>
      </w:r>
      <w:r w:rsidRPr="00033923">
        <w:rPr>
          <w:rtl/>
        </w:rPr>
        <w:tab/>
        <w:t>معايير اختيار توصيات المتابعة والإطار الزمني</w:t>
      </w:r>
    </w:p>
    <w:p w14:paraId="54037810" w14:textId="77777777" w:rsidR="005A7AC3" w:rsidRPr="005A7AC3" w:rsidRDefault="005A7AC3" w:rsidP="005A7AC3">
      <w:pPr>
        <w:pStyle w:val="SingleTxtGA"/>
      </w:pPr>
      <w:r w:rsidRPr="00033923">
        <w:rPr>
          <w:rtl/>
        </w:rPr>
        <w:t>5</w:t>
      </w:r>
      <w:r>
        <w:rPr>
          <w:rFonts w:ascii="Traditional Arabic"/>
          <w:szCs w:val="20"/>
          <w:rtl/>
        </w:rPr>
        <w:t>-</w:t>
      </w:r>
      <w:r>
        <w:rPr>
          <w:rtl/>
        </w:rPr>
        <w:tab/>
        <w:t>أرست اللجنة معيارين رئيسيين لاختيار التوصيات التي ينبغي أن تُدرج في إجراء المتابعة، هما:</w:t>
      </w:r>
    </w:p>
    <w:p w14:paraId="2421E404" w14:textId="59679FBF" w:rsidR="005A7AC3" w:rsidRPr="005A7AC3" w:rsidRDefault="005A7AC3" w:rsidP="005A7AC3">
      <w:pPr>
        <w:pStyle w:val="SingleTxtGA"/>
      </w:pPr>
      <w:r>
        <w:rPr>
          <w:rtl/>
        </w:rPr>
        <w:tab/>
        <w:t>(أ)</w:t>
      </w:r>
      <w:r>
        <w:rPr>
          <w:rtl/>
        </w:rPr>
        <w:tab/>
        <w:t xml:space="preserve">أن تكون التوصية قابلة للتنفيذ في غضون ثلاث سنوات بعد </w:t>
      </w:r>
      <w:proofErr w:type="gramStart"/>
      <w:r>
        <w:rPr>
          <w:rtl/>
        </w:rPr>
        <w:t>اعتمادها</w:t>
      </w:r>
      <w:r w:rsidR="00121866" w:rsidRPr="00033923">
        <w:rPr>
          <w:vertAlign w:val="superscript"/>
          <w:rtl/>
        </w:rPr>
        <w:t>(</w:t>
      </w:r>
      <w:proofErr w:type="gramEnd"/>
      <w:r w:rsidR="00121866" w:rsidRPr="00033923">
        <w:rPr>
          <w:vertAlign w:val="superscript"/>
          <w:lang w:val="en-US"/>
        </w:rPr>
        <w:footnoteReference w:id="5"/>
      </w:r>
      <w:r w:rsidR="00121866" w:rsidRPr="00033923">
        <w:rPr>
          <w:vertAlign w:val="superscript"/>
          <w:rtl/>
        </w:rPr>
        <w:t>)</w:t>
      </w:r>
      <w:r>
        <w:rPr>
          <w:rtl/>
        </w:rPr>
        <w:t xml:space="preserve">؛ </w:t>
      </w:r>
    </w:p>
    <w:p w14:paraId="43353E00" w14:textId="5CF35DF1" w:rsidR="005A7AC3" w:rsidRPr="00121866" w:rsidRDefault="005A7AC3" w:rsidP="005A7AC3">
      <w:pPr>
        <w:pStyle w:val="SingleTxtGA"/>
        <w:rPr>
          <w:rtl/>
          <w:lang w:val="en-US"/>
        </w:rPr>
      </w:pPr>
      <w:r>
        <w:rPr>
          <w:rtl/>
        </w:rPr>
        <w:tab/>
        <w:t>(ب)</w:t>
      </w:r>
      <w:r>
        <w:rPr>
          <w:rtl/>
        </w:rPr>
        <w:tab/>
        <w:t>أن تستدعي التوصية الاهتمام إما بسبب خطورة الحالة أو بسبب إلحاحها. وتعتبر الحالة ملحة عندما</w:t>
      </w:r>
      <w:r w:rsidR="00121866">
        <w:rPr>
          <w:rFonts w:hint="cs"/>
          <w:rtl/>
        </w:rPr>
        <w:t>:</w:t>
      </w:r>
    </w:p>
    <w:p w14:paraId="6C9869F4" w14:textId="75C5BAAE" w:rsidR="005A7AC3" w:rsidRPr="005A7AC3" w:rsidRDefault="005A7AC3" w:rsidP="005A7AC3">
      <w:pPr>
        <w:pStyle w:val="Roman1GA"/>
      </w:pPr>
      <w:r>
        <w:rPr>
          <w:rtl/>
        </w:rPr>
        <w:t>يشكل عدم التدخل عقبة رئيسية أمام تنفيذ العهد؛</w:t>
      </w:r>
    </w:p>
    <w:p w14:paraId="2E259B52" w14:textId="1DCB8997" w:rsidR="005A7AC3" w:rsidRPr="005A7AC3" w:rsidRDefault="005A7AC3" w:rsidP="005A7AC3">
      <w:pPr>
        <w:pStyle w:val="Roman1GA"/>
      </w:pPr>
      <w:r>
        <w:rPr>
          <w:rtl/>
        </w:rPr>
        <w:t>يشكل عدم التدخل تهديداً محتملاً لحياة شخص أو أكثر من شخص أو لأمنهم؛</w:t>
      </w:r>
    </w:p>
    <w:p w14:paraId="73C45EFE" w14:textId="71D593BC" w:rsidR="005A7AC3" w:rsidRPr="005A7AC3" w:rsidRDefault="005A7AC3" w:rsidP="005A7AC3">
      <w:pPr>
        <w:pStyle w:val="Roman1GA"/>
      </w:pPr>
      <w:r>
        <w:rPr>
          <w:rtl/>
        </w:rPr>
        <w:t>تكون المسألة معلقة منذ وقت طويل ولم تعالجها الدولة الطرف.</w:t>
      </w:r>
    </w:p>
    <w:p w14:paraId="4F7D3E0B" w14:textId="77777777" w:rsidR="005A7AC3" w:rsidRPr="00033923" w:rsidRDefault="005A7AC3" w:rsidP="005A7AC3">
      <w:pPr>
        <w:pStyle w:val="H1GA"/>
      </w:pPr>
      <w:r w:rsidRPr="00033923">
        <w:rPr>
          <w:rtl/>
        </w:rPr>
        <w:tab/>
      </w:r>
      <w:r w:rsidRPr="00033923">
        <w:rPr>
          <w:rtl/>
        </w:rPr>
        <w:tab/>
        <w:t>عدد توصيات المتابعة</w:t>
      </w:r>
    </w:p>
    <w:p w14:paraId="12C20AEF" w14:textId="77777777" w:rsidR="005A7AC3" w:rsidRPr="005A7AC3" w:rsidRDefault="005A7AC3" w:rsidP="005A7AC3">
      <w:pPr>
        <w:pStyle w:val="SingleTxtGA"/>
      </w:pPr>
      <w:r w:rsidRPr="00033923">
        <w:rPr>
          <w:rtl/>
        </w:rPr>
        <w:t>6</w:t>
      </w:r>
      <w:r>
        <w:rPr>
          <w:rFonts w:ascii="Traditional Arabic"/>
          <w:szCs w:val="20"/>
          <w:rtl/>
        </w:rPr>
        <w:t>-</w:t>
      </w:r>
      <w:r>
        <w:rPr>
          <w:rtl/>
        </w:rPr>
        <w:tab/>
        <w:t>تختار اللجنة في المتوسط ثلاث توصيات من الملاحظات الختامية ليُنظر فيها في إجراء المتابعة. ويُشار في الملاحظات الختامية للجنة إلى التوصيات المختارة.</w:t>
      </w:r>
    </w:p>
    <w:p w14:paraId="392A2B9F" w14:textId="77777777" w:rsidR="005A7AC3" w:rsidRPr="00033923" w:rsidRDefault="005A7AC3" w:rsidP="005A7AC3">
      <w:pPr>
        <w:pStyle w:val="H1GA"/>
      </w:pPr>
      <w:r w:rsidRPr="00033923">
        <w:rPr>
          <w:rtl/>
        </w:rPr>
        <w:tab/>
      </w:r>
      <w:r w:rsidRPr="00033923">
        <w:rPr>
          <w:rtl/>
        </w:rPr>
        <w:tab/>
        <w:t>الموعد النهائي لتقديم معلومات من الدولة الطرف بشأن متابعة الملاحظات الختامية</w:t>
      </w:r>
    </w:p>
    <w:p w14:paraId="21D84077" w14:textId="77777777" w:rsidR="005A7AC3" w:rsidRPr="005A7AC3" w:rsidRDefault="005A7AC3" w:rsidP="005A7AC3">
      <w:pPr>
        <w:pStyle w:val="SingleTxtGA"/>
      </w:pPr>
      <w:r w:rsidRPr="00033923">
        <w:rPr>
          <w:rtl/>
        </w:rPr>
        <w:t>7</w:t>
      </w:r>
      <w:r>
        <w:rPr>
          <w:rFonts w:ascii="Traditional Arabic"/>
          <w:szCs w:val="20"/>
          <w:rtl/>
        </w:rPr>
        <w:t>-</w:t>
      </w:r>
      <w:r>
        <w:rPr>
          <w:rtl/>
        </w:rPr>
        <w:tab/>
        <w:t>تُمنح الدولة الطرف مهلة ثلاث سنوات للرد على التوصيات المختارة. ويشار إلى المعلومات المقدمة من الدول الأطراف في سياق إجراء المتابعة على أنها "معلومات واردة من الدولة الطرف بشأن متابعة الملاحظات الختامية".</w:t>
      </w:r>
    </w:p>
    <w:p w14:paraId="002DD692" w14:textId="77777777" w:rsidR="005A7AC3" w:rsidRPr="00033923" w:rsidRDefault="005A7AC3" w:rsidP="005A7AC3">
      <w:pPr>
        <w:pStyle w:val="H1GA"/>
        <w:rPr>
          <w:spacing w:val="-10"/>
        </w:rPr>
      </w:pPr>
      <w:r w:rsidRPr="00033923">
        <w:rPr>
          <w:spacing w:val="-10"/>
          <w:rtl/>
        </w:rPr>
        <w:tab/>
      </w:r>
      <w:r w:rsidRPr="00033923">
        <w:rPr>
          <w:spacing w:val="-10"/>
          <w:rtl/>
        </w:rPr>
        <w:tab/>
        <w:t>المبادئ التوجيهية للدول الأطراف بشأن صياغة المعلومات المتعلقة بمتابعة الملاحظات الختامية</w:t>
      </w:r>
      <w:r w:rsidRPr="00033923">
        <w:rPr>
          <w:rFonts w:ascii="Arial" w:hAnsi="Arial" w:cs="Arial" w:hint="cs"/>
          <w:spacing w:val="-10"/>
          <w:rtl/>
        </w:rPr>
        <w:t>‬</w:t>
      </w:r>
    </w:p>
    <w:p w14:paraId="798D617F" w14:textId="77777777" w:rsidR="005A7AC3" w:rsidRPr="005A7AC3" w:rsidRDefault="005A7AC3" w:rsidP="005A7AC3">
      <w:pPr>
        <w:pStyle w:val="SingleTxtGA"/>
      </w:pPr>
      <w:r w:rsidRPr="00033923">
        <w:rPr>
          <w:rtl/>
        </w:rPr>
        <w:t>8</w:t>
      </w:r>
      <w:r>
        <w:rPr>
          <w:rFonts w:ascii="Traditional Arabic"/>
          <w:szCs w:val="20"/>
          <w:rtl/>
        </w:rPr>
        <w:t>-</w:t>
      </w:r>
      <w:r>
        <w:rPr>
          <w:rtl/>
        </w:rPr>
        <w:tab/>
        <w:t>تقدم اللجنة إلى الدول الأطراف، عند توجيه الملاحظات الختامية إليها، مبادئ توجيهية بشأن صياغة المعلومات المتعلقة بمتابعة الملاحظات الختامية</w:t>
      </w:r>
      <w:r>
        <w:rPr>
          <w:rFonts w:ascii="Arial" w:hAnsi="Arial" w:cs="Arial" w:hint="cs"/>
          <w:rtl/>
        </w:rPr>
        <w:t>‬</w:t>
      </w:r>
      <w:r>
        <w:rPr>
          <w:rtl/>
        </w:rPr>
        <w:t xml:space="preserve">. </w:t>
      </w:r>
      <w:r>
        <w:rPr>
          <w:rFonts w:ascii="Simplified Arabic" w:hAnsi="Simplified Arabic" w:hint="cs"/>
          <w:rtl/>
        </w:rPr>
        <w:t>وفيما</w:t>
      </w:r>
      <w:r>
        <w:rPr>
          <w:rtl/>
        </w:rPr>
        <w:t xml:space="preserve"> </w:t>
      </w:r>
      <w:r>
        <w:rPr>
          <w:rFonts w:ascii="Simplified Arabic" w:hAnsi="Simplified Arabic" w:hint="cs"/>
          <w:rtl/>
        </w:rPr>
        <w:t>يلي</w:t>
      </w:r>
      <w:r>
        <w:rPr>
          <w:rtl/>
        </w:rPr>
        <w:t xml:space="preserve"> </w:t>
      </w:r>
      <w:r>
        <w:rPr>
          <w:rFonts w:ascii="Simplified Arabic" w:hAnsi="Simplified Arabic" w:hint="cs"/>
          <w:rtl/>
        </w:rPr>
        <w:t>تلك</w:t>
      </w:r>
      <w:r>
        <w:rPr>
          <w:rtl/>
        </w:rPr>
        <w:t xml:space="preserve"> </w:t>
      </w:r>
      <w:r>
        <w:rPr>
          <w:rFonts w:ascii="Simplified Arabic" w:hAnsi="Simplified Arabic" w:hint="cs"/>
          <w:rtl/>
        </w:rPr>
        <w:t>المبادئ</w:t>
      </w:r>
      <w:r>
        <w:rPr>
          <w:rtl/>
        </w:rPr>
        <w:t xml:space="preserve"> </w:t>
      </w:r>
      <w:r>
        <w:rPr>
          <w:rFonts w:ascii="Simplified Arabic" w:hAnsi="Simplified Arabic" w:hint="cs"/>
          <w:rtl/>
        </w:rPr>
        <w:t>التوجيهية،</w:t>
      </w:r>
      <w:r>
        <w:rPr>
          <w:rtl/>
        </w:rPr>
        <w:t xml:space="preserve"> </w:t>
      </w:r>
      <w:r>
        <w:rPr>
          <w:rFonts w:ascii="Simplified Arabic" w:hAnsi="Simplified Arabic" w:hint="cs"/>
          <w:rtl/>
        </w:rPr>
        <w:t>التي</w:t>
      </w:r>
      <w:r>
        <w:rPr>
          <w:rtl/>
        </w:rPr>
        <w:t xml:space="preserve"> </w:t>
      </w:r>
      <w:r>
        <w:rPr>
          <w:rFonts w:ascii="Simplified Arabic" w:hAnsi="Simplified Arabic" w:hint="cs"/>
          <w:rtl/>
        </w:rPr>
        <w:t>ترد</w:t>
      </w:r>
      <w:r>
        <w:rPr>
          <w:rtl/>
        </w:rPr>
        <w:t xml:space="preserve"> </w:t>
      </w:r>
      <w:r>
        <w:rPr>
          <w:rFonts w:ascii="Simplified Arabic" w:hAnsi="Simplified Arabic" w:hint="cs"/>
          <w:rtl/>
        </w:rPr>
        <w:t>أيضاً</w:t>
      </w:r>
      <w:r>
        <w:rPr>
          <w:rtl/>
        </w:rPr>
        <w:t xml:space="preserve"> </w:t>
      </w:r>
      <w:r>
        <w:rPr>
          <w:rFonts w:ascii="Simplified Arabic" w:hAnsi="Simplified Arabic" w:hint="cs"/>
          <w:rtl/>
        </w:rPr>
        <w:t>في</w:t>
      </w:r>
      <w:r>
        <w:rPr>
          <w:rtl/>
        </w:rPr>
        <w:t xml:space="preserve"> </w:t>
      </w:r>
      <w:r>
        <w:rPr>
          <w:rFonts w:ascii="Simplified Arabic" w:hAnsi="Simplified Arabic" w:hint="cs"/>
          <w:rtl/>
        </w:rPr>
        <w:t>الصفحة</w:t>
      </w:r>
      <w:r>
        <w:rPr>
          <w:rtl/>
        </w:rPr>
        <w:t xml:space="preserve"> </w:t>
      </w:r>
      <w:r>
        <w:rPr>
          <w:rFonts w:ascii="Simplified Arabic" w:hAnsi="Simplified Arabic" w:hint="cs"/>
          <w:rtl/>
        </w:rPr>
        <w:t>الشبكية</w:t>
      </w:r>
      <w:r>
        <w:rPr>
          <w:rtl/>
        </w:rPr>
        <w:t xml:space="preserve"> </w:t>
      </w:r>
      <w:r>
        <w:rPr>
          <w:rFonts w:ascii="Simplified Arabic" w:hAnsi="Simplified Arabic" w:hint="cs"/>
          <w:rtl/>
        </w:rPr>
        <w:t>للجنة</w:t>
      </w:r>
      <w:r>
        <w:rPr>
          <w:rFonts w:ascii="Traditional Arabic"/>
          <w:szCs w:val="20"/>
        </w:rPr>
        <w:t>:</w:t>
      </w:r>
      <w:r>
        <w:rPr>
          <w:rtl/>
        </w:rPr>
        <w:t xml:space="preserve"> </w:t>
      </w:r>
    </w:p>
    <w:p w14:paraId="3FE249C3" w14:textId="26C06938" w:rsidR="005A7AC3" w:rsidRPr="005A7AC3" w:rsidRDefault="005A7AC3" w:rsidP="005A7AC3">
      <w:pPr>
        <w:pStyle w:val="SingleTxtGA"/>
      </w:pPr>
      <w:r>
        <w:rPr>
          <w:rtl/>
        </w:rPr>
        <w:tab/>
        <w:t>(أ)</w:t>
      </w:r>
      <w:r>
        <w:rPr>
          <w:rtl/>
        </w:rPr>
        <w:tab/>
        <w:t>يكون تقرير المتابعة موجزا</w:t>
      </w:r>
      <w:r w:rsidR="00121866">
        <w:rPr>
          <w:rFonts w:hint="cs"/>
          <w:rtl/>
        </w:rPr>
        <w:t>ً</w:t>
      </w:r>
      <w:r>
        <w:rPr>
          <w:rtl/>
        </w:rPr>
        <w:t xml:space="preserve"> ويركز حصرا</w:t>
      </w:r>
      <w:r w:rsidR="00121866">
        <w:rPr>
          <w:rFonts w:hint="cs"/>
          <w:rtl/>
        </w:rPr>
        <w:t>ً</w:t>
      </w:r>
      <w:r>
        <w:rPr>
          <w:rtl/>
        </w:rPr>
        <w:t xml:space="preserve"> على التوصيات التي حددتها اللجنة في إطار إجراء المتابعة؛</w:t>
      </w:r>
      <w:r>
        <w:rPr>
          <w:rFonts w:ascii="Arial" w:hAnsi="Arial" w:cs="Arial" w:hint="cs"/>
          <w:rtl/>
        </w:rPr>
        <w:t>‬</w:t>
      </w:r>
      <w:r>
        <w:rPr>
          <w:rtl/>
        </w:rPr>
        <w:t xml:space="preserve"> </w:t>
      </w:r>
    </w:p>
    <w:p w14:paraId="67349308" w14:textId="3E91632F" w:rsidR="005A7AC3" w:rsidRPr="005A7AC3" w:rsidRDefault="005A7AC3" w:rsidP="005A7AC3">
      <w:pPr>
        <w:pStyle w:val="SingleTxtGA"/>
      </w:pPr>
      <w:r>
        <w:rPr>
          <w:rtl/>
        </w:rPr>
        <w:tab/>
        <w:t>(ب)</w:t>
      </w:r>
      <w:r>
        <w:rPr>
          <w:rtl/>
        </w:rPr>
        <w:tab/>
        <w:t>ينبغي ألا تتجاوز المعلومات عموما</w:t>
      </w:r>
      <w:r w:rsidR="00121866">
        <w:rPr>
          <w:rFonts w:hint="cs"/>
          <w:rtl/>
        </w:rPr>
        <w:t>ً</w:t>
      </w:r>
      <w:r>
        <w:rPr>
          <w:rtl/>
        </w:rPr>
        <w:t xml:space="preserve"> </w:t>
      </w:r>
      <w:r w:rsidRPr="00033923">
        <w:rPr>
          <w:rtl/>
        </w:rPr>
        <w:t>500</w:t>
      </w:r>
      <w:r>
        <w:rPr>
          <w:rFonts w:ascii="Traditional Arabic"/>
          <w:szCs w:val="20"/>
          <w:rtl/>
        </w:rPr>
        <w:t xml:space="preserve"> </w:t>
      </w:r>
      <w:r w:rsidRPr="00033923">
        <w:rPr>
          <w:rtl/>
        </w:rPr>
        <w:t>3</w:t>
      </w:r>
      <w:r>
        <w:rPr>
          <w:rtl/>
        </w:rPr>
        <w:t xml:space="preserve"> كلمة؛</w:t>
      </w:r>
    </w:p>
    <w:p w14:paraId="66F987E6" w14:textId="78583AAE" w:rsidR="005A7AC3" w:rsidRPr="005A7AC3" w:rsidRDefault="005A7AC3" w:rsidP="005A7AC3">
      <w:pPr>
        <w:pStyle w:val="SingleTxtGA"/>
      </w:pPr>
      <w:r>
        <w:rPr>
          <w:rtl/>
        </w:rPr>
        <w:tab/>
        <w:t>(ج)</w:t>
      </w:r>
      <w:r>
        <w:rPr>
          <w:rtl/>
        </w:rPr>
        <w:tab/>
        <w:t>ينبغي أن تقدم الدولة الطرف معلومات عن جميع التدابير المتخذة بعد إصدار الملاحظات الختامية فيما يتعلق بكل توصية في التوصيات المقدمة، مع إيراد مواعيد اعتمادها وتوضيح حالة تنفيذها؛</w:t>
      </w:r>
    </w:p>
    <w:p w14:paraId="0DDF7546" w14:textId="6BD00D6F" w:rsidR="005A7AC3" w:rsidRPr="005A7AC3" w:rsidRDefault="005A7AC3" w:rsidP="005A7AC3">
      <w:pPr>
        <w:pStyle w:val="SingleTxtGA"/>
      </w:pPr>
      <w:r>
        <w:rPr>
          <w:rtl/>
        </w:rPr>
        <w:tab/>
        <w:t>(د)</w:t>
      </w:r>
      <w:r>
        <w:rPr>
          <w:rtl/>
        </w:rPr>
        <w:tab/>
        <w:t>ينبغي تقديم المعلومات في غضون المهلة المحددة في الملاحظات الختامية (بعد ثلاث سنوات على اعتماد الملاحظات الختامية)؛</w:t>
      </w:r>
    </w:p>
    <w:p w14:paraId="50A2B56D" w14:textId="27A04EA4" w:rsidR="005A7AC3" w:rsidRPr="005A7AC3" w:rsidRDefault="005A7AC3" w:rsidP="005A7AC3">
      <w:pPr>
        <w:pStyle w:val="SingleTxtGA"/>
      </w:pPr>
      <w:r>
        <w:rPr>
          <w:rtl/>
        </w:rPr>
        <w:tab/>
        <w:t>(هـ)</w:t>
      </w:r>
      <w:r>
        <w:rPr>
          <w:rtl/>
        </w:rPr>
        <w:tab/>
        <w:t xml:space="preserve">ينبغي للدولة الطرف أن تقدم المعلومات بإحدى اللغات الرسمية للأمم المتحدة؛ </w:t>
      </w:r>
    </w:p>
    <w:p w14:paraId="0D16FCE1" w14:textId="4B080B3A" w:rsidR="005A7AC3" w:rsidRPr="005A7AC3" w:rsidRDefault="005A7AC3" w:rsidP="005A7AC3">
      <w:pPr>
        <w:pStyle w:val="SingleTxtGA"/>
      </w:pPr>
      <w:r>
        <w:rPr>
          <w:rtl/>
        </w:rPr>
        <w:tab/>
        <w:t>(و)</w:t>
      </w:r>
      <w:r>
        <w:rPr>
          <w:rtl/>
        </w:rPr>
        <w:tab/>
        <w:t xml:space="preserve">ينبغي للدولة الطرف أن ترسل المعلومات بصيغة </w:t>
      </w:r>
      <w:r>
        <w:rPr>
          <w:rFonts w:cs="Times New Roman"/>
          <w:szCs w:val="20"/>
        </w:rPr>
        <w:t>Word</w:t>
      </w:r>
      <w:r>
        <w:rPr>
          <w:rtl/>
        </w:rPr>
        <w:t xml:space="preserve"> إلى عنوان البريد الإلكتروني التالي</w:t>
      </w:r>
      <w:r>
        <w:rPr>
          <w:rFonts w:hint="cs"/>
          <w:rtl/>
        </w:rPr>
        <w:t>:</w:t>
      </w:r>
      <w:r>
        <w:rPr>
          <w:rtl/>
        </w:rPr>
        <w:t xml:space="preserve"> </w:t>
      </w:r>
      <w:hyperlink r:id="rId9" w:history="1">
        <w:proofErr w:type="spellStart"/>
        <w:r w:rsidRPr="00C745E9">
          <w:rPr>
            <w:rStyle w:val="Hyperlink"/>
            <w:rFonts w:cs="Times New Roman"/>
            <w:szCs w:val="20"/>
            <w:rtl/>
          </w:rPr>
          <w:t>ohchr-ccpr@un.org</w:t>
        </w:r>
        <w:proofErr w:type="spellEnd"/>
      </w:hyperlink>
      <w:r>
        <w:rPr>
          <w:rFonts w:cs="Times New Roman"/>
          <w:szCs w:val="20"/>
          <w:rtl/>
        </w:rPr>
        <w:t>.</w:t>
      </w:r>
      <w:r>
        <w:rPr>
          <w:rtl/>
        </w:rPr>
        <w:t xml:space="preserve"> </w:t>
      </w:r>
    </w:p>
    <w:p w14:paraId="45EFF4E4" w14:textId="77777777" w:rsidR="005A7AC3" w:rsidRPr="00033923" w:rsidRDefault="005A7AC3" w:rsidP="005A7AC3">
      <w:pPr>
        <w:pStyle w:val="H1GA"/>
      </w:pPr>
      <w:r w:rsidRPr="00033923">
        <w:rPr>
          <w:rtl/>
        </w:rPr>
        <w:tab/>
      </w:r>
      <w:r w:rsidRPr="00033923">
        <w:rPr>
          <w:rtl/>
        </w:rPr>
        <w:tab/>
        <w:t xml:space="preserve">الموعد النهائي لتقديم المعلومات الواردة من الجهات المعنية بشأن متابعة الملاحظات الختامية </w:t>
      </w:r>
    </w:p>
    <w:p w14:paraId="2192AEAA" w14:textId="77777777" w:rsidR="005A7AC3" w:rsidRPr="005A7AC3" w:rsidRDefault="005A7AC3" w:rsidP="00C745E9">
      <w:pPr>
        <w:pStyle w:val="SingleTxtGA"/>
        <w:spacing w:line="340" w:lineRule="exact"/>
      </w:pPr>
      <w:r w:rsidRPr="00033923">
        <w:rPr>
          <w:rtl/>
        </w:rPr>
        <w:t>9</w:t>
      </w:r>
      <w:r>
        <w:rPr>
          <w:rFonts w:ascii="Traditional Arabic"/>
          <w:szCs w:val="20"/>
          <w:rtl/>
        </w:rPr>
        <w:t>-</w:t>
      </w:r>
      <w:r>
        <w:rPr>
          <w:rtl/>
        </w:rPr>
        <w:tab/>
        <w:t>ترحب اللجنة بالمعلومات التي تقدمها جميع الجهات المعنية، بما فيها المنظمات غير الحكومية والمؤسسات الوطنية لحقوق الإنسان والمنظمات الإقليمية، بشأن التوصيات المختارة. ويشار إلى المعلومات المقدمة من الجهات المعنية في سياق إجراء المتابعة على أنها "معلومات واردة من الجهات المعنية بشأن متابعة الملاحظات الختامية".</w:t>
      </w:r>
    </w:p>
    <w:p w14:paraId="13436F73" w14:textId="77777777" w:rsidR="005A7AC3" w:rsidRPr="005A7AC3" w:rsidRDefault="005A7AC3" w:rsidP="00C745E9">
      <w:pPr>
        <w:pStyle w:val="SingleTxtGA"/>
        <w:spacing w:line="340" w:lineRule="exact"/>
      </w:pPr>
      <w:r w:rsidRPr="00033923">
        <w:rPr>
          <w:rtl/>
        </w:rPr>
        <w:t>10</w:t>
      </w:r>
      <w:r>
        <w:rPr>
          <w:rFonts w:ascii="Traditional Arabic"/>
          <w:szCs w:val="20"/>
          <w:rtl/>
        </w:rPr>
        <w:t>-</w:t>
      </w:r>
      <w:r>
        <w:rPr>
          <w:rtl/>
        </w:rPr>
        <w:tab/>
        <w:t>ويُنشر الموعد النهائي لتقديم المعلومات من قبل الجهات المعنية على الصفحة الشبكية للجنة، في القسم المخصص لكل دورة. وعادة ما يكون الموعد النهائي ثلاثة أشهر قبل أن تنظر اللجنة في التقرير المتعلق بمتابعة الملاحظات الختامية. ومع ذلك، يتوفر خياران لا يستبعد أحدهما الآخر</w:t>
      </w:r>
      <w:r>
        <w:rPr>
          <w:rFonts w:ascii="Traditional Arabic"/>
          <w:szCs w:val="20"/>
        </w:rPr>
        <w:t>:</w:t>
      </w:r>
      <w:r>
        <w:rPr>
          <w:rtl/>
        </w:rPr>
        <w:t xml:space="preserve"> </w:t>
      </w:r>
    </w:p>
    <w:p w14:paraId="1D175164" w14:textId="5C6D0742" w:rsidR="005A7AC3" w:rsidRPr="005A7AC3" w:rsidRDefault="005A7AC3" w:rsidP="00C745E9">
      <w:pPr>
        <w:pStyle w:val="SingleTxtGA"/>
        <w:spacing w:line="340" w:lineRule="exact"/>
      </w:pPr>
      <w:r>
        <w:rPr>
          <w:rtl/>
        </w:rPr>
        <w:tab/>
        <w:t>(أ)</w:t>
      </w:r>
      <w:r>
        <w:rPr>
          <w:rtl/>
        </w:rPr>
        <w:tab/>
      </w:r>
      <w:r w:rsidRPr="00033923">
        <w:rPr>
          <w:i/>
          <w:iCs/>
          <w:rtl/>
        </w:rPr>
        <w:t>المعلومات الواردة من الجهات المعنية قبل تقديم الدولة الطرف معلومات عن متابعة الملاحظات الختامية</w:t>
      </w:r>
      <w:r>
        <w:rPr>
          <w:rtl/>
        </w:rPr>
        <w:t xml:space="preserve">: إذا رغبت الجهات المعنية في التعليق على تنفيذ التوصيات المختارة دون مراعاة المعلومات التي قدمتها الدولة الطرف، فيمكنها القيام بذلك في أي وقت قبل انقضاء مهلة السنوات الثلاث التي يتوقع أن تقدم الدولة الطرف معلومات في غضونها. وإذا قدمت الجهات المعنية معلومات ولم تفعل الدولة الطرف ذلك، فسوف تُذكر المعلومات المقدمة في جدول المتابعة </w:t>
      </w:r>
      <w:proofErr w:type="gramStart"/>
      <w:r>
        <w:rPr>
          <w:rtl/>
        </w:rPr>
        <w:t>اللاحق</w:t>
      </w:r>
      <w:r w:rsidR="00121866" w:rsidRPr="00033923">
        <w:rPr>
          <w:vertAlign w:val="superscript"/>
          <w:rtl/>
        </w:rPr>
        <w:t>(</w:t>
      </w:r>
      <w:proofErr w:type="gramEnd"/>
      <w:r w:rsidR="00121866" w:rsidRPr="00033923">
        <w:rPr>
          <w:vertAlign w:val="superscript"/>
          <w:lang w:val="en-US"/>
        </w:rPr>
        <w:footnoteReference w:id="6"/>
      </w:r>
      <w:r w:rsidR="00121866" w:rsidRPr="00033923">
        <w:rPr>
          <w:vertAlign w:val="superscript"/>
          <w:rtl/>
        </w:rPr>
        <w:t>)</w:t>
      </w:r>
      <w:r>
        <w:rPr>
          <w:rtl/>
        </w:rPr>
        <w:t xml:space="preserve">، ولكنها لن تُقيّم حتى تتلقى اللجنة معلومات من الدولة الطرف (انظر الفقرات </w:t>
      </w:r>
      <w:r w:rsidRPr="00033923">
        <w:rPr>
          <w:rtl/>
        </w:rPr>
        <w:t>24</w:t>
      </w:r>
      <w:r>
        <w:rPr>
          <w:rFonts w:ascii="Traditional Arabic"/>
          <w:szCs w:val="20"/>
          <w:rtl/>
        </w:rPr>
        <w:t>-</w:t>
      </w:r>
      <w:r w:rsidRPr="00033923">
        <w:rPr>
          <w:rtl/>
        </w:rPr>
        <w:t>26</w:t>
      </w:r>
      <w:r>
        <w:rPr>
          <w:rtl/>
        </w:rPr>
        <w:t xml:space="preserve"> أدناه للحصول على معلومات عن التدابير المتخذة في غياب معلومات من الدولة الطرف)؛</w:t>
      </w:r>
    </w:p>
    <w:p w14:paraId="229A2F2A" w14:textId="5F160440" w:rsidR="005A7AC3" w:rsidRPr="005A7AC3" w:rsidRDefault="005A7AC3" w:rsidP="00C745E9">
      <w:pPr>
        <w:pStyle w:val="SingleTxtGA"/>
        <w:spacing w:line="340" w:lineRule="exact"/>
      </w:pPr>
      <w:r>
        <w:rPr>
          <w:rtl/>
        </w:rPr>
        <w:tab/>
        <w:t>(ب)</w:t>
      </w:r>
      <w:r>
        <w:rPr>
          <w:rtl/>
        </w:rPr>
        <w:tab/>
      </w:r>
      <w:r w:rsidRPr="00033923">
        <w:rPr>
          <w:i/>
          <w:iCs/>
          <w:rtl/>
        </w:rPr>
        <w:t>المعلومات الواردة من الجهات المعنية بعد تقديم الدولة الطرف معلومات</w:t>
      </w:r>
      <w:r>
        <w:rPr>
          <w:rtl/>
        </w:rPr>
        <w:t xml:space="preserve">: ينبغي للجهات المعنية الراغبة في تقديم تعليقات محددة على المعلومات الواردة من الدولة الطرف أن تقدم تلك التعليقات بعد تقديم الدولة الطرف المعلومات وقبل الموعد النهائي المنشور على الصفحة الشبكية للجنة. </w:t>
      </w:r>
    </w:p>
    <w:p w14:paraId="10101CD4" w14:textId="2EB5B873" w:rsidR="005A7AC3" w:rsidRPr="00033923" w:rsidRDefault="005A7AC3" w:rsidP="005A7AC3">
      <w:pPr>
        <w:pStyle w:val="H1GA"/>
      </w:pPr>
      <w:r w:rsidRPr="00033923">
        <w:rPr>
          <w:rtl/>
        </w:rPr>
        <w:tab/>
      </w:r>
      <w:r w:rsidRPr="00033923">
        <w:rPr>
          <w:rtl/>
        </w:rPr>
        <w:tab/>
        <w:t>المبادئ التوجيهية للجهات المعنية بشأن صياغة المعلومات المتعلقة بمتابعة الملاحظات الختامية</w:t>
      </w:r>
      <w:r w:rsidRPr="00033923">
        <w:rPr>
          <w:rFonts w:ascii="Arial" w:hAnsi="Arial" w:cs="Arial" w:hint="cs"/>
          <w:rtl/>
        </w:rPr>
        <w:t>‬</w:t>
      </w:r>
      <w:r w:rsidRPr="00033923">
        <w:rPr>
          <w:rtl/>
        </w:rPr>
        <w:t xml:space="preserve"> </w:t>
      </w:r>
    </w:p>
    <w:p w14:paraId="552E97D4" w14:textId="77777777" w:rsidR="005A7AC3" w:rsidRPr="005A7AC3" w:rsidRDefault="005A7AC3" w:rsidP="005A7AC3">
      <w:pPr>
        <w:pStyle w:val="SingleTxtGA"/>
      </w:pPr>
      <w:r w:rsidRPr="00033923">
        <w:rPr>
          <w:rtl/>
        </w:rPr>
        <w:t>11</w:t>
      </w:r>
      <w:r>
        <w:rPr>
          <w:rFonts w:ascii="Traditional Arabic"/>
          <w:szCs w:val="20"/>
          <w:rtl/>
        </w:rPr>
        <w:t>-</w:t>
      </w:r>
      <w:r>
        <w:rPr>
          <w:rtl/>
        </w:rPr>
        <w:tab/>
        <w:t>فيما يلي المبادئ التوجيهية للجهات المعنية بشأن صياغة المعلومات المتعلقة بمتابعة الملاحظات الختامية:</w:t>
      </w:r>
      <w:r>
        <w:rPr>
          <w:rFonts w:ascii="Arial" w:hAnsi="Arial" w:cs="Arial" w:hint="cs"/>
          <w:rtl/>
        </w:rPr>
        <w:t>‬</w:t>
      </w:r>
      <w:r>
        <w:rPr>
          <w:rtl/>
        </w:rPr>
        <w:t xml:space="preserve"> </w:t>
      </w:r>
    </w:p>
    <w:p w14:paraId="77837D4C" w14:textId="0C71D0C6" w:rsidR="005A7AC3" w:rsidRPr="005A7AC3" w:rsidRDefault="005A7AC3" w:rsidP="005A7AC3">
      <w:pPr>
        <w:pStyle w:val="SingleTxtGA"/>
      </w:pPr>
      <w:r>
        <w:rPr>
          <w:rtl/>
        </w:rPr>
        <w:tab/>
        <w:t>(أ)</w:t>
      </w:r>
      <w:r>
        <w:rPr>
          <w:rtl/>
        </w:rPr>
        <w:tab/>
        <w:t>ينبغي للجهات المعنية أن تقدم معلومات ذات صلة عن التدابير التي اتخذتها الدولة الطرف لتنفيذ توصيات المتابعة؛</w:t>
      </w:r>
    </w:p>
    <w:p w14:paraId="0A6AD249" w14:textId="6A96D3BE" w:rsidR="005A7AC3" w:rsidRPr="005A7AC3" w:rsidRDefault="005A7AC3" w:rsidP="005A7AC3">
      <w:pPr>
        <w:pStyle w:val="SingleTxtGA"/>
      </w:pPr>
      <w:r>
        <w:rPr>
          <w:rtl/>
        </w:rPr>
        <w:tab/>
        <w:t>(ب)</w:t>
      </w:r>
      <w:r>
        <w:rPr>
          <w:rtl/>
        </w:rPr>
        <w:tab/>
        <w:t>تكون المعلومات موجزة وتركز حصرا</w:t>
      </w:r>
      <w:r w:rsidR="00121866">
        <w:rPr>
          <w:rFonts w:hint="cs"/>
          <w:rtl/>
        </w:rPr>
        <w:t>ً</w:t>
      </w:r>
      <w:r>
        <w:rPr>
          <w:rtl/>
        </w:rPr>
        <w:t xml:space="preserve"> على التوصيات التي حددتها اللجنة في إطار إجراء المتابعة؛</w:t>
      </w:r>
      <w:r>
        <w:rPr>
          <w:rFonts w:ascii="Arial" w:hAnsi="Arial" w:cs="Arial" w:hint="cs"/>
          <w:rtl/>
        </w:rPr>
        <w:t>‬</w:t>
      </w:r>
    </w:p>
    <w:p w14:paraId="3F11EFCB" w14:textId="2C44283D" w:rsidR="005A7AC3" w:rsidRPr="005A7AC3" w:rsidRDefault="005A7AC3" w:rsidP="005A7AC3">
      <w:pPr>
        <w:pStyle w:val="SingleTxtGA"/>
      </w:pPr>
      <w:r>
        <w:rPr>
          <w:rtl/>
        </w:rPr>
        <w:tab/>
        <w:t>(ج)</w:t>
      </w:r>
      <w:r>
        <w:rPr>
          <w:rtl/>
        </w:rPr>
        <w:tab/>
        <w:t xml:space="preserve">ينبغي ألا تتجاوز المعلومات </w:t>
      </w:r>
      <w:r w:rsidRPr="00033923">
        <w:rPr>
          <w:rtl/>
        </w:rPr>
        <w:t>500</w:t>
      </w:r>
      <w:r>
        <w:rPr>
          <w:rFonts w:ascii="Traditional Arabic"/>
          <w:szCs w:val="20"/>
          <w:rtl/>
        </w:rPr>
        <w:t xml:space="preserve"> </w:t>
      </w:r>
      <w:r w:rsidRPr="00033923">
        <w:rPr>
          <w:rtl/>
        </w:rPr>
        <w:t>3</w:t>
      </w:r>
      <w:r>
        <w:rPr>
          <w:rtl/>
        </w:rPr>
        <w:t xml:space="preserve"> كلمة؛</w:t>
      </w:r>
    </w:p>
    <w:p w14:paraId="2E291E35" w14:textId="617FB19F" w:rsidR="005A7AC3" w:rsidRPr="005A7AC3" w:rsidRDefault="005A7AC3" w:rsidP="005A7AC3">
      <w:pPr>
        <w:pStyle w:val="SingleTxtGA"/>
      </w:pPr>
      <w:r>
        <w:rPr>
          <w:rtl/>
        </w:rPr>
        <w:tab/>
        <w:t>(د)</w:t>
      </w:r>
      <w:r>
        <w:rPr>
          <w:rtl/>
        </w:rPr>
        <w:tab/>
        <w:t>ينبغي للجهات المعنية أن تقدم المعلومات بإحدى اللغات الرسمية للأمم المتحدة؛</w:t>
      </w:r>
    </w:p>
    <w:p w14:paraId="7A789A76" w14:textId="2D2878B3" w:rsidR="005A7AC3" w:rsidRPr="005A7AC3" w:rsidRDefault="005A7AC3" w:rsidP="005A7AC3">
      <w:pPr>
        <w:pStyle w:val="SingleTxtGA"/>
      </w:pPr>
      <w:r>
        <w:rPr>
          <w:rtl/>
        </w:rPr>
        <w:tab/>
        <w:t>(ه)</w:t>
      </w:r>
      <w:r>
        <w:rPr>
          <w:rtl/>
        </w:rPr>
        <w:tab/>
        <w:t xml:space="preserve">ينبغي للجهات المعنية أن ترسل المعلومات بصيغة </w:t>
      </w:r>
      <w:r>
        <w:rPr>
          <w:rFonts w:cs="Times New Roman"/>
          <w:szCs w:val="20"/>
        </w:rPr>
        <w:t>Word</w:t>
      </w:r>
      <w:r>
        <w:rPr>
          <w:rtl/>
        </w:rPr>
        <w:t xml:space="preserve"> إلى عنوان البريد الإلكتروني التالي</w:t>
      </w:r>
      <w:r>
        <w:rPr>
          <w:rFonts w:ascii="Traditional Arabic"/>
          <w:szCs w:val="20"/>
        </w:rPr>
        <w:t>:</w:t>
      </w:r>
      <w:r>
        <w:rPr>
          <w:rtl/>
        </w:rPr>
        <w:t xml:space="preserve"> </w:t>
      </w:r>
      <w:hyperlink r:id="rId10" w:history="1">
        <w:proofErr w:type="spellStart"/>
        <w:r w:rsidRPr="00C745E9">
          <w:rPr>
            <w:rStyle w:val="Hyperlink"/>
            <w:rFonts w:cs="Times New Roman"/>
            <w:szCs w:val="20"/>
            <w:rtl/>
          </w:rPr>
          <w:t>ohchr-ccpr@un.org</w:t>
        </w:r>
        <w:proofErr w:type="spellEnd"/>
      </w:hyperlink>
      <w:r>
        <w:rPr>
          <w:rFonts w:cs="Times New Roman"/>
          <w:szCs w:val="20"/>
          <w:rtl/>
        </w:rPr>
        <w:t>.</w:t>
      </w:r>
      <w:r>
        <w:rPr>
          <w:rtl/>
        </w:rPr>
        <w:t xml:space="preserve"> </w:t>
      </w:r>
    </w:p>
    <w:p w14:paraId="7FCA9E72" w14:textId="34E4A149" w:rsidR="005A7AC3" w:rsidRPr="005A7AC3" w:rsidRDefault="005A7AC3" w:rsidP="005A7AC3">
      <w:pPr>
        <w:pStyle w:val="SingleTxtGA"/>
      </w:pPr>
      <w:r w:rsidRPr="00033923">
        <w:rPr>
          <w:rtl/>
        </w:rPr>
        <w:t>12</w:t>
      </w:r>
      <w:r>
        <w:rPr>
          <w:rFonts w:ascii="Traditional Arabic"/>
          <w:szCs w:val="20"/>
          <w:rtl/>
        </w:rPr>
        <w:t>-</w:t>
      </w:r>
      <w:r>
        <w:rPr>
          <w:rtl/>
        </w:rPr>
        <w:tab/>
        <w:t xml:space="preserve">وترد في الموقع الشبكي للجنة المبادئ التوجيهية المتعلقة بصياغة هذه المعلومات. </w:t>
      </w:r>
    </w:p>
    <w:p w14:paraId="1B2D65BD" w14:textId="77777777" w:rsidR="005A7AC3" w:rsidRPr="00033923" w:rsidRDefault="005A7AC3" w:rsidP="005A7AC3">
      <w:pPr>
        <w:pStyle w:val="H1GA"/>
      </w:pPr>
      <w:r w:rsidRPr="00033923">
        <w:rPr>
          <w:rtl/>
        </w:rPr>
        <w:tab/>
      </w:r>
      <w:r w:rsidRPr="00033923">
        <w:rPr>
          <w:rtl/>
        </w:rPr>
        <w:tab/>
        <w:t>تقرير متابعة الملاحظات الختامية للجنة المعنية بحقوق الإنسان</w:t>
      </w:r>
    </w:p>
    <w:p w14:paraId="37A4D3E9" w14:textId="77777777" w:rsidR="005A7AC3" w:rsidRPr="005A7AC3" w:rsidRDefault="005A7AC3" w:rsidP="005A7AC3">
      <w:pPr>
        <w:pStyle w:val="SingleTxtGA"/>
      </w:pPr>
      <w:r w:rsidRPr="00033923">
        <w:rPr>
          <w:rtl/>
        </w:rPr>
        <w:t>13</w:t>
      </w:r>
      <w:r>
        <w:rPr>
          <w:rFonts w:ascii="Traditional Arabic"/>
          <w:szCs w:val="20"/>
          <w:rtl/>
        </w:rPr>
        <w:t>-</w:t>
      </w:r>
      <w:r>
        <w:rPr>
          <w:rtl/>
        </w:rPr>
        <w:tab/>
        <w:t xml:space="preserve">يتضمن التقرير المتعلق بمتابعة الملاحظات الختامية للجنة التقرير الرئيسي والإضافات وجدول المتابعة. ويخضع التقرير الرئيسي والإضافات لحد أقصى من الكلمات قدره </w:t>
      </w:r>
      <w:r w:rsidRPr="00033923">
        <w:rPr>
          <w:rtl/>
        </w:rPr>
        <w:t>700</w:t>
      </w:r>
      <w:r>
        <w:rPr>
          <w:rFonts w:ascii="Traditional Arabic"/>
          <w:szCs w:val="20"/>
          <w:rtl/>
        </w:rPr>
        <w:t xml:space="preserve"> </w:t>
      </w:r>
      <w:r w:rsidRPr="00033923">
        <w:rPr>
          <w:rtl/>
        </w:rPr>
        <w:t>10</w:t>
      </w:r>
      <w:r>
        <w:rPr>
          <w:rtl/>
        </w:rPr>
        <w:t xml:space="preserve"> كلمة. وتُنشر المكونات الثلاثة جميعها على الصفحة الشبكية للجنة.</w:t>
      </w:r>
    </w:p>
    <w:p w14:paraId="496259BA" w14:textId="6AAD5684" w:rsidR="005A7AC3" w:rsidRPr="00033923" w:rsidRDefault="005A7AC3" w:rsidP="005A7AC3">
      <w:pPr>
        <w:pStyle w:val="H23GA"/>
      </w:pPr>
      <w:r w:rsidRPr="00033923">
        <w:rPr>
          <w:rFonts w:ascii="Traditional Arabic"/>
          <w:szCs w:val="20"/>
          <w:rtl/>
        </w:rPr>
        <w:tab/>
      </w:r>
      <w:r w:rsidRPr="00033923">
        <w:rPr>
          <w:rtl/>
        </w:rPr>
        <w:t>1</w:t>
      </w:r>
      <w:r w:rsidRPr="00033923">
        <w:rPr>
          <w:rFonts w:ascii="Traditional Arabic"/>
          <w:szCs w:val="20"/>
          <w:rtl/>
        </w:rPr>
        <w:t>-</w:t>
      </w:r>
      <w:r w:rsidRPr="00033923">
        <w:rPr>
          <w:rtl/>
        </w:rPr>
        <w:tab/>
        <w:t xml:space="preserve">التقرير الرئيسي </w:t>
      </w:r>
    </w:p>
    <w:p w14:paraId="5D19045E" w14:textId="77777777" w:rsidR="005A7AC3" w:rsidRPr="005A7AC3" w:rsidRDefault="005A7AC3" w:rsidP="005A7AC3">
      <w:pPr>
        <w:pStyle w:val="SingleTxtGA"/>
      </w:pPr>
      <w:r w:rsidRPr="00033923">
        <w:rPr>
          <w:rtl/>
        </w:rPr>
        <w:t>14</w:t>
      </w:r>
      <w:r>
        <w:rPr>
          <w:rFonts w:ascii="Traditional Arabic"/>
          <w:szCs w:val="20"/>
          <w:rtl/>
        </w:rPr>
        <w:t>-</w:t>
      </w:r>
      <w:r>
        <w:rPr>
          <w:rtl/>
        </w:rPr>
        <w:tab/>
        <w:t>يتضمن التقرير الرئيسي مقدمة عامة وقائمة بمعايير التقييم.</w:t>
      </w:r>
    </w:p>
    <w:p w14:paraId="23C97526" w14:textId="16DCF7FF" w:rsidR="005A7AC3" w:rsidRPr="00033923" w:rsidRDefault="005A7AC3" w:rsidP="005A7AC3">
      <w:pPr>
        <w:pStyle w:val="H23GA"/>
      </w:pPr>
      <w:r w:rsidRPr="00033923">
        <w:rPr>
          <w:rFonts w:ascii="Traditional Arabic"/>
          <w:szCs w:val="20"/>
          <w:rtl/>
        </w:rPr>
        <w:tab/>
      </w:r>
      <w:r w:rsidRPr="00033923">
        <w:rPr>
          <w:rtl/>
        </w:rPr>
        <w:t>2</w:t>
      </w:r>
      <w:r w:rsidRPr="00033923">
        <w:rPr>
          <w:rFonts w:ascii="Traditional Arabic"/>
          <w:szCs w:val="20"/>
          <w:rtl/>
        </w:rPr>
        <w:t>-</w:t>
      </w:r>
      <w:r w:rsidRPr="00033923">
        <w:rPr>
          <w:rtl/>
        </w:rPr>
        <w:tab/>
        <w:t>الإضافات</w:t>
      </w:r>
    </w:p>
    <w:p w14:paraId="029FF4F8" w14:textId="37461FC7" w:rsidR="005A7AC3" w:rsidRPr="005A7AC3" w:rsidRDefault="005A7AC3" w:rsidP="00C745E9">
      <w:pPr>
        <w:pStyle w:val="SingleTxtGA"/>
        <w:spacing w:line="350" w:lineRule="exact"/>
      </w:pPr>
      <w:r w:rsidRPr="00033923">
        <w:rPr>
          <w:rtl/>
        </w:rPr>
        <w:t>15</w:t>
      </w:r>
      <w:r>
        <w:rPr>
          <w:rFonts w:ascii="Traditional Arabic"/>
          <w:szCs w:val="20"/>
          <w:rtl/>
        </w:rPr>
        <w:t>-</w:t>
      </w:r>
      <w:r>
        <w:rPr>
          <w:rtl/>
        </w:rPr>
        <w:tab/>
        <w:t>تتضمن كل إضافة موجزا</w:t>
      </w:r>
      <w:r w:rsidR="00121866">
        <w:rPr>
          <w:rFonts w:hint="cs"/>
          <w:rtl/>
        </w:rPr>
        <w:t>ً</w:t>
      </w:r>
      <w:r>
        <w:rPr>
          <w:rtl/>
        </w:rPr>
        <w:t xml:space="preserve"> للمعلومات التي تلقاها المقرر(ة) الخاص(ة) المعني(ة) بمتابعة الملاحظات الختامية من الدولة الطرف والجهات المعنية خلال الفترة قيد النظر، وتقييمات اللجنة، والإجراءات الموصى بها المعتمدة خلال الدورة ذات الصلة.</w:t>
      </w:r>
    </w:p>
    <w:p w14:paraId="4D85907B" w14:textId="194E3112" w:rsidR="005A7AC3" w:rsidRPr="005A7AC3" w:rsidRDefault="005A7AC3" w:rsidP="00C745E9">
      <w:pPr>
        <w:pStyle w:val="SingleTxtGA"/>
        <w:spacing w:line="350" w:lineRule="exact"/>
      </w:pPr>
      <w:r w:rsidRPr="00033923">
        <w:rPr>
          <w:rtl/>
        </w:rPr>
        <w:t>16</w:t>
      </w:r>
      <w:r>
        <w:rPr>
          <w:rFonts w:ascii="Traditional Arabic"/>
          <w:szCs w:val="20"/>
          <w:rtl/>
        </w:rPr>
        <w:t>-</w:t>
      </w:r>
      <w:r>
        <w:rPr>
          <w:rtl/>
        </w:rPr>
        <w:tab/>
        <w:t xml:space="preserve">وتتضمن الملخصات معلومات ذات صلة مقدمة من الدولة الطرف والجهات المعنية. وتستند تقييمات اللجنة إلى معايير التقييم التي اعتمدتها اللجنة لرصد تنفيذ توصيات المتابعة (انظر الفقرة </w:t>
      </w:r>
      <w:r w:rsidRPr="00033923">
        <w:rPr>
          <w:rtl/>
        </w:rPr>
        <w:t>21</w:t>
      </w:r>
      <w:r>
        <w:rPr>
          <w:rtl/>
        </w:rPr>
        <w:t xml:space="preserve"> أدناه). وفي نهاية التقرير، تقدم اللجنة توصيات بشأن الإجراءات التي ينبغي للدولة الطرف اتخاذها لضمان تنفيذ التوصيات المقيّمة في إطار إجراء المتابعة تنفيذا</w:t>
      </w:r>
      <w:r w:rsidR="00121866">
        <w:rPr>
          <w:rFonts w:hint="cs"/>
          <w:rtl/>
        </w:rPr>
        <w:t>ً</w:t>
      </w:r>
      <w:r>
        <w:rPr>
          <w:rtl/>
        </w:rPr>
        <w:t xml:space="preserve"> فعالا</w:t>
      </w:r>
      <w:r w:rsidR="00121866">
        <w:rPr>
          <w:rFonts w:hint="cs"/>
          <w:rtl/>
        </w:rPr>
        <w:t>ً</w:t>
      </w:r>
      <w:r>
        <w:rPr>
          <w:rtl/>
        </w:rPr>
        <w:t xml:space="preserve">. </w:t>
      </w:r>
    </w:p>
    <w:p w14:paraId="180495FB" w14:textId="77777777" w:rsidR="005A7AC3" w:rsidRPr="005A7AC3" w:rsidRDefault="005A7AC3" w:rsidP="00C745E9">
      <w:pPr>
        <w:pStyle w:val="SingleTxtGA"/>
        <w:spacing w:line="350" w:lineRule="exact"/>
      </w:pPr>
      <w:r w:rsidRPr="00033923">
        <w:rPr>
          <w:rtl/>
        </w:rPr>
        <w:t>17</w:t>
      </w:r>
      <w:r>
        <w:rPr>
          <w:rFonts w:ascii="Traditional Arabic"/>
          <w:szCs w:val="20"/>
          <w:rtl/>
        </w:rPr>
        <w:t>-</w:t>
      </w:r>
      <w:r>
        <w:rPr>
          <w:rtl/>
        </w:rPr>
        <w:tab/>
        <w:t>وت</w:t>
      </w:r>
      <w:r>
        <w:rPr>
          <w:rtl/>
          <w:lang w:val="fr-CH"/>
        </w:rPr>
        <w:t>كون بنية</w:t>
      </w:r>
      <w:r>
        <w:rPr>
          <w:rtl/>
        </w:rPr>
        <w:t xml:space="preserve"> كل إضافة كالتالي:</w:t>
      </w:r>
    </w:p>
    <w:tbl>
      <w:tblPr>
        <w:bidiVisual/>
        <w:tblW w:w="7247" w:type="dxa"/>
        <w:tblInd w:w="1191" w:type="dxa"/>
        <w:tblBorders>
          <w:top w:val="single" w:sz="4" w:space="0" w:color="auto"/>
        </w:tblBorders>
        <w:tblLayout w:type="fixed"/>
        <w:tblCellMar>
          <w:left w:w="0" w:type="dxa"/>
          <w:right w:w="0" w:type="dxa"/>
        </w:tblCellMar>
        <w:tblLook w:val="04A0" w:firstRow="1" w:lastRow="0" w:firstColumn="1" w:lastColumn="0" w:noHBand="0" w:noVBand="1"/>
      </w:tblPr>
      <w:tblGrid>
        <w:gridCol w:w="3402"/>
        <w:gridCol w:w="3845"/>
      </w:tblGrid>
      <w:tr w:rsidR="005A7AC3" w:rsidRPr="00C745E9" w14:paraId="5E1DA419" w14:textId="77777777" w:rsidTr="005A7AC3">
        <w:trPr>
          <w:trHeight w:val="240"/>
          <w:tblHeader/>
        </w:trPr>
        <w:tc>
          <w:tcPr>
            <w:tcW w:w="7247" w:type="dxa"/>
            <w:gridSpan w:val="2"/>
            <w:tcBorders>
              <w:top w:val="nil"/>
              <w:bottom w:val="nil"/>
            </w:tcBorders>
            <w:shd w:val="clear" w:color="auto" w:fill="auto"/>
            <w:vAlign w:val="bottom"/>
          </w:tcPr>
          <w:p w14:paraId="02FA79C1" w14:textId="77777777" w:rsidR="005A7AC3" w:rsidRPr="00C745E9" w:rsidRDefault="005A7AC3" w:rsidP="00C745E9">
            <w:pPr>
              <w:shd w:val="clear" w:color="auto" w:fill="FFFFFF"/>
              <w:autoSpaceDE w:val="0"/>
              <w:autoSpaceDN w:val="0"/>
              <w:adjustRightInd w:val="0"/>
              <w:spacing w:after="120" w:line="350" w:lineRule="exact"/>
              <w:ind w:left="57" w:right="57"/>
              <w:textDirection w:val="tbRlV"/>
              <w:rPr>
                <w:bCs/>
                <w:i/>
                <w:sz w:val="22"/>
                <w:lang w:val="ar-SA" w:eastAsia="zh-TW" w:bidi="en-GB"/>
              </w:rPr>
            </w:pPr>
            <w:r w:rsidRPr="00C745E9">
              <w:rPr>
                <w:sz w:val="22"/>
                <w:rtl/>
              </w:rPr>
              <w:t>تقييم المعلومات المتعلقة بمتابعة الملاحظات الختامية بشأن [اسم الدولة الطرف]</w:t>
            </w:r>
          </w:p>
        </w:tc>
      </w:tr>
      <w:tr w:rsidR="005A7AC3" w:rsidRPr="00C745E9" w14:paraId="03736CD3" w14:textId="77777777" w:rsidTr="005A7AC3">
        <w:trPr>
          <w:trHeight w:val="240"/>
        </w:trPr>
        <w:tc>
          <w:tcPr>
            <w:tcW w:w="3402" w:type="dxa"/>
            <w:tcBorders>
              <w:top w:val="nil"/>
            </w:tcBorders>
            <w:shd w:val="clear" w:color="auto" w:fill="auto"/>
          </w:tcPr>
          <w:p w14:paraId="322D3BC3" w14:textId="77777777" w:rsidR="005A7AC3" w:rsidRPr="00C745E9" w:rsidRDefault="005A7AC3" w:rsidP="00C745E9">
            <w:pPr>
              <w:shd w:val="clear" w:color="auto" w:fill="FFFFFF"/>
              <w:autoSpaceDE w:val="0"/>
              <w:autoSpaceDN w:val="0"/>
              <w:adjustRightInd w:val="0"/>
              <w:spacing w:after="120" w:line="350" w:lineRule="exact"/>
              <w:ind w:left="57" w:right="57"/>
              <w:textDirection w:val="tbRlV"/>
              <w:rPr>
                <w:bCs/>
                <w:i/>
                <w:iCs/>
                <w:sz w:val="22"/>
                <w:lang w:val="ar-SA" w:eastAsia="zh-TW" w:bidi="en-GB"/>
              </w:rPr>
            </w:pPr>
            <w:r w:rsidRPr="00C745E9">
              <w:rPr>
                <w:i/>
                <w:iCs/>
                <w:sz w:val="22"/>
                <w:rtl/>
              </w:rPr>
              <w:t>الملاحظات الختامية (رقم الدورة):</w:t>
            </w:r>
          </w:p>
        </w:tc>
        <w:tc>
          <w:tcPr>
            <w:tcW w:w="3845" w:type="dxa"/>
            <w:tcBorders>
              <w:top w:val="nil"/>
            </w:tcBorders>
            <w:shd w:val="clear" w:color="auto" w:fill="auto"/>
          </w:tcPr>
          <w:p w14:paraId="0C5A68CE" w14:textId="77777777" w:rsidR="005A7AC3" w:rsidRPr="00C745E9" w:rsidRDefault="005A7AC3" w:rsidP="00C745E9">
            <w:pPr>
              <w:shd w:val="clear" w:color="auto" w:fill="FFFFFF"/>
              <w:autoSpaceDE w:val="0"/>
              <w:autoSpaceDN w:val="0"/>
              <w:adjustRightInd w:val="0"/>
              <w:spacing w:after="120" w:line="350" w:lineRule="exact"/>
              <w:ind w:left="57" w:right="57"/>
              <w:textDirection w:val="tbRlV"/>
              <w:rPr>
                <w:bCs/>
                <w:sz w:val="22"/>
                <w:lang w:val="ar-SA" w:eastAsia="zh-TW" w:bidi="en-GB"/>
              </w:rPr>
            </w:pPr>
            <w:r w:rsidRPr="00C745E9">
              <w:rPr>
                <w:sz w:val="22"/>
                <w:rtl/>
              </w:rPr>
              <w:t>رمز وثيقة الملاحظات الختامية وتاريخ اعتمادها</w:t>
            </w:r>
          </w:p>
        </w:tc>
      </w:tr>
      <w:tr w:rsidR="005A7AC3" w:rsidRPr="00C745E9" w14:paraId="648DE13E" w14:textId="77777777" w:rsidTr="005A7AC3">
        <w:trPr>
          <w:trHeight w:val="240"/>
        </w:trPr>
        <w:tc>
          <w:tcPr>
            <w:tcW w:w="3402" w:type="dxa"/>
            <w:shd w:val="clear" w:color="auto" w:fill="auto"/>
          </w:tcPr>
          <w:p w14:paraId="7E2280CA" w14:textId="77777777" w:rsidR="005A7AC3" w:rsidRPr="00C745E9" w:rsidRDefault="005A7AC3" w:rsidP="00C745E9">
            <w:pPr>
              <w:shd w:val="clear" w:color="auto" w:fill="FFFFFF"/>
              <w:autoSpaceDE w:val="0"/>
              <w:autoSpaceDN w:val="0"/>
              <w:adjustRightInd w:val="0"/>
              <w:spacing w:after="120" w:line="350" w:lineRule="exact"/>
              <w:ind w:left="57" w:right="57"/>
              <w:textDirection w:val="tbRlV"/>
              <w:rPr>
                <w:bCs/>
                <w:i/>
                <w:iCs/>
                <w:sz w:val="22"/>
                <w:lang w:val="ar-SA" w:eastAsia="zh-TW" w:bidi="en-GB"/>
              </w:rPr>
            </w:pPr>
            <w:r w:rsidRPr="00C745E9">
              <w:rPr>
                <w:i/>
                <w:iCs/>
                <w:sz w:val="22"/>
                <w:rtl/>
              </w:rPr>
              <w:t>الفقرات المشمولة بالمتابعة:</w:t>
            </w:r>
          </w:p>
        </w:tc>
        <w:tc>
          <w:tcPr>
            <w:tcW w:w="3845" w:type="dxa"/>
            <w:shd w:val="clear" w:color="auto" w:fill="auto"/>
          </w:tcPr>
          <w:p w14:paraId="0CB3B0AF" w14:textId="77777777" w:rsidR="005A7AC3" w:rsidRPr="00C745E9" w:rsidRDefault="005A7AC3" w:rsidP="00C745E9">
            <w:pPr>
              <w:shd w:val="clear" w:color="auto" w:fill="FFFFFF"/>
              <w:autoSpaceDE w:val="0"/>
              <w:autoSpaceDN w:val="0"/>
              <w:adjustRightInd w:val="0"/>
              <w:spacing w:after="120" w:line="350" w:lineRule="exact"/>
              <w:ind w:left="57" w:right="57"/>
              <w:textDirection w:val="tbRlV"/>
              <w:rPr>
                <w:bCs/>
                <w:sz w:val="22"/>
                <w:lang w:val="ar-SA" w:eastAsia="zh-TW" w:bidi="en-GB"/>
              </w:rPr>
            </w:pPr>
            <w:r w:rsidRPr="00C745E9">
              <w:rPr>
                <w:sz w:val="22"/>
                <w:rtl/>
              </w:rPr>
              <w:t>أرقام فقرات التوصيات المختارة</w:t>
            </w:r>
          </w:p>
        </w:tc>
      </w:tr>
      <w:tr w:rsidR="005A7AC3" w:rsidRPr="00C745E9" w14:paraId="280D4036" w14:textId="77777777" w:rsidTr="005A7AC3">
        <w:trPr>
          <w:trHeight w:val="240"/>
        </w:trPr>
        <w:tc>
          <w:tcPr>
            <w:tcW w:w="3402" w:type="dxa"/>
            <w:shd w:val="clear" w:color="auto" w:fill="auto"/>
          </w:tcPr>
          <w:p w14:paraId="32070627" w14:textId="77777777" w:rsidR="005A7AC3" w:rsidRPr="00C745E9" w:rsidRDefault="005A7AC3" w:rsidP="00C745E9">
            <w:pPr>
              <w:shd w:val="clear" w:color="auto" w:fill="FFFFFF"/>
              <w:autoSpaceDE w:val="0"/>
              <w:autoSpaceDN w:val="0"/>
              <w:adjustRightInd w:val="0"/>
              <w:spacing w:after="120" w:line="350" w:lineRule="exact"/>
              <w:ind w:left="57" w:right="57"/>
              <w:textDirection w:val="tbRlV"/>
              <w:rPr>
                <w:bCs/>
                <w:i/>
                <w:iCs/>
                <w:sz w:val="22"/>
                <w:lang w:val="ar-SA" w:eastAsia="zh-TW" w:bidi="en-GB"/>
              </w:rPr>
            </w:pPr>
            <w:r w:rsidRPr="00C745E9">
              <w:rPr>
                <w:i/>
                <w:iCs/>
                <w:sz w:val="22"/>
                <w:rtl/>
              </w:rPr>
              <w:t>المعلومات الواردة من الدولة الطرف</w:t>
            </w:r>
            <w:r w:rsidRPr="00C745E9">
              <w:rPr>
                <w:rFonts w:ascii="Traditional Arabic"/>
                <w:i/>
                <w:iCs/>
                <w:sz w:val="22"/>
                <w:rtl/>
              </w:rPr>
              <w:t>:</w:t>
            </w:r>
            <w:r w:rsidRPr="00C745E9">
              <w:rPr>
                <w:sz w:val="22"/>
                <w:rtl/>
              </w:rPr>
              <w:t xml:space="preserve"> </w:t>
            </w:r>
          </w:p>
        </w:tc>
        <w:tc>
          <w:tcPr>
            <w:tcW w:w="3845" w:type="dxa"/>
            <w:shd w:val="clear" w:color="auto" w:fill="auto"/>
          </w:tcPr>
          <w:p w14:paraId="5283DEF5" w14:textId="77777777" w:rsidR="005A7AC3" w:rsidRPr="00C745E9" w:rsidRDefault="005A7AC3" w:rsidP="00C745E9">
            <w:pPr>
              <w:shd w:val="clear" w:color="auto" w:fill="FFFFFF"/>
              <w:autoSpaceDE w:val="0"/>
              <w:autoSpaceDN w:val="0"/>
              <w:adjustRightInd w:val="0"/>
              <w:spacing w:after="120" w:line="350" w:lineRule="exact"/>
              <w:ind w:left="57" w:right="57"/>
              <w:textDirection w:val="tbRlV"/>
              <w:rPr>
                <w:bCs/>
                <w:sz w:val="22"/>
                <w:lang w:val="ar-SA" w:eastAsia="zh-TW" w:bidi="en-GB"/>
              </w:rPr>
            </w:pPr>
            <w:r w:rsidRPr="00C745E9">
              <w:rPr>
                <w:sz w:val="22"/>
                <w:rtl/>
              </w:rPr>
              <w:t>رمز وثيقة معلومات المتابعة الواردة من الدولة الطرف</w:t>
            </w:r>
          </w:p>
        </w:tc>
      </w:tr>
      <w:tr w:rsidR="005A7AC3" w:rsidRPr="00C745E9" w14:paraId="6193372A" w14:textId="77777777" w:rsidTr="005A7AC3">
        <w:trPr>
          <w:trHeight w:val="240"/>
        </w:trPr>
        <w:tc>
          <w:tcPr>
            <w:tcW w:w="3402" w:type="dxa"/>
            <w:shd w:val="clear" w:color="auto" w:fill="auto"/>
          </w:tcPr>
          <w:p w14:paraId="1F651DFA" w14:textId="222730E9" w:rsidR="005A7AC3" w:rsidRPr="00C745E9" w:rsidRDefault="005A7AC3" w:rsidP="00C745E9">
            <w:pPr>
              <w:shd w:val="clear" w:color="auto" w:fill="FFFFFF"/>
              <w:autoSpaceDE w:val="0"/>
              <w:autoSpaceDN w:val="0"/>
              <w:adjustRightInd w:val="0"/>
              <w:spacing w:after="120" w:line="350" w:lineRule="exact"/>
              <w:ind w:left="57" w:right="57"/>
              <w:textDirection w:val="tbRlV"/>
              <w:rPr>
                <w:bCs/>
                <w:i/>
                <w:iCs/>
                <w:sz w:val="22"/>
                <w:lang w:val="ar-SA" w:eastAsia="zh-TW" w:bidi="en-GB"/>
              </w:rPr>
            </w:pPr>
            <w:r w:rsidRPr="00C745E9">
              <w:rPr>
                <w:i/>
                <w:iCs/>
                <w:sz w:val="22"/>
                <w:rtl/>
              </w:rPr>
              <w:t>المعلومات الواردة من الجهات المعنية:</w:t>
            </w:r>
          </w:p>
        </w:tc>
        <w:tc>
          <w:tcPr>
            <w:tcW w:w="3845" w:type="dxa"/>
            <w:shd w:val="clear" w:color="auto" w:fill="auto"/>
          </w:tcPr>
          <w:p w14:paraId="053BC8CE" w14:textId="77777777" w:rsidR="005A7AC3" w:rsidRPr="00C745E9" w:rsidRDefault="005A7AC3" w:rsidP="00C745E9">
            <w:pPr>
              <w:shd w:val="clear" w:color="auto" w:fill="FFFFFF"/>
              <w:autoSpaceDE w:val="0"/>
              <w:autoSpaceDN w:val="0"/>
              <w:adjustRightInd w:val="0"/>
              <w:spacing w:after="120" w:line="350" w:lineRule="exact"/>
              <w:ind w:left="57" w:right="57"/>
              <w:textDirection w:val="tbRlV"/>
              <w:rPr>
                <w:bCs/>
                <w:sz w:val="22"/>
                <w:lang w:val="ar-SA" w:eastAsia="zh-TW" w:bidi="en-GB"/>
              </w:rPr>
            </w:pPr>
            <w:r w:rsidRPr="00C745E9">
              <w:rPr>
                <w:sz w:val="22"/>
                <w:rtl/>
              </w:rPr>
              <w:t>اسم الجهة المعنية وتاريخ الاستلام</w:t>
            </w:r>
          </w:p>
        </w:tc>
      </w:tr>
      <w:tr w:rsidR="005A7AC3" w:rsidRPr="00C745E9" w14:paraId="0906B6A6" w14:textId="77777777" w:rsidTr="005A7AC3">
        <w:trPr>
          <w:trHeight w:val="240"/>
        </w:trPr>
        <w:tc>
          <w:tcPr>
            <w:tcW w:w="3402" w:type="dxa"/>
            <w:shd w:val="clear" w:color="auto" w:fill="auto"/>
          </w:tcPr>
          <w:p w14:paraId="67B8262A" w14:textId="77777777" w:rsidR="005A7AC3" w:rsidRPr="00C745E9" w:rsidRDefault="005A7AC3" w:rsidP="00C745E9">
            <w:pPr>
              <w:shd w:val="clear" w:color="auto" w:fill="FFFFFF"/>
              <w:autoSpaceDE w:val="0"/>
              <w:autoSpaceDN w:val="0"/>
              <w:adjustRightInd w:val="0"/>
              <w:spacing w:after="120" w:line="350" w:lineRule="exact"/>
              <w:ind w:left="57" w:right="57"/>
              <w:textDirection w:val="tbRlV"/>
              <w:rPr>
                <w:bCs/>
                <w:i/>
                <w:iCs/>
                <w:sz w:val="22"/>
                <w:lang w:eastAsia="zh-TW" w:bidi="en-GB"/>
              </w:rPr>
            </w:pPr>
            <w:r w:rsidRPr="00C745E9">
              <w:rPr>
                <w:i/>
                <w:iCs/>
                <w:sz w:val="22"/>
                <w:rtl/>
              </w:rPr>
              <w:t>تقييم اللجنة:</w:t>
            </w:r>
          </w:p>
        </w:tc>
        <w:tc>
          <w:tcPr>
            <w:tcW w:w="3845" w:type="dxa"/>
            <w:shd w:val="clear" w:color="auto" w:fill="auto"/>
          </w:tcPr>
          <w:p w14:paraId="1E9D0648" w14:textId="77777777" w:rsidR="005A7AC3" w:rsidRPr="00C745E9" w:rsidDel="002B75E4" w:rsidRDefault="005A7AC3" w:rsidP="00C745E9">
            <w:pPr>
              <w:shd w:val="clear" w:color="auto" w:fill="FFFFFF"/>
              <w:autoSpaceDE w:val="0"/>
              <w:autoSpaceDN w:val="0"/>
              <w:adjustRightInd w:val="0"/>
              <w:spacing w:after="120" w:line="350" w:lineRule="exact"/>
              <w:ind w:left="57" w:right="57"/>
              <w:textDirection w:val="tbRlV"/>
              <w:rPr>
                <w:bCs/>
                <w:sz w:val="22"/>
                <w:lang w:val="ar-SA" w:eastAsia="zh-TW" w:bidi="en-GB"/>
              </w:rPr>
            </w:pPr>
            <w:r w:rsidRPr="00C745E9">
              <w:rPr>
                <w:sz w:val="22"/>
                <w:rtl/>
              </w:rPr>
              <w:t>أرقام الفقرات وتقييم اللجنة</w:t>
            </w:r>
          </w:p>
        </w:tc>
      </w:tr>
    </w:tbl>
    <w:p w14:paraId="5760C682" w14:textId="77777777" w:rsidR="00C745E9" w:rsidRPr="00C745E9" w:rsidRDefault="00C745E9" w:rsidP="00C745E9">
      <w:pPr>
        <w:pStyle w:val="SingleTxtGA"/>
        <w:spacing w:line="350" w:lineRule="exact"/>
        <w:rPr>
          <w:bCs/>
          <w:lang w:val="en-US" w:eastAsia="zh-TW" w:bidi="en-GB"/>
        </w:rPr>
      </w:pPr>
      <w:r w:rsidRPr="00C745E9">
        <w:rPr>
          <w:rtl/>
        </w:rPr>
        <w:t xml:space="preserve">نص فقرة المتابعة الأولى. وتستنسخ التوصية بأكملها. </w:t>
      </w:r>
    </w:p>
    <w:p w14:paraId="36AC575F" w14:textId="77777777" w:rsidR="00C745E9" w:rsidRPr="00C745E9" w:rsidRDefault="00C745E9" w:rsidP="00C745E9">
      <w:pPr>
        <w:pStyle w:val="SingleTxtGA"/>
        <w:spacing w:line="350" w:lineRule="exact"/>
        <w:rPr>
          <w:b/>
          <w:bCs/>
          <w:lang w:val="ar-SA" w:eastAsia="zh-TW" w:bidi="en-GB"/>
        </w:rPr>
      </w:pPr>
      <w:r w:rsidRPr="00C745E9">
        <w:rPr>
          <w:b/>
          <w:bCs/>
          <w:rtl/>
        </w:rPr>
        <w:t>ملخص المعلومات الواردة من الدولة الطرف</w:t>
      </w:r>
    </w:p>
    <w:p w14:paraId="0CA0B1CE" w14:textId="77777777" w:rsidR="00C745E9" w:rsidRPr="00C745E9" w:rsidRDefault="00C745E9" w:rsidP="00C745E9">
      <w:pPr>
        <w:pStyle w:val="SingleTxtGA"/>
        <w:spacing w:line="350" w:lineRule="exact"/>
        <w:rPr>
          <w:b/>
          <w:bCs/>
          <w:lang w:val="ar-SA" w:eastAsia="zh-TW" w:bidi="en-GB"/>
        </w:rPr>
      </w:pPr>
      <w:r w:rsidRPr="00C745E9">
        <w:rPr>
          <w:b/>
          <w:bCs/>
          <w:rtl/>
        </w:rPr>
        <w:t>ملخص المعلومات الواردة من الجهات المعنية</w:t>
      </w:r>
    </w:p>
    <w:p w14:paraId="0BD1DA98" w14:textId="77777777" w:rsidR="00C745E9" w:rsidRPr="00C745E9" w:rsidRDefault="00C745E9" w:rsidP="00C745E9">
      <w:pPr>
        <w:pStyle w:val="SingleTxtGA"/>
        <w:spacing w:line="350" w:lineRule="exact"/>
        <w:rPr>
          <w:b/>
          <w:bCs/>
          <w:rtl/>
        </w:rPr>
      </w:pPr>
      <w:r w:rsidRPr="00C745E9">
        <w:rPr>
          <w:b/>
          <w:bCs/>
          <w:rtl/>
        </w:rPr>
        <w:t>تقييم اللجنة</w:t>
      </w:r>
    </w:p>
    <w:p w14:paraId="0CBBB9E3" w14:textId="77777777" w:rsidR="00C745E9" w:rsidRPr="00C745E9" w:rsidRDefault="00C745E9" w:rsidP="00C745E9">
      <w:pPr>
        <w:pStyle w:val="SingleTxtGA"/>
        <w:spacing w:line="350" w:lineRule="exact"/>
        <w:rPr>
          <w:bCs/>
          <w:lang w:val="ar-SA" w:eastAsia="zh-TW" w:bidi="en-GB"/>
        </w:rPr>
      </w:pPr>
      <w:r w:rsidRPr="00C745E9">
        <w:rPr>
          <w:rtl/>
        </w:rPr>
        <w:t>تقييم اللجنة فيما يتعلق بالفقرة قيد النظر، بما يشمل تقييما</w:t>
      </w:r>
      <w:r w:rsidRPr="00C745E9">
        <w:rPr>
          <w:rFonts w:hint="cs"/>
          <w:rtl/>
        </w:rPr>
        <w:t>ً</w:t>
      </w:r>
      <w:r w:rsidRPr="00C745E9">
        <w:rPr>
          <w:rtl/>
        </w:rPr>
        <w:t xml:space="preserve"> على أساس تطبيق المعايير.</w:t>
      </w:r>
    </w:p>
    <w:p w14:paraId="18D6E394" w14:textId="77777777" w:rsidR="00C745E9" w:rsidRPr="00C745E9" w:rsidRDefault="00C745E9" w:rsidP="00C745E9">
      <w:pPr>
        <w:pStyle w:val="SingleTxtGA"/>
        <w:spacing w:line="350" w:lineRule="exact"/>
        <w:rPr>
          <w:bCs/>
          <w:lang w:val="ar-SA" w:eastAsia="zh-TW" w:bidi="en-GB"/>
        </w:rPr>
      </w:pPr>
      <w:r w:rsidRPr="00C745E9">
        <w:rPr>
          <w:rtl/>
        </w:rPr>
        <w:t>تقدم المعلومات نفسها لكل فقرة من الفقرات موضوع المتابعة.</w:t>
      </w:r>
    </w:p>
    <w:p w14:paraId="06E55B64" w14:textId="77777777" w:rsidR="00C745E9" w:rsidRPr="00C745E9" w:rsidRDefault="00C745E9" w:rsidP="00C745E9">
      <w:pPr>
        <w:pStyle w:val="SingleTxtGA"/>
        <w:spacing w:line="350" w:lineRule="exact"/>
        <w:rPr>
          <w:bCs/>
          <w:lang w:val="ar-SA" w:eastAsia="zh-TW" w:bidi="en-GB"/>
        </w:rPr>
      </w:pPr>
      <w:r w:rsidRPr="00C745E9">
        <w:rPr>
          <w:b/>
          <w:bCs/>
          <w:rtl/>
        </w:rPr>
        <w:t>الإجراء الموصى به</w:t>
      </w:r>
      <w:r w:rsidRPr="00C745E9">
        <w:rPr>
          <w:rtl/>
        </w:rPr>
        <w:t>: وصف التدبير (التدابير) الذي أوصت بهـ(ا) اللجنة.</w:t>
      </w:r>
    </w:p>
    <w:p w14:paraId="27EFCEC4" w14:textId="77777777" w:rsidR="00C745E9" w:rsidRPr="00C745E9" w:rsidRDefault="00C745E9" w:rsidP="00C745E9">
      <w:pPr>
        <w:pStyle w:val="SingleTxtGA"/>
        <w:spacing w:line="350" w:lineRule="exact"/>
        <w:rPr>
          <w:bCs/>
          <w:spacing w:val="-4"/>
          <w:lang w:val="ar-SA" w:eastAsia="zh-TW" w:bidi="en-GB"/>
        </w:rPr>
      </w:pPr>
      <w:r w:rsidRPr="00C745E9">
        <w:rPr>
          <w:b/>
          <w:bCs/>
          <w:spacing w:val="-4"/>
          <w:rtl/>
        </w:rPr>
        <w:t>موعد تقديم التقرير الدوري التالي</w:t>
      </w:r>
      <w:r w:rsidRPr="00C745E9">
        <w:rPr>
          <w:spacing w:val="-4"/>
          <w:rtl/>
        </w:rPr>
        <w:t>: العام (كما تقرر في الفقرة الأخيرة من الملاحظات الختامية قيد النظر).</w:t>
      </w:r>
    </w:p>
    <w:p w14:paraId="07B3782E" w14:textId="010E6DFE" w:rsidR="005A7AC3" w:rsidRPr="00033923" w:rsidRDefault="005A7AC3" w:rsidP="00C745E9">
      <w:pPr>
        <w:pStyle w:val="H23GA"/>
      </w:pPr>
      <w:r w:rsidRPr="00033923">
        <w:rPr>
          <w:rFonts w:ascii="Traditional Arabic"/>
          <w:szCs w:val="20"/>
          <w:rtl/>
        </w:rPr>
        <w:tab/>
      </w:r>
      <w:r w:rsidRPr="00033923">
        <w:rPr>
          <w:rtl/>
        </w:rPr>
        <w:t>3</w:t>
      </w:r>
      <w:r w:rsidRPr="00033923">
        <w:rPr>
          <w:rFonts w:ascii="Traditional Arabic"/>
          <w:szCs w:val="20"/>
          <w:rtl/>
        </w:rPr>
        <w:t>-</w:t>
      </w:r>
      <w:r w:rsidRPr="00033923">
        <w:rPr>
          <w:rtl/>
        </w:rPr>
        <w:tab/>
        <w:t>جدول المتابعة</w:t>
      </w:r>
    </w:p>
    <w:p w14:paraId="0B162A0C" w14:textId="77777777" w:rsidR="005A7AC3" w:rsidRPr="005A7AC3" w:rsidRDefault="005A7AC3" w:rsidP="005A7AC3">
      <w:pPr>
        <w:pStyle w:val="SingleTxtGA"/>
      </w:pPr>
      <w:r w:rsidRPr="00033923">
        <w:rPr>
          <w:rtl/>
        </w:rPr>
        <w:t>18</w:t>
      </w:r>
      <w:r>
        <w:rPr>
          <w:rFonts w:ascii="Traditional Arabic"/>
          <w:szCs w:val="20"/>
          <w:rtl/>
        </w:rPr>
        <w:t>-</w:t>
      </w:r>
      <w:r>
        <w:rPr>
          <w:rtl/>
        </w:rPr>
        <w:tab/>
        <w:t xml:space="preserve">يبين جدول المتابعة حالة متابعة الملاحظات الختامية التي اعتمدتها اللجنة منذ دورتها </w:t>
      </w:r>
      <w:r w:rsidRPr="00033923">
        <w:rPr>
          <w:rtl/>
        </w:rPr>
        <w:t>105</w:t>
      </w:r>
      <w:r>
        <w:rPr>
          <w:rtl/>
        </w:rPr>
        <w:t xml:space="preserve"> المعقودة في تموز/يوليه </w:t>
      </w:r>
      <w:r w:rsidRPr="00033923">
        <w:rPr>
          <w:rtl/>
        </w:rPr>
        <w:t>2012</w:t>
      </w:r>
      <w:r>
        <w:rPr>
          <w:rtl/>
        </w:rPr>
        <w:t>.</w:t>
      </w:r>
    </w:p>
    <w:p w14:paraId="6C57BDB6" w14:textId="77777777" w:rsidR="005A7AC3" w:rsidRPr="00033923" w:rsidRDefault="005A7AC3" w:rsidP="005A7AC3">
      <w:pPr>
        <w:pStyle w:val="H23GA"/>
      </w:pPr>
      <w:r w:rsidRPr="00033923">
        <w:rPr>
          <w:rtl/>
        </w:rPr>
        <w:tab/>
      </w:r>
      <w:r w:rsidRPr="00033923">
        <w:rPr>
          <w:rtl/>
        </w:rPr>
        <w:tab/>
        <w:t>إجراء اعتماد التقرير المتعلق بمتابعة الملاحظات الختامية</w:t>
      </w:r>
    </w:p>
    <w:p w14:paraId="7D15E786" w14:textId="77F8D142" w:rsidR="005A7AC3" w:rsidRPr="005A7AC3" w:rsidRDefault="005A7AC3" w:rsidP="005A7AC3">
      <w:pPr>
        <w:pStyle w:val="SingleTxtGA"/>
      </w:pPr>
      <w:r w:rsidRPr="00033923">
        <w:rPr>
          <w:rtl/>
        </w:rPr>
        <w:t>19</w:t>
      </w:r>
      <w:r>
        <w:rPr>
          <w:rFonts w:ascii="Traditional Arabic"/>
          <w:szCs w:val="20"/>
          <w:rtl/>
        </w:rPr>
        <w:t>-</w:t>
      </w:r>
      <w:r>
        <w:rPr>
          <w:rtl/>
        </w:rPr>
        <w:tab/>
        <w:t>تصوغ الأمانة تحليلا</w:t>
      </w:r>
      <w:r w:rsidR="00121866">
        <w:rPr>
          <w:rFonts w:hint="cs"/>
          <w:rtl/>
        </w:rPr>
        <w:t>ً</w:t>
      </w:r>
      <w:r>
        <w:rPr>
          <w:rtl/>
        </w:rPr>
        <w:t xml:space="preserve"> أوليا</w:t>
      </w:r>
      <w:r w:rsidR="00121866">
        <w:rPr>
          <w:rFonts w:hint="cs"/>
          <w:rtl/>
        </w:rPr>
        <w:t>ً</w:t>
      </w:r>
      <w:r>
        <w:rPr>
          <w:rtl/>
        </w:rPr>
        <w:t xml:space="preserve"> لجميع المعلومات الواردة. ويُدرج هذا التحليل، بعد استعراضه والموافقة عليه من قبل المقرر(ة) الخاص(ة) المعني(ة) بمتابعة الملاحظات الختامية، في تقرير المتابعة الذي سيناقش ويُعتمد في الدورة اللاحقة للجنة في إطار جلسة عامة تعقدها اللجنة بكامل هيئتها. وتعتمد اللجنة ثلاثة تقارير متابعة كل سنة (تقرير واحد في كل دورة).</w:t>
      </w:r>
    </w:p>
    <w:p w14:paraId="4C5FFBFC" w14:textId="77777777" w:rsidR="005A7AC3" w:rsidRPr="00033923" w:rsidRDefault="005A7AC3" w:rsidP="005A7AC3">
      <w:pPr>
        <w:pStyle w:val="H23GA"/>
      </w:pPr>
      <w:r w:rsidRPr="00033923">
        <w:rPr>
          <w:rtl/>
        </w:rPr>
        <w:tab/>
      </w:r>
      <w:r w:rsidRPr="00033923">
        <w:rPr>
          <w:rtl/>
        </w:rPr>
        <w:tab/>
        <w:t>معايير تقييم تنفيذ توصيات المتابعة</w:t>
      </w:r>
    </w:p>
    <w:p w14:paraId="1952D993" w14:textId="77777777" w:rsidR="005A7AC3" w:rsidRPr="005A7AC3" w:rsidRDefault="005A7AC3" w:rsidP="005A7AC3">
      <w:pPr>
        <w:pStyle w:val="SingleTxtGA"/>
      </w:pPr>
      <w:r w:rsidRPr="00033923">
        <w:rPr>
          <w:rtl/>
        </w:rPr>
        <w:t>20</w:t>
      </w:r>
      <w:r>
        <w:rPr>
          <w:rFonts w:ascii="Traditional Arabic"/>
          <w:szCs w:val="20"/>
          <w:rtl/>
        </w:rPr>
        <w:t>-</w:t>
      </w:r>
      <w:r>
        <w:rPr>
          <w:rtl/>
        </w:rPr>
        <w:tab/>
        <w:t>تقيم اللجنة طبيعة وأثر التدابير المتخذة لتنفيذ التوصيات المختارة عند استعراض المعلومات الواردة من الدولة الطرف والجهات المعنية.</w:t>
      </w:r>
    </w:p>
    <w:p w14:paraId="1A71ACE1" w14:textId="1F80CCFC" w:rsidR="005A7AC3" w:rsidRPr="005A7AC3" w:rsidRDefault="005A7AC3" w:rsidP="005A7AC3">
      <w:pPr>
        <w:pStyle w:val="SingleTxtGA"/>
      </w:pPr>
      <w:r w:rsidRPr="00033923">
        <w:rPr>
          <w:rtl/>
        </w:rPr>
        <w:t>21</w:t>
      </w:r>
      <w:r>
        <w:rPr>
          <w:rFonts w:ascii="Traditional Arabic"/>
          <w:szCs w:val="20"/>
          <w:rtl/>
        </w:rPr>
        <w:t>-</w:t>
      </w:r>
      <w:r>
        <w:rPr>
          <w:rtl/>
        </w:rPr>
        <w:tab/>
        <w:t xml:space="preserve">وخلال الدورة </w:t>
      </w:r>
      <w:r w:rsidRPr="00033923">
        <w:rPr>
          <w:rtl/>
        </w:rPr>
        <w:t>118</w:t>
      </w:r>
      <w:r>
        <w:rPr>
          <w:rtl/>
        </w:rPr>
        <w:t xml:space="preserve"> المعقودة في تشرين الأول/أكتوبر </w:t>
      </w:r>
      <w:r w:rsidRPr="00033923">
        <w:rPr>
          <w:rtl/>
        </w:rPr>
        <w:t>2016</w:t>
      </w:r>
      <w:r>
        <w:rPr>
          <w:rtl/>
        </w:rPr>
        <w:t>، قامت اللجنة بمراجعة المعايير التي كانت تستخدمها لتقييم ما يردها من معلومات المتابعة. وتقيم المعلومات وفقا</w:t>
      </w:r>
      <w:r w:rsidR="00121866">
        <w:rPr>
          <w:rFonts w:hint="cs"/>
          <w:rtl/>
        </w:rPr>
        <w:t>ً</w:t>
      </w:r>
      <w:r>
        <w:rPr>
          <w:rtl/>
        </w:rPr>
        <w:t xml:space="preserve"> لنظام العلامات التالي:</w:t>
      </w:r>
    </w:p>
    <w:tbl>
      <w:tblPr>
        <w:bidiVisual/>
        <w:tblW w:w="7219" w:type="dxa"/>
        <w:tblInd w:w="1191" w:type="dxa"/>
        <w:tblBorders>
          <w:top w:val="single" w:sz="4" w:space="0" w:color="auto"/>
          <w:bottom w:val="single" w:sz="12" w:space="0" w:color="auto"/>
        </w:tblBorders>
        <w:tblLayout w:type="fixed"/>
        <w:tblLook w:val="01E0" w:firstRow="1" w:lastRow="1" w:firstColumn="1" w:lastColumn="1" w:noHBand="0" w:noVBand="0"/>
      </w:tblPr>
      <w:tblGrid>
        <w:gridCol w:w="1143"/>
        <w:gridCol w:w="6076"/>
      </w:tblGrid>
      <w:tr w:rsidR="005A7AC3" w:rsidRPr="00C745E9" w14:paraId="319D1177" w14:textId="77777777" w:rsidTr="00C745E9">
        <w:trPr>
          <w:cantSplit/>
          <w:tblHeader/>
        </w:trPr>
        <w:tc>
          <w:tcPr>
            <w:tcW w:w="1143" w:type="dxa"/>
            <w:tcBorders>
              <w:top w:val="single" w:sz="4" w:space="0" w:color="auto"/>
              <w:bottom w:val="single" w:sz="12" w:space="0" w:color="auto"/>
            </w:tcBorders>
            <w:shd w:val="clear" w:color="auto" w:fill="auto"/>
            <w:vAlign w:val="bottom"/>
          </w:tcPr>
          <w:p w14:paraId="1601EA5D" w14:textId="77777777" w:rsidR="005A7AC3" w:rsidRPr="00C745E9" w:rsidRDefault="005A7AC3" w:rsidP="00C745E9">
            <w:pPr>
              <w:pStyle w:val="SingleTxtG"/>
              <w:tabs>
                <w:tab w:val="clear" w:pos="1701"/>
                <w:tab w:val="clear" w:pos="2268"/>
              </w:tabs>
              <w:suppressAutoHyphens w:val="0"/>
              <w:spacing w:before="60" w:after="60" w:line="340" w:lineRule="exact"/>
              <w:ind w:left="57" w:right="57"/>
              <w:jc w:val="lowKashida"/>
              <w:rPr>
                <w:rFonts w:eastAsiaTheme="minorEastAsia"/>
                <w:i/>
                <w:sz w:val="22"/>
                <w:szCs w:val="22"/>
              </w:rPr>
            </w:pPr>
          </w:p>
        </w:tc>
        <w:tc>
          <w:tcPr>
            <w:tcW w:w="6076" w:type="dxa"/>
            <w:tcBorders>
              <w:top w:val="single" w:sz="4" w:space="0" w:color="auto"/>
              <w:bottom w:val="single" w:sz="12" w:space="0" w:color="auto"/>
            </w:tcBorders>
            <w:shd w:val="clear" w:color="auto" w:fill="auto"/>
            <w:vAlign w:val="bottom"/>
          </w:tcPr>
          <w:p w14:paraId="6288B538" w14:textId="77777777" w:rsidR="005A7AC3" w:rsidRPr="00C745E9" w:rsidRDefault="005A7AC3" w:rsidP="00C745E9">
            <w:pPr>
              <w:pStyle w:val="SingleTxtG"/>
              <w:tabs>
                <w:tab w:val="clear" w:pos="1701"/>
                <w:tab w:val="clear" w:pos="2268"/>
              </w:tabs>
              <w:suppressAutoHyphens w:val="0"/>
              <w:bidi/>
              <w:spacing w:before="60" w:after="60" w:line="340" w:lineRule="exact"/>
              <w:ind w:left="0" w:right="0"/>
              <w:jc w:val="lowKashida"/>
              <w:textDirection w:val="tbRlV"/>
              <w:rPr>
                <w:rFonts w:eastAsiaTheme="minorEastAsia"/>
                <w:i/>
                <w:sz w:val="22"/>
                <w:szCs w:val="22"/>
                <w:lang w:val="ar-SA" w:eastAsia="zh-TW" w:bidi="en-GB"/>
              </w:rPr>
            </w:pPr>
            <w:r w:rsidRPr="00C745E9">
              <w:rPr>
                <w:rFonts w:eastAsiaTheme="minorEastAsia"/>
                <w:i/>
                <w:iCs/>
                <w:sz w:val="22"/>
                <w:szCs w:val="22"/>
                <w:rtl/>
              </w:rPr>
              <w:t>تقييم المعلومات الواردة من الدول الأطراف</w:t>
            </w:r>
          </w:p>
        </w:tc>
      </w:tr>
      <w:tr w:rsidR="005A7AC3" w:rsidRPr="00C745E9" w14:paraId="22146112" w14:textId="77777777" w:rsidTr="00C745E9">
        <w:trPr>
          <w:cantSplit/>
          <w:trHeight w:hRule="exact" w:val="113"/>
        </w:trPr>
        <w:tc>
          <w:tcPr>
            <w:tcW w:w="1143" w:type="dxa"/>
            <w:tcBorders>
              <w:top w:val="single" w:sz="12" w:space="0" w:color="auto"/>
            </w:tcBorders>
            <w:shd w:val="clear" w:color="auto" w:fill="auto"/>
          </w:tcPr>
          <w:p w14:paraId="71B3E030" w14:textId="77777777" w:rsidR="005A7AC3" w:rsidRPr="00C745E9" w:rsidRDefault="005A7AC3" w:rsidP="00C745E9">
            <w:pPr>
              <w:pStyle w:val="SingleTxtG"/>
              <w:tabs>
                <w:tab w:val="clear" w:pos="1701"/>
                <w:tab w:val="clear" w:pos="2268"/>
              </w:tabs>
              <w:suppressAutoHyphens w:val="0"/>
              <w:spacing w:before="60" w:after="60" w:line="340" w:lineRule="exact"/>
              <w:ind w:left="57" w:right="57"/>
              <w:jc w:val="lowKashida"/>
              <w:rPr>
                <w:rFonts w:eastAsiaTheme="minorEastAsia"/>
                <w:sz w:val="22"/>
                <w:szCs w:val="22"/>
              </w:rPr>
            </w:pPr>
          </w:p>
        </w:tc>
        <w:tc>
          <w:tcPr>
            <w:tcW w:w="6076" w:type="dxa"/>
            <w:tcBorders>
              <w:top w:val="single" w:sz="12" w:space="0" w:color="auto"/>
            </w:tcBorders>
            <w:shd w:val="clear" w:color="auto" w:fill="auto"/>
          </w:tcPr>
          <w:p w14:paraId="1CAC891A" w14:textId="77777777" w:rsidR="005A7AC3" w:rsidRPr="00C745E9" w:rsidRDefault="005A7AC3" w:rsidP="00C745E9">
            <w:pPr>
              <w:pStyle w:val="SingleTxtG"/>
              <w:tabs>
                <w:tab w:val="clear" w:pos="1701"/>
                <w:tab w:val="clear" w:pos="2268"/>
              </w:tabs>
              <w:suppressAutoHyphens w:val="0"/>
              <w:spacing w:before="60" w:after="60" w:line="340" w:lineRule="exact"/>
              <w:ind w:left="0" w:right="0"/>
              <w:jc w:val="lowKashida"/>
              <w:rPr>
                <w:rFonts w:eastAsiaTheme="minorEastAsia"/>
                <w:sz w:val="22"/>
                <w:szCs w:val="22"/>
              </w:rPr>
            </w:pPr>
          </w:p>
        </w:tc>
      </w:tr>
      <w:tr w:rsidR="005A7AC3" w:rsidRPr="00C745E9" w14:paraId="6DFC99BA" w14:textId="77777777" w:rsidTr="00C745E9">
        <w:trPr>
          <w:cantSplit/>
        </w:trPr>
        <w:tc>
          <w:tcPr>
            <w:tcW w:w="1143" w:type="dxa"/>
            <w:shd w:val="clear" w:color="auto" w:fill="auto"/>
          </w:tcPr>
          <w:p w14:paraId="02DCB2FB" w14:textId="77777777" w:rsidR="005A7AC3" w:rsidRPr="00C745E9" w:rsidRDefault="005A7AC3" w:rsidP="00C745E9">
            <w:pPr>
              <w:pStyle w:val="SingleTxtG"/>
              <w:tabs>
                <w:tab w:val="clear" w:pos="1701"/>
                <w:tab w:val="clear" w:pos="2268"/>
              </w:tabs>
              <w:suppressAutoHyphens w:val="0"/>
              <w:bidi/>
              <w:spacing w:before="60" w:after="60" w:line="340" w:lineRule="exact"/>
              <w:ind w:left="0" w:right="0"/>
              <w:jc w:val="lowKashida"/>
              <w:textDirection w:val="tbRlV"/>
              <w:rPr>
                <w:rFonts w:eastAsiaTheme="minorEastAsia"/>
                <w:b/>
                <w:bCs/>
                <w:sz w:val="22"/>
                <w:szCs w:val="22"/>
                <w:lang w:val="ar-SA" w:eastAsia="zh-TW" w:bidi="en-GB"/>
              </w:rPr>
            </w:pPr>
            <w:r w:rsidRPr="00C745E9">
              <w:rPr>
                <w:rFonts w:eastAsiaTheme="minorEastAsia"/>
                <w:b/>
                <w:bCs/>
                <w:sz w:val="22"/>
                <w:szCs w:val="22"/>
                <w:rtl/>
              </w:rPr>
              <w:t>ألف</w:t>
            </w:r>
          </w:p>
        </w:tc>
        <w:tc>
          <w:tcPr>
            <w:tcW w:w="6076" w:type="dxa"/>
            <w:shd w:val="clear" w:color="auto" w:fill="auto"/>
          </w:tcPr>
          <w:p w14:paraId="67CAE694" w14:textId="77777777" w:rsidR="005A7AC3" w:rsidRPr="00C745E9" w:rsidRDefault="005A7AC3" w:rsidP="00C745E9">
            <w:pPr>
              <w:pStyle w:val="SingleTxtG"/>
              <w:tabs>
                <w:tab w:val="clear" w:pos="1701"/>
                <w:tab w:val="clear" w:pos="2268"/>
              </w:tabs>
              <w:suppressAutoHyphens w:val="0"/>
              <w:bidi/>
              <w:spacing w:before="60" w:after="60" w:line="340" w:lineRule="exact"/>
              <w:ind w:left="0" w:right="0"/>
              <w:jc w:val="lowKashida"/>
              <w:textDirection w:val="tbRlV"/>
              <w:rPr>
                <w:rFonts w:eastAsiaTheme="minorEastAsia"/>
                <w:spacing w:val="-2"/>
                <w:sz w:val="22"/>
                <w:szCs w:val="22"/>
                <w:lang w:val="ar-SA" w:eastAsia="zh-TW" w:bidi="en-GB"/>
              </w:rPr>
            </w:pPr>
            <w:r w:rsidRPr="00C745E9">
              <w:rPr>
                <w:rFonts w:eastAsiaTheme="minorEastAsia"/>
                <w:spacing w:val="-2"/>
                <w:sz w:val="22"/>
                <w:szCs w:val="22"/>
                <w:rtl/>
              </w:rPr>
              <w:t xml:space="preserve">معلومات/إجراءات مُرضية إلى حد كبير: قدمت الدولة الطرف أدلة على اتخاذ إجراءات </w:t>
            </w:r>
            <w:proofErr w:type="gramStart"/>
            <w:r w:rsidRPr="00C745E9">
              <w:rPr>
                <w:rFonts w:eastAsiaTheme="minorEastAsia"/>
                <w:spacing w:val="-2"/>
                <w:sz w:val="22"/>
                <w:szCs w:val="22"/>
                <w:rtl/>
              </w:rPr>
              <w:t>هامة</w:t>
            </w:r>
            <w:proofErr w:type="gramEnd"/>
            <w:r w:rsidRPr="00C745E9">
              <w:rPr>
                <w:rFonts w:eastAsiaTheme="minorEastAsia"/>
                <w:spacing w:val="-2"/>
                <w:sz w:val="22"/>
                <w:szCs w:val="22"/>
                <w:rtl/>
              </w:rPr>
              <w:t xml:space="preserve"> لتنفيذ توصية اللجنة. وفي هذه الحالة، يجوز للجنة أن تطلب معلومات إضافية من الدولة الطرف تُقدّم في التقرير الدوري المقبل.</w:t>
            </w:r>
          </w:p>
        </w:tc>
      </w:tr>
      <w:tr w:rsidR="005A7AC3" w:rsidRPr="00C745E9" w14:paraId="57947736" w14:textId="77777777" w:rsidTr="00C745E9">
        <w:trPr>
          <w:cantSplit/>
        </w:trPr>
        <w:tc>
          <w:tcPr>
            <w:tcW w:w="1143" w:type="dxa"/>
            <w:shd w:val="clear" w:color="auto" w:fill="auto"/>
          </w:tcPr>
          <w:p w14:paraId="0EA25CE0" w14:textId="77777777" w:rsidR="005A7AC3" w:rsidRPr="00C745E9" w:rsidRDefault="005A7AC3" w:rsidP="00C745E9">
            <w:pPr>
              <w:pStyle w:val="SingleTxtG"/>
              <w:tabs>
                <w:tab w:val="clear" w:pos="1701"/>
                <w:tab w:val="clear" w:pos="2268"/>
              </w:tabs>
              <w:suppressAutoHyphens w:val="0"/>
              <w:bidi/>
              <w:spacing w:before="60" w:after="60" w:line="340" w:lineRule="exact"/>
              <w:ind w:left="0" w:right="0"/>
              <w:jc w:val="lowKashida"/>
              <w:textDirection w:val="tbRlV"/>
              <w:rPr>
                <w:rFonts w:eastAsiaTheme="minorEastAsia"/>
                <w:b/>
                <w:bCs/>
                <w:sz w:val="22"/>
                <w:szCs w:val="22"/>
                <w:lang w:val="ar-SA" w:eastAsia="zh-TW" w:bidi="en-GB"/>
              </w:rPr>
            </w:pPr>
            <w:r w:rsidRPr="00C745E9">
              <w:rPr>
                <w:rFonts w:eastAsiaTheme="minorEastAsia"/>
                <w:b/>
                <w:bCs/>
                <w:sz w:val="22"/>
                <w:szCs w:val="22"/>
                <w:rtl/>
              </w:rPr>
              <w:t>باء</w:t>
            </w:r>
          </w:p>
        </w:tc>
        <w:tc>
          <w:tcPr>
            <w:tcW w:w="6076" w:type="dxa"/>
            <w:shd w:val="clear" w:color="auto" w:fill="auto"/>
          </w:tcPr>
          <w:p w14:paraId="05D1AADC" w14:textId="77777777" w:rsidR="005A7AC3" w:rsidRPr="00C745E9" w:rsidRDefault="005A7AC3" w:rsidP="00C745E9">
            <w:pPr>
              <w:pStyle w:val="SingleTxtG"/>
              <w:tabs>
                <w:tab w:val="clear" w:pos="1701"/>
                <w:tab w:val="clear" w:pos="2268"/>
              </w:tabs>
              <w:suppressAutoHyphens w:val="0"/>
              <w:bidi/>
              <w:spacing w:before="60" w:after="60" w:line="340" w:lineRule="exact"/>
              <w:ind w:left="0" w:right="0"/>
              <w:jc w:val="lowKashida"/>
              <w:textDirection w:val="tbRlV"/>
              <w:rPr>
                <w:rFonts w:eastAsiaTheme="minorEastAsia"/>
                <w:sz w:val="22"/>
                <w:szCs w:val="22"/>
                <w:lang w:val="en-US" w:eastAsia="zh-TW" w:bidi="en-GB"/>
              </w:rPr>
            </w:pPr>
            <w:r w:rsidRPr="00C745E9">
              <w:rPr>
                <w:rFonts w:eastAsiaTheme="minorEastAsia"/>
                <w:sz w:val="22"/>
                <w:szCs w:val="22"/>
                <w:rtl/>
              </w:rPr>
              <w:t>معلومات/إجراءات مُرضية جزئياً: اتخذت الدولة الطرف خطوات لتنفيذ التوصية، ولكن لا يزال يتعيّن عليها تقديم معلومات إضافية أو اتخاذ المزيد من الإجراءات. وفي هذه الحالة، تطلب اللجنة معلومات إضافية تُقدم في التقرير الدوري المقبل، بشأن نقاط محددة وردت في رد الدولة الطرف السابق وتحتاج إلى توضيح أو بشأن الخطوات الإضافية التي اتخذتها الدولة الطرف لتنفيذ التوصية.</w:t>
            </w:r>
          </w:p>
        </w:tc>
      </w:tr>
      <w:tr w:rsidR="005A7AC3" w:rsidRPr="00C745E9" w14:paraId="24AA1928" w14:textId="77777777" w:rsidTr="00C745E9">
        <w:trPr>
          <w:cantSplit/>
        </w:trPr>
        <w:tc>
          <w:tcPr>
            <w:tcW w:w="1143" w:type="dxa"/>
            <w:tcBorders>
              <w:bottom w:val="nil"/>
            </w:tcBorders>
            <w:shd w:val="clear" w:color="auto" w:fill="auto"/>
          </w:tcPr>
          <w:p w14:paraId="75AE42C8" w14:textId="77777777" w:rsidR="005A7AC3" w:rsidRPr="00C745E9" w:rsidRDefault="005A7AC3" w:rsidP="00C745E9">
            <w:pPr>
              <w:pStyle w:val="SingleTxtG"/>
              <w:tabs>
                <w:tab w:val="clear" w:pos="1701"/>
                <w:tab w:val="clear" w:pos="2268"/>
              </w:tabs>
              <w:suppressAutoHyphens w:val="0"/>
              <w:bidi/>
              <w:spacing w:before="60" w:after="60" w:line="340" w:lineRule="exact"/>
              <w:ind w:left="0" w:right="0"/>
              <w:jc w:val="lowKashida"/>
              <w:textDirection w:val="tbRlV"/>
              <w:rPr>
                <w:rFonts w:eastAsiaTheme="minorEastAsia"/>
                <w:b/>
                <w:bCs/>
                <w:sz w:val="22"/>
                <w:szCs w:val="22"/>
                <w:lang w:val="ar-SA" w:eastAsia="zh-TW" w:bidi="en-GB"/>
              </w:rPr>
            </w:pPr>
            <w:r w:rsidRPr="00C745E9">
              <w:rPr>
                <w:rFonts w:eastAsiaTheme="minorEastAsia"/>
                <w:b/>
                <w:bCs/>
                <w:sz w:val="22"/>
                <w:szCs w:val="22"/>
                <w:rtl/>
              </w:rPr>
              <w:t>جيم</w:t>
            </w:r>
          </w:p>
        </w:tc>
        <w:tc>
          <w:tcPr>
            <w:tcW w:w="6076" w:type="dxa"/>
            <w:tcBorders>
              <w:bottom w:val="nil"/>
            </w:tcBorders>
            <w:shd w:val="clear" w:color="auto" w:fill="auto"/>
          </w:tcPr>
          <w:p w14:paraId="3944EFA3" w14:textId="77777777" w:rsidR="005A7AC3" w:rsidRPr="00C745E9" w:rsidRDefault="005A7AC3" w:rsidP="00C745E9">
            <w:pPr>
              <w:pStyle w:val="SingleTxtG"/>
              <w:tabs>
                <w:tab w:val="clear" w:pos="1701"/>
                <w:tab w:val="clear" w:pos="2268"/>
              </w:tabs>
              <w:suppressAutoHyphens w:val="0"/>
              <w:bidi/>
              <w:spacing w:before="60" w:after="60" w:line="340" w:lineRule="exact"/>
              <w:ind w:left="0" w:right="0"/>
              <w:jc w:val="lowKashida"/>
              <w:textDirection w:val="tbRlV"/>
              <w:rPr>
                <w:rFonts w:eastAsiaTheme="minorEastAsia"/>
                <w:sz w:val="22"/>
                <w:szCs w:val="22"/>
                <w:lang w:val="ar-SA" w:eastAsia="zh-TW" w:bidi="en-GB"/>
              </w:rPr>
            </w:pPr>
            <w:r w:rsidRPr="00C745E9">
              <w:rPr>
                <w:rFonts w:eastAsiaTheme="minorEastAsia"/>
                <w:sz w:val="22"/>
                <w:szCs w:val="22"/>
                <w:rtl/>
              </w:rPr>
              <w:t>معلومات/إجراءات غير مُرضية: ورد ردٌّ ولكن الإجراءات التي اتخذتها الدولة الطرف أو المعلومات التي قدمتها إما غير ملائمة أو لا تفضي إلى تنفيذ التوصية. وتعتبر المعلومات التي قدمتها الدولة الطرف التي تكرر المعلومات التي سبق أن أتيحت للجنة قبل الملاحظات الختامية غير ذات صلة بهذه الأغراض. تطلب اللجنة من جديد موافاتها بمعلومات عن الخطوات المتخذة لتنفيذ التوصية.</w:t>
            </w:r>
          </w:p>
        </w:tc>
      </w:tr>
      <w:tr w:rsidR="005A7AC3" w:rsidRPr="00C745E9" w14:paraId="6BD0EB70" w14:textId="77777777" w:rsidTr="00C745E9">
        <w:trPr>
          <w:cantSplit/>
        </w:trPr>
        <w:tc>
          <w:tcPr>
            <w:tcW w:w="1143" w:type="dxa"/>
            <w:tcBorders>
              <w:top w:val="nil"/>
              <w:bottom w:val="nil"/>
            </w:tcBorders>
            <w:shd w:val="clear" w:color="auto" w:fill="auto"/>
          </w:tcPr>
          <w:p w14:paraId="2C93DE50" w14:textId="77777777" w:rsidR="005A7AC3" w:rsidRPr="00C745E9" w:rsidRDefault="005A7AC3" w:rsidP="00C745E9">
            <w:pPr>
              <w:pStyle w:val="SingleTxtG"/>
              <w:tabs>
                <w:tab w:val="clear" w:pos="1701"/>
                <w:tab w:val="clear" w:pos="2268"/>
              </w:tabs>
              <w:suppressAutoHyphens w:val="0"/>
              <w:bidi/>
              <w:spacing w:before="60" w:after="60" w:line="340" w:lineRule="exact"/>
              <w:ind w:left="0" w:right="0"/>
              <w:jc w:val="lowKashida"/>
              <w:textDirection w:val="tbRlV"/>
              <w:rPr>
                <w:rFonts w:eastAsiaTheme="minorEastAsia"/>
                <w:b/>
                <w:bCs/>
                <w:sz w:val="22"/>
                <w:szCs w:val="22"/>
                <w:lang w:val="ar-SA" w:eastAsia="zh-TW" w:bidi="en-GB"/>
              </w:rPr>
            </w:pPr>
            <w:r w:rsidRPr="00C745E9">
              <w:rPr>
                <w:rFonts w:eastAsiaTheme="minorEastAsia"/>
                <w:b/>
                <w:bCs/>
                <w:sz w:val="22"/>
                <w:szCs w:val="22"/>
                <w:rtl/>
              </w:rPr>
              <w:t>دال</w:t>
            </w:r>
          </w:p>
        </w:tc>
        <w:tc>
          <w:tcPr>
            <w:tcW w:w="6076" w:type="dxa"/>
            <w:tcBorders>
              <w:top w:val="nil"/>
              <w:bottom w:val="nil"/>
            </w:tcBorders>
            <w:shd w:val="clear" w:color="auto" w:fill="auto"/>
          </w:tcPr>
          <w:p w14:paraId="3FC4612E" w14:textId="77777777" w:rsidR="005A7AC3" w:rsidRPr="00C745E9" w:rsidRDefault="005A7AC3" w:rsidP="00C745E9">
            <w:pPr>
              <w:pStyle w:val="SingleTxtG"/>
              <w:tabs>
                <w:tab w:val="clear" w:pos="1701"/>
                <w:tab w:val="clear" w:pos="2268"/>
              </w:tabs>
              <w:suppressAutoHyphens w:val="0"/>
              <w:bidi/>
              <w:spacing w:before="60" w:after="60" w:line="340" w:lineRule="exact"/>
              <w:ind w:left="0" w:right="0"/>
              <w:jc w:val="lowKashida"/>
              <w:textDirection w:val="tbRlV"/>
              <w:rPr>
                <w:rFonts w:eastAsiaTheme="minorEastAsia"/>
                <w:sz w:val="22"/>
                <w:szCs w:val="22"/>
                <w:lang w:val="ar-SA" w:eastAsia="zh-TW" w:bidi="en-GB"/>
              </w:rPr>
            </w:pPr>
            <w:r w:rsidRPr="00C745E9">
              <w:rPr>
                <w:rFonts w:eastAsiaTheme="minorEastAsia"/>
                <w:sz w:val="22"/>
                <w:szCs w:val="22"/>
                <w:rtl/>
              </w:rPr>
              <w:t>عدم التعاون مع اللجنة: لم ترد أي معلومات من الدولة الطرف. ولم تردّ الدولة الطرف بحلول الموعد النهائي، ولا بعد أن تلقت رسالة التذكير التي بعثها المقرر(ة) الخاص(ة) المعني(ة) بمتابعة الملاحظات الختامية.</w:t>
            </w:r>
          </w:p>
        </w:tc>
      </w:tr>
      <w:tr w:rsidR="005A7AC3" w:rsidRPr="00C745E9" w14:paraId="61EAD1A1" w14:textId="77777777" w:rsidTr="00C745E9">
        <w:trPr>
          <w:cantSplit/>
        </w:trPr>
        <w:tc>
          <w:tcPr>
            <w:tcW w:w="1143" w:type="dxa"/>
            <w:tcBorders>
              <w:top w:val="nil"/>
            </w:tcBorders>
            <w:shd w:val="clear" w:color="auto" w:fill="auto"/>
          </w:tcPr>
          <w:p w14:paraId="48E51DB3" w14:textId="77777777" w:rsidR="005A7AC3" w:rsidRPr="00C745E9" w:rsidRDefault="005A7AC3" w:rsidP="00C745E9">
            <w:pPr>
              <w:pStyle w:val="SingleTxtG"/>
              <w:tabs>
                <w:tab w:val="clear" w:pos="1701"/>
                <w:tab w:val="clear" w:pos="2268"/>
              </w:tabs>
              <w:suppressAutoHyphens w:val="0"/>
              <w:bidi/>
              <w:spacing w:before="60" w:after="60" w:line="340" w:lineRule="exact"/>
              <w:ind w:left="0" w:right="0"/>
              <w:jc w:val="lowKashida"/>
              <w:textDirection w:val="tbRlV"/>
              <w:rPr>
                <w:rFonts w:eastAsiaTheme="minorEastAsia"/>
                <w:b/>
                <w:bCs/>
                <w:sz w:val="22"/>
                <w:szCs w:val="22"/>
                <w:lang w:val="ar-SA" w:eastAsia="zh-TW" w:bidi="en-GB"/>
              </w:rPr>
            </w:pPr>
            <w:r w:rsidRPr="00C745E9">
              <w:rPr>
                <w:rFonts w:eastAsiaTheme="minorEastAsia"/>
                <w:b/>
                <w:bCs/>
                <w:sz w:val="22"/>
                <w:szCs w:val="22"/>
                <w:rtl/>
              </w:rPr>
              <w:t>هاء</w:t>
            </w:r>
          </w:p>
        </w:tc>
        <w:tc>
          <w:tcPr>
            <w:tcW w:w="6076" w:type="dxa"/>
            <w:tcBorders>
              <w:top w:val="nil"/>
            </w:tcBorders>
            <w:shd w:val="clear" w:color="auto" w:fill="auto"/>
          </w:tcPr>
          <w:p w14:paraId="18B1392A" w14:textId="77777777" w:rsidR="005A7AC3" w:rsidRPr="00C745E9" w:rsidRDefault="005A7AC3" w:rsidP="00C745E9">
            <w:pPr>
              <w:pStyle w:val="SingleTxtG"/>
              <w:tabs>
                <w:tab w:val="clear" w:pos="1701"/>
                <w:tab w:val="clear" w:pos="2268"/>
              </w:tabs>
              <w:suppressAutoHyphens w:val="0"/>
              <w:bidi/>
              <w:spacing w:before="60" w:after="60" w:line="340" w:lineRule="exact"/>
              <w:ind w:left="0" w:right="0"/>
              <w:jc w:val="lowKashida"/>
              <w:textDirection w:val="tbRlV"/>
              <w:rPr>
                <w:rFonts w:eastAsiaTheme="minorEastAsia"/>
                <w:sz w:val="22"/>
                <w:szCs w:val="22"/>
                <w:lang w:val="ar-SA" w:eastAsia="zh-TW" w:bidi="en-GB"/>
              </w:rPr>
            </w:pPr>
            <w:r w:rsidRPr="00C745E9">
              <w:rPr>
                <w:rFonts w:eastAsiaTheme="minorEastAsia"/>
                <w:sz w:val="22"/>
                <w:szCs w:val="22"/>
                <w:rtl/>
              </w:rPr>
              <w:t>المعلومات الواردة أو التدابير المتخذة تتعارض مع التوصية أو تعبر عن رفضها: اعتمدت الدولة الطرف تدابير تتعارض مع توصية اللجنة أو تترتب عليها نتائج أو تبعات تتعارض مع توصية اللجنة أو تعبر عن رفضها.</w:t>
            </w:r>
          </w:p>
        </w:tc>
      </w:tr>
    </w:tbl>
    <w:p w14:paraId="0878F15F" w14:textId="77777777" w:rsidR="005A7AC3" w:rsidRPr="005A7AC3" w:rsidRDefault="005A7AC3" w:rsidP="005A7AC3">
      <w:pPr>
        <w:pStyle w:val="SingleTxtGA"/>
        <w:spacing w:before="240"/>
      </w:pPr>
      <w:r w:rsidRPr="00033923">
        <w:rPr>
          <w:rtl/>
        </w:rPr>
        <w:t>22</w:t>
      </w:r>
      <w:r>
        <w:rPr>
          <w:rFonts w:ascii="Traditional Arabic"/>
          <w:szCs w:val="20"/>
          <w:rtl/>
        </w:rPr>
        <w:t>-</w:t>
      </w:r>
      <w:r>
        <w:rPr>
          <w:rtl/>
        </w:rPr>
        <w:tab/>
        <w:t>وتغطي بعض التوصيات نقاطاً أو مسائل متنوِّعة. وفي بعض الحالات، من الشائع أن تُمنح توصية ما أكثر من علامة واحدة من أجل التمييز بين الجوانب التي نُفِّذت والجوانب التي تتطلب المزيد من الإجراءات أو المعلومات والجوانب التي لم تُعالج.</w:t>
      </w:r>
    </w:p>
    <w:p w14:paraId="22D081DC" w14:textId="77777777" w:rsidR="005A7AC3" w:rsidRPr="005A7AC3" w:rsidRDefault="005A7AC3" w:rsidP="005A7AC3">
      <w:pPr>
        <w:pStyle w:val="SingleTxtGA"/>
      </w:pPr>
      <w:r w:rsidRPr="00033923">
        <w:rPr>
          <w:rtl/>
        </w:rPr>
        <w:t>23</w:t>
      </w:r>
      <w:r>
        <w:rPr>
          <w:rFonts w:ascii="Traditional Arabic"/>
          <w:szCs w:val="20"/>
          <w:rtl/>
        </w:rPr>
        <w:t>-</w:t>
      </w:r>
      <w:r>
        <w:rPr>
          <w:rtl/>
        </w:rPr>
        <w:tab/>
        <w:t xml:space="preserve">وبعد اعتماد تقرير المتابعة، يوجِّه المقرر(ة) الخاص(ة) المعني(ة) بمتابعة الملاحظات الختامية رسالة إلى الدولة الطرف تتضمَّن التحليل الذي أجرته اللجنة والقرار الذي اعتمدته. </w:t>
      </w:r>
      <w:dir w:val="rtl">
        <w:r>
          <w:rPr>
            <w:rtl/>
          </w:rPr>
          <w:t>ويُطلب إلى الدولة الطرف توفير معلومات في تقريرها الدوري التالي.</w:t>
        </w:r>
        <w:r>
          <w:rPr>
            <w:rFonts w:ascii="Arial" w:hAnsi="Arial" w:cs="Arial" w:hint="cs"/>
            <w:rtl/>
          </w:rPr>
          <w:t>‬</w:t>
        </w:r>
        <w:r>
          <w:t>‬</w:t>
        </w:r>
        <w:r w:rsidR="00E37BB3">
          <w:t>‬</w:t>
        </w:r>
      </w:dir>
    </w:p>
    <w:p w14:paraId="34129F2D" w14:textId="77777777" w:rsidR="005A7AC3" w:rsidRPr="00033923" w:rsidRDefault="005A7AC3" w:rsidP="005A7AC3">
      <w:pPr>
        <w:pStyle w:val="H1GA"/>
      </w:pPr>
      <w:r w:rsidRPr="00033923">
        <w:rPr>
          <w:rtl/>
        </w:rPr>
        <w:tab/>
      </w:r>
      <w:r w:rsidRPr="00033923">
        <w:rPr>
          <w:rtl/>
        </w:rPr>
        <w:tab/>
        <w:t>التدابير المتخذة في غياب معلومات من الدولة الطرف</w:t>
      </w:r>
    </w:p>
    <w:p w14:paraId="49715B69" w14:textId="77777777" w:rsidR="005A7AC3" w:rsidRPr="005A7AC3" w:rsidRDefault="005A7AC3" w:rsidP="005A7AC3">
      <w:pPr>
        <w:pStyle w:val="SingleTxtGA"/>
      </w:pPr>
      <w:r w:rsidRPr="00033923">
        <w:rPr>
          <w:rtl/>
        </w:rPr>
        <w:t>24</w:t>
      </w:r>
      <w:r>
        <w:rPr>
          <w:rFonts w:ascii="Traditional Arabic"/>
          <w:szCs w:val="20"/>
          <w:rtl/>
        </w:rPr>
        <w:t>-</w:t>
      </w:r>
      <w:r>
        <w:rPr>
          <w:rtl/>
        </w:rPr>
        <w:tab/>
        <w:t>عندما لا تقدم دولة طرف معلومات عن متابعة الملاحظات الختامية، ترسل رسالة تذكير.</w:t>
      </w:r>
    </w:p>
    <w:p w14:paraId="1CCCB1B9" w14:textId="77777777" w:rsidR="005A7AC3" w:rsidRPr="005A7AC3" w:rsidRDefault="005A7AC3" w:rsidP="005A7AC3">
      <w:pPr>
        <w:pStyle w:val="SingleTxtGA"/>
      </w:pPr>
      <w:r w:rsidRPr="00033923">
        <w:rPr>
          <w:rtl/>
        </w:rPr>
        <w:t>25</w:t>
      </w:r>
      <w:r>
        <w:rPr>
          <w:rFonts w:ascii="Traditional Arabic"/>
          <w:szCs w:val="20"/>
          <w:rtl/>
        </w:rPr>
        <w:t>-</w:t>
      </w:r>
      <w:r>
        <w:rPr>
          <w:rtl/>
        </w:rPr>
        <w:tab/>
        <w:t>وإذا لم تتلق اللجنة أي معلومات بعد رسالة التذكير، يجوز للمقرر(ة) الخاص(ة) المعني(ة) بمتابعة الملاحظات الختامية طلب اجتماع مع الدولة الطرف تنظمه الأمانة.</w:t>
      </w:r>
    </w:p>
    <w:p w14:paraId="73CAD33B" w14:textId="46175DEC" w:rsidR="005A7AC3" w:rsidRPr="005A7AC3" w:rsidRDefault="005A7AC3" w:rsidP="005A7AC3">
      <w:pPr>
        <w:pStyle w:val="SingleTxtGA"/>
      </w:pPr>
      <w:r w:rsidRPr="00033923">
        <w:rPr>
          <w:rtl/>
        </w:rPr>
        <w:t>26</w:t>
      </w:r>
      <w:r>
        <w:rPr>
          <w:rFonts w:ascii="Traditional Arabic"/>
          <w:szCs w:val="20"/>
          <w:rtl/>
        </w:rPr>
        <w:t>-</w:t>
      </w:r>
      <w:r>
        <w:rPr>
          <w:rtl/>
        </w:rPr>
        <w:tab/>
        <w:t>وفي غياب رد، تمنح الدولة الطرف علامة "دال" في تقرير المتابعة اللاحق. وستشير اللجنة أيضا</w:t>
      </w:r>
      <w:r w:rsidR="002F303F">
        <w:rPr>
          <w:rFonts w:hint="cs"/>
          <w:rtl/>
        </w:rPr>
        <w:t>ً</w:t>
      </w:r>
      <w:r>
        <w:rPr>
          <w:rtl/>
        </w:rPr>
        <w:t xml:space="preserve"> إلى عدم التعاون هذا أثناء الحوار المتعلق بالتقرير الدوري التالي للدولة الطرف وفي الملاحظات الختامية التالية المعتمدة بشأن الدولة الطرف.</w:t>
      </w:r>
    </w:p>
    <w:p w14:paraId="7B898860" w14:textId="6641B2A6" w:rsidR="005A7AC3" w:rsidRPr="005A7AC3" w:rsidRDefault="005A7AC3" w:rsidP="005A7AC3">
      <w:pPr>
        <w:pStyle w:val="SingleTxtGA"/>
        <w:jc w:val="center"/>
        <w:rPr>
          <w:rtl/>
        </w:rPr>
      </w:pPr>
      <w:r>
        <w:rPr>
          <w:u w:val="single"/>
          <w:rtl/>
        </w:rPr>
        <w:tab/>
      </w:r>
      <w:r>
        <w:rPr>
          <w:u w:val="single"/>
          <w:rtl/>
        </w:rPr>
        <w:tab/>
      </w:r>
      <w:r>
        <w:rPr>
          <w:u w:val="single"/>
          <w:rtl/>
        </w:rPr>
        <w:tab/>
      </w:r>
    </w:p>
    <w:sectPr w:rsidR="005A7AC3" w:rsidRPr="005A7AC3" w:rsidSect="009C1D84">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7A959" w14:textId="77777777" w:rsidR="00585124" w:rsidRPr="002901D9" w:rsidRDefault="00585124" w:rsidP="00DC4D4B">
      <w:pPr>
        <w:spacing w:after="60" w:line="240" w:lineRule="auto"/>
        <w:ind w:left="57"/>
        <w:rPr>
          <w:i/>
          <w:iCs/>
        </w:rPr>
      </w:pPr>
      <w:r>
        <w:rPr>
          <w:rFonts w:hint="cs"/>
          <w:i/>
          <w:iCs/>
          <w:rtl/>
        </w:rPr>
        <w:t>الحواشي</w:t>
      </w:r>
    </w:p>
  </w:endnote>
  <w:endnote w:type="continuationSeparator" w:id="0">
    <w:p w14:paraId="3788C19B" w14:textId="77777777" w:rsidR="00585124" w:rsidRDefault="00585124"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1E552" w14:textId="406EFDBB" w:rsidR="00BC187E" w:rsidRPr="00BC187E" w:rsidRDefault="00BC187E" w:rsidP="00BC187E">
    <w:pPr>
      <w:pStyle w:val="Footer"/>
      <w:tabs>
        <w:tab w:val="right" w:pos="9638"/>
      </w:tabs>
      <w:rPr>
        <w:b/>
        <w:sz w:val="18"/>
        <w:lang w:val="en-US"/>
      </w:rPr>
    </w:pPr>
    <w:r>
      <w:rPr>
        <w:lang w:val="en-US"/>
      </w:rPr>
      <w:t>GE.21-19572</w:t>
    </w:r>
    <w:r>
      <w:rPr>
        <w:lang w:val="en-US"/>
      </w:rPr>
      <w:tab/>
    </w:r>
    <w:r w:rsidRPr="00BC187E">
      <w:rPr>
        <w:b/>
        <w:sz w:val="18"/>
        <w:lang w:val="en-US"/>
      </w:rPr>
      <w:fldChar w:fldCharType="begin"/>
    </w:r>
    <w:r w:rsidRPr="00BC187E">
      <w:rPr>
        <w:b/>
        <w:sz w:val="18"/>
        <w:lang w:val="en-US"/>
      </w:rPr>
      <w:instrText xml:space="preserve"> PAGE  \* MERGEFORMAT </w:instrText>
    </w:r>
    <w:r w:rsidRPr="00BC187E">
      <w:rPr>
        <w:b/>
        <w:sz w:val="18"/>
        <w:lang w:val="en-US"/>
      </w:rPr>
      <w:fldChar w:fldCharType="separate"/>
    </w:r>
    <w:r w:rsidRPr="00BC187E">
      <w:rPr>
        <w:b/>
        <w:noProof/>
        <w:sz w:val="18"/>
        <w:lang w:val="en-US"/>
      </w:rPr>
      <w:t>2</w:t>
    </w:r>
    <w:r w:rsidRPr="00BC187E">
      <w:rPr>
        <w:b/>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473A7" w14:textId="2814639A" w:rsidR="006959B0" w:rsidRPr="00BC187E" w:rsidRDefault="00BC187E" w:rsidP="00BC187E">
    <w:pPr>
      <w:pStyle w:val="Footer"/>
      <w:tabs>
        <w:tab w:val="right" w:pos="9638"/>
      </w:tabs>
      <w:rPr>
        <w:lang w:val="en-US"/>
      </w:rPr>
    </w:pPr>
    <w:r>
      <w:rPr>
        <w:b/>
        <w:sz w:val="18"/>
        <w:lang w:val="en-US"/>
      </w:rPr>
      <w:fldChar w:fldCharType="begin"/>
    </w:r>
    <w:r>
      <w:rPr>
        <w:b/>
        <w:sz w:val="18"/>
        <w:lang w:val="en-US"/>
      </w:rPr>
      <w:instrText xml:space="preserve"> PAGE  \* MERGEFORMAT </w:instrText>
    </w:r>
    <w:r>
      <w:rPr>
        <w:b/>
        <w:sz w:val="18"/>
        <w:lang w:val="en-US"/>
      </w:rPr>
      <w:fldChar w:fldCharType="separate"/>
    </w:r>
    <w:r>
      <w:rPr>
        <w:b/>
        <w:noProof/>
        <w:sz w:val="18"/>
        <w:lang w:val="en-US"/>
      </w:rPr>
      <w:t>3</w:t>
    </w:r>
    <w:r>
      <w:rPr>
        <w:b/>
        <w:sz w:val="18"/>
        <w:lang w:val="en-US"/>
      </w:rPr>
      <w:fldChar w:fldCharType="end"/>
    </w:r>
    <w:r>
      <w:rPr>
        <w:b/>
        <w:sz w:val="18"/>
        <w:lang w:val="en-US"/>
      </w:rPr>
      <w:tab/>
    </w:r>
    <w:r>
      <w:rPr>
        <w:lang w:val="en-US"/>
      </w:rPr>
      <w:t>GE.21-19572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8AA30" w14:textId="358FB3B3" w:rsidR="00DE50B1" w:rsidRPr="00BC187E" w:rsidRDefault="00BC187E" w:rsidP="00BC187E">
    <w:pPr>
      <w:pStyle w:val="Footer"/>
      <w:spacing w:before="600"/>
      <w:ind w:left="567"/>
      <w:jc w:val="right"/>
      <w:rPr>
        <w:sz w:val="20"/>
        <w:lang w:val="en-US"/>
      </w:rPr>
    </w:pPr>
    <w:r>
      <w:rPr>
        <w:sz w:val="20"/>
        <w:lang w:val="en-US"/>
      </w:rPr>
      <w:t>GE.</w:t>
    </w:r>
    <w:r w:rsidR="00652221">
      <w:rPr>
        <w:noProof/>
      </w:rPr>
      <w:drawing>
        <wp:anchor distT="0" distB="0" distL="114300" distR="114300" simplePos="0" relativeHeight="251658240" behindDoc="1" locked="1" layoutInCell="0" allowOverlap="1" wp14:anchorId="5E336AE3" wp14:editId="0EE2CCEE">
          <wp:simplePos x="0" y="0"/>
          <wp:positionH relativeFrom="margin">
            <wp:posOffset>719455</wp:posOffset>
          </wp:positionH>
          <wp:positionV relativeFrom="margin">
            <wp:posOffset>9144000</wp:posOffset>
          </wp:positionV>
          <wp:extent cx="1162685" cy="325120"/>
          <wp:effectExtent l="0" t="0" r="0" b="0"/>
          <wp:wrapTight wrapText="bothSides">
            <wp:wrapPolygon edited="0">
              <wp:start x="0" y="0"/>
              <wp:lineTo x="0" y="20250"/>
              <wp:lineTo x="21234" y="20250"/>
              <wp:lineTo x="21234" y="0"/>
              <wp:lineTo x="0" y="0"/>
            </wp:wrapPolygon>
          </wp:wrapTight>
          <wp:docPr id="1" name="Picture 1" descr="يُرجى إعادة التدو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رجاء_إعادة_التدوير"/>
                  <pic:cNvPicPr>
                    <a:picLocks noChangeAspect="1" noChangeArrowheads="1"/>
                  </pic:cNvPicPr>
                </pic:nvPicPr>
                <pic:blipFill>
                  <a:blip r:embed="rId1">
                    <a:extLst>
                      <a:ext uri="{28A0092B-C50C-407E-A947-70E740481C1C}">
                        <a14:useLocalDpi xmlns:a14="http://schemas.microsoft.com/office/drawing/2010/main" val="0"/>
                      </a:ext>
                    </a:extLst>
                  </a:blip>
                  <a:srcRect t="4395" b="4395"/>
                  <a:stretch>
                    <a:fillRect/>
                  </a:stretch>
                </pic:blipFill>
                <pic:spPr bwMode="auto">
                  <a:xfrm>
                    <a:off x="0" y="0"/>
                    <a:ext cx="1162685" cy="325120"/>
                  </a:xfrm>
                  <a:prstGeom prst="rect">
                    <a:avLst/>
                  </a:prstGeom>
                  <a:noFill/>
                </pic:spPr>
              </pic:pic>
            </a:graphicData>
          </a:graphic>
          <wp14:sizeRelH relativeFrom="page">
            <wp14:pctWidth>0</wp14:pctWidth>
          </wp14:sizeRelH>
          <wp14:sizeRelV relativeFrom="page">
            <wp14:pctHeight>0</wp14:pctHeight>
          </wp14:sizeRelV>
        </wp:anchor>
      </w:drawing>
    </w:r>
    <w:r>
      <w:rPr>
        <w:sz w:val="20"/>
        <w:lang w:val="en-US"/>
      </w:rPr>
      <w:t>21-19572 (A)</w:t>
    </w:r>
    <w:r>
      <w:rPr>
        <w:noProof/>
        <w:sz w:val="20"/>
        <w:lang w:val="en-US"/>
      </w:rPr>
      <w:drawing>
        <wp:anchor distT="0" distB="0" distL="114300" distR="114300" simplePos="0" relativeHeight="251659264" behindDoc="0" locked="0" layoutInCell="1" allowOverlap="1" wp14:anchorId="091E53C3" wp14:editId="2ECFE8A9">
          <wp:simplePos x="0" y="0"/>
          <wp:positionH relativeFrom="margin">
            <wp:posOffset>0</wp:posOffset>
          </wp:positionH>
          <wp:positionV relativeFrom="margin">
            <wp:posOffset>8891905</wp:posOffset>
          </wp:positionV>
          <wp:extent cx="561975" cy="561975"/>
          <wp:effectExtent l="0" t="0" r="9525" b="9525"/>
          <wp:wrapNone/>
          <wp:docPr id="3" name="Picture 1" descr="امسح الرمز لتصفح الوثيقة أو تحميل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امسح الرمز لتصفح الوثيقة أو تحميلها"/>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5850D" w14:textId="77777777" w:rsidR="00585124" w:rsidRPr="008A49D2" w:rsidRDefault="00585124" w:rsidP="008A49D2">
      <w:pPr>
        <w:pStyle w:val="Footer"/>
        <w:tabs>
          <w:tab w:val="left" w:pos="2154"/>
        </w:tabs>
        <w:bidi/>
        <w:spacing w:after="80"/>
        <w:ind w:left="680"/>
        <w:rPr>
          <w:rFonts w:cs="Times New Roman"/>
          <w:sz w:val="20"/>
          <w:szCs w:val="20"/>
          <w:u w:val="single"/>
        </w:rPr>
      </w:pPr>
      <w:r>
        <w:rPr>
          <w:rFonts w:cs="Times New Roman"/>
          <w:sz w:val="20"/>
          <w:szCs w:val="20"/>
          <w:u w:val="single"/>
          <w:rtl/>
        </w:rPr>
        <w:tab/>
      </w:r>
    </w:p>
  </w:footnote>
  <w:footnote w:type="continuationSeparator" w:id="0">
    <w:p w14:paraId="520DC8A6" w14:textId="77777777" w:rsidR="00585124" w:rsidRDefault="00585124" w:rsidP="00656392">
      <w:pPr>
        <w:spacing w:line="240" w:lineRule="auto"/>
      </w:pPr>
      <w:r>
        <w:continuationSeparator/>
      </w:r>
    </w:p>
  </w:footnote>
  <w:footnote w:id="1">
    <w:p w14:paraId="21AE8484" w14:textId="2AC61CE9" w:rsidR="005A7AC3" w:rsidRPr="005A7AC3" w:rsidRDefault="005A7AC3" w:rsidP="005A7AC3">
      <w:pPr>
        <w:pStyle w:val="FootnoteText1"/>
        <w:rPr>
          <w:rtl/>
        </w:rPr>
      </w:pPr>
      <w:r>
        <w:rPr>
          <w:rtl/>
        </w:rPr>
        <w:t>*</w:t>
      </w:r>
      <w:r>
        <w:rPr>
          <w:rtl/>
        </w:rPr>
        <w:tab/>
      </w:r>
      <w:r w:rsidRPr="005A7AC3">
        <w:rPr>
          <w:rtl/>
        </w:rPr>
        <w:t xml:space="preserve">اعتمدت اللجنة في البداية المذكرة المتعلقة بإجراءات متابعة الملاحظات الختامية في دورتها </w:t>
      </w:r>
      <w:r w:rsidRPr="00033923">
        <w:rPr>
          <w:rtl/>
        </w:rPr>
        <w:t>108</w:t>
      </w:r>
      <w:r w:rsidRPr="005A7AC3">
        <w:rPr>
          <w:rtl/>
        </w:rPr>
        <w:t xml:space="preserve">. واعتُمدت الصيغة الحالية للمذكرة في الجلسة </w:t>
      </w:r>
      <w:r w:rsidRPr="00033923">
        <w:rPr>
          <w:rtl/>
        </w:rPr>
        <w:t>3830</w:t>
      </w:r>
      <w:r w:rsidRPr="005A7AC3">
        <w:rPr>
          <w:rtl/>
        </w:rPr>
        <w:t xml:space="preserve"> التي عقدتها اللجنة خلال دورتها </w:t>
      </w:r>
      <w:r w:rsidRPr="00033923">
        <w:rPr>
          <w:rtl/>
        </w:rPr>
        <w:t>133</w:t>
      </w:r>
      <w:r w:rsidRPr="005A7AC3">
        <w:rPr>
          <w:rtl/>
        </w:rPr>
        <w:t>.</w:t>
      </w:r>
    </w:p>
  </w:footnote>
  <w:footnote w:id="2">
    <w:p w14:paraId="1C8E5912" w14:textId="697B516A" w:rsidR="00121866" w:rsidRPr="005A7AC3" w:rsidRDefault="00121866" w:rsidP="005A7AC3">
      <w:pPr>
        <w:pStyle w:val="FootnoteText1"/>
      </w:pPr>
      <w:r w:rsidRPr="00033923">
        <w:rPr>
          <w:rtl/>
        </w:rPr>
        <w:t>(</w:t>
      </w:r>
      <w:r w:rsidRPr="00033923">
        <w:footnoteRef/>
      </w:r>
      <w:r w:rsidRPr="00033923">
        <w:rPr>
          <w:rtl/>
        </w:rPr>
        <w:t>)</w:t>
      </w:r>
      <w:r w:rsidRPr="005A7AC3">
        <w:rPr>
          <w:rtl/>
        </w:rPr>
        <w:tab/>
      </w:r>
      <w:hyperlink r:id="rId1" w:history="1">
        <w:proofErr w:type="spellStart"/>
        <w:r w:rsidRPr="00C745E9">
          <w:rPr>
            <w:rStyle w:val="Hyperlink"/>
            <w:color w:val="auto"/>
          </w:rPr>
          <w:t>HRI</w:t>
        </w:r>
        <w:proofErr w:type="spellEnd"/>
        <w:r w:rsidRPr="00C745E9">
          <w:rPr>
            <w:rStyle w:val="Hyperlink"/>
            <w:color w:val="auto"/>
          </w:rPr>
          <w:t>/</w:t>
        </w:r>
        <w:proofErr w:type="spellStart"/>
        <w:r w:rsidRPr="00C745E9">
          <w:rPr>
            <w:rStyle w:val="Hyperlink"/>
            <w:color w:val="auto"/>
          </w:rPr>
          <w:t>IC</w:t>
        </w:r>
        <w:r w:rsidRPr="00C745E9">
          <w:rPr>
            <w:rStyle w:val="Hyperlink"/>
            <w:color w:val="auto"/>
          </w:rPr>
          <w:t>M</w:t>
        </w:r>
        <w:proofErr w:type="spellEnd"/>
        <w:r w:rsidRPr="00C745E9">
          <w:rPr>
            <w:rStyle w:val="Hyperlink"/>
            <w:color w:val="auto"/>
          </w:rPr>
          <w:t>/2002/3</w:t>
        </w:r>
      </w:hyperlink>
      <w:r w:rsidRPr="005A7AC3">
        <w:rPr>
          <w:rtl/>
        </w:rPr>
        <w:t xml:space="preserve">، الفقرة </w:t>
      </w:r>
      <w:r w:rsidRPr="00033923">
        <w:rPr>
          <w:rtl/>
        </w:rPr>
        <w:t>69</w:t>
      </w:r>
      <w:r w:rsidRPr="005A7AC3">
        <w:rPr>
          <w:rtl/>
        </w:rPr>
        <w:t>.</w:t>
      </w:r>
    </w:p>
  </w:footnote>
  <w:footnote w:id="3">
    <w:p w14:paraId="03CE62C5" w14:textId="5B1F7026" w:rsidR="00121866" w:rsidRPr="005A7AC3" w:rsidRDefault="00121866" w:rsidP="005A7AC3">
      <w:pPr>
        <w:pStyle w:val="FootnoteText1"/>
      </w:pPr>
      <w:r w:rsidRPr="00033923">
        <w:rPr>
          <w:rtl/>
        </w:rPr>
        <w:t>(</w:t>
      </w:r>
      <w:r w:rsidRPr="00033923">
        <w:footnoteRef/>
      </w:r>
      <w:r w:rsidRPr="00033923">
        <w:rPr>
          <w:rtl/>
        </w:rPr>
        <w:t>)</w:t>
      </w:r>
      <w:r w:rsidRPr="005A7AC3">
        <w:rPr>
          <w:rtl/>
        </w:rPr>
        <w:tab/>
      </w:r>
      <w:hyperlink r:id="rId2" w:history="1">
        <w:r w:rsidRPr="00121866">
          <w:rPr>
            <w:rStyle w:val="Hyperlink"/>
          </w:rPr>
          <w:t>A/</w:t>
        </w:r>
        <w:r w:rsidRPr="00033923">
          <w:rPr>
            <w:rStyle w:val="Hyperlink"/>
          </w:rPr>
          <w:t>65</w:t>
        </w:r>
        <w:r w:rsidRPr="00121866">
          <w:rPr>
            <w:rStyle w:val="Hyperlink"/>
          </w:rPr>
          <w:t>/</w:t>
        </w:r>
        <w:r w:rsidRPr="00033923">
          <w:rPr>
            <w:rStyle w:val="Hyperlink"/>
          </w:rPr>
          <w:t>190</w:t>
        </w:r>
      </w:hyperlink>
      <w:r w:rsidRPr="005A7AC3">
        <w:rPr>
          <w:rtl/>
        </w:rPr>
        <w:t xml:space="preserve">، المرفق الأول، الفقرة </w:t>
      </w:r>
      <w:r w:rsidRPr="00033923">
        <w:rPr>
          <w:rtl/>
        </w:rPr>
        <w:t>40</w:t>
      </w:r>
      <w:r w:rsidRPr="005A7AC3">
        <w:rPr>
          <w:rtl/>
        </w:rPr>
        <w:t>.</w:t>
      </w:r>
    </w:p>
  </w:footnote>
  <w:footnote w:id="4">
    <w:p w14:paraId="1C49A3C5" w14:textId="09EDB883" w:rsidR="00121866" w:rsidRPr="005A7AC3" w:rsidRDefault="00121866" w:rsidP="005A7AC3">
      <w:pPr>
        <w:pStyle w:val="FootnoteText1"/>
      </w:pPr>
      <w:r w:rsidRPr="00033923">
        <w:rPr>
          <w:rtl/>
        </w:rPr>
        <w:t>(</w:t>
      </w:r>
      <w:r w:rsidRPr="00033923">
        <w:footnoteRef/>
      </w:r>
      <w:r w:rsidRPr="00033923">
        <w:rPr>
          <w:rtl/>
        </w:rPr>
        <w:t>)</w:t>
      </w:r>
      <w:r w:rsidRPr="005A7AC3">
        <w:rPr>
          <w:rtl/>
        </w:rPr>
        <w:tab/>
      </w:r>
      <w:hyperlink r:id="rId3" w:history="1">
        <w:r w:rsidRPr="00121866">
          <w:rPr>
            <w:rStyle w:val="Hyperlink"/>
          </w:rPr>
          <w:t>CCPR/C/</w:t>
        </w:r>
        <w:r w:rsidRPr="00033923">
          <w:rPr>
            <w:rStyle w:val="Hyperlink"/>
          </w:rPr>
          <w:t>3</w:t>
        </w:r>
        <w:r w:rsidRPr="00121866">
          <w:rPr>
            <w:rStyle w:val="Hyperlink"/>
          </w:rPr>
          <w:t>/Rev.</w:t>
        </w:r>
        <w:r w:rsidRPr="00033923">
          <w:rPr>
            <w:rStyle w:val="Hyperlink"/>
          </w:rPr>
          <w:t>12</w:t>
        </w:r>
      </w:hyperlink>
      <w:r w:rsidRPr="005A7AC3">
        <w:rPr>
          <w:rtl/>
        </w:rPr>
        <w:t>.</w:t>
      </w:r>
    </w:p>
  </w:footnote>
  <w:footnote w:id="5">
    <w:p w14:paraId="776846CA" w14:textId="7F67D7FD" w:rsidR="00121866" w:rsidRPr="005A7AC3" w:rsidRDefault="00121866" w:rsidP="005A7AC3">
      <w:pPr>
        <w:pStyle w:val="FootnoteText1"/>
      </w:pPr>
      <w:r w:rsidRPr="00033923">
        <w:rPr>
          <w:rtl/>
        </w:rPr>
        <w:t>(</w:t>
      </w:r>
      <w:r w:rsidRPr="00033923">
        <w:footnoteRef/>
      </w:r>
      <w:r w:rsidRPr="00033923">
        <w:rPr>
          <w:rtl/>
        </w:rPr>
        <w:t>)</w:t>
      </w:r>
      <w:r w:rsidRPr="005A7AC3">
        <w:rPr>
          <w:rtl/>
        </w:rPr>
        <w:tab/>
        <w:t>وفقا</w:t>
      </w:r>
      <w:r>
        <w:rPr>
          <w:rFonts w:hint="cs"/>
          <w:rtl/>
        </w:rPr>
        <w:t>ً</w:t>
      </w:r>
      <w:r w:rsidRPr="005A7AC3">
        <w:rPr>
          <w:rtl/>
        </w:rPr>
        <w:t xml:space="preserve"> لدورة الاستعراض التي يمكن التنبؤ بها، والتي تستند إلى دورة استعراض مدتها ثماني سنوات. ويطلب الحصول على المعلومات في غضون ثلاث سنوات وتقيم هذه المعلومات خلال السنة الرابعة بعد اعتماد الملاحظات الختامية.</w:t>
      </w:r>
    </w:p>
  </w:footnote>
  <w:footnote w:id="6">
    <w:p w14:paraId="5DBC5C98" w14:textId="568B96BD" w:rsidR="00121866" w:rsidRPr="005A7AC3" w:rsidRDefault="00121866" w:rsidP="005A7AC3">
      <w:pPr>
        <w:pStyle w:val="FootnoteText1"/>
      </w:pPr>
      <w:r w:rsidRPr="00033923">
        <w:rPr>
          <w:rtl/>
        </w:rPr>
        <w:t>(</w:t>
      </w:r>
      <w:r w:rsidRPr="00033923">
        <w:footnoteRef/>
      </w:r>
      <w:r w:rsidRPr="00033923">
        <w:rPr>
          <w:rtl/>
        </w:rPr>
        <w:t>)</w:t>
      </w:r>
      <w:r w:rsidRPr="005A7AC3">
        <w:rPr>
          <w:rtl/>
        </w:rPr>
        <w:tab/>
        <w:t xml:space="preserve">تُعرَض حالةُ متابعة الملاحظات الختامية التي اعتمدتها اللجنة منذ دورتها </w:t>
      </w:r>
      <w:r w:rsidRPr="00033923">
        <w:rPr>
          <w:rtl/>
        </w:rPr>
        <w:t>105</w:t>
      </w:r>
      <w:r w:rsidRPr="005A7AC3">
        <w:rPr>
          <w:rtl/>
        </w:rPr>
        <w:t xml:space="preserve"> المعقودة في تموز/يوليه </w:t>
      </w:r>
      <w:r w:rsidRPr="00033923">
        <w:rPr>
          <w:rtl/>
        </w:rPr>
        <w:t>2012</w:t>
      </w:r>
      <w:r w:rsidRPr="005A7AC3">
        <w:rPr>
          <w:rtl/>
        </w:rPr>
        <w:t xml:space="preserve"> في جدولٍ متاح على الصفحة الشبكية للّجنة.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894FA" w14:textId="796773FE" w:rsidR="00BC187E" w:rsidRPr="00BC187E" w:rsidRDefault="00BC187E" w:rsidP="00BC187E">
    <w:pPr>
      <w:pStyle w:val="Header"/>
      <w:jc w:val="left"/>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E37BB3">
      <w:t>CCPR/C/161</w:t>
    </w:r>
    <w:r>
      <w:rPr>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01AEF" w14:textId="0E68E973" w:rsidR="00BC187E" w:rsidRPr="00BC187E" w:rsidRDefault="00BC187E" w:rsidP="00BC187E">
    <w:pPr>
      <w:pStyle w:val="Header"/>
      <w:bidi w:val="0"/>
    </w:pPr>
    <w:r>
      <w:rPr>
        <w:rtl/>
      </w:rPr>
      <w:fldChar w:fldCharType="begin"/>
    </w:r>
    <w:r>
      <w:rPr>
        <w:rtl/>
      </w:rPr>
      <w:instrText xml:space="preserve"> </w:instrText>
    </w:r>
    <w:r>
      <w:instrText>TITLE</w:instrText>
    </w:r>
    <w:r>
      <w:rPr>
        <w:rtl/>
      </w:rPr>
      <w:instrText xml:space="preserve">  \* </w:instrText>
    </w:r>
    <w:r>
      <w:instrText>MERGEFORMAT</w:instrText>
    </w:r>
    <w:r>
      <w:rPr>
        <w:rtl/>
      </w:rPr>
      <w:instrText xml:space="preserve"> </w:instrText>
    </w:r>
    <w:r>
      <w:rPr>
        <w:rtl/>
      </w:rPr>
      <w:fldChar w:fldCharType="separate"/>
    </w:r>
    <w:r w:rsidR="00E37BB3">
      <w:t>CCPR/C/161</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51AF4"/>
    <w:multiLevelType w:val="hybridMultilevel"/>
    <w:tmpl w:val="462EC7C6"/>
    <w:lvl w:ilvl="0" w:tplc="7A2C7C9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15502"/>
    <w:multiLevelType w:val="hybridMultilevel"/>
    <w:tmpl w:val="B66A8766"/>
    <w:lvl w:ilvl="0" w:tplc="A1667854">
      <w:start w:val="1"/>
      <w:numFmt w:val="arabicAlpha"/>
      <w:lvlText w:val="(%1)"/>
      <w:lvlJc w:val="left"/>
      <w:pPr>
        <w:ind w:left="2612" w:hanging="682"/>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5" w15:restartNumberingAfterBreak="0">
    <w:nsid w:val="25F272F0"/>
    <w:multiLevelType w:val="hybridMultilevel"/>
    <w:tmpl w:val="88EEB26E"/>
    <w:lvl w:ilvl="0" w:tplc="D50A5DFE">
      <w:start w:val="1"/>
      <w:numFmt w:val="decimal"/>
      <w:pStyle w:val="Roman1GA"/>
      <w:lvlText w:val="'%1'"/>
      <w:lvlJc w:val="right"/>
      <w:pPr>
        <w:tabs>
          <w:tab w:val="num" w:pos="2310"/>
        </w:tabs>
        <w:ind w:left="2310" w:hanging="360"/>
      </w:p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E7D2AC6"/>
    <w:multiLevelType w:val="hybridMultilevel"/>
    <w:tmpl w:val="3D12582C"/>
    <w:lvl w:ilvl="0" w:tplc="CB588E8E">
      <w:start w:val="1"/>
      <w:numFmt w:val="bullet"/>
      <w:lvlText w:val="o"/>
      <w:lvlJc w:val="left"/>
      <w:pPr>
        <w:ind w:left="720" w:hanging="360"/>
      </w:pPr>
      <w:rPr>
        <w:rFonts w:ascii="Courier New" w:hAnsi="Courier New" w:cs="Courier New"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4774D"/>
    <w:multiLevelType w:val="hybridMultilevel"/>
    <w:tmpl w:val="06BA8590"/>
    <w:lvl w:ilvl="0" w:tplc="0809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2A75D52"/>
    <w:multiLevelType w:val="hybridMultilevel"/>
    <w:tmpl w:val="B622CBCC"/>
    <w:lvl w:ilvl="0" w:tplc="EF10EA04">
      <w:start w:val="1"/>
      <w:numFmt w:val="decimal"/>
      <w:pStyle w:val="ParaNoGA"/>
      <w:lvlText w:val="%1-"/>
      <w:lvlJc w:val="left"/>
      <w:pPr>
        <w:tabs>
          <w:tab w:val="num" w:pos="1361"/>
        </w:tabs>
        <w:ind w:left="1247" w:firstLine="0"/>
      </w:pPr>
      <w:rPr>
        <w:rFonts w:cs="Simplified Arabic"/>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ADF34DA"/>
    <w:multiLevelType w:val="hybridMultilevel"/>
    <w:tmpl w:val="21FC2716"/>
    <w:lvl w:ilvl="0" w:tplc="6E5892B2">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4B2370"/>
    <w:multiLevelType w:val="hybridMultilevel"/>
    <w:tmpl w:val="7720856A"/>
    <w:lvl w:ilvl="0" w:tplc="D090D7F2">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4" w15:restartNumberingAfterBreak="0">
    <w:nsid w:val="68AD07B2"/>
    <w:multiLevelType w:val="hybridMultilevel"/>
    <w:tmpl w:val="6EDEC56E"/>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E32A09"/>
    <w:multiLevelType w:val="hybridMultilevel"/>
    <w:tmpl w:val="B8DC87A6"/>
    <w:lvl w:ilvl="0" w:tplc="72A485D8">
      <w:start w:val="1"/>
      <w:numFmt w:val="decimal"/>
      <w:pStyle w:val="Roman2GA"/>
      <w:lvlText w:val="'%1'"/>
      <w:lvlJc w:val="right"/>
      <w:pPr>
        <w:tabs>
          <w:tab w:val="num" w:pos="2877"/>
        </w:tabs>
        <w:ind w:left="2877" w:hanging="360"/>
      </w:p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5"/>
  </w:num>
  <w:num w:numId="2">
    <w:abstractNumId w:val="12"/>
  </w:num>
  <w:num w:numId="3">
    <w:abstractNumId w:val="2"/>
  </w:num>
  <w:num w:numId="4">
    <w:abstractNumId w:val="11"/>
  </w:num>
  <w:num w:numId="5">
    <w:abstractNumId w:val="8"/>
  </w:num>
  <w:num w:numId="6">
    <w:abstractNumId w:val="5"/>
  </w:num>
  <w:num w:numId="7">
    <w:abstractNumId w:val="17"/>
  </w:num>
  <w:num w:numId="8">
    <w:abstractNumId w:val="2"/>
  </w:num>
  <w:num w:numId="9">
    <w:abstractNumId w:val="11"/>
  </w:num>
  <w:num w:numId="10">
    <w:abstractNumId w:val="5"/>
  </w:num>
  <w:num w:numId="11">
    <w:abstractNumId w:val="17"/>
  </w:num>
  <w:num w:numId="12">
    <w:abstractNumId w:val="2"/>
  </w:num>
  <w:num w:numId="13">
    <w:abstractNumId w:val="11"/>
  </w:num>
  <w:num w:numId="14">
    <w:abstractNumId w:val="8"/>
  </w:num>
  <w:num w:numId="15">
    <w:abstractNumId w:val="5"/>
  </w:num>
  <w:num w:numId="16">
    <w:abstractNumId w:val="17"/>
  </w:num>
  <w:num w:numId="17">
    <w:abstractNumId w:val="4"/>
  </w:num>
  <w:num w:numId="18">
    <w:abstractNumId w:val="3"/>
  </w:num>
  <w:num w:numId="19">
    <w:abstractNumId w:val="16"/>
  </w:num>
  <w:num w:numId="20">
    <w:abstractNumId w:val="13"/>
  </w:num>
  <w:num w:numId="21">
    <w:abstractNumId w:val="1"/>
  </w:num>
  <w:num w:numId="22">
    <w:abstractNumId w:val="14"/>
  </w:num>
  <w:num w:numId="23">
    <w:abstractNumId w:val="0"/>
  </w:num>
  <w:num w:numId="24">
    <w:abstractNumId w:val="9"/>
  </w:num>
  <w:num w:numId="25">
    <w:abstractNumId w:val="14"/>
    <w:lvlOverride w:ilvl="0">
      <w:lvl w:ilvl="0" w:tplc="A61AB22A">
        <w:start w:val="1"/>
        <w:numFmt w:val="bullet"/>
        <w:lvlText w:val="•"/>
        <w:lvlJc w:val="left"/>
        <w:pPr>
          <w:tabs>
            <w:tab w:val="num" w:pos="1701"/>
          </w:tabs>
          <w:ind w:left="1701" w:hanging="170"/>
        </w:pPr>
        <w:rPr>
          <w:rFonts w:ascii="Times New Roman" w:hAnsi="Times New Roman" w:cs="Times New Roman" w:hint="default"/>
          <w:sz w:val="16"/>
          <w:szCs w:val="16"/>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0"/>
    <w:lvlOverride w:ilvl="0">
      <w:startOverride w:val="153"/>
      <w:lvl w:ilvl="0" w:tplc="2FB47626">
        <w:start w:val="153"/>
        <w:numFmt w:val="decimal"/>
        <w:pStyle w:val="ParaNoG"/>
        <w:lvlText w:val="%1-"/>
        <w:lvlJc w:val="left"/>
        <w:pPr>
          <w:tabs>
            <w:tab w:val="num" w:pos="0"/>
          </w:tabs>
          <w:ind w:left="1134" w:firstLine="0"/>
        </w:pPr>
        <w:rPr>
          <w:rFonts w:ascii="Times New Roman" w:hAnsi="Times New Roman" w:hint="default"/>
          <w:b w:val="0"/>
          <w:i w:val="0"/>
          <w:sz w:val="20"/>
        </w:rPr>
      </w:lvl>
    </w:lvlOverride>
  </w:num>
  <w:num w:numId="29">
    <w:abstractNumId w:val="0"/>
    <w:lvlOverride w:ilvl="0">
      <w:startOverride w:val="151"/>
      <w:lvl w:ilvl="0" w:tplc="2FB47626">
        <w:start w:val="151"/>
        <w:numFmt w:val="decimal"/>
        <w:pStyle w:val="ParaNoG"/>
        <w:lvlText w:val="%1-"/>
        <w:lvlJc w:val="left"/>
        <w:pPr>
          <w:tabs>
            <w:tab w:val="num" w:pos="0"/>
          </w:tabs>
          <w:ind w:left="1134" w:firstLine="0"/>
        </w:pPr>
        <w:rPr>
          <w:rFonts w:ascii="Times New Roman" w:hAnsi="Times New Roman" w:hint="default"/>
          <w:b w:val="0"/>
          <w:i w:val="0"/>
          <w:sz w:val="20"/>
        </w:rPr>
      </w:lvl>
    </w:lvlOverride>
  </w:num>
  <w:num w:numId="30">
    <w:abstractNumId w:val="7"/>
  </w:num>
  <w:num w:numId="31">
    <w:abstractNumId w:val="6"/>
    <w:lvlOverride w:ilvl="0">
      <w:lvl w:ilvl="0" w:tplc="CB588E8E">
        <w:start w:val="1"/>
        <w:numFmt w:val="bullet"/>
        <w:lvlText w:val="o"/>
        <w:lvlJc w:val="left"/>
        <w:pPr>
          <w:ind w:left="720" w:hanging="360"/>
        </w:pPr>
        <w:rPr>
          <w:rFonts w:ascii="Courier New" w:hAnsi="Courier New" w:cs="Courier New" w:hint="default"/>
          <w:spacing w:val="-20"/>
        </w:rPr>
      </w:lvl>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567"/>
  <w:evenAndOddHeaders/>
  <w:characterSpacingControl w:val="doNotCompress"/>
  <w:savePreviewPicture/>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124"/>
    <w:rsid w:val="000076D5"/>
    <w:rsid w:val="00033923"/>
    <w:rsid w:val="00043663"/>
    <w:rsid w:val="000437B8"/>
    <w:rsid w:val="000505CF"/>
    <w:rsid w:val="000D701C"/>
    <w:rsid w:val="000E2A71"/>
    <w:rsid w:val="00121866"/>
    <w:rsid w:val="00145577"/>
    <w:rsid w:val="00152CD4"/>
    <w:rsid w:val="00160263"/>
    <w:rsid w:val="00181F96"/>
    <w:rsid w:val="001872B1"/>
    <w:rsid w:val="001A1371"/>
    <w:rsid w:val="001B043F"/>
    <w:rsid w:val="001B346A"/>
    <w:rsid w:val="001D0316"/>
    <w:rsid w:val="001E1CAD"/>
    <w:rsid w:val="001E290D"/>
    <w:rsid w:val="002144FA"/>
    <w:rsid w:val="0023469A"/>
    <w:rsid w:val="00243C8A"/>
    <w:rsid w:val="00267A0E"/>
    <w:rsid w:val="002901D9"/>
    <w:rsid w:val="002976C2"/>
    <w:rsid w:val="002F303F"/>
    <w:rsid w:val="003068BC"/>
    <w:rsid w:val="003260FF"/>
    <w:rsid w:val="00343D95"/>
    <w:rsid w:val="00363A18"/>
    <w:rsid w:val="00374341"/>
    <w:rsid w:val="003D1062"/>
    <w:rsid w:val="00402051"/>
    <w:rsid w:val="00420D7B"/>
    <w:rsid w:val="00450B21"/>
    <w:rsid w:val="00453B63"/>
    <w:rsid w:val="00455780"/>
    <w:rsid w:val="0046323F"/>
    <w:rsid w:val="00484FA1"/>
    <w:rsid w:val="004B0A1C"/>
    <w:rsid w:val="004B27E0"/>
    <w:rsid w:val="004D298E"/>
    <w:rsid w:val="005044B3"/>
    <w:rsid w:val="00517BC9"/>
    <w:rsid w:val="0054472E"/>
    <w:rsid w:val="005662A9"/>
    <w:rsid w:val="005827D4"/>
    <w:rsid w:val="0058508B"/>
    <w:rsid w:val="00585124"/>
    <w:rsid w:val="0059622A"/>
    <w:rsid w:val="005A7AC3"/>
    <w:rsid w:val="005B51C4"/>
    <w:rsid w:val="005C0061"/>
    <w:rsid w:val="005C5878"/>
    <w:rsid w:val="005C7CEA"/>
    <w:rsid w:val="005D3C0B"/>
    <w:rsid w:val="005E5217"/>
    <w:rsid w:val="005F0FA4"/>
    <w:rsid w:val="005F30EE"/>
    <w:rsid w:val="005F5271"/>
    <w:rsid w:val="0060473A"/>
    <w:rsid w:val="00617024"/>
    <w:rsid w:val="00621120"/>
    <w:rsid w:val="00652221"/>
    <w:rsid w:val="00656392"/>
    <w:rsid w:val="006645EC"/>
    <w:rsid w:val="0068781D"/>
    <w:rsid w:val="006959B0"/>
    <w:rsid w:val="006B3E27"/>
    <w:rsid w:val="006B6507"/>
    <w:rsid w:val="006C104C"/>
    <w:rsid w:val="006C632E"/>
    <w:rsid w:val="00717FB3"/>
    <w:rsid w:val="00730446"/>
    <w:rsid w:val="00733704"/>
    <w:rsid w:val="0078071A"/>
    <w:rsid w:val="00787022"/>
    <w:rsid w:val="00787E1E"/>
    <w:rsid w:val="007B3820"/>
    <w:rsid w:val="00852A9A"/>
    <w:rsid w:val="008A49D2"/>
    <w:rsid w:val="008F49E1"/>
    <w:rsid w:val="0090370F"/>
    <w:rsid w:val="009269D2"/>
    <w:rsid w:val="00942135"/>
    <w:rsid w:val="009521B0"/>
    <w:rsid w:val="00957437"/>
    <w:rsid w:val="00982139"/>
    <w:rsid w:val="009867A8"/>
    <w:rsid w:val="00991F44"/>
    <w:rsid w:val="00996849"/>
    <w:rsid w:val="009A0CFB"/>
    <w:rsid w:val="009A7E9F"/>
    <w:rsid w:val="009C17EC"/>
    <w:rsid w:val="009C1D84"/>
    <w:rsid w:val="009E5018"/>
    <w:rsid w:val="00A03700"/>
    <w:rsid w:val="00A053F2"/>
    <w:rsid w:val="00A12B37"/>
    <w:rsid w:val="00A2510F"/>
    <w:rsid w:val="00A54828"/>
    <w:rsid w:val="00A97E1F"/>
    <w:rsid w:val="00AB512E"/>
    <w:rsid w:val="00AB6758"/>
    <w:rsid w:val="00AB727F"/>
    <w:rsid w:val="00AB7F97"/>
    <w:rsid w:val="00B13763"/>
    <w:rsid w:val="00B477A4"/>
    <w:rsid w:val="00B54045"/>
    <w:rsid w:val="00B63ADD"/>
    <w:rsid w:val="00BB09A0"/>
    <w:rsid w:val="00BC187E"/>
    <w:rsid w:val="00C175A6"/>
    <w:rsid w:val="00C41DCF"/>
    <w:rsid w:val="00C42AF7"/>
    <w:rsid w:val="00C438D7"/>
    <w:rsid w:val="00C62C20"/>
    <w:rsid w:val="00C745E9"/>
    <w:rsid w:val="00C81B50"/>
    <w:rsid w:val="00C902EF"/>
    <w:rsid w:val="00CB0011"/>
    <w:rsid w:val="00CB6622"/>
    <w:rsid w:val="00CD1801"/>
    <w:rsid w:val="00CF56F9"/>
    <w:rsid w:val="00CF65C6"/>
    <w:rsid w:val="00D00A89"/>
    <w:rsid w:val="00D10EF1"/>
    <w:rsid w:val="00D42810"/>
    <w:rsid w:val="00D60DD5"/>
    <w:rsid w:val="00D914A7"/>
    <w:rsid w:val="00DC4D4B"/>
    <w:rsid w:val="00DD13C3"/>
    <w:rsid w:val="00DD596E"/>
    <w:rsid w:val="00DD621E"/>
    <w:rsid w:val="00DE50B1"/>
    <w:rsid w:val="00DF0138"/>
    <w:rsid w:val="00DF0575"/>
    <w:rsid w:val="00E2228E"/>
    <w:rsid w:val="00E37BB3"/>
    <w:rsid w:val="00E70E04"/>
    <w:rsid w:val="00E77E6C"/>
    <w:rsid w:val="00E83ED5"/>
    <w:rsid w:val="00EC05A7"/>
    <w:rsid w:val="00EC4B6B"/>
    <w:rsid w:val="00EC68A5"/>
    <w:rsid w:val="00ED7442"/>
    <w:rsid w:val="00EF1EE5"/>
    <w:rsid w:val="00EF5C43"/>
    <w:rsid w:val="00F10DAB"/>
    <w:rsid w:val="00F46D42"/>
    <w:rsid w:val="00F763B4"/>
    <w:rsid w:val="00F900C3"/>
    <w:rsid w:val="00FC6EDD"/>
    <w:rsid w:val="00FD46E2"/>
    <w:rsid w:val="00FE502A"/>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982CA90"/>
  <w15:docId w15:val="{87E67FA7-06EB-4318-9370-30E98B363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120"/>
    <w:pPr>
      <w:bidi/>
      <w:spacing w:line="240" w:lineRule="atLeast"/>
      <w:jc w:val="lowKashida"/>
    </w:pPr>
    <w:rPr>
      <w:rFonts w:ascii="Times New Roman" w:eastAsia="PMingLiU" w:hAnsi="Times New Roman" w:cs="Simplified Arabic"/>
      <w:szCs w:val="22"/>
      <w:lang w:eastAsia="en-US"/>
    </w:rPr>
  </w:style>
  <w:style w:type="paragraph" w:styleId="Heading1">
    <w:name w:val="heading 1"/>
    <w:aliases w:val="Table_GA,Table_G"/>
    <w:basedOn w:val="SingleTxtGA"/>
    <w:next w:val="Normal"/>
    <w:link w:val="Heading1Char"/>
    <w:qFormat/>
    <w:rsid w:val="00621120"/>
    <w:pPr>
      <w:bidi w:val="0"/>
      <w:outlineLvl w:val="0"/>
    </w:pPr>
  </w:style>
  <w:style w:type="paragraph" w:styleId="Heading2">
    <w:name w:val="heading 2"/>
    <w:basedOn w:val="Normal"/>
    <w:next w:val="Normal"/>
    <w:link w:val="Heading2Char"/>
    <w:uiPriority w:val="9"/>
    <w:unhideWhenUsed/>
    <w:rsid w:val="00621120"/>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rsid w:val="00621120"/>
    <w:pPr>
      <w:keepNext/>
      <w:keepLines/>
      <w:spacing w:before="200"/>
      <w:outlineLvl w:val="2"/>
    </w:pPr>
    <w:rPr>
      <w:b/>
      <w:bCs/>
      <w:color w:val="4F81BD"/>
    </w:rPr>
  </w:style>
  <w:style w:type="paragraph" w:styleId="Heading4">
    <w:name w:val="heading 4"/>
    <w:basedOn w:val="Normal"/>
    <w:next w:val="Normal"/>
    <w:link w:val="Heading4Char"/>
    <w:uiPriority w:val="9"/>
    <w:unhideWhenUsed/>
    <w:rsid w:val="00621120"/>
    <w:pPr>
      <w:keepNext/>
      <w:keepLines/>
      <w:spacing w:before="200"/>
      <w:outlineLvl w:val="3"/>
    </w:pPr>
    <w:rPr>
      <w:b/>
      <w:bCs/>
      <w:i/>
      <w:iCs/>
      <w:color w:val="4F81BD"/>
    </w:rPr>
  </w:style>
  <w:style w:type="paragraph" w:styleId="Heading5">
    <w:name w:val="heading 5"/>
    <w:basedOn w:val="Normal"/>
    <w:next w:val="Normal"/>
    <w:link w:val="Heading5Char"/>
    <w:uiPriority w:val="9"/>
    <w:unhideWhenUsed/>
    <w:rsid w:val="00621120"/>
    <w:pPr>
      <w:keepNext/>
      <w:keepLines/>
      <w:spacing w:before="200"/>
      <w:outlineLvl w:val="4"/>
    </w:pPr>
    <w:rPr>
      <w:color w:val="243F60"/>
    </w:rPr>
  </w:style>
  <w:style w:type="paragraph" w:styleId="Heading6">
    <w:name w:val="heading 6"/>
    <w:basedOn w:val="Normal"/>
    <w:next w:val="Normal"/>
    <w:link w:val="Heading6Char"/>
    <w:uiPriority w:val="9"/>
    <w:unhideWhenUsed/>
    <w:rsid w:val="00621120"/>
    <w:pPr>
      <w:keepNext/>
      <w:keepLines/>
      <w:spacing w:before="200"/>
      <w:outlineLvl w:val="5"/>
    </w:pPr>
    <w:rPr>
      <w:i/>
      <w:iCs/>
      <w:color w:val="243F60"/>
    </w:rPr>
  </w:style>
  <w:style w:type="paragraph" w:styleId="Heading7">
    <w:name w:val="heading 7"/>
    <w:basedOn w:val="Normal"/>
    <w:next w:val="Normal"/>
    <w:link w:val="Heading7Char"/>
    <w:uiPriority w:val="9"/>
    <w:unhideWhenUsed/>
    <w:rsid w:val="00621120"/>
    <w:pPr>
      <w:keepNext/>
      <w:keepLines/>
      <w:spacing w:before="200"/>
      <w:outlineLvl w:val="6"/>
    </w:pPr>
    <w:rPr>
      <w:i/>
      <w:iCs/>
      <w:color w:val="404040"/>
    </w:rPr>
  </w:style>
  <w:style w:type="paragraph" w:styleId="Heading8">
    <w:name w:val="heading 8"/>
    <w:basedOn w:val="Normal"/>
    <w:next w:val="Normal"/>
    <w:link w:val="Heading8Char"/>
    <w:uiPriority w:val="9"/>
    <w:unhideWhenUsed/>
    <w:rsid w:val="00621120"/>
    <w:pPr>
      <w:keepNext/>
      <w:keepLines/>
      <w:spacing w:before="200"/>
      <w:outlineLvl w:val="7"/>
    </w:pPr>
    <w:rPr>
      <w:color w:val="404040"/>
      <w:szCs w:val="20"/>
    </w:rPr>
  </w:style>
  <w:style w:type="paragraph" w:styleId="Heading9">
    <w:name w:val="heading 9"/>
    <w:basedOn w:val="Normal"/>
    <w:next w:val="Normal"/>
    <w:link w:val="Heading9Char"/>
    <w:uiPriority w:val="9"/>
    <w:unhideWhenUsed/>
    <w:rsid w:val="00621120"/>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unhideWhenUsed/>
    <w:qFormat/>
    <w:rsid w:val="00621120"/>
    <w:pPr>
      <w:tabs>
        <w:tab w:val="right" w:pos="1021"/>
      </w:tabs>
      <w:suppressAutoHyphens/>
      <w:bidi w:val="0"/>
      <w:spacing w:line="220" w:lineRule="exact"/>
      <w:ind w:left="1134" w:right="1134" w:hanging="1134"/>
      <w:jc w:val="both"/>
    </w:pPr>
    <w:rPr>
      <w:sz w:val="18"/>
      <w:szCs w:val="20"/>
    </w:r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link w:val="FootnoteText"/>
    <w:rsid w:val="00621120"/>
    <w:rPr>
      <w:rFonts w:ascii="Times New Roman" w:eastAsia="PMingLiU" w:hAnsi="Times New Roman" w:cs="Simplified Arabic"/>
      <w:sz w:val="18"/>
      <w:lang w:eastAsia="en-US"/>
    </w:rPr>
  </w:style>
  <w:style w:type="character" w:styleId="FootnoteReference">
    <w:name w:val="footnote reference"/>
    <w:aliases w:val="4_GA,4_G,ftref,footnote ref,16 Point,Superscript 6 Point,Fußnotenzeichen DISS,fr,BVI fnr,(NECG) Footnote Reference,Char Char Char Char Car Char,ب"/>
    <w:link w:val="Char2"/>
    <w:qFormat/>
    <w:rsid w:val="00621120"/>
    <w:rPr>
      <w:szCs w:val="18"/>
      <w:vertAlign w:val="superscript"/>
    </w:rPr>
  </w:style>
  <w:style w:type="paragraph" w:customStyle="1" w:styleId="HMGA">
    <w:name w:val="_ H __M_GA"/>
    <w:basedOn w:val="Normal"/>
    <w:next w:val="SingleTxtGA"/>
    <w:qFormat/>
    <w:rsid w:val="00621120"/>
    <w:pPr>
      <w:keepNext/>
      <w:keepLines/>
      <w:tabs>
        <w:tab w:val="right" w:pos="1021"/>
      </w:tabs>
      <w:suppressAutoHyphens/>
      <w:spacing w:before="360" w:after="240" w:line="480" w:lineRule="exact"/>
      <w:ind w:left="1247" w:right="1247" w:hanging="1247"/>
      <w:outlineLvl w:val="0"/>
    </w:pPr>
    <w:rPr>
      <w:b/>
      <w:bCs/>
      <w:sz w:val="36"/>
      <w:szCs w:val="36"/>
      <w:lang w:val="en-GB"/>
    </w:rPr>
  </w:style>
  <w:style w:type="paragraph" w:customStyle="1" w:styleId="HChGA">
    <w:name w:val="_ H _Ch_GA"/>
    <w:basedOn w:val="Normal"/>
    <w:next w:val="SingleTxtGA"/>
    <w:qFormat/>
    <w:rsid w:val="00621120"/>
    <w:pPr>
      <w:keepNext/>
      <w:keepLines/>
      <w:tabs>
        <w:tab w:val="right" w:pos="1021"/>
      </w:tabs>
      <w:suppressAutoHyphens/>
      <w:spacing w:before="360" w:after="240" w:line="440" w:lineRule="exact"/>
      <w:ind w:left="1247" w:right="1247" w:hanging="1247"/>
      <w:outlineLvl w:val="1"/>
    </w:pPr>
    <w:rPr>
      <w:b/>
      <w:bCs/>
      <w:sz w:val="30"/>
      <w:szCs w:val="30"/>
      <w:lang w:val="en-GB"/>
    </w:rPr>
  </w:style>
  <w:style w:type="paragraph" w:customStyle="1" w:styleId="H1GA">
    <w:name w:val="_ H_1_GA"/>
    <w:basedOn w:val="Normal"/>
    <w:next w:val="SingleTxtGA"/>
    <w:qFormat/>
    <w:rsid w:val="00621120"/>
    <w:pPr>
      <w:keepNext/>
      <w:keepLines/>
      <w:tabs>
        <w:tab w:val="right" w:pos="1021"/>
      </w:tabs>
      <w:suppressAutoHyphens/>
      <w:spacing w:before="240" w:after="240" w:line="400" w:lineRule="exact"/>
      <w:ind w:left="1247" w:right="1247" w:hanging="1247"/>
      <w:outlineLvl w:val="2"/>
    </w:pPr>
    <w:rPr>
      <w:b/>
      <w:bCs/>
      <w:sz w:val="26"/>
      <w:szCs w:val="26"/>
      <w:lang w:val="en-GB"/>
    </w:rPr>
  </w:style>
  <w:style w:type="paragraph" w:customStyle="1" w:styleId="H23GA">
    <w:name w:val="_ H_2/3_GA"/>
    <w:basedOn w:val="Normal"/>
    <w:next w:val="SingleTxtGA"/>
    <w:qFormat/>
    <w:rsid w:val="00621120"/>
    <w:pPr>
      <w:keepNext/>
      <w:keepLines/>
      <w:tabs>
        <w:tab w:val="right" w:pos="1021"/>
      </w:tabs>
      <w:suppressAutoHyphens/>
      <w:spacing w:before="240" w:after="120" w:line="380" w:lineRule="exact"/>
      <w:ind w:left="1247" w:right="1247" w:hanging="1247"/>
      <w:outlineLvl w:val="3"/>
    </w:pPr>
    <w:rPr>
      <w:b/>
      <w:bCs/>
      <w:sz w:val="22"/>
      <w:lang w:val="en-GB" w:eastAsia="ar-SA"/>
    </w:rPr>
  </w:style>
  <w:style w:type="paragraph" w:customStyle="1" w:styleId="H4GA">
    <w:name w:val="_ H_4_GA"/>
    <w:basedOn w:val="Normal"/>
    <w:next w:val="SingleTxtGA"/>
    <w:qFormat/>
    <w:rsid w:val="00621120"/>
    <w:pPr>
      <w:keepNext/>
      <w:keepLines/>
      <w:tabs>
        <w:tab w:val="right" w:pos="1021"/>
      </w:tabs>
      <w:suppressAutoHyphens/>
      <w:spacing w:before="240" w:after="120" w:line="380" w:lineRule="exact"/>
      <w:ind w:left="1247" w:right="1247" w:hanging="1247"/>
      <w:outlineLvl w:val="4"/>
    </w:pPr>
    <w:rPr>
      <w:i/>
      <w:iCs/>
      <w:sz w:val="22"/>
      <w:lang w:val="en-GB"/>
    </w:rPr>
  </w:style>
  <w:style w:type="paragraph" w:customStyle="1" w:styleId="H56GA">
    <w:name w:val="_ H_5/6_GA"/>
    <w:basedOn w:val="Normal"/>
    <w:next w:val="SingleTxtGA"/>
    <w:qFormat/>
    <w:rsid w:val="00621120"/>
    <w:pPr>
      <w:keepNext/>
      <w:keepLines/>
      <w:tabs>
        <w:tab w:val="right" w:pos="1021"/>
      </w:tabs>
      <w:suppressAutoHyphens/>
      <w:spacing w:before="240" w:after="120" w:line="380" w:lineRule="exact"/>
      <w:ind w:left="1247" w:right="1247" w:hanging="1247"/>
      <w:outlineLvl w:val="5"/>
    </w:pPr>
    <w:rPr>
      <w:sz w:val="22"/>
      <w:lang w:val="en-GB"/>
    </w:rPr>
  </w:style>
  <w:style w:type="paragraph" w:customStyle="1" w:styleId="SingleTxtGA">
    <w:name w:val="_ Single Txt_GA"/>
    <w:basedOn w:val="Normal"/>
    <w:link w:val="SingleTxtGAChar"/>
    <w:qFormat/>
    <w:rsid w:val="00621120"/>
    <w:pPr>
      <w:tabs>
        <w:tab w:val="left" w:pos="1928"/>
        <w:tab w:val="left" w:pos="2608"/>
        <w:tab w:val="left" w:pos="3289"/>
        <w:tab w:val="left" w:pos="3969"/>
        <w:tab w:val="left" w:pos="4649"/>
        <w:tab w:val="left" w:pos="5330"/>
      </w:tabs>
      <w:suppressAutoHyphens/>
      <w:spacing w:after="120" w:line="360" w:lineRule="exact"/>
      <w:ind w:left="1247" w:right="1247"/>
    </w:pPr>
    <w:rPr>
      <w:sz w:val="22"/>
      <w:lang w:val="en-GB"/>
    </w:rPr>
  </w:style>
  <w:style w:type="paragraph" w:customStyle="1" w:styleId="SLGA">
    <w:name w:val="__S_L_GA"/>
    <w:basedOn w:val="Normal"/>
    <w:next w:val="SingleTxtGA"/>
    <w:qFormat/>
    <w:rsid w:val="00621120"/>
    <w:pPr>
      <w:keepNext/>
      <w:keepLines/>
      <w:suppressAutoHyphens/>
      <w:spacing w:before="240" w:after="240" w:line="800" w:lineRule="exact"/>
      <w:ind w:left="1247" w:right="1247"/>
    </w:pPr>
    <w:rPr>
      <w:b/>
      <w:bCs/>
      <w:sz w:val="56"/>
      <w:szCs w:val="56"/>
      <w:lang w:val="en-GB"/>
    </w:rPr>
  </w:style>
  <w:style w:type="paragraph" w:customStyle="1" w:styleId="SMGA">
    <w:name w:val="__S_M_GA"/>
    <w:basedOn w:val="Normal"/>
    <w:next w:val="SingleTxtGA"/>
    <w:qFormat/>
    <w:rsid w:val="00621120"/>
    <w:pPr>
      <w:keepNext/>
      <w:keepLines/>
      <w:suppressAutoHyphens/>
      <w:spacing w:before="240" w:after="240" w:line="560" w:lineRule="exact"/>
      <w:ind w:left="1247" w:right="1247"/>
    </w:pPr>
    <w:rPr>
      <w:b/>
      <w:bCs/>
      <w:sz w:val="40"/>
      <w:szCs w:val="40"/>
      <w:lang w:val="en-GB"/>
    </w:rPr>
  </w:style>
  <w:style w:type="paragraph" w:customStyle="1" w:styleId="SSGA">
    <w:name w:val="__S_S_GA"/>
    <w:basedOn w:val="Normal"/>
    <w:next w:val="SingleTxtGA"/>
    <w:qFormat/>
    <w:rsid w:val="00621120"/>
    <w:pPr>
      <w:keepNext/>
      <w:keepLines/>
      <w:suppressAutoHyphens/>
      <w:spacing w:before="240" w:after="240" w:line="440" w:lineRule="exact"/>
      <w:ind w:left="1134" w:right="1134"/>
    </w:pPr>
    <w:rPr>
      <w:b/>
      <w:bCs/>
      <w:sz w:val="34"/>
      <w:szCs w:val="34"/>
      <w:lang w:val="en-GB"/>
    </w:rPr>
  </w:style>
  <w:style w:type="paragraph" w:customStyle="1" w:styleId="XLargeGA">
    <w:name w:val="__XLarge_GA"/>
    <w:basedOn w:val="Normal"/>
    <w:next w:val="SingleTxtGA"/>
    <w:qFormat/>
    <w:rsid w:val="00621120"/>
    <w:pPr>
      <w:keepNext/>
      <w:keepLines/>
      <w:tabs>
        <w:tab w:val="right" w:leader="dot" w:pos="360"/>
      </w:tabs>
      <w:suppressAutoHyphens/>
      <w:spacing w:before="240" w:after="240" w:line="580" w:lineRule="exact"/>
      <w:ind w:left="1247" w:right="1247"/>
    </w:pPr>
    <w:rPr>
      <w:b/>
      <w:bCs/>
      <w:sz w:val="40"/>
      <w:szCs w:val="40"/>
      <w:lang w:val="en-GB"/>
    </w:rPr>
  </w:style>
  <w:style w:type="paragraph" w:customStyle="1" w:styleId="Bullet1GA">
    <w:name w:val="_Bullet 1_GA"/>
    <w:basedOn w:val="NormalA"/>
    <w:qFormat/>
    <w:rsid w:val="00621120"/>
    <w:pPr>
      <w:numPr>
        <w:numId w:val="3"/>
      </w:numPr>
      <w:suppressAutoHyphens/>
      <w:spacing w:after="120" w:line="360" w:lineRule="exact"/>
      <w:ind w:right="1247"/>
    </w:pPr>
    <w:rPr>
      <w:sz w:val="22"/>
      <w:lang w:eastAsia="zh-TW"/>
    </w:rPr>
  </w:style>
  <w:style w:type="paragraph" w:customStyle="1" w:styleId="Bullet2GA">
    <w:name w:val="_Bullet 2_GA"/>
    <w:basedOn w:val="Normal"/>
    <w:qFormat/>
    <w:rsid w:val="00621120"/>
    <w:pPr>
      <w:numPr>
        <w:numId w:val="4"/>
      </w:numPr>
      <w:tabs>
        <w:tab w:val="clear" w:pos="3215"/>
        <w:tab w:val="left" w:pos="3062"/>
      </w:tabs>
      <w:suppressAutoHyphens/>
      <w:spacing w:after="120" w:line="360" w:lineRule="exact"/>
      <w:ind w:left="3062" w:right="1247" w:hanging="590"/>
    </w:pPr>
    <w:rPr>
      <w:sz w:val="22"/>
      <w:lang w:eastAsia="zh-TW"/>
    </w:rPr>
  </w:style>
  <w:style w:type="paragraph" w:customStyle="1" w:styleId="ParaNoGA">
    <w:name w:val="_ParaNo._GA"/>
    <w:basedOn w:val="SingleTxtGA"/>
    <w:qFormat/>
    <w:rsid w:val="00621120"/>
    <w:pPr>
      <w:numPr>
        <w:numId w:val="5"/>
      </w:numPr>
      <w:bidi w:val="0"/>
    </w:pPr>
    <w:rPr>
      <w:lang w:val="en-US"/>
    </w:rPr>
  </w:style>
  <w:style w:type="paragraph" w:customStyle="1" w:styleId="Roman1GA">
    <w:name w:val="_Roman 1_GA"/>
    <w:basedOn w:val="Bullet1GA"/>
    <w:qFormat/>
    <w:rsid w:val="005A7AC3"/>
    <w:pPr>
      <w:numPr>
        <w:numId w:val="6"/>
      </w:numPr>
      <w:tabs>
        <w:tab w:val="clear" w:pos="2310"/>
        <w:tab w:val="left" w:pos="2612"/>
      </w:tabs>
      <w:ind w:left="2612" w:hanging="378"/>
    </w:pPr>
  </w:style>
  <w:style w:type="paragraph" w:customStyle="1" w:styleId="Roman2GA">
    <w:name w:val="_Roman 2_GA"/>
    <w:basedOn w:val="Bullet2GA"/>
    <w:qFormat/>
    <w:rsid w:val="00621120"/>
    <w:pPr>
      <w:numPr>
        <w:numId w:val="7"/>
      </w:numPr>
      <w:tabs>
        <w:tab w:val="clear" w:pos="2877"/>
        <w:tab w:val="clear" w:pos="3062"/>
        <w:tab w:val="left" w:pos="3060"/>
      </w:tabs>
      <w:ind w:left="3060" w:hanging="392"/>
    </w:pPr>
  </w:style>
  <w:style w:type="paragraph" w:styleId="EndnoteText">
    <w:name w:val="endnote text"/>
    <w:aliases w:val="2_ GA,2_G"/>
    <w:basedOn w:val="Normal"/>
    <w:link w:val="EndnoteTextChar"/>
    <w:uiPriority w:val="99"/>
    <w:qFormat/>
    <w:rsid w:val="00621120"/>
    <w:pPr>
      <w:widowControl w:val="0"/>
      <w:tabs>
        <w:tab w:val="right" w:pos="1020"/>
      </w:tabs>
      <w:suppressAutoHyphens/>
      <w:bidi w:val="0"/>
      <w:spacing w:line="220" w:lineRule="exact"/>
      <w:ind w:left="1134" w:right="1134" w:hanging="1134"/>
      <w:jc w:val="left"/>
    </w:pPr>
    <w:rPr>
      <w:sz w:val="18"/>
      <w:szCs w:val="20"/>
      <w:lang w:val="en-GB"/>
    </w:rPr>
  </w:style>
  <w:style w:type="character" w:customStyle="1" w:styleId="EndnoteTextChar">
    <w:name w:val="Endnote Text Char"/>
    <w:aliases w:val="2_ GA Char,2_G Char"/>
    <w:link w:val="EndnoteText"/>
    <w:uiPriority w:val="99"/>
    <w:rsid w:val="00621120"/>
    <w:rPr>
      <w:rFonts w:ascii="Times New Roman" w:eastAsia="PMingLiU" w:hAnsi="Times New Roman" w:cs="Simplified Arabic"/>
      <w:sz w:val="18"/>
      <w:lang w:val="en-GB" w:eastAsia="en-US"/>
    </w:rPr>
  </w:style>
  <w:style w:type="character" w:customStyle="1" w:styleId="EndtnoteReference">
    <w:name w:val="Endtnote Reference"/>
    <w:aliases w:val="1_GA"/>
    <w:qFormat/>
    <w:rsid w:val="00621120"/>
    <w:rPr>
      <w:rFonts w:ascii="Times New Roman Bold" w:hAnsi="Times New Roman Bold" w:cs="Traditional Arabic"/>
      <w:b/>
      <w:i w:val="0"/>
      <w:kern w:val="0"/>
      <w:sz w:val="18"/>
      <w:szCs w:val="18"/>
      <w:vertAlign w:val="superscript"/>
    </w:rPr>
  </w:style>
  <w:style w:type="paragraph" w:styleId="Footer">
    <w:name w:val="footer"/>
    <w:aliases w:val="3_GA,3_G"/>
    <w:basedOn w:val="Normal"/>
    <w:link w:val="FooterChar"/>
    <w:qFormat/>
    <w:rsid w:val="00621120"/>
    <w:pPr>
      <w:suppressAutoHyphens/>
      <w:bidi w:val="0"/>
      <w:spacing w:line="240" w:lineRule="auto"/>
    </w:pPr>
    <w:rPr>
      <w:sz w:val="16"/>
      <w:lang w:val="en-GB"/>
    </w:rPr>
  </w:style>
  <w:style w:type="character" w:customStyle="1" w:styleId="FooterChar">
    <w:name w:val="Footer Char"/>
    <w:aliases w:val="3_GA Char,3_G Char"/>
    <w:link w:val="Footer"/>
    <w:rsid w:val="00621120"/>
    <w:rPr>
      <w:rFonts w:ascii="Times New Roman" w:eastAsia="PMingLiU" w:hAnsi="Times New Roman" w:cs="Simplified Arabic"/>
      <w:sz w:val="16"/>
      <w:szCs w:val="22"/>
      <w:lang w:val="en-GB" w:eastAsia="en-US"/>
    </w:rPr>
  </w:style>
  <w:style w:type="paragraph" w:customStyle="1" w:styleId="FootnoteText1">
    <w:name w:val="Footnote Text1"/>
    <w:aliases w:val="5_GA"/>
    <w:basedOn w:val="Normal"/>
    <w:qFormat/>
    <w:rsid w:val="00621120"/>
    <w:pPr>
      <w:spacing w:after="60" w:line="280" w:lineRule="exact"/>
      <w:ind w:left="1247" w:right="1247" w:hanging="567"/>
    </w:pPr>
    <w:rPr>
      <w:sz w:val="18"/>
      <w:szCs w:val="18"/>
    </w:rPr>
  </w:style>
  <w:style w:type="paragraph" w:styleId="Header">
    <w:name w:val="header"/>
    <w:aliases w:val="6_GA,6_G"/>
    <w:basedOn w:val="Normal"/>
    <w:link w:val="HeaderChar"/>
    <w:uiPriority w:val="99"/>
    <w:qFormat/>
    <w:rsid w:val="00621120"/>
    <w:pPr>
      <w:pBdr>
        <w:bottom w:val="single" w:sz="4" w:space="4" w:color="auto"/>
      </w:pBdr>
      <w:suppressAutoHyphens/>
      <w:spacing w:line="240" w:lineRule="auto"/>
    </w:pPr>
    <w:rPr>
      <w:b/>
      <w:bCs/>
      <w:sz w:val="18"/>
      <w:szCs w:val="18"/>
    </w:rPr>
  </w:style>
  <w:style w:type="character" w:customStyle="1" w:styleId="HeaderChar">
    <w:name w:val="Header Char"/>
    <w:aliases w:val="6_GA Char,6_G Char"/>
    <w:link w:val="Header"/>
    <w:uiPriority w:val="99"/>
    <w:rsid w:val="00621120"/>
    <w:rPr>
      <w:rFonts w:ascii="Times New Roman" w:eastAsia="PMingLiU" w:hAnsi="Times New Roman" w:cs="Simplified Arabic"/>
      <w:b/>
      <w:bCs/>
      <w:sz w:val="18"/>
      <w:szCs w:val="18"/>
      <w:lang w:eastAsia="en-US"/>
    </w:rPr>
  </w:style>
  <w:style w:type="character" w:customStyle="1" w:styleId="Heading1Char">
    <w:name w:val="Heading 1 Char"/>
    <w:aliases w:val="Table_GA Char,Table_G Char"/>
    <w:link w:val="Heading1"/>
    <w:rsid w:val="00621120"/>
    <w:rPr>
      <w:rFonts w:ascii="Times New Roman" w:eastAsia="PMingLiU" w:hAnsi="Times New Roman" w:cs="Simplified Arabic"/>
      <w:sz w:val="22"/>
      <w:szCs w:val="22"/>
      <w:lang w:val="en-GB" w:eastAsia="en-US"/>
    </w:rPr>
  </w:style>
  <w:style w:type="character" w:styleId="PageNumber">
    <w:name w:val="page number"/>
    <w:aliases w:val="7_GA,7_G"/>
    <w:qFormat/>
    <w:rsid w:val="00621120"/>
    <w:rPr>
      <w:rFonts w:ascii="Times New Roman Bold" w:hAnsi="Times New Roman Bold"/>
      <w:b/>
      <w:i w:val="0"/>
      <w:sz w:val="18"/>
      <w:szCs w:val="18"/>
    </w:rPr>
  </w:style>
  <w:style w:type="paragraph" w:customStyle="1" w:styleId="XXLargeGA">
    <w:name w:val="XXLarge_GA"/>
    <w:basedOn w:val="Normal"/>
    <w:next w:val="SingleTxtGA"/>
    <w:qFormat/>
    <w:rsid w:val="00621120"/>
    <w:pPr>
      <w:suppressAutoHyphens/>
      <w:spacing w:line="820" w:lineRule="exact"/>
    </w:pPr>
    <w:rPr>
      <w:spacing w:val="-8"/>
      <w:w w:val="96"/>
      <w:sz w:val="57"/>
      <w:szCs w:val="86"/>
      <w:lang w:val="en-GB"/>
    </w:rPr>
  </w:style>
  <w:style w:type="character" w:customStyle="1" w:styleId="Heading2Char">
    <w:name w:val="Heading 2 Char"/>
    <w:link w:val="Heading2"/>
    <w:uiPriority w:val="9"/>
    <w:rsid w:val="00621120"/>
    <w:rPr>
      <w:rFonts w:ascii="Times New Roman" w:eastAsia="PMingLiU" w:hAnsi="Times New Roman" w:cs="Simplified Arabic"/>
      <w:b/>
      <w:bCs/>
      <w:color w:val="4F81BD"/>
      <w:sz w:val="26"/>
      <w:szCs w:val="26"/>
      <w:lang w:eastAsia="en-US"/>
    </w:rPr>
  </w:style>
  <w:style w:type="character" w:styleId="BookTitle">
    <w:name w:val="Book Title"/>
    <w:uiPriority w:val="33"/>
    <w:rsid w:val="00621120"/>
    <w:rPr>
      <w:b/>
      <w:bCs/>
      <w:smallCaps/>
      <w:spacing w:val="5"/>
    </w:rPr>
  </w:style>
  <w:style w:type="character" w:customStyle="1" w:styleId="Heading3Char">
    <w:name w:val="Heading 3 Char"/>
    <w:link w:val="Heading3"/>
    <w:uiPriority w:val="9"/>
    <w:rsid w:val="00621120"/>
    <w:rPr>
      <w:rFonts w:ascii="Times New Roman" w:eastAsia="PMingLiU" w:hAnsi="Times New Roman" w:cs="Simplified Arabic"/>
      <w:b/>
      <w:bCs/>
      <w:color w:val="4F81BD"/>
      <w:szCs w:val="22"/>
      <w:lang w:eastAsia="en-US"/>
    </w:rPr>
  </w:style>
  <w:style w:type="character" w:customStyle="1" w:styleId="Heading4Char">
    <w:name w:val="Heading 4 Char"/>
    <w:link w:val="Heading4"/>
    <w:uiPriority w:val="9"/>
    <w:rsid w:val="00621120"/>
    <w:rPr>
      <w:rFonts w:ascii="Times New Roman" w:eastAsia="PMingLiU" w:hAnsi="Times New Roman" w:cs="Simplified Arabic"/>
      <w:b/>
      <w:bCs/>
      <w:i/>
      <w:iCs/>
      <w:color w:val="4F81BD"/>
      <w:szCs w:val="22"/>
      <w:lang w:eastAsia="en-US"/>
    </w:rPr>
  </w:style>
  <w:style w:type="character" w:customStyle="1" w:styleId="Heading5Char">
    <w:name w:val="Heading 5 Char"/>
    <w:link w:val="Heading5"/>
    <w:uiPriority w:val="9"/>
    <w:rsid w:val="00621120"/>
    <w:rPr>
      <w:rFonts w:ascii="Times New Roman" w:eastAsia="PMingLiU" w:hAnsi="Times New Roman" w:cs="Simplified Arabic"/>
      <w:color w:val="243F60"/>
      <w:szCs w:val="22"/>
      <w:lang w:eastAsia="en-US"/>
    </w:rPr>
  </w:style>
  <w:style w:type="character" w:customStyle="1" w:styleId="Heading6Char">
    <w:name w:val="Heading 6 Char"/>
    <w:link w:val="Heading6"/>
    <w:uiPriority w:val="9"/>
    <w:rsid w:val="00621120"/>
    <w:rPr>
      <w:rFonts w:ascii="Times New Roman" w:eastAsia="PMingLiU" w:hAnsi="Times New Roman" w:cs="Simplified Arabic"/>
      <w:i/>
      <w:iCs/>
      <w:color w:val="243F60"/>
      <w:szCs w:val="22"/>
      <w:lang w:eastAsia="en-US"/>
    </w:rPr>
  </w:style>
  <w:style w:type="character" w:customStyle="1" w:styleId="Heading7Char">
    <w:name w:val="Heading 7 Char"/>
    <w:link w:val="Heading7"/>
    <w:uiPriority w:val="9"/>
    <w:rsid w:val="00621120"/>
    <w:rPr>
      <w:rFonts w:ascii="Times New Roman" w:eastAsia="PMingLiU" w:hAnsi="Times New Roman" w:cs="Simplified Arabic"/>
      <w:i/>
      <w:iCs/>
      <w:color w:val="404040"/>
      <w:szCs w:val="22"/>
      <w:lang w:eastAsia="en-US"/>
    </w:rPr>
  </w:style>
  <w:style w:type="character" w:customStyle="1" w:styleId="Heading8Char">
    <w:name w:val="Heading 8 Char"/>
    <w:link w:val="Heading8"/>
    <w:uiPriority w:val="9"/>
    <w:rsid w:val="00621120"/>
    <w:rPr>
      <w:rFonts w:ascii="Times New Roman" w:eastAsia="PMingLiU" w:hAnsi="Times New Roman" w:cs="Simplified Arabic"/>
      <w:color w:val="404040"/>
      <w:lang w:eastAsia="en-US"/>
    </w:rPr>
  </w:style>
  <w:style w:type="character" w:customStyle="1" w:styleId="Heading9Char">
    <w:name w:val="Heading 9 Char"/>
    <w:link w:val="Heading9"/>
    <w:uiPriority w:val="9"/>
    <w:rsid w:val="00621120"/>
    <w:rPr>
      <w:rFonts w:ascii="Times New Roman" w:eastAsia="PMingLiU" w:hAnsi="Times New Roman" w:cs="Simplified Arabic"/>
      <w:i/>
      <w:iCs/>
      <w:color w:val="404040"/>
      <w:lang w:eastAsia="en-US"/>
    </w:rPr>
  </w:style>
  <w:style w:type="paragraph" w:styleId="Title">
    <w:name w:val="Title"/>
    <w:basedOn w:val="Normal"/>
    <w:next w:val="Normal"/>
    <w:link w:val="TitleChar"/>
    <w:uiPriority w:val="10"/>
    <w:rsid w:val="00621120"/>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621120"/>
    <w:rPr>
      <w:rFonts w:ascii="Times New Roman" w:eastAsia="PMingLiU" w:hAnsi="Times New Roman" w:cs="Simplified Arabic"/>
      <w:color w:val="17365D"/>
      <w:spacing w:val="5"/>
      <w:kern w:val="28"/>
      <w:sz w:val="52"/>
      <w:szCs w:val="52"/>
      <w:lang w:eastAsia="en-US"/>
    </w:rPr>
  </w:style>
  <w:style w:type="paragraph" w:styleId="Subtitle">
    <w:name w:val="Subtitle"/>
    <w:basedOn w:val="Normal"/>
    <w:next w:val="Normal"/>
    <w:link w:val="SubtitleChar"/>
    <w:uiPriority w:val="11"/>
    <w:rsid w:val="00621120"/>
    <w:pPr>
      <w:numPr>
        <w:ilvl w:val="1"/>
      </w:numPr>
    </w:pPr>
    <w:rPr>
      <w:i/>
      <w:iCs/>
      <w:color w:val="4F81BD"/>
      <w:spacing w:val="15"/>
      <w:sz w:val="24"/>
      <w:szCs w:val="24"/>
    </w:rPr>
  </w:style>
  <w:style w:type="character" w:customStyle="1" w:styleId="SubtitleChar">
    <w:name w:val="Subtitle Char"/>
    <w:link w:val="Subtitle"/>
    <w:uiPriority w:val="11"/>
    <w:rsid w:val="00621120"/>
    <w:rPr>
      <w:rFonts w:ascii="Times New Roman" w:eastAsia="PMingLiU" w:hAnsi="Times New Roman" w:cs="Simplified Arabic"/>
      <w:i/>
      <w:iCs/>
      <w:color w:val="4F81BD"/>
      <w:spacing w:val="15"/>
      <w:sz w:val="24"/>
      <w:szCs w:val="24"/>
      <w:lang w:eastAsia="en-US"/>
    </w:rPr>
  </w:style>
  <w:style w:type="character" w:styleId="SubtleEmphasis">
    <w:name w:val="Subtle Emphasis"/>
    <w:uiPriority w:val="19"/>
    <w:rsid w:val="00621120"/>
    <w:rPr>
      <w:i/>
      <w:iCs/>
      <w:color w:val="808080"/>
    </w:rPr>
  </w:style>
  <w:style w:type="table" w:styleId="ColorfulGrid-Accent6">
    <w:name w:val="Colorful Grid Accent 6"/>
    <w:basedOn w:val="TableNormal"/>
    <w:uiPriority w:val="73"/>
    <w:rsid w:val="00621120"/>
    <w:rPr>
      <w:rFonts w:eastAsia="PMingLiU"/>
      <w:color w:val="00000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621120"/>
    <w:rPr>
      <w:i/>
      <w:iCs/>
    </w:rPr>
  </w:style>
  <w:style w:type="character" w:styleId="IntenseEmphasis">
    <w:name w:val="Intense Emphasis"/>
    <w:uiPriority w:val="21"/>
    <w:rsid w:val="00621120"/>
    <w:rPr>
      <w:b/>
      <w:bCs/>
      <w:i/>
      <w:iCs/>
      <w:color w:val="4F81BD"/>
    </w:rPr>
  </w:style>
  <w:style w:type="character" w:styleId="Strong">
    <w:name w:val="Strong"/>
    <w:uiPriority w:val="22"/>
    <w:rsid w:val="00621120"/>
    <w:rPr>
      <w:b/>
      <w:bCs/>
    </w:rPr>
  </w:style>
  <w:style w:type="paragraph" w:styleId="Quote">
    <w:name w:val="Quote"/>
    <w:basedOn w:val="Normal"/>
    <w:next w:val="Normal"/>
    <w:link w:val="QuoteChar"/>
    <w:uiPriority w:val="29"/>
    <w:rsid w:val="00621120"/>
    <w:rPr>
      <w:i/>
      <w:iCs/>
      <w:color w:val="000000"/>
    </w:rPr>
  </w:style>
  <w:style w:type="character" w:customStyle="1" w:styleId="QuoteChar">
    <w:name w:val="Quote Char"/>
    <w:link w:val="Quote"/>
    <w:uiPriority w:val="29"/>
    <w:rsid w:val="00621120"/>
    <w:rPr>
      <w:rFonts w:ascii="Times New Roman" w:eastAsia="PMingLiU" w:hAnsi="Times New Roman" w:cs="Simplified Arabic"/>
      <w:i/>
      <w:iCs/>
      <w:color w:val="000000"/>
      <w:szCs w:val="22"/>
      <w:lang w:eastAsia="en-US"/>
    </w:rPr>
  </w:style>
  <w:style w:type="paragraph" w:styleId="IntenseQuote">
    <w:name w:val="Intense Quote"/>
    <w:basedOn w:val="Normal"/>
    <w:next w:val="Normal"/>
    <w:link w:val="IntenseQuoteChar"/>
    <w:uiPriority w:val="30"/>
    <w:rsid w:val="0062112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120"/>
    <w:rPr>
      <w:rFonts w:ascii="Times New Roman" w:eastAsia="PMingLiU" w:hAnsi="Times New Roman" w:cs="Simplified Arabic"/>
      <w:b/>
      <w:bCs/>
      <w:i/>
      <w:iCs/>
      <w:color w:val="4F81BD"/>
      <w:szCs w:val="22"/>
      <w:lang w:eastAsia="en-US"/>
    </w:rPr>
  </w:style>
  <w:style w:type="character" w:styleId="SubtleReference">
    <w:name w:val="Subtle Reference"/>
    <w:uiPriority w:val="31"/>
    <w:rsid w:val="00621120"/>
    <w:rPr>
      <w:smallCaps/>
      <w:color w:val="C0504D"/>
      <w:u w:val="single"/>
    </w:rPr>
  </w:style>
  <w:style w:type="character" w:styleId="IntenseReference">
    <w:name w:val="Intense Reference"/>
    <w:uiPriority w:val="32"/>
    <w:rsid w:val="00621120"/>
    <w:rPr>
      <w:b/>
      <w:bCs/>
      <w:smallCaps/>
      <w:color w:val="C0504D"/>
      <w:spacing w:val="5"/>
      <w:u w:val="single"/>
    </w:rPr>
  </w:style>
  <w:style w:type="paragraph" w:styleId="ListParagraph">
    <w:name w:val="List Paragraph"/>
    <w:basedOn w:val="Normal"/>
    <w:uiPriority w:val="34"/>
    <w:rsid w:val="00621120"/>
    <w:pPr>
      <w:ind w:left="720"/>
      <w:contextualSpacing/>
    </w:pPr>
  </w:style>
  <w:style w:type="table" w:styleId="MediumShading1-Accent4">
    <w:name w:val="Medium Shading 1 Accent 4"/>
    <w:basedOn w:val="TableNormal"/>
    <w:uiPriority w:val="63"/>
    <w:rsid w:val="00621120"/>
    <w:rPr>
      <w:rFonts w:eastAsia="PMingLiU"/>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aliases w:val="1_G"/>
    <w:unhideWhenUsed/>
    <w:qFormat/>
    <w:rsid w:val="00621120"/>
    <w:rPr>
      <w:rFonts w:eastAsia="MS Mincho"/>
      <w:sz w:val="18"/>
      <w:vertAlign w:val="superscript"/>
    </w:rPr>
  </w:style>
  <w:style w:type="table" w:styleId="TableGrid">
    <w:name w:val="Table Grid"/>
    <w:basedOn w:val="TableNormal"/>
    <w:rsid w:val="00621120"/>
    <w:pPr>
      <w:bidi/>
      <w:jc w:val="lowKashida"/>
    </w:pPr>
    <w:rPr>
      <w:rFonts w:ascii="Times New Roman" w:eastAsia="PMingLiU"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1120"/>
    <w:pPr>
      <w:spacing w:line="240" w:lineRule="auto"/>
    </w:pPr>
    <w:rPr>
      <w:sz w:val="16"/>
      <w:szCs w:val="16"/>
    </w:rPr>
  </w:style>
  <w:style w:type="character" w:customStyle="1" w:styleId="BalloonTextChar">
    <w:name w:val="Balloon Text Char"/>
    <w:link w:val="BalloonText"/>
    <w:uiPriority w:val="99"/>
    <w:semiHidden/>
    <w:rsid w:val="00621120"/>
    <w:rPr>
      <w:rFonts w:ascii="Times New Roman" w:eastAsia="PMingLiU" w:hAnsi="Times New Roman" w:cs="Simplified Arabic"/>
      <w:sz w:val="16"/>
      <w:szCs w:val="16"/>
      <w:lang w:eastAsia="en-US"/>
    </w:rPr>
  </w:style>
  <w:style w:type="character" w:styleId="Hyperlink">
    <w:name w:val="Hyperlink"/>
    <w:uiPriority w:val="99"/>
    <w:unhideWhenUsed/>
    <w:rsid w:val="00621120"/>
    <w:rPr>
      <w:color w:val="0000FF"/>
      <w:u w:val="none"/>
    </w:rPr>
  </w:style>
  <w:style w:type="paragraph" w:styleId="TOC1">
    <w:name w:val="toc 1"/>
    <w:basedOn w:val="Normal"/>
    <w:link w:val="TOC1Char"/>
    <w:autoRedefine/>
    <w:uiPriority w:val="39"/>
    <w:unhideWhenUsed/>
    <w:rsid w:val="00621120"/>
    <w:pPr>
      <w:tabs>
        <w:tab w:val="right" w:pos="1021"/>
        <w:tab w:val="left" w:pos="1077"/>
        <w:tab w:val="left" w:pos="1525"/>
        <w:tab w:val="left" w:leader="dot" w:pos="7467"/>
        <w:tab w:val="left" w:pos="7972"/>
        <w:tab w:val="right" w:pos="9639"/>
      </w:tabs>
      <w:suppressAutoHyphens/>
      <w:spacing w:before="120" w:line="340" w:lineRule="exact"/>
      <w:ind w:left="1525" w:right="2211" w:hanging="1525"/>
    </w:pPr>
    <w:rPr>
      <w:noProof/>
      <w:szCs w:val="20"/>
      <w:lang w:val="fr-CH" w:eastAsia="zh-TW" w:bidi="ar-EG"/>
    </w:rPr>
  </w:style>
  <w:style w:type="paragraph" w:styleId="TOC2">
    <w:name w:val="toc 2"/>
    <w:basedOn w:val="Normal"/>
    <w:link w:val="TOC2Char"/>
    <w:autoRedefine/>
    <w:uiPriority w:val="39"/>
    <w:unhideWhenUsed/>
    <w:rsid w:val="00621120"/>
    <w:pPr>
      <w:tabs>
        <w:tab w:val="left" w:pos="1843"/>
        <w:tab w:val="left" w:pos="2206"/>
        <w:tab w:val="left" w:leader="dot" w:pos="7467"/>
        <w:tab w:val="left" w:pos="7972"/>
        <w:tab w:val="right" w:pos="9639"/>
      </w:tabs>
      <w:suppressAutoHyphens/>
      <w:spacing w:line="340" w:lineRule="exact"/>
      <w:ind w:left="2205" w:right="2206" w:hanging="680"/>
    </w:pPr>
    <w:rPr>
      <w:noProof/>
      <w:szCs w:val="20"/>
      <w:lang w:val="fr-CH"/>
    </w:rPr>
  </w:style>
  <w:style w:type="paragraph" w:styleId="TOC3">
    <w:name w:val="toc 3"/>
    <w:basedOn w:val="TOC2"/>
    <w:next w:val="Normal"/>
    <w:link w:val="TOC3Char"/>
    <w:autoRedefine/>
    <w:uiPriority w:val="39"/>
    <w:unhideWhenUsed/>
    <w:rsid w:val="00621120"/>
    <w:pPr>
      <w:tabs>
        <w:tab w:val="clear" w:pos="1843"/>
        <w:tab w:val="clear" w:pos="2206"/>
        <w:tab w:val="left" w:pos="2325"/>
      </w:tabs>
      <w:suppressAutoHyphens w:val="0"/>
      <w:ind w:left="2886"/>
    </w:pPr>
    <w:rPr>
      <w:lang w:bidi="ar-EG"/>
    </w:rPr>
  </w:style>
  <w:style w:type="character" w:customStyle="1" w:styleId="PagesNumbers">
    <w:name w:val="Pages Numbers"/>
    <w:uiPriority w:val="1"/>
    <w:qFormat/>
    <w:rsid w:val="00621120"/>
    <w:rPr>
      <w:rFonts w:eastAsia="DengXian"/>
      <w:color w:val="auto"/>
      <w:sz w:val="20"/>
      <w:szCs w:val="20"/>
      <w:u w:val="none"/>
      <w:lang w:eastAsia="zh-CN" w:bidi="ar-EG"/>
    </w:rPr>
  </w:style>
  <w:style w:type="paragraph" w:styleId="TOC4">
    <w:name w:val="toc 4"/>
    <w:basedOn w:val="Normal"/>
    <w:link w:val="TOC4Char"/>
    <w:autoRedefine/>
    <w:uiPriority w:val="39"/>
    <w:unhideWhenUsed/>
    <w:rsid w:val="00621120"/>
    <w:pPr>
      <w:tabs>
        <w:tab w:val="right" w:pos="1021"/>
        <w:tab w:val="left" w:pos="1077"/>
        <w:tab w:val="left" w:pos="1525"/>
        <w:tab w:val="left" w:leader="dot" w:pos="9065"/>
        <w:tab w:val="right" w:pos="9639"/>
      </w:tabs>
      <w:suppressAutoHyphens/>
      <w:spacing w:before="120" w:line="340" w:lineRule="exact"/>
      <w:ind w:left="1525" w:right="567" w:hanging="1525"/>
    </w:pPr>
    <w:rPr>
      <w:noProof/>
      <w:szCs w:val="20"/>
      <w:lang w:val="en-GB"/>
    </w:rPr>
  </w:style>
  <w:style w:type="paragraph" w:styleId="TOC5">
    <w:name w:val="toc 5"/>
    <w:basedOn w:val="Normal"/>
    <w:link w:val="TOC5Char"/>
    <w:autoRedefine/>
    <w:uiPriority w:val="39"/>
    <w:unhideWhenUsed/>
    <w:rsid w:val="00621120"/>
    <w:pPr>
      <w:tabs>
        <w:tab w:val="left" w:pos="1843"/>
        <w:tab w:val="left" w:pos="2206"/>
        <w:tab w:val="left" w:leader="dot" w:pos="9065"/>
        <w:tab w:val="right" w:pos="9639"/>
      </w:tabs>
      <w:suppressAutoHyphens/>
      <w:spacing w:line="340" w:lineRule="exact"/>
      <w:ind w:left="2205" w:right="567" w:hanging="680"/>
    </w:pPr>
    <w:rPr>
      <w:noProof/>
      <w:szCs w:val="20"/>
      <w:lang w:val="en-GB"/>
    </w:rPr>
  </w:style>
  <w:style w:type="paragraph" w:styleId="TOC6">
    <w:name w:val="toc 6"/>
    <w:basedOn w:val="Normal"/>
    <w:link w:val="TOC6Char"/>
    <w:autoRedefine/>
    <w:uiPriority w:val="39"/>
    <w:unhideWhenUsed/>
    <w:rsid w:val="00621120"/>
    <w:pPr>
      <w:tabs>
        <w:tab w:val="left" w:pos="2325"/>
        <w:tab w:val="left" w:leader="dot" w:pos="9065"/>
        <w:tab w:val="right" w:pos="9639"/>
      </w:tabs>
      <w:suppressAutoHyphens/>
      <w:spacing w:line="340" w:lineRule="exact"/>
      <w:ind w:left="2886" w:right="567" w:hanging="680"/>
    </w:pPr>
    <w:rPr>
      <w:szCs w:val="20"/>
      <w:lang w:val="en-GB"/>
    </w:rPr>
  </w:style>
  <w:style w:type="paragraph" w:customStyle="1" w:styleId="a">
    <w:name w:val="المحتويات_بلا_فقرات"/>
    <w:rsid w:val="00621120"/>
    <w:pPr>
      <w:tabs>
        <w:tab w:val="left" w:pos="1928"/>
        <w:tab w:val="left" w:pos="2608"/>
        <w:tab w:val="left" w:pos="3289"/>
        <w:tab w:val="left" w:pos="3969"/>
        <w:tab w:val="left" w:pos="4649"/>
        <w:tab w:val="left" w:pos="5330"/>
      </w:tabs>
      <w:bidi/>
      <w:spacing w:after="120" w:line="360" w:lineRule="exact"/>
      <w:ind w:left="1247" w:right="1247"/>
      <w:jc w:val="lowKashida"/>
    </w:pPr>
    <w:rPr>
      <w:rFonts w:ascii="Times New Roman" w:eastAsia="PMingLiU" w:hAnsi="Times New Roman" w:cs="Simplified Arabic"/>
      <w:szCs w:val="28"/>
      <w:lang w:eastAsia="en-US"/>
    </w:rPr>
  </w:style>
  <w:style w:type="table" w:customStyle="1" w:styleId="TABLEA">
    <w:name w:val="TABLE_A"/>
    <w:basedOn w:val="TableNormal"/>
    <w:uiPriority w:val="99"/>
    <w:rsid w:val="00621120"/>
    <w:pPr>
      <w:bidi/>
      <w:spacing w:before="80" w:after="80" w:line="320" w:lineRule="exact"/>
      <w:ind w:left="113" w:right="113"/>
      <w:jc w:val="lowKashida"/>
    </w:pPr>
    <w:rPr>
      <w:rFonts w:ascii="Times New Roman" w:eastAsiaTheme="minorEastAsia" w:hAnsi="Times New Roman" w:cs="Traditional Arabic"/>
      <w:sz w:val="18"/>
      <w:szCs w:val="28"/>
      <w:lang w:eastAsia="zh-CN"/>
    </w:rPr>
    <w:tblPr>
      <w:jc w:val="right"/>
    </w:tblPr>
    <w:trPr>
      <w:jc w:val="right"/>
    </w:trPr>
    <w:tcPr>
      <w:tcMar>
        <w:left w:w="0" w:type="dxa"/>
        <w:right w:w="0" w:type="dxa"/>
      </w:tcMar>
    </w:tcPr>
    <w:tblStylePr w:type="firstRow">
      <w:tblPr/>
      <w:tcPr>
        <w:tcBorders>
          <w:top w:val="single" w:sz="4" w:space="0" w:color="auto"/>
          <w:left w:val="nil"/>
          <w:bottom w:val="single" w:sz="12" w:space="0" w:color="auto"/>
          <w:right w:val="nil"/>
          <w:insideH w:val="nil"/>
          <w:insideV w:val="nil"/>
          <w:tl2br w:val="nil"/>
          <w:tr2bl w:val="nil"/>
        </w:tcBorders>
      </w:tcPr>
    </w:tblStylePr>
    <w:tblStylePr w:type="lastRow">
      <w:pPr>
        <w:wordWrap/>
        <w:spacing w:beforeLines="0" w:before="80" w:beforeAutospacing="0" w:afterLines="0" w:after="80" w:afterAutospacing="0" w:line="320" w:lineRule="exact"/>
        <w:ind w:leftChars="0" w:left="113" w:rightChars="0" w:right="113" w:firstLineChars="0" w:firstLine="0"/>
        <w:jc w:val="lowKashida"/>
      </w:pPr>
      <w:tblPr/>
      <w:tcPr>
        <w:tcBorders>
          <w:top w:val="nil"/>
          <w:left w:val="nil"/>
          <w:bottom w:val="single" w:sz="12" w:space="0" w:color="auto"/>
          <w:right w:val="nil"/>
          <w:insideH w:val="nil"/>
          <w:insideV w:val="nil"/>
          <w:tl2br w:val="nil"/>
          <w:tr2bl w:val="nil"/>
        </w:tcBorders>
      </w:tcPr>
    </w:tblStylePr>
  </w:style>
  <w:style w:type="character" w:customStyle="1" w:styleId="SingleTxtGAChar">
    <w:name w:val="_ Single Txt_GA Char"/>
    <w:basedOn w:val="DefaultParagraphFont"/>
    <w:link w:val="SingleTxtGA"/>
    <w:locked/>
    <w:rsid w:val="00621120"/>
    <w:rPr>
      <w:rFonts w:ascii="Times New Roman" w:eastAsia="PMingLiU" w:hAnsi="Times New Roman" w:cs="Simplified Arabic"/>
      <w:sz w:val="22"/>
      <w:szCs w:val="22"/>
      <w:lang w:val="en-GB" w:eastAsia="en-US"/>
    </w:rPr>
  </w:style>
  <w:style w:type="character" w:styleId="UnresolvedMention">
    <w:name w:val="Unresolved Mention"/>
    <w:basedOn w:val="DefaultParagraphFont"/>
    <w:uiPriority w:val="99"/>
    <w:semiHidden/>
    <w:unhideWhenUsed/>
    <w:rsid w:val="00621120"/>
    <w:rPr>
      <w:color w:val="605E5C"/>
      <w:shd w:val="clear" w:color="auto" w:fill="E1DFDD"/>
    </w:rPr>
  </w:style>
  <w:style w:type="character" w:customStyle="1" w:styleId="TOC1Char">
    <w:name w:val="TOC 1 Char"/>
    <w:basedOn w:val="DefaultParagraphFont"/>
    <w:link w:val="TOC1"/>
    <w:uiPriority w:val="39"/>
    <w:rsid w:val="00621120"/>
    <w:rPr>
      <w:rFonts w:ascii="Times New Roman" w:eastAsia="PMingLiU" w:hAnsi="Times New Roman" w:cs="Simplified Arabic"/>
      <w:noProof/>
      <w:lang w:val="fr-CH" w:bidi="ar-EG"/>
    </w:rPr>
  </w:style>
  <w:style w:type="character" w:customStyle="1" w:styleId="TOC2Char">
    <w:name w:val="TOC 2 Char"/>
    <w:basedOn w:val="DefaultParagraphFont"/>
    <w:link w:val="TOC2"/>
    <w:uiPriority w:val="39"/>
    <w:rsid w:val="00621120"/>
    <w:rPr>
      <w:rFonts w:ascii="Times New Roman" w:eastAsia="PMingLiU" w:hAnsi="Times New Roman" w:cs="Simplified Arabic"/>
      <w:noProof/>
      <w:lang w:val="fr-CH" w:eastAsia="en-US"/>
    </w:rPr>
  </w:style>
  <w:style w:type="character" w:customStyle="1" w:styleId="TOC3Char">
    <w:name w:val="TOC 3 Char"/>
    <w:basedOn w:val="TOC2Char"/>
    <w:link w:val="TOC3"/>
    <w:uiPriority w:val="39"/>
    <w:rsid w:val="00621120"/>
    <w:rPr>
      <w:rFonts w:ascii="Times New Roman" w:eastAsia="PMingLiU" w:hAnsi="Times New Roman" w:cs="Simplified Arabic"/>
      <w:noProof/>
      <w:lang w:val="fr-CH" w:eastAsia="en-US" w:bidi="ar-EG"/>
    </w:rPr>
  </w:style>
  <w:style w:type="character" w:customStyle="1" w:styleId="TOC4Char">
    <w:name w:val="TOC 4 Char"/>
    <w:basedOn w:val="DefaultParagraphFont"/>
    <w:link w:val="TOC4"/>
    <w:uiPriority w:val="39"/>
    <w:rsid w:val="00621120"/>
    <w:rPr>
      <w:rFonts w:ascii="Times New Roman" w:eastAsia="PMingLiU" w:hAnsi="Times New Roman" w:cs="Simplified Arabic"/>
      <w:noProof/>
      <w:lang w:val="en-GB" w:eastAsia="en-US"/>
    </w:rPr>
  </w:style>
  <w:style w:type="character" w:customStyle="1" w:styleId="TOC5Char">
    <w:name w:val="TOC 5 Char"/>
    <w:basedOn w:val="DefaultParagraphFont"/>
    <w:link w:val="TOC5"/>
    <w:uiPriority w:val="39"/>
    <w:rsid w:val="00621120"/>
    <w:rPr>
      <w:rFonts w:ascii="Times New Roman" w:eastAsia="PMingLiU" w:hAnsi="Times New Roman" w:cs="Simplified Arabic"/>
      <w:noProof/>
      <w:lang w:val="en-GB" w:eastAsia="en-US"/>
    </w:rPr>
  </w:style>
  <w:style w:type="character" w:customStyle="1" w:styleId="TOC6Char">
    <w:name w:val="TOC 6 Char"/>
    <w:basedOn w:val="DefaultParagraphFont"/>
    <w:link w:val="TOC6"/>
    <w:uiPriority w:val="39"/>
    <w:rsid w:val="00621120"/>
    <w:rPr>
      <w:rFonts w:ascii="Times New Roman" w:eastAsia="PMingLiU" w:hAnsi="Times New Roman" w:cs="Simplified Arabic"/>
      <w:lang w:val="en-GB" w:eastAsia="en-US"/>
    </w:rPr>
  </w:style>
  <w:style w:type="paragraph" w:customStyle="1" w:styleId="SessionDate">
    <w:name w:val="Session_Date"/>
    <w:basedOn w:val="Normal"/>
    <w:qFormat/>
    <w:rsid w:val="00621120"/>
    <w:pPr>
      <w:spacing w:before="240" w:after="240" w:line="460" w:lineRule="exact"/>
      <w:ind w:left="1247"/>
    </w:pPr>
    <w:rPr>
      <w:b/>
      <w:bCs/>
      <w:sz w:val="32"/>
      <w:szCs w:val="44"/>
    </w:rPr>
  </w:style>
  <w:style w:type="paragraph" w:customStyle="1" w:styleId="SessionNumber">
    <w:name w:val="Session_Number"/>
    <w:basedOn w:val="Normal"/>
    <w:qFormat/>
    <w:rsid w:val="00621120"/>
    <w:pPr>
      <w:spacing w:line="480" w:lineRule="exact"/>
      <w:ind w:left="1247"/>
    </w:pPr>
    <w:rPr>
      <w:b/>
      <w:bCs/>
      <w:sz w:val="28"/>
      <w:szCs w:val="38"/>
    </w:rPr>
  </w:style>
  <w:style w:type="paragraph" w:customStyle="1" w:styleId="CityandYear">
    <w:name w:val="City and Year"/>
    <w:basedOn w:val="SingleTxtGA"/>
    <w:qFormat/>
    <w:rsid w:val="00621120"/>
    <w:pPr>
      <w:spacing w:line="480" w:lineRule="exact"/>
    </w:pPr>
    <w:rPr>
      <w:b/>
      <w:bCs/>
      <w:sz w:val="30"/>
      <w:szCs w:val="38"/>
      <w:lang w:eastAsia="ar-SA"/>
    </w:rPr>
  </w:style>
  <w:style w:type="paragraph" w:customStyle="1" w:styleId="NormalA">
    <w:name w:val="Normal_A"/>
    <w:basedOn w:val="Normal"/>
    <w:qFormat/>
    <w:rsid w:val="00621120"/>
  </w:style>
  <w:style w:type="paragraph" w:customStyle="1" w:styleId="H1G">
    <w:name w:val="_ H_1_G"/>
    <w:basedOn w:val="Normal"/>
    <w:next w:val="Normal"/>
    <w:qFormat/>
    <w:rsid w:val="00621120"/>
    <w:pPr>
      <w:keepNext/>
      <w:keepLines/>
      <w:tabs>
        <w:tab w:val="right" w:pos="851"/>
      </w:tabs>
      <w:suppressAutoHyphens/>
      <w:bidi w:val="0"/>
      <w:spacing w:before="360" w:after="240" w:line="270" w:lineRule="exact"/>
      <w:ind w:left="1134" w:right="1134" w:hanging="1134"/>
      <w:jc w:val="left"/>
    </w:pPr>
    <w:rPr>
      <w:b/>
      <w:sz w:val="24"/>
      <w:szCs w:val="20"/>
      <w:lang w:val="en-GB"/>
    </w:rPr>
  </w:style>
  <w:style w:type="paragraph" w:customStyle="1" w:styleId="SingleTxtG">
    <w:name w:val="_ Single Txt_G"/>
    <w:basedOn w:val="Normal"/>
    <w:link w:val="SingleTxtGChar"/>
    <w:qFormat/>
    <w:rsid w:val="00621120"/>
    <w:pPr>
      <w:tabs>
        <w:tab w:val="left" w:pos="1701"/>
        <w:tab w:val="left" w:pos="2268"/>
      </w:tabs>
      <w:suppressAutoHyphens/>
      <w:bidi w:val="0"/>
      <w:spacing w:after="120"/>
      <w:ind w:left="1134" w:right="1134"/>
      <w:jc w:val="both"/>
    </w:pPr>
    <w:rPr>
      <w:szCs w:val="20"/>
      <w:lang w:val="en-GB"/>
    </w:rPr>
  </w:style>
  <w:style w:type="paragraph" w:customStyle="1" w:styleId="HChG">
    <w:name w:val="_ H _Ch_G"/>
    <w:basedOn w:val="Normal"/>
    <w:next w:val="Normal"/>
    <w:qFormat/>
    <w:rsid w:val="00621120"/>
    <w:pPr>
      <w:keepNext/>
      <w:keepLines/>
      <w:tabs>
        <w:tab w:val="right" w:pos="851"/>
      </w:tabs>
      <w:suppressAutoHyphens/>
      <w:bidi w:val="0"/>
      <w:spacing w:before="360" w:after="240" w:line="300" w:lineRule="exact"/>
      <w:ind w:left="1134" w:right="1134" w:hanging="1134"/>
      <w:jc w:val="left"/>
    </w:pPr>
    <w:rPr>
      <w:b/>
      <w:sz w:val="28"/>
      <w:szCs w:val="20"/>
      <w:lang w:val="en-GB"/>
    </w:rPr>
  </w:style>
  <w:style w:type="paragraph" w:customStyle="1" w:styleId="H23G">
    <w:name w:val="_ H_2/3_G"/>
    <w:basedOn w:val="Normal"/>
    <w:next w:val="Normal"/>
    <w:qFormat/>
    <w:rsid w:val="00621120"/>
    <w:pPr>
      <w:keepNext/>
      <w:keepLines/>
      <w:tabs>
        <w:tab w:val="right" w:pos="851"/>
      </w:tabs>
      <w:suppressAutoHyphens/>
      <w:bidi w:val="0"/>
      <w:spacing w:before="240" w:after="120" w:line="240" w:lineRule="exact"/>
      <w:ind w:left="1134" w:right="1134" w:hanging="1134"/>
      <w:jc w:val="left"/>
    </w:pPr>
    <w:rPr>
      <w:b/>
      <w:szCs w:val="20"/>
      <w:lang w:val="en-GB"/>
    </w:rPr>
  </w:style>
  <w:style w:type="paragraph" w:customStyle="1" w:styleId="H4G">
    <w:name w:val="_ H_4_G"/>
    <w:basedOn w:val="Normal"/>
    <w:next w:val="Normal"/>
    <w:qFormat/>
    <w:rsid w:val="00621120"/>
    <w:pPr>
      <w:keepNext/>
      <w:keepLines/>
      <w:tabs>
        <w:tab w:val="right" w:pos="851"/>
      </w:tabs>
      <w:suppressAutoHyphens/>
      <w:bidi w:val="0"/>
      <w:spacing w:before="240" w:after="120" w:line="240" w:lineRule="exact"/>
      <w:ind w:left="1134" w:right="1134" w:hanging="1134"/>
      <w:jc w:val="left"/>
    </w:pPr>
    <w:rPr>
      <w:i/>
      <w:szCs w:val="20"/>
      <w:lang w:val="en-GB"/>
    </w:rPr>
  </w:style>
  <w:style w:type="paragraph" w:customStyle="1" w:styleId="FootnoteGA">
    <w:name w:val="_Footnote_GA"/>
    <w:basedOn w:val="Normal"/>
    <w:qFormat/>
    <w:rsid w:val="00621120"/>
    <w:pPr>
      <w:suppressAutoHyphens/>
      <w:spacing w:after="60" w:line="280" w:lineRule="exact"/>
      <w:ind w:left="1247" w:right="1247" w:hanging="567"/>
    </w:pPr>
    <w:rPr>
      <w:sz w:val="18"/>
      <w:szCs w:val="18"/>
      <w:lang w:val="es-ES_tradnl" w:eastAsia="zh-TW"/>
    </w:rPr>
  </w:style>
  <w:style w:type="paragraph" w:customStyle="1" w:styleId="ReportCHGA">
    <w:name w:val="Report_CH_GA"/>
    <w:basedOn w:val="HChGA"/>
    <w:qFormat/>
    <w:rsid w:val="00621120"/>
    <w:rPr>
      <w:sz w:val="44"/>
      <w:szCs w:val="44"/>
      <w:lang w:val="en-US" w:bidi="ar-DZ"/>
    </w:rPr>
  </w:style>
  <w:style w:type="paragraph" w:customStyle="1" w:styleId="FootnoteGA0">
    <w:name w:val="Footnote_GA"/>
    <w:basedOn w:val="Normal"/>
    <w:qFormat/>
    <w:rsid w:val="00621120"/>
    <w:pPr>
      <w:spacing w:after="60" w:line="280" w:lineRule="exact"/>
      <w:ind w:left="1247" w:right="1247" w:hanging="567"/>
    </w:pPr>
    <w:rPr>
      <w:sz w:val="18"/>
      <w:szCs w:val="18"/>
      <w:lang w:val="es-ES_tradnl" w:eastAsia="zh-TW"/>
    </w:rPr>
  </w:style>
  <w:style w:type="paragraph" w:customStyle="1" w:styleId="H1">
    <w:name w:val="_ H_1"/>
    <w:basedOn w:val="Normal"/>
    <w:next w:val="SingleTxt"/>
    <w:qFormat/>
    <w:rsid w:val="00621120"/>
    <w:pPr>
      <w:keepNext/>
      <w:keepLines/>
      <w:spacing w:after="120" w:line="400" w:lineRule="exact"/>
      <w:outlineLvl w:val="0"/>
    </w:pPr>
    <w:rPr>
      <w:b/>
      <w:bCs/>
      <w:kern w:val="14"/>
      <w:sz w:val="24"/>
      <w:szCs w:val="32"/>
    </w:rPr>
  </w:style>
  <w:style w:type="paragraph" w:customStyle="1" w:styleId="HCh">
    <w:name w:val="_ H _Ch"/>
    <w:basedOn w:val="H1"/>
    <w:next w:val="SingleTxt"/>
    <w:qFormat/>
    <w:rsid w:val="00621120"/>
    <w:pPr>
      <w:spacing w:line="440" w:lineRule="exact"/>
    </w:pPr>
    <w:rPr>
      <w:spacing w:val="-2"/>
      <w:sz w:val="28"/>
      <w:szCs w:val="36"/>
    </w:rPr>
  </w:style>
  <w:style w:type="character" w:styleId="CommentReference">
    <w:name w:val="annotation reference"/>
    <w:uiPriority w:val="99"/>
    <w:semiHidden/>
    <w:rsid w:val="00621120"/>
    <w:rPr>
      <w:sz w:val="6"/>
      <w:szCs w:val="9"/>
    </w:rPr>
  </w:style>
  <w:style w:type="paragraph" w:customStyle="1" w:styleId="HM">
    <w:name w:val="_ H __M"/>
    <w:basedOn w:val="HCh"/>
    <w:next w:val="Normal"/>
    <w:qFormat/>
    <w:rsid w:val="00621120"/>
    <w:pPr>
      <w:suppressAutoHyphens/>
      <w:spacing w:line="520" w:lineRule="exact"/>
    </w:pPr>
    <w:rPr>
      <w:spacing w:val="-3"/>
      <w:sz w:val="34"/>
      <w:szCs w:val="48"/>
    </w:rPr>
  </w:style>
  <w:style w:type="paragraph" w:customStyle="1" w:styleId="SingleTxt">
    <w:name w:val="__Single Txt"/>
    <w:basedOn w:val="Normal"/>
    <w:qFormat/>
    <w:rsid w:val="00621120"/>
    <w:pPr>
      <w:tabs>
        <w:tab w:val="left" w:pos="1930"/>
        <w:tab w:val="left" w:pos="2592"/>
        <w:tab w:val="left" w:pos="3254"/>
        <w:tab w:val="left" w:pos="3917"/>
        <w:tab w:val="left" w:pos="4579"/>
        <w:tab w:val="left" w:pos="5242"/>
        <w:tab w:val="left" w:pos="5904"/>
        <w:tab w:val="left" w:pos="6566"/>
      </w:tabs>
      <w:spacing w:after="120" w:line="360" w:lineRule="exact"/>
      <w:ind w:left="1264" w:right="1264"/>
    </w:pPr>
    <w:rPr>
      <w:kern w:val="14"/>
      <w:szCs w:val="28"/>
    </w:rPr>
  </w:style>
  <w:style w:type="paragraph" w:customStyle="1" w:styleId="H23">
    <w:name w:val="_ H_2/3"/>
    <w:basedOn w:val="H1"/>
    <w:next w:val="Normal"/>
    <w:qFormat/>
    <w:rsid w:val="00621120"/>
    <w:pPr>
      <w:suppressAutoHyphens/>
      <w:spacing w:line="360" w:lineRule="exact"/>
      <w:outlineLvl w:val="1"/>
    </w:pPr>
    <w:rPr>
      <w:spacing w:val="2"/>
      <w:sz w:val="20"/>
      <w:szCs w:val="28"/>
    </w:rPr>
  </w:style>
  <w:style w:type="paragraph" w:customStyle="1" w:styleId="H4">
    <w:name w:val="_ H_4"/>
    <w:basedOn w:val="Normal"/>
    <w:next w:val="Normal"/>
    <w:qFormat/>
    <w:rsid w:val="00621120"/>
    <w:pPr>
      <w:keepNext/>
      <w:keepLines/>
      <w:spacing w:after="120" w:line="360" w:lineRule="exact"/>
      <w:outlineLvl w:val="3"/>
    </w:pPr>
    <w:rPr>
      <w:i/>
      <w:iCs/>
      <w:kern w:val="14"/>
      <w:szCs w:val="28"/>
    </w:rPr>
  </w:style>
  <w:style w:type="paragraph" w:customStyle="1" w:styleId="H56">
    <w:name w:val="_ H_5/6"/>
    <w:basedOn w:val="Normal"/>
    <w:next w:val="Normal"/>
    <w:qFormat/>
    <w:rsid w:val="00621120"/>
    <w:pPr>
      <w:keepNext/>
      <w:keepLines/>
      <w:spacing w:after="120" w:line="360" w:lineRule="exact"/>
      <w:outlineLvl w:val="4"/>
    </w:pPr>
    <w:rPr>
      <w:kern w:val="14"/>
      <w:szCs w:val="28"/>
    </w:rPr>
  </w:style>
  <w:style w:type="paragraph" w:customStyle="1" w:styleId="DualTxt">
    <w:name w:val="__Dual Txt"/>
    <w:basedOn w:val="Normal"/>
    <w:qFormat/>
    <w:rsid w:val="00621120"/>
    <w:pPr>
      <w:tabs>
        <w:tab w:val="left" w:pos="662"/>
        <w:tab w:val="left" w:pos="1325"/>
        <w:tab w:val="left" w:pos="1987"/>
        <w:tab w:val="left" w:pos="2650"/>
        <w:tab w:val="left" w:pos="3312"/>
        <w:tab w:val="left" w:pos="3974"/>
        <w:tab w:val="left" w:pos="4637"/>
      </w:tabs>
      <w:spacing w:after="120" w:line="360" w:lineRule="exact"/>
    </w:pPr>
    <w:rPr>
      <w:kern w:val="14"/>
      <w:szCs w:val="28"/>
    </w:rPr>
  </w:style>
  <w:style w:type="paragraph" w:customStyle="1" w:styleId="JDualTxt">
    <w:name w:val="J__Dual Txt"/>
    <w:basedOn w:val="Normal"/>
    <w:qFormat/>
    <w:rsid w:val="00621120"/>
    <w:pPr>
      <w:keepNext/>
      <w:tabs>
        <w:tab w:val="left" w:pos="475"/>
        <w:tab w:val="left" w:pos="950"/>
        <w:tab w:val="left" w:pos="1426"/>
        <w:tab w:val="left" w:pos="1901"/>
        <w:tab w:val="center" w:pos="2563"/>
        <w:tab w:val="right" w:pos="5040"/>
      </w:tabs>
      <w:spacing w:after="80" w:line="300" w:lineRule="exact"/>
    </w:pPr>
    <w:rPr>
      <w:kern w:val="14"/>
      <w:sz w:val="17"/>
      <w:szCs w:val="26"/>
    </w:rPr>
  </w:style>
  <w:style w:type="paragraph" w:customStyle="1" w:styleId="JSingleTxt">
    <w:name w:val="J__Single Txt"/>
    <w:basedOn w:val="Normal"/>
    <w:qFormat/>
    <w:rsid w:val="00621120"/>
    <w:pPr>
      <w:keepNext/>
      <w:tabs>
        <w:tab w:val="left" w:pos="1843"/>
        <w:tab w:val="left" w:pos="2419"/>
        <w:tab w:val="left" w:pos="2995"/>
        <w:tab w:val="left" w:pos="3571"/>
        <w:tab w:val="left" w:pos="4147"/>
        <w:tab w:val="left" w:pos="4723"/>
        <w:tab w:val="center" w:pos="5486"/>
        <w:tab w:val="right" w:pos="9547"/>
      </w:tabs>
      <w:spacing w:after="80" w:line="300" w:lineRule="exact"/>
    </w:pPr>
    <w:rPr>
      <w:kern w:val="14"/>
      <w:sz w:val="17"/>
      <w:szCs w:val="26"/>
    </w:rPr>
  </w:style>
  <w:style w:type="paragraph" w:customStyle="1" w:styleId="JCH">
    <w:name w:val="J_C_H"/>
    <w:basedOn w:val="JSingleTxt"/>
    <w:qFormat/>
    <w:rsid w:val="00621120"/>
    <w:pPr>
      <w:spacing w:after="120" w:line="440" w:lineRule="exact"/>
      <w:jc w:val="center"/>
    </w:pPr>
    <w:rPr>
      <w:b/>
      <w:bCs/>
      <w:sz w:val="25"/>
      <w:szCs w:val="38"/>
    </w:rPr>
  </w:style>
  <w:style w:type="paragraph" w:customStyle="1" w:styleId="JH1">
    <w:name w:val="J_H_1"/>
    <w:basedOn w:val="JCH"/>
    <w:qFormat/>
    <w:rsid w:val="00621120"/>
    <w:pPr>
      <w:spacing w:line="420" w:lineRule="exact"/>
    </w:pPr>
    <w:rPr>
      <w:sz w:val="23"/>
      <w:szCs w:val="34"/>
    </w:rPr>
  </w:style>
  <w:style w:type="paragraph" w:customStyle="1" w:styleId="JH2">
    <w:name w:val="J_H_2"/>
    <w:basedOn w:val="JH1"/>
    <w:qFormat/>
    <w:rsid w:val="00621120"/>
    <w:pPr>
      <w:spacing w:line="400" w:lineRule="exact"/>
    </w:pPr>
    <w:rPr>
      <w:sz w:val="20"/>
      <w:szCs w:val="30"/>
    </w:rPr>
  </w:style>
  <w:style w:type="paragraph" w:customStyle="1" w:styleId="JSmall">
    <w:name w:val="J_Small"/>
    <w:basedOn w:val="JSingleTxt"/>
    <w:next w:val="JSingleTxt"/>
    <w:qFormat/>
    <w:rsid w:val="00621120"/>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621120"/>
    <w:pPr>
      <w:tabs>
        <w:tab w:val="right" w:leader="dot" w:pos="360"/>
      </w:tabs>
      <w:spacing w:line="310" w:lineRule="exact"/>
      <w:jc w:val="right"/>
    </w:pPr>
    <w:rPr>
      <w:spacing w:val="5"/>
      <w:w w:val="104"/>
      <w:kern w:val="14"/>
      <w:sz w:val="17"/>
      <w:szCs w:val="25"/>
    </w:rPr>
  </w:style>
  <w:style w:type="character" w:styleId="LineNumber">
    <w:name w:val="line number"/>
    <w:qFormat/>
    <w:rsid w:val="00621120"/>
    <w:rPr>
      <w:sz w:val="14"/>
      <w:szCs w:val="16"/>
    </w:rPr>
  </w:style>
  <w:style w:type="paragraph" w:customStyle="1" w:styleId="SmallX">
    <w:name w:val="SmallX"/>
    <w:basedOn w:val="Small"/>
    <w:next w:val="Normal"/>
    <w:qFormat/>
    <w:rsid w:val="00621120"/>
    <w:pPr>
      <w:spacing w:line="240" w:lineRule="exact"/>
    </w:pPr>
    <w:rPr>
      <w:spacing w:val="6"/>
      <w:w w:val="106"/>
      <w:sz w:val="14"/>
      <w:szCs w:val="21"/>
    </w:rPr>
  </w:style>
  <w:style w:type="paragraph" w:customStyle="1" w:styleId="XLarge">
    <w:name w:val="XLarge"/>
    <w:basedOn w:val="HM"/>
    <w:qFormat/>
    <w:rsid w:val="00621120"/>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621120"/>
    <w:pPr>
      <w:spacing w:line="820" w:lineRule="exact"/>
    </w:pPr>
    <w:rPr>
      <w:spacing w:val="-8"/>
      <w:w w:val="96"/>
      <w:sz w:val="57"/>
      <w:szCs w:val="86"/>
    </w:rPr>
  </w:style>
  <w:style w:type="paragraph" w:customStyle="1" w:styleId="Distribution">
    <w:name w:val="Distribution"/>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Publication">
    <w:name w:val="Publication"/>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Original">
    <w:name w:val="Original"/>
    <w:basedOn w:val="Normal"/>
    <w:next w:val="Normal"/>
    <w:qFormat/>
    <w:rsid w:val="00621120"/>
    <w:pPr>
      <w:tabs>
        <w:tab w:val="left" w:pos="662"/>
        <w:tab w:val="left" w:pos="1267"/>
        <w:tab w:val="left" w:pos="1987"/>
        <w:tab w:val="left" w:pos="2650"/>
      </w:tabs>
      <w:spacing w:line="240" w:lineRule="exact"/>
    </w:pPr>
    <w:rPr>
      <w:kern w:val="14"/>
      <w:szCs w:val="28"/>
    </w:rPr>
  </w:style>
  <w:style w:type="paragraph" w:customStyle="1" w:styleId="ReleaseDate">
    <w:name w:val="Release Date"/>
    <w:next w:val="Footer"/>
    <w:qFormat/>
    <w:rsid w:val="00621120"/>
    <w:pPr>
      <w:tabs>
        <w:tab w:val="center" w:pos="4320"/>
        <w:tab w:val="right" w:pos="8640"/>
      </w:tabs>
      <w:spacing w:line="210" w:lineRule="exact"/>
      <w:jc w:val="right"/>
    </w:pPr>
    <w:rPr>
      <w:rFonts w:ascii="Times New Roman" w:eastAsia="PMingLiU" w:hAnsi="Times New Roman" w:cs="Simplified Arabic"/>
      <w:w w:val="103"/>
      <w:kern w:val="14"/>
      <w:szCs w:val="30"/>
      <w:lang w:eastAsia="en-US"/>
    </w:rPr>
  </w:style>
  <w:style w:type="paragraph" w:customStyle="1" w:styleId="Session">
    <w:name w:val="Session"/>
    <w:basedOn w:val="H23"/>
    <w:qFormat/>
    <w:rsid w:val="00621120"/>
    <w:pPr>
      <w:tabs>
        <w:tab w:val="left" w:pos="662"/>
        <w:tab w:val="left" w:pos="1267"/>
        <w:tab w:val="left" w:pos="1987"/>
        <w:tab w:val="left" w:pos="2650"/>
      </w:tabs>
      <w:spacing w:after="0"/>
      <w:ind w:left="662" w:hanging="662"/>
    </w:pPr>
  </w:style>
  <w:style w:type="paragraph" w:customStyle="1" w:styleId="Committee">
    <w:name w:val="Committee"/>
    <w:basedOn w:val="H1"/>
    <w:qFormat/>
    <w:rsid w:val="00621120"/>
    <w:pPr>
      <w:tabs>
        <w:tab w:val="left" w:pos="662"/>
        <w:tab w:val="left" w:pos="1267"/>
        <w:tab w:val="left" w:pos="1987"/>
        <w:tab w:val="left" w:pos="2650"/>
      </w:tabs>
      <w:ind w:right="1264"/>
    </w:pPr>
  </w:style>
  <w:style w:type="paragraph" w:customStyle="1" w:styleId="AgendaItemNormal">
    <w:name w:val="Agenda_Item_Normal"/>
    <w:next w:val="Normal"/>
    <w:qFormat/>
    <w:rsid w:val="00621120"/>
    <w:pPr>
      <w:spacing w:line="360" w:lineRule="exact"/>
      <w:jc w:val="both"/>
    </w:pPr>
    <w:rPr>
      <w:rFonts w:ascii="Times New Roman" w:eastAsia="PMingLiU" w:hAnsi="Times New Roman" w:cs="Simplified Arabic"/>
      <w:w w:val="103"/>
      <w:kern w:val="14"/>
      <w:szCs w:val="28"/>
      <w:lang w:eastAsia="en-US"/>
    </w:rPr>
  </w:style>
  <w:style w:type="paragraph" w:customStyle="1" w:styleId="Sponsors">
    <w:name w:val="Sponsors"/>
    <w:basedOn w:val="H23"/>
    <w:next w:val="Normal"/>
    <w:qFormat/>
    <w:rsid w:val="00621120"/>
    <w:pPr>
      <w:tabs>
        <w:tab w:val="right" w:pos="1022"/>
        <w:tab w:val="left" w:pos="1267"/>
        <w:tab w:val="left" w:pos="1930"/>
        <w:tab w:val="left" w:pos="2592"/>
        <w:tab w:val="left" w:pos="3254"/>
      </w:tabs>
      <w:ind w:left="1267" w:right="1267" w:hanging="1267"/>
    </w:pPr>
  </w:style>
  <w:style w:type="paragraph" w:customStyle="1" w:styleId="TitleHCH">
    <w:name w:val="Title_H_CH"/>
    <w:basedOn w:val="H1"/>
    <w:next w:val="SingleTxt"/>
    <w:qFormat/>
    <w:rsid w:val="00621120"/>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1267" w:right="1267" w:hanging="1267"/>
    </w:pPr>
    <w:rPr>
      <w:spacing w:val="-2"/>
      <w:sz w:val="28"/>
      <w:szCs w:val="36"/>
    </w:rPr>
  </w:style>
  <w:style w:type="paragraph" w:customStyle="1" w:styleId="TitleH1">
    <w:name w:val="Title_H1"/>
    <w:basedOn w:val="Normal"/>
    <w:next w:val="Normal"/>
    <w:qFormat/>
    <w:rsid w:val="00621120"/>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Cs/>
      <w:kern w:val="14"/>
      <w:sz w:val="24"/>
      <w:szCs w:val="32"/>
    </w:rPr>
  </w:style>
  <w:style w:type="paragraph" w:customStyle="1" w:styleId="TitleH2">
    <w:name w:val="Title_H2"/>
    <w:basedOn w:val="H1"/>
    <w:next w:val="Normal"/>
    <w:qFormat/>
    <w:rsid w:val="00621120"/>
    <w:pPr>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outlineLvl w:val="1"/>
    </w:pPr>
    <w:rPr>
      <w:spacing w:val="2"/>
      <w:sz w:val="20"/>
      <w:szCs w:val="28"/>
    </w:rPr>
  </w:style>
  <w:style w:type="character" w:styleId="FollowedHyperlink">
    <w:name w:val="FollowedHyperlink"/>
    <w:uiPriority w:val="99"/>
    <w:rsid w:val="00621120"/>
    <w:rPr>
      <w:i w:val="0"/>
      <w:color w:val="0000FF"/>
      <w:u w:val="none"/>
    </w:rPr>
  </w:style>
  <w:style w:type="paragraph" w:customStyle="1" w:styleId="Bullet1">
    <w:name w:val="Bullet 1"/>
    <w:basedOn w:val="Normal"/>
    <w:qFormat/>
    <w:rsid w:val="00621120"/>
    <w:pPr>
      <w:numPr>
        <w:numId w:val="18"/>
      </w:numPr>
      <w:tabs>
        <w:tab w:val="num" w:pos="1292"/>
      </w:tabs>
      <w:spacing w:after="120" w:line="360" w:lineRule="exact"/>
      <w:ind w:left="1292" w:right="1264" w:hanging="227"/>
    </w:pPr>
    <w:rPr>
      <w:kern w:val="14"/>
      <w:szCs w:val="28"/>
    </w:rPr>
  </w:style>
  <w:style w:type="paragraph" w:customStyle="1" w:styleId="Bullet2">
    <w:name w:val="Bullet 2"/>
    <w:basedOn w:val="Normal"/>
    <w:qFormat/>
    <w:rsid w:val="00621120"/>
    <w:pPr>
      <w:numPr>
        <w:numId w:val="19"/>
      </w:numPr>
      <w:spacing w:after="120" w:line="360" w:lineRule="exact"/>
      <w:ind w:right="1264"/>
    </w:pPr>
    <w:rPr>
      <w:kern w:val="14"/>
      <w:szCs w:val="28"/>
    </w:rPr>
  </w:style>
  <w:style w:type="paragraph" w:customStyle="1" w:styleId="Bullet3">
    <w:name w:val="Bullet 3"/>
    <w:basedOn w:val="SingleTxt"/>
    <w:qFormat/>
    <w:rsid w:val="00621120"/>
    <w:pPr>
      <w:numPr>
        <w:numId w:val="20"/>
      </w:numPr>
      <w:tabs>
        <w:tab w:val="clear" w:pos="1930"/>
        <w:tab w:val="clear" w:pos="2592"/>
        <w:tab w:val="clear" w:pos="3254"/>
        <w:tab w:val="clear" w:pos="3917"/>
        <w:tab w:val="clear" w:pos="4579"/>
        <w:tab w:val="clear" w:pos="5242"/>
        <w:tab w:val="clear" w:pos="5904"/>
        <w:tab w:val="clear" w:pos="6566"/>
        <w:tab w:val="num" w:pos="2495"/>
      </w:tabs>
      <w:ind w:left="2495" w:hanging="545"/>
    </w:pPr>
  </w:style>
  <w:style w:type="paragraph" w:customStyle="1" w:styleId="AgendaTitleH2">
    <w:name w:val="Agenda_Title_H2"/>
    <w:basedOn w:val="H1"/>
    <w:next w:val="Normal"/>
    <w:qFormat/>
    <w:rsid w:val="00621120"/>
    <w:pPr>
      <w:ind w:right="5760"/>
      <w:outlineLvl w:val="1"/>
    </w:pPr>
    <w:rPr>
      <w:spacing w:val="2"/>
      <w:sz w:val="20"/>
      <w:szCs w:val="28"/>
    </w:rPr>
  </w:style>
  <w:style w:type="paragraph" w:customStyle="1" w:styleId="STitleM">
    <w:name w:val="S_Title_M"/>
    <w:basedOn w:val="Normal"/>
    <w:next w:val="Normal"/>
    <w:qFormat/>
    <w:rsid w:val="00621120"/>
    <w:pPr>
      <w:keepNext/>
      <w:keepLines/>
      <w:tabs>
        <w:tab w:val="left" w:leader="dot" w:pos="360"/>
      </w:tabs>
      <w:spacing w:line="600" w:lineRule="exact"/>
      <w:ind w:left="1267" w:right="1267"/>
      <w:outlineLvl w:val="0"/>
    </w:pPr>
    <w:rPr>
      <w:b/>
      <w:bCs/>
      <w:spacing w:val="-4"/>
      <w:w w:val="98"/>
      <w:kern w:val="14"/>
      <w:sz w:val="60"/>
      <w:szCs w:val="60"/>
    </w:rPr>
  </w:style>
  <w:style w:type="paragraph" w:customStyle="1" w:styleId="STitleS">
    <w:name w:val="S_Title_S"/>
    <w:basedOn w:val="HCh"/>
    <w:next w:val="Normal"/>
    <w:qFormat/>
    <w:rsid w:val="00621120"/>
    <w:pPr>
      <w:spacing w:line="600" w:lineRule="exact"/>
      <w:ind w:left="1267" w:right="1267"/>
    </w:pPr>
    <w:rPr>
      <w:w w:val="103"/>
      <w:sz w:val="60"/>
      <w:szCs w:val="60"/>
    </w:rPr>
  </w:style>
  <w:style w:type="paragraph" w:customStyle="1" w:styleId="STitleL">
    <w:name w:val="S_Title_L"/>
    <w:basedOn w:val="XLarge"/>
    <w:next w:val="Normal"/>
    <w:qFormat/>
    <w:rsid w:val="00621120"/>
    <w:rPr>
      <w:spacing w:val="-8"/>
      <w:w w:val="96"/>
      <w:sz w:val="57"/>
    </w:rPr>
  </w:style>
  <w:style w:type="paragraph" w:styleId="CommentText">
    <w:name w:val="annotation text"/>
    <w:basedOn w:val="Normal"/>
    <w:link w:val="CommentTextChar"/>
    <w:uiPriority w:val="99"/>
    <w:semiHidden/>
    <w:unhideWhenUsed/>
    <w:rsid w:val="00621120"/>
    <w:pPr>
      <w:spacing w:line="240" w:lineRule="auto"/>
    </w:pPr>
    <w:rPr>
      <w:kern w:val="14"/>
    </w:rPr>
  </w:style>
  <w:style w:type="character" w:customStyle="1" w:styleId="CommentTextChar">
    <w:name w:val="Comment Text Char"/>
    <w:basedOn w:val="DefaultParagraphFont"/>
    <w:link w:val="CommentText"/>
    <w:uiPriority w:val="99"/>
    <w:semiHidden/>
    <w:rsid w:val="00621120"/>
    <w:rPr>
      <w:rFonts w:ascii="Times New Roman" w:eastAsia="PMingLiU" w:hAnsi="Times New Roman" w:cs="Simplified Arabic"/>
      <w:kern w:val="14"/>
      <w:szCs w:val="22"/>
      <w:lang w:eastAsia="en-US"/>
    </w:rPr>
  </w:style>
  <w:style w:type="paragraph" w:styleId="CommentSubject">
    <w:name w:val="annotation subject"/>
    <w:basedOn w:val="CommentText"/>
    <w:next w:val="CommentText"/>
    <w:link w:val="CommentSubjectChar"/>
    <w:uiPriority w:val="99"/>
    <w:semiHidden/>
    <w:unhideWhenUsed/>
    <w:rsid w:val="00621120"/>
    <w:rPr>
      <w:b/>
      <w:bCs/>
    </w:rPr>
  </w:style>
  <w:style w:type="character" w:customStyle="1" w:styleId="CommentSubjectChar">
    <w:name w:val="Comment Subject Char"/>
    <w:basedOn w:val="CommentTextChar"/>
    <w:link w:val="CommentSubject"/>
    <w:uiPriority w:val="99"/>
    <w:semiHidden/>
    <w:rsid w:val="00621120"/>
    <w:rPr>
      <w:rFonts w:ascii="Times New Roman" w:eastAsia="PMingLiU" w:hAnsi="Times New Roman" w:cs="Simplified Arabic"/>
      <w:b/>
      <w:bCs/>
      <w:kern w:val="14"/>
      <w:szCs w:val="22"/>
      <w:lang w:eastAsia="en-US"/>
    </w:rPr>
  </w:style>
  <w:style w:type="paragraph" w:customStyle="1" w:styleId="Bullet1G">
    <w:name w:val="_Bullet 1_G"/>
    <w:basedOn w:val="Normal"/>
    <w:qFormat/>
    <w:rsid w:val="00621120"/>
    <w:pPr>
      <w:numPr>
        <w:numId w:val="21"/>
      </w:numPr>
      <w:bidi w:val="0"/>
      <w:spacing w:after="120"/>
      <w:ind w:right="1134"/>
      <w:jc w:val="both"/>
    </w:pPr>
    <w:rPr>
      <w:sz w:val="22"/>
    </w:rPr>
  </w:style>
  <w:style w:type="character" w:customStyle="1" w:styleId="SingleTxtGChar">
    <w:name w:val="_ Single Txt_G Char"/>
    <w:link w:val="SingleTxtG"/>
    <w:rsid w:val="00621120"/>
    <w:rPr>
      <w:rFonts w:ascii="Times New Roman" w:eastAsia="PMingLiU" w:hAnsi="Times New Roman" w:cs="Simplified Arabic"/>
      <w:lang w:val="en-GB" w:eastAsia="en-US"/>
    </w:rPr>
  </w:style>
  <w:style w:type="paragraph" w:customStyle="1" w:styleId="Preparedby">
    <w:name w:val="Prepared by:"/>
    <w:basedOn w:val="H23GA"/>
    <w:qFormat/>
    <w:rsid w:val="00621120"/>
    <w:rPr>
      <w:sz w:val="32"/>
      <w:szCs w:val="32"/>
    </w:rPr>
  </w:style>
  <w:style w:type="paragraph" w:customStyle="1" w:styleId="ParaNoG">
    <w:name w:val="_ParaNo._G"/>
    <w:basedOn w:val="SingleTxtG"/>
    <w:rsid w:val="00621120"/>
    <w:pPr>
      <w:numPr>
        <w:numId w:val="28"/>
      </w:numPr>
      <w:tabs>
        <w:tab w:val="left" w:pos="1134"/>
        <w:tab w:val="left" w:pos="2835"/>
      </w:tabs>
      <w:suppressAutoHyphens w:val="0"/>
    </w:pPr>
    <w:rPr>
      <w:rFonts w:hint="cs"/>
      <w:szCs w:val="30"/>
      <w:lang w:val="fr-FR" w:eastAsia="fr-FR"/>
    </w:rPr>
  </w:style>
  <w:style w:type="paragraph" w:customStyle="1" w:styleId="HMG">
    <w:name w:val="_ H __M_G"/>
    <w:basedOn w:val="Normal"/>
    <w:next w:val="Normal"/>
    <w:qFormat/>
    <w:rsid w:val="00621120"/>
    <w:pPr>
      <w:keepNext/>
      <w:keepLines/>
      <w:tabs>
        <w:tab w:val="right" w:pos="851"/>
      </w:tabs>
      <w:kinsoku w:val="0"/>
      <w:overflowPunct w:val="0"/>
      <w:autoSpaceDE w:val="0"/>
      <w:autoSpaceDN w:val="0"/>
      <w:bidi w:val="0"/>
      <w:adjustRightInd w:val="0"/>
      <w:snapToGrid w:val="0"/>
      <w:spacing w:before="240" w:after="240" w:line="360" w:lineRule="exact"/>
      <w:ind w:left="1134" w:right="1134" w:hanging="1134"/>
      <w:jc w:val="left"/>
    </w:pPr>
    <w:rPr>
      <w:rFonts w:hint="cs"/>
      <w:b/>
      <w:sz w:val="34"/>
      <w:szCs w:val="30"/>
      <w:lang w:val="fr-FR" w:eastAsia="fr-FR"/>
    </w:rPr>
  </w:style>
  <w:style w:type="paragraph" w:customStyle="1" w:styleId="H56G">
    <w:name w:val="_ H_5/6_G"/>
    <w:basedOn w:val="Normal"/>
    <w:next w:val="Normal"/>
    <w:qFormat/>
    <w:rsid w:val="00621120"/>
    <w:pPr>
      <w:keepNext/>
      <w:keepLines/>
      <w:tabs>
        <w:tab w:val="right" w:pos="851"/>
      </w:tabs>
      <w:kinsoku w:val="0"/>
      <w:overflowPunct w:val="0"/>
      <w:autoSpaceDE w:val="0"/>
      <w:autoSpaceDN w:val="0"/>
      <w:bidi w:val="0"/>
      <w:adjustRightInd w:val="0"/>
      <w:snapToGrid w:val="0"/>
      <w:spacing w:before="240" w:after="120" w:line="240" w:lineRule="exact"/>
      <w:ind w:left="1134" w:right="1134" w:hanging="1134"/>
      <w:jc w:val="left"/>
    </w:pPr>
    <w:rPr>
      <w:rFonts w:hint="cs"/>
      <w:szCs w:val="30"/>
      <w:lang w:val="fr-FR" w:eastAsia="fr-FR"/>
    </w:rPr>
  </w:style>
  <w:style w:type="paragraph" w:customStyle="1" w:styleId="SLG">
    <w:name w:val="__S_L_G"/>
    <w:basedOn w:val="Normal"/>
    <w:next w:val="Normal"/>
    <w:rsid w:val="00621120"/>
    <w:pPr>
      <w:keepNext/>
      <w:keepLines/>
      <w:kinsoku w:val="0"/>
      <w:overflowPunct w:val="0"/>
      <w:autoSpaceDE w:val="0"/>
      <w:autoSpaceDN w:val="0"/>
      <w:bidi w:val="0"/>
      <w:adjustRightInd w:val="0"/>
      <w:snapToGrid w:val="0"/>
      <w:spacing w:before="240" w:after="240" w:line="580" w:lineRule="exact"/>
      <w:ind w:left="1134" w:right="1134"/>
      <w:jc w:val="left"/>
    </w:pPr>
    <w:rPr>
      <w:rFonts w:hint="cs"/>
      <w:b/>
      <w:sz w:val="56"/>
      <w:szCs w:val="30"/>
      <w:lang w:val="fr-FR" w:eastAsia="fr-FR"/>
    </w:rPr>
  </w:style>
  <w:style w:type="paragraph" w:customStyle="1" w:styleId="SMG">
    <w:name w:val="__S_M_G"/>
    <w:basedOn w:val="Normal"/>
    <w:next w:val="Normal"/>
    <w:rsid w:val="0062112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SSG">
    <w:name w:val="__S_S_G"/>
    <w:basedOn w:val="Normal"/>
    <w:next w:val="Normal"/>
    <w:rsid w:val="00621120"/>
    <w:pPr>
      <w:keepNext/>
      <w:keepLines/>
      <w:kinsoku w:val="0"/>
      <w:overflowPunct w:val="0"/>
      <w:autoSpaceDE w:val="0"/>
      <w:autoSpaceDN w:val="0"/>
      <w:bidi w:val="0"/>
      <w:adjustRightInd w:val="0"/>
      <w:snapToGrid w:val="0"/>
      <w:spacing w:before="240" w:after="240" w:line="300" w:lineRule="exact"/>
      <w:ind w:left="1134" w:right="1134"/>
      <w:jc w:val="left"/>
    </w:pPr>
    <w:rPr>
      <w:rFonts w:hint="cs"/>
      <w:b/>
      <w:sz w:val="28"/>
      <w:szCs w:val="30"/>
      <w:lang w:val="fr-FR" w:eastAsia="fr-FR"/>
    </w:rPr>
  </w:style>
  <w:style w:type="paragraph" w:customStyle="1" w:styleId="XLargeG">
    <w:name w:val="__XLarge_G"/>
    <w:basedOn w:val="Normal"/>
    <w:next w:val="Normal"/>
    <w:rsid w:val="00621120"/>
    <w:pPr>
      <w:keepNext/>
      <w:keepLines/>
      <w:kinsoku w:val="0"/>
      <w:overflowPunct w:val="0"/>
      <w:autoSpaceDE w:val="0"/>
      <w:autoSpaceDN w:val="0"/>
      <w:bidi w:val="0"/>
      <w:adjustRightInd w:val="0"/>
      <w:snapToGrid w:val="0"/>
      <w:spacing w:before="240" w:after="240" w:line="420" w:lineRule="exact"/>
      <w:ind w:left="1134" w:right="1134"/>
      <w:jc w:val="left"/>
    </w:pPr>
    <w:rPr>
      <w:rFonts w:hint="cs"/>
      <w:b/>
      <w:sz w:val="40"/>
      <w:szCs w:val="30"/>
      <w:lang w:val="fr-FR" w:eastAsia="fr-FR"/>
    </w:rPr>
  </w:style>
  <w:style w:type="paragraph" w:customStyle="1" w:styleId="Bullet2G">
    <w:name w:val="_Bullet 2_G"/>
    <w:basedOn w:val="Normal"/>
    <w:qFormat/>
    <w:rsid w:val="00621120"/>
    <w:pPr>
      <w:numPr>
        <w:numId w:val="24"/>
      </w:numPr>
      <w:kinsoku w:val="0"/>
      <w:overflowPunct w:val="0"/>
      <w:autoSpaceDE w:val="0"/>
      <w:autoSpaceDN w:val="0"/>
      <w:bidi w:val="0"/>
      <w:adjustRightInd w:val="0"/>
      <w:snapToGrid w:val="0"/>
      <w:spacing w:after="120"/>
      <w:ind w:right="1134"/>
      <w:jc w:val="both"/>
    </w:pPr>
    <w:rPr>
      <w:rFonts w:hint="cs"/>
      <w:szCs w:val="30"/>
      <w:lang w:val="fr-FR" w:eastAsia="fr-FR"/>
    </w:rPr>
  </w:style>
  <w:style w:type="paragraph" w:styleId="Revision">
    <w:name w:val="Revision"/>
    <w:hidden/>
    <w:uiPriority w:val="99"/>
    <w:semiHidden/>
    <w:rsid w:val="00621120"/>
    <w:rPr>
      <w:rFonts w:asciiTheme="minorHAnsi" w:eastAsiaTheme="minorEastAsia" w:hAnsiTheme="minorHAnsi" w:cstheme="minorBidi"/>
      <w:sz w:val="24"/>
      <w:szCs w:val="24"/>
      <w:lang w:val="fr-FR" w:eastAsia="fr-FR"/>
    </w:rPr>
  </w:style>
  <w:style w:type="paragraph" w:customStyle="1" w:styleId="Default">
    <w:name w:val="Default"/>
    <w:semiHidden/>
    <w:rsid w:val="00621120"/>
    <w:pPr>
      <w:autoSpaceDE w:val="0"/>
      <w:autoSpaceDN w:val="0"/>
      <w:adjustRightInd w:val="0"/>
    </w:pPr>
    <w:rPr>
      <w:rFonts w:ascii="Times New Roman" w:eastAsia="PMingLiU" w:hAnsi="Times New Roman" w:cs="Simplified Arabic"/>
      <w:color w:val="000000"/>
      <w:sz w:val="24"/>
      <w:szCs w:val="24"/>
      <w:lang w:val="fr-FR" w:eastAsia="fr-FR"/>
    </w:rPr>
  </w:style>
  <w:style w:type="character" w:customStyle="1" w:styleId="terminologypart">
    <w:name w:val="terminologypart"/>
    <w:basedOn w:val="DefaultParagraphFont"/>
    <w:rsid w:val="00621120"/>
  </w:style>
  <w:style w:type="character" w:customStyle="1" w:styleId="preferred">
    <w:name w:val="preferred"/>
    <w:basedOn w:val="DefaultParagraphFont"/>
    <w:rsid w:val="00621120"/>
  </w:style>
  <w:style w:type="character" w:customStyle="1" w:styleId="admitted">
    <w:name w:val="admitted"/>
    <w:basedOn w:val="DefaultParagraphFont"/>
    <w:rsid w:val="00621120"/>
  </w:style>
  <w:style w:type="paragraph" w:styleId="TOC7">
    <w:name w:val="toc 7"/>
    <w:basedOn w:val="Normal"/>
    <w:next w:val="Normal"/>
    <w:autoRedefine/>
    <w:uiPriority w:val="39"/>
    <w:unhideWhenUsed/>
    <w:rsid w:val="00996849"/>
    <w:pPr>
      <w:spacing w:after="100" w:line="259" w:lineRule="auto"/>
      <w:ind w:left="1320"/>
      <w:jc w:val="left"/>
    </w:pPr>
    <w:rPr>
      <w:rFonts w:asciiTheme="minorHAnsi" w:eastAsiaTheme="minorEastAsia" w:hAnsiTheme="minorHAnsi" w:cstheme="minorBidi"/>
      <w:sz w:val="22"/>
      <w:lang w:eastAsia="zh-CN"/>
    </w:rPr>
  </w:style>
  <w:style w:type="paragraph" w:styleId="TOC8">
    <w:name w:val="toc 8"/>
    <w:basedOn w:val="Normal"/>
    <w:next w:val="Normal"/>
    <w:autoRedefine/>
    <w:uiPriority w:val="39"/>
    <w:unhideWhenUsed/>
    <w:rsid w:val="00996849"/>
    <w:pPr>
      <w:spacing w:after="100" w:line="259" w:lineRule="auto"/>
      <w:ind w:left="1540"/>
      <w:jc w:val="left"/>
    </w:pPr>
    <w:rPr>
      <w:rFonts w:asciiTheme="minorHAnsi" w:eastAsiaTheme="minorEastAsia" w:hAnsiTheme="minorHAnsi" w:cstheme="minorBidi"/>
      <w:sz w:val="22"/>
      <w:lang w:eastAsia="zh-CN"/>
    </w:rPr>
  </w:style>
  <w:style w:type="paragraph" w:styleId="TOC9">
    <w:name w:val="toc 9"/>
    <w:basedOn w:val="Normal"/>
    <w:next w:val="Normal"/>
    <w:autoRedefine/>
    <w:uiPriority w:val="39"/>
    <w:unhideWhenUsed/>
    <w:rsid w:val="00996849"/>
    <w:pPr>
      <w:spacing w:after="100" w:line="259" w:lineRule="auto"/>
      <w:ind w:left="1760"/>
      <w:jc w:val="left"/>
    </w:pPr>
    <w:rPr>
      <w:rFonts w:asciiTheme="minorHAnsi" w:eastAsiaTheme="minorEastAsia" w:hAnsiTheme="minorHAnsi" w:cstheme="minorBidi"/>
      <w:sz w:val="22"/>
      <w:lang w:eastAsia="zh-CN"/>
    </w:rPr>
  </w:style>
  <w:style w:type="paragraph" w:customStyle="1" w:styleId="Char2">
    <w:name w:val="Char2"/>
    <w:basedOn w:val="Normal"/>
    <w:link w:val="FootnoteReference"/>
    <w:rsid w:val="00621120"/>
    <w:pPr>
      <w:bidi w:val="0"/>
      <w:spacing w:after="160" w:line="240" w:lineRule="exact"/>
      <w:jc w:val="both"/>
    </w:pPr>
    <w:rPr>
      <w:rFonts w:ascii="Calibri" w:eastAsia="Times New Roman" w:hAnsi="Calibri" w:cs="Arial"/>
      <w:szCs w:val="18"/>
      <w:vertAlign w:val="superscript"/>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9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ohchr-ccpr@un.org" TargetMode="External"/><Relationship Id="rId4" Type="http://schemas.openxmlformats.org/officeDocument/2006/relationships/settings" Target="settings.xml"/><Relationship Id="rId9" Type="http://schemas.openxmlformats.org/officeDocument/2006/relationships/hyperlink" Target="ohchr-ccpr@un.org"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docs.org/ar/CCPR/C/3/Rev.12" TargetMode="External"/><Relationship Id="rId2" Type="http://schemas.openxmlformats.org/officeDocument/2006/relationships/hyperlink" Target="https://undocs.org/ar/A/65/190" TargetMode="External"/><Relationship Id="rId1" Type="http://schemas.openxmlformats.org/officeDocument/2006/relationships/hyperlink" Target="https://tbinternet.ohchr.org/_layouts/15/treatybodyexternal/Download.aspx?symbolno=HRI%2fICM%2f2002%2f3&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3873-BCCC-420E-8601-D67A16A8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1691</Words>
  <Characters>9331</Characters>
  <Application>Microsoft Office Word</Application>
  <DocSecurity>0</DocSecurity>
  <Lines>183</Lines>
  <Paragraphs>98</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CCPR/C/161</vt:lpstr>
      <vt:lpstr>    مذكرة أعدتها اللجنة المعنية بحقوق الإنسان بشأن إجراء متابعة الملاحظات الختامية</vt:lpstr>
      <vt:lpstr>        مقدمة</vt:lpstr>
      <vt:lpstr>        المقررون المعنيون بمتابعة الملاحظات الختامية</vt:lpstr>
      <vt:lpstr>        معايير اختيار توصيات المتابعة والإطار الزمني</vt:lpstr>
      <vt:lpstr>        عدد توصيات المتابعة</vt:lpstr>
      <vt:lpstr>        الموعد النهائي لتقديم معلومات من الدولة الطرف بشأن متابعة الملاحظات الختامية</vt:lpstr>
      <vt:lpstr>        المبادئ التوجيهية للدول الأطراف بشأن صياغة المعلومات المتعلقة بمتابعة الملاحظا</vt:lpstr>
      <vt:lpstr>        الموعد النهائي لتقديم المعلومات الواردة من الجهات المعنية بشأن متابعة الملاحظا</vt:lpstr>
      <vt:lpstr>        المبادئ التوجيهية للجهات المعنية بشأن صياغة المعلومات المتعلقة بمتابعة الملاحظ</vt:lpstr>
      <vt:lpstr>        تقرير متابعة الملاحظات الختامية للجنة المعنية بحقوق الإنسان</vt:lpstr>
      <vt:lpstr>        التدابير المتخذة في غياب معلومات من الدولة الطرف</vt:lpstr>
    </vt:vector>
  </TitlesOfParts>
  <Company>DCM</Company>
  <LinksUpToDate>false</LinksUpToDate>
  <CharactersWithSpaces>10983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CCPR/C/161</dc:title>
  <dc:subject>GE.2119572(A)</dc:subject>
  <dc:creator>bah - ABEL</dc:creator>
  <cp:keywords>GE.2138492(A)</cp:keywords>
  <dc:description>Distr.: General
23 December 2021
Arabic
Original: English</dc:description>
  <cp:lastModifiedBy>Ibrahim Balan</cp:lastModifiedBy>
  <cp:revision>3</cp:revision>
  <cp:lastPrinted>2022-01-05T11:14:00Z</cp:lastPrinted>
  <dcterms:created xsi:type="dcterms:W3CDTF">2022-01-05T11:14:00Z</dcterms:created>
  <dcterms:modified xsi:type="dcterms:W3CDTF">2022-01-05T11:15:00Z</dcterms:modified>
  <cp:category>Finale</cp:category>
</cp:coreProperties>
</file>