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02682" w:rsidTr="00AE2A67">
        <w:trPr>
          <w:trHeight w:val="851"/>
        </w:trPr>
        <w:tc>
          <w:tcPr>
            <w:tcW w:w="1259" w:type="dxa"/>
            <w:tcBorders>
              <w:top w:val="nil"/>
              <w:left w:val="nil"/>
              <w:bottom w:val="single" w:sz="4" w:space="0" w:color="auto"/>
              <w:right w:val="nil"/>
            </w:tcBorders>
          </w:tcPr>
          <w:p w:rsidR="00446DE4" w:rsidRPr="00B1698F" w:rsidRDefault="00B1698F" w:rsidP="00B1698F">
            <w:pPr>
              <w:spacing w:line="20" w:lineRule="exact"/>
              <w:rPr>
                <w:sz w:val="2"/>
              </w:rPr>
            </w:pPr>
            <w:r>
              <w:rPr>
                <w:rStyle w:val="CommentReference"/>
                <w:lang w:val="x-none"/>
              </w:rPr>
              <w:commentReference w:id="0"/>
            </w:r>
          </w:p>
          <w:p w:rsidR="00B1698F" w:rsidRDefault="00B1698F"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C02682" w:rsidRDefault="00AE2A67" w:rsidP="00AE2A67">
            <w:pPr>
              <w:jc w:val="right"/>
            </w:pPr>
            <w:r w:rsidRPr="00C02682">
              <w:rPr>
                <w:sz w:val="40"/>
              </w:rPr>
              <w:t>CRC</w:t>
            </w:r>
            <w:r w:rsidRPr="00C02682">
              <w:t>/C/HND/CO/4-5</w:t>
            </w:r>
          </w:p>
        </w:tc>
      </w:tr>
      <w:tr w:rsidR="003107FA" w:rsidTr="00AE2A67">
        <w:trPr>
          <w:trHeight w:val="2835"/>
        </w:trPr>
        <w:tc>
          <w:tcPr>
            <w:tcW w:w="1259" w:type="dxa"/>
            <w:tcBorders>
              <w:top w:val="single" w:sz="4" w:space="0" w:color="auto"/>
              <w:left w:val="nil"/>
              <w:bottom w:val="single" w:sz="12" w:space="0" w:color="auto"/>
              <w:right w:val="nil"/>
            </w:tcBorders>
          </w:tcPr>
          <w:p w:rsidR="003107FA" w:rsidRDefault="0021333C" w:rsidP="00942BE3">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AE2A67" w:rsidP="00AE2A67">
            <w:pPr>
              <w:spacing w:before="240" w:line="240" w:lineRule="exact"/>
            </w:pPr>
            <w:r>
              <w:t>Distr.: General</w:t>
            </w:r>
          </w:p>
          <w:p w:rsidR="00AE2A67" w:rsidRDefault="00F241A4" w:rsidP="00AE2A67">
            <w:pPr>
              <w:spacing w:line="240" w:lineRule="exact"/>
            </w:pPr>
            <w:r>
              <w:t>3</w:t>
            </w:r>
            <w:r w:rsidR="00AE2A67">
              <w:t xml:space="preserve"> Ju</w:t>
            </w:r>
            <w:r w:rsidR="00E53A2D">
              <w:t>ly</w:t>
            </w:r>
            <w:r w:rsidR="00AE2A67">
              <w:t xml:space="preserve"> 2015</w:t>
            </w:r>
          </w:p>
          <w:p w:rsidR="00AE2A67" w:rsidRDefault="00AE2A67" w:rsidP="00AE2A67">
            <w:pPr>
              <w:spacing w:line="240" w:lineRule="exact"/>
            </w:pPr>
          </w:p>
          <w:p w:rsidR="00F36E77" w:rsidRDefault="00937E0E" w:rsidP="00AE2A67">
            <w:pPr>
              <w:spacing w:line="240" w:lineRule="exact"/>
            </w:pPr>
            <w:r>
              <w:t>Original: English</w:t>
            </w:r>
          </w:p>
          <w:p w:rsidR="00F36E77" w:rsidRPr="00F36E77" w:rsidRDefault="00F36E77" w:rsidP="00AE2A67">
            <w:pPr>
              <w:spacing w:line="240" w:lineRule="exact"/>
              <w:rPr>
                <w:b/>
              </w:rPr>
            </w:pPr>
          </w:p>
        </w:tc>
      </w:tr>
    </w:tbl>
    <w:p w:rsidR="001038EB" w:rsidRPr="00E3332D" w:rsidRDefault="001038EB" w:rsidP="001038EB">
      <w:pPr>
        <w:spacing w:before="120"/>
        <w:rPr>
          <w:b/>
          <w:sz w:val="24"/>
          <w:szCs w:val="24"/>
        </w:rPr>
      </w:pPr>
      <w:r w:rsidRPr="00E3332D">
        <w:rPr>
          <w:b/>
          <w:sz w:val="24"/>
          <w:szCs w:val="24"/>
        </w:rPr>
        <w:t>Committee on the Rights of the Child</w:t>
      </w:r>
    </w:p>
    <w:p w:rsidR="001038EB" w:rsidRPr="00701EA1" w:rsidRDefault="001038EB" w:rsidP="001038EB">
      <w:pPr>
        <w:pStyle w:val="HChG"/>
      </w:pPr>
      <w:r w:rsidRPr="00701EA1">
        <w:tab/>
      </w:r>
      <w:r w:rsidRPr="00701EA1">
        <w:tab/>
        <w:t xml:space="preserve">Concluding observations on the </w:t>
      </w:r>
      <w:r>
        <w:t xml:space="preserve">combined fourth and fifth </w:t>
      </w:r>
      <w:r w:rsidRPr="00701EA1">
        <w:t>periodic report</w:t>
      </w:r>
      <w:r>
        <w:t xml:space="preserve">s </w:t>
      </w:r>
      <w:r w:rsidRPr="00701EA1">
        <w:t xml:space="preserve">of </w:t>
      </w:r>
      <w:r>
        <w:t>Honduras</w:t>
      </w:r>
      <w:r w:rsidRPr="008106DD">
        <w:rPr>
          <w:rStyle w:val="FootnoteReference"/>
          <w:b w:val="0"/>
          <w:bCs/>
          <w:sz w:val="20"/>
          <w:vertAlign w:val="baseline"/>
        </w:rPr>
        <w:footnoteReference w:customMarkFollows="1" w:id="2"/>
        <w:t>*</w:t>
      </w:r>
    </w:p>
    <w:p w:rsidR="001038EB" w:rsidRPr="001038EB" w:rsidRDefault="001038EB" w:rsidP="001038EB">
      <w:pPr>
        <w:pStyle w:val="HChG"/>
        <w:rPr>
          <w:rFonts w:eastAsia="Malgun Gothic"/>
        </w:rPr>
      </w:pPr>
      <w:r>
        <w:rPr>
          <w:rFonts w:eastAsia="Malgun Gothic"/>
        </w:rPr>
        <w:tab/>
        <w:t>I.</w:t>
      </w:r>
      <w:r>
        <w:rPr>
          <w:rFonts w:eastAsia="Malgun Gothic"/>
        </w:rPr>
        <w:tab/>
      </w:r>
      <w:r w:rsidRPr="001038EB">
        <w:rPr>
          <w:rFonts w:eastAsia="Malgun Gothic"/>
        </w:rPr>
        <w:t>Introduction</w:t>
      </w:r>
      <w:bookmarkStart w:id="1" w:name="_GoBack"/>
      <w:bookmarkEnd w:id="1"/>
    </w:p>
    <w:p w:rsidR="001038EB" w:rsidRPr="001038EB" w:rsidRDefault="00113BF1" w:rsidP="00344165">
      <w:pPr>
        <w:pStyle w:val="SingleTxtG"/>
        <w:rPr>
          <w:rFonts w:eastAsia="Malgun Gothic"/>
        </w:rPr>
      </w:pPr>
      <w:r w:rsidRPr="001038EB">
        <w:rPr>
          <w:rFonts w:eastAsia="Malgun Gothic"/>
          <w:iCs/>
        </w:rPr>
        <w:t>1.</w:t>
      </w:r>
      <w:r w:rsidRPr="001038EB">
        <w:rPr>
          <w:rFonts w:eastAsia="Malgun Gothic"/>
          <w:iCs/>
        </w:rPr>
        <w:tab/>
      </w:r>
      <w:r w:rsidR="001038EB" w:rsidRPr="001038EB">
        <w:rPr>
          <w:rFonts w:eastAsia="Malgun Gothic"/>
        </w:rPr>
        <w:t>The Committee considered the combined fourth and fifth periodic reports of Honduras (CRC/C/HND/4-5) at its 1994</w:t>
      </w:r>
      <w:r w:rsidR="00E53A2D">
        <w:rPr>
          <w:rFonts w:eastAsia="Malgun Gothic"/>
        </w:rPr>
        <w:t>th</w:t>
      </w:r>
      <w:r w:rsidR="001038EB" w:rsidRPr="001038EB">
        <w:rPr>
          <w:rFonts w:eastAsia="Malgun Gothic"/>
        </w:rPr>
        <w:t xml:space="preserve"> and 1996th meetings (see CRC/C/SR.1994 and 1996), held on</w:t>
      </w:r>
      <w:r w:rsidR="009122F7">
        <w:rPr>
          <w:rFonts w:eastAsia="Malgun Gothic"/>
        </w:rPr>
        <w:t xml:space="preserve"> </w:t>
      </w:r>
      <w:r w:rsidR="001038EB" w:rsidRPr="001038EB">
        <w:rPr>
          <w:rFonts w:eastAsia="Malgun Gothic"/>
        </w:rPr>
        <w:t xml:space="preserve">21 May 2015, and adopted the following concluding observations at its 2024th meeting (see CRC/C/SR.2024), held on 5 June 2015. </w:t>
      </w:r>
    </w:p>
    <w:p w:rsidR="001038EB" w:rsidRPr="001038EB" w:rsidRDefault="00113BF1" w:rsidP="00344165">
      <w:pPr>
        <w:pStyle w:val="SingleTxtG"/>
        <w:rPr>
          <w:rFonts w:eastAsia="Malgun Gothic"/>
        </w:rPr>
      </w:pPr>
      <w:r w:rsidRPr="001038EB">
        <w:rPr>
          <w:rFonts w:eastAsia="Malgun Gothic"/>
          <w:iCs/>
        </w:rPr>
        <w:t>2.</w:t>
      </w:r>
      <w:r w:rsidRPr="001038EB">
        <w:rPr>
          <w:rFonts w:eastAsia="Malgun Gothic"/>
          <w:iCs/>
        </w:rPr>
        <w:tab/>
      </w:r>
      <w:r w:rsidR="001038EB" w:rsidRPr="001038EB">
        <w:rPr>
          <w:rFonts w:eastAsia="Malgun Gothic"/>
        </w:rPr>
        <w:t>The Committee welcomes the submission of the combined fourth and fifth periodic reports of the State party and the written replies to the list of issues (CRC/C/HND/Q/4-5/Add.1), which allowed for a better understanding of the situation of children’s rights in the State party. The Committee expresses appreciation for the constructive dialogue held with the high-level</w:t>
      </w:r>
      <w:r w:rsidR="008674AB">
        <w:rPr>
          <w:rFonts w:eastAsia="Malgun Gothic"/>
        </w:rPr>
        <w:t>,</w:t>
      </w:r>
      <w:r w:rsidR="001038EB" w:rsidRPr="001038EB">
        <w:rPr>
          <w:rFonts w:eastAsia="Malgun Gothic"/>
        </w:rPr>
        <w:t xml:space="preserve"> multisectoral delegation of the State party. </w:t>
      </w:r>
    </w:p>
    <w:p w:rsidR="001038EB" w:rsidRPr="001038EB" w:rsidRDefault="001038EB">
      <w:pPr>
        <w:pStyle w:val="HChG"/>
        <w:rPr>
          <w:rFonts w:eastAsia="Malgun Gothic"/>
        </w:rPr>
      </w:pPr>
      <w:r>
        <w:rPr>
          <w:rFonts w:eastAsia="Malgun Gothic"/>
        </w:rPr>
        <w:tab/>
        <w:t>II.</w:t>
      </w:r>
      <w:r>
        <w:rPr>
          <w:rFonts w:eastAsia="Malgun Gothic"/>
        </w:rPr>
        <w:tab/>
      </w:r>
      <w:r w:rsidRPr="001038EB">
        <w:rPr>
          <w:rFonts w:eastAsia="Malgun Gothic"/>
        </w:rPr>
        <w:t>Follow-up measures undertaken and progress achieved by</w:t>
      </w:r>
      <w:r w:rsidR="00647D4E">
        <w:rPr>
          <w:rFonts w:eastAsia="Malgun Gothic"/>
        </w:rPr>
        <w:t> </w:t>
      </w:r>
      <w:r w:rsidRPr="001038EB">
        <w:rPr>
          <w:rFonts w:eastAsia="Malgun Gothic"/>
        </w:rPr>
        <w:t>the State party</w:t>
      </w:r>
    </w:p>
    <w:p w:rsidR="001038EB" w:rsidRDefault="00113BF1" w:rsidP="00344165">
      <w:pPr>
        <w:pStyle w:val="SingleTxtG"/>
        <w:rPr>
          <w:rFonts w:eastAsia="Malgun Gothic"/>
          <w:lang w:eastAsia="zh-CN"/>
        </w:rPr>
      </w:pPr>
      <w:r>
        <w:rPr>
          <w:rFonts w:eastAsia="Malgun Gothic"/>
          <w:iCs/>
          <w:lang w:eastAsia="zh-CN"/>
        </w:rPr>
        <w:t>3.</w:t>
      </w:r>
      <w:r>
        <w:rPr>
          <w:rFonts w:eastAsia="Malgun Gothic"/>
          <w:iCs/>
          <w:lang w:eastAsia="zh-CN"/>
        </w:rPr>
        <w:tab/>
      </w:r>
      <w:r w:rsidR="001038EB" w:rsidRPr="00EF4C80">
        <w:rPr>
          <w:rFonts w:eastAsia="Malgun Gothic"/>
          <w:lang w:eastAsia="zh-CN"/>
        </w:rPr>
        <w:t>The Committee welcomes</w:t>
      </w:r>
      <w:r w:rsidR="001038EB">
        <w:rPr>
          <w:rFonts w:eastAsia="Malgun Gothic"/>
          <w:lang w:eastAsia="zh-CN"/>
        </w:rPr>
        <w:t xml:space="preserve"> </w:t>
      </w:r>
      <w:r w:rsidR="001038EB" w:rsidRPr="00EF4C80">
        <w:rPr>
          <w:rFonts w:eastAsia="Malgun Gothic"/>
          <w:lang w:eastAsia="zh-CN"/>
        </w:rPr>
        <w:t xml:space="preserve">the </w:t>
      </w:r>
      <w:r w:rsidR="00B8145D">
        <w:rPr>
          <w:rFonts w:eastAsia="Malgun Gothic"/>
          <w:lang w:eastAsia="zh-CN"/>
        </w:rPr>
        <w:t xml:space="preserve">State party’s </w:t>
      </w:r>
      <w:r w:rsidR="001038EB" w:rsidRPr="00EF4C80">
        <w:rPr>
          <w:rFonts w:eastAsia="Malgun Gothic"/>
          <w:lang w:eastAsia="zh-CN"/>
        </w:rPr>
        <w:t>ratification of</w:t>
      </w:r>
      <w:r w:rsidR="00B8145D">
        <w:rPr>
          <w:rFonts w:eastAsia="Malgun Gothic"/>
          <w:lang w:eastAsia="zh-CN"/>
        </w:rPr>
        <w:t xml:space="preserve"> or </w:t>
      </w:r>
      <w:r w:rsidR="001038EB">
        <w:rPr>
          <w:rFonts w:eastAsia="Malgun Gothic"/>
          <w:lang w:eastAsia="zh-CN"/>
        </w:rPr>
        <w:t>accession to:</w:t>
      </w:r>
    </w:p>
    <w:p w:rsidR="001038EB" w:rsidRPr="00A966DB" w:rsidRDefault="001038EB" w:rsidP="00113BF1">
      <w:pPr>
        <w:pStyle w:val="SingleTxtG"/>
        <w:ind w:firstLine="567"/>
        <w:rPr>
          <w:rFonts w:eastAsia="Malgun Gothic"/>
          <w:lang w:eastAsia="zh-CN"/>
        </w:rPr>
      </w:pPr>
      <w:r>
        <w:rPr>
          <w:rFonts w:eastAsia="Malgun Gothic"/>
          <w:lang w:eastAsia="zh-CN"/>
        </w:rPr>
        <w:t>(a)</w:t>
      </w:r>
      <w:r>
        <w:rPr>
          <w:rFonts w:eastAsia="Malgun Gothic"/>
          <w:lang w:eastAsia="zh-CN"/>
        </w:rPr>
        <w:tab/>
      </w:r>
      <w:r w:rsidR="00B8145D">
        <w:rPr>
          <w:rFonts w:eastAsia="Malgun Gothic"/>
          <w:lang w:eastAsia="zh-CN"/>
        </w:rPr>
        <w:t xml:space="preserve">The </w:t>
      </w:r>
      <w:r w:rsidRPr="000F259E">
        <w:rPr>
          <w:rFonts w:eastAsia="Malgun Gothic"/>
          <w:lang w:eastAsia="zh-CN"/>
        </w:rPr>
        <w:t>Convention on the Rights of Persons with Disabilities</w:t>
      </w:r>
      <w:r>
        <w:rPr>
          <w:rFonts w:eastAsia="Malgun Gothic"/>
          <w:lang w:eastAsia="zh-CN"/>
        </w:rPr>
        <w:t>, in 2008</w:t>
      </w:r>
      <w:r w:rsidR="0025784B">
        <w:rPr>
          <w:rFonts w:eastAsia="Malgun Gothic"/>
          <w:lang w:eastAsia="zh-CN"/>
        </w:rPr>
        <w:t>;</w:t>
      </w:r>
    </w:p>
    <w:p w:rsidR="001038EB" w:rsidRDefault="001038EB" w:rsidP="00113BF1">
      <w:pPr>
        <w:pStyle w:val="SingleTxtG"/>
        <w:ind w:firstLine="567"/>
        <w:rPr>
          <w:rFonts w:eastAsia="Malgun Gothic"/>
          <w:lang w:eastAsia="zh-CN"/>
        </w:rPr>
      </w:pPr>
      <w:r>
        <w:rPr>
          <w:rFonts w:eastAsia="Malgun Gothic"/>
          <w:lang w:eastAsia="zh-CN"/>
        </w:rPr>
        <w:t>(b)</w:t>
      </w:r>
      <w:r>
        <w:rPr>
          <w:rFonts w:eastAsia="Malgun Gothic"/>
          <w:lang w:eastAsia="zh-CN"/>
        </w:rPr>
        <w:tab/>
      </w:r>
      <w:r w:rsidR="00B8145D">
        <w:rPr>
          <w:rFonts w:eastAsia="Malgun Gothic"/>
          <w:lang w:eastAsia="zh-CN"/>
        </w:rPr>
        <w:t xml:space="preserve">The </w:t>
      </w:r>
      <w:r w:rsidR="00CA1414">
        <w:rPr>
          <w:rFonts w:eastAsia="Malgun Gothic"/>
          <w:lang w:eastAsia="zh-CN"/>
        </w:rPr>
        <w:t xml:space="preserve">International </w:t>
      </w:r>
      <w:r w:rsidRPr="00A966DB">
        <w:rPr>
          <w:rFonts w:eastAsia="Malgun Gothic"/>
          <w:lang w:eastAsia="zh-CN"/>
        </w:rPr>
        <w:t>Convention for the Protection of All Persons from Enforced Disappearance</w:t>
      </w:r>
      <w:r w:rsidR="00B8145D">
        <w:rPr>
          <w:rFonts w:eastAsia="Malgun Gothic"/>
          <w:lang w:eastAsia="zh-CN"/>
        </w:rPr>
        <w:t>,</w:t>
      </w:r>
      <w:r>
        <w:rPr>
          <w:rFonts w:eastAsia="Malgun Gothic"/>
          <w:lang w:eastAsia="zh-CN"/>
        </w:rPr>
        <w:t xml:space="preserve"> and its </w:t>
      </w:r>
      <w:r w:rsidR="00B8145D">
        <w:rPr>
          <w:rFonts w:eastAsia="Malgun Gothic"/>
          <w:lang w:eastAsia="zh-CN"/>
        </w:rPr>
        <w:t>acceptance of the i</w:t>
      </w:r>
      <w:r>
        <w:rPr>
          <w:rFonts w:eastAsia="Malgun Gothic"/>
          <w:lang w:eastAsia="zh-CN"/>
        </w:rPr>
        <w:t>nquiry procedure</w:t>
      </w:r>
      <w:r w:rsidR="00B8145D">
        <w:rPr>
          <w:rFonts w:eastAsia="Malgun Gothic"/>
          <w:lang w:eastAsia="zh-CN"/>
        </w:rPr>
        <w:t xml:space="preserve"> thereunder</w:t>
      </w:r>
      <w:r>
        <w:rPr>
          <w:rFonts w:eastAsia="Malgun Gothic"/>
          <w:lang w:eastAsia="zh-CN"/>
        </w:rPr>
        <w:t>, in 2008</w:t>
      </w:r>
      <w:r w:rsidR="0025784B">
        <w:rPr>
          <w:rFonts w:eastAsia="Malgun Gothic"/>
          <w:lang w:eastAsia="zh-CN"/>
        </w:rPr>
        <w:t>;</w:t>
      </w:r>
    </w:p>
    <w:p w:rsidR="001038EB" w:rsidRPr="000F259E" w:rsidRDefault="001038EB" w:rsidP="00113BF1">
      <w:pPr>
        <w:pStyle w:val="SingleTxtG"/>
        <w:ind w:firstLine="567"/>
        <w:rPr>
          <w:rFonts w:eastAsia="Malgun Gothic"/>
          <w:lang w:eastAsia="zh-CN"/>
        </w:rPr>
      </w:pPr>
      <w:r>
        <w:rPr>
          <w:rFonts w:eastAsia="Malgun Gothic"/>
          <w:lang w:eastAsia="zh-CN"/>
        </w:rPr>
        <w:t>(c)</w:t>
      </w:r>
      <w:r>
        <w:rPr>
          <w:rFonts w:eastAsia="Malgun Gothic"/>
          <w:lang w:eastAsia="zh-CN"/>
        </w:rPr>
        <w:tab/>
      </w:r>
      <w:r w:rsidR="00B8145D">
        <w:rPr>
          <w:rFonts w:eastAsia="Malgun Gothic"/>
          <w:lang w:eastAsia="zh-CN"/>
        </w:rPr>
        <w:t xml:space="preserve">The </w:t>
      </w:r>
      <w:r>
        <w:rPr>
          <w:rFonts w:eastAsia="Malgun Gothic"/>
          <w:lang w:eastAsia="zh-CN"/>
        </w:rPr>
        <w:t>Optional P</w:t>
      </w:r>
      <w:r w:rsidRPr="00CB742D">
        <w:rPr>
          <w:rFonts w:eastAsia="Malgun Gothic"/>
          <w:lang w:eastAsia="zh-CN"/>
        </w:rPr>
        <w:t>rotocol to the Convention on the Rights of Persons with Disabilities</w:t>
      </w:r>
      <w:r>
        <w:rPr>
          <w:rFonts w:eastAsia="Malgun Gothic"/>
          <w:lang w:eastAsia="zh-CN"/>
        </w:rPr>
        <w:t>, in 2010</w:t>
      </w:r>
      <w:r w:rsidR="0025784B">
        <w:rPr>
          <w:rFonts w:eastAsia="Malgun Gothic"/>
          <w:lang w:eastAsia="zh-CN"/>
        </w:rPr>
        <w:t>;</w:t>
      </w:r>
    </w:p>
    <w:p w:rsidR="001038EB" w:rsidRDefault="001038EB" w:rsidP="00113BF1">
      <w:pPr>
        <w:pStyle w:val="SingleTxtG"/>
        <w:ind w:firstLine="567"/>
        <w:rPr>
          <w:rFonts w:eastAsia="Malgun Gothic"/>
          <w:lang w:eastAsia="zh-CN"/>
        </w:rPr>
      </w:pPr>
      <w:r>
        <w:rPr>
          <w:rFonts w:eastAsia="Malgun Gothic"/>
          <w:lang w:eastAsia="zh-CN"/>
        </w:rPr>
        <w:t>(d)</w:t>
      </w:r>
      <w:r>
        <w:rPr>
          <w:rFonts w:eastAsia="Malgun Gothic"/>
          <w:lang w:eastAsia="zh-CN"/>
        </w:rPr>
        <w:tab/>
      </w:r>
      <w:r w:rsidR="00B8145D">
        <w:rPr>
          <w:rFonts w:eastAsia="Malgun Gothic"/>
          <w:lang w:eastAsia="zh-CN"/>
        </w:rPr>
        <w:t xml:space="preserve">The </w:t>
      </w:r>
      <w:r w:rsidRPr="000F259E">
        <w:rPr>
          <w:rFonts w:eastAsia="Malgun Gothic"/>
          <w:lang w:eastAsia="zh-CN"/>
        </w:rPr>
        <w:t>Second Optional Protocol to the International Covenant on Civil and Political Rights, aiming at the abolition of the death penalty</w:t>
      </w:r>
      <w:r>
        <w:rPr>
          <w:rFonts w:eastAsia="Malgun Gothic"/>
          <w:lang w:eastAsia="zh-CN"/>
        </w:rPr>
        <w:t>, in 2008</w:t>
      </w:r>
      <w:r w:rsidR="0025784B">
        <w:rPr>
          <w:rFonts w:eastAsia="Malgun Gothic"/>
          <w:lang w:eastAsia="zh-CN"/>
        </w:rPr>
        <w:t>;</w:t>
      </w:r>
    </w:p>
    <w:p w:rsidR="001038EB" w:rsidRDefault="001038EB" w:rsidP="00113BF1">
      <w:pPr>
        <w:pStyle w:val="SingleTxtG"/>
        <w:ind w:firstLine="567"/>
        <w:rPr>
          <w:rFonts w:eastAsia="Malgun Gothic"/>
          <w:lang w:eastAsia="zh-CN"/>
        </w:rPr>
      </w:pPr>
      <w:r>
        <w:rPr>
          <w:rFonts w:eastAsia="Malgun Gothic"/>
          <w:lang w:eastAsia="zh-CN"/>
        </w:rPr>
        <w:t>(e)</w:t>
      </w:r>
      <w:r>
        <w:rPr>
          <w:rFonts w:eastAsia="Malgun Gothic"/>
          <w:lang w:eastAsia="zh-CN"/>
        </w:rPr>
        <w:tab/>
      </w:r>
      <w:r w:rsidR="00B8145D">
        <w:rPr>
          <w:rFonts w:eastAsia="Malgun Gothic"/>
          <w:lang w:eastAsia="zh-CN"/>
        </w:rPr>
        <w:t xml:space="preserve">The </w:t>
      </w:r>
      <w:r w:rsidRPr="004420EE">
        <w:rPr>
          <w:rFonts w:eastAsia="Malgun Gothic"/>
          <w:lang w:eastAsia="zh-CN"/>
        </w:rPr>
        <w:t xml:space="preserve">Inter-American Convention on the Elimination of </w:t>
      </w:r>
      <w:r w:rsidR="006F37F7">
        <w:rPr>
          <w:rFonts w:eastAsia="Malgun Gothic"/>
          <w:lang w:eastAsia="zh-CN"/>
        </w:rPr>
        <w:t>A</w:t>
      </w:r>
      <w:r w:rsidRPr="004420EE">
        <w:rPr>
          <w:rFonts w:eastAsia="Malgun Gothic"/>
          <w:lang w:eastAsia="zh-CN"/>
        </w:rPr>
        <w:t xml:space="preserve">ll Forms of Discrimination </w:t>
      </w:r>
      <w:r w:rsidR="006F37F7">
        <w:rPr>
          <w:rFonts w:eastAsia="Malgun Gothic"/>
          <w:lang w:eastAsia="zh-CN"/>
        </w:rPr>
        <w:t>a</w:t>
      </w:r>
      <w:r w:rsidRPr="004420EE">
        <w:rPr>
          <w:rFonts w:eastAsia="Malgun Gothic"/>
          <w:lang w:eastAsia="zh-CN"/>
        </w:rPr>
        <w:t>gainst Persons with Disabilities, in 2011</w:t>
      </w:r>
      <w:r w:rsidR="0025784B">
        <w:rPr>
          <w:rFonts w:eastAsia="Malgun Gothic"/>
          <w:lang w:eastAsia="zh-CN"/>
        </w:rPr>
        <w:t>;</w:t>
      </w:r>
    </w:p>
    <w:p w:rsidR="001038EB" w:rsidRDefault="001038EB" w:rsidP="00113BF1">
      <w:pPr>
        <w:pStyle w:val="SingleTxtG"/>
        <w:ind w:firstLine="567"/>
        <w:rPr>
          <w:rFonts w:eastAsia="Malgun Gothic"/>
          <w:lang w:eastAsia="zh-CN"/>
        </w:rPr>
      </w:pPr>
      <w:r>
        <w:rPr>
          <w:rFonts w:eastAsia="Malgun Gothic"/>
          <w:lang w:eastAsia="zh-CN"/>
        </w:rPr>
        <w:t>(f)</w:t>
      </w:r>
      <w:r>
        <w:rPr>
          <w:rFonts w:eastAsia="Malgun Gothic"/>
          <w:lang w:eastAsia="zh-CN"/>
        </w:rPr>
        <w:tab/>
      </w:r>
      <w:r w:rsidR="00B8145D">
        <w:rPr>
          <w:rFonts w:eastAsia="Malgun Gothic"/>
          <w:lang w:eastAsia="zh-CN"/>
        </w:rPr>
        <w:t xml:space="preserve">The </w:t>
      </w:r>
      <w:r w:rsidRPr="00FE7C80">
        <w:rPr>
          <w:rFonts w:eastAsia="Malgun Gothic"/>
          <w:lang w:eastAsia="zh-CN"/>
        </w:rPr>
        <w:t>Protocol to the American Convention on Human Rights to Abolish the Death Penalty</w:t>
      </w:r>
      <w:r>
        <w:rPr>
          <w:rFonts w:eastAsia="Malgun Gothic"/>
          <w:lang w:eastAsia="zh-CN"/>
        </w:rPr>
        <w:t>, in 2011</w:t>
      </w:r>
      <w:r w:rsidR="0025784B">
        <w:rPr>
          <w:rFonts w:eastAsia="Malgun Gothic"/>
          <w:lang w:eastAsia="zh-CN"/>
        </w:rPr>
        <w:t>;</w:t>
      </w:r>
    </w:p>
    <w:p w:rsidR="001038EB" w:rsidRDefault="001038EB" w:rsidP="00113BF1">
      <w:pPr>
        <w:pStyle w:val="SingleTxtG"/>
        <w:ind w:firstLine="567"/>
        <w:rPr>
          <w:rFonts w:eastAsia="Malgun Gothic"/>
          <w:lang w:eastAsia="zh-CN"/>
        </w:rPr>
      </w:pPr>
      <w:r>
        <w:rPr>
          <w:rFonts w:eastAsia="Malgun Gothic"/>
          <w:lang w:eastAsia="zh-CN"/>
        </w:rPr>
        <w:lastRenderedPageBreak/>
        <w:t>(g)</w:t>
      </w:r>
      <w:r>
        <w:rPr>
          <w:rFonts w:eastAsia="Malgun Gothic"/>
          <w:lang w:eastAsia="zh-CN"/>
        </w:rPr>
        <w:tab/>
      </w:r>
      <w:r w:rsidR="00B8145D">
        <w:rPr>
          <w:rFonts w:eastAsia="Malgun Gothic"/>
          <w:lang w:eastAsia="zh-CN"/>
        </w:rPr>
        <w:t xml:space="preserve">The </w:t>
      </w:r>
      <w:r>
        <w:rPr>
          <w:rFonts w:eastAsia="Malgun Gothic"/>
          <w:lang w:eastAsia="zh-CN"/>
        </w:rPr>
        <w:t xml:space="preserve">Additional Protocol to the American Convention on Human Rights in the Area of Economic, Social and Cultural Rights </w:t>
      </w:r>
      <w:r w:rsidR="006171BF">
        <w:rPr>
          <w:rFonts w:eastAsia="Malgun Gothic"/>
          <w:lang w:eastAsia="zh-CN"/>
        </w:rPr>
        <w:t>(</w:t>
      </w:r>
      <w:r>
        <w:rPr>
          <w:rFonts w:eastAsia="Malgun Gothic"/>
          <w:lang w:eastAsia="zh-CN"/>
        </w:rPr>
        <w:t>Protocol of San Salvador</w:t>
      </w:r>
      <w:r w:rsidR="006171BF">
        <w:rPr>
          <w:rFonts w:eastAsia="Malgun Gothic"/>
          <w:lang w:eastAsia="zh-CN"/>
        </w:rPr>
        <w:t>)</w:t>
      </w:r>
      <w:r>
        <w:rPr>
          <w:rFonts w:eastAsia="Malgun Gothic"/>
          <w:lang w:eastAsia="zh-CN"/>
        </w:rPr>
        <w:t>, in 2011.</w:t>
      </w:r>
    </w:p>
    <w:p w:rsidR="001038EB" w:rsidRPr="001038EB" w:rsidRDefault="00113BF1" w:rsidP="00344165">
      <w:pPr>
        <w:pStyle w:val="SingleTxtG"/>
        <w:rPr>
          <w:rFonts w:eastAsia="Malgun Gothic"/>
        </w:rPr>
      </w:pPr>
      <w:r w:rsidRPr="001038EB">
        <w:rPr>
          <w:rFonts w:eastAsia="Malgun Gothic"/>
          <w:iCs/>
        </w:rPr>
        <w:t>4.</w:t>
      </w:r>
      <w:r w:rsidRPr="001038EB">
        <w:rPr>
          <w:rFonts w:eastAsia="Malgun Gothic"/>
          <w:iCs/>
        </w:rPr>
        <w:tab/>
      </w:r>
      <w:r w:rsidR="001038EB" w:rsidRPr="001038EB">
        <w:rPr>
          <w:rFonts w:eastAsia="Malgun Gothic"/>
        </w:rPr>
        <w:t>The Committee also notes with appreciation the adoption of the following legislative measures:</w:t>
      </w:r>
    </w:p>
    <w:p w:rsidR="001038EB" w:rsidRPr="001038EB" w:rsidRDefault="001038EB" w:rsidP="00113BF1">
      <w:pPr>
        <w:pStyle w:val="SingleTxtG"/>
        <w:ind w:firstLine="567"/>
      </w:pPr>
      <w:r>
        <w:t>(a)</w:t>
      </w:r>
      <w:r>
        <w:tab/>
      </w:r>
      <w:r w:rsidRPr="001038EB">
        <w:t>Legislative Decree</w:t>
      </w:r>
      <w:r w:rsidR="008969E1">
        <w:t xml:space="preserve"> No. </w:t>
      </w:r>
      <w:r w:rsidRPr="001038EB">
        <w:t>23-2013 of 25 February 2013 amending the Criminal Code in respect of the offence of discrimination</w:t>
      </w:r>
      <w:r w:rsidR="005E4A35">
        <w:t>;</w:t>
      </w:r>
    </w:p>
    <w:p w:rsidR="001038EB" w:rsidRPr="001038EB" w:rsidRDefault="001038EB" w:rsidP="00113BF1">
      <w:pPr>
        <w:pStyle w:val="SingleTxtG"/>
        <w:ind w:firstLine="567"/>
        <w:rPr>
          <w:rFonts w:eastAsia="Malgun Gothic"/>
        </w:rPr>
      </w:pPr>
      <w:r>
        <w:t>(b)</w:t>
      </w:r>
      <w:r>
        <w:tab/>
      </w:r>
      <w:r w:rsidRPr="001038EB">
        <w:t>The Fundamental Act on Education of 19 January 2012</w:t>
      </w:r>
      <w:r w:rsidR="005E4A35">
        <w:t>;</w:t>
      </w:r>
    </w:p>
    <w:p w:rsidR="001038EB" w:rsidRPr="001038EB" w:rsidRDefault="001038EB" w:rsidP="00113BF1">
      <w:pPr>
        <w:pStyle w:val="SingleTxtG"/>
        <w:ind w:firstLine="567"/>
      </w:pPr>
      <w:r>
        <w:t>(c)</w:t>
      </w:r>
      <w:r>
        <w:tab/>
      </w:r>
      <w:r w:rsidRPr="001038EB">
        <w:t>The Supplementary Income in Rural and Marginalized Urban Areas Act of 29 July 2010.</w:t>
      </w:r>
    </w:p>
    <w:p w:rsidR="001038EB" w:rsidRDefault="00113BF1" w:rsidP="00344165">
      <w:pPr>
        <w:pStyle w:val="SingleTxtG"/>
        <w:rPr>
          <w:rFonts w:eastAsia="Malgun Gothic"/>
          <w:lang w:eastAsia="zh-CN"/>
        </w:rPr>
      </w:pPr>
      <w:r>
        <w:rPr>
          <w:rFonts w:eastAsia="Malgun Gothic"/>
          <w:iCs/>
          <w:lang w:eastAsia="zh-CN"/>
        </w:rPr>
        <w:t>5.</w:t>
      </w:r>
      <w:r>
        <w:rPr>
          <w:rFonts w:eastAsia="Malgun Gothic"/>
          <w:iCs/>
          <w:lang w:eastAsia="zh-CN"/>
        </w:rPr>
        <w:tab/>
      </w:r>
      <w:r w:rsidR="001038EB" w:rsidRPr="00EF4C80">
        <w:rPr>
          <w:rFonts w:eastAsia="Malgun Gothic"/>
          <w:lang w:eastAsia="zh-CN"/>
        </w:rPr>
        <w:t xml:space="preserve">The Committee </w:t>
      </w:r>
      <w:r w:rsidR="001038EB">
        <w:rPr>
          <w:rFonts w:eastAsia="Malgun Gothic"/>
          <w:lang w:eastAsia="zh-CN"/>
        </w:rPr>
        <w:t>further</w:t>
      </w:r>
      <w:r w:rsidR="001038EB" w:rsidRPr="00EF4C80">
        <w:rPr>
          <w:rFonts w:eastAsia="Malgun Gothic"/>
          <w:lang w:eastAsia="zh-CN"/>
        </w:rPr>
        <w:t xml:space="preserve"> welcomes the following </w:t>
      </w:r>
      <w:r w:rsidR="001038EB">
        <w:rPr>
          <w:rFonts w:eastAsia="Malgun Gothic"/>
          <w:lang w:eastAsia="zh-CN"/>
        </w:rPr>
        <w:t xml:space="preserve">institutional and </w:t>
      </w:r>
      <w:r w:rsidR="001038EB" w:rsidRPr="00EF4C80">
        <w:rPr>
          <w:rFonts w:eastAsia="Malgun Gothic"/>
          <w:lang w:eastAsia="zh-CN"/>
        </w:rPr>
        <w:t>policy measures:</w:t>
      </w:r>
    </w:p>
    <w:p w:rsidR="001038EB" w:rsidRDefault="001038EB" w:rsidP="00113BF1">
      <w:pPr>
        <w:pStyle w:val="SingleTxtG"/>
        <w:ind w:firstLine="567"/>
      </w:pPr>
      <w:r>
        <w:t>(a)</w:t>
      </w:r>
      <w:r>
        <w:tab/>
        <w:t xml:space="preserve">The creation of the Directorate </w:t>
      </w:r>
      <w:r w:rsidR="0088400E">
        <w:t>for</w:t>
      </w:r>
      <w:r>
        <w:t xml:space="preserve"> Child</w:t>
      </w:r>
      <w:r w:rsidR="0088400E">
        <w:t>ren</w:t>
      </w:r>
      <w:r>
        <w:t>, Adolescen</w:t>
      </w:r>
      <w:r w:rsidR="001C4665">
        <w:t>ts</w:t>
      </w:r>
      <w:r>
        <w:t xml:space="preserve"> and </w:t>
      </w:r>
      <w:r w:rsidR="00C12151">
        <w:t xml:space="preserve">the </w:t>
      </w:r>
      <w:r>
        <w:t xml:space="preserve">Family, in June 2014, replacing the Honduran Institute </w:t>
      </w:r>
      <w:r w:rsidR="0043021B">
        <w:t>for</w:t>
      </w:r>
      <w:r>
        <w:t xml:space="preserve"> Child</w:t>
      </w:r>
      <w:r w:rsidR="0043021B">
        <w:t>ren</w:t>
      </w:r>
      <w:r>
        <w:t xml:space="preserve"> and</w:t>
      </w:r>
      <w:r w:rsidR="0043021B">
        <w:t xml:space="preserve"> the</w:t>
      </w:r>
      <w:r>
        <w:t xml:space="preserve"> Family</w:t>
      </w:r>
      <w:r w:rsidR="006D101C">
        <w:t>;</w:t>
      </w:r>
    </w:p>
    <w:p w:rsidR="001038EB" w:rsidRDefault="001038EB" w:rsidP="00113BF1">
      <w:pPr>
        <w:pStyle w:val="SingleTxtG"/>
        <w:ind w:firstLine="567"/>
      </w:pPr>
      <w:r>
        <w:t>(b)</w:t>
      </w:r>
      <w:r>
        <w:tab/>
      </w:r>
      <w:r w:rsidRPr="0049405F">
        <w:t>The first Public Policy and National Pla</w:t>
      </w:r>
      <w:r>
        <w:t>n of Action on Human Rights</w:t>
      </w:r>
      <w:r w:rsidR="00752404">
        <w:t>,</w:t>
      </w:r>
      <w:r>
        <w:t xml:space="preserve"> 2013</w:t>
      </w:r>
      <w:r w:rsidR="00E425B1">
        <w:t>–</w:t>
      </w:r>
      <w:r>
        <w:t>2022</w:t>
      </w:r>
      <w:r w:rsidRPr="0049405F">
        <w:t xml:space="preserve">, </w:t>
      </w:r>
      <w:r w:rsidR="00752404">
        <w:t>adopted on</w:t>
      </w:r>
      <w:r w:rsidR="00752404" w:rsidRPr="0049405F">
        <w:t xml:space="preserve"> </w:t>
      </w:r>
      <w:r w:rsidRPr="0049405F">
        <w:t>22 January 2013</w:t>
      </w:r>
      <w:r w:rsidR="006D101C">
        <w:t>;</w:t>
      </w:r>
    </w:p>
    <w:p w:rsidR="001038EB" w:rsidRPr="0049405F" w:rsidRDefault="001038EB" w:rsidP="00113BF1">
      <w:pPr>
        <w:pStyle w:val="SingleTxtG"/>
        <w:ind w:firstLine="567"/>
      </w:pPr>
      <w:r>
        <w:t>(c)</w:t>
      </w:r>
      <w:r>
        <w:tab/>
      </w:r>
      <w:r w:rsidRPr="0049405F">
        <w:t>The Comprehensive Early C</w:t>
      </w:r>
      <w:r>
        <w:t>hildhood Development Policy</w:t>
      </w:r>
      <w:r w:rsidRPr="0049405F">
        <w:t xml:space="preserve">, </w:t>
      </w:r>
      <w:r w:rsidR="00752404">
        <w:t>adopted on</w:t>
      </w:r>
      <w:r w:rsidRPr="0049405F">
        <w:t xml:space="preserve"> 21 August 2012</w:t>
      </w:r>
      <w:r w:rsidR="006D101C">
        <w:t>;</w:t>
      </w:r>
    </w:p>
    <w:p w:rsidR="001038EB" w:rsidRPr="00B855D9" w:rsidRDefault="001038EB" w:rsidP="00113BF1">
      <w:pPr>
        <w:pStyle w:val="SingleTxtG"/>
        <w:ind w:firstLine="567"/>
      </w:pPr>
      <w:r>
        <w:t>(d)</w:t>
      </w:r>
      <w:r>
        <w:tab/>
      </w:r>
      <w:r w:rsidRPr="0049405F">
        <w:t>T</w:t>
      </w:r>
      <w:r>
        <w:t xml:space="preserve">he Social Protection Policy, </w:t>
      </w:r>
      <w:r w:rsidR="00752404">
        <w:t>adopted on</w:t>
      </w:r>
      <w:r>
        <w:t xml:space="preserve"> 8 March 2012</w:t>
      </w:r>
      <w:r w:rsidR="006D101C">
        <w:t>;</w:t>
      </w:r>
    </w:p>
    <w:p w:rsidR="001038EB" w:rsidRDefault="001038EB" w:rsidP="00113BF1">
      <w:pPr>
        <w:pStyle w:val="SingleTxtG"/>
        <w:ind w:firstLine="567"/>
      </w:pPr>
      <w:r>
        <w:t>(e)</w:t>
      </w:r>
      <w:r>
        <w:tab/>
      </w:r>
      <w:r w:rsidRPr="0049405F">
        <w:t>The Road Map for the Prevention and E</w:t>
      </w:r>
      <w:r>
        <w:t>radication of Child Labour and i</w:t>
      </w:r>
      <w:r w:rsidRPr="0049405F">
        <w:t>ts Worst Forms</w:t>
      </w:r>
      <w:r>
        <w:t xml:space="preserve">, </w:t>
      </w:r>
      <w:r w:rsidR="00752404">
        <w:t xml:space="preserve">adopted </w:t>
      </w:r>
      <w:r>
        <w:t>o</w:t>
      </w:r>
      <w:r w:rsidR="00752404">
        <w:t>n</w:t>
      </w:r>
      <w:r>
        <w:t xml:space="preserve"> 15 February 2011, and the</w:t>
      </w:r>
      <w:r w:rsidRPr="0049405F">
        <w:t xml:space="preserve"> second Plan of Action for the Prevention and Eradication of Child Labour in Honduras</w:t>
      </w:r>
      <w:r w:rsidR="00752404">
        <w:t>,</w:t>
      </w:r>
      <w:r w:rsidRPr="0049405F">
        <w:t xml:space="preserve"> 2008</w:t>
      </w:r>
      <w:r w:rsidRPr="00A24459">
        <w:rPr>
          <w:szCs w:val="24"/>
        </w:rPr>
        <w:t>–</w:t>
      </w:r>
      <w:r w:rsidRPr="0049405F">
        <w:t>2015</w:t>
      </w:r>
      <w:r w:rsidR="006D101C">
        <w:t>;</w:t>
      </w:r>
    </w:p>
    <w:p w:rsidR="001038EB" w:rsidRDefault="001038EB" w:rsidP="00113BF1">
      <w:pPr>
        <w:pStyle w:val="SingleTxtG"/>
        <w:ind w:firstLine="567"/>
      </w:pPr>
      <w:r>
        <w:t>(f)</w:t>
      </w:r>
      <w:r>
        <w:tab/>
        <w:t>T</w:t>
      </w:r>
      <w:r w:rsidRPr="0049405F">
        <w:t>he National Policy on Women and the Second Gender Equality Plan</w:t>
      </w:r>
      <w:r w:rsidR="00752404">
        <w:t>,</w:t>
      </w:r>
      <w:r w:rsidRPr="0049405F">
        <w:t xml:space="preserve"> 2010</w:t>
      </w:r>
      <w:r w:rsidR="00752404">
        <w:rPr>
          <w:szCs w:val="24"/>
        </w:rPr>
        <w:t>–</w:t>
      </w:r>
      <w:r>
        <w:t>2022</w:t>
      </w:r>
      <w:r w:rsidRPr="0049405F">
        <w:t>,</w:t>
      </w:r>
      <w:r w:rsidR="000E1AAC">
        <w:t xml:space="preserve"> adopted</w:t>
      </w:r>
      <w:r w:rsidRPr="0049405F">
        <w:t xml:space="preserve"> </w:t>
      </w:r>
      <w:r w:rsidR="000E1AAC">
        <w:t xml:space="preserve">on </w:t>
      </w:r>
      <w:r w:rsidRPr="0049405F">
        <w:t>6 July 2010</w:t>
      </w:r>
      <w:r w:rsidR="006D101C">
        <w:t>;</w:t>
      </w:r>
    </w:p>
    <w:p w:rsidR="001038EB" w:rsidRDefault="001038EB" w:rsidP="00113BF1">
      <w:pPr>
        <w:pStyle w:val="SingleTxtG"/>
        <w:ind w:firstLine="567"/>
      </w:pPr>
      <w:r>
        <w:t>(g)</w:t>
      </w:r>
      <w:r>
        <w:tab/>
      </w:r>
      <w:r w:rsidRPr="0049405F">
        <w:t xml:space="preserve">The National Policy and Strategy </w:t>
      </w:r>
      <w:r>
        <w:t>on Food and Nutrition Security</w:t>
      </w:r>
      <w:r w:rsidRPr="0049405F">
        <w:t xml:space="preserve">, </w:t>
      </w:r>
      <w:r w:rsidR="000E1AAC">
        <w:t>adopted on</w:t>
      </w:r>
      <w:r w:rsidRPr="0049405F">
        <w:t xml:space="preserve"> 24</w:t>
      </w:r>
      <w:r w:rsidR="00461A32">
        <w:t> </w:t>
      </w:r>
      <w:r w:rsidRPr="0049405F">
        <w:t>August 2010</w:t>
      </w:r>
      <w:r w:rsidR="006D101C">
        <w:t>;</w:t>
      </w:r>
    </w:p>
    <w:p w:rsidR="001038EB" w:rsidRDefault="001038EB" w:rsidP="00113BF1">
      <w:pPr>
        <w:pStyle w:val="SingleTxtG"/>
        <w:ind w:firstLine="567"/>
      </w:pPr>
      <w:r>
        <w:t>(h)</w:t>
      </w:r>
      <w:r>
        <w:tab/>
      </w:r>
      <w:r w:rsidRPr="0049405F">
        <w:t xml:space="preserve">The National Youth Policy, </w:t>
      </w:r>
      <w:r w:rsidR="000E1AAC">
        <w:t>adopted on</w:t>
      </w:r>
      <w:r w:rsidRPr="0049405F">
        <w:t xml:space="preserve"> 21 December 2010</w:t>
      </w:r>
      <w:r w:rsidR="006D101C">
        <w:t>;</w:t>
      </w:r>
    </w:p>
    <w:p w:rsidR="001038EB" w:rsidRPr="00B855D9" w:rsidRDefault="001038EB" w:rsidP="00113BF1">
      <w:pPr>
        <w:pStyle w:val="SingleTxtG"/>
        <w:ind w:firstLine="567"/>
      </w:pPr>
      <w:r>
        <w:t>(i)</w:t>
      </w:r>
      <w:r>
        <w:tab/>
      </w:r>
      <w:r w:rsidRPr="0049405F">
        <w:t xml:space="preserve">The National Standards for Maternal and Newborn Care, </w:t>
      </w:r>
      <w:r w:rsidR="000E1AAC">
        <w:t>adopted on</w:t>
      </w:r>
      <w:r w:rsidRPr="0049405F">
        <w:t xml:space="preserve"> 27 August 2010</w:t>
      </w:r>
      <w:r w:rsidR="000E1AAC">
        <w:t>,</w:t>
      </w:r>
      <w:r>
        <w:t xml:space="preserve"> and the </w:t>
      </w:r>
      <w:r w:rsidRPr="0049405F">
        <w:t>Policy on Accelerated Reduction of M</w:t>
      </w:r>
      <w:r>
        <w:t>aternal and Infant Mortality</w:t>
      </w:r>
      <w:r w:rsidRPr="0049405F">
        <w:t xml:space="preserve">, </w:t>
      </w:r>
      <w:r w:rsidR="000E1AAC">
        <w:t>adopted on</w:t>
      </w:r>
      <w:r w:rsidRPr="0049405F">
        <w:t xml:space="preserve"> 25 April 2008.</w:t>
      </w:r>
    </w:p>
    <w:p w:rsidR="001038EB" w:rsidRPr="001038EB" w:rsidRDefault="00113BF1" w:rsidP="00344165">
      <w:pPr>
        <w:pStyle w:val="SingleTxtG"/>
      </w:pPr>
      <w:r w:rsidRPr="001038EB">
        <w:rPr>
          <w:iCs/>
        </w:rPr>
        <w:t>6.</w:t>
      </w:r>
      <w:r w:rsidRPr="001038EB">
        <w:rPr>
          <w:iCs/>
        </w:rPr>
        <w:tab/>
      </w:r>
      <w:r w:rsidR="001038EB" w:rsidRPr="001038EB">
        <w:t xml:space="preserve">The Committee commends the </w:t>
      </w:r>
      <w:r w:rsidR="00334590">
        <w:t xml:space="preserve">extension </w:t>
      </w:r>
      <w:r w:rsidR="001038EB" w:rsidRPr="001038EB">
        <w:t>by the State party</w:t>
      </w:r>
      <w:r w:rsidR="00334590">
        <w:t xml:space="preserve"> of its first invitation</w:t>
      </w:r>
      <w:r w:rsidR="001038EB" w:rsidRPr="001038EB">
        <w:t xml:space="preserve"> to United Nations special procedures</w:t>
      </w:r>
      <w:r w:rsidR="00334590">
        <w:t>,</w:t>
      </w:r>
      <w:r w:rsidR="001038EB" w:rsidRPr="001038EB">
        <w:t xml:space="preserve"> in May 2010. The Committee welcomes the visits of the Special Rapporteur on violence against women, its causes and consequences, and the Special Rapporteur on the sale of children, child prostitution </w:t>
      </w:r>
      <w:r w:rsidR="001038EB">
        <w:t>and child pornography, in 2014.</w:t>
      </w:r>
    </w:p>
    <w:p w:rsidR="001038EB" w:rsidRPr="001038EB" w:rsidRDefault="001038EB" w:rsidP="001038EB">
      <w:pPr>
        <w:pStyle w:val="HChG"/>
        <w:rPr>
          <w:rFonts w:eastAsia="Malgun Gothic"/>
        </w:rPr>
      </w:pPr>
      <w:r>
        <w:rPr>
          <w:rFonts w:eastAsia="Malgun Gothic"/>
        </w:rPr>
        <w:tab/>
        <w:t>III.</w:t>
      </w:r>
      <w:r>
        <w:rPr>
          <w:rFonts w:eastAsia="Malgun Gothic"/>
        </w:rPr>
        <w:tab/>
      </w:r>
      <w:r w:rsidRPr="001038EB">
        <w:rPr>
          <w:rFonts w:eastAsia="Malgun Gothic"/>
        </w:rPr>
        <w:t>Main areas of concern and recommendations</w:t>
      </w:r>
    </w:p>
    <w:p w:rsidR="001038EB" w:rsidRPr="001038EB" w:rsidRDefault="001038EB" w:rsidP="001038EB">
      <w:pPr>
        <w:pStyle w:val="H1G"/>
      </w:pPr>
      <w:r>
        <w:tab/>
        <w:t>A.</w:t>
      </w:r>
      <w:r>
        <w:tab/>
      </w:r>
      <w:r w:rsidRPr="001038EB">
        <w:t>General measures of implementation (arts.</w:t>
      </w:r>
      <w:r w:rsidR="00621057">
        <w:t> </w:t>
      </w:r>
      <w:r w:rsidRPr="001038EB">
        <w:t xml:space="preserve">4, 42 and 44 </w:t>
      </w:r>
      <w:r w:rsidR="00974328">
        <w:t>(</w:t>
      </w:r>
      <w:r w:rsidRPr="001038EB">
        <w:t>6</w:t>
      </w:r>
      <w:r w:rsidR="00974328">
        <w:t>)</w:t>
      </w:r>
      <w:r w:rsidRPr="001038EB">
        <w:t xml:space="preserve"> </w:t>
      </w:r>
      <w:r w:rsidR="00787ACA">
        <w:br/>
      </w:r>
      <w:r w:rsidRPr="001038EB">
        <w:t>of the Convention)</w:t>
      </w:r>
    </w:p>
    <w:p w:rsidR="001038EB" w:rsidRPr="001038EB" w:rsidRDefault="001038EB" w:rsidP="001038EB">
      <w:pPr>
        <w:pStyle w:val="H23G"/>
        <w:rPr>
          <w:rFonts w:eastAsia="Malgun Gothic"/>
        </w:rPr>
      </w:pPr>
      <w:r w:rsidRPr="001038EB">
        <w:rPr>
          <w:rFonts w:eastAsia="Malgun Gothic"/>
        </w:rPr>
        <w:tab/>
      </w:r>
      <w:r w:rsidRPr="001038EB">
        <w:rPr>
          <w:rFonts w:eastAsia="Malgun Gothic"/>
        </w:rPr>
        <w:tab/>
        <w:t>Legislation</w:t>
      </w:r>
    </w:p>
    <w:p w:rsidR="001038EB" w:rsidRPr="001038EB" w:rsidRDefault="00113BF1" w:rsidP="00344165">
      <w:pPr>
        <w:pStyle w:val="SingleTxtG"/>
      </w:pPr>
      <w:r w:rsidRPr="001038EB">
        <w:rPr>
          <w:iCs/>
        </w:rPr>
        <w:t>7.</w:t>
      </w:r>
      <w:r w:rsidRPr="001038EB">
        <w:rPr>
          <w:iCs/>
        </w:rPr>
        <w:tab/>
      </w:r>
      <w:r w:rsidR="001038EB" w:rsidRPr="001038EB">
        <w:t xml:space="preserve">The Committee notes with appreciation the efforts to harmonize national legislation with the Convention, in particular the reform of the Code </w:t>
      </w:r>
      <w:r w:rsidR="00150F47">
        <w:t>on</w:t>
      </w:r>
      <w:r w:rsidR="001038EB" w:rsidRPr="001038EB">
        <w:t xml:space="preserve"> Children and Adolescen</w:t>
      </w:r>
      <w:r w:rsidR="002B6292">
        <w:t>ts</w:t>
      </w:r>
      <w:r w:rsidR="001038EB" w:rsidRPr="001038EB">
        <w:t xml:space="preserve">, </w:t>
      </w:r>
      <w:r w:rsidR="002B6292">
        <w:t xml:space="preserve">the </w:t>
      </w:r>
      <w:r w:rsidR="001038EB" w:rsidRPr="001038EB">
        <w:t xml:space="preserve">Family Code, </w:t>
      </w:r>
      <w:r w:rsidR="002B6292">
        <w:t xml:space="preserve">the </w:t>
      </w:r>
      <w:r w:rsidR="001038EB" w:rsidRPr="001038EB">
        <w:t xml:space="preserve">Civil Code, </w:t>
      </w:r>
      <w:r w:rsidR="002B6292">
        <w:t xml:space="preserve">the </w:t>
      </w:r>
      <w:r w:rsidR="001038EB" w:rsidRPr="001038EB">
        <w:t xml:space="preserve">Criminal Code, </w:t>
      </w:r>
      <w:r w:rsidR="002B6292">
        <w:t xml:space="preserve">the </w:t>
      </w:r>
      <w:r w:rsidR="001038EB" w:rsidRPr="001038EB">
        <w:t xml:space="preserve">Code </w:t>
      </w:r>
      <w:r w:rsidR="002B6292">
        <w:t>of</w:t>
      </w:r>
      <w:r w:rsidR="001038EB" w:rsidRPr="001038EB">
        <w:t xml:space="preserve"> Criminal Procedure and the </w:t>
      </w:r>
      <w:r w:rsidR="001038EB" w:rsidRPr="001038EB">
        <w:lastRenderedPageBreak/>
        <w:t xml:space="preserve">Law on Domestic Violence. The Committee is however concerned </w:t>
      </w:r>
      <w:r w:rsidR="009F2C38">
        <w:t>about</w:t>
      </w:r>
      <w:r w:rsidR="009F2C38" w:rsidRPr="001038EB">
        <w:t xml:space="preserve"> </w:t>
      </w:r>
      <w:r w:rsidR="001038EB" w:rsidRPr="001038EB">
        <w:t>the limited implementation of child</w:t>
      </w:r>
      <w:r w:rsidR="009F2C38">
        <w:t>-</w:t>
      </w:r>
      <w:r w:rsidR="001038EB" w:rsidRPr="001038EB">
        <w:t>related laws.</w:t>
      </w:r>
    </w:p>
    <w:p w:rsidR="001038EB" w:rsidRPr="001038EB" w:rsidRDefault="00113BF1" w:rsidP="00344165">
      <w:pPr>
        <w:pStyle w:val="SingleTxtG"/>
      </w:pPr>
      <w:r w:rsidRPr="001038EB">
        <w:rPr>
          <w:iCs/>
        </w:rPr>
        <w:t>8.</w:t>
      </w:r>
      <w:r w:rsidRPr="001038EB">
        <w:rPr>
          <w:iCs/>
        </w:rPr>
        <w:tab/>
      </w:r>
      <w:r w:rsidR="001038EB" w:rsidRPr="001038EB">
        <w:rPr>
          <w:b/>
        </w:rPr>
        <w:t xml:space="preserve">The Committee recommends that the State party allocate the human, technical and financial resources </w:t>
      </w:r>
      <w:r w:rsidR="009F2C38" w:rsidRPr="009F2C38">
        <w:rPr>
          <w:b/>
        </w:rPr>
        <w:t xml:space="preserve">necessary </w:t>
      </w:r>
      <w:r w:rsidR="001038EB" w:rsidRPr="001038EB">
        <w:rPr>
          <w:b/>
        </w:rPr>
        <w:t>for the full dissemination of child</w:t>
      </w:r>
      <w:r w:rsidR="009F2C38">
        <w:rPr>
          <w:b/>
        </w:rPr>
        <w:t>-</w:t>
      </w:r>
      <w:r w:rsidR="001038EB" w:rsidRPr="001038EB">
        <w:rPr>
          <w:b/>
        </w:rPr>
        <w:t xml:space="preserve">related laws and develop the institutional capacity for their effective application. </w:t>
      </w:r>
    </w:p>
    <w:p w:rsidR="001038EB" w:rsidRPr="001038EB" w:rsidRDefault="001038EB" w:rsidP="001038EB">
      <w:pPr>
        <w:pStyle w:val="H23G"/>
      </w:pPr>
      <w:r>
        <w:tab/>
      </w:r>
      <w:r>
        <w:tab/>
      </w:r>
      <w:r w:rsidRPr="001038EB">
        <w:t xml:space="preserve">Comprehensive policy and strategy </w:t>
      </w:r>
    </w:p>
    <w:p w:rsidR="001038EB" w:rsidRPr="001038EB" w:rsidRDefault="00113BF1" w:rsidP="00344165">
      <w:pPr>
        <w:pStyle w:val="SingleTxtG"/>
      </w:pPr>
      <w:r w:rsidRPr="001038EB">
        <w:rPr>
          <w:iCs/>
        </w:rPr>
        <w:t>9.</w:t>
      </w:r>
      <w:r w:rsidRPr="001038EB">
        <w:rPr>
          <w:iCs/>
        </w:rPr>
        <w:tab/>
      </w:r>
      <w:r w:rsidR="001038EB" w:rsidRPr="001038EB">
        <w:t xml:space="preserve">While noting the adoption of the Vision </w:t>
      </w:r>
      <w:r w:rsidR="009F2C38">
        <w:t xml:space="preserve">for the Country, </w:t>
      </w:r>
      <w:r w:rsidR="001038EB" w:rsidRPr="001038EB">
        <w:t xml:space="preserve">2010–2038 and </w:t>
      </w:r>
      <w:r w:rsidR="009F2C38">
        <w:t>the</w:t>
      </w:r>
      <w:r w:rsidR="001038EB" w:rsidRPr="001038EB">
        <w:t xml:space="preserve"> National Plan</w:t>
      </w:r>
      <w:r w:rsidR="009F2C38">
        <w:t>,</w:t>
      </w:r>
      <w:r w:rsidR="001038EB" w:rsidRPr="001038EB">
        <w:t xml:space="preserve"> 2010</w:t>
      </w:r>
      <w:r w:rsidR="00E34889">
        <w:t>–</w:t>
      </w:r>
      <w:r w:rsidR="001038EB" w:rsidRPr="001038EB">
        <w:t>2022</w:t>
      </w:r>
      <w:r w:rsidR="009F2C38">
        <w:t>,</w:t>
      </w:r>
      <w:r w:rsidR="001038EB" w:rsidRPr="001038EB">
        <w:t xml:space="preserve"> which </w:t>
      </w:r>
      <w:r w:rsidR="009F2C38">
        <w:t xml:space="preserve">are </w:t>
      </w:r>
      <w:r w:rsidR="001038EB" w:rsidRPr="001038EB">
        <w:t>focus</w:t>
      </w:r>
      <w:r w:rsidR="009F2C38">
        <w:t>ed</w:t>
      </w:r>
      <w:r w:rsidR="001038EB" w:rsidRPr="001038EB">
        <w:t xml:space="preserve"> on education, health, housing, opportunities for youth and increased social cohesion, the Committee regrets that both plans have an adult-centred focus and that the State party has not developed a comprehensive policy on children covering all their rights under the Convention. The Committee also notes the lack of information on the implementation</w:t>
      </w:r>
      <w:r w:rsidR="009F2C38">
        <w:t xml:space="preserve"> of</w:t>
      </w:r>
      <w:r w:rsidR="001038EB" w:rsidRPr="001038EB">
        <w:t xml:space="preserve"> and results achieved by the Plan of Opportunities for Children and Adolescents that comes to an end in 2015, and</w:t>
      </w:r>
      <w:r w:rsidR="009F2C38">
        <w:t xml:space="preserve"> on</w:t>
      </w:r>
      <w:r w:rsidR="001038EB" w:rsidRPr="001038EB">
        <w:t xml:space="preserve"> the way forward.</w:t>
      </w:r>
    </w:p>
    <w:p w:rsidR="001038EB" w:rsidRPr="00344165" w:rsidRDefault="00113BF1" w:rsidP="00344165">
      <w:pPr>
        <w:pStyle w:val="SingleTxtG"/>
        <w:rPr>
          <w:rFonts w:eastAsia="Malgun Gothic"/>
          <w:b/>
          <w:spacing w:val="-2"/>
        </w:rPr>
      </w:pPr>
      <w:r w:rsidRPr="00344165">
        <w:rPr>
          <w:rFonts w:eastAsia="Malgun Gothic"/>
          <w:iCs/>
          <w:spacing w:val="-2"/>
        </w:rPr>
        <w:t>10.</w:t>
      </w:r>
      <w:r w:rsidRPr="00344165">
        <w:rPr>
          <w:rFonts w:eastAsia="Malgun Gothic"/>
          <w:iCs/>
          <w:spacing w:val="-2"/>
        </w:rPr>
        <w:tab/>
      </w:r>
      <w:r w:rsidR="001038EB" w:rsidRPr="00344165">
        <w:rPr>
          <w:b/>
          <w:spacing w:val="-2"/>
        </w:rPr>
        <w:t xml:space="preserve">The Committee encourages the State party to give visibility to the rights of the child in its general policies and strategies. Furthermore, </w:t>
      </w:r>
      <w:r w:rsidR="00C12151" w:rsidRPr="00344165">
        <w:rPr>
          <w:b/>
          <w:spacing w:val="-2"/>
        </w:rPr>
        <w:t>it</w:t>
      </w:r>
      <w:r w:rsidR="001038EB" w:rsidRPr="00344165">
        <w:rPr>
          <w:b/>
          <w:spacing w:val="-2"/>
        </w:rPr>
        <w:t xml:space="preserve"> recommends that the State party evaluate and assess the implementation of the Plan of Opportunities for Children and Adolescents and take it into consideration in the </w:t>
      </w:r>
      <w:r w:rsidR="00C12151" w:rsidRPr="00344165">
        <w:rPr>
          <w:b/>
          <w:spacing w:val="-2"/>
        </w:rPr>
        <w:t>development</w:t>
      </w:r>
      <w:r w:rsidR="001038EB" w:rsidRPr="00344165">
        <w:rPr>
          <w:b/>
          <w:spacing w:val="-2"/>
        </w:rPr>
        <w:t xml:space="preserve"> of a new </w:t>
      </w:r>
      <w:r w:rsidR="009F2C38" w:rsidRPr="00344165">
        <w:rPr>
          <w:b/>
          <w:spacing w:val="-2"/>
        </w:rPr>
        <w:t>p</w:t>
      </w:r>
      <w:r w:rsidR="001038EB" w:rsidRPr="00344165">
        <w:rPr>
          <w:b/>
          <w:spacing w:val="-2"/>
        </w:rPr>
        <w:t>lan.</w:t>
      </w:r>
    </w:p>
    <w:p w:rsidR="001038EB" w:rsidRPr="00EF4C80" w:rsidRDefault="001038EB" w:rsidP="001038EB">
      <w:pPr>
        <w:pStyle w:val="H23G"/>
        <w:rPr>
          <w:rFonts w:eastAsia="Malgun Gothic"/>
          <w:lang w:eastAsia="en-GB"/>
        </w:rPr>
      </w:pPr>
      <w:r>
        <w:rPr>
          <w:rFonts w:eastAsia="Malgun Gothic"/>
          <w:lang w:eastAsia="en-GB"/>
        </w:rPr>
        <w:tab/>
      </w:r>
      <w:r>
        <w:rPr>
          <w:rFonts w:eastAsia="Malgun Gothic"/>
          <w:lang w:eastAsia="en-GB"/>
        </w:rPr>
        <w:tab/>
      </w:r>
      <w:r w:rsidRPr="00663E97">
        <w:rPr>
          <w:rFonts w:eastAsia="Malgun Gothic"/>
          <w:lang w:eastAsia="en-GB"/>
        </w:rPr>
        <w:t>Coordination</w:t>
      </w:r>
    </w:p>
    <w:p w:rsidR="001038EB" w:rsidRPr="001038EB" w:rsidRDefault="00113BF1" w:rsidP="00344165">
      <w:pPr>
        <w:pStyle w:val="SingleTxtG"/>
      </w:pPr>
      <w:r w:rsidRPr="001038EB">
        <w:rPr>
          <w:iCs/>
        </w:rPr>
        <w:t>11.</w:t>
      </w:r>
      <w:r w:rsidRPr="001038EB">
        <w:rPr>
          <w:iCs/>
        </w:rPr>
        <w:tab/>
      </w:r>
      <w:r w:rsidR="001038EB" w:rsidRPr="001038EB">
        <w:t>The Committee welcomes the institutional reforms undertaken, in particular the creation of the Directorate for Children, Adolescen</w:t>
      </w:r>
      <w:r w:rsidR="002E7C98">
        <w:t>ts</w:t>
      </w:r>
      <w:r w:rsidR="001038EB" w:rsidRPr="001038EB">
        <w:t xml:space="preserve"> and </w:t>
      </w:r>
      <w:r w:rsidR="00C12151">
        <w:t xml:space="preserve">the </w:t>
      </w:r>
      <w:r w:rsidR="001038EB" w:rsidRPr="001038EB">
        <w:t>Family as the lead agency on children</w:t>
      </w:r>
      <w:r w:rsidR="00DC2778">
        <w:t>’s</w:t>
      </w:r>
      <w:r w:rsidR="001038EB" w:rsidRPr="001038EB">
        <w:t xml:space="preserve"> policy and coordination. The Committee is however concerned about the challenges faced by the Directorate, in particular regarding the lack of adequate resources for its effective functioning and coordination with relevant governmental entities and non-governmental organi</w:t>
      </w:r>
      <w:r w:rsidR="00DC2778">
        <w:t>z</w:t>
      </w:r>
      <w:r w:rsidR="001038EB" w:rsidRPr="001038EB">
        <w:t xml:space="preserve">ations. </w:t>
      </w:r>
    </w:p>
    <w:p w:rsidR="001038EB" w:rsidRPr="001038EB" w:rsidRDefault="00113BF1" w:rsidP="00344165">
      <w:pPr>
        <w:pStyle w:val="SingleTxtG"/>
      </w:pPr>
      <w:r w:rsidRPr="001038EB">
        <w:rPr>
          <w:iCs/>
        </w:rPr>
        <w:t>12.</w:t>
      </w:r>
      <w:r w:rsidRPr="001038EB">
        <w:rPr>
          <w:iCs/>
        </w:rPr>
        <w:tab/>
      </w:r>
      <w:r w:rsidR="001038EB" w:rsidRPr="001038EB">
        <w:rPr>
          <w:rFonts w:eastAsia="Malgun Gothic"/>
          <w:b/>
        </w:rPr>
        <w:t>The Committee urges the State party to assign the adequate human and technical resources to the</w:t>
      </w:r>
      <w:r w:rsidR="001038EB" w:rsidRPr="001038EB">
        <w:rPr>
          <w:b/>
        </w:rPr>
        <w:t xml:space="preserve"> Directorate for Children, Adolescen</w:t>
      </w:r>
      <w:r w:rsidR="00DC2778">
        <w:rPr>
          <w:b/>
        </w:rPr>
        <w:t>ts</w:t>
      </w:r>
      <w:r w:rsidR="001038EB" w:rsidRPr="001038EB">
        <w:rPr>
          <w:b/>
        </w:rPr>
        <w:t xml:space="preserve"> and </w:t>
      </w:r>
      <w:r w:rsidR="00C12151">
        <w:rPr>
          <w:b/>
        </w:rPr>
        <w:t xml:space="preserve">the </w:t>
      </w:r>
      <w:r w:rsidR="001038EB" w:rsidRPr="001038EB">
        <w:rPr>
          <w:b/>
        </w:rPr>
        <w:t>Family</w:t>
      </w:r>
      <w:r w:rsidR="00C12151">
        <w:rPr>
          <w:b/>
        </w:rPr>
        <w:t xml:space="preserve"> required</w:t>
      </w:r>
      <w:r w:rsidR="001038EB" w:rsidRPr="001038EB">
        <w:rPr>
          <w:b/>
        </w:rPr>
        <w:t xml:space="preserve"> </w:t>
      </w:r>
      <w:r w:rsidR="001038EB" w:rsidRPr="001038EB">
        <w:rPr>
          <w:rFonts w:eastAsia="Malgun Gothic"/>
          <w:b/>
        </w:rPr>
        <w:t>to complete the process of institutional reform and for its effective functioning</w:t>
      </w:r>
      <w:r w:rsidR="00DC2778">
        <w:rPr>
          <w:rFonts w:eastAsia="Malgun Gothic"/>
          <w:b/>
        </w:rPr>
        <w:t>;</w:t>
      </w:r>
      <w:r w:rsidR="001038EB" w:rsidRPr="001038EB">
        <w:rPr>
          <w:rFonts w:eastAsia="Malgun Gothic"/>
          <w:b/>
        </w:rPr>
        <w:t xml:space="preserve"> guarantee the broad participation of entities and organizations working for children’s rights</w:t>
      </w:r>
      <w:r w:rsidR="00DC2778">
        <w:rPr>
          <w:rFonts w:eastAsia="Malgun Gothic"/>
          <w:b/>
        </w:rPr>
        <w:t>;</w:t>
      </w:r>
      <w:r w:rsidR="001038EB" w:rsidRPr="001038EB">
        <w:rPr>
          <w:rFonts w:eastAsia="Malgun Gothic"/>
          <w:b/>
        </w:rPr>
        <w:t xml:space="preserve"> and seek the technical cooperation of the United Nations Children’s Fund (UNICEF) in this process</w:t>
      </w:r>
      <w:r w:rsidR="001038EB" w:rsidRPr="001038EB">
        <w:rPr>
          <w:rFonts w:eastAsia="Malgun Gothic"/>
        </w:rPr>
        <w:t xml:space="preserve">. </w:t>
      </w:r>
    </w:p>
    <w:p w:rsidR="001038EB" w:rsidRPr="001038EB" w:rsidRDefault="001038EB" w:rsidP="001038EB">
      <w:pPr>
        <w:pStyle w:val="H23G"/>
        <w:rPr>
          <w:rFonts w:eastAsia="Malgun Gothic"/>
        </w:rPr>
      </w:pPr>
      <w:r>
        <w:rPr>
          <w:rFonts w:eastAsia="Malgun Gothic"/>
        </w:rPr>
        <w:tab/>
      </w:r>
      <w:r>
        <w:rPr>
          <w:rFonts w:eastAsia="Malgun Gothic"/>
        </w:rPr>
        <w:tab/>
      </w:r>
      <w:r w:rsidRPr="001038EB">
        <w:rPr>
          <w:rFonts w:eastAsia="Malgun Gothic"/>
        </w:rPr>
        <w:t>Allocation of resources</w:t>
      </w:r>
    </w:p>
    <w:p w:rsidR="001038EB" w:rsidRPr="001038EB" w:rsidRDefault="00113BF1" w:rsidP="00344165">
      <w:pPr>
        <w:pStyle w:val="SingleTxtG"/>
      </w:pPr>
      <w:r w:rsidRPr="001038EB">
        <w:rPr>
          <w:iCs/>
        </w:rPr>
        <w:t>13.</w:t>
      </w:r>
      <w:r w:rsidRPr="001038EB">
        <w:rPr>
          <w:iCs/>
        </w:rPr>
        <w:tab/>
      </w:r>
      <w:r w:rsidR="001038EB" w:rsidRPr="001038EB">
        <w:t xml:space="preserve">The Committee is concerned </w:t>
      </w:r>
      <w:r w:rsidR="00DC2778">
        <w:t>about</w:t>
      </w:r>
      <w:r w:rsidR="001038EB" w:rsidRPr="001038EB">
        <w:t xml:space="preserve"> the steady decrease, as a percentage of the total budget, of direct expenditure on children and its impact on the Social Protection Policy and the Public Policy on Comprehensive Early Childhood Development. The Committee welcomes the steps taken by the State party to institutionalize the measurement of public investment in</w:t>
      </w:r>
      <w:r w:rsidR="00C12151">
        <w:t xml:space="preserve"> children</w:t>
      </w:r>
      <w:r w:rsidR="001038EB" w:rsidRPr="001038EB">
        <w:t xml:space="preserve"> and </w:t>
      </w:r>
      <w:r w:rsidR="00C12151">
        <w:t>the</w:t>
      </w:r>
      <w:r w:rsidR="001038EB" w:rsidRPr="001038EB">
        <w:t xml:space="preserve"> impact </w:t>
      </w:r>
      <w:r w:rsidR="00C12151">
        <w:t>of that investment</w:t>
      </w:r>
      <w:r w:rsidR="00DA124A">
        <w:t>,</w:t>
      </w:r>
      <w:r w:rsidR="001038EB" w:rsidRPr="001038EB">
        <w:t xml:space="preserve"> but is concerned about the lack of a participatory budgeting process with a child’s rights perspective </w:t>
      </w:r>
      <w:r w:rsidR="004C3867">
        <w:t>as well as</w:t>
      </w:r>
      <w:r w:rsidR="004C3867" w:rsidRPr="004C3867">
        <w:t xml:space="preserve"> </w:t>
      </w:r>
      <w:r w:rsidR="004C3867">
        <w:t xml:space="preserve">the lack </w:t>
      </w:r>
      <w:r w:rsidR="001038EB" w:rsidRPr="004C3867">
        <w:t xml:space="preserve">of </w:t>
      </w:r>
      <w:r w:rsidR="001038EB" w:rsidRPr="001038EB">
        <w:t>due consideration of the situation of children in vulnerable situations.</w:t>
      </w:r>
    </w:p>
    <w:p w:rsidR="001038EB" w:rsidRPr="00113BF1" w:rsidRDefault="00113BF1" w:rsidP="00344165">
      <w:pPr>
        <w:pStyle w:val="SingleTxtG"/>
        <w:rPr>
          <w:rFonts w:eastAsia="Malgun Gothic"/>
          <w:b/>
          <w:bCs/>
        </w:rPr>
      </w:pPr>
      <w:r w:rsidRPr="00113BF1">
        <w:rPr>
          <w:rFonts w:eastAsia="Malgun Gothic"/>
          <w:iCs/>
        </w:rPr>
        <w:t>14.</w:t>
      </w:r>
      <w:r w:rsidRPr="00113BF1">
        <w:rPr>
          <w:rFonts w:eastAsia="Malgun Gothic"/>
          <w:iCs/>
        </w:rPr>
        <w:tab/>
      </w:r>
      <w:r w:rsidR="001038EB" w:rsidRPr="001038EB">
        <w:rPr>
          <w:b/>
        </w:rPr>
        <w:t xml:space="preserve">In the light of </w:t>
      </w:r>
      <w:r w:rsidR="001A3952">
        <w:rPr>
          <w:b/>
        </w:rPr>
        <w:t>the</w:t>
      </w:r>
      <w:r w:rsidR="001038EB" w:rsidRPr="001038EB">
        <w:rPr>
          <w:b/>
        </w:rPr>
        <w:t xml:space="preserve"> </w:t>
      </w:r>
      <w:r w:rsidR="00FC2263">
        <w:rPr>
          <w:b/>
        </w:rPr>
        <w:t>recommendations adopted following its d</w:t>
      </w:r>
      <w:r w:rsidR="001038EB" w:rsidRPr="001038EB">
        <w:rPr>
          <w:b/>
        </w:rPr>
        <w:t xml:space="preserve">ay of </w:t>
      </w:r>
      <w:r w:rsidR="00FC2263">
        <w:rPr>
          <w:b/>
        </w:rPr>
        <w:t>g</w:t>
      </w:r>
      <w:r w:rsidR="001038EB" w:rsidRPr="001038EB">
        <w:rPr>
          <w:b/>
        </w:rPr>
        <w:t xml:space="preserve">eneral </w:t>
      </w:r>
      <w:r w:rsidR="00FC2263">
        <w:rPr>
          <w:b/>
        </w:rPr>
        <w:t>d</w:t>
      </w:r>
      <w:r w:rsidR="001038EB" w:rsidRPr="001038EB">
        <w:rPr>
          <w:b/>
        </w:rPr>
        <w:t xml:space="preserve">iscussion in 2007 on “Resources for the rights of the child – responsibility of States”, the Committee recommends that the </w:t>
      </w:r>
      <w:r w:rsidR="001038EB" w:rsidRPr="00113BF1">
        <w:rPr>
          <w:rFonts w:eastAsia="Malgun Gothic"/>
          <w:b/>
          <w:bCs/>
        </w:rPr>
        <w:t>State party:</w:t>
      </w:r>
    </w:p>
    <w:p w:rsidR="001038EB" w:rsidRPr="001038EB" w:rsidRDefault="001038EB" w:rsidP="00113BF1">
      <w:pPr>
        <w:pStyle w:val="SingleTxtG"/>
        <w:ind w:firstLine="567"/>
        <w:rPr>
          <w:b/>
        </w:rPr>
      </w:pPr>
      <w:r w:rsidRPr="00113BF1">
        <w:rPr>
          <w:bCs/>
        </w:rPr>
        <w:t>(a)</w:t>
      </w:r>
      <w:r>
        <w:rPr>
          <w:b/>
        </w:rPr>
        <w:tab/>
      </w:r>
      <w:r w:rsidRPr="001038EB">
        <w:rPr>
          <w:b/>
        </w:rPr>
        <w:t xml:space="preserve">Conduct a comprehensive assessment of the budget needs of children and allocate adequate budgetary resources, in accordance with </w:t>
      </w:r>
      <w:r w:rsidR="00FC0093">
        <w:rPr>
          <w:b/>
        </w:rPr>
        <w:t>article </w:t>
      </w:r>
      <w:r w:rsidRPr="001038EB">
        <w:rPr>
          <w:b/>
        </w:rPr>
        <w:t>4 of the Convention, for the implementation of children’s rights and, in particular, increase the budget allocated to social sectors and address disparities on the basis of indicators related to children’s rights;</w:t>
      </w:r>
    </w:p>
    <w:p w:rsidR="001038EB" w:rsidRPr="001038EB" w:rsidRDefault="001038EB" w:rsidP="00113BF1">
      <w:pPr>
        <w:pStyle w:val="SingleTxtG"/>
        <w:ind w:firstLine="567"/>
        <w:rPr>
          <w:b/>
        </w:rPr>
      </w:pPr>
      <w:r w:rsidRPr="00113BF1">
        <w:rPr>
          <w:bCs/>
        </w:rPr>
        <w:lastRenderedPageBreak/>
        <w:t>(b)</w:t>
      </w:r>
      <w:r>
        <w:rPr>
          <w:b/>
        </w:rPr>
        <w:tab/>
      </w:r>
      <w:r w:rsidRPr="001038EB">
        <w:rPr>
          <w:b/>
        </w:rPr>
        <w:t>Establish</w:t>
      </w:r>
      <w:r w:rsidRPr="001038EB">
        <w:rPr>
          <w:rFonts w:eastAsia="Malgun Gothic"/>
          <w:b/>
        </w:rPr>
        <w:t xml:space="preserve"> a </w:t>
      </w:r>
      <w:r w:rsidRPr="001038EB">
        <w:rPr>
          <w:b/>
        </w:rPr>
        <w:t xml:space="preserve">transparent and participatory </w:t>
      </w:r>
      <w:r w:rsidRPr="001038EB">
        <w:rPr>
          <w:rFonts w:eastAsia="Malgun Gothic"/>
          <w:b/>
        </w:rPr>
        <w:t xml:space="preserve">budgeting process that includes a child rights perspective and specifies clear allocations </w:t>
      </w:r>
      <w:r w:rsidR="00461E27">
        <w:rPr>
          <w:rFonts w:eastAsia="Malgun Gothic"/>
          <w:b/>
        </w:rPr>
        <w:t>for</w:t>
      </w:r>
      <w:r w:rsidRPr="001038EB">
        <w:rPr>
          <w:rFonts w:eastAsia="Malgun Gothic"/>
          <w:b/>
        </w:rPr>
        <w:t xml:space="preserve"> children in the relevant sectors and agencies, including specific indicators and a tracking system;</w:t>
      </w:r>
      <w:r w:rsidR="0094219F">
        <w:rPr>
          <w:rFonts w:eastAsia="Malgun Gothic"/>
          <w:b/>
        </w:rPr>
        <w:t xml:space="preserve"> </w:t>
      </w:r>
    </w:p>
    <w:p w:rsidR="001038EB" w:rsidRPr="001038EB" w:rsidRDefault="001038EB" w:rsidP="00113BF1">
      <w:pPr>
        <w:pStyle w:val="SingleTxtG"/>
        <w:ind w:firstLine="567"/>
        <w:rPr>
          <w:b/>
        </w:rPr>
      </w:pPr>
      <w:r w:rsidRPr="00113BF1">
        <w:rPr>
          <w:bCs/>
        </w:rPr>
        <w:t>(c)</w:t>
      </w:r>
      <w:r>
        <w:rPr>
          <w:b/>
        </w:rPr>
        <w:tab/>
      </w:r>
      <w:r w:rsidRPr="001038EB">
        <w:rPr>
          <w:b/>
        </w:rPr>
        <w:t xml:space="preserve">Define strategic budgetary lines for children in disadvantaged or vulnerable situations that may require affirmative social measures and make sure that those budgetary lines are protected even in situations of economic crisis, natural disasters or other emergencies; </w:t>
      </w:r>
    </w:p>
    <w:p w:rsidR="001038EB" w:rsidRPr="001038EB" w:rsidRDefault="001038EB" w:rsidP="00113BF1">
      <w:pPr>
        <w:pStyle w:val="SingleTxtG"/>
        <w:ind w:firstLine="567"/>
        <w:rPr>
          <w:b/>
        </w:rPr>
      </w:pPr>
      <w:r w:rsidRPr="00113BF1">
        <w:rPr>
          <w:rFonts w:eastAsia="Malgun Gothic"/>
          <w:bCs/>
        </w:rPr>
        <w:t>(d)</w:t>
      </w:r>
      <w:r w:rsidRPr="00113BF1">
        <w:rPr>
          <w:rFonts w:eastAsia="Malgun Gothic"/>
          <w:bCs/>
        </w:rPr>
        <w:tab/>
      </w:r>
      <w:r w:rsidRPr="001038EB">
        <w:rPr>
          <w:rFonts w:eastAsia="Malgun Gothic"/>
          <w:b/>
        </w:rPr>
        <w:t>Establish mechanisms to monitor and evaluate the adequacy, efficacy and equitability of the distribution of resources allocated to the implementation of the Convention.</w:t>
      </w:r>
    </w:p>
    <w:p w:rsidR="001038EB" w:rsidRPr="001038EB" w:rsidRDefault="001038EB" w:rsidP="001038EB">
      <w:pPr>
        <w:pStyle w:val="H23G"/>
      </w:pPr>
      <w:r>
        <w:tab/>
      </w:r>
      <w:r>
        <w:tab/>
      </w:r>
      <w:r w:rsidRPr="001038EB">
        <w:t>Data collection</w:t>
      </w:r>
    </w:p>
    <w:p w:rsidR="001038EB" w:rsidRDefault="00113BF1" w:rsidP="00344165">
      <w:pPr>
        <w:pStyle w:val="SingleTxtG"/>
      </w:pPr>
      <w:r>
        <w:rPr>
          <w:iCs/>
        </w:rPr>
        <w:t>15.</w:t>
      </w:r>
      <w:r>
        <w:rPr>
          <w:iCs/>
        </w:rPr>
        <w:tab/>
      </w:r>
      <w:r w:rsidR="001038EB">
        <w:t>While noting the multiple measures taken to create institutions and information systems to collect and analyse data on children rights, the Committee remains concerned about:</w:t>
      </w:r>
    </w:p>
    <w:p w:rsidR="001038EB" w:rsidRDefault="001038EB" w:rsidP="00113BF1">
      <w:pPr>
        <w:pStyle w:val="SingleTxtG"/>
        <w:ind w:firstLine="567"/>
      </w:pPr>
      <w:r>
        <w:t>(a)</w:t>
      </w:r>
      <w:r>
        <w:tab/>
        <w:t xml:space="preserve">The lack of adequate financial support for the effective functioning of information systems; </w:t>
      </w:r>
    </w:p>
    <w:p w:rsidR="001038EB" w:rsidRDefault="001038EB" w:rsidP="00113BF1">
      <w:pPr>
        <w:pStyle w:val="SingleTxtG"/>
        <w:ind w:firstLine="567"/>
      </w:pPr>
      <w:r>
        <w:t>(b)</w:t>
      </w:r>
      <w:r>
        <w:tab/>
        <w:t>The limited capacity of State institutions to provide pertinent, high quality and timely information;</w:t>
      </w:r>
    </w:p>
    <w:p w:rsidR="001038EB" w:rsidRDefault="00545070" w:rsidP="00113BF1">
      <w:pPr>
        <w:pStyle w:val="SingleTxtG"/>
        <w:ind w:firstLine="567"/>
      </w:pPr>
      <w:r>
        <w:t>(c)</w:t>
      </w:r>
      <w:r>
        <w:tab/>
      </w:r>
      <w:r w:rsidR="001038EB">
        <w:t>The inadequate disaggregation of data to identify the most vulnerable groups of children;</w:t>
      </w:r>
    </w:p>
    <w:p w:rsidR="001038EB" w:rsidRPr="00F15B13" w:rsidRDefault="00545070" w:rsidP="00113BF1">
      <w:pPr>
        <w:pStyle w:val="SingleTxtG"/>
        <w:ind w:firstLine="567"/>
      </w:pPr>
      <w:r>
        <w:t>(d</w:t>
      </w:r>
      <w:r w:rsidR="001038EB">
        <w:t>)</w:t>
      </w:r>
      <w:r w:rsidR="001038EB">
        <w:tab/>
      </w:r>
      <w:r w:rsidR="00FC2263">
        <w:t>I</w:t>
      </w:r>
      <w:r w:rsidR="001038EB">
        <w:t>nformation not being used by State institutions to support policy formulation</w:t>
      </w:r>
      <w:r w:rsidR="00FC2263">
        <w:t>, d</w:t>
      </w:r>
      <w:r w:rsidR="00FC2263" w:rsidRPr="00FC2263">
        <w:t>espite</w:t>
      </w:r>
      <w:r w:rsidR="00FC2263">
        <w:t xml:space="preserve"> the</w:t>
      </w:r>
      <w:r w:rsidR="00FC2263" w:rsidRPr="00FC2263">
        <w:t xml:space="preserve"> progress </w:t>
      </w:r>
      <w:r w:rsidR="00FC2263">
        <w:t xml:space="preserve">made </w:t>
      </w:r>
      <w:r w:rsidR="00FC2263" w:rsidRPr="00FC2263">
        <w:t>in data collection</w:t>
      </w:r>
      <w:r w:rsidR="001038EB">
        <w:t>.</w:t>
      </w:r>
    </w:p>
    <w:p w:rsidR="001038EB" w:rsidRPr="001038EB" w:rsidRDefault="00113BF1" w:rsidP="00344165">
      <w:pPr>
        <w:pStyle w:val="SingleTxtG"/>
        <w:rPr>
          <w:rFonts w:eastAsia="Malgun Gothic"/>
          <w:b/>
        </w:rPr>
      </w:pPr>
      <w:r w:rsidRPr="001038EB">
        <w:rPr>
          <w:rFonts w:eastAsia="Malgun Gothic"/>
          <w:iCs/>
        </w:rPr>
        <w:t>16.</w:t>
      </w:r>
      <w:r w:rsidRPr="001038EB">
        <w:rPr>
          <w:rFonts w:eastAsia="Malgun Gothic"/>
          <w:iCs/>
        </w:rPr>
        <w:tab/>
      </w:r>
      <w:r w:rsidR="001038EB" w:rsidRPr="001038EB">
        <w:rPr>
          <w:rFonts w:eastAsia="Malgun Gothic"/>
          <w:b/>
        </w:rPr>
        <w:t xml:space="preserve">In the light of its </w:t>
      </w:r>
      <w:r w:rsidR="00FC2263">
        <w:rPr>
          <w:rFonts w:eastAsia="Malgun Gothic"/>
          <w:b/>
        </w:rPr>
        <w:t>g</w:t>
      </w:r>
      <w:r w:rsidR="001038EB" w:rsidRPr="001038EB">
        <w:rPr>
          <w:rFonts w:eastAsia="Malgun Gothic"/>
          <w:b/>
        </w:rPr>
        <w:t xml:space="preserve">eneral </w:t>
      </w:r>
      <w:r w:rsidR="00FC2263">
        <w:rPr>
          <w:rFonts w:eastAsia="Malgun Gothic"/>
          <w:b/>
        </w:rPr>
        <w:t>c</w:t>
      </w:r>
      <w:r w:rsidR="001038EB" w:rsidRPr="001038EB">
        <w:rPr>
          <w:rFonts w:eastAsia="Malgun Gothic"/>
          <w:b/>
        </w:rPr>
        <w:t>omment</w:t>
      </w:r>
      <w:r w:rsidR="008969E1">
        <w:rPr>
          <w:rFonts w:eastAsia="Malgun Gothic"/>
          <w:b/>
        </w:rPr>
        <w:t xml:space="preserve"> No. </w:t>
      </w:r>
      <w:r w:rsidR="001038EB" w:rsidRPr="001038EB">
        <w:rPr>
          <w:rFonts w:eastAsia="Malgun Gothic"/>
          <w:b/>
        </w:rPr>
        <w:t>5 (2003) on general measures of implementation</w:t>
      </w:r>
      <w:r w:rsidR="006B78B4">
        <w:rPr>
          <w:rFonts w:eastAsia="Malgun Gothic"/>
          <w:b/>
        </w:rPr>
        <w:t xml:space="preserve"> of the Convention</w:t>
      </w:r>
      <w:r w:rsidR="001038EB" w:rsidRPr="001038EB">
        <w:rPr>
          <w:rFonts w:eastAsia="Malgun Gothic"/>
          <w:b/>
        </w:rPr>
        <w:t xml:space="preserve">, the Committee recommends that the State party: </w:t>
      </w:r>
    </w:p>
    <w:p w:rsidR="001038EB" w:rsidRPr="001038EB" w:rsidRDefault="001038EB" w:rsidP="00113BF1">
      <w:pPr>
        <w:pStyle w:val="SingleTxtG"/>
        <w:ind w:firstLine="567"/>
        <w:rPr>
          <w:rFonts w:eastAsia="Malgun Gothic"/>
          <w:b/>
        </w:rPr>
      </w:pPr>
      <w:r w:rsidRPr="00113BF1">
        <w:rPr>
          <w:rFonts w:eastAsia="Malgun Gothic"/>
          <w:bCs/>
        </w:rPr>
        <w:t>(a)</w:t>
      </w:r>
      <w:r w:rsidRPr="001038EB">
        <w:rPr>
          <w:rFonts w:eastAsia="Malgun Gothic"/>
          <w:b/>
        </w:rPr>
        <w:tab/>
        <w:t>Provide adequate resources for the effective functioning of data collection systems;</w:t>
      </w:r>
    </w:p>
    <w:p w:rsidR="001038EB" w:rsidRPr="001038EB" w:rsidRDefault="001038EB" w:rsidP="00113BF1">
      <w:pPr>
        <w:pStyle w:val="SingleTxtG"/>
        <w:ind w:firstLine="567"/>
        <w:rPr>
          <w:rFonts w:eastAsia="Malgun Gothic"/>
          <w:b/>
        </w:rPr>
      </w:pPr>
      <w:r w:rsidRPr="00113BF1">
        <w:rPr>
          <w:rFonts w:eastAsia="Malgun Gothic"/>
          <w:bCs/>
        </w:rPr>
        <w:t>(b)</w:t>
      </w:r>
      <w:r w:rsidRPr="001038EB">
        <w:rPr>
          <w:rFonts w:eastAsia="Malgun Gothic"/>
          <w:b/>
        </w:rPr>
        <w:tab/>
        <w:t xml:space="preserve">Strengthen the capacity of State institutions to </w:t>
      </w:r>
      <w:r w:rsidRPr="001038EB">
        <w:rPr>
          <w:b/>
        </w:rPr>
        <w:t>provide pertinent, high quality and timely information;</w:t>
      </w:r>
    </w:p>
    <w:p w:rsidR="001038EB" w:rsidRPr="001038EB" w:rsidRDefault="001038EB" w:rsidP="00113BF1">
      <w:pPr>
        <w:pStyle w:val="SingleTxtG"/>
        <w:ind w:firstLine="567"/>
        <w:rPr>
          <w:rFonts w:eastAsia="Malgun Gothic"/>
          <w:b/>
        </w:rPr>
      </w:pPr>
      <w:r w:rsidRPr="00113BF1">
        <w:rPr>
          <w:rFonts w:eastAsia="Malgun Gothic"/>
          <w:bCs/>
        </w:rPr>
        <w:t>(c)</w:t>
      </w:r>
      <w:r w:rsidRPr="001038EB">
        <w:rPr>
          <w:rFonts w:eastAsia="Malgun Gothic"/>
          <w:b/>
        </w:rPr>
        <w:tab/>
        <w:t xml:space="preserve">Ensure that data cover all areas of the Convention and </w:t>
      </w:r>
      <w:r w:rsidR="006B78B4">
        <w:rPr>
          <w:rFonts w:eastAsia="Malgun Gothic"/>
          <w:b/>
        </w:rPr>
        <w:t>are</w:t>
      </w:r>
      <w:r w:rsidRPr="001038EB">
        <w:rPr>
          <w:rFonts w:eastAsia="Malgun Gothic"/>
          <w:b/>
        </w:rPr>
        <w:t xml:space="preserve"> disaggregated by age, sex, disability, geographic location, ethnic origin and socioeconomic background in order to facilitate analysis o</w:t>
      </w:r>
      <w:r w:rsidR="006B78B4">
        <w:rPr>
          <w:rFonts w:eastAsia="Malgun Gothic"/>
          <w:b/>
        </w:rPr>
        <w:t>f</w:t>
      </w:r>
      <w:r w:rsidRPr="001038EB">
        <w:rPr>
          <w:rFonts w:eastAsia="Malgun Gothic"/>
          <w:b/>
        </w:rPr>
        <w:t xml:space="preserve"> the situation of all children, particularly those in situations of vulnerability;</w:t>
      </w:r>
    </w:p>
    <w:p w:rsidR="001038EB" w:rsidRPr="001038EB" w:rsidRDefault="001038EB" w:rsidP="00113BF1">
      <w:pPr>
        <w:pStyle w:val="SingleTxtG"/>
        <w:ind w:firstLine="567"/>
        <w:rPr>
          <w:rFonts w:eastAsia="Malgun Gothic"/>
          <w:b/>
        </w:rPr>
      </w:pPr>
      <w:r w:rsidRPr="00113BF1">
        <w:rPr>
          <w:rFonts w:eastAsia="Malgun Gothic"/>
          <w:bCs/>
        </w:rPr>
        <w:t>(d)</w:t>
      </w:r>
      <w:r w:rsidRPr="001038EB">
        <w:rPr>
          <w:rFonts w:eastAsia="Malgun Gothic"/>
          <w:b/>
        </w:rPr>
        <w:tab/>
        <w:t>Institutionali</w:t>
      </w:r>
      <w:r w:rsidR="006B78B4">
        <w:rPr>
          <w:rFonts w:eastAsia="Malgun Gothic"/>
          <w:b/>
        </w:rPr>
        <w:t>z</w:t>
      </w:r>
      <w:r w:rsidRPr="001038EB">
        <w:rPr>
          <w:rFonts w:eastAsia="Malgun Gothic"/>
          <w:b/>
        </w:rPr>
        <w:t xml:space="preserve">e the sharing of data and indicators among the ministries concerned and </w:t>
      </w:r>
      <w:r w:rsidR="006B78B4">
        <w:rPr>
          <w:rFonts w:eastAsia="Malgun Gothic"/>
          <w:b/>
        </w:rPr>
        <w:t>their</w:t>
      </w:r>
      <w:r w:rsidR="006B78B4" w:rsidRPr="001038EB">
        <w:rPr>
          <w:rFonts w:eastAsia="Malgun Gothic"/>
          <w:b/>
        </w:rPr>
        <w:t xml:space="preserve"> </w:t>
      </w:r>
      <w:r w:rsidRPr="001038EB">
        <w:rPr>
          <w:rFonts w:eastAsia="Malgun Gothic"/>
          <w:b/>
        </w:rPr>
        <w:t xml:space="preserve">use </w:t>
      </w:r>
      <w:r w:rsidR="006B78B4">
        <w:rPr>
          <w:rFonts w:eastAsia="Malgun Gothic"/>
          <w:b/>
        </w:rPr>
        <w:t>in</w:t>
      </w:r>
      <w:r w:rsidR="006B78B4" w:rsidRPr="001038EB">
        <w:rPr>
          <w:rFonts w:eastAsia="Malgun Gothic"/>
          <w:b/>
        </w:rPr>
        <w:t xml:space="preserve"> </w:t>
      </w:r>
      <w:r w:rsidRPr="001038EB">
        <w:rPr>
          <w:rFonts w:eastAsia="Malgun Gothic"/>
          <w:b/>
        </w:rPr>
        <w:t xml:space="preserve">the formulation, monitoring and evaluation of policies, programmes and projects for the effective implementation of the Convention; </w:t>
      </w:r>
    </w:p>
    <w:p w:rsidR="001038EB" w:rsidRPr="001038EB" w:rsidRDefault="001038EB" w:rsidP="00113BF1">
      <w:pPr>
        <w:pStyle w:val="SingleTxtG"/>
        <w:ind w:firstLine="567"/>
        <w:rPr>
          <w:rFonts w:eastAsia="Malgun Gothic"/>
          <w:b/>
        </w:rPr>
      </w:pPr>
      <w:r w:rsidRPr="00113BF1">
        <w:rPr>
          <w:rFonts w:eastAsia="Malgun Gothic"/>
          <w:bCs/>
        </w:rPr>
        <w:t>(e)</w:t>
      </w:r>
      <w:r w:rsidRPr="00113BF1">
        <w:rPr>
          <w:rFonts w:eastAsia="Malgun Gothic"/>
          <w:bCs/>
        </w:rPr>
        <w:tab/>
      </w:r>
      <w:r w:rsidRPr="001038EB">
        <w:rPr>
          <w:rFonts w:eastAsia="Malgun Gothic"/>
          <w:b/>
        </w:rPr>
        <w:t>Continue its technical cooperation with UNICEF, among others, in this regard.</w:t>
      </w:r>
    </w:p>
    <w:p w:rsidR="001038EB" w:rsidRPr="001038EB" w:rsidRDefault="001038EB" w:rsidP="001038EB">
      <w:pPr>
        <w:pStyle w:val="H23G"/>
      </w:pPr>
      <w:r>
        <w:tab/>
      </w:r>
      <w:r>
        <w:tab/>
      </w:r>
      <w:r w:rsidRPr="001038EB">
        <w:t xml:space="preserve">Independent monitoring </w:t>
      </w:r>
    </w:p>
    <w:p w:rsidR="001038EB" w:rsidRPr="006745C3" w:rsidRDefault="00113BF1" w:rsidP="00344165">
      <w:pPr>
        <w:pStyle w:val="SingleTxtG"/>
      </w:pPr>
      <w:r w:rsidRPr="006745C3">
        <w:rPr>
          <w:iCs/>
        </w:rPr>
        <w:t>17.</w:t>
      </w:r>
      <w:r w:rsidRPr="006745C3">
        <w:rPr>
          <w:iCs/>
        </w:rPr>
        <w:tab/>
      </w:r>
      <w:r w:rsidR="001038EB" w:rsidRPr="006745C3">
        <w:t>While acknowledging the work of the</w:t>
      </w:r>
      <w:r w:rsidR="002D3EFC">
        <w:t xml:space="preserve"> children’s</w:t>
      </w:r>
      <w:r w:rsidR="001038EB" w:rsidRPr="006745C3">
        <w:t xml:space="preserve"> </w:t>
      </w:r>
      <w:r w:rsidR="002D3EFC">
        <w:t>d</w:t>
      </w:r>
      <w:r w:rsidR="001038EB" w:rsidRPr="006745C3">
        <w:t xml:space="preserve">efender within the </w:t>
      </w:r>
      <w:r w:rsidR="006B6912">
        <w:t>o</w:t>
      </w:r>
      <w:r w:rsidR="002D3EFC">
        <w:t xml:space="preserve">ffice of the </w:t>
      </w:r>
      <w:r w:rsidR="001038EB" w:rsidRPr="006745C3">
        <w:t>National Commission</w:t>
      </w:r>
      <w:r w:rsidR="002D3EFC">
        <w:t>er for Human Rights</w:t>
      </w:r>
      <w:r w:rsidR="001038EB" w:rsidRPr="006745C3">
        <w:t xml:space="preserve"> and the </w:t>
      </w:r>
      <w:r w:rsidR="00995D55">
        <w:t>appointment</w:t>
      </w:r>
      <w:r w:rsidR="001038EB" w:rsidRPr="006745C3">
        <w:t xml:space="preserve"> of </w:t>
      </w:r>
      <w:r w:rsidR="002D3EFC">
        <w:t>m</w:t>
      </w:r>
      <w:r w:rsidR="001038EB" w:rsidRPr="006745C3">
        <w:t xml:space="preserve">unicipal </w:t>
      </w:r>
      <w:r w:rsidR="002D3EFC">
        <w:t>c</w:t>
      </w:r>
      <w:r w:rsidR="001038EB" w:rsidRPr="006745C3">
        <w:t xml:space="preserve">hild </w:t>
      </w:r>
      <w:r w:rsidR="002D3EFC">
        <w:t>r</w:t>
      </w:r>
      <w:r w:rsidR="001038EB" w:rsidRPr="006745C3">
        <w:t xml:space="preserve">ights </w:t>
      </w:r>
      <w:r w:rsidR="002D3EFC">
        <w:t>d</w:t>
      </w:r>
      <w:r w:rsidR="001038EB" w:rsidRPr="006745C3">
        <w:t xml:space="preserve">efenders, the Committee remains concerned that an independent human rights institution focused on children is still lacking and that the municipal defenders do not exist in all municipalities. The Committee is also concerned </w:t>
      </w:r>
      <w:r w:rsidR="000A0151">
        <w:t>about</w:t>
      </w:r>
      <w:r w:rsidR="001038EB" w:rsidRPr="006745C3">
        <w:t xml:space="preserve"> the current “B” status of the </w:t>
      </w:r>
      <w:r w:rsidR="00995D55">
        <w:t>o</w:t>
      </w:r>
      <w:r w:rsidR="002D3EFC">
        <w:t xml:space="preserve">ffice of the </w:t>
      </w:r>
      <w:r w:rsidR="001038EB" w:rsidRPr="006745C3">
        <w:t>National Commission</w:t>
      </w:r>
      <w:r w:rsidR="002D3EFC">
        <w:t>er for Human Rights</w:t>
      </w:r>
      <w:r w:rsidR="001038EB" w:rsidRPr="006745C3">
        <w:t xml:space="preserve">. </w:t>
      </w:r>
    </w:p>
    <w:p w:rsidR="001038EB" w:rsidRPr="006745C3" w:rsidRDefault="00113BF1" w:rsidP="00344165">
      <w:pPr>
        <w:pStyle w:val="SingleTxtG"/>
        <w:rPr>
          <w:b/>
        </w:rPr>
      </w:pPr>
      <w:r w:rsidRPr="006745C3">
        <w:rPr>
          <w:iCs/>
        </w:rPr>
        <w:lastRenderedPageBreak/>
        <w:t>18.</w:t>
      </w:r>
      <w:r w:rsidRPr="006745C3">
        <w:rPr>
          <w:iCs/>
        </w:rPr>
        <w:tab/>
      </w:r>
      <w:r w:rsidR="001038EB" w:rsidRPr="006745C3">
        <w:rPr>
          <w:rFonts w:eastAsia="Malgun Gothic"/>
          <w:b/>
        </w:rPr>
        <w:t xml:space="preserve">In the light of its </w:t>
      </w:r>
      <w:r w:rsidR="002D3EFC">
        <w:rPr>
          <w:rFonts w:eastAsia="Malgun Gothic"/>
          <w:b/>
        </w:rPr>
        <w:t>g</w:t>
      </w:r>
      <w:r w:rsidR="001038EB" w:rsidRPr="006745C3">
        <w:rPr>
          <w:rFonts w:eastAsia="Malgun Gothic"/>
          <w:b/>
        </w:rPr>
        <w:t xml:space="preserve">eneral </w:t>
      </w:r>
      <w:r w:rsidR="002D3EFC">
        <w:rPr>
          <w:rFonts w:eastAsia="Malgun Gothic"/>
          <w:b/>
        </w:rPr>
        <w:t>c</w:t>
      </w:r>
      <w:r w:rsidR="001038EB" w:rsidRPr="006745C3">
        <w:rPr>
          <w:rFonts w:eastAsia="Malgun Gothic"/>
          <w:b/>
        </w:rPr>
        <w:t>omment</w:t>
      </w:r>
      <w:r w:rsidR="008969E1">
        <w:rPr>
          <w:rFonts w:eastAsia="Malgun Gothic"/>
          <w:b/>
        </w:rPr>
        <w:t xml:space="preserve"> No. </w:t>
      </w:r>
      <w:r w:rsidR="001038EB" w:rsidRPr="006745C3">
        <w:rPr>
          <w:rFonts w:eastAsia="Malgun Gothic"/>
          <w:b/>
        </w:rPr>
        <w:t>2 (2002) on the role of independent human rights institutions</w:t>
      </w:r>
      <w:r w:rsidR="000A4C4A">
        <w:rPr>
          <w:rFonts w:eastAsia="Malgun Gothic"/>
          <w:b/>
        </w:rPr>
        <w:t xml:space="preserve"> in the promotion and protection of the rights of the child</w:t>
      </w:r>
      <w:r w:rsidR="001038EB" w:rsidRPr="006745C3">
        <w:rPr>
          <w:rFonts w:eastAsia="Malgun Gothic"/>
          <w:b/>
        </w:rPr>
        <w:t xml:space="preserve">, the Committee recommends that the State party: </w:t>
      </w:r>
    </w:p>
    <w:p w:rsidR="001038EB" w:rsidRPr="006745C3" w:rsidRDefault="006745C3" w:rsidP="00113BF1">
      <w:pPr>
        <w:pStyle w:val="SingleTxtG"/>
        <w:ind w:firstLine="567"/>
        <w:rPr>
          <w:b/>
        </w:rPr>
      </w:pPr>
      <w:r w:rsidRPr="00113BF1">
        <w:rPr>
          <w:rFonts w:eastAsia="Malgun Gothic"/>
          <w:bCs/>
        </w:rPr>
        <w:t>(a)</w:t>
      </w:r>
      <w:r w:rsidRPr="006745C3">
        <w:rPr>
          <w:rFonts w:eastAsia="Malgun Gothic"/>
          <w:b/>
        </w:rPr>
        <w:tab/>
      </w:r>
      <w:r w:rsidR="001038EB" w:rsidRPr="006745C3">
        <w:rPr>
          <w:rFonts w:eastAsia="Malgun Gothic"/>
          <w:b/>
        </w:rPr>
        <w:t>Consider establishing a specific independent mechanism for monitoring children’s rights that is able to receive, investigate and address complaints by children in a child-sensitive manner, ensure the privacy and protection of victims and undertake monitoring, follow-up and verification activities for victims</w:t>
      </w:r>
      <w:r w:rsidR="000A4C4A">
        <w:rPr>
          <w:rFonts w:eastAsia="Malgun Gothic"/>
          <w:b/>
        </w:rPr>
        <w:t>,</w:t>
      </w:r>
      <w:r w:rsidR="001038EB" w:rsidRPr="006745C3">
        <w:rPr>
          <w:rFonts w:eastAsia="Malgun Gothic"/>
          <w:b/>
        </w:rPr>
        <w:t xml:space="preserve"> and, to that effect, seek technical cooperation from, among others, the Office of the United Nations High Commissioner for Human Rights (OHCHR), UNICEF and the United Nations Development Programme; </w:t>
      </w:r>
    </w:p>
    <w:p w:rsidR="001038EB" w:rsidRPr="00113BF1" w:rsidRDefault="006745C3" w:rsidP="00113BF1">
      <w:pPr>
        <w:pStyle w:val="SingleTxtG"/>
        <w:ind w:firstLine="567"/>
        <w:rPr>
          <w:b/>
          <w:lang w:val="x-none"/>
        </w:rPr>
      </w:pPr>
      <w:r w:rsidRPr="00113BF1">
        <w:rPr>
          <w:rFonts w:eastAsia="Malgun Gothic"/>
          <w:bCs/>
        </w:rPr>
        <w:t>(b)</w:t>
      </w:r>
      <w:r w:rsidRPr="006745C3">
        <w:rPr>
          <w:rFonts w:eastAsia="Malgun Gothic"/>
          <w:b/>
        </w:rPr>
        <w:tab/>
      </w:r>
      <w:r w:rsidR="000A0151">
        <w:rPr>
          <w:rFonts w:eastAsia="Malgun Gothic"/>
          <w:b/>
        </w:rPr>
        <w:t xml:space="preserve">Ensure that all municipalities </w:t>
      </w:r>
      <w:r w:rsidR="00995D55">
        <w:rPr>
          <w:rFonts w:eastAsia="Malgun Gothic"/>
          <w:b/>
        </w:rPr>
        <w:t>have access to</w:t>
      </w:r>
      <w:r w:rsidR="000A0151">
        <w:rPr>
          <w:rFonts w:eastAsia="Malgun Gothic"/>
          <w:b/>
        </w:rPr>
        <w:t xml:space="preserve"> a</w:t>
      </w:r>
      <w:r w:rsidR="000A0151" w:rsidRPr="006745C3">
        <w:rPr>
          <w:rFonts w:eastAsia="Malgun Gothic"/>
          <w:b/>
        </w:rPr>
        <w:t xml:space="preserve"> </w:t>
      </w:r>
      <w:r w:rsidR="00E26121">
        <w:rPr>
          <w:b/>
        </w:rPr>
        <w:t>m</w:t>
      </w:r>
      <w:r w:rsidR="001038EB" w:rsidRPr="006745C3">
        <w:rPr>
          <w:b/>
        </w:rPr>
        <w:t xml:space="preserve">unicipal </w:t>
      </w:r>
      <w:r w:rsidR="00E26121">
        <w:rPr>
          <w:b/>
        </w:rPr>
        <w:t>c</w:t>
      </w:r>
      <w:r w:rsidR="001038EB" w:rsidRPr="006745C3">
        <w:rPr>
          <w:b/>
        </w:rPr>
        <w:t xml:space="preserve">hild </w:t>
      </w:r>
      <w:r w:rsidR="00E26121">
        <w:rPr>
          <w:b/>
        </w:rPr>
        <w:t>r</w:t>
      </w:r>
      <w:r w:rsidR="001038EB" w:rsidRPr="006745C3">
        <w:rPr>
          <w:b/>
        </w:rPr>
        <w:t xml:space="preserve">ights </w:t>
      </w:r>
      <w:r w:rsidR="00E26121">
        <w:rPr>
          <w:b/>
        </w:rPr>
        <w:t>d</w:t>
      </w:r>
      <w:r w:rsidR="001038EB" w:rsidRPr="006745C3">
        <w:rPr>
          <w:b/>
        </w:rPr>
        <w:t>efender</w:t>
      </w:r>
      <w:r w:rsidR="00761D8B">
        <w:rPr>
          <w:b/>
        </w:rPr>
        <w:t>;</w:t>
      </w:r>
      <w:r w:rsidR="008106DD">
        <w:rPr>
          <w:b/>
        </w:rPr>
        <w:t xml:space="preserve"> </w:t>
      </w:r>
    </w:p>
    <w:p w:rsidR="001038EB" w:rsidRPr="006745C3" w:rsidRDefault="006745C3" w:rsidP="00113BF1">
      <w:pPr>
        <w:pStyle w:val="SingleTxtG"/>
        <w:ind w:firstLine="567"/>
        <w:rPr>
          <w:b/>
        </w:rPr>
      </w:pPr>
      <w:r w:rsidRPr="00113BF1">
        <w:rPr>
          <w:rFonts w:eastAsia="Malgun Gothic"/>
          <w:bCs/>
        </w:rPr>
        <w:t>(c)</w:t>
      </w:r>
      <w:r w:rsidRPr="006745C3">
        <w:rPr>
          <w:rFonts w:eastAsia="Malgun Gothic"/>
          <w:b/>
        </w:rPr>
        <w:tab/>
      </w:r>
      <w:r w:rsidR="001038EB" w:rsidRPr="006745C3">
        <w:rPr>
          <w:rFonts w:eastAsia="Malgun Gothic"/>
          <w:b/>
        </w:rPr>
        <w:t xml:space="preserve">Take the measures </w:t>
      </w:r>
      <w:r w:rsidR="00E26121" w:rsidRPr="00E26121">
        <w:rPr>
          <w:rFonts w:eastAsia="Malgun Gothic"/>
          <w:b/>
        </w:rPr>
        <w:t xml:space="preserve">necessary </w:t>
      </w:r>
      <w:r w:rsidR="001038EB" w:rsidRPr="006745C3">
        <w:rPr>
          <w:rFonts w:eastAsia="Malgun Gothic"/>
          <w:b/>
        </w:rPr>
        <w:t xml:space="preserve">to ensure compliance </w:t>
      </w:r>
      <w:r w:rsidR="00E26121">
        <w:rPr>
          <w:rFonts w:eastAsia="Malgun Gothic"/>
          <w:b/>
        </w:rPr>
        <w:t>by</w:t>
      </w:r>
      <w:r w:rsidR="001038EB" w:rsidRPr="006745C3">
        <w:rPr>
          <w:rFonts w:eastAsia="Malgun Gothic"/>
          <w:b/>
        </w:rPr>
        <w:t xml:space="preserve"> the </w:t>
      </w:r>
      <w:r w:rsidR="00995D55">
        <w:rPr>
          <w:rFonts w:eastAsia="Malgun Gothic"/>
          <w:b/>
        </w:rPr>
        <w:t>o</w:t>
      </w:r>
      <w:r w:rsidR="00E26121">
        <w:rPr>
          <w:rFonts w:eastAsia="Malgun Gothic"/>
          <w:b/>
        </w:rPr>
        <w:t xml:space="preserve">ffice of the </w:t>
      </w:r>
      <w:r w:rsidR="001038EB" w:rsidRPr="006745C3">
        <w:rPr>
          <w:rFonts w:eastAsia="Malgun Gothic"/>
          <w:b/>
        </w:rPr>
        <w:t xml:space="preserve">National </w:t>
      </w:r>
      <w:r w:rsidR="00E26121">
        <w:rPr>
          <w:rFonts w:eastAsia="Malgun Gothic"/>
          <w:b/>
        </w:rPr>
        <w:t xml:space="preserve">Commission for </w:t>
      </w:r>
      <w:r w:rsidR="001038EB" w:rsidRPr="006745C3">
        <w:rPr>
          <w:rFonts w:eastAsia="Malgun Gothic"/>
          <w:b/>
        </w:rPr>
        <w:t xml:space="preserve">Human Rights with the </w:t>
      </w:r>
      <w:r w:rsidR="00E26121">
        <w:rPr>
          <w:rFonts w:eastAsia="Malgun Gothic"/>
          <w:b/>
        </w:rPr>
        <w:t>principles relating to the status of national institutions for the promotion and protection of human rights (</w:t>
      </w:r>
      <w:r w:rsidR="001038EB" w:rsidRPr="006745C3">
        <w:rPr>
          <w:rFonts w:eastAsia="Malgun Gothic"/>
          <w:b/>
        </w:rPr>
        <w:t>Paris Principles</w:t>
      </w:r>
      <w:r w:rsidR="00E26121">
        <w:rPr>
          <w:rFonts w:eastAsia="Malgun Gothic"/>
          <w:b/>
        </w:rPr>
        <w:t>)</w:t>
      </w:r>
      <w:r w:rsidR="00196F10">
        <w:rPr>
          <w:rFonts w:eastAsia="Malgun Gothic"/>
          <w:b/>
        </w:rPr>
        <w:t>.</w:t>
      </w:r>
    </w:p>
    <w:p w:rsidR="001038EB" w:rsidRPr="00EF4C80" w:rsidRDefault="001038EB" w:rsidP="001038EB">
      <w:pPr>
        <w:pStyle w:val="H23G"/>
        <w:rPr>
          <w:rFonts w:eastAsia="Malgun Gothic"/>
          <w:lang w:eastAsia="zh-CN"/>
        </w:rPr>
      </w:pPr>
      <w:r w:rsidRPr="00EF4C80">
        <w:rPr>
          <w:rFonts w:eastAsia="Malgun Gothic"/>
          <w:lang w:eastAsia="zh-CN"/>
        </w:rPr>
        <w:tab/>
      </w:r>
      <w:r w:rsidRPr="00EF4C80">
        <w:rPr>
          <w:rFonts w:eastAsia="Malgun Gothic"/>
          <w:lang w:eastAsia="zh-CN"/>
        </w:rPr>
        <w:tab/>
      </w:r>
      <w:r w:rsidRPr="006F3F70">
        <w:rPr>
          <w:rFonts w:eastAsia="Malgun Gothic"/>
          <w:lang w:eastAsia="zh-CN"/>
        </w:rPr>
        <w:t>Dissemination and awareness-raising</w:t>
      </w:r>
      <w:r w:rsidRPr="00EF4C80">
        <w:rPr>
          <w:rFonts w:eastAsia="Malgun Gothic"/>
          <w:lang w:eastAsia="zh-CN"/>
        </w:rPr>
        <w:t xml:space="preserve"> </w:t>
      </w:r>
    </w:p>
    <w:p w:rsidR="001038EB" w:rsidRPr="00924249" w:rsidRDefault="00113BF1" w:rsidP="00344165">
      <w:pPr>
        <w:pStyle w:val="SingleTxtG"/>
      </w:pPr>
      <w:r w:rsidRPr="00924249">
        <w:rPr>
          <w:iCs/>
        </w:rPr>
        <w:t>19.</w:t>
      </w:r>
      <w:r w:rsidRPr="00924249">
        <w:rPr>
          <w:iCs/>
        </w:rPr>
        <w:tab/>
      </w:r>
      <w:r w:rsidR="001038EB" w:rsidRPr="00924249">
        <w:t>While the Committee recogni</w:t>
      </w:r>
      <w:r w:rsidR="00DD2864">
        <w:t>z</w:t>
      </w:r>
      <w:r w:rsidR="001038EB" w:rsidRPr="00924249">
        <w:t xml:space="preserve">es the different awareness activities conducted by the State party to disseminate information on children’s rights, it remains concerned </w:t>
      </w:r>
      <w:r w:rsidR="00DD2864">
        <w:t>about</w:t>
      </w:r>
      <w:r w:rsidR="00DD2864" w:rsidRPr="00924249">
        <w:t xml:space="preserve"> </w:t>
      </w:r>
      <w:r w:rsidR="001038EB" w:rsidRPr="00924249">
        <w:t>the generali</w:t>
      </w:r>
      <w:r w:rsidR="00DD2864">
        <w:t>z</w:t>
      </w:r>
      <w:r w:rsidR="001038EB" w:rsidRPr="00924249">
        <w:t xml:space="preserve">ed lack of knowledge </w:t>
      </w:r>
      <w:r w:rsidR="000A0151">
        <w:t xml:space="preserve">of </w:t>
      </w:r>
      <w:r w:rsidR="001038EB" w:rsidRPr="00924249">
        <w:t xml:space="preserve">and compliance with children’s rights and </w:t>
      </w:r>
      <w:r w:rsidR="000A0151">
        <w:t>about</w:t>
      </w:r>
      <w:r w:rsidR="000A0151" w:rsidRPr="00924249">
        <w:t xml:space="preserve"> </w:t>
      </w:r>
      <w:r w:rsidR="001038EB" w:rsidRPr="00924249">
        <w:t>the continuity of</w:t>
      </w:r>
      <w:r w:rsidR="000A0151">
        <w:t xml:space="preserve"> </w:t>
      </w:r>
      <w:r w:rsidR="000A0151" w:rsidRPr="000A0151">
        <w:t>awareness-raising</w:t>
      </w:r>
      <w:r w:rsidR="001038EB" w:rsidRPr="00924249">
        <w:t xml:space="preserve"> activities.</w:t>
      </w:r>
      <w:r w:rsidR="0094219F">
        <w:t xml:space="preserve"> </w:t>
      </w:r>
    </w:p>
    <w:p w:rsidR="001038EB" w:rsidRPr="00924249" w:rsidRDefault="00113BF1" w:rsidP="00344165">
      <w:pPr>
        <w:pStyle w:val="SingleTxtG"/>
      </w:pPr>
      <w:r w:rsidRPr="00924249">
        <w:rPr>
          <w:iCs/>
        </w:rPr>
        <w:t>20.</w:t>
      </w:r>
      <w:r w:rsidRPr="00924249">
        <w:rPr>
          <w:iCs/>
        </w:rPr>
        <w:tab/>
      </w:r>
      <w:r w:rsidR="001038EB" w:rsidRPr="00924249">
        <w:rPr>
          <w:b/>
        </w:rPr>
        <w:t>The Committee recommends that the State party strengthen its awareness-raising programmes o</w:t>
      </w:r>
      <w:r w:rsidR="00DD2864">
        <w:rPr>
          <w:b/>
        </w:rPr>
        <w:t>n</w:t>
      </w:r>
      <w:r w:rsidR="001038EB" w:rsidRPr="00924249">
        <w:rPr>
          <w:b/>
        </w:rPr>
        <w:t xml:space="preserve"> the Convention, including </w:t>
      </w:r>
      <w:r w:rsidR="00DD2864">
        <w:rPr>
          <w:b/>
        </w:rPr>
        <w:t>by undertaking</w:t>
      </w:r>
      <w:r w:rsidR="00DD2864" w:rsidRPr="00924249">
        <w:rPr>
          <w:b/>
        </w:rPr>
        <w:t xml:space="preserve"> </w:t>
      </w:r>
      <w:r w:rsidR="001038EB" w:rsidRPr="00924249">
        <w:rPr>
          <w:b/>
        </w:rPr>
        <w:t>greater media engagement in a child-friendly manner</w:t>
      </w:r>
      <w:r w:rsidR="00DD2864">
        <w:rPr>
          <w:b/>
        </w:rPr>
        <w:t>;</w:t>
      </w:r>
      <w:r w:rsidR="001038EB" w:rsidRPr="00924249">
        <w:rPr>
          <w:b/>
        </w:rPr>
        <w:t xml:space="preserve"> promoting the active involvement of children in public outreach activities</w:t>
      </w:r>
      <w:r w:rsidR="00DD2864">
        <w:rPr>
          <w:b/>
        </w:rPr>
        <w:t>;</w:t>
      </w:r>
      <w:r w:rsidR="001038EB" w:rsidRPr="00924249">
        <w:rPr>
          <w:b/>
        </w:rPr>
        <w:t xml:space="preserve"> and ensuring targeted measures for parents, social workers and law enforcement officials.</w:t>
      </w:r>
      <w:r w:rsidR="001038EB" w:rsidRPr="00924249">
        <w:t xml:space="preserve"> </w:t>
      </w:r>
    </w:p>
    <w:p w:rsidR="001038EB" w:rsidRPr="00924249" w:rsidRDefault="001038EB" w:rsidP="00924249">
      <w:pPr>
        <w:pStyle w:val="H23G"/>
        <w:rPr>
          <w:rFonts w:eastAsia="Malgun Gothic"/>
        </w:rPr>
      </w:pPr>
      <w:r w:rsidRPr="00924249">
        <w:rPr>
          <w:rFonts w:eastAsia="Malgun Gothic"/>
        </w:rPr>
        <w:tab/>
      </w:r>
      <w:r w:rsidRPr="00924249">
        <w:rPr>
          <w:rFonts w:eastAsia="Malgun Gothic"/>
        </w:rPr>
        <w:tab/>
        <w:t>Training</w:t>
      </w:r>
    </w:p>
    <w:p w:rsidR="001038EB" w:rsidRPr="00924249" w:rsidRDefault="00113BF1" w:rsidP="00344165">
      <w:pPr>
        <w:pStyle w:val="SingleTxtG"/>
      </w:pPr>
      <w:r w:rsidRPr="00924249">
        <w:rPr>
          <w:iCs/>
        </w:rPr>
        <w:t>21.</w:t>
      </w:r>
      <w:r w:rsidRPr="00924249">
        <w:rPr>
          <w:iCs/>
        </w:rPr>
        <w:tab/>
      </w:r>
      <w:r w:rsidR="001038EB" w:rsidRPr="00924249">
        <w:t xml:space="preserve">While taking note of the several training activities relating to children’s rights undertaken by the State party, the Committee regrets that they were almost exclusively directed at officials and employees of the judiciary and civil servants involved in preparing the reports on the Convention and its Optional Protocols. The Committee is also concerned </w:t>
      </w:r>
      <w:r w:rsidR="00DD2864">
        <w:t>about</w:t>
      </w:r>
      <w:r w:rsidR="001038EB" w:rsidRPr="00924249">
        <w:t xml:space="preserve"> the reform of the education curricul</w:t>
      </w:r>
      <w:r w:rsidR="0020794B">
        <w:t>um</w:t>
      </w:r>
      <w:r w:rsidR="00DD2864">
        <w:t>,</w:t>
      </w:r>
      <w:r w:rsidR="001038EB" w:rsidRPr="00924249">
        <w:t xml:space="preserve"> which limits the teaching of human and children’s rights to the seventh grade. </w:t>
      </w:r>
    </w:p>
    <w:p w:rsidR="001038EB" w:rsidRPr="00924249" w:rsidRDefault="00113BF1" w:rsidP="00344165">
      <w:pPr>
        <w:pStyle w:val="SingleTxtG"/>
        <w:rPr>
          <w:b/>
        </w:rPr>
      </w:pPr>
      <w:r w:rsidRPr="00924249">
        <w:rPr>
          <w:iCs/>
        </w:rPr>
        <w:t>22.</w:t>
      </w:r>
      <w:r w:rsidRPr="00924249">
        <w:rPr>
          <w:iCs/>
        </w:rPr>
        <w:tab/>
      </w:r>
      <w:r w:rsidR="001038EB" w:rsidRPr="00924249">
        <w:rPr>
          <w:b/>
        </w:rPr>
        <w:t xml:space="preserve">The Committee recommends that the State party: </w:t>
      </w:r>
    </w:p>
    <w:p w:rsidR="001038EB" w:rsidRPr="00924249" w:rsidRDefault="00924249" w:rsidP="00113BF1">
      <w:pPr>
        <w:pStyle w:val="SingleTxtG"/>
        <w:ind w:firstLine="567"/>
        <w:rPr>
          <w:b/>
        </w:rPr>
      </w:pPr>
      <w:r w:rsidRPr="00113BF1">
        <w:rPr>
          <w:bCs/>
        </w:rPr>
        <w:t>(a)</w:t>
      </w:r>
      <w:r>
        <w:rPr>
          <w:b/>
        </w:rPr>
        <w:tab/>
      </w:r>
      <w:r w:rsidR="001038EB" w:rsidRPr="00924249">
        <w:rPr>
          <w:b/>
        </w:rPr>
        <w:t>Develop systematic and ongoing training programmes on children’s rights for all professionals working with and for children, such as judges, lawyers</w:t>
      </w:r>
      <w:r w:rsidR="00DD2864">
        <w:rPr>
          <w:b/>
        </w:rPr>
        <w:t xml:space="preserve"> and</w:t>
      </w:r>
      <w:r w:rsidR="001038EB" w:rsidRPr="00924249">
        <w:rPr>
          <w:b/>
        </w:rPr>
        <w:t xml:space="preserve"> law enforcement officials, </w:t>
      </w:r>
      <w:r w:rsidR="00DD2864">
        <w:rPr>
          <w:b/>
        </w:rPr>
        <w:t>as well as</w:t>
      </w:r>
      <w:r w:rsidR="001038EB" w:rsidRPr="00924249">
        <w:rPr>
          <w:b/>
        </w:rPr>
        <w:t xml:space="preserve"> civil servants, teachers, health personnel, psychologists, social workers and journalists;</w:t>
      </w:r>
    </w:p>
    <w:p w:rsidR="001038EB" w:rsidRPr="00924249" w:rsidRDefault="00924249" w:rsidP="00113BF1">
      <w:pPr>
        <w:pStyle w:val="SingleTxtG"/>
        <w:ind w:firstLine="567"/>
        <w:rPr>
          <w:b/>
        </w:rPr>
      </w:pPr>
      <w:r w:rsidRPr="00113BF1">
        <w:rPr>
          <w:bCs/>
        </w:rPr>
        <w:t>(b)</w:t>
      </w:r>
      <w:r>
        <w:rPr>
          <w:b/>
        </w:rPr>
        <w:tab/>
      </w:r>
      <w:r w:rsidR="001038EB" w:rsidRPr="00CE4230">
        <w:rPr>
          <w:b/>
        </w:rPr>
        <w:t>Integrate</w:t>
      </w:r>
      <w:r w:rsidR="001038EB" w:rsidRPr="00924249">
        <w:rPr>
          <w:b/>
        </w:rPr>
        <w:t xml:space="preserve"> the teaching of human and children’s rights</w:t>
      </w:r>
      <w:r w:rsidR="0020794B">
        <w:rPr>
          <w:b/>
        </w:rPr>
        <w:t xml:space="preserve"> into</w:t>
      </w:r>
      <w:r w:rsidR="001038EB" w:rsidRPr="00924249">
        <w:rPr>
          <w:b/>
        </w:rPr>
        <w:t xml:space="preserve"> </w:t>
      </w:r>
      <w:r w:rsidR="00CE4230">
        <w:rPr>
          <w:b/>
        </w:rPr>
        <w:t>the curricula for</w:t>
      </w:r>
      <w:r w:rsidR="001038EB" w:rsidRPr="00924249">
        <w:rPr>
          <w:b/>
        </w:rPr>
        <w:t xml:space="preserve"> students of all ages</w:t>
      </w:r>
      <w:r w:rsidR="00B01341">
        <w:rPr>
          <w:b/>
        </w:rPr>
        <w:t>;</w:t>
      </w:r>
      <w:r w:rsidR="001038EB" w:rsidRPr="00924249">
        <w:rPr>
          <w:b/>
        </w:rPr>
        <w:t xml:space="preserve"> </w:t>
      </w:r>
    </w:p>
    <w:p w:rsidR="001038EB" w:rsidRPr="00924249" w:rsidRDefault="00924249" w:rsidP="00113BF1">
      <w:pPr>
        <w:pStyle w:val="SingleTxtG"/>
        <w:ind w:firstLine="567"/>
        <w:rPr>
          <w:b/>
        </w:rPr>
      </w:pPr>
      <w:r w:rsidRPr="00113BF1">
        <w:rPr>
          <w:rFonts w:eastAsia="Malgun Gothic"/>
          <w:bCs/>
        </w:rPr>
        <w:t>(c)</w:t>
      </w:r>
      <w:r>
        <w:rPr>
          <w:rFonts w:eastAsia="Malgun Gothic"/>
          <w:b/>
        </w:rPr>
        <w:tab/>
      </w:r>
      <w:r w:rsidR="001038EB" w:rsidRPr="00924249">
        <w:rPr>
          <w:rFonts w:eastAsia="Malgun Gothic"/>
          <w:b/>
        </w:rPr>
        <w:t xml:space="preserve">Engage with UNICEF, the </w:t>
      </w:r>
      <w:r w:rsidR="001038EB" w:rsidRPr="00924249">
        <w:rPr>
          <w:b/>
        </w:rPr>
        <w:t>United Nations Educational, Scientific and Cultural Organization</w:t>
      </w:r>
      <w:r w:rsidR="001038EB" w:rsidRPr="00924249">
        <w:rPr>
          <w:rFonts w:eastAsia="Malgun Gothic"/>
          <w:b/>
        </w:rPr>
        <w:t xml:space="preserve"> (UNESCO) and OHCHR for technical cooperation in this area.</w:t>
      </w:r>
    </w:p>
    <w:p w:rsidR="001038EB" w:rsidRDefault="00924249" w:rsidP="00924249">
      <w:pPr>
        <w:pStyle w:val="H23G"/>
        <w:rPr>
          <w:rFonts w:eastAsia="Malgun Gothic"/>
          <w:lang w:eastAsia="zh-CN"/>
        </w:rPr>
      </w:pPr>
      <w:r>
        <w:rPr>
          <w:rFonts w:eastAsia="Malgun Gothic"/>
          <w:lang w:eastAsia="zh-CN"/>
        </w:rPr>
        <w:tab/>
      </w:r>
      <w:r>
        <w:rPr>
          <w:rFonts w:eastAsia="Malgun Gothic"/>
          <w:lang w:eastAsia="zh-CN"/>
        </w:rPr>
        <w:tab/>
      </w:r>
      <w:r w:rsidR="001038EB" w:rsidRPr="00FC18AC">
        <w:rPr>
          <w:rFonts w:eastAsia="Malgun Gothic"/>
          <w:lang w:eastAsia="zh-CN"/>
        </w:rPr>
        <w:t>Cooperation with civil society</w:t>
      </w:r>
    </w:p>
    <w:p w:rsidR="001038EB" w:rsidRDefault="00113BF1" w:rsidP="00344165">
      <w:pPr>
        <w:pStyle w:val="SingleTxtG"/>
      </w:pPr>
      <w:r>
        <w:rPr>
          <w:iCs/>
        </w:rPr>
        <w:t>23.</w:t>
      </w:r>
      <w:r>
        <w:rPr>
          <w:iCs/>
        </w:rPr>
        <w:tab/>
      </w:r>
      <w:r w:rsidR="001038EB" w:rsidRPr="008E12CC">
        <w:t xml:space="preserve">The Committee </w:t>
      </w:r>
      <w:r w:rsidR="001038EB">
        <w:t>welcomes the steps taken by the State party to ensure the systematic coordination between public and civil society institutions</w:t>
      </w:r>
      <w:r w:rsidR="00706F24">
        <w:t>,</w:t>
      </w:r>
      <w:r w:rsidR="001038EB">
        <w:t xml:space="preserve"> which resulted in the adoption of </w:t>
      </w:r>
      <w:r w:rsidR="001038EB">
        <w:lastRenderedPageBreak/>
        <w:t xml:space="preserve">several laws, policies and programmes to implement children’s rights </w:t>
      </w:r>
      <w:r w:rsidR="00AA200D">
        <w:t>It</w:t>
      </w:r>
      <w:r w:rsidR="001038EB">
        <w:t xml:space="preserve"> is</w:t>
      </w:r>
      <w:r w:rsidR="00AA200D">
        <w:t>,</w:t>
      </w:r>
      <w:r w:rsidR="001038EB">
        <w:t xml:space="preserve"> however</w:t>
      </w:r>
      <w:r w:rsidR="00AA200D">
        <w:t>,</w:t>
      </w:r>
      <w:r w:rsidR="001038EB">
        <w:t xml:space="preserve"> concerned about the lack of involvement of independent civil society in </w:t>
      </w:r>
      <w:r w:rsidR="00706F24">
        <w:t xml:space="preserve">the </w:t>
      </w:r>
      <w:r w:rsidR="001038EB">
        <w:t xml:space="preserve">monitoring and evaluation processes of those public measures. The Committee is </w:t>
      </w:r>
      <w:r w:rsidR="009F0460">
        <w:t xml:space="preserve">also </w:t>
      </w:r>
      <w:r w:rsidR="001038EB">
        <w:t xml:space="preserve">concerned about </w:t>
      </w:r>
      <w:r w:rsidR="00995D55">
        <w:t>abuses</w:t>
      </w:r>
      <w:r w:rsidR="00995D55" w:rsidRPr="00995D55">
        <w:t xml:space="preserve"> </w:t>
      </w:r>
      <w:r w:rsidR="001038EB" w:rsidRPr="00995D55">
        <w:t>against</w:t>
      </w:r>
      <w:r w:rsidR="001038EB">
        <w:t xml:space="preserve"> defenders of children</w:t>
      </w:r>
      <w:r w:rsidR="00E34889">
        <w:t>’</w:t>
      </w:r>
      <w:r w:rsidR="001038EB">
        <w:t xml:space="preserve">s rights, such as </w:t>
      </w:r>
      <w:r w:rsidR="00706F24">
        <w:t xml:space="preserve">in </w:t>
      </w:r>
      <w:r w:rsidR="001038EB">
        <w:t>the case of Jos</w:t>
      </w:r>
      <w:r w:rsidR="00706F24">
        <w:t>é</w:t>
      </w:r>
      <w:r w:rsidR="001038EB">
        <w:t xml:space="preserve"> Guadalupe Ruelas, </w:t>
      </w:r>
      <w:r w:rsidR="00706F24">
        <w:t xml:space="preserve">the </w:t>
      </w:r>
      <w:r w:rsidR="001038EB">
        <w:t>director of Casa Alianza</w:t>
      </w:r>
      <w:r w:rsidR="00706F24">
        <w:t xml:space="preserve"> in Honduras</w:t>
      </w:r>
      <w:r w:rsidR="001038EB">
        <w:t xml:space="preserve">, </w:t>
      </w:r>
      <w:r w:rsidR="00706F24">
        <w:t xml:space="preserve">who was </w:t>
      </w:r>
      <w:r w:rsidR="001038EB">
        <w:t>beaten and jailed by the military police on 8 May 2014.</w:t>
      </w:r>
    </w:p>
    <w:p w:rsidR="001038EB" w:rsidRPr="00924249" w:rsidRDefault="00113BF1" w:rsidP="00344165">
      <w:pPr>
        <w:pStyle w:val="SingleTxtG"/>
        <w:rPr>
          <w:b/>
        </w:rPr>
      </w:pPr>
      <w:r w:rsidRPr="00924249">
        <w:rPr>
          <w:iCs/>
        </w:rPr>
        <w:t>24.</w:t>
      </w:r>
      <w:r w:rsidRPr="00924249">
        <w:rPr>
          <w:iCs/>
        </w:rPr>
        <w:tab/>
      </w:r>
      <w:r w:rsidR="001038EB" w:rsidRPr="00924249">
        <w:rPr>
          <w:b/>
        </w:rPr>
        <w:t xml:space="preserve">The Committee recommends that the State party: </w:t>
      </w:r>
    </w:p>
    <w:p w:rsidR="001038EB" w:rsidRPr="00924249" w:rsidRDefault="00924249" w:rsidP="00113BF1">
      <w:pPr>
        <w:pStyle w:val="SingleTxtG"/>
        <w:ind w:firstLine="567"/>
        <w:rPr>
          <w:b/>
        </w:rPr>
      </w:pPr>
      <w:r w:rsidRPr="00113BF1">
        <w:rPr>
          <w:bCs/>
        </w:rPr>
        <w:t>(a)</w:t>
      </w:r>
      <w:r>
        <w:rPr>
          <w:b/>
        </w:rPr>
        <w:tab/>
      </w:r>
      <w:r w:rsidR="001038EB" w:rsidRPr="00924249">
        <w:rPr>
          <w:b/>
        </w:rPr>
        <w:t xml:space="preserve">Systematically involve communities </w:t>
      </w:r>
      <w:r w:rsidR="00706F24">
        <w:rPr>
          <w:b/>
        </w:rPr>
        <w:t>and</w:t>
      </w:r>
      <w:r w:rsidR="001038EB" w:rsidRPr="00924249">
        <w:rPr>
          <w:b/>
        </w:rPr>
        <w:t xml:space="preserve"> civil society, including non-governmental organizations and children’s organizations, in the development, monitoring and evaluation of policies, plans and programmes related to children’s rights;</w:t>
      </w:r>
    </w:p>
    <w:p w:rsidR="001038EB" w:rsidRPr="00924249" w:rsidRDefault="00924249" w:rsidP="00113BF1">
      <w:pPr>
        <w:pStyle w:val="SingleTxtG"/>
        <w:ind w:firstLine="567"/>
        <w:rPr>
          <w:b/>
        </w:rPr>
      </w:pPr>
      <w:r w:rsidRPr="00113BF1">
        <w:rPr>
          <w:bCs/>
        </w:rPr>
        <w:t>(b)</w:t>
      </w:r>
      <w:r>
        <w:rPr>
          <w:b/>
        </w:rPr>
        <w:tab/>
      </w:r>
      <w:r w:rsidR="001038EB" w:rsidRPr="00924249">
        <w:rPr>
          <w:b/>
        </w:rPr>
        <w:t xml:space="preserve">Keep the Committee informed of the outcome of the case of </w:t>
      </w:r>
      <w:r w:rsidR="00706F24">
        <w:rPr>
          <w:b/>
        </w:rPr>
        <w:t>Mr.</w:t>
      </w:r>
      <w:r w:rsidR="001038EB" w:rsidRPr="00924249">
        <w:rPr>
          <w:b/>
        </w:rPr>
        <w:t xml:space="preserve"> Ruelas, and the steps taken to protect defenders of children</w:t>
      </w:r>
      <w:r w:rsidR="00E34889">
        <w:rPr>
          <w:b/>
        </w:rPr>
        <w:t>’</w:t>
      </w:r>
      <w:r w:rsidR="001038EB" w:rsidRPr="00924249">
        <w:rPr>
          <w:b/>
        </w:rPr>
        <w:t>s rights.</w:t>
      </w:r>
    </w:p>
    <w:p w:rsidR="001038EB" w:rsidRPr="00924249" w:rsidRDefault="00924249" w:rsidP="00924249">
      <w:pPr>
        <w:pStyle w:val="H1G"/>
      </w:pPr>
      <w:r>
        <w:tab/>
        <w:t>B.</w:t>
      </w:r>
      <w:r>
        <w:tab/>
      </w:r>
      <w:r w:rsidR="001038EB" w:rsidRPr="00924249">
        <w:t>General principles (arts.</w:t>
      </w:r>
      <w:r w:rsidR="00621057">
        <w:t> </w:t>
      </w:r>
      <w:r w:rsidR="001038EB" w:rsidRPr="00924249">
        <w:t>2</w:t>
      </w:r>
      <w:r w:rsidR="009F0460">
        <w:t>–</w:t>
      </w:r>
      <w:r w:rsidR="001038EB" w:rsidRPr="00924249">
        <w:t>3, 6 and 12 of the Convention)</w:t>
      </w:r>
    </w:p>
    <w:p w:rsidR="001038EB" w:rsidRPr="00924249" w:rsidRDefault="001038EB" w:rsidP="00924249">
      <w:pPr>
        <w:pStyle w:val="H23G"/>
      </w:pPr>
      <w:r w:rsidRPr="00924249">
        <w:tab/>
      </w:r>
      <w:r w:rsidRPr="00924249">
        <w:tab/>
        <w:t>Non-discrimination</w:t>
      </w:r>
    </w:p>
    <w:p w:rsidR="001038EB" w:rsidRPr="00924249" w:rsidRDefault="00113BF1" w:rsidP="00344165">
      <w:pPr>
        <w:pStyle w:val="SingleTxtG"/>
      </w:pPr>
      <w:r w:rsidRPr="00924249">
        <w:rPr>
          <w:iCs/>
        </w:rPr>
        <w:t>25.</w:t>
      </w:r>
      <w:r w:rsidRPr="00924249">
        <w:rPr>
          <w:iCs/>
        </w:rPr>
        <w:tab/>
      </w:r>
      <w:r w:rsidR="001038EB" w:rsidRPr="00924249">
        <w:t xml:space="preserve">The Committee welcomes the State party’s measures to integrate the principle of non-discrimination in its legislation and in designing public policies and programmes. The Committee is nonetheless concerned about: </w:t>
      </w:r>
    </w:p>
    <w:p w:rsidR="001038EB" w:rsidRPr="00924249" w:rsidRDefault="00924249" w:rsidP="00113BF1">
      <w:pPr>
        <w:pStyle w:val="SingleTxtG"/>
        <w:ind w:firstLine="567"/>
      </w:pPr>
      <w:r>
        <w:t>(a)</w:t>
      </w:r>
      <w:r>
        <w:tab/>
      </w:r>
      <w:r w:rsidR="001038EB" w:rsidRPr="00924249">
        <w:t xml:space="preserve">The lack of detailed information on the situation of girls; </w:t>
      </w:r>
    </w:p>
    <w:p w:rsidR="001038EB" w:rsidRPr="00924249" w:rsidRDefault="00924249" w:rsidP="00113BF1">
      <w:pPr>
        <w:pStyle w:val="SingleTxtG"/>
        <w:ind w:firstLine="567"/>
      </w:pPr>
      <w:r>
        <w:t>(b)</w:t>
      </w:r>
      <w:r>
        <w:tab/>
      </w:r>
      <w:r w:rsidR="001038EB" w:rsidRPr="00924249">
        <w:t xml:space="preserve">The impact of increased poverty and inequality among children, in particular indigenous children and children living in rural areas; </w:t>
      </w:r>
    </w:p>
    <w:p w:rsidR="001038EB" w:rsidRPr="00924249" w:rsidRDefault="00924249" w:rsidP="00113BF1">
      <w:pPr>
        <w:pStyle w:val="SingleTxtG"/>
        <w:ind w:firstLine="567"/>
      </w:pPr>
      <w:r>
        <w:rPr>
          <w:rFonts w:eastAsia="Malgun Gothic"/>
        </w:rPr>
        <w:t>(c)</w:t>
      </w:r>
      <w:r>
        <w:rPr>
          <w:rFonts w:eastAsia="Malgun Gothic"/>
        </w:rPr>
        <w:tab/>
      </w:r>
      <w:r w:rsidR="001038EB" w:rsidRPr="00924249">
        <w:rPr>
          <w:rFonts w:eastAsia="Malgun Gothic"/>
        </w:rPr>
        <w:t xml:space="preserve">The continued use of sex-based discrimination language in certain laws, institutional plans and programmes for children. </w:t>
      </w:r>
    </w:p>
    <w:p w:rsidR="001038EB" w:rsidRPr="00924249" w:rsidRDefault="00113BF1" w:rsidP="00344165">
      <w:pPr>
        <w:pStyle w:val="SingleTxtG"/>
        <w:rPr>
          <w:b/>
        </w:rPr>
      </w:pPr>
      <w:r w:rsidRPr="00924249">
        <w:rPr>
          <w:iCs/>
        </w:rPr>
        <w:t>26.</w:t>
      </w:r>
      <w:r w:rsidRPr="00924249">
        <w:rPr>
          <w:iCs/>
        </w:rPr>
        <w:tab/>
      </w:r>
      <w:r w:rsidR="001038EB" w:rsidRPr="00924249">
        <w:rPr>
          <w:b/>
        </w:rPr>
        <w:t>The Committee recommends that the State party:</w:t>
      </w:r>
    </w:p>
    <w:p w:rsidR="001038EB" w:rsidRPr="00924249" w:rsidRDefault="00924249" w:rsidP="00113BF1">
      <w:pPr>
        <w:pStyle w:val="SingleTxtG"/>
        <w:ind w:firstLine="567"/>
        <w:rPr>
          <w:b/>
        </w:rPr>
      </w:pPr>
      <w:r w:rsidRPr="00113BF1">
        <w:rPr>
          <w:bCs/>
        </w:rPr>
        <w:t>(a)</w:t>
      </w:r>
      <w:r>
        <w:rPr>
          <w:b/>
        </w:rPr>
        <w:tab/>
      </w:r>
      <w:r w:rsidR="001038EB" w:rsidRPr="00113BF1">
        <w:rPr>
          <w:b/>
          <w:spacing w:val="-2"/>
        </w:rPr>
        <w:t>Collect information</w:t>
      </w:r>
      <w:r w:rsidR="00331C91" w:rsidRPr="00113BF1">
        <w:rPr>
          <w:b/>
          <w:spacing w:val="-2"/>
        </w:rPr>
        <w:t>, disaggregated by sex,</w:t>
      </w:r>
      <w:r w:rsidR="001038EB" w:rsidRPr="00113BF1">
        <w:rPr>
          <w:b/>
          <w:spacing w:val="-2"/>
        </w:rPr>
        <w:t xml:space="preserve"> on all areas of the Convention;</w:t>
      </w:r>
      <w:r w:rsidR="001038EB" w:rsidRPr="00924249">
        <w:rPr>
          <w:b/>
        </w:rPr>
        <w:t xml:space="preserve"> </w:t>
      </w:r>
    </w:p>
    <w:p w:rsidR="001038EB" w:rsidRPr="00924249" w:rsidRDefault="00924249" w:rsidP="00113BF1">
      <w:pPr>
        <w:pStyle w:val="SingleTxtG"/>
        <w:ind w:firstLine="567"/>
        <w:rPr>
          <w:b/>
        </w:rPr>
      </w:pPr>
      <w:r w:rsidRPr="00113BF1">
        <w:rPr>
          <w:bCs/>
        </w:rPr>
        <w:t>(b)</w:t>
      </w:r>
      <w:r w:rsidRPr="00113BF1">
        <w:rPr>
          <w:bCs/>
        </w:rPr>
        <w:tab/>
      </w:r>
      <w:r w:rsidR="001038EB" w:rsidRPr="00924249">
        <w:rPr>
          <w:b/>
        </w:rPr>
        <w:t xml:space="preserve">Take the measures </w:t>
      </w:r>
      <w:r w:rsidR="00331C91" w:rsidRPr="00331C91">
        <w:rPr>
          <w:b/>
        </w:rPr>
        <w:t xml:space="preserve">necessary </w:t>
      </w:r>
      <w:r w:rsidR="001038EB" w:rsidRPr="00924249">
        <w:rPr>
          <w:b/>
        </w:rPr>
        <w:t>to mitigate the impact of poverty and inequality on the situation of indigenous children and children living in rural areas;</w:t>
      </w:r>
      <w:r w:rsidR="001038EB" w:rsidRPr="00924249">
        <w:rPr>
          <w:rFonts w:eastAsia="Malgun Gothic"/>
          <w:b/>
        </w:rPr>
        <w:t xml:space="preserve"> </w:t>
      </w:r>
    </w:p>
    <w:p w:rsidR="001038EB" w:rsidRPr="00924249" w:rsidRDefault="00924249" w:rsidP="00113BF1">
      <w:pPr>
        <w:pStyle w:val="SingleTxtG"/>
        <w:ind w:firstLine="567"/>
        <w:rPr>
          <w:b/>
        </w:rPr>
      </w:pPr>
      <w:r w:rsidRPr="00113BF1">
        <w:rPr>
          <w:rFonts w:eastAsia="Malgun Gothic"/>
          <w:bCs/>
        </w:rPr>
        <w:t>(c)</w:t>
      </w:r>
      <w:r w:rsidRPr="00113BF1">
        <w:rPr>
          <w:rFonts w:eastAsia="Malgun Gothic"/>
          <w:bCs/>
        </w:rPr>
        <w:tab/>
      </w:r>
      <w:r w:rsidR="001038EB" w:rsidRPr="00924249">
        <w:rPr>
          <w:rFonts w:eastAsia="Malgun Gothic"/>
          <w:b/>
        </w:rPr>
        <w:t>Review its laws, policies and programmes to ensure the effective abolishment of the different classification of boys and girls in law and in practice.</w:t>
      </w:r>
    </w:p>
    <w:p w:rsidR="001038EB" w:rsidRPr="00924249" w:rsidRDefault="001038EB" w:rsidP="00924249">
      <w:pPr>
        <w:pStyle w:val="H23G"/>
      </w:pPr>
      <w:r w:rsidRPr="00924249">
        <w:tab/>
      </w:r>
      <w:r w:rsidRPr="00924249">
        <w:tab/>
        <w:t>Best interests of the child</w:t>
      </w:r>
    </w:p>
    <w:p w:rsidR="001038EB" w:rsidRPr="00924249" w:rsidRDefault="00113BF1" w:rsidP="00344165">
      <w:pPr>
        <w:pStyle w:val="SingleTxtG"/>
      </w:pPr>
      <w:r w:rsidRPr="00924249">
        <w:rPr>
          <w:iCs/>
        </w:rPr>
        <w:t>27.</w:t>
      </w:r>
      <w:r w:rsidRPr="00924249">
        <w:rPr>
          <w:iCs/>
        </w:rPr>
        <w:tab/>
      </w:r>
      <w:r w:rsidR="001038EB" w:rsidRPr="00924249">
        <w:t>The Committee welcomes the measures taken by the State party to include the right of the child to have his</w:t>
      </w:r>
      <w:r w:rsidR="00416B5C">
        <w:t xml:space="preserve"> or </w:t>
      </w:r>
      <w:r w:rsidR="001038EB" w:rsidRPr="00924249">
        <w:t xml:space="preserve">her best interests taken into account as a primary consideration in the legal framework, to strengthen the judiciary </w:t>
      </w:r>
      <w:r w:rsidR="0094501B">
        <w:t>as regards</w:t>
      </w:r>
      <w:r w:rsidR="0094501B" w:rsidRPr="00924249">
        <w:t xml:space="preserve"> </w:t>
      </w:r>
      <w:r w:rsidR="001038EB" w:rsidRPr="00924249">
        <w:t xml:space="preserve">the application of this right and to provide legal aid services </w:t>
      </w:r>
      <w:r w:rsidR="0094501B">
        <w:t>for</w:t>
      </w:r>
      <w:r w:rsidR="001038EB" w:rsidRPr="00924249">
        <w:t xml:space="preserve"> the population. The Committee is however concerned that the right of the child to have his or her best interests taken into account as </w:t>
      </w:r>
      <w:r w:rsidR="00DF044E">
        <w:t xml:space="preserve">a </w:t>
      </w:r>
      <w:r w:rsidR="001038EB" w:rsidRPr="00924249">
        <w:t xml:space="preserve">primary consideration is not applied in practice, namely in the areas of migration, labour and civil and police matters. </w:t>
      </w:r>
    </w:p>
    <w:p w:rsidR="001038EB" w:rsidRPr="00924249" w:rsidRDefault="00113BF1" w:rsidP="00344165">
      <w:pPr>
        <w:pStyle w:val="SingleTxtG"/>
        <w:rPr>
          <w:rFonts w:eastAsia="Malgun Gothic"/>
          <w:b/>
        </w:rPr>
      </w:pPr>
      <w:r w:rsidRPr="00924249">
        <w:rPr>
          <w:rFonts w:eastAsia="Malgun Gothic"/>
          <w:iCs/>
        </w:rPr>
        <w:t>28.</w:t>
      </w:r>
      <w:r w:rsidRPr="00924249">
        <w:rPr>
          <w:rFonts w:eastAsia="Malgun Gothic"/>
          <w:iCs/>
        </w:rPr>
        <w:tab/>
      </w:r>
      <w:r w:rsidR="001038EB" w:rsidRPr="00924249">
        <w:rPr>
          <w:rFonts w:eastAsia="Malgun Gothic"/>
          <w:b/>
        </w:rPr>
        <w:t xml:space="preserve">In the light of its </w:t>
      </w:r>
      <w:r w:rsidR="00DF044E">
        <w:rPr>
          <w:b/>
        </w:rPr>
        <w:t>g</w:t>
      </w:r>
      <w:r w:rsidR="001038EB" w:rsidRPr="00924249">
        <w:rPr>
          <w:b/>
        </w:rPr>
        <w:t xml:space="preserve">eneral </w:t>
      </w:r>
      <w:r w:rsidR="00DF044E">
        <w:rPr>
          <w:b/>
        </w:rPr>
        <w:t>c</w:t>
      </w:r>
      <w:r w:rsidR="001038EB" w:rsidRPr="00924249">
        <w:rPr>
          <w:b/>
        </w:rPr>
        <w:t>omment No</w:t>
      </w:r>
      <w:r w:rsidR="004B2912">
        <w:rPr>
          <w:b/>
        </w:rPr>
        <w:t>. </w:t>
      </w:r>
      <w:r w:rsidR="001038EB" w:rsidRPr="00924249">
        <w:rPr>
          <w:b/>
        </w:rPr>
        <w:t xml:space="preserve">14 (2013) on the right of the child to have his or her best interests taken as a primary consideration, the Committee recommends that the State party: </w:t>
      </w:r>
    </w:p>
    <w:p w:rsidR="001038EB" w:rsidRPr="00924249" w:rsidRDefault="00924249" w:rsidP="00113BF1">
      <w:pPr>
        <w:pStyle w:val="SingleTxtG"/>
        <w:ind w:firstLine="567"/>
        <w:rPr>
          <w:rFonts w:eastAsia="Malgun Gothic"/>
          <w:b/>
        </w:rPr>
      </w:pPr>
      <w:r w:rsidRPr="00113BF1">
        <w:rPr>
          <w:rFonts w:eastAsia="Malgun Gothic"/>
          <w:bCs/>
        </w:rPr>
        <w:t>(a)</w:t>
      </w:r>
      <w:r w:rsidRPr="00924249">
        <w:rPr>
          <w:rFonts w:eastAsia="Malgun Gothic"/>
          <w:b/>
        </w:rPr>
        <w:tab/>
      </w:r>
      <w:r w:rsidR="001038EB" w:rsidRPr="00924249">
        <w:rPr>
          <w:rFonts w:eastAsia="Malgun Gothic"/>
          <w:b/>
        </w:rPr>
        <w:t>S</w:t>
      </w:r>
      <w:r w:rsidR="001038EB" w:rsidRPr="00924249">
        <w:rPr>
          <w:b/>
        </w:rPr>
        <w:t xml:space="preserve">trengthen its efforts to ensure that the right of the child to have his or her best interests taken as a primary consideration is appropriately integrated and consistently applied in all legislative, administrative and judicial proceedings and </w:t>
      </w:r>
      <w:r w:rsidR="001038EB" w:rsidRPr="00924249">
        <w:rPr>
          <w:b/>
        </w:rPr>
        <w:lastRenderedPageBreak/>
        <w:t xml:space="preserve">decisions as well as in all policies, programmes and projects that are relevant to and have an impact on children; </w:t>
      </w:r>
    </w:p>
    <w:p w:rsidR="001038EB" w:rsidRPr="00924249" w:rsidRDefault="00924249" w:rsidP="00113BF1">
      <w:pPr>
        <w:pStyle w:val="SingleTxtG"/>
        <w:ind w:firstLine="567"/>
        <w:rPr>
          <w:rFonts w:eastAsia="Malgun Gothic"/>
          <w:b/>
        </w:rPr>
      </w:pPr>
      <w:r w:rsidRPr="00113BF1">
        <w:rPr>
          <w:bCs/>
        </w:rPr>
        <w:t>(b)</w:t>
      </w:r>
      <w:r w:rsidRPr="00924249">
        <w:rPr>
          <w:b/>
        </w:rPr>
        <w:tab/>
      </w:r>
      <w:r w:rsidR="001038EB" w:rsidRPr="00924249">
        <w:rPr>
          <w:b/>
        </w:rPr>
        <w:t xml:space="preserve">Develop procedures and criteria to provide guidance to all relevant persons in authority for determining the best interests of the child in every area and for giving </w:t>
      </w:r>
      <w:r w:rsidR="0094501B">
        <w:rPr>
          <w:b/>
        </w:rPr>
        <w:t>those interests</w:t>
      </w:r>
      <w:r w:rsidR="001038EB" w:rsidRPr="00924249">
        <w:rPr>
          <w:b/>
        </w:rPr>
        <w:t xml:space="preserve"> due weight as a primary consideration. </w:t>
      </w:r>
    </w:p>
    <w:p w:rsidR="001038EB" w:rsidRPr="003A1467" w:rsidRDefault="001038EB" w:rsidP="003A1467">
      <w:pPr>
        <w:pStyle w:val="H23G"/>
        <w:rPr>
          <w:rFonts w:eastAsia="Malgun Gothic"/>
        </w:rPr>
      </w:pPr>
      <w:r w:rsidRPr="003A1467">
        <w:rPr>
          <w:rFonts w:eastAsia="Malgun Gothic"/>
        </w:rPr>
        <w:tab/>
      </w:r>
      <w:r w:rsidRPr="003A1467">
        <w:rPr>
          <w:rFonts w:eastAsia="Malgun Gothic"/>
        </w:rPr>
        <w:tab/>
        <w:t>Right to life, survival and development</w:t>
      </w:r>
    </w:p>
    <w:p w:rsidR="001038EB" w:rsidRPr="009327DB" w:rsidRDefault="00113BF1" w:rsidP="00344165">
      <w:pPr>
        <w:pStyle w:val="SingleTxtG"/>
        <w:rPr>
          <w:rFonts w:eastAsia="Calibri"/>
        </w:rPr>
      </w:pPr>
      <w:r w:rsidRPr="009327DB">
        <w:rPr>
          <w:rFonts w:eastAsia="Calibri"/>
          <w:iCs/>
        </w:rPr>
        <w:t>29.</w:t>
      </w:r>
      <w:r w:rsidRPr="009327DB">
        <w:rPr>
          <w:rFonts w:eastAsia="Calibri"/>
          <w:iCs/>
        </w:rPr>
        <w:tab/>
      </w:r>
      <w:r w:rsidR="001038EB">
        <w:t>T</w:t>
      </w:r>
      <w:r w:rsidR="001038EB" w:rsidRPr="005B1DB8">
        <w:t>he</w:t>
      </w:r>
      <w:r w:rsidR="001038EB">
        <w:t xml:space="preserve"> Committee remains deeply concerned about:</w:t>
      </w:r>
    </w:p>
    <w:p w:rsidR="001038EB" w:rsidRPr="009327DB" w:rsidRDefault="003A1467" w:rsidP="00113BF1">
      <w:pPr>
        <w:pStyle w:val="SingleTxtG"/>
        <w:ind w:firstLine="567"/>
        <w:rPr>
          <w:rFonts w:eastAsia="Calibri"/>
        </w:rPr>
      </w:pPr>
      <w:r>
        <w:rPr>
          <w:rFonts w:eastAsia="Calibri"/>
        </w:rPr>
        <w:t>(a)</w:t>
      </w:r>
      <w:r>
        <w:rPr>
          <w:rFonts w:eastAsia="Calibri"/>
        </w:rPr>
        <w:tab/>
      </w:r>
      <w:r w:rsidR="00847D2C">
        <w:rPr>
          <w:rFonts w:eastAsia="Calibri"/>
        </w:rPr>
        <w:t xml:space="preserve">The </w:t>
      </w:r>
      <w:r w:rsidR="001038EB" w:rsidRPr="009327DB">
        <w:rPr>
          <w:rFonts w:eastAsia="Calibri"/>
        </w:rPr>
        <w:t>increase</w:t>
      </w:r>
      <w:r w:rsidR="0094501B">
        <w:rPr>
          <w:rFonts w:eastAsia="Calibri"/>
        </w:rPr>
        <w:t>,</w:t>
      </w:r>
      <w:r w:rsidR="001038EB" w:rsidRPr="009327DB">
        <w:rPr>
          <w:rFonts w:eastAsia="Calibri"/>
        </w:rPr>
        <w:t xml:space="preserve"> </w:t>
      </w:r>
      <w:r w:rsidR="00847D2C">
        <w:rPr>
          <w:rFonts w:eastAsia="Calibri"/>
        </w:rPr>
        <w:t>during the reporting period</w:t>
      </w:r>
      <w:r w:rsidR="0094501B">
        <w:rPr>
          <w:rFonts w:eastAsia="Calibri"/>
        </w:rPr>
        <w:t>,</w:t>
      </w:r>
      <w:r w:rsidR="00847D2C">
        <w:rPr>
          <w:rFonts w:eastAsia="Calibri"/>
        </w:rPr>
        <w:t xml:space="preserve"> </w:t>
      </w:r>
      <w:r w:rsidR="0094501B">
        <w:rPr>
          <w:rFonts w:eastAsia="Calibri"/>
        </w:rPr>
        <w:t>in</w:t>
      </w:r>
      <w:r w:rsidR="001038EB" w:rsidRPr="009327DB">
        <w:rPr>
          <w:rFonts w:eastAsia="Calibri"/>
        </w:rPr>
        <w:t xml:space="preserve"> violence</w:t>
      </w:r>
      <w:r w:rsidR="001038EB" w:rsidRPr="00B545BD">
        <w:rPr>
          <w:rFonts w:eastAsia="Calibri"/>
        </w:rPr>
        <w:t>, homicide and femi</w:t>
      </w:r>
      <w:r w:rsidR="001038EB">
        <w:rPr>
          <w:rFonts w:eastAsia="Calibri"/>
        </w:rPr>
        <w:t>ni</w:t>
      </w:r>
      <w:r w:rsidR="001038EB" w:rsidRPr="00B545BD">
        <w:rPr>
          <w:rFonts w:eastAsia="Calibri"/>
        </w:rPr>
        <w:t xml:space="preserve">cide rates in Honduras, considered </w:t>
      </w:r>
      <w:r w:rsidR="007229A3">
        <w:rPr>
          <w:rFonts w:eastAsia="Calibri"/>
        </w:rPr>
        <w:t>to be</w:t>
      </w:r>
      <w:r w:rsidR="001038EB">
        <w:rPr>
          <w:rFonts w:eastAsia="Calibri"/>
        </w:rPr>
        <w:t xml:space="preserve"> one of the most violent countries in the world which is not in a situation of conflict,</w:t>
      </w:r>
      <w:r w:rsidR="001038EB" w:rsidRPr="00B545BD">
        <w:rPr>
          <w:rFonts w:eastAsia="Calibri"/>
        </w:rPr>
        <w:t xml:space="preserve"> </w:t>
      </w:r>
      <w:r w:rsidR="001038EB">
        <w:t xml:space="preserve">and the fact </w:t>
      </w:r>
      <w:r w:rsidR="001038EB">
        <w:rPr>
          <w:rFonts w:eastAsia="Calibri"/>
        </w:rPr>
        <w:t xml:space="preserve">that </w:t>
      </w:r>
      <w:r w:rsidR="001038EB">
        <w:t xml:space="preserve">half of the people murdered are </w:t>
      </w:r>
      <w:r w:rsidR="001038EB" w:rsidRPr="00F0416C">
        <w:t>adolescents and youth</w:t>
      </w:r>
      <w:r w:rsidR="001038EB">
        <w:rPr>
          <w:rFonts w:eastAsia="Calibri"/>
        </w:rPr>
        <w:t>, the majority killed with firearms;</w:t>
      </w:r>
      <w:r w:rsidR="0094219F">
        <w:rPr>
          <w:rFonts w:eastAsia="Calibri"/>
        </w:rPr>
        <w:t xml:space="preserve"> </w:t>
      </w:r>
    </w:p>
    <w:p w:rsidR="001038EB" w:rsidRPr="00B545BD" w:rsidRDefault="003A1467" w:rsidP="00113BF1">
      <w:pPr>
        <w:pStyle w:val="SingleTxtG"/>
        <w:ind w:firstLine="567"/>
        <w:rPr>
          <w:rFonts w:eastAsia="Calibri"/>
        </w:rPr>
      </w:pPr>
      <w:r>
        <w:t>(b)</w:t>
      </w:r>
      <w:r>
        <w:tab/>
      </w:r>
      <w:r w:rsidR="001038EB">
        <w:t xml:space="preserve">The numerous reported cases of extrajudicial executions and the low number of investigations, prosecutions and sentences carried out in cases of </w:t>
      </w:r>
      <w:r w:rsidR="001038EB" w:rsidRPr="006D5940">
        <w:t xml:space="preserve">violent deaths of children. </w:t>
      </w:r>
    </w:p>
    <w:p w:rsidR="001038EB" w:rsidRPr="003A1467" w:rsidRDefault="00113BF1" w:rsidP="00344165">
      <w:pPr>
        <w:pStyle w:val="SingleTxtG"/>
        <w:rPr>
          <w:b/>
        </w:rPr>
      </w:pPr>
      <w:r w:rsidRPr="003A1467">
        <w:rPr>
          <w:iCs/>
        </w:rPr>
        <w:t>30.</w:t>
      </w:r>
      <w:r w:rsidRPr="003A1467">
        <w:rPr>
          <w:iCs/>
        </w:rPr>
        <w:tab/>
      </w:r>
      <w:r w:rsidR="001038EB" w:rsidRPr="003A1467">
        <w:rPr>
          <w:b/>
        </w:rPr>
        <w:t>The Committee recommends that the State party:</w:t>
      </w:r>
    </w:p>
    <w:p w:rsidR="001038EB" w:rsidRPr="003A1467" w:rsidRDefault="003A1467" w:rsidP="00113BF1">
      <w:pPr>
        <w:pStyle w:val="SingleTxtG"/>
        <w:ind w:firstLine="567"/>
        <w:rPr>
          <w:b/>
        </w:rPr>
      </w:pPr>
      <w:r w:rsidRPr="00113BF1">
        <w:rPr>
          <w:bCs/>
        </w:rPr>
        <w:t>(a)</w:t>
      </w:r>
      <w:r>
        <w:rPr>
          <w:b/>
        </w:rPr>
        <w:tab/>
      </w:r>
      <w:r w:rsidR="001038EB" w:rsidRPr="003A1467">
        <w:rPr>
          <w:b/>
        </w:rPr>
        <w:t xml:space="preserve">Strengthen measures to investigate, prosecute and sanction cases of deaths and extrajudicial killings of children, including </w:t>
      </w:r>
      <w:r w:rsidR="004C3867">
        <w:rPr>
          <w:b/>
        </w:rPr>
        <w:t xml:space="preserve">the </w:t>
      </w:r>
      <w:r w:rsidR="001038EB" w:rsidRPr="003A1467">
        <w:rPr>
          <w:b/>
        </w:rPr>
        <w:t xml:space="preserve">monitoring </w:t>
      </w:r>
      <w:r w:rsidR="004C3867">
        <w:rPr>
          <w:b/>
        </w:rPr>
        <w:t xml:space="preserve">of </w:t>
      </w:r>
      <w:r w:rsidR="001038EB" w:rsidRPr="003A1467">
        <w:rPr>
          <w:b/>
        </w:rPr>
        <w:t xml:space="preserve">the performance of the police and judicial institutions, and provide detailed information on the status and outcomes of those processes in its next periodic report; </w:t>
      </w:r>
    </w:p>
    <w:p w:rsidR="001038EB" w:rsidRPr="003A1467" w:rsidRDefault="003A1467" w:rsidP="00113BF1">
      <w:pPr>
        <w:pStyle w:val="SingleTxtG"/>
        <w:ind w:firstLine="567"/>
        <w:rPr>
          <w:b/>
        </w:rPr>
      </w:pPr>
      <w:r w:rsidRPr="00113BF1">
        <w:rPr>
          <w:bCs/>
        </w:rPr>
        <w:t>(b)</w:t>
      </w:r>
      <w:r>
        <w:rPr>
          <w:b/>
        </w:rPr>
        <w:tab/>
      </w:r>
      <w:r w:rsidR="001038EB" w:rsidRPr="003A1467">
        <w:rPr>
          <w:b/>
        </w:rPr>
        <w:t>Expeditiously implement the National Policy on Prevention of Violence against Children and Young People, the Social Protection Policy and the National Plan of Action on Human Rights;</w:t>
      </w:r>
    </w:p>
    <w:p w:rsidR="001038EB" w:rsidRPr="003A1467" w:rsidRDefault="003A1467" w:rsidP="00113BF1">
      <w:pPr>
        <w:pStyle w:val="SingleTxtG"/>
        <w:ind w:firstLine="567"/>
        <w:rPr>
          <w:b/>
        </w:rPr>
      </w:pPr>
      <w:r w:rsidRPr="00113BF1">
        <w:rPr>
          <w:bCs/>
        </w:rPr>
        <w:t>(c)</w:t>
      </w:r>
      <w:r>
        <w:rPr>
          <w:b/>
        </w:rPr>
        <w:tab/>
      </w:r>
      <w:r w:rsidR="001038EB" w:rsidRPr="003A1467">
        <w:rPr>
          <w:b/>
        </w:rPr>
        <w:t xml:space="preserve">Promptly proceed with the adoption of the draft </w:t>
      </w:r>
      <w:r w:rsidR="00824165">
        <w:rPr>
          <w:b/>
        </w:rPr>
        <w:t>l</w:t>
      </w:r>
      <w:r w:rsidR="001038EB" w:rsidRPr="003A1467">
        <w:rPr>
          <w:b/>
        </w:rPr>
        <w:t xml:space="preserve">aw on </w:t>
      </w:r>
      <w:r w:rsidR="00824165">
        <w:rPr>
          <w:b/>
        </w:rPr>
        <w:t>the c</w:t>
      </w:r>
      <w:r w:rsidR="001038EB" w:rsidRPr="003A1467">
        <w:rPr>
          <w:b/>
        </w:rPr>
        <w:t xml:space="preserve">ontrol of </w:t>
      </w:r>
      <w:r w:rsidR="00824165">
        <w:rPr>
          <w:b/>
        </w:rPr>
        <w:t>f</w:t>
      </w:r>
      <w:r w:rsidR="001038EB" w:rsidRPr="003A1467">
        <w:rPr>
          <w:b/>
        </w:rPr>
        <w:t>irearms, explosives and similar</w:t>
      </w:r>
      <w:r w:rsidR="00824165">
        <w:rPr>
          <w:b/>
        </w:rPr>
        <w:t xml:space="preserve"> devices</w:t>
      </w:r>
      <w:r w:rsidR="001038EB" w:rsidRPr="003A1467">
        <w:rPr>
          <w:b/>
        </w:rPr>
        <w:t xml:space="preserve">. </w:t>
      </w:r>
    </w:p>
    <w:p w:rsidR="001038EB" w:rsidRDefault="003A1467" w:rsidP="003A1467">
      <w:pPr>
        <w:pStyle w:val="H23G"/>
        <w:rPr>
          <w:rFonts w:eastAsia="Malgun Gothic"/>
          <w:lang w:eastAsia="zh-CN"/>
        </w:rPr>
      </w:pPr>
      <w:r>
        <w:rPr>
          <w:rFonts w:eastAsia="Malgun Gothic"/>
          <w:lang w:eastAsia="zh-CN"/>
        </w:rPr>
        <w:tab/>
      </w:r>
      <w:r>
        <w:rPr>
          <w:rFonts w:eastAsia="Malgun Gothic"/>
          <w:lang w:eastAsia="zh-CN"/>
        </w:rPr>
        <w:tab/>
      </w:r>
      <w:r w:rsidR="001038EB" w:rsidRPr="003E7574">
        <w:rPr>
          <w:rFonts w:eastAsia="Malgun Gothic"/>
          <w:lang w:eastAsia="zh-CN"/>
        </w:rPr>
        <w:t>Respect for the views of the child</w:t>
      </w:r>
    </w:p>
    <w:p w:rsidR="001038EB" w:rsidRPr="003A1467" w:rsidRDefault="00113BF1" w:rsidP="00344165">
      <w:pPr>
        <w:pStyle w:val="SingleTxtG"/>
      </w:pPr>
      <w:r w:rsidRPr="003A1467">
        <w:rPr>
          <w:iCs/>
        </w:rPr>
        <w:t>31.</w:t>
      </w:r>
      <w:r w:rsidRPr="003A1467">
        <w:rPr>
          <w:iCs/>
        </w:rPr>
        <w:tab/>
      </w:r>
      <w:r w:rsidR="001038EB" w:rsidRPr="003A1467">
        <w:t xml:space="preserve">The Committee notes the recognition </w:t>
      </w:r>
      <w:r w:rsidR="00824165">
        <w:t>in</w:t>
      </w:r>
      <w:r w:rsidR="001038EB" w:rsidRPr="003A1467">
        <w:t xml:space="preserve"> the national legislation of the principle of respect for the views of the child and welcomes the measures taken to ensure the participation of children in public for</w:t>
      </w:r>
      <w:r w:rsidR="00824165">
        <w:t>ums</w:t>
      </w:r>
      <w:r w:rsidR="001038EB" w:rsidRPr="003A1467">
        <w:t>, namely</w:t>
      </w:r>
      <w:r w:rsidR="00824165">
        <w:t>,</w:t>
      </w:r>
      <w:r w:rsidR="001038EB" w:rsidRPr="003A1467">
        <w:t xml:space="preserve"> the Children</w:t>
      </w:r>
      <w:r w:rsidR="00E34889">
        <w:t>’</w:t>
      </w:r>
      <w:r w:rsidR="001038EB" w:rsidRPr="003A1467">
        <w:t>s Congress, the Students</w:t>
      </w:r>
      <w:r w:rsidR="00FA7DCF">
        <w:t>’</w:t>
      </w:r>
      <w:r w:rsidR="001038EB" w:rsidRPr="003A1467">
        <w:t xml:space="preserve"> Legislative Congress and</w:t>
      </w:r>
      <w:r w:rsidR="001038EB" w:rsidRPr="004C3867">
        <w:t xml:space="preserve"> </w:t>
      </w:r>
      <w:r w:rsidR="004C3867">
        <w:t>s</w:t>
      </w:r>
      <w:r w:rsidR="001038EB" w:rsidRPr="004C3867">
        <w:t xml:space="preserve">tudent </w:t>
      </w:r>
      <w:r w:rsidR="004C3867">
        <w:t>g</w:t>
      </w:r>
      <w:r w:rsidR="001038EB" w:rsidRPr="004C3867">
        <w:t>overnments</w:t>
      </w:r>
      <w:r w:rsidR="001038EB" w:rsidRPr="003A1467">
        <w:t>. It also welcomes the measures taken by the Inter-Agency Committee on Early Childhood to pay special attention to the views of parents, adolescents and adolescent mothers during the design of the Comprehensive Early Childhood Development Policy. However, the Committee is concerned that</w:t>
      </w:r>
      <w:r w:rsidR="00A84EF3">
        <w:t>,</w:t>
      </w:r>
      <w:r w:rsidR="001038EB" w:rsidRPr="003A1467">
        <w:t xml:space="preserve"> despite progress, the views of the child are still not considered in fundamental decisions </w:t>
      </w:r>
      <w:r w:rsidR="00A84EF3">
        <w:t>affecting</w:t>
      </w:r>
      <w:r w:rsidR="00A84EF3" w:rsidRPr="003A1467">
        <w:t xml:space="preserve"> </w:t>
      </w:r>
      <w:r w:rsidR="001038EB" w:rsidRPr="003A1467">
        <w:t>their rights, namely</w:t>
      </w:r>
      <w:r w:rsidR="00A84EF3">
        <w:t>,</w:t>
      </w:r>
      <w:r w:rsidR="001038EB" w:rsidRPr="003A1467">
        <w:t xml:space="preserve"> the approval of education budgets.</w:t>
      </w:r>
      <w:r w:rsidR="0094219F">
        <w:t xml:space="preserve"> </w:t>
      </w:r>
    </w:p>
    <w:p w:rsidR="001038EB" w:rsidRPr="003A1467" w:rsidRDefault="00113BF1" w:rsidP="00344165">
      <w:pPr>
        <w:pStyle w:val="SingleTxtG"/>
      </w:pPr>
      <w:r w:rsidRPr="003A1467">
        <w:rPr>
          <w:iCs/>
        </w:rPr>
        <w:t>32.</w:t>
      </w:r>
      <w:r w:rsidRPr="003A1467">
        <w:rPr>
          <w:iCs/>
        </w:rPr>
        <w:tab/>
      </w:r>
      <w:r w:rsidR="001038EB" w:rsidRPr="003A1467">
        <w:rPr>
          <w:rFonts w:eastAsia="Malgun Gothic"/>
          <w:b/>
        </w:rPr>
        <w:t>In the light of its general comment</w:t>
      </w:r>
      <w:r w:rsidR="008969E1">
        <w:rPr>
          <w:rFonts w:eastAsia="Malgun Gothic"/>
          <w:b/>
        </w:rPr>
        <w:t xml:space="preserve"> No. </w:t>
      </w:r>
      <w:r w:rsidR="001038EB" w:rsidRPr="003A1467">
        <w:rPr>
          <w:rFonts w:eastAsia="Malgun Gothic"/>
          <w:b/>
        </w:rPr>
        <w:t xml:space="preserve">12 (2009) on the right of the child to be heard, the Committee recommends that the State party continue </w:t>
      </w:r>
      <w:r w:rsidR="003551F5">
        <w:rPr>
          <w:rFonts w:eastAsia="Malgun Gothic"/>
          <w:b/>
        </w:rPr>
        <w:t xml:space="preserve">to </w:t>
      </w:r>
      <w:r w:rsidR="001038EB" w:rsidRPr="003A1467">
        <w:rPr>
          <w:rFonts w:eastAsia="Malgun Gothic"/>
          <w:b/>
        </w:rPr>
        <w:t>ensur</w:t>
      </w:r>
      <w:r w:rsidR="003551F5">
        <w:rPr>
          <w:rFonts w:eastAsia="Malgun Gothic"/>
          <w:b/>
        </w:rPr>
        <w:t>e</w:t>
      </w:r>
      <w:r w:rsidR="001038EB" w:rsidRPr="003A1467">
        <w:rPr>
          <w:rFonts w:eastAsia="Malgun Gothic"/>
          <w:b/>
        </w:rPr>
        <w:t xml:space="preserve"> a </w:t>
      </w:r>
      <w:r w:rsidR="001038EB" w:rsidRPr="003A1467">
        <w:rPr>
          <w:b/>
        </w:rPr>
        <w:t xml:space="preserve">high level of inclusiveness and </w:t>
      </w:r>
      <w:r w:rsidR="001038EB" w:rsidRPr="003A1467">
        <w:rPr>
          <w:rFonts w:eastAsia="Malgun Gothic"/>
          <w:b/>
        </w:rPr>
        <w:t>participation of children and develop monitoring mechanisms to measure how their views are taken in</w:t>
      </w:r>
      <w:r w:rsidR="003551F5">
        <w:rPr>
          <w:rFonts w:eastAsia="Malgun Gothic"/>
          <w:b/>
        </w:rPr>
        <w:t>to</w:t>
      </w:r>
      <w:r w:rsidR="001038EB" w:rsidRPr="003A1467">
        <w:rPr>
          <w:rFonts w:eastAsia="Malgun Gothic"/>
          <w:b/>
        </w:rPr>
        <w:t xml:space="preserve"> consideration in n</w:t>
      </w:r>
      <w:r w:rsidR="001038EB" w:rsidRPr="003A1467">
        <w:rPr>
          <w:b/>
        </w:rPr>
        <w:t>ational and local decision-making mechanisms, including budgeting processes.</w:t>
      </w:r>
      <w:r w:rsidR="001038EB" w:rsidRPr="003A1467">
        <w:t xml:space="preserve"> </w:t>
      </w:r>
    </w:p>
    <w:p w:rsidR="001038EB" w:rsidRPr="003A1467" w:rsidRDefault="003A1467" w:rsidP="003A1467">
      <w:pPr>
        <w:pStyle w:val="H1G"/>
        <w:rPr>
          <w:rFonts w:eastAsia="Malgun Gothic"/>
        </w:rPr>
      </w:pPr>
      <w:r>
        <w:rPr>
          <w:rFonts w:eastAsia="Malgun Gothic"/>
        </w:rPr>
        <w:tab/>
        <w:t>C.</w:t>
      </w:r>
      <w:r>
        <w:rPr>
          <w:rFonts w:eastAsia="Malgun Gothic"/>
        </w:rPr>
        <w:tab/>
      </w:r>
      <w:r w:rsidR="001038EB" w:rsidRPr="003A1467">
        <w:rPr>
          <w:rFonts w:eastAsia="Malgun Gothic"/>
        </w:rPr>
        <w:t>Civil rights and freedoms (arts.</w:t>
      </w:r>
      <w:r w:rsidR="00FC0093">
        <w:rPr>
          <w:rFonts w:eastAsia="Malgun Gothic"/>
        </w:rPr>
        <w:t> </w:t>
      </w:r>
      <w:r w:rsidR="001038EB" w:rsidRPr="003A1467">
        <w:rPr>
          <w:rFonts w:eastAsia="Malgun Gothic"/>
        </w:rPr>
        <w:t>7</w:t>
      </w:r>
      <w:r w:rsidR="004A1479">
        <w:rPr>
          <w:rFonts w:eastAsia="Malgun Gothic"/>
        </w:rPr>
        <w:t>–</w:t>
      </w:r>
      <w:r w:rsidR="001038EB" w:rsidRPr="003A1467">
        <w:rPr>
          <w:rFonts w:eastAsia="Malgun Gothic"/>
        </w:rPr>
        <w:t>8 and 13</w:t>
      </w:r>
      <w:r w:rsidR="00E34889">
        <w:rPr>
          <w:rFonts w:eastAsia="Malgun Gothic"/>
        </w:rPr>
        <w:t>–</w:t>
      </w:r>
      <w:r w:rsidR="001038EB" w:rsidRPr="003A1467">
        <w:rPr>
          <w:rFonts w:eastAsia="Malgun Gothic"/>
        </w:rPr>
        <w:t>17)</w:t>
      </w:r>
    </w:p>
    <w:p w:rsidR="001038EB" w:rsidRPr="003A1467" w:rsidRDefault="001038EB" w:rsidP="003A1467">
      <w:pPr>
        <w:pStyle w:val="H23G"/>
      </w:pPr>
      <w:r w:rsidRPr="003A1467">
        <w:tab/>
      </w:r>
      <w:r w:rsidRPr="003A1467">
        <w:tab/>
        <w:t xml:space="preserve">Birth registration </w:t>
      </w:r>
    </w:p>
    <w:p w:rsidR="001038EB" w:rsidRPr="003A1467" w:rsidRDefault="00113BF1" w:rsidP="00344165">
      <w:pPr>
        <w:pStyle w:val="SingleTxtG"/>
      </w:pPr>
      <w:r w:rsidRPr="003A1467">
        <w:rPr>
          <w:iCs/>
        </w:rPr>
        <w:t>33.</w:t>
      </w:r>
      <w:r w:rsidRPr="003A1467">
        <w:rPr>
          <w:iCs/>
        </w:rPr>
        <w:tab/>
      </w:r>
      <w:r w:rsidR="001038EB" w:rsidRPr="003A1467">
        <w:t>The Committee welcomes the steps taken by the State party to increase birth registration, including</w:t>
      </w:r>
      <w:r w:rsidR="004A040D">
        <w:t xml:space="preserve"> </w:t>
      </w:r>
      <w:r w:rsidR="00037475">
        <w:t xml:space="preserve">the </w:t>
      </w:r>
      <w:r w:rsidR="001038EB" w:rsidRPr="003A1467">
        <w:t>decriminali</w:t>
      </w:r>
      <w:r w:rsidR="004A040D">
        <w:t>z</w:t>
      </w:r>
      <w:r w:rsidR="001038EB" w:rsidRPr="003A1467">
        <w:t xml:space="preserve">ation of late registration, public awareness </w:t>
      </w:r>
      <w:r w:rsidR="001038EB" w:rsidRPr="003A1467">
        <w:lastRenderedPageBreak/>
        <w:t xml:space="preserve">campaigns and the expansion of the National Registry Office, in particular in locations with </w:t>
      </w:r>
      <w:r w:rsidR="001038EB" w:rsidRPr="00804405">
        <w:t>predominant</w:t>
      </w:r>
      <w:r w:rsidR="00804405">
        <w:t>ly</w:t>
      </w:r>
      <w:r w:rsidR="001038EB" w:rsidRPr="003A1467">
        <w:t xml:space="preserve"> indigenous or Afro-Honduran communities and in remote areas</w:t>
      </w:r>
      <w:r w:rsidR="004A040D">
        <w:t>,</w:t>
      </w:r>
      <w:r w:rsidR="001038EB" w:rsidRPr="003A1467">
        <w:t xml:space="preserve"> but remains concerned about the still low levels of registration in border and indigenous areas.</w:t>
      </w:r>
    </w:p>
    <w:p w:rsidR="001038EB" w:rsidRPr="003A1467" w:rsidRDefault="00113BF1" w:rsidP="00344165">
      <w:pPr>
        <w:pStyle w:val="SingleTxtG"/>
      </w:pPr>
      <w:r w:rsidRPr="003A1467">
        <w:rPr>
          <w:iCs/>
        </w:rPr>
        <w:t>34.</w:t>
      </w:r>
      <w:r w:rsidRPr="003A1467">
        <w:rPr>
          <w:iCs/>
        </w:rPr>
        <w:tab/>
      </w:r>
      <w:r w:rsidR="001038EB" w:rsidRPr="003A1467">
        <w:rPr>
          <w:b/>
        </w:rPr>
        <w:t xml:space="preserve">The Committee calls on the State party to continue </w:t>
      </w:r>
      <w:r w:rsidR="004A040D">
        <w:rPr>
          <w:b/>
        </w:rPr>
        <w:t xml:space="preserve">to </w:t>
      </w:r>
      <w:r w:rsidR="001038EB" w:rsidRPr="003A1467">
        <w:rPr>
          <w:b/>
        </w:rPr>
        <w:t>tak</w:t>
      </w:r>
      <w:r w:rsidR="004A040D">
        <w:rPr>
          <w:b/>
        </w:rPr>
        <w:t>e</w:t>
      </w:r>
      <w:r w:rsidR="001038EB" w:rsidRPr="003A1467">
        <w:rPr>
          <w:b/>
        </w:rPr>
        <w:t xml:space="preserve"> all measures </w:t>
      </w:r>
      <w:r w:rsidR="004A040D" w:rsidRPr="004A040D">
        <w:rPr>
          <w:b/>
        </w:rPr>
        <w:t>necessary</w:t>
      </w:r>
      <w:r w:rsidR="004A040D">
        <w:rPr>
          <w:b/>
        </w:rPr>
        <w:t xml:space="preserve"> </w:t>
      </w:r>
      <w:r w:rsidR="001038EB" w:rsidRPr="003A1467">
        <w:rPr>
          <w:b/>
        </w:rPr>
        <w:t xml:space="preserve">to ensure </w:t>
      </w:r>
      <w:r w:rsidR="004A040D">
        <w:rPr>
          <w:b/>
        </w:rPr>
        <w:t xml:space="preserve">the </w:t>
      </w:r>
      <w:r w:rsidR="001038EB" w:rsidRPr="003A1467">
        <w:rPr>
          <w:b/>
        </w:rPr>
        <w:t xml:space="preserve">registration of all children, including through technical assistance </w:t>
      </w:r>
      <w:r w:rsidR="004A040D">
        <w:rPr>
          <w:b/>
        </w:rPr>
        <w:t>from</w:t>
      </w:r>
      <w:r w:rsidR="001038EB" w:rsidRPr="003A1467">
        <w:rPr>
          <w:b/>
        </w:rPr>
        <w:t xml:space="preserve"> UNICEF and </w:t>
      </w:r>
      <w:r w:rsidR="00E26121">
        <w:rPr>
          <w:b/>
        </w:rPr>
        <w:t>the United Nations Development Programme</w:t>
      </w:r>
      <w:r w:rsidR="001038EB" w:rsidRPr="003A1467">
        <w:rPr>
          <w:b/>
        </w:rPr>
        <w:t>.</w:t>
      </w:r>
      <w:r w:rsidR="001038EB" w:rsidRPr="003A1467">
        <w:t xml:space="preserve"> </w:t>
      </w:r>
    </w:p>
    <w:p w:rsidR="001038EB" w:rsidRDefault="003A1467" w:rsidP="003A1467">
      <w:pPr>
        <w:pStyle w:val="H23G"/>
      </w:pPr>
      <w:r>
        <w:tab/>
      </w:r>
      <w:r>
        <w:tab/>
      </w:r>
      <w:r w:rsidR="001038EB" w:rsidRPr="001D4AB0">
        <w:t xml:space="preserve">Freedom of association and </w:t>
      </w:r>
      <w:r w:rsidR="00113081">
        <w:t xml:space="preserve">of </w:t>
      </w:r>
      <w:r w:rsidR="001038EB" w:rsidRPr="001D4AB0">
        <w:t>peaceful assembly</w:t>
      </w:r>
    </w:p>
    <w:p w:rsidR="001038EB" w:rsidRDefault="00113BF1" w:rsidP="00344165">
      <w:pPr>
        <w:pStyle w:val="SingleTxtG"/>
      </w:pPr>
      <w:r>
        <w:rPr>
          <w:iCs/>
        </w:rPr>
        <w:t>35.</w:t>
      </w:r>
      <w:r>
        <w:rPr>
          <w:iCs/>
        </w:rPr>
        <w:tab/>
      </w:r>
      <w:r w:rsidR="001038EB" w:rsidRPr="00344165">
        <w:rPr>
          <w:spacing w:val="-2"/>
        </w:rPr>
        <w:t xml:space="preserve">The Committee notes the steady decrease </w:t>
      </w:r>
      <w:r w:rsidR="00113081" w:rsidRPr="00344165">
        <w:rPr>
          <w:spacing w:val="-2"/>
        </w:rPr>
        <w:t>in</w:t>
      </w:r>
      <w:r w:rsidR="001038EB" w:rsidRPr="00344165">
        <w:rPr>
          <w:spacing w:val="-2"/>
        </w:rPr>
        <w:t xml:space="preserve"> children arrested under </w:t>
      </w:r>
      <w:r w:rsidR="00FC0093" w:rsidRPr="00344165">
        <w:rPr>
          <w:spacing w:val="-2"/>
        </w:rPr>
        <w:t>article </w:t>
      </w:r>
      <w:r w:rsidR="001038EB" w:rsidRPr="00344165">
        <w:rPr>
          <w:spacing w:val="-2"/>
        </w:rPr>
        <w:t xml:space="preserve">332 of the Criminal Code on </w:t>
      </w:r>
      <w:r w:rsidR="00113081" w:rsidRPr="00344165">
        <w:rPr>
          <w:spacing w:val="-2"/>
        </w:rPr>
        <w:t>i</w:t>
      </w:r>
      <w:r w:rsidR="001038EB" w:rsidRPr="00344165">
        <w:rPr>
          <w:spacing w:val="-2"/>
        </w:rPr>
        <w:t xml:space="preserve">llicit </w:t>
      </w:r>
      <w:r w:rsidR="00113081" w:rsidRPr="00344165">
        <w:rPr>
          <w:spacing w:val="-2"/>
        </w:rPr>
        <w:t>a</w:t>
      </w:r>
      <w:r w:rsidR="001038EB" w:rsidRPr="00344165">
        <w:rPr>
          <w:spacing w:val="-2"/>
        </w:rPr>
        <w:t>ssociation</w:t>
      </w:r>
      <w:r w:rsidR="00037475" w:rsidRPr="00344165">
        <w:rPr>
          <w:spacing w:val="-2"/>
        </w:rPr>
        <w:t>;</w:t>
      </w:r>
      <w:r w:rsidR="001038EB" w:rsidRPr="00344165">
        <w:rPr>
          <w:spacing w:val="-2"/>
        </w:rPr>
        <w:t xml:space="preserve"> however</w:t>
      </w:r>
      <w:r w:rsidR="00113081" w:rsidRPr="00344165">
        <w:rPr>
          <w:spacing w:val="-2"/>
        </w:rPr>
        <w:t>,</w:t>
      </w:r>
      <w:r w:rsidR="001038EB" w:rsidRPr="00344165">
        <w:rPr>
          <w:spacing w:val="-2"/>
        </w:rPr>
        <w:t xml:space="preserve"> </w:t>
      </w:r>
      <w:r w:rsidR="00037475" w:rsidRPr="00344165">
        <w:rPr>
          <w:spacing w:val="-2"/>
        </w:rPr>
        <w:t>it</w:t>
      </w:r>
      <w:r w:rsidR="001038EB" w:rsidRPr="00344165">
        <w:rPr>
          <w:spacing w:val="-2"/>
        </w:rPr>
        <w:t xml:space="preserve"> remains concerned that the </w:t>
      </w:r>
      <w:r w:rsidR="00113081" w:rsidRPr="00344165">
        <w:rPr>
          <w:spacing w:val="-2"/>
        </w:rPr>
        <w:t>p</w:t>
      </w:r>
      <w:r w:rsidR="001038EB" w:rsidRPr="00344165">
        <w:rPr>
          <w:spacing w:val="-2"/>
        </w:rPr>
        <w:t xml:space="preserve">olice and </w:t>
      </w:r>
      <w:r w:rsidR="00113081" w:rsidRPr="00344165">
        <w:rPr>
          <w:spacing w:val="-2"/>
        </w:rPr>
        <w:t>p</w:t>
      </w:r>
      <w:r w:rsidR="001038EB" w:rsidRPr="00344165">
        <w:rPr>
          <w:spacing w:val="-2"/>
        </w:rPr>
        <w:t xml:space="preserve">rosecution </w:t>
      </w:r>
      <w:r w:rsidR="005365BD" w:rsidRPr="00344165">
        <w:rPr>
          <w:spacing w:val="-2"/>
        </w:rPr>
        <w:t xml:space="preserve">are still allowed </w:t>
      </w:r>
      <w:r w:rsidR="001038EB" w:rsidRPr="00344165">
        <w:rPr>
          <w:spacing w:val="-2"/>
        </w:rPr>
        <w:t>to arbitrarily detain children</w:t>
      </w:r>
      <w:r w:rsidR="00113081" w:rsidRPr="00344165">
        <w:rPr>
          <w:spacing w:val="-2"/>
        </w:rPr>
        <w:t>,</w:t>
      </w:r>
      <w:r w:rsidR="001038EB" w:rsidRPr="00344165">
        <w:rPr>
          <w:spacing w:val="-2"/>
        </w:rPr>
        <w:t xml:space="preserve"> </w:t>
      </w:r>
      <w:r w:rsidR="002C3F14" w:rsidRPr="00344165">
        <w:rPr>
          <w:spacing w:val="-2"/>
        </w:rPr>
        <w:t xml:space="preserve">based on their presumed affiliation to </w:t>
      </w:r>
      <w:r w:rsidR="002C3F14" w:rsidRPr="00344165">
        <w:rPr>
          <w:i/>
          <w:spacing w:val="-2"/>
        </w:rPr>
        <w:t xml:space="preserve">maras </w:t>
      </w:r>
      <w:r w:rsidR="002C3F14" w:rsidRPr="00344165">
        <w:rPr>
          <w:spacing w:val="-2"/>
        </w:rPr>
        <w:t>or their appearance</w:t>
      </w:r>
      <w:r w:rsidR="008F5D6C" w:rsidRPr="00344165">
        <w:rPr>
          <w:spacing w:val="-2"/>
        </w:rPr>
        <w:t>,</w:t>
      </w:r>
      <w:r w:rsidR="002C3F14" w:rsidRPr="00344165">
        <w:rPr>
          <w:spacing w:val="-2"/>
        </w:rPr>
        <w:t xml:space="preserve"> </w:t>
      </w:r>
      <w:r w:rsidR="001038EB" w:rsidRPr="00344165">
        <w:rPr>
          <w:spacing w:val="-2"/>
        </w:rPr>
        <w:t>which results in the</w:t>
      </w:r>
      <w:r w:rsidR="002C3F14" w:rsidRPr="00344165">
        <w:rPr>
          <w:spacing w:val="-2"/>
        </w:rPr>
        <w:t xml:space="preserve"> further</w:t>
      </w:r>
      <w:r w:rsidR="00681D68" w:rsidRPr="00344165">
        <w:rPr>
          <w:spacing w:val="-2"/>
        </w:rPr>
        <w:t xml:space="preserve"> </w:t>
      </w:r>
      <w:r w:rsidR="001038EB" w:rsidRPr="00344165">
        <w:rPr>
          <w:spacing w:val="-2"/>
        </w:rPr>
        <w:t xml:space="preserve">stigmatization of </w:t>
      </w:r>
      <w:r w:rsidR="002C3F14" w:rsidRPr="00344165">
        <w:rPr>
          <w:spacing w:val="-2"/>
        </w:rPr>
        <w:t xml:space="preserve">these </w:t>
      </w:r>
      <w:r w:rsidR="001038EB" w:rsidRPr="00344165">
        <w:rPr>
          <w:spacing w:val="-2"/>
        </w:rPr>
        <w:t>children</w:t>
      </w:r>
      <w:r w:rsidR="00FC657C" w:rsidRPr="00344165">
        <w:rPr>
          <w:spacing w:val="-2"/>
        </w:rPr>
        <w:t>.</w:t>
      </w:r>
      <w:r w:rsidR="001038EB">
        <w:t xml:space="preserve"> </w:t>
      </w:r>
    </w:p>
    <w:p w:rsidR="001038EB" w:rsidRPr="003A1467" w:rsidRDefault="00113BF1" w:rsidP="00344165">
      <w:pPr>
        <w:pStyle w:val="SingleTxtG"/>
        <w:rPr>
          <w:rFonts w:eastAsia="Calibri"/>
        </w:rPr>
      </w:pPr>
      <w:r w:rsidRPr="003A1467">
        <w:rPr>
          <w:rFonts w:eastAsia="Calibri"/>
          <w:iCs/>
        </w:rPr>
        <w:t>36.</w:t>
      </w:r>
      <w:r w:rsidRPr="003A1467">
        <w:rPr>
          <w:rFonts w:eastAsia="Calibri"/>
          <w:iCs/>
        </w:rPr>
        <w:tab/>
      </w:r>
      <w:r w:rsidR="001038EB" w:rsidRPr="003A1467">
        <w:rPr>
          <w:b/>
        </w:rPr>
        <w:t>The Committee reiterates its previous recommendation (</w:t>
      </w:r>
      <w:r w:rsidR="00F25F8F">
        <w:rPr>
          <w:b/>
        </w:rPr>
        <w:t xml:space="preserve">see </w:t>
      </w:r>
      <w:r w:rsidR="001038EB" w:rsidRPr="003A1467">
        <w:rPr>
          <w:b/>
        </w:rPr>
        <w:t xml:space="preserve">CRC/C/HND/CO/3, </w:t>
      </w:r>
      <w:r w:rsidR="008969E1">
        <w:rPr>
          <w:b/>
        </w:rPr>
        <w:t>para. </w:t>
      </w:r>
      <w:r w:rsidR="001038EB" w:rsidRPr="003A1467">
        <w:rPr>
          <w:b/>
        </w:rPr>
        <w:t xml:space="preserve">42) that the State party ensure that no restrictions are placed on the right of the child to freedom of association other than those imposed in conformity with </w:t>
      </w:r>
      <w:r w:rsidR="00FC0093">
        <w:rPr>
          <w:b/>
        </w:rPr>
        <w:t>article </w:t>
      </w:r>
      <w:r w:rsidR="001038EB" w:rsidRPr="003A1467">
        <w:rPr>
          <w:b/>
        </w:rPr>
        <w:t xml:space="preserve">15 of the Convention, and </w:t>
      </w:r>
      <w:r w:rsidR="00F25F8F">
        <w:rPr>
          <w:b/>
        </w:rPr>
        <w:t xml:space="preserve">recommends that the State party </w:t>
      </w:r>
      <w:r w:rsidR="001038EB" w:rsidRPr="003A1467">
        <w:rPr>
          <w:b/>
        </w:rPr>
        <w:t xml:space="preserve">review its security laws and regulations </w:t>
      </w:r>
      <w:r w:rsidR="00F25F8F">
        <w:rPr>
          <w:b/>
        </w:rPr>
        <w:t>that</w:t>
      </w:r>
      <w:r w:rsidR="001038EB" w:rsidRPr="003A1467">
        <w:rPr>
          <w:b/>
        </w:rPr>
        <w:t xml:space="preserve"> breach children’s rights.</w:t>
      </w:r>
    </w:p>
    <w:p w:rsidR="001038EB" w:rsidRPr="003A1467" w:rsidRDefault="003A1467" w:rsidP="003A1467">
      <w:pPr>
        <w:pStyle w:val="H1G"/>
      </w:pPr>
      <w:r>
        <w:tab/>
        <w:t>D.</w:t>
      </w:r>
      <w:r>
        <w:tab/>
      </w:r>
      <w:r w:rsidR="001038EB" w:rsidRPr="003A1467">
        <w:t xml:space="preserve">Violence against children (arts. 19, 24 </w:t>
      </w:r>
      <w:r w:rsidR="00F25F8F">
        <w:t>(</w:t>
      </w:r>
      <w:r w:rsidR="001038EB" w:rsidRPr="003A1467">
        <w:t>3</w:t>
      </w:r>
      <w:r w:rsidR="00F25F8F">
        <w:t>)</w:t>
      </w:r>
      <w:r w:rsidR="001038EB" w:rsidRPr="003A1467">
        <w:t xml:space="preserve">, 28 </w:t>
      </w:r>
      <w:r w:rsidR="00F25F8F">
        <w:t>(</w:t>
      </w:r>
      <w:r w:rsidR="001038EB" w:rsidRPr="003A1467">
        <w:t>2</w:t>
      </w:r>
      <w:r w:rsidR="00F25F8F">
        <w:t>)</w:t>
      </w:r>
      <w:r w:rsidR="001038EB" w:rsidRPr="003A1467">
        <w:t>, 34, 37 (a) and 39)</w:t>
      </w:r>
    </w:p>
    <w:p w:rsidR="001038EB" w:rsidRDefault="003A1467" w:rsidP="003A1467">
      <w:pPr>
        <w:pStyle w:val="H23G"/>
      </w:pPr>
      <w:r>
        <w:tab/>
      </w:r>
      <w:r>
        <w:tab/>
      </w:r>
      <w:r w:rsidR="001038EB">
        <w:t xml:space="preserve">Children involved in </w:t>
      </w:r>
      <w:r w:rsidR="00F25F8F">
        <w:rPr>
          <w:i/>
        </w:rPr>
        <w:t>m</w:t>
      </w:r>
      <w:r w:rsidR="001038EB" w:rsidRPr="001F74D6">
        <w:rPr>
          <w:i/>
        </w:rPr>
        <w:t>aras</w:t>
      </w:r>
      <w:r w:rsidR="001038EB">
        <w:t xml:space="preserve"> </w:t>
      </w:r>
    </w:p>
    <w:p w:rsidR="001038EB" w:rsidRPr="003A1467" w:rsidRDefault="00113BF1" w:rsidP="00344165">
      <w:pPr>
        <w:pStyle w:val="SingleTxtG"/>
      </w:pPr>
      <w:r w:rsidRPr="003A1467">
        <w:rPr>
          <w:iCs/>
        </w:rPr>
        <w:t>37.</w:t>
      </w:r>
      <w:r w:rsidRPr="003A1467">
        <w:rPr>
          <w:iCs/>
        </w:rPr>
        <w:tab/>
      </w:r>
      <w:r w:rsidR="001038EB" w:rsidRPr="003A1467">
        <w:t xml:space="preserve">The Committee notes the adoption by the State party of the </w:t>
      </w:r>
      <w:r w:rsidR="008F0B7D">
        <w:t>n</w:t>
      </w:r>
      <w:r w:rsidR="001038EB" w:rsidRPr="003A1467">
        <w:t xml:space="preserve">ational </w:t>
      </w:r>
      <w:r w:rsidR="008F0B7D">
        <w:t>p</w:t>
      </w:r>
      <w:r w:rsidR="001038EB" w:rsidRPr="003A1467">
        <w:t xml:space="preserve">rogramme </w:t>
      </w:r>
      <w:r w:rsidR="008F0B7D">
        <w:t xml:space="preserve">for </w:t>
      </w:r>
      <w:r w:rsidR="008F0B7D" w:rsidRPr="008F0B7D">
        <w:t xml:space="preserve">members of </w:t>
      </w:r>
      <w:r w:rsidR="008F0B7D" w:rsidRPr="00113BF1">
        <w:rPr>
          <w:i/>
          <w:iCs/>
        </w:rPr>
        <w:t>maras</w:t>
      </w:r>
      <w:r w:rsidR="008F0B7D">
        <w:t>, aimed at</w:t>
      </w:r>
      <w:r w:rsidR="001038EB" w:rsidRPr="003A1467">
        <w:t xml:space="preserve"> </w:t>
      </w:r>
      <w:r w:rsidR="008F0B7D">
        <w:t>p</w:t>
      </w:r>
      <w:r w:rsidR="001038EB" w:rsidRPr="003A1467">
        <w:t xml:space="preserve">revention, </w:t>
      </w:r>
      <w:r w:rsidR="008F0B7D">
        <w:t>r</w:t>
      </w:r>
      <w:r w:rsidR="001038EB" w:rsidRPr="003A1467">
        <w:t xml:space="preserve">ehabilitation and </w:t>
      </w:r>
      <w:r w:rsidR="008F0B7D">
        <w:t>s</w:t>
      </w:r>
      <w:r w:rsidR="001038EB" w:rsidRPr="003A1467">
        <w:t xml:space="preserve">ocial </w:t>
      </w:r>
      <w:r w:rsidR="008F0B7D">
        <w:t>r</w:t>
      </w:r>
      <w:r w:rsidR="001038EB" w:rsidRPr="003A1467">
        <w:t>einsertion</w:t>
      </w:r>
      <w:r w:rsidR="008F0B7D">
        <w:t>,</w:t>
      </w:r>
      <w:r w:rsidR="001038EB" w:rsidRPr="003A1467">
        <w:t xml:space="preserve"> and the 2010 </w:t>
      </w:r>
      <w:r w:rsidR="008F0B7D">
        <w:t>u</w:t>
      </w:r>
      <w:r w:rsidR="001038EB" w:rsidRPr="003A1467">
        <w:t xml:space="preserve">pdate on the </w:t>
      </w:r>
      <w:r w:rsidR="008F0B7D">
        <w:t>s</w:t>
      </w:r>
      <w:r w:rsidR="001038EB" w:rsidRPr="003A1467">
        <w:t xml:space="preserve">ituation of </w:t>
      </w:r>
      <w:r w:rsidR="008F0B7D" w:rsidRPr="00113BF1">
        <w:rPr>
          <w:i/>
          <w:iCs/>
        </w:rPr>
        <w:t>m</w:t>
      </w:r>
      <w:r w:rsidR="001038EB" w:rsidRPr="00113BF1">
        <w:rPr>
          <w:i/>
          <w:iCs/>
        </w:rPr>
        <w:t>aras</w:t>
      </w:r>
      <w:r w:rsidR="001038EB" w:rsidRPr="003A1467">
        <w:t xml:space="preserve"> and </w:t>
      </w:r>
      <w:r w:rsidR="008F0B7D">
        <w:t>g</w:t>
      </w:r>
      <w:r w:rsidR="001038EB" w:rsidRPr="003A1467">
        <w:t xml:space="preserve">angs in Honduras. However, the Committee is extremely concerned about: </w:t>
      </w:r>
    </w:p>
    <w:p w:rsidR="001038EB" w:rsidRPr="003A1467" w:rsidRDefault="003A1467" w:rsidP="00113BF1">
      <w:pPr>
        <w:pStyle w:val="SingleTxtG"/>
        <w:ind w:firstLine="567"/>
      </w:pPr>
      <w:r>
        <w:t>(a)</w:t>
      </w:r>
      <w:r>
        <w:tab/>
      </w:r>
      <w:r w:rsidR="001038EB" w:rsidRPr="003A1467">
        <w:t xml:space="preserve">The extensive recruitment of children by </w:t>
      </w:r>
      <w:r w:rsidR="001038EB" w:rsidRPr="00113BF1">
        <w:rPr>
          <w:i/>
          <w:iCs/>
        </w:rPr>
        <w:t>maras</w:t>
      </w:r>
      <w:r w:rsidR="001038EB" w:rsidRPr="003A1467">
        <w:t xml:space="preserve"> and the fact that more than 70</w:t>
      </w:r>
      <w:r w:rsidR="008F0B7D">
        <w:t xml:space="preserve"> per cent</w:t>
      </w:r>
      <w:r w:rsidR="001038EB" w:rsidRPr="003A1467">
        <w:t xml:space="preserve"> of the homicides </w:t>
      </w:r>
      <w:r w:rsidR="00037475">
        <w:t>of</w:t>
      </w:r>
      <w:r w:rsidR="00037475" w:rsidRPr="003A1467">
        <w:t xml:space="preserve"> </w:t>
      </w:r>
      <w:r w:rsidR="001038EB" w:rsidRPr="003A1467">
        <w:t xml:space="preserve">children and adolescents occur as part of the criminal </w:t>
      </w:r>
      <w:r w:rsidR="00037475">
        <w:t>activities</w:t>
      </w:r>
      <w:r w:rsidR="00037475" w:rsidRPr="003A1467">
        <w:t xml:space="preserve"> </w:t>
      </w:r>
      <w:r w:rsidR="001038EB" w:rsidRPr="003A1467">
        <w:t>of organized crime and drug trafficking;</w:t>
      </w:r>
    </w:p>
    <w:p w:rsidR="001038EB" w:rsidRPr="003A1467" w:rsidRDefault="003A1467" w:rsidP="00113BF1">
      <w:pPr>
        <w:pStyle w:val="SingleTxtG"/>
        <w:ind w:firstLine="567"/>
      </w:pPr>
      <w:r>
        <w:t>(b)</w:t>
      </w:r>
      <w:r>
        <w:tab/>
      </w:r>
      <w:r w:rsidR="001038EB" w:rsidRPr="003A1467">
        <w:t>The lack of adequate resources for preventive initiatives to reduce the incorporation of children into these criminal groups;</w:t>
      </w:r>
    </w:p>
    <w:p w:rsidR="001038EB" w:rsidRPr="003A1467" w:rsidRDefault="003A1467" w:rsidP="00113BF1">
      <w:pPr>
        <w:pStyle w:val="SingleTxtG"/>
        <w:ind w:firstLine="567"/>
      </w:pPr>
      <w:r>
        <w:t>(c)</w:t>
      </w:r>
      <w:r>
        <w:tab/>
      </w:r>
      <w:r w:rsidR="001038EB" w:rsidRPr="003A1467">
        <w:t>The prevalence of a repressive approach to youth violence, based</w:t>
      </w:r>
      <w:r w:rsidR="008F0B7D">
        <w:t>,</w:t>
      </w:r>
      <w:r w:rsidR="001038EB" w:rsidRPr="003A1467">
        <w:t xml:space="preserve"> inter alia</w:t>
      </w:r>
      <w:r w:rsidR="008F0B7D">
        <w:t>,</w:t>
      </w:r>
      <w:r w:rsidR="001038EB" w:rsidRPr="003A1467">
        <w:t xml:space="preserve"> on </w:t>
      </w:r>
      <w:r w:rsidR="00FC0093">
        <w:t>article </w:t>
      </w:r>
      <w:r w:rsidR="001038EB" w:rsidRPr="003A1467">
        <w:t xml:space="preserve">332 of the Criminal Code, </w:t>
      </w:r>
      <w:r w:rsidR="008F0B7D">
        <w:t xml:space="preserve">and </w:t>
      </w:r>
      <w:r w:rsidR="001038EB" w:rsidRPr="003A1467">
        <w:t xml:space="preserve">the creation of </w:t>
      </w:r>
      <w:r w:rsidR="008F0B7D">
        <w:t>a</w:t>
      </w:r>
      <w:r w:rsidR="001038EB" w:rsidRPr="003A1467">
        <w:t xml:space="preserve">nti-gang </w:t>
      </w:r>
      <w:r w:rsidR="008F0B7D">
        <w:t>u</w:t>
      </w:r>
      <w:r w:rsidR="001038EB" w:rsidRPr="003A1467">
        <w:t xml:space="preserve">nits in the </w:t>
      </w:r>
      <w:r w:rsidR="008F0B7D">
        <w:t>n</w:t>
      </w:r>
      <w:r w:rsidR="001038EB" w:rsidRPr="003A1467">
        <w:t xml:space="preserve">ational </w:t>
      </w:r>
      <w:r w:rsidR="008F0B7D">
        <w:t>p</w:t>
      </w:r>
      <w:r w:rsidR="001038EB" w:rsidRPr="003A1467">
        <w:t xml:space="preserve">olice and the </w:t>
      </w:r>
      <w:r w:rsidR="008F0B7D">
        <w:t>a</w:t>
      </w:r>
      <w:r w:rsidR="001038EB" w:rsidRPr="003A1467">
        <w:t xml:space="preserve">rmed </w:t>
      </w:r>
      <w:r w:rsidR="008F0B7D">
        <w:t>f</w:t>
      </w:r>
      <w:r w:rsidR="001038EB" w:rsidRPr="003A1467">
        <w:t xml:space="preserve">orces; </w:t>
      </w:r>
    </w:p>
    <w:p w:rsidR="001038EB" w:rsidRPr="003A1467" w:rsidRDefault="003A1467" w:rsidP="00113BF1">
      <w:pPr>
        <w:pStyle w:val="SingleTxtG"/>
        <w:ind w:firstLine="567"/>
      </w:pPr>
      <w:r>
        <w:t>(d)</w:t>
      </w:r>
      <w:r>
        <w:tab/>
      </w:r>
      <w:r w:rsidR="001038EB" w:rsidRPr="003A1467">
        <w:t>The creation of the Guardians of the Fatherland programme</w:t>
      </w:r>
      <w:r w:rsidR="007E0669">
        <w:t>,</w:t>
      </w:r>
      <w:r w:rsidR="001038EB" w:rsidRPr="003A1467">
        <w:t xml:space="preserve"> aim</w:t>
      </w:r>
      <w:r w:rsidR="007E0669">
        <w:t>ed</w:t>
      </w:r>
      <w:r w:rsidR="001038EB" w:rsidRPr="003A1467">
        <w:t xml:space="preserve"> at training 25,000 children</w:t>
      </w:r>
      <w:r w:rsidR="00976137">
        <w:t xml:space="preserve"> at social risk </w:t>
      </w:r>
      <w:r w:rsidR="00DC256C">
        <w:t>annually</w:t>
      </w:r>
      <w:r w:rsidR="00976137">
        <w:t xml:space="preserve">, </w:t>
      </w:r>
      <w:r w:rsidR="00DC256C">
        <w:t xml:space="preserve">under which children </w:t>
      </w:r>
      <w:r w:rsidR="00976137">
        <w:t xml:space="preserve">participate in activities carried out by military units and in installations of the </w:t>
      </w:r>
      <w:r w:rsidR="007E0669">
        <w:t>a</w:t>
      </w:r>
      <w:r w:rsidR="00976137">
        <w:t xml:space="preserve">rmed </w:t>
      </w:r>
      <w:r w:rsidR="007E0669">
        <w:t>f</w:t>
      </w:r>
      <w:r w:rsidR="00976137">
        <w:t>orces</w:t>
      </w:r>
      <w:r w:rsidR="001038EB" w:rsidRPr="003A1467">
        <w:t>.</w:t>
      </w:r>
    </w:p>
    <w:p w:rsidR="001038EB" w:rsidRPr="003A1467" w:rsidRDefault="00113BF1" w:rsidP="00344165">
      <w:pPr>
        <w:pStyle w:val="SingleTxtG"/>
        <w:rPr>
          <w:b/>
        </w:rPr>
      </w:pPr>
      <w:r w:rsidRPr="003A1467">
        <w:rPr>
          <w:iCs/>
        </w:rPr>
        <w:t>38.</w:t>
      </w:r>
      <w:r w:rsidRPr="003A1467">
        <w:rPr>
          <w:iCs/>
        </w:rPr>
        <w:tab/>
      </w:r>
      <w:r w:rsidR="001038EB" w:rsidRPr="003A1467">
        <w:rPr>
          <w:b/>
          <w:lang w:eastAsia="en-GB"/>
        </w:rPr>
        <w:t xml:space="preserve">The Committee recommends </w:t>
      </w:r>
      <w:r w:rsidR="001038EB" w:rsidRPr="003A1467">
        <w:rPr>
          <w:rFonts w:eastAsia="Malgun Gothic"/>
          <w:b/>
          <w:lang w:eastAsia="zh-CN"/>
        </w:rPr>
        <w:t>that</w:t>
      </w:r>
      <w:r w:rsidR="001038EB" w:rsidRPr="003A1467">
        <w:rPr>
          <w:b/>
          <w:lang w:eastAsia="en-GB"/>
        </w:rPr>
        <w:t xml:space="preserve"> the State party: </w:t>
      </w:r>
    </w:p>
    <w:p w:rsidR="001038EB" w:rsidRPr="003A1467" w:rsidRDefault="003A1467" w:rsidP="00113BF1">
      <w:pPr>
        <w:pStyle w:val="SingleTxtG"/>
        <w:ind w:firstLine="567"/>
        <w:rPr>
          <w:b/>
          <w:bCs/>
          <w:lang w:eastAsia="en-GB"/>
        </w:rPr>
      </w:pPr>
      <w:r w:rsidRPr="00113BF1">
        <w:rPr>
          <w:lang w:eastAsia="en-GB"/>
        </w:rPr>
        <w:t>(a)</w:t>
      </w:r>
      <w:r>
        <w:rPr>
          <w:b/>
          <w:bCs/>
          <w:lang w:eastAsia="en-GB"/>
        </w:rPr>
        <w:tab/>
      </w:r>
      <w:r w:rsidR="001038EB" w:rsidRPr="003A1467">
        <w:rPr>
          <w:b/>
          <w:bCs/>
          <w:lang w:eastAsia="en-GB"/>
        </w:rPr>
        <w:t xml:space="preserve">Take all measures necessary to prevent </w:t>
      </w:r>
      <w:r w:rsidR="007E0669">
        <w:rPr>
          <w:b/>
          <w:bCs/>
          <w:lang w:eastAsia="en-GB"/>
        </w:rPr>
        <w:t xml:space="preserve">the </w:t>
      </w:r>
      <w:r w:rsidR="001038EB" w:rsidRPr="003A1467">
        <w:rPr>
          <w:b/>
          <w:bCs/>
          <w:lang w:eastAsia="en-GB"/>
        </w:rPr>
        <w:t xml:space="preserve">recruitment of children and to protect them from violence by </w:t>
      </w:r>
      <w:r w:rsidR="001038EB" w:rsidRPr="003A1467">
        <w:rPr>
          <w:b/>
          <w:bCs/>
          <w:i/>
          <w:lang w:eastAsia="en-GB"/>
        </w:rPr>
        <w:t xml:space="preserve">maras </w:t>
      </w:r>
      <w:r w:rsidR="001038EB" w:rsidRPr="003A1467">
        <w:rPr>
          <w:b/>
          <w:bCs/>
          <w:lang w:eastAsia="en-GB"/>
        </w:rPr>
        <w:t>and criminal groups</w:t>
      </w:r>
      <w:r w:rsidR="007E0669">
        <w:rPr>
          <w:b/>
          <w:bCs/>
          <w:lang w:eastAsia="en-GB"/>
        </w:rPr>
        <w:t>,</w:t>
      </w:r>
      <w:r w:rsidR="001038EB" w:rsidRPr="003A1467">
        <w:rPr>
          <w:b/>
          <w:bCs/>
          <w:lang w:eastAsia="en-GB"/>
        </w:rPr>
        <w:t xml:space="preserve"> and assess the impact</w:t>
      </w:r>
      <w:r w:rsidR="007E0669">
        <w:rPr>
          <w:b/>
          <w:bCs/>
          <w:lang w:eastAsia="en-GB"/>
        </w:rPr>
        <w:t xml:space="preserve"> of those measures</w:t>
      </w:r>
      <w:r w:rsidR="001038EB" w:rsidRPr="003A1467">
        <w:rPr>
          <w:b/>
          <w:bCs/>
          <w:lang w:eastAsia="en-GB"/>
        </w:rPr>
        <w:t xml:space="preserve">. The root causes </w:t>
      </w:r>
      <w:r w:rsidR="007E0669">
        <w:rPr>
          <w:b/>
          <w:bCs/>
          <w:lang w:eastAsia="en-GB"/>
        </w:rPr>
        <w:t>of</w:t>
      </w:r>
      <w:r w:rsidR="001038EB" w:rsidRPr="003A1467">
        <w:rPr>
          <w:b/>
          <w:bCs/>
          <w:lang w:eastAsia="en-GB"/>
        </w:rPr>
        <w:t xml:space="preserve"> recruitment, such as poverty and discrimination, and the particular needs of girl victims must be taken into consideration when designing these measures; </w:t>
      </w:r>
    </w:p>
    <w:p w:rsidR="001038EB" w:rsidRPr="003A1467" w:rsidRDefault="003A1467" w:rsidP="00113BF1">
      <w:pPr>
        <w:pStyle w:val="SingleTxtG"/>
        <w:ind w:firstLine="567"/>
        <w:rPr>
          <w:b/>
          <w:lang w:eastAsia="en-GB"/>
        </w:rPr>
      </w:pPr>
      <w:r w:rsidRPr="00113BF1">
        <w:t>(b)</w:t>
      </w:r>
      <w:r>
        <w:rPr>
          <w:b/>
          <w:bCs/>
        </w:rPr>
        <w:tab/>
      </w:r>
      <w:r w:rsidR="001038EB" w:rsidRPr="003A1467">
        <w:rPr>
          <w:b/>
          <w:bCs/>
        </w:rPr>
        <w:t xml:space="preserve">Provide adequate human, technical and financial resources to the </w:t>
      </w:r>
      <w:r w:rsidR="007E0669">
        <w:rPr>
          <w:b/>
          <w:lang w:eastAsia="fr-FR"/>
        </w:rPr>
        <w:t>p</w:t>
      </w:r>
      <w:r w:rsidR="001038EB" w:rsidRPr="003A1467">
        <w:rPr>
          <w:b/>
          <w:lang w:eastAsia="fr-FR"/>
        </w:rPr>
        <w:t>rogramme</w:t>
      </w:r>
      <w:r w:rsidR="007E0669">
        <w:rPr>
          <w:b/>
          <w:lang w:eastAsia="fr-FR"/>
        </w:rPr>
        <w:t xml:space="preserve"> for</w:t>
      </w:r>
      <w:r w:rsidR="007E0669" w:rsidRPr="007E0669">
        <w:rPr>
          <w:b/>
          <w:lang w:val="en-US" w:eastAsia="fr-FR"/>
        </w:rPr>
        <w:t xml:space="preserve"> member</w:t>
      </w:r>
      <w:r w:rsidR="005C14E2">
        <w:rPr>
          <w:b/>
          <w:lang w:val="en-US" w:eastAsia="fr-FR"/>
        </w:rPr>
        <w:t>s</w:t>
      </w:r>
      <w:r w:rsidR="007E0669" w:rsidRPr="007E0669">
        <w:rPr>
          <w:b/>
          <w:lang w:val="en-US" w:eastAsia="fr-FR"/>
        </w:rPr>
        <w:t xml:space="preserve"> of </w:t>
      </w:r>
      <w:r w:rsidR="007E0669" w:rsidRPr="007E0669">
        <w:rPr>
          <w:b/>
          <w:i/>
          <w:lang w:val="en-US" w:eastAsia="fr-FR"/>
        </w:rPr>
        <w:t>maras</w:t>
      </w:r>
      <w:r w:rsidR="007E0669" w:rsidRPr="007E0669">
        <w:rPr>
          <w:b/>
          <w:lang w:val="en-US" w:eastAsia="fr-FR"/>
        </w:rPr>
        <w:t xml:space="preserve"> </w:t>
      </w:r>
      <w:r w:rsidR="007E0669">
        <w:rPr>
          <w:b/>
          <w:lang w:val="en-US" w:eastAsia="fr-FR"/>
        </w:rPr>
        <w:t>on</w:t>
      </w:r>
      <w:r w:rsidR="001038EB" w:rsidRPr="003A1467">
        <w:rPr>
          <w:b/>
          <w:lang w:val="en-US" w:eastAsia="fr-FR"/>
        </w:rPr>
        <w:t xml:space="preserve"> </w:t>
      </w:r>
      <w:r w:rsidR="007E0669">
        <w:rPr>
          <w:b/>
          <w:lang w:val="en-US" w:eastAsia="fr-FR"/>
        </w:rPr>
        <w:t>p</w:t>
      </w:r>
      <w:r w:rsidR="001038EB" w:rsidRPr="003A1467">
        <w:rPr>
          <w:b/>
          <w:lang w:val="en-US" w:eastAsia="fr-FR"/>
        </w:rPr>
        <w:t xml:space="preserve">revention, </w:t>
      </w:r>
      <w:r w:rsidR="007E0669">
        <w:rPr>
          <w:b/>
          <w:lang w:val="en-US" w:eastAsia="fr-FR"/>
        </w:rPr>
        <w:t>r</w:t>
      </w:r>
      <w:r w:rsidR="001038EB" w:rsidRPr="003A1467">
        <w:rPr>
          <w:b/>
          <w:lang w:val="en-US" w:eastAsia="fr-FR"/>
        </w:rPr>
        <w:t xml:space="preserve">ehabilitation and </w:t>
      </w:r>
      <w:r w:rsidR="007E0669">
        <w:rPr>
          <w:b/>
          <w:lang w:val="en-US" w:eastAsia="fr-FR"/>
        </w:rPr>
        <w:t>s</w:t>
      </w:r>
      <w:r w:rsidR="001038EB" w:rsidRPr="003A1467">
        <w:rPr>
          <w:b/>
          <w:lang w:val="en-US" w:eastAsia="fr-FR"/>
        </w:rPr>
        <w:t xml:space="preserve">ocial </w:t>
      </w:r>
      <w:r w:rsidR="007E0669">
        <w:rPr>
          <w:b/>
          <w:lang w:val="en-US" w:eastAsia="fr-FR"/>
        </w:rPr>
        <w:t>r</w:t>
      </w:r>
      <w:r w:rsidR="001038EB" w:rsidRPr="003A1467">
        <w:rPr>
          <w:b/>
          <w:lang w:val="en-US" w:eastAsia="fr-FR"/>
        </w:rPr>
        <w:t xml:space="preserve">einsertion and empower </w:t>
      </w:r>
      <w:r w:rsidR="00BE1264">
        <w:rPr>
          <w:b/>
          <w:lang w:val="en-US" w:eastAsia="fr-FR"/>
        </w:rPr>
        <w:t xml:space="preserve">the </w:t>
      </w:r>
      <w:r w:rsidR="005C14E2" w:rsidRPr="005C14E2">
        <w:rPr>
          <w:b/>
          <w:lang w:eastAsia="fr-FR"/>
        </w:rPr>
        <w:t xml:space="preserve">Directorate for Children, Adolescents and </w:t>
      </w:r>
      <w:r w:rsidR="00BE1264">
        <w:rPr>
          <w:b/>
          <w:lang w:eastAsia="fr-FR"/>
        </w:rPr>
        <w:t xml:space="preserve">the </w:t>
      </w:r>
      <w:r w:rsidR="005C14E2" w:rsidRPr="005C14E2">
        <w:rPr>
          <w:b/>
          <w:lang w:eastAsia="fr-FR"/>
        </w:rPr>
        <w:t>Family</w:t>
      </w:r>
      <w:r w:rsidR="001038EB" w:rsidRPr="003A1467">
        <w:rPr>
          <w:b/>
          <w:lang w:val="en-US" w:eastAsia="fr-FR"/>
        </w:rPr>
        <w:t xml:space="preserve"> to fulfil its m</w:t>
      </w:r>
      <w:r w:rsidR="001038EB" w:rsidRPr="003A1467">
        <w:rPr>
          <w:b/>
          <w:lang w:val="en-US"/>
        </w:rPr>
        <w:t xml:space="preserve">andate of coordinating public policies to prevent violence and </w:t>
      </w:r>
      <w:r w:rsidR="00BE1264">
        <w:rPr>
          <w:b/>
          <w:lang w:val="en-US"/>
        </w:rPr>
        <w:t xml:space="preserve">the </w:t>
      </w:r>
      <w:r w:rsidR="001038EB" w:rsidRPr="003A1467">
        <w:rPr>
          <w:b/>
          <w:lang w:val="en-US"/>
        </w:rPr>
        <w:t xml:space="preserve">participation of children and adolescents in </w:t>
      </w:r>
      <w:r w:rsidR="001038EB" w:rsidRPr="003A1467">
        <w:rPr>
          <w:b/>
          <w:i/>
          <w:lang w:val="en-US"/>
        </w:rPr>
        <w:t>maras</w:t>
      </w:r>
      <w:r w:rsidR="001038EB" w:rsidRPr="003A1467">
        <w:rPr>
          <w:b/>
          <w:lang w:val="en-US"/>
        </w:rPr>
        <w:t>;</w:t>
      </w:r>
    </w:p>
    <w:p w:rsidR="001038EB" w:rsidRPr="003A1467" w:rsidRDefault="003A1467" w:rsidP="00113BF1">
      <w:pPr>
        <w:pStyle w:val="SingleTxtG"/>
        <w:ind w:firstLine="567"/>
        <w:rPr>
          <w:b/>
          <w:bCs/>
          <w:lang w:eastAsia="en-GB"/>
        </w:rPr>
      </w:pPr>
      <w:r w:rsidRPr="00113BF1">
        <w:rPr>
          <w:lang w:eastAsia="en-GB"/>
        </w:rPr>
        <w:lastRenderedPageBreak/>
        <w:t>(c)</w:t>
      </w:r>
      <w:r>
        <w:rPr>
          <w:b/>
          <w:bCs/>
          <w:lang w:eastAsia="en-GB"/>
        </w:rPr>
        <w:tab/>
      </w:r>
      <w:r w:rsidR="001038EB" w:rsidRPr="003A1467">
        <w:rPr>
          <w:b/>
          <w:bCs/>
          <w:lang w:eastAsia="en-GB"/>
        </w:rPr>
        <w:t xml:space="preserve">Review security laws, including </w:t>
      </w:r>
      <w:r w:rsidR="00FC0093">
        <w:rPr>
          <w:b/>
          <w:bCs/>
          <w:lang w:eastAsia="en-GB"/>
        </w:rPr>
        <w:t>article </w:t>
      </w:r>
      <w:r w:rsidR="001038EB" w:rsidRPr="003A1467">
        <w:rPr>
          <w:b/>
          <w:bCs/>
          <w:lang w:eastAsia="en-GB"/>
        </w:rPr>
        <w:t>332 of the Criminal Code</w:t>
      </w:r>
      <w:r w:rsidR="005C14E2">
        <w:rPr>
          <w:b/>
          <w:bCs/>
          <w:lang w:eastAsia="en-GB"/>
        </w:rPr>
        <w:t>,</w:t>
      </w:r>
      <w:r w:rsidR="001038EB" w:rsidRPr="003A1467">
        <w:rPr>
          <w:b/>
          <w:bCs/>
          <w:lang w:eastAsia="en-GB"/>
        </w:rPr>
        <w:t xml:space="preserve"> and </w:t>
      </w:r>
      <w:r w:rsidR="001038EB" w:rsidRPr="003A1467">
        <w:rPr>
          <w:rFonts w:eastAsia="Malgun Gothic"/>
          <w:b/>
          <w:lang w:eastAsia="zh-CN"/>
        </w:rPr>
        <w:t>ensure respect for the rights of the child in its approaches to public security</w:t>
      </w:r>
      <w:r w:rsidR="001038EB" w:rsidRPr="003A1467">
        <w:rPr>
          <w:b/>
          <w:bCs/>
          <w:lang w:eastAsia="en-GB"/>
        </w:rPr>
        <w:t>;</w:t>
      </w:r>
    </w:p>
    <w:p w:rsidR="001038EB" w:rsidRPr="003A1467" w:rsidRDefault="003A1467" w:rsidP="00113BF1">
      <w:pPr>
        <w:pStyle w:val="SingleTxtG"/>
        <w:ind w:firstLine="567"/>
        <w:rPr>
          <w:b/>
          <w:bCs/>
          <w:lang w:eastAsia="en-GB"/>
        </w:rPr>
      </w:pPr>
      <w:r w:rsidRPr="00113BF1">
        <w:rPr>
          <w:bCs/>
        </w:rPr>
        <w:t>(d)</w:t>
      </w:r>
      <w:r>
        <w:rPr>
          <w:b/>
        </w:rPr>
        <w:tab/>
      </w:r>
      <w:r w:rsidR="001038EB" w:rsidRPr="003A1467">
        <w:rPr>
          <w:b/>
        </w:rPr>
        <w:t xml:space="preserve">Abandon the </w:t>
      </w:r>
      <w:r w:rsidR="001038EB" w:rsidRPr="00113BF1">
        <w:rPr>
          <w:b/>
          <w:iCs/>
        </w:rPr>
        <w:t>Guardians of the Fatherland</w:t>
      </w:r>
      <w:r w:rsidR="001038EB" w:rsidRPr="003A1467">
        <w:rPr>
          <w:b/>
        </w:rPr>
        <w:t xml:space="preserve"> programme and ensure that children and adolescents do not participate in activities carried out in battalions and other military installations, and promote </w:t>
      </w:r>
      <w:r w:rsidR="005C14E2">
        <w:rPr>
          <w:b/>
        </w:rPr>
        <w:t>instead</w:t>
      </w:r>
      <w:r w:rsidR="001038EB" w:rsidRPr="003A1467">
        <w:rPr>
          <w:b/>
        </w:rPr>
        <w:t xml:space="preserve"> community and education</w:t>
      </w:r>
      <w:r w:rsidR="005C14E2">
        <w:rPr>
          <w:b/>
        </w:rPr>
        <w:t>-</w:t>
      </w:r>
      <w:r w:rsidR="001038EB" w:rsidRPr="003A1467">
        <w:rPr>
          <w:b/>
        </w:rPr>
        <w:t>sector participation in the formation of values and prevention of violence;</w:t>
      </w:r>
    </w:p>
    <w:p w:rsidR="001038EB" w:rsidRPr="003A1467" w:rsidRDefault="003A1467" w:rsidP="00113BF1">
      <w:pPr>
        <w:pStyle w:val="SingleTxtG"/>
        <w:ind w:firstLine="567"/>
        <w:rPr>
          <w:b/>
          <w:bCs/>
          <w:lang w:eastAsia="en-GB"/>
        </w:rPr>
      </w:pPr>
      <w:r w:rsidRPr="00113BF1">
        <w:rPr>
          <w:bCs/>
        </w:rPr>
        <w:t>(e)</w:t>
      </w:r>
      <w:r>
        <w:rPr>
          <w:b/>
        </w:rPr>
        <w:tab/>
      </w:r>
      <w:r w:rsidR="001038EB" w:rsidRPr="003A1467">
        <w:rPr>
          <w:b/>
        </w:rPr>
        <w:t xml:space="preserve">Develop and </w:t>
      </w:r>
      <w:r w:rsidR="001038EB" w:rsidRPr="003A1467">
        <w:rPr>
          <w:b/>
          <w:iCs/>
          <w:lang w:eastAsia="en-GB"/>
        </w:rPr>
        <w:t>conduct awareness</w:t>
      </w:r>
      <w:r w:rsidR="005C14E2">
        <w:rPr>
          <w:b/>
          <w:iCs/>
          <w:lang w:eastAsia="en-GB"/>
        </w:rPr>
        <w:t>-</w:t>
      </w:r>
      <w:r w:rsidR="001038EB" w:rsidRPr="003A1467">
        <w:rPr>
          <w:b/>
          <w:iCs/>
          <w:lang w:eastAsia="en-GB"/>
        </w:rPr>
        <w:t xml:space="preserve">raising programmes, including with the involvement of children and the media, to reduce the social stigmatization of </w:t>
      </w:r>
      <w:r w:rsidR="001038EB" w:rsidRPr="003A1467">
        <w:rPr>
          <w:b/>
          <w:i/>
          <w:iCs/>
          <w:lang w:eastAsia="en-GB"/>
        </w:rPr>
        <w:t>maras.</w:t>
      </w:r>
      <w:r w:rsidR="001038EB" w:rsidRPr="003A1467">
        <w:rPr>
          <w:b/>
          <w:iCs/>
          <w:lang w:eastAsia="en-GB"/>
        </w:rPr>
        <w:t xml:space="preserve"> </w:t>
      </w:r>
    </w:p>
    <w:p w:rsidR="001038EB" w:rsidRPr="006E5722" w:rsidRDefault="003A1467" w:rsidP="003A1467">
      <w:pPr>
        <w:pStyle w:val="H23G"/>
        <w:rPr>
          <w:rFonts w:eastAsia="Calibri"/>
        </w:rPr>
      </w:pPr>
      <w:r>
        <w:rPr>
          <w:rFonts w:eastAsia="Calibri"/>
        </w:rPr>
        <w:tab/>
      </w:r>
      <w:r>
        <w:rPr>
          <w:rFonts w:eastAsia="Calibri"/>
        </w:rPr>
        <w:tab/>
      </w:r>
      <w:r w:rsidR="001038EB" w:rsidRPr="000D4DE0">
        <w:rPr>
          <w:rFonts w:eastAsia="Calibri"/>
        </w:rPr>
        <w:t>Freedom of the ch</w:t>
      </w:r>
      <w:r>
        <w:rPr>
          <w:rFonts w:eastAsia="Calibri"/>
        </w:rPr>
        <w:t>ild from all forms of violence</w:t>
      </w:r>
    </w:p>
    <w:p w:rsidR="001038EB" w:rsidRDefault="00113BF1" w:rsidP="00344165">
      <w:pPr>
        <w:pStyle w:val="SingleTxtG"/>
        <w:rPr>
          <w:rFonts w:eastAsia="Calibri"/>
        </w:rPr>
      </w:pPr>
      <w:r>
        <w:rPr>
          <w:rFonts w:eastAsia="Calibri"/>
          <w:iCs/>
        </w:rPr>
        <w:t>39.</w:t>
      </w:r>
      <w:r>
        <w:rPr>
          <w:rFonts w:eastAsia="Calibri"/>
          <w:iCs/>
        </w:rPr>
        <w:tab/>
      </w:r>
      <w:r w:rsidR="001038EB">
        <w:t xml:space="preserve">The Committee is concerned </w:t>
      </w:r>
      <w:r w:rsidR="005C71C2">
        <w:t>about</w:t>
      </w:r>
      <w:r w:rsidR="001038EB">
        <w:t xml:space="preserve"> the lack of official data </w:t>
      </w:r>
      <w:r w:rsidR="005C71C2">
        <w:t xml:space="preserve">on </w:t>
      </w:r>
      <w:r w:rsidR="001038EB">
        <w:t xml:space="preserve">and </w:t>
      </w:r>
      <w:r w:rsidR="005C71C2">
        <w:t xml:space="preserve">the </w:t>
      </w:r>
      <w:r w:rsidR="001038EB">
        <w:t xml:space="preserve">limited availability of mechanisms and expertise to provide support </w:t>
      </w:r>
      <w:r w:rsidR="005C71C2">
        <w:t>for</w:t>
      </w:r>
      <w:r w:rsidR="001038EB">
        <w:t xml:space="preserve"> victims of </w:t>
      </w:r>
      <w:r w:rsidR="001038EB" w:rsidRPr="00113BF1">
        <w:rPr>
          <w:iCs/>
        </w:rPr>
        <w:t>bullying</w:t>
      </w:r>
      <w:r w:rsidR="005C71C2">
        <w:rPr>
          <w:iCs/>
        </w:rPr>
        <w:t>,</w:t>
      </w:r>
      <w:r w:rsidR="001038EB">
        <w:t xml:space="preserve"> despite information indicating that Honduras has one of the highest rates of school violence, with 80 per cent of children being affected. </w:t>
      </w:r>
    </w:p>
    <w:p w:rsidR="001038EB" w:rsidRPr="003A1467" w:rsidRDefault="00113BF1" w:rsidP="00344165">
      <w:pPr>
        <w:pStyle w:val="SingleTxtG"/>
        <w:rPr>
          <w:rFonts w:eastAsia="Calibri"/>
        </w:rPr>
      </w:pPr>
      <w:r w:rsidRPr="003A1467">
        <w:rPr>
          <w:rFonts w:eastAsia="Calibri"/>
          <w:iCs/>
        </w:rPr>
        <w:t>40.</w:t>
      </w:r>
      <w:r w:rsidRPr="003A1467">
        <w:rPr>
          <w:rFonts w:eastAsia="Calibri"/>
          <w:iCs/>
        </w:rPr>
        <w:tab/>
      </w:r>
      <w:r w:rsidR="001038EB" w:rsidRPr="003A1467">
        <w:rPr>
          <w:b/>
        </w:rPr>
        <w:t xml:space="preserve">The Committee recommends that the State party increase efforts to implement </w:t>
      </w:r>
      <w:r w:rsidR="005C71C2" w:rsidRPr="005C71C2">
        <w:rPr>
          <w:b/>
        </w:rPr>
        <w:t xml:space="preserve">effectively </w:t>
      </w:r>
      <w:r w:rsidR="001038EB" w:rsidRPr="003A1467">
        <w:rPr>
          <w:b/>
        </w:rPr>
        <w:t>the Standards for Harmonious Coexistence in Public and Private Schools and related initiatives and closely monitor their implementation</w:t>
      </w:r>
      <w:r w:rsidR="001038EB" w:rsidRPr="003A1467">
        <w:t>.</w:t>
      </w:r>
    </w:p>
    <w:p w:rsidR="001038EB" w:rsidRPr="003A1467" w:rsidRDefault="001038EB" w:rsidP="003A1467">
      <w:pPr>
        <w:pStyle w:val="H23G"/>
      </w:pPr>
      <w:r w:rsidRPr="003A1467">
        <w:rPr>
          <w:rFonts w:eastAsia="Malgun Gothic"/>
        </w:rPr>
        <w:tab/>
      </w:r>
      <w:r w:rsidRPr="003A1467">
        <w:rPr>
          <w:rFonts w:eastAsia="Malgun Gothic"/>
        </w:rPr>
        <w:tab/>
      </w:r>
      <w:r w:rsidRPr="003A1467">
        <w:t>Corporal punishment</w:t>
      </w:r>
    </w:p>
    <w:p w:rsidR="001038EB" w:rsidRPr="00847C70" w:rsidRDefault="00113BF1" w:rsidP="00344165">
      <w:pPr>
        <w:pStyle w:val="SingleTxtG"/>
        <w:rPr>
          <w:rFonts w:eastAsia="Calibri"/>
        </w:rPr>
      </w:pPr>
      <w:r w:rsidRPr="00847C70">
        <w:rPr>
          <w:rFonts w:eastAsia="Calibri"/>
          <w:iCs/>
        </w:rPr>
        <w:t>41.</w:t>
      </w:r>
      <w:r w:rsidRPr="00847C70">
        <w:rPr>
          <w:rFonts w:eastAsia="Calibri"/>
          <w:iCs/>
        </w:rPr>
        <w:tab/>
      </w:r>
      <w:r w:rsidR="001038EB">
        <w:rPr>
          <w:rFonts w:eastAsia="Calibri"/>
        </w:rPr>
        <w:t xml:space="preserve">The Committee welcomes the amendment of </w:t>
      </w:r>
      <w:r w:rsidR="00FC0093">
        <w:rPr>
          <w:rFonts w:eastAsia="Calibri"/>
        </w:rPr>
        <w:t>article </w:t>
      </w:r>
      <w:r w:rsidR="001038EB">
        <w:rPr>
          <w:rFonts w:eastAsia="Calibri"/>
        </w:rPr>
        <w:t xml:space="preserve">191 of the Family Code, which </w:t>
      </w:r>
      <w:r w:rsidR="001038EB" w:rsidRPr="0049405F">
        <w:t>prohibit</w:t>
      </w:r>
      <w:r w:rsidR="001038EB">
        <w:t>s</w:t>
      </w:r>
      <w:r w:rsidR="001038EB" w:rsidRPr="0049405F">
        <w:t xml:space="preserve"> all forms of corporal punishm</w:t>
      </w:r>
      <w:r w:rsidR="001038EB">
        <w:t xml:space="preserve">ent of children in all settings, including in the </w:t>
      </w:r>
      <w:r w:rsidR="001038EB" w:rsidRPr="0049405F">
        <w:t>family environment</w:t>
      </w:r>
      <w:r w:rsidR="001038EB">
        <w:t xml:space="preserve">. However, </w:t>
      </w:r>
      <w:r w:rsidR="00BE1264">
        <w:t>it</w:t>
      </w:r>
      <w:r w:rsidR="001038EB">
        <w:t xml:space="preserve"> remains concerned about the high number of cases of abuse reported in families, schools and institutions, </w:t>
      </w:r>
      <w:r w:rsidR="005C71C2">
        <w:t xml:space="preserve">a </w:t>
      </w:r>
      <w:r w:rsidR="001038EB">
        <w:t>concern</w:t>
      </w:r>
      <w:r w:rsidR="005C71C2">
        <w:t xml:space="preserve"> that is</w:t>
      </w:r>
      <w:r w:rsidR="001038EB">
        <w:t xml:space="preserve"> compounded by the lack of consolidated, detailed and disaggregated information, in particular </w:t>
      </w:r>
      <w:r w:rsidR="005D741B">
        <w:t xml:space="preserve">with respect to </w:t>
      </w:r>
      <w:r w:rsidR="001038EB">
        <w:t>girls and children in vulnerable situations.</w:t>
      </w:r>
    </w:p>
    <w:p w:rsidR="001038EB" w:rsidRPr="003A1467" w:rsidRDefault="00113BF1" w:rsidP="00344165">
      <w:pPr>
        <w:pStyle w:val="SingleTxtG"/>
        <w:rPr>
          <w:rFonts w:eastAsia="Calibri"/>
        </w:rPr>
      </w:pPr>
      <w:r w:rsidRPr="003A1467">
        <w:rPr>
          <w:rFonts w:eastAsia="Calibri"/>
          <w:iCs/>
        </w:rPr>
        <w:t>42.</w:t>
      </w:r>
      <w:r w:rsidRPr="003A1467">
        <w:rPr>
          <w:rFonts w:eastAsia="Calibri"/>
          <w:iCs/>
        </w:rPr>
        <w:tab/>
      </w:r>
      <w:r w:rsidR="001038EB" w:rsidRPr="003A1467">
        <w:rPr>
          <w:b/>
        </w:rPr>
        <w:t xml:space="preserve">In the light of its </w:t>
      </w:r>
      <w:r w:rsidR="005D741B">
        <w:rPr>
          <w:b/>
        </w:rPr>
        <w:t>g</w:t>
      </w:r>
      <w:r w:rsidR="001038EB" w:rsidRPr="003A1467">
        <w:rPr>
          <w:b/>
        </w:rPr>
        <w:t xml:space="preserve">eneral </w:t>
      </w:r>
      <w:r w:rsidR="005D741B">
        <w:rPr>
          <w:b/>
        </w:rPr>
        <w:t>c</w:t>
      </w:r>
      <w:r w:rsidR="001038EB" w:rsidRPr="003A1467">
        <w:rPr>
          <w:b/>
        </w:rPr>
        <w:t>omment</w:t>
      </w:r>
      <w:r w:rsidR="008969E1">
        <w:rPr>
          <w:b/>
        </w:rPr>
        <w:t xml:space="preserve"> No. </w:t>
      </w:r>
      <w:r w:rsidR="001038EB" w:rsidRPr="003A1467">
        <w:rPr>
          <w:b/>
        </w:rPr>
        <w:t>8 (2006) on the right of the child to protection from corporal punishment</w:t>
      </w:r>
      <w:r w:rsidR="005D741B">
        <w:rPr>
          <w:b/>
        </w:rPr>
        <w:t xml:space="preserve"> and other cruel or degrading forms of punishment</w:t>
      </w:r>
      <w:r w:rsidR="001038EB" w:rsidRPr="003A1467">
        <w:rPr>
          <w:b/>
        </w:rPr>
        <w:t>, the Committee recommends that the State party promote positive, non-violent and participatory forms of child-rearing and discipline, conduct awareness-raising programmes on th</w:t>
      </w:r>
      <w:r w:rsidR="00BE1264">
        <w:rPr>
          <w:b/>
        </w:rPr>
        <w:t>e</w:t>
      </w:r>
      <w:r w:rsidR="001038EB" w:rsidRPr="003A1467">
        <w:rPr>
          <w:b/>
        </w:rPr>
        <w:t xml:space="preserve"> prohibition </w:t>
      </w:r>
      <w:r w:rsidR="00BE1264">
        <w:rPr>
          <w:b/>
        </w:rPr>
        <w:t xml:space="preserve">of corporal punishment </w:t>
      </w:r>
      <w:r w:rsidR="001038EB" w:rsidRPr="003A1467">
        <w:rPr>
          <w:b/>
        </w:rPr>
        <w:t>and create mechanisms for its fulfilment.</w:t>
      </w:r>
      <w:r w:rsidR="001038EB" w:rsidRPr="003A1467">
        <w:t xml:space="preserve"> </w:t>
      </w:r>
    </w:p>
    <w:p w:rsidR="001038EB" w:rsidRPr="003A1467" w:rsidRDefault="003A1467" w:rsidP="003A1467">
      <w:pPr>
        <w:pStyle w:val="H23G"/>
      </w:pPr>
      <w:r>
        <w:tab/>
      </w:r>
      <w:r>
        <w:tab/>
      </w:r>
      <w:r w:rsidR="001038EB" w:rsidRPr="003A1467">
        <w:t>Abuse and neglect</w:t>
      </w:r>
    </w:p>
    <w:p w:rsidR="001038EB" w:rsidRPr="00492807" w:rsidRDefault="00113BF1" w:rsidP="00344165">
      <w:pPr>
        <w:pStyle w:val="SingleTxtG"/>
        <w:rPr>
          <w:rFonts w:eastAsia="Malgun Gothic"/>
        </w:rPr>
      </w:pPr>
      <w:r w:rsidRPr="00492807">
        <w:rPr>
          <w:rFonts w:eastAsia="Malgun Gothic"/>
          <w:iCs/>
        </w:rPr>
        <w:t>43.</w:t>
      </w:r>
      <w:r w:rsidRPr="00492807">
        <w:rPr>
          <w:rFonts w:eastAsia="Malgun Gothic"/>
          <w:iCs/>
        </w:rPr>
        <w:tab/>
      </w:r>
      <w:r w:rsidR="001038EB" w:rsidRPr="00492807">
        <w:rPr>
          <w:rFonts w:eastAsia="Malgun Gothic"/>
        </w:rPr>
        <w:t xml:space="preserve">The Committee is concerned about the high </w:t>
      </w:r>
      <w:r w:rsidR="00BE1264">
        <w:rPr>
          <w:rFonts w:eastAsia="Malgun Gothic"/>
        </w:rPr>
        <w:t>number</w:t>
      </w:r>
      <w:r w:rsidR="001038EB" w:rsidRPr="00492807">
        <w:rPr>
          <w:rFonts w:eastAsia="Malgun Gothic"/>
        </w:rPr>
        <w:t xml:space="preserve"> of cases of child abuse, in particular </w:t>
      </w:r>
      <w:r w:rsidR="00053BA9">
        <w:rPr>
          <w:rFonts w:eastAsia="Malgun Gothic"/>
        </w:rPr>
        <w:t xml:space="preserve">involving </w:t>
      </w:r>
      <w:r w:rsidR="001038EB" w:rsidRPr="00492807">
        <w:rPr>
          <w:rFonts w:eastAsia="Malgun Gothic"/>
        </w:rPr>
        <w:t xml:space="preserve">girls, including in the family environment, and </w:t>
      </w:r>
      <w:r w:rsidR="00053BA9">
        <w:rPr>
          <w:rFonts w:eastAsia="Malgun Gothic"/>
        </w:rPr>
        <w:t>about</w:t>
      </w:r>
      <w:r w:rsidR="00053BA9" w:rsidRPr="00492807">
        <w:rPr>
          <w:rFonts w:eastAsia="Malgun Gothic"/>
        </w:rPr>
        <w:t xml:space="preserve"> </w:t>
      </w:r>
      <w:r w:rsidR="001038EB" w:rsidRPr="00492807">
        <w:rPr>
          <w:rFonts w:eastAsia="Malgun Gothic"/>
        </w:rPr>
        <w:t xml:space="preserve">the lack of consolidated and disaggregated information on all forms of abuse against children. </w:t>
      </w:r>
    </w:p>
    <w:p w:rsidR="001038EB" w:rsidRPr="00492807" w:rsidRDefault="00113BF1" w:rsidP="00344165">
      <w:pPr>
        <w:pStyle w:val="SingleTxtG"/>
        <w:rPr>
          <w:rFonts w:eastAsia="Malgun Gothic"/>
          <w:b/>
          <w:lang w:eastAsia="zh-CN"/>
        </w:rPr>
      </w:pPr>
      <w:r w:rsidRPr="00492807">
        <w:rPr>
          <w:rFonts w:eastAsia="Malgun Gothic"/>
          <w:iCs/>
          <w:lang w:eastAsia="zh-CN"/>
        </w:rPr>
        <w:t>44.</w:t>
      </w:r>
      <w:r w:rsidRPr="00492807">
        <w:rPr>
          <w:rFonts w:eastAsia="Malgun Gothic"/>
          <w:iCs/>
          <w:lang w:eastAsia="zh-CN"/>
        </w:rPr>
        <w:tab/>
      </w:r>
      <w:r w:rsidR="001038EB" w:rsidRPr="00492807">
        <w:rPr>
          <w:rFonts w:eastAsia="Malgun Gothic"/>
          <w:b/>
          <w:lang w:eastAsia="zh-CN"/>
        </w:rPr>
        <w:t xml:space="preserve">In the light of its </w:t>
      </w:r>
      <w:r w:rsidR="00053BA9">
        <w:rPr>
          <w:b/>
        </w:rPr>
        <w:t>g</w:t>
      </w:r>
      <w:r w:rsidR="001038EB" w:rsidRPr="00492807">
        <w:rPr>
          <w:b/>
        </w:rPr>
        <w:t xml:space="preserve">eneral </w:t>
      </w:r>
      <w:r w:rsidR="00053BA9">
        <w:rPr>
          <w:b/>
        </w:rPr>
        <w:t>c</w:t>
      </w:r>
      <w:r w:rsidR="001038EB" w:rsidRPr="00492807">
        <w:rPr>
          <w:b/>
        </w:rPr>
        <w:t>omment</w:t>
      </w:r>
      <w:r w:rsidR="008969E1">
        <w:rPr>
          <w:b/>
        </w:rPr>
        <w:t xml:space="preserve"> No. </w:t>
      </w:r>
      <w:r w:rsidR="001038EB" w:rsidRPr="00492807">
        <w:rPr>
          <w:b/>
        </w:rPr>
        <w:t>13 (2011) on the right of the child to freedom from all forms of violence,</w:t>
      </w:r>
      <w:r w:rsidR="001038EB" w:rsidRPr="00492807">
        <w:rPr>
          <w:rFonts w:eastAsia="Malgun Gothic"/>
          <w:b/>
          <w:lang w:eastAsia="zh-CN"/>
        </w:rPr>
        <w:t xml:space="preserve"> the Committee recommends that the State party:</w:t>
      </w:r>
    </w:p>
    <w:p w:rsidR="001038EB" w:rsidRPr="00492807" w:rsidRDefault="00492807" w:rsidP="00113BF1">
      <w:pPr>
        <w:pStyle w:val="SingleTxtG"/>
        <w:ind w:firstLine="567"/>
        <w:rPr>
          <w:rFonts w:eastAsia="Calibri"/>
          <w:b/>
        </w:rPr>
      </w:pPr>
      <w:r w:rsidRPr="00113BF1">
        <w:rPr>
          <w:rFonts w:eastAsia="Calibri"/>
          <w:bCs/>
        </w:rPr>
        <w:t>(a)</w:t>
      </w:r>
      <w:r w:rsidRPr="00113BF1">
        <w:rPr>
          <w:rFonts w:eastAsia="Calibri"/>
          <w:bCs/>
        </w:rPr>
        <w:tab/>
      </w:r>
      <w:r w:rsidR="001038EB" w:rsidRPr="00492807">
        <w:rPr>
          <w:rFonts w:eastAsia="Calibri"/>
          <w:b/>
        </w:rPr>
        <w:t xml:space="preserve">Establish a national database </w:t>
      </w:r>
      <w:r w:rsidR="00BE1264">
        <w:rPr>
          <w:rFonts w:eastAsia="Calibri"/>
          <w:b/>
        </w:rPr>
        <w:t>covering</w:t>
      </w:r>
      <w:r w:rsidR="00BE1264" w:rsidRPr="00492807">
        <w:rPr>
          <w:rFonts w:eastAsia="Calibri"/>
          <w:b/>
        </w:rPr>
        <w:t xml:space="preserve"> </w:t>
      </w:r>
      <w:r w:rsidR="001038EB" w:rsidRPr="00492807">
        <w:rPr>
          <w:rFonts w:eastAsia="Calibri"/>
          <w:b/>
        </w:rPr>
        <w:t xml:space="preserve">all cases of domestic violence against children, and undertake a comprehensive assessment of the extent, causes and nature of such violence; </w:t>
      </w:r>
    </w:p>
    <w:p w:rsidR="001038EB" w:rsidRPr="00492807" w:rsidRDefault="00492807" w:rsidP="00113BF1">
      <w:pPr>
        <w:pStyle w:val="SingleTxtG"/>
        <w:ind w:firstLine="567"/>
        <w:rPr>
          <w:rFonts w:eastAsia="Calibri"/>
          <w:b/>
        </w:rPr>
      </w:pPr>
      <w:r w:rsidRPr="00113BF1">
        <w:rPr>
          <w:rFonts w:eastAsia="Calibri"/>
          <w:bCs/>
        </w:rPr>
        <w:t>(b)</w:t>
      </w:r>
      <w:r>
        <w:rPr>
          <w:rFonts w:eastAsia="Calibri"/>
          <w:b/>
        </w:rPr>
        <w:tab/>
      </w:r>
      <w:r w:rsidR="001038EB" w:rsidRPr="00492807">
        <w:rPr>
          <w:rFonts w:eastAsia="Calibri"/>
          <w:b/>
        </w:rPr>
        <w:t>Further strengthen awareness-raising and education programmes,</w:t>
      </w:r>
      <w:r w:rsidR="0094219F">
        <w:rPr>
          <w:rFonts w:eastAsia="Calibri"/>
          <w:b/>
        </w:rPr>
        <w:t xml:space="preserve"> </w:t>
      </w:r>
      <w:r w:rsidR="001038EB" w:rsidRPr="00492807">
        <w:rPr>
          <w:rFonts w:eastAsia="Calibri"/>
          <w:b/>
        </w:rPr>
        <w:t xml:space="preserve">including campaigns, with the involvement of children and encourage community-based programmes aimed at preventing and tackling domestic violence, child abuse and neglect, including by involving former victims, volunteers and community members and providing </w:t>
      </w:r>
      <w:r w:rsidR="00C428E6">
        <w:rPr>
          <w:rFonts w:eastAsia="Calibri"/>
          <w:b/>
        </w:rPr>
        <w:t xml:space="preserve">them with </w:t>
      </w:r>
      <w:r w:rsidR="001038EB" w:rsidRPr="00492807">
        <w:rPr>
          <w:rFonts w:eastAsia="Calibri"/>
          <w:b/>
        </w:rPr>
        <w:t>training support.</w:t>
      </w:r>
    </w:p>
    <w:p w:rsidR="001038EB" w:rsidRPr="00492807" w:rsidRDefault="001038EB" w:rsidP="00492807">
      <w:pPr>
        <w:pStyle w:val="H23G"/>
      </w:pPr>
      <w:r w:rsidRPr="00492807">
        <w:lastRenderedPageBreak/>
        <w:tab/>
      </w:r>
      <w:r w:rsidRPr="00492807">
        <w:tab/>
        <w:t>Sexual exploitation and abuse</w:t>
      </w:r>
    </w:p>
    <w:p w:rsidR="001038EB" w:rsidRPr="00B335E5" w:rsidRDefault="00113BF1" w:rsidP="00344165">
      <w:pPr>
        <w:pStyle w:val="SingleTxtG"/>
        <w:rPr>
          <w:i/>
          <w:lang w:eastAsia="en-GB"/>
        </w:rPr>
      </w:pPr>
      <w:r w:rsidRPr="00B335E5">
        <w:rPr>
          <w:iCs/>
          <w:lang w:eastAsia="en-GB"/>
        </w:rPr>
        <w:t>45.</w:t>
      </w:r>
      <w:r w:rsidRPr="00B335E5">
        <w:rPr>
          <w:iCs/>
          <w:lang w:eastAsia="en-GB"/>
        </w:rPr>
        <w:tab/>
      </w:r>
      <w:r w:rsidR="001038EB">
        <w:rPr>
          <w:lang w:eastAsia="en-GB"/>
        </w:rPr>
        <w:t>T</w:t>
      </w:r>
      <w:r w:rsidR="001038EB" w:rsidRPr="00344165">
        <w:rPr>
          <w:spacing w:val="2"/>
          <w:lang w:eastAsia="en-GB"/>
        </w:rPr>
        <w:t xml:space="preserve">he Committee welcomes the establishment of the Inter-Institutional Commission </w:t>
      </w:r>
      <w:r w:rsidR="00995D55" w:rsidRPr="00344165">
        <w:rPr>
          <w:spacing w:val="2"/>
          <w:lang w:eastAsia="en-GB"/>
        </w:rPr>
        <w:t>to Combat Commercial and</w:t>
      </w:r>
      <w:r w:rsidR="001038EB" w:rsidRPr="00344165">
        <w:rPr>
          <w:spacing w:val="2"/>
          <w:lang w:eastAsia="en-GB"/>
        </w:rPr>
        <w:t xml:space="preserve"> Sexual Exploitation and Trafficking in Persons and the creation of special units within the </w:t>
      </w:r>
      <w:r w:rsidR="008003F1" w:rsidRPr="00344165">
        <w:rPr>
          <w:spacing w:val="2"/>
          <w:lang w:eastAsia="en-GB"/>
        </w:rPr>
        <w:t>p</w:t>
      </w:r>
      <w:r w:rsidR="001038EB" w:rsidRPr="00344165">
        <w:rPr>
          <w:spacing w:val="2"/>
          <w:lang w:eastAsia="en-GB"/>
        </w:rPr>
        <w:t xml:space="preserve">olice and the Public </w:t>
      </w:r>
      <w:r w:rsidR="00995D55" w:rsidRPr="00344165">
        <w:rPr>
          <w:spacing w:val="2"/>
          <w:lang w:eastAsia="en-GB"/>
        </w:rPr>
        <w:t>Prosecution Service</w:t>
      </w:r>
      <w:r w:rsidR="001038EB" w:rsidRPr="00344165">
        <w:rPr>
          <w:spacing w:val="2"/>
          <w:lang w:eastAsia="en-GB"/>
        </w:rPr>
        <w:t xml:space="preserve"> to investigate and prosecute such offen</w:t>
      </w:r>
      <w:r w:rsidR="00FC5697" w:rsidRPr="00344165">
        <w:rPr>
          <w:spacing w:val="2"/>
          <w:lang w:eastAsia="en-GB"/>
        </w:rPr>
        <w:t>c</w:t>
      </w:r>
      <w:r w:rsidR="001038EB" w:rsidRPr="00344165">
        <w:rPr>
          <w:spacing w:val="2"/>
          <w:lang w:eastAsia="en-GB"/>
        </w:rPr>
        <w:t>es. However, the Committee remains concerned about</w:t>
      </w:r>
      <w:r w:rsidR="00A459F2" w:rsidRPr="00344165">
        <w:rPr>
          <w:spacing w:val="2"/>
          <w:lang w:eastAsia="en-GB"/>
        </w:rPr>
        <w:t>:</w:t>
      </w:r>
    </w:p>
    <w:p w:rsidR="001038EB" w:rsidRPr="00B335E5" w:rsidRDefault="00492807" w:rsidP="00113BF1">
      <w:pPr>
        <w:pStyle w:val="SingleTxtG"/>
        <w:ind w:firstLine="567"/>
        <w:rPr>
          <w:i/>
          <w:lang w:eastAsia="en-GB"/>
        </w:rPr>
      </w:pPr>
      <w:r>
        <w:rPr>
          <w:lang w:eastAsia="en-GB"/>
        </w:rPr>
        <w:t>(a)</w:t>
      </w:r>
      <w:r>
        <w:rPr>
          <w:lang w:eastAsia="en-GB"/>
        </w:rPr>
        <w:tab/>
      </w:r>
      <w:r w:rsidR="001038EB">
        <w:rPr>
          <w:lang w:eastAsia="en-GB"/>
        </w:rPr>
        <w:t xml:space="preserve">The lack of detailed information regarding the number of investigations, prosecutions and </w:t>
      </w:r>
      <w:r w:rsidR="00C963D6">
        <w:rPr>
          <w:lang w:eastAsia="en-GB"/>
        </w:rPr>
        <w:t>judgements</w:t>
      </w:r>
      <w:r w:rsidR="001038EB">
        <w:rPr>
          <w:lang w:eastAsia="en-GB"/>
        </w:rPr>
        <w:t xml:space="preserve">; </w:t>
      </w:r>
    </w:p>
    <w:p w:rsidR="001038EB" w:rsidRPr="00B335E5" w:rsidRDefault="00492807" w:rsidP="00113BF1">
      <w:pPr>
        <w:pStyle w:val="SingleTxtG"/>
        <w:ind w:firstLine="567"/>
        <w:rPr>
          <w:i/>
          <w:lang w:eastAsia="en-GB"/>
        </w:rPr>
      </w:pPr>
      <w:r>
        <w:rPr>
          <w:lang w:eastAsia="en-GB"/>
        </w:rPr>
        <w:t>(b)</w:t>
      </w:r>
      <w:r>
        <w:rPr>
          <w:lang w:eastAsia="en-GB"/>
        </w:rPr>
        <w:tab/>
      </w:r>
      <w:r w:rsidR="001038EB">
        <w:rPr>
          <w:lang w:eastAsia="en-GB"/>
        </w:rPr>
        <w:t>The lack of coordination among government mechanisms;</w:t>
      </w:r>
    </w:p>
    <w:p w:rsidR="001038EB" w:rsidRPr="00B335E5" w:rsidRDefault="00492807" w:rsidP="00113BF1">
      <w:pPr>
        <w:pStyle w:val="SingleTxtG"/>
        <w:ind w:firstLine="567"/>
        <w:rPr>
          <w:i/>
          <w:lang w:eastAsia="en-GB"/>
        </w:rPr>
      </w:pPr>
      <w:r>
        <w:rPr>
          <w:lang w:eastAsia="en-GB"/>
        </w:rPr>
        <w:t>(c)</w:t>
      </w:r>
      <w:r>
        <w:rPr>
          <w:lang w:eastAsia="en-GB"/>
        </w:rPr>
        <w:tab/>
      </w:r>
      <w:r w:rsidR="001038EB">
        <w:rPr>
          <w:lang w:eastAsia="en-GB"/>
        </w:rPr>
        <w:t xml:space="preserve">The lack of psychosocial support, rehabilitation and reintegration for child victims; </w:t>
      </w:r>
    </w:p>
    <w:p w:rsidR="001038EB" w:rsidRPr="00D02FE9" w:rsidRDefault="00492807" w:rsidP="00113BF1">
      <w:pPr>
        <w:pStyle w:val="SingleTxtG"/>
        <w:ind w:firstLine="567"/>
        <w:rPr>
          <w:i/>
          <w:lang w:eastAsia="en-GB"/>
        </w:rPr>
      </w:pPr>
      <w:r>
        <w:rPr>
          <w:lang w:eastAsia="en-GB"/>
        </w:rPr>
        <w:t>(d)</w:t>
      </w:r>
      <w:r>
        <w:rPr>
          <w:lang w:eastAsia="en-GB"/>
        </w:rPr>
        <w:tab/>
      </w:r>
      <w:r w:rsidR="001038EB">
        <w:rPr>
          <w:lang w:eastAsia="en-GB"/>
        </w:rPr>
        <w:t>The lack of preventive and protective measures targeting children at special risk, namely children in street situations, indigenous children and child domestic workers</w:t>
      </w:r>
      <w:r w:rsidR="00FC5697">
        <w:rPr>
          <w:lang w:eastAsia="en-GB"/>
        </w:rPr>
        <w:t>,</w:t>
      </w:r>
      <w:r w:rsidR="001038EB">
        <w:rPr>
          <w:lang w:eastAsia="en-GB"/>
        </w:rPr>
        <w:t xml:space="preserve"> in particular girls.</w:t>
      </w:r>
      <w:r w:rsidR="0094219F">
        <w:rPr>
          <w:lang w:eastAsia="en-GB"/>
        </w:rPr>
        <w:t xml:space="preserve"> </w:t>
      </w:r>
    </w:p>
    <w:p w:rsidR="001038EB" w:rsidRPr="00492807" w:rsidRDefault="00113BF1" w:rsidP="00344165">
      <w:pPr>
        <w:pStyle w:val="SingleTxtG"/>
        <w:rPr>
          <w:b/>
        </w:rPr>
      </w:pPr>
      <w:r w:rsidRPr="00492807">
        <w:rPr>
          <w:iCs/>
        </w:rPr>
        <w:t>46.</w:t>
      </w:r>
      <w:r w:rsidRPr="00492807">
        <w:rPr>
          <w:iCs/>
        </w:rPr>
        <w:tab/>
      </w:r>
      <w:r w:rsidR="001038EB" w:rsidRPr="00492807">
        <w:rPr>
          <w:b/>
        </w:rPr>
        <w:t>The Committee recommends that the State party:</w:t>
      </w:r>
    </w:p>
    <w:p w:rsidR="001038EB" w:rsidRPr="00492807" w:rsidRDefault="00492807" w:rsidP="00113BF1">
      <w:pPr>
        <w:pStyle w:val="SingleTxtG"/>
        <w:ind w:firstLine="567"/>
        <w:rPr>
          <w:b/>
        </w:rPr>
      </w:pPr>
      <w:r w:rsidRPr="00113BF1">
        <w:rPr>
          <w:bCs/>
        </w:rPr>
        <w:t>(a)</w:t>
      </w:r>
      <w:r w:rsidRPr="00492807">
        <w:rPr>
          <w:b/>
        </w:rPr>
        <w:tab/>
      </w:r>
      <w:r w:rsidR="001038EB" w:rsidRPr="00492807">
        <w:rPr>
          <w:b/>
        </w:rPr>
        <w:t xml:space="preserve">Establish mechanisms, procedures and guidelines to ensure </w:t>
      </w:r>
      <w:r w:rsidR="009556E6">
        <w:rPr>
          <w:b/>
        </w:rPr>
        <w:t xml:space="preserve">the </w:t>
      </w:r>
      <w:r w:rsidR="001038EB" w:rsidRPr="00492807">
        <w:rPr>
          <w:b/>
        </w:rPr>
        <w:t>mandatory reporting of all cases of child sexual abuse and exploitation</w:t>
      </w:r>
      <w:r w:rsidR="009556E6">
        <w:rPr>
          <w:b/>
        </w:rPr>
        <w:t>,</w:t>
      </w:r>
      <w:r w:rsidR="001038EB" w:rsidRPr="00492807">
        <w:rPr>
          <w:rFonts w:eastAsia="Malgun Gothic"/>
          <w:b/>
          <w:lang w:eastAsia="zh-CN"/>
        </w:rPr>
        <w:t xml:space="preserve"> and ensure accessible, confidential, child-friendly and effective reporting channels for such violations;</w:t>
      </w:r>
      <w:r w:rsidR="001038EB" w:rsidRPr="00492807">
        <w:rPr>
          <w:b/>
        </w:rPr>
        <w:t xml:space="preserve"> </w:t>
      </w:r>
    </w:p>
    <w:p w:rsidR="001038EB" w:rsidRPr="00492807" w:rsidRDefault="00492807" w:rsidP="00113BF1">
      <w:pPr>
        <w:pStyle w:val="SingleTxtG"/>
        <w:ind w:firstLine="567"/>
        <w:rPr>
          <w:b/>
        </w:rPr>
      </w:pPr>
      <w:r w:rsidRPr="00113BF1">
        <w:rPr>
          <w:bCs/>
        </w:rPr>
        <w:t>(b)</w:t>
      </w:r>
      <w:r w:rsidRPr="00492807">
        <w:rPr>
          <w:b/>
        </w:rPr>
        <w:tab/>
      </w:r>
      <w:r w:rsidR="001038EB" w:rsidRPr="00492807">
        <w:rPr>
          <w:b/>
        </w:rPr>
        <w:t xml:space="preserve">Effectively investigate and prosecute reported cases of sexual exploitation and abuse against children and issue appropriate sentences, and </w:t>
      </w:r>
      <w:r w:rsidR="007B3AA8">
        <w:rPr>
          <w:b/>
        </w:rPr>
        <w:t>provide information</w:t>
      </w:r>
      <w:r w:rsidR="007B3AA8" w:rsidRPr="00492807">
        <w:rPr>
          <w:b/>
        </w:rPr>
        <w:t xml:space="preserve"> </w:t>
      </w:r>
      <w:r w:rsidR="001038EB" w:rsidRPr="00492807">
        <w:rPr>
          <w:b/>
        </w:rPr>
        <w:t>on th</w:t>
      </w:r>
      <w:r w:rsidR="009556E6">
        <w:rPr>
          <w:b/>
        </w:rPr>
        <w:t>o</w:t>
      </w:r>
      <w:r w:rsidR="001038EB" w:rsidRPr="00492807">
        <w:rPr>
          <w:b/>
        </w:rPr>
        <w:t xml:space="preserve">se cases in its next report; </w:t>
      </w:r>
    </w:p>
    <w:p w:rsidR="001038EB" w:rsidRPr="00492807" w:rsidRDefault="00492807" w:rsidP="00113BF1">
      <w:pPr>
        <w:pStyle w:val="SingleTxtG"/>
        <w:ind w:firstLine="567"/>
        <w:rPr>
          <w:b/>
        </w:rPr>
      </w:pPr>
      <w:r w:rsidRPr="00113BF1">
        <w:rPr>
          <w:bCs/>
        </w:rPr>
        <w:t>(c)</w:t>
      </w:r>
      <w:r w:rsidRPr="00492807">
        <w:rPr>
          <w:b/>
        </w:rPr>
        <w:tab/>
      </w:r>
      <w:r w:rsidR="001038EB" w:rsidRPr="00492807">
        <w:rPr>
          <w:b/>
        </w:rPr>
        <w:t>Conduct awareness-</w:t>
      </w:r>
      <w:r w:rsidR="001038EB" w:rsidRPr="00492807">
        <w:rPr>
          <w:rFonts w:eastAsia="Malgun Gothic"/>
          <w:b/>
          <w:lang w:eastAsia="zh-CN"/>
        </w:rPr>
        <w:t>raising activities to combat the stigmatization of child victims of sexual exploitation and abuse;</w:t>
      </w:r>
    </w:p>
    <w:p w:rsidR="001038EB" w:rsidRPr="00492807" w:rsidRDefault="00492807" w:rsidP="00113BF1">
      <w:pPr>
        <w:pStyle w:val="SingleTxtG"/>
        <w:ind w:firstLine="567"/>
        <w:rPr>
          <w:b/>
        </w:rPr>
      </w:pPr>
      <w:r w:rsidRPr="00113BF1">
        <w:rPr>
          <w:bCs/>
        </w:rPr>
        <w:t>(d)</w:t>
      </w:r>
      <w:r w:rsidRPr="00492807">
        <w:rPr>
          <w:b/>
        </w:rPr>
        <w:tab/>
      </w:r>
      <w:r w:rsidR="001038EB" w:rsidRPr="00492807">
        <w:rPr>
          <w:b/>
        </w:rPr>
        <w:t>Proceed with the development of programmes and policies for prevention</w:t>
      </w:r>
      <w:r w:rsidR="007B3AA8">
        <w:rPr>
          <w:b/>
        </w:rPr>
        <w:t xml:space="preserve"> and for the</w:t>
      </w:r>
      <w:r w:rsidR="001038EB" w:rsidRPr="00492807">
        <w:rPr>
          <w:b/>
        </w:rPr>
        <w:t xml:space="preserve"> recovery and social reintegration of child victims, in accordance with the outcome documents adopted at the World Congresses against Commercial Sexual Exploitation of Children. </w:t>
      </w:r>
    </w:p>
    <w:p w:rsidR="001038EB" w:rsidRPr="00492807" w:rsidRDefault="00492807" w:rsidP="00492807">
      <w:pPr>
        <w:pStyle w:val="H23G"/>
        <w:rPr>
          <w:rFonts w:eastAsia="Calibri"/>
        </w:rPr>
      </w:pPr>
      <w:r>
        <w:rPr>
          <w:rFonts w:eastAsia="Calibri"/>
        </w:rPr>
        <w:tab/>
      </w:r>
      <w:r>
        <w:rPr>
          <w:rFonts w:eastAsia="Calibri"/>
        </w:rPr>
        <w:tab/>
      </w:r>
      <w:r w:rsidR="001038EB" w:rsidRPr="00492807">
        <w:rPr>
          <w:rFonts w:eastAsia="Calibri"/>
        </w:rPr>
        <w:t xml:space="preserve">Harmful </w:t>
      </w:r>
      <w:r w:rsidR="00C1334A">
        <w:rPr>
          <w:rFonts w:eastAsia="Calibri"/>
        </w:rPr>
        <w:t>p</w:t>
      </w:r>
      <w:r w:rsidR="001038EB" w:rsidRPr="00492807">
        <w:rPr>
          <w:rFonts w:eastAsia="Calibri"/>
        </w:rPr>
        <w:t>ractices</w:t>
      </w:r>
    </w:p>
    <w:p w:rsidR="001038EB" w:rsidRPr="00492807" w:rsidRDefault="00113BF1" w:rsidP="00344165">
      <w:pPr>
        <w:pStyle w:val="SingleTxtG"/>
        <w:rPr>
          <w:rFonts w:eastAsia="Malgun Gothic"/>
        </w:rPr>
      </w:pPr>
      <w:r w:rsidRPr="00492807">
        <w:rPr>
          <w:rFonts w:eastAsia="Malgun Gothic"/>
          <w:iCs/>
        </w:rPr>
        <w:t>47.</w:t>
      </w:r>
      <w:r w:rsidRPr="00492807">
        <w:rPr>
          <w:rFonts w:eastAsia="Malgun Gothic"/>
          <w:iCs/>
        </w:rPr>
        <w:tab/>
      </w:r>
      <w:r w:rsidR="001038EB" w:rsidRPr="00492807">
        <w:t>The</w:t>
      </w:r>
      <w:r w:rsidR="001038EB" w:rsidRPr="00492807">
        <w:rPr>
          <w:rFonts w:eastAsia="Malgun Gothic"/>
        </w:rPr>
        <w:t xml:space="preserve"> Committee is concerned about the high prevalence of child marriages, in particular among girls.</w:t>
      </w:r>
    </w:p>
    <w:p w:rsidR="001038EB" w:rsidRPr="00492807" w:rsidRDefault="00113BF1" w:rsidP="00344165">
      <w:pPr>
        <w:pStyle w:val="SingleTxtG"/>
        <w:rPr>
          <w:rFonts w:eastAsia="Malgun Gothic"/>
        </w:rPr>
      </w:pPr>
      <w:r w:rsidRPr="00492807">
        <w:rPr>
          <w:rFonts w:eastAsia="Malgun Gothic"/>
          <w:iCs/>
        </w:rPr>
        <w:t>48.</w:t>
      </w:r>
      <w:r w:rsidRPr="00492807">
        <w:rPr>
          <w:rFonts w:eastAsia="Malgun Gothic"/>
          <w:iCs/>
        </w:rPr>
        <w:tab/>
      </w:r>
      <w:r w:rsidR="001038EB" w:rsidRPr="00344165">
        <w:rPr>
          <w:rFonts w:eastAsia="Malgun Gothic"/>
          <w:b/>
          <w:spacing w:val="2"/>
        </w:rPr>
        <w:t xml:space="preserve">In the light of its </w:t>
      </w:r>
      <w:r w:rsidR="00C1334A" w:rsidRPr="00344165">
        <w:rPr>
          <w:rFonts w:eastAsia="Malgun Gothic"/>
          <w:b/>
          <w:spacing w:val="2"/>
        </w:rPr>
        <w:t>g</w:t>
      </w:r>
      <w:r w:rsidR="001038EB" w:rsidRPr="00344165">
        <w:rPr>
          <w:rFonts w:eastAsia="Malgun Gothic"/>
          <w:b/>
          <w:spacing w:val="2"/>
        </w:rPr>
        <w:t xml:space="preserve">eneral </w:t>
      </w:r>
      <w:r w:rsidR="00C1334A" w:rsidRPr="00344165">
        <w:rPr>
          <w:rFonts w:eastAsia="Malgun Gothic"/>
          <w:b/>
          <w:spacing w:val="2"/>
        </w:rPr>
        <w:t>c</w:t>
      </w:r>
      <w:r w:rsidR="001038EB" w:rsidRPr="00344165">
        <w:rPr>
          <w:rFonts w:eastAsia="Malgun Gothic"/>
          <w:b/>
          <w:spacing w:val="2"/>
        </w:rPr>
        <w:t>omment</w:t>
      </w:r>
      <w:r w:rsidR="008969E1" w:rsidRPr="00344165">
        <w:rPr>
          <w:rFonts w:eastAsia="Malgun Gothic"/>
          <w:b/>
          <w:spacing w:val="2"/>
        </w:rPr>
        <w:t xml:space="preserve"> No. </w:t>
      </w:r>
      <w:r w:rsidR="001038EB" w:rsidRPr="00344165">
        <w:rPr>
          <w:rFonts w:eastAsia="Malgun Gothic"/>
          <w:b/>
          <w:spacing w:val="2"/>
        </w:rPr>
        <w:t xml:space="preserve">18 </w:t>
      </w:r>
      <w:r w:rsidR="00C1334A" w:rsidRPr="00344165">
        <w:rPr>
          <w:rFonts w:eastAsia="Malgun Gothic"/>
          <w:b/>
          <w:spacing w:val="2"/>
        </w:rPr>
        <w:t xml:space="preserve">(2014) </w:t>
      </w:r>
      <w:r w:rsidR="001038EB" w:rsidRPr="00344165">
        <w:rPr>
          <w:rFonts w:eastAsia="Malgun Gothic"/>
          <w:b/>
          <w:spacing w:val="2"/>
        </w:rPr>
        <w:t xml:space="preserve">on harmful practices, adopted jointly with the Committee on the Elimination of Discrimination against Women, the Committee recommends that the State party take all measures </w:t>
      </w:r>
      <w:r w:rsidR="00727A21" w:rsidRPr="00344165">
        <w:rPr>
          <w:rFonts w:eastAsia="Malgun Gothic"/>
          <w:b/>
          <w:spacing w:val="2"/>
        </w:rPr>
        <w:t xml:space="preserve">necessary </w:t>
      </w:r>
      <w:r w:rsidR="001038EB" w:rsidRPr="00344165">
        <w:rPr>
          <w:rFonts w:eastAsia="Malgun Gothic"/>
          <w:b/>
          <w:spacing w:val="2"/>
        </w:rPr>
        <w:t>to enforce respect for the minimum age of marriage, for both girls and boys, which is set at 18 years. T</w:t>
      </w:r>
      <w:r w:rsidR="001038EB" w:rsidRPr="00344165">
        <w:rPr>
          <w:b/>
          <w:spacing w:val="2"/>
        </w:rPr>
        <w:t>he State party should also undertake comprehensive awareness-raising programmes on the negative consequences of child marriage on girls.</w:t>
      </w:r>
    </w:p>
    <w:p w:rsidR="001038EB" w:rsidRPr="00492807" w:rsidRDefault="00492807" w:rsidP="00492807">
      <w:pPr>
        <w:pStyle w:val="H23G"/>
        <w:rPr>
          <w:rFonts w:eastAsia="Calibri"/>
        </w:rPr>
      </w:pPr>
      <w:r>
        <w:rPr>
          <w:rFonts w:eastAsia="Calibri"/>
        </w:rPr>
        <w:tab/>
      </w:r>
      <w:r>
        <w:rPr>
          <w:rFonts w:eastAsia="Calibri"/>
        </w:rPr>
        <w:tab/>
      </w:r>
      <w:r w:rsidR="001038EB" w:rsidRPr="00492807">
        <w:rPr>
          <w:rFonts w:eastAsia="Calibri"/>
        </w:rPr>
        <w:t>Helplines</w:t>
      </w:r>
    </w:p>
    <w:p w:rsidR="001038EB" w:rsidRPr="00344165" w:rsidRDefault="00113BF1" w:rsidP="00344165">
      <w:pPr>
        <w:pStyle w:val="SingleTxtG"/>
      </w:pPr>
      <w:r w:rsidRPr="00344165">
        <w:rPr>
          <w:iCs/>
        </w:rPr>
        <w:t>49.</w:t>
      </w:r>
      <w:r w:rsidRPr="00344165">
        <w:rPr>
          <w:iCs/>
        </w:rPr>
        <w:tab/>
      </w:r>
      <w:r w:rsidR="001038EB" w:rsidRPr="00344165">
        <w:t>The Committee welcomes the creation and operation of a telephone helpline with the number 111 to receive complaints of cases of violence, abuse and ill-treatment of children and the referral of th</w:t>
      </w:r>
      <w:r w:rsidR="009556E6" w:rsidRPr="00344165">
        <w:t>o</w:t>
      </w:r>
      <w:r w:rsidR="001038EB" w:rsidRPr="00344165">
        <w:t>se to the Office of the</w:t>
      </w:r>
      <w:r w:rsidR="003C46DA" w:rsidRPr="00344165">
        <w:t xml:space="preserve"> Special</w:t>
      </w:r>
      <w:r w:rsidR="001038EB" w:rsidRPr="00344165">
        <w:t xml:space="preserve"> Prosecutor for Children in the Public Prosecution Service. The Committee is however concerned about the lack of official data on the complaints received and </w:t>
      </w:r>
      <w:r w:rsidR="00995D55" w:rsidRPr="00344165">
        <w:t xml:space="preserve">on the </w:t>
      </w:r>
      <w:r w:rsidR="001038EB" w:rsidRPr="00344165">
        <w:t xml:space="preserve">action taken </w:t>
      </w:r>
      <w:r w:rsidR="00995D55" w:rsidRPr="00344165">
        <w:t xml:space="preserve">in respect </w:t>
      </w:r>
      <w:r w:rsidR="001038EB" w:rsidRPr="00344165">
        <w:t>of</w:t>
      </w:r>
      <w:r w:rsidR="00C3052B" w:rsidRPr="00344165">
        <w:t xml:space="preserve"> those complaints</w:t>
      </w:r>
      <w:r w:rsidR="001038EB" w:rsidRPr="00344165">
        <w:t>.</w:t>
      </w:r>
      <w:r w:rsidR="0094219F" w:rsidRPr="00344165">
        <w:t xml:space="preserve"> </w:t>
      </w:r>
    </w:p>
    <w:p w:rsidR="001038EB" w:rsidRPr="00492807" w:rsidRDefault="00113BF1" w:rsidP="00344165">
      <w:pPr>
        <w:pStyle w:val="SingleTxtG"/>
        <w:rPr>
          <w:b/>
        </w:rPr>
      </w:pPr>
      <w:r w:rsidRPr="00492807">
        <w:rPr>
          <w:iCs/>
        </w:rPr>
        <w:lastRenderedPageBreak/>
        <w:t>50.</w:t>
      </w:r>
      <w:r w:rsidRPr="00492807">
        <w:rPr>
          <w:iCs/>
        </w:rPr>
        <w:tab/>
      </w:r>
      <w:r w:rsidR="001038EB" w:rsidRPr="00492807">
        <w:rPr>
          <w:b/>
        </w:rPr>
        <w:t>The Committee recommends that the State party:</w:t>
      </w:r>
    </w:p>
    <w:p w:rsidR="001038EB" w:rsidRPr="00492807" w:rsidRDefault="00492807" w:rsidP="00113BF1">
      <w:pPr>
        <w:pStyle w:val="SingleTxtG"/>
        <w:ind w:firstLine="567"/>
        <w:rPr>
          <w:b/>
        </w:rPr>
      </w:pPr>
      <w:r w:rsidRPr="00113BF1">
        <w:rPr>
          <w:bCs/>
        </w:rPr>
        <w:t>(a)</w:t>
      </w:r>
      <w:r w:rsidRPr="00113BF1">
        <w:rPr>
          <w:bCs/>
        </w:rPr>
        <w:tab/>
      </w:r>
      <w:r w:rsidR="001038EB" w:rsidRPr="00492807">
        <w:rPr>
          <w:b/>
        </w:rPr>
        <w:t>Ensure that the telephone helpline has national coverage</w:t>
      </w:r>
      <w:r w:rsidR="00777AB0">
        <w:rPr>
          <w:b/>
        </w:rPr>
        <w:t xml:space="preserve"> and</w:t>
      </w:r>
      <w:r w:rsidR="001038EB" w:rsidRPr="00492807">
        <w:rPr>
          <w:b/>
        </w:rPr>
        <w:t xml:space="preserve"> is accessible to children, </w:t>
      </w:r>
      <w:r w:rsidR="00777AB0">
        <w:rPr>
          <w:b/>
        </w:rPr>
        <w:t>and that the</w:t>
      </w:r>
      <w:r w:rsidR="001038EB" w:rsidRPr="00492807">
        <w:rPr>
          <w:b/>
        </w:rPr>
        <w:t xml:space="preserve"> staff is trained </w:t>
      </w:r>
      <w:r w:rsidR="00777AB0" w:rsidRPr="00777AB0">
        <w:rPr>
          <w:b/>
        </w:rPr>
        <w:t xml:space="preserve">adequately </w:t>
      </w:r>
      <w:r w:rsidR="001038EB" w:rsidRPr="00492807">
        <w:rPr>
          <w:b/>
        </w:rPr>
        <w:t>in child-sensitive procedures and in directing complaints to the relevant services;</w:t>
      </w:r>
    </w:p>
    <w:p w:rsidR="001038EB" w:rsidRPr="00492807" w:rsidRDefault="00492807" w:rsidP="00113BF1">
      <w:pPr>
        <w:pStyle w:val="SingleTxtG"/>
        <w:ind w:firstLine="567"/>
        <w:rPr>
          <w:b/>
        </w:rPr>
      </w:pPr>
      <w:r w:rsidRPr="00113BF1">
        <w:rPr>
          <w:bCs/>
        </w:rPr>
        <w:t>(b)</w:t>
      </w:r>
      <w:r w:rsidRPr="00492807">
        <w:rPr>
          <w:b/>
        </w:rPr>
        <w:tab/>
      </w:r>
      <w:r w:rsidR="001038EB" w:rsidRPr="00492807">
        <w:rPr>
          <w:b/>
        </w:rPr>
        <w:t>Collect information on the operations of the telephone helpline, namely</w:t>
      </w:r>
      <w:r w:rsidR="00777AB0">
        <w:rPr>
          <w:b/>
        </w:rPr>
        <w:t>,</w:t>
      </w:r>
      <w:r w:rsidR="001038EB" w:rsidRPr="00492807">
        <w:rPr>
          <w:b/>
        </w:rPr>
        <w:t xml:space="preserve"> on the number of cases </w:t>
      </w:r>
      <w:r w:rsidR="00C05CD7">
        <w:rPr>
          <w:b/>
        </w:rPr>
        <w:t>reported to the helpline</w:t>
      </w:r>
      <w:r w:rsidR="00777AB0">
        <w:rPr>
          <w:b/>
        </w:rPr>
        <w:t>,</w:t>
      </w:r>
      <w:r w:rsidR="001038EB" w:rsidRPr="00492807">
        <w:rPr>
          <w:b/>
        </w:rPr>
        <w:t xml:space="preserve"> disaggregated by age and sex of the victim, ethnic group, geographic location</w:t>
      </w:r>
      <w:r w:rsidR="00777AB0">
        <w:rPr>
          <w:b/>
        </w:rPr>
        <w:t xml:space="preserve"> and</w:t>
      </w:r>
      <w:r w:rsidR="001038EB" w:rsidRPr="00492807">
        <w:rPr>
          <w:b/>
        </w:rPr>
        <w:t xml:space="preserve"> socioeconomic background, and</w:t>
      </w:r>
      <w:r w:rsidR="00777AB0">
        <w:rPr>
          <w:b/>
        </w:rPr>
        <w:t xml:space="preserve"> on</w:t>
      </w:r>
      <w:r w:rsidR="001038EB" w:rsidRPr="00492807">
        <w:rPr>
          <w:b/>
        </w:rPr>
        <w:t xml:space="preserve"> </w:t>
      </w:r>
      <w:r w:rsidR="00C05CD7">
        <w:rPr>
          <w:b/>
        </w:rPr>
        <w:t xml:space="preserve">the </w:t>
      </w:r>
      <w:r w:rsidR="001038EB" w:rsidRPr="00492807">
        <w:rPr>
          <w:b/>
        </w:rPr>
        <w:t>measures taken to immediately provide protection to the victims and investigate th</w:t>
      </w:r>
      <w:r w:rsidR="00C05CD7">
        <w:rPr>
          <w:b/>
        </w:rPr>
        <w:t>e</w:t>
      </w:r>
      <w:r w:rsidR="001038EB" w:rsidRPr="00492807">
        <w:rPr>
          <w:b/>
        </w:rPr>
        <w:t xml:space="preserve"> cases. </w:t>
      </w:r>
    </w:p>
    <w:p w:rsidR="001038EB" w:rsidRPr="00492807" w:rsidRDefault="00492807" w:rsidP="00777AB0">
      <w:pPr>
        <w:pStyle w:val="H1G"/>
      </w:pPr>
      <w:r>
        <w:tab/>
        <w:t>E.</w:t>
      </w:r>
      <w:r>
        <w:tab/>
      </w:r>
      <w:r w:rsidR="001038EB" w:rsidRPr="00492807">
        <w:t>Family environment and alternative care (arts.</w:t>
      </w:r>
      <w:r w:rsidR="00E34889">
        <w:t> </w:t>
      </w:r>
      <w:r w:rsidR="001038EB" w:rsidRPr="00492807">
        <w:t>5, 9</w:t>
      </w:r>
      <w:r w:rsidR="00E34889">
        <w:t>–</w:t>
      </w:r>
      <w:r w:rsidR="001038EB" w:rsidRPr="00492807">
        <w:t>11, 18 (1</w:t>
      </w:r>
      <w:r w:rsidR="00777AB0">
        <w:t>)</w:t>
      </w:r>
      <w:r w:rsidR="001038EB" w:rsidRPr="00492807">
        <w:t xml:space="preserve"> and</w:t>
      </w:r>
      <w:r w:rsidR="00777AB0">
        <w:t> (</w:t>
      </w:r>
      <w:r w:rsidR="001038EB" w:rsidRPr="00492807">
        <w:t>2), 20</w:t>
      </w:r>
      <w:r w:rsidR="00E34889">
        <w:t>–</w:t>
      </w:r>
      <w:r w:rsidR="001038EB" w:rsidRPr="00492807">
        <w:t>21, 25 and 27 (4))</w:t>
      </w:r>
    </w:p>
    <w:p w:rsidR="001038EB" w:rsidRPr="00492807" w:rsidRDefault="001038EB" w:rsidP="00492807">
      <w:pPr>
        <w:pStyle w:val="H23G"/>
      </w:pPr>
      <w:r w:rsidRPr="00492807">
        <w:tab/>
      </w:r>
      <w:r w:rsidRPr="00492807">
        <w:tab/>
        <w:t>Family environment</w:t>
      </w:r>
    </w:p>
    <w:p w:rsidR="001038EB" w:rsidRPr="00492807" w:rsidRDefault="00113BF1" w:rsidP="00344165">
      <w:pPr>
        <w:pStyle w:val="SingleTxtG"/>
      </w:pPr>
      <w:r w:rsidRPr="00492807">
        <w:rPr>
          <w:iCs/>
        </w:rPr>
        <w:t>51.</w:t>
      </w:r>
      <w:r w:rsidRPr="00492807">
        <w:rPr>
          <w:iCs/>
        </w:rPr>
        <w:tab/>
      </w:r>
      <w:r w:rsidR="001038EB" w:rsidRPr="00492807">
        <w:t>The Committee welcomes the adoption of the Responsible Parenting Act, the Comprehensive Early Childhood Development Policy</w:t>
      </w:r>
      <w:r w:rsidR="004659B5">
        <w:t xml:space="preserve"> and</w:t>
      </w:r>
      <w:r w:rsidR="001038EB" w:rsidRPr="00492807">
        <w:t xml:space="preserve"> the Social Protection Policy and the creation of the </w:t>
      </w:r>
      <w:r w:rsidR="00825FC0">
        <w:t>n</w:t>
      </w:r>
      <w:r w:rsidR="001038EB" w:rsidRPr="00492807">
        <w:t xml:space="preserve">ational </w:t>
      </w:r>
      <w:r w:rsidR="00825FC0">
        <w:t>s</w:t>
      </w:r>
      <w:r w:rsidR="001038EB" w:rsidRPr="00492807">
        <w:t xml:space="preserve">ystem for the </w:t>
      </w:r>
      <w:r w:rsidR="00825FC0">
        <w:t>p</w:t>
      </w:r>
      <w:r w:rsidR="001038EB" w:rsidRPr="00492807">
        <w:t xml:space="preserve">rotection of </w:t>
      </w:r>
      <w:r w:rsidR="00825FC0">
        <w:t>c</w:t>
      </w:r>
      <w:r w:rsidR="001038EB" w:rsidRPr="00492807">
        <w:t>hildren</w:t>
      </w:r>
      <w:r w:rsidR="004659B5">
        <w:t>,</w:t>
      </w:r>
      <w:r w:rsidR="001038EB" w:rsidRPr="00492807">
        <w:t xml:space="preserve"> with a focus on the special protection of children in a position of vulnerability. However, it is concerned </w:t>
      </w:r>
      <w:r w:rsidR="00825FC0">
        <w:t>that</w:t>
      </w:r>
      <w:r w:rsidR="00825FC0" w:rsidRPr="00492807">
        <w:t xml:space="preserve"> </w:t>
      </w:r>
      <w:r w:rsidR="001038EB" w:rsidRPr="00492807">
        <w:t>the implementation of th</w:t>
      </w:r>
      <w:r w:rsidR="00825FC0">
        <w:t>o</w:t>
      </w:r>
      <w:r w:rsidR="001038EB" w:rsidRPr="00492807">
        <w:t xml:space="preserve">se </w:t>
      </w:r>
      <w:r w:rsidR="004659B5">
        <w:t>measures</w:t>
      </w:r>
      <w:r w:rsidR="00825FC0">
        <w:t xml:space="preserve"> has been ineffective</w:t>
      </w:r>
      <w:r w:rsidR="001038EB" w:rsidRPr="00492807">
        <w:t xml:space="preserve"> and</w:t>
      </w:r>
      <w:r w:rsidR="004659B5">
        <w:t>,</w:t>
      </w:r>
      <w:r w:rsidR="001038EB" w:rsidRPr="00492807">
        <w:t xml:space="preserve"> in particular</w:t>
      </w:r>
      <w:r w:rsidR="004659B5">
        <w:t>,</w:t>
      </w:r>
      <w:r w:rsidR="001038EB" w:rsidRPr="00492807">
        <w:t xml:space="preserve"> </w:t>
      </w:r>
      <w:r w:rsidR="00825FC0">
        <w:t xml:space="preserve">that </w:t>
      </w:r>
      <w:r w:rsidR="001038EB" w:rsidRPr="00492807">
        <w:t>the impact of social programmes in reducing poverty</w:t>
      </w:r>
      <w:r w:rsidR="00825FC0">
        <w:t xml:space="preserve"> has been limited,</w:t>
      </w:r>
      <w:r w:rsidR="001038EB" w:rsidRPr="00492807">
        <w:t xml:space="preserve"> notably in rural and indigenous areas. The Committee is also concerned that</w:t>
      </w:r>
      <w:r w:rsidR="00825FC0">
        <w:t xml:space="preserve"> the availability of</w:t>
      </w:r>
      <w:r w:rsidR="001038EB" w:rsidRPr="00492807">
        <w:t xml:space="preserve"> care services for children of working parents remain</w:t>
      </w:r>
      <w:r w:rsidR="00825FC0">
        <w:t>s</w:t>
      </w:r>
      <w:r w:rsidR="001038EB" w:rsidRPr="00492807">
        <w:t xml:space="preserve"> inadequate.</w:t>
      </w:r>
    </w:p>
    <w:p w:rsidR="001038EB" w:rsidRPr="00492807" w:rsidRDefault="00113BF1" w:rsidP="00344165">
      <w:pPr>
        <w:pStyle w:val="SingleTxtG"/>
      </w:pPr>
      <w:r w:rsidRPr="00492807">
        <w:rPr>
          <w:iCs/>
        </w:rPr>
        <w:t>52.</w:t>
      </w:r>
      <w:r w:rsidRPr="00492807">
        <w:rPr>
          <w:iCs/>
        </w:rPr>
        <w:tab/>
      </w:r>
      <w:r w:rsidR="001038EB" w:rsidRPr="00492807">
        <w:rPr>
          <w:b/>
        </w:rPr>
        <w:t>The Committee reiterates its recommendation (</w:t>
      </w:r>
      <w:r w:rsidR="00825FC0">
        <w:rPr>
          <w:b/>
        </w:rPr>
        <w:t xml:space="preserve">see </w:t>
      </w:r>
      <w:r w:rsidR="001038EB" w:rsidRPr="00492807">
        <w:rPr>
          <w:b/>
        </w:rPr>
        <w:t xml:space="preserve">CRC/C/HND/CO/3, </w:t>
      </w:r>
      <w:r w:rsidR="008969E1">
        <w:rPr>
          <w:b/>
        </w:rPr>
        <w:t>para. </w:t>
      </w:r>
      <w:r w:rsidR="001038EB" w:rsidRPr="00492807">
        <w:rPr>
          <w:b/>
        </w:rPr>
        <w:t xml:space="preserve">46) </w:t>
      </w:r>
      <w:r w:rsidR="00825FC0">
        <w:rPr>
          <w:b/>
        </w:rPr>
        <w:t>that</w:t>
      </w:r>
      <w:r w:rsidR="001038EB" w:rsidRPr="00492807">
        <w:rPr>
          <w:b/>
        </w:rPr>
        <w:t xml:space="preserve"> the State party provide appropriate assistance to parents in the performance of their child-rearing responsibilities, in particular to</w:t>
      </w:r>
      <w:r w:rsidR="00825FC0">
        <w:rPr>
          <w:b/>
        </w:rPr>
        <w:t xml:space="preserve"> meet</w:t>
      </w:r>
      <w:r w:rsidR="001038EB" w:rsidRPr="00492807">
        <w:rPr>
          <w:b/>
        </w:rPr>
        <w:t xml:space="preserve"> the needs of children in single-parent families, including access to childcare services and facilities. The Committee recommends that the State party monitor and evaluate the impact of poverty alleviation measures </w:t>
      </w:r>
      <w:r w:rsidR="00825FC0">
        <w:rPr>
          <w:b/>
        </w:rPr>
        <w:t>o</w:t>
      </w:r>
      <w:r w:rsidR="001038EB" w:rsidRPr="00492807">
        <w:rPr>
          <w:b/>
        </w:rPr>
        <w:t>n the welfare of children</w:t>
      </w:r>
      <w:r w:rsidR="001038EB" w:rsidRPr="00492807">
        <w:t xml:space="preserve">. </w:t>
      </w:r>
    </w:p>
    <w:p w:rsidR="001038EB" w:rsidRPr="00BE1BE2" w:rsidRDefault="00B62C5A" w:rsidP="00B62C5A">
      <w:pPr>
        <w:pStyle w:val="H23G"/>
      </w:pPr>
      <w:r>
        <w:tab/>
      </w:r>
      <w:r>
        <w:tab/>
      </w:r>
      <w:r w:rsidR="001038EB" w:rsidRPr="00E44538">
        <w:t>Children deprived of a family environment</w:t>
      </w:r>
      <w:r w:rsidR="001038EB" w:rsidRPr="00103CD4">
        <w:t xml:space="preserve"> </w:t>
      </w:r>
    </w:p>
    <w:p w:rsidR="001038EB" w:rsidRPr="00B62C5A" w:rsidRDefault="00113BF1" w:rsidP="00344165">
      <w:pPr>
        <w:pStyle w:val="SingleTxtG"/>
      </w:pPr>
      <w:r w:rsidRPr="00B62C5A">
        <w:rPr>
          <w:iCs/>
        </w:rPr>
        <w:t>53.</w:t>
      </w:r>
      <w:r w:rsidRPr="00B62C5A">
        <w:rPr>
          <w:iCs/>
        </w:rPr>
        <w:tab/>
      </w:r>
      <w:r w:rsidR="001038EB" w:rsidRPr="00B62C5A">
        <w:rPr>
          <w:rFonts w:eastAsia="Malgun Gothic"/>
        </w:rPr>
        <w:t xml:space="preserve">The Committee welcomes the </w:t>
      </w:r>
      <w:r w:rsidR="001038EB" w:rsidRPr="00034C53">
        <w:rPr>
          <w:rFonts w:eastAsia="Malgun Gothic"/>
        </w:rPr>
        <w:t xml:space="preserve">attention </w:t>
      </w:r>
      <w:r w:rsidR="000B7395" w:rsidRPr="00034C53">
        <w:rPr>
          <w:rFonts w:eastAsia="Malgun Gothic"/>
        </w:rPr>
        <w:t>paid</w:t>
      </w:r>
      <w:r w:rsidR="000B7395" w:rsidRPr="00B62C5A">
        <w:rPr>
          <w:rFonts w:eastAsia="Malgun Gothic"/>
        </w:rPr>
        <w:t xml:space="preserve"> </w:t>
      </w:r>
      <w:r w:rsidR="00034C53">
        <w:rPr>
          <w:rFonts w:eastAsia="Malgun Gothic"/>
        </w:rPr>
        <w:t>in</w:t>
      </w:r>
      <w:r w:rsidR="001038EB" w:rsidRPr="00B62C5A">
        <w:rPr>
          <w:rFonts w:eastAsia="Malgun Gothic"/>
        </w:rPr>
        <w:t xml:space="preserve"> the Social Protection Policy </w:t>
      </w:r>
      <w:r w:rsidR="001038EB" w:rsidRPr="00034C53">
        <w:rPr>
          <w:rFonts w:eastAsia="Malgun Gothic"/>
        </w:rPr>
        <w:t>to</w:t>
      </w:r>
      <w:r w:rsidR="001038EB" w:rsidRPr="00B62C5A">
        <w:rPr>
          <w:rFonts w:eastAsia="Malgun Gothic"/>
        </w:rPr>
        <w:t xml:space="preserve"> children </w:t>
      </w:r>
      <w:r w:rsidR="001038EB" w:rsidRPr="00B62C5A">
        <w:t xml:space="preserve">of parents who have been deprived of liberty and children deprived of a family environment. </w:t>
      </w:r>
      <w:r w:rsidR="00412AE0">
        <w:t>It</w:t>
      </w:r>
      <w:r w:rsidR="001038EB" w:rsidRPr="00B62C5A">
        <w:t xml:space="preserve"> remains concerned about the lack of detailed information on the situation of </w:t>
      </w:r>
      <w:r w:rsidR="000B7395">
        <w:t>such</w:t>
      </w:r>
      <w:r w:rsidR="000B7395" w:rsidRPr="00B62C5A">
        <w:t xml:space="preserve"> </w:t>
      </w:r>
      <w:r w:rsidR="001038EB" w:rsidRPr="00B62C5A">
        <w:t>children and the lack of independent supervision of their situation.</w:t>
      </w:r>
      <w:r w:rsidR="0094219F">
        <w:t xml:space="preserve"> </w:t>
      </w:r>
    </w:p>
    <w:p w:rsidR="001038EB" w:rsidRPr="00B62C5A" w:rsidRDefault="00113BF1" w:rsidP="00344165">
      <w:pPr>
        <w:pStyle w:val="SingleTxtG"/>
        <w:rPr>
          <w:b/>
        </w:rPr>
      </w:pPr>
      <w:r w:rsidRPr="00B62C5A">
        <w:rPr>
          <w:iCs/>
        </w:rPr>
        <w:t>54.</w:t>
      </w:r>
      <w:r w:rsidRPr="00B62C5A">
        <w:rPr>
          <w:iCs/>
        </w:rPr>
        <w:tab/>
      </w:r>
      <w:r w:rsidR="001038EB" w:rsidRPr="00B62C5A">
        <w:rPr>
          <w:b/>
        </w:rPr>
        <w:t>The Committee recommends that the State party take into account the Guidelines for the Alternative Care of Children and</w:t>
      </w:r>
      <w:r w:rsidR="000B7395">
        <w:rPr>
          <w:b/>
        </w:rPr>
        <w:t xml:space="preserve"> that it,</w:t>
      </w:r>
      <w:r w:rsidR="001038EB" w:rsidRPr="00B62C5A">
        <w:rPr>
          <w:b/>
        </w:rPr>
        <w:t xml:space="preserve"> in particular: </w:t>
      </w:r>
    </w:p>
    <w:p w:rsidR="001038EB" w:rsidRPr="00B62C5A" w:rsidRDefault="00B62C5A" w:rsidP="00113BF1">
      <w:pPr>
        <w:pStyle w:val="SingleTxtG"/>
        <w:ind w:firstLine="567"/>
        <w:rPr>
          <w:b/>
        </w:rPr>
      </w:pPr>
      <w:r w:rsidRPr="00113BF1">
        <w:rPr>
          <w:bCs/>
        </w:rPr>
        <w:t>(a)</w:t>
      </w:r>
      <w:r>
        <w:rPr>
          <w:b/>
        </w:rPr>
        <w:tab/>
      </w:r>
      <w:r w:rsidR="001038EB" w:rsidRPr="00B62C5A">
        <w:rPr>
          <w:b/>
        </w:rPr>
        <w:t>E</w:t>
      </w:r>
      <w:r w:rsidR="001038EB" w:rsidRPr="00B62C5A">
        <w:rPr>
          <w:rFonts w:eastAsia="Calibri"/>
          <w:b/>
        </w:rPr>
        <w:t>nsure periodic review of the placement of children in foster care and institutions;</w:t>
      </w:r>
    </w:p>
    <w:p w:rsidR="001038EB" w:rsidRPr="00B62C5A" w:rsidRDefault="00B62C5A" w:rsidP="00113BF1">
      <w:pPr>
        <w:pStyle w:val="SingleTxtG"/>
        <w:ind w:firstLine="567"/>
        <w:rPr>
          <w:b/>
        </w:rPr>
      </w:pPr>
      <w:r w:rsidRPr="00113BF1">
        <w:rPr>
          <w:rFonts w:eastAsia="Calibri"/>
          <w:bCs/>
        </w:rPr>
        <w:t>(b)</w:t>
      </w:r>
      <w:r>
        <w:rPr>
          <w:rFonts w:eastAsia="Calibri"/>
          <w:b/>
        </w:rPr>
        <w:tab/>
      </w:r>
      <w:r w:rsidR="001038EB" w:rsidRPr="00B62C5A">
        <w:rPr>
          <w:rFonts w:eastAsia="Calibri"/>
          <w:b/>
        </w:rPr>
        <w:t xml:space="preserve">Monitor the quality of care therein, including by providing accessible channels for reporting, monitoring and remedying maltreatment of children; </w:t>
      </w:r>
    </w:p>
    <w:p w:rsidR="001038EB" w:rsidRPr="00B62C5A" w:rsidRDefault="00B62C5A" w:rsidP="00113BF1">
      <w:pPr>
        <w:pStyle w:val="SingleTxtG"/>
        <w:ind w:firstLine="567"/>
        <w:rPr>
          <w:b/>
        </w:rPr>
      </w:pPr>
      <w:r w:rsidRPr="00113BF1">
        <w:rPr>
          <w:rFonts w:eastAsia="Calibri"/>
          <w:bCs/>
        </w:rPr>
        <w:t>(c)</w:t>
      </w:r>
      <w:r>
        <w:rPr>
          <w:rFonts w:eastAsia="Calibri"/>
          <w:b/>
        </w:rPr>
        <w:tab/>
      </w:r>
      <w:r w:rsidR="001038EB" w:rsidRPr="00B62C5A">
        <w:rPr>
          <w:rFonts w:eastAsia="Calibri"/>
          <w:b/>
        </w:rPr>
        <w:t>Review the locations where children</w:t>
      </w:r>
      <w:r w:rsidR="000B7395">
        <w:rPr>
          <w:rFonts w:eastAsia="Calibri"/>
          <w:b/>
        </w:rPr>
        <w:t xml:space="preserve">, </w:t>
      </w:r>
      <w:r w:rsidR="000B7395" w:rsidRPr="000B7395">
        <w:rPr>
          <w:rFonts w:eastAsia="Calibri"/>
          <w:b/>
        </w:rPr>
        <w:t xml:space="preserve">in particular </w:t>
      </w:r>
      <w:r w:rsidR="000B7395">
        <w:rPr>
          <w:rFonts w:eastAsia="Calibri"/>
          <w:b/>
        </w:rPr>
        <w:t>those</w:t>
      </w:r>
      <w:r w:rsidR="000B7395" w:rsidRPr="000B7395">
        <w:rPr>
          <w:rFonts w:eastAsia="Calibri"/>
          <w:b/>
        </w:rPr>
        <w:t xml:space="preserve"> from indigenous or ethnic groups</w:t>
      </w:r>
      <w:r w:rsidR="000B7395">
        <w:rPr>
          <w:rFonts w:eastAsia="Calibri"/>
          <w:b/>
        </w:rPr>
        <w:t>,</w:t>
      </w:r>
      <w:r w:rsidR="001038EB" w:rsidRPr="00B62C5A">
        <w:rPr>
          <w:rFonts w:eastAsia="Calibri"/>
          <w:b/>
        </w:rPr>
        <w:t xml:space="preserve"> are institutionali</w:t>
      </w:r>
      <w:r w:rsidR="000B7395">
        <w:rPr>
          <w:rFonts w:eastAsia="Calibri"/>
          <w:b/>
        </w:rPr>
        <w:t>z</w:t>
      </w:r>
      <w:r w:rsidR="001038EB" w:rsidRPr="00B62C5A">
        <w:rPr>
          <w:rFonts w:eastAsia="Calibri"/>
          <w:b/>
        </w:rPr>
        <w:t>ed</w:t>
      </w:r>
      <w:r w:rsidR="00412AE0">
        <w:rPr>
          <w:rFonts w:eastAsia="Calibri"/>
          <w:b/>
        </w:rPr>
        <w:t>, in order</w:t>
      </w:r>
      <w:r w:rsidR="001038EB" w:rsidRPr="00B62C5A">
        <w:rPr>
          <w:rFonts w:eastAsia="Calibri"/>
          <w:b/>
        </w:rPr>
        <w:t xml:space="preserve"> to prevent the</w:t>
      </w:r>
      <w:r w:rsidR="00412AE0">
        <w:rPr>
          <w:rFonts w:eastAsia="Calibri"/>
          <w:b/>
        </w:rPr>
        <w:t>m from being</w:t>
      </w:r>
      <w:r w:rsidR="001038EB" w:rsidRPr="00B62C5A">
        <w:rPr>
          <w:rFonts w:eastAsia="Calibri"/>
          <w:b/>
        </w:rPr>
        <w:t xml:space="preserve"> uproot</w:t>
      </w:r>
      <w:r w:rsidR="00412AE0">
        <w:rPr>
          <w:rFonts w:eastAsia="Calibri"/>
          <w:b/>
        </w:rPr>
        <w:t>ed</w:t>
      </w:r>
      <w:r w:rsidR="001038EB" w:rsidRPr="00B62C5A">
        <w:rPr>
          <w:rFonts w:eastAsia="Calibri"/>
          <w:b/>
        </w:rPr>
        <w:t xml:space="preserve"> from families and communities</w:t>
      </w:r>
      <w:r w:rsidR="001038EB" w:rsidRPr="00B62C5A">
        <w:rPr>
          <w:b/>
        </w:rPr>
        <w:t>;</w:t>
      </w:r>
    </w:p>
    <w:p w:rsidR="001038EB" w:rsidRPr="00B62C5A" w:rsidRDefault="00B62C5A" w:rsidP="00113BF1">
      <w:pPr>
        <w:pStyle w:val="SingleTxtG"/>
        <w:ind w:firstLine="567"/>
        <w:rPr>
          <w:b/>
        </w:rPr>
      </w:pPr>
      <w:r w:rsidRPr="00113BF1">
        <w:rPr>
          <w:rFonts w:eastAsia="Calibri"/>
          <w:bCs/>
        </w:rPr>
        <w:t>(d)</w:t>
      </w:r>
      <w:r>
        <w:rPr>
          <w:rFonts w:eastAsia="Calibri"/>
          <w:b/>
        </w:rPr>
        <w:tab/>
      </w:r>
      <w:r w:rsidR="001038EB" w:rsidRPr="00B62C5A">
        <w:rPr>
          <w:rFonts w:eastAsia="Calibri"/>
          <w:b/>
        </w:rPr>
        <w:t xml:space="preserve">Take all measures </w:t>
      </w:r>
      <w:r w:rsidR="000B7395" w:rsidRPr="000B7395">
        <w:rPr>
          <w:rFonts w:eastAsia="Calibri"/>
          <w:b/>
        </w:rPr>
        <w:t xml:space="preserve">necessary </w:t>
      </w:r>
      <w:r w:rsidR="001038EB" w:rsidRPr="00B62C5A">
        <w:rPr>
          <w:rFonts w:eastAsia="Calibri"/>
          <w:b/>
        </w:rPr>
        <w:t>to facilitate and promote the deinstitutionali</w:t>
      </w:r>
      <w:r w:rsidR="000B7395">
        <w:rPr>
          <w:rFonts w:eastAsia="Calibri"/>
          <w:b/>
        </w:rPr>
        <w:t>z</w:t>
      </w:r>
      <w:r w:rsidR="001038EB" w:rsidRPr="00B62C5A">
        <w:rPr>
          <w:rFonts w:eastAsia="Calibri"/>
          <w:b/>
        </w:rPr>
        <w:t>ation of children.</w:t>
      </w:r>
    </w:p>
    <w:p w:rsidR="001038EB" w:rsidRPr="00B62C5A" w:rsidRDefault="00113BF1" w:rsidP="00344165">
      <w:pPr>
        <w:pStyle w:val="SingleTxtG"/>
      </w:pPr>
      <w:r w:rsidRPr="00B62C5A">
        <w:rPr>
          <w:iCs/>
        </w:rPr>
        <w:lastRenderedPageBreak/>
        <w:t>55.</w:t>
      </w:r>
      <w:r w:rsidRPr="00B62C5A">
        <w:rPr>
          <w:iCs/>
        </w:rPr>
        <w:tab/>
      </w:r>
      <w:r w:rsidR="001038EB" w:rsidRPr="00B62C5A">
        <w:t xml:space="preserve">The Committee is concerned about the lack of information on the state of emergency declared in 2012 for the </w:t>
      </w:r>
      <w:r w:rsidR="00C20CDA">
        <w:t>c</w:t>
      </w:r>
      <w:r w:rsidR="001038EB" w:rsidRPr="00B62C5A">
        <w:t xml:space="preserve">omprehensive </w:t>
      </w:r>
      <w:r w:rsidR="00C20CDA">
        <w:t>c</w:t>
      </w:r>
      <w:r w:rsidR="001038EB" w:rsidRPr="00B62C5A">
        <w:t>hild</w:t>
      </w:r>
      <w:r w:rsidR="00C20CDA">
        <w:t>c</w:t>
      </w:r>
      <w:r w:rsidR="001038EB" w:rsidRPr="00B62C5A">
        <w:t xml:space="preserve">are </w:t>
      </w:r>
      <w:r w:rsidR="00C20CDA">
        <w:t>c</w:t>
      </w:r>
      <w:r w:rsidR="001038EB" w:rsidRPr="00B62C5A">
        <w:t xml:space="preserve">entres administered by the Honduran Institute for Children and the Family and its impact on children in alternative care. </w:t>
      </w:r>
    </w:p>
    <w:p w:rsidR="001038EB" w:rsidRPr="00B62C5A" w:rsidRDefault="00113BF1" w:rsidP="00344165">
      <w:pPr>
        <w:pStyle w:val="SingleTxtG"/>
      </w:pPr>
      <w:r w:rsidRPr="00B62C5A">
        <w:rPr>
          <w:iCs/>
        </w:rPr>
        <w:t>56.</w:t>
      </w:r>
      <w:r w:rsidRPr="00B62C5A">
        <w:rPr>
          <w:iCs/>
        </w:rPr>
        <w:tab/>
      </w:r>
      <w:r w:rsidR="001038EB" w:rsidRPr="00B62C5A">
        <w:rPr>
          <w:b/>
        </w:rPr>
        <w:t xml:space="preserve">The Committee requests the State party to provide information on the evaluation and reorganization of the </w:t>
      </w:r>
      <w:r w:rsidR="00C20CDA">
        <w:rPr>
          <w:b/>
        </w:rPr>
        <w:t>c</w:t>
      </w:r>
      <w:r w:rsidR="001038EB" w:rsidRPr="00B62C5A">
        <w:rPr>
          <w:b/>
        </w:rPr>
        <w:t xml:space="preserve">omprehensive </w:t>
      </w:r>
      <w:r w:rsidR="00C20CDA">
        <w:rPr>
          <w:b/>
        </w:rPr>
        <w:t>c</w:t>
      </w:r>
      <w:r w:rsidR="001038EB" w:rsidRPr="00B62C5A">
        <w:rPr>
          <w:b/>
        </w:rPr>
        <w:t>hild</w:t>
      </w:r>
      <w:r w:rsidR="00C20CDA">
        <w:rPr>
          <w:b/>
        </w:rPr>
        <w:t>c</w:t>
      </w:r>
      <w:r w:rsidR="001038EB" w:rsidRPr="00B62C5A">
        <w:rPr>
          <w:b/>
        </w:rPr>
        <w:t xml:space="preserve">are </w:t>
      </w:r>
      <w:r w:rsidR="00C20CDA">
        <w:rPr>
          <w:b/>
        </w:rPr>
        <w:t>c</w:t>
      </w:r>
      <w:r w:rsidR="001038EB" w:rsidRPr="00B62C5A">
        <w:rPr>
          <w:b/>
        </w:rPr>
        <w:t>entres.</w:t>
      </w:r>
      <w:r w:rsidR="001038EB" w:rsidRPr="00B62C5A">
        <w:t xml:space="preserve"> </w:t>
      </w:r>
    </w:p>
    <w:p w:rsidR="001038EB" w:rsidRPr="00B62C5A" w:rsidRDefault="001038EB" w:rsidP="00B62C5A">
      <w:pPr>
        <w:pStyle w:val="H23G"/>
        <w:rPr>
          <w:rFonts w:eastAsia="Malgun Gothic"/>
        </w:rPr>
      </w:pPr>
      <w:r w:rsidRPr="00B62C5A">
        <w:rPr>
          <w:rFonts w:eastAsia="Malgun Gothic"/>
        </w:rPr>
        <w:tab/>
      </w:r>
      <w:r w:rsidRPr="00B62C5A">
        <w:rPr>
          <w:rFonts w:eastAsia="Malgun Gothic"/>
        </w:rPr>
        <w:tab/>
        <w:t>Adoption</w:t>
      </w:r>
    </w:p>
    <w:p w:rsidR="001038EB" w:rsidRPr="006B0030" w:rsidRDefault="00113BF1" w:rsidP="00344165">
      <w:pPr>
        <w:pStyle w:val="SingleTxtG"/>
      </w:pPr>
      <w:r w:rsidRPr="006B0030">
        <w:rPr>
          <w:iCs/>
        </w:rPr>
        <w:t>57.</w:t>
      </w:r>
      <w:r w:rsidRPr="006B0030">
        <w:rPr>
          <w:iCs/>
        </w:rPr>
        <w:tab/>
      </w:r>
      <w:r w:rsidR="001038EB" w:rsidRPr="00B62C5A">
        <w:rPr>
          <w:b/>
        </w:rPr>
        <w:t>The Committee recommends that the State party expedite the approval of the Special Law on Adoptions and consider ratifying the Convention</w:t>
      </w:r>
      <w:r w:rsidR="008969E1">
        <w:rPr>
          <w:b/>
        </w:rPr>
        <w:t xml:space="preserve"> </w:t>
      </w:r>
      <w:r w:rsidR="001038EB" w:rsidRPr="00B62C5A">
        <w:rPr>
          <w:b/>
        </w:rPr>
        <w:t xml:space="preserve">on Protection of Children and Cooperation in </w:t>
      </w:r>
      <w:r w:rsidR="006C3622">
        <w:rPr>
          <w:b/>
        </w:rPr>
        <w:t>r</w:t>
      </w:r>
      <w:r w:rsidR="001038EB" w:rsidRPr="00B62C5A">
        <w:rPr>
          <w:b/>
        </w:rPr>
        <w:t>espect of Intercountry Adoption.</w:t>
      </w:r>
    </w:p>
    <w:p w:rsidR="001038EB" w:rsidRPr="00B62C5A" w:rsidRDefault="00B62C5A" w:rsidP="00E17AC0">
      <w:pPr>
        <w:pStyle w:val="H1G"/>
      </w:pPr>
      <w:r>
        <w:tab/>
        <w:t>F.</w:t>
      </w:r>
      <w:r>
        <w:tab/>
      </w:r>
      <w:r w:rsidR="001038EB" w:rsidRPr="00B62C5A">
        <w:t>Disability, basic health and welfare (arts. 6, 18 (3), 23</w:t>
      </w:r>
      <w:r w:rsidR="008E71FC">
        <w:t>–</w:t>
      </w:r>
      <w:r w:rsidR="001038EB" w:rsidRPr="00B62C5A">
        <w:t>24, 26</w:t>
      </w:r>
      <w:r w:rsidR="008E71FC">
        <w:t>–</w:t>
      </w:r>
      <w:r w:rsidR="001038EB" w:rsidRPr="00B62C5A">
        <w:t>27 (1</w:t>
      </w:r>
      <w:r w:rsidR="00E17AC0">
        <w:t>)</w:t>
      </w:r>
      <w:r w:rsidR="00E34889">
        <w:t>–</w:t>
      </w:r>
      <w:r w:rsidR="00E17AC0">
        <w:t>(</w:t>
      </w:r>
      <w:r w:rsidR="001038EB" w:rsidRPr="00B62C5A">
        <w:t>3) and 33)</w:t>
      </w:r>
    </w:p>
    <w:p w:rsidR="001038EB" w:rsidRPr="00B62C5A" w:rsidRDefault="001038EB" w:rsidP="00B62C5A">
      <w:pPr>
        <w:pStyle w:val="H23G"/>
      </w:pPr>
      <w:r w:rsidRPr="00B62C5A">
        <w:tab/>
      </w:r>
      <w:r w:rsidRPr="00B62C5A">
        <w:tab/>
        <w:t>Children with disabilities</w:t>
      </w:r>
      <w:r w:rsidR="0094219F">
        <w:t xml:space="preserve"> </w:t>
      </w:r>
    </w:p>
    <w:p w:rsidR="001038EB" w:rsidRPr="00B62C5A" w:rsidRDefault="00113BF1" w:rsidP="00344165">
      <w:pPr>
        <w:pStyle w:val="SingleTxtG"/>
      </w:pPr>
      <w:r w:rsidRPr="00B62C5A">
        <w:rPr>
          <w:iCs/>
        </w:rPr>
        <w:t>58.</w:t>
      </w:r>
      <w:r w:rsidRPr="00B62C5A">
        <w:rPr>
          <w:iCs/>
        </w:rPr>
        <w:tab/>
      </w:r>
      <w:r w:rsidR="001038EB" w:rsidRPr="00B62C5A">
        <w:t xml:space="preserve">The Committee welcomes the adoption of the Public Policy for the Exercise of </w:t>
      </w:r>
      <w:r w:rsidR="003E6217">
        <w:t xml:space="preserve">the </w:t>
      </w:r>
      <w:r w:rsidR="001038EB" w:rsidRPr="00B62C5A">
        <w:t xml:space="preserve">Rights of Persons with Disabilities and their Social Inclusion in Honduras, and the prioritization of inclusive education in the Educational Goals </w:t>
      </w:r>
      <w:r w:rsidR="007566D9">
        <w:t xml:space="preserve">for </w:t>
      </w:r>
      <w:r w:rsidR="001038EB" w:rsidRPr="00B62C5A">
        <w:t xml:space="preserve">2021. It is however concerned that almost half of children with disabilities are deprived of education. The Committee is also concerned that </w:t>
      </w:r>
      <w:r w:rsidR="007566D9">
        <w:t>although</w:t>
      </w:r>
      <w:r w:rsidR="001038EB" w:rsidRPr="00B62C5A">
        <w:t xml:space="preserve"> the State party</w:t>
      </w:r>
      <w:r w:rsidR="0076129F">
        <w:t xml:space="preserve"> </w:t>
      </w:r>
      <w:r w:rsidR="001038EB" w:rsidRPr="00B62C5A">
        <w:t>over</w:t>
      </w:r>
      <w:r w:rsidR="0076129F">
        <w:t xml:space="preserve">ly </w:t>
      </w:r>
      <w:r w:rsidR="001038EB" w:rsidRPr="00B62C5A">
        <w:t>rel</w:t>
      </w:r>
      <w:r w:rsidR="007566D9">
        <w:t>ies</w:t>
      </w:r>
      <w:r w:rsidR="001038EB" w:rsidRPr="00B62C5A">
        <w:t xml:space="preserve"> on non-governmental organi</w:t>
      </w:r>
      <w:r w:rsidR="007566D9">
        <w:t>z</w:t>
      </w:r>
      <w:r w:rsidR="001038EB" w:rsidRPr="00B62C5A">
        <w:t>ations to ensure the rights of children with disabilities, there has been a decrease in resources provided to th</w:t>
      </w:r>
      <w:r w:rsidR="007566D9">
        <w:t>o</w:t>
      </w:r>
      <w:r w:rsidR="001038EB" w:rsidRPr="00B62C5A">
        <w:t>se organi</w:t>
      </w:r>
      <w:r w:rsidR="007566D9">
        <w:t>z</w:t>
      </w:r>
      <w:r w:rsidR="001038EB" w:rsidRPr="00B62C5A">
        <w:t xml:space="preserve">ations. It is further concerned </w:t>
      </w:r>
      <w:r w:rsidR="007566D9">
        <w:t>about</w:t>
      </w:r>
      <w:r w:rsidR="007566D9" w:rsidRPr="00B62C5A">
        <w:t xml:space="preserve"> </w:t>
      </w:r>
      <w:r w:rsidR="001038EB" w:rsidRPr="00B62C5A">
        <w:t xml:space="preserve">the possible negative impact of the decision to merge the Directorate </w:t>
      </w:r>
      <w:r w:rsidR="007566D9">
        <w:t>for</w:t>
      </w:r>
      <w:r w:rsidR="001038EB" w:rsidRPr="00B62C5A">
        <w:t xml:space="preserve"> People with Disabilities with the Directorate </w:t>
      </w:r>
      <w:r w:rsidR="007566D9">
        <w:t>for</w:t>
      </w:r>
      <w:r w:rsidR="001038EB" w:rsidRPr="00B62C5A">
        <w:t xml:space="preserve"> Senior Citizens. </w:t>
      </w:r>
    </w:p>
    <w:p w:rsidR="001038EB" w:rsidRPr="00B62C5A" w:rsidRDefault="00113BF1" w:rsidP="00344165">
      <w:pPr>
        <w:pStyle w:val="SingleTxtG"/>
        <w:rPr>
          <w:b/>
        </w:rPr>
      </w:pPr>
      <w:r w:rsidRPr="00B62C5A">
        <w:rPr>
          <w:iCs/>
        </w:rPr>
        <w:t>59.</w:t>
      </w:r>
      <w:r w:rsidRPr="00B62C5A">
        <w:rPr>
          <w:iCs/>
        </w:rPr>
        <w:tab/>
      </w:r>
      <w:r w:rsidR="001038EB" w:rsidRPr="00B62C5A">
        <w:rPr>
          <w:b/>
        </w:rPr>
        <w:t xml:space="preserve">Taking into account its </w:t>
      </w:r>
      <w:r w:rsidR="007566D9">
        <w:rPr>
          <w:b/>
        </w:rPr>
        <w:t>g</w:t>
      </w:r>
      <w:r w:rsidR="001038EB" w:rsidRPr="00B62C5A">
        <w:rPr>
          <w:b/>
        </w:rPr>
        <w:t xml:space="preserve">eneral </w:t>
      </w:r>
      <w:r w:rsidR="007566D9">
        <w:rPr>
          <w:b/>
        </w:rPr>
        <w:t>c</w:t>
      </w:r>
      <w:r w:rsidR="001038EB" w:rsidRPr="00B62C5A">
        <w:rPr>
          <w:b/>
        </w:rPr>
        <w:t>omment</w:t>
      </w:r>
      <w:r w:rsidR="008969E1">
        <w:rPr>
          <w:b/>
        </w:rPr>
        <w:t xml:space="preserve"> No. </w:t>
      </w:r>
      <w:r w:rsidR="001038EB" w:rsidRPr="00B62C5A">
        <w:rPr>
          <w:b/>
        </w:rPr>
        <w:t>9 (2006)</w:t>
      </w:r>
      <w:r w:rsidR="007566D9">
        <w:rPr>
          <w:b/>
        </w:rPr>
        <w:t xml:space="preserve"> on the rights of children with disabilities</w:t>
      </w:r>
      <w:r w:rsidR="001038EB" w:rsidRPr="00B62C5A">
        <w:rPr>
          <w:b/>
        </w:rPr>
        <w:t>, the Committee recommends that the State party:</w:t>
      </w:r>
    </w:p>
    <w:p w:rsidR="001038EB" w:rsidRPr="00B62C5A" w:rsidRDefault="00B62C5A" w:rsidP="00113BF1">
      <w:pPr>
        <w:pStyle w:val="SingleTxtG"/>
        <w:ind w:firstLine="567"/>
        <w:rPr>
          <w:b/>
        </w:rPr>
      </w:pPr>
      <w:r w:rsidRPr="00113BF1">
        <w:rPr>
          <w:bCs/>
        </w:rPr>
        <w:t>(a)</w:t>
      </w:r>
      <w:r w:rsidRPr="00113BF1">
        <w:rPr>
          <w:bCs/>
        </w:rPr>
        <w:tab/>
      </w:r>
      <w:r w:rsidR="001038EB" w:rsidRPr="00B62C5A">
        <w:rPr>
          <w:b/>
        </w:rPr>
        <w:t>Take urgent measures to ensure that all children with disabilities are effectively enrolled in mainstream schools;</w:t>
      </w:r>
    </w:p>
    <w:p w:rsidR="001038EB" w:rsidRPr="00B62C5A" w:rsidRDefault="00B62C5A" w:rsidP="00113BF1">
      <w:pPr>
        <w:pStyle w:val="SingleTxtG"/>
        <w:ind w:firstLine="567"/>
        <w:rPr>
          <w:rStyle w:val="Strong"/>
        </w:rPr>
      </w:pPr>
      <w:r w:rsidRPr="00113BF1">
        <w:rPr>
          <w:rStyle w:val="Strong"/>
          <w:b w:val="0"/>
          <w:bCs/>
        </w:rPr>
        <w:t>(b)</w:t>
      </w:r>
      <w:r w:rsidRPr="00B62C5A">
        <w:rPr>
          <w:rStyle w:val="Strong"/>
        </w:rPr>
        <w:tab/>
      </w:r>
      <w:r w:rsidR="001038EB" w:rsidRPr="00B62C5A">
        <w:rPr>
          <w:rStyle w:val="Strong"/>
        </w:rPr>
        <w:t>Set up comprehensive measures to develop inclusive education and ensure that inclusive education is given priority over the placement of children in specialized institutions and classes;</w:t>
      </w:r>
    </w:p>
    <w:p w:rsidR="001038EB" w:rsidRPr="00B62C5A" w:rsidRDefault="00B62C5A" w:rsidP="00113BF1">
      <w:pPr>
        <w:pStyle w:val="SingleTxtG"/>
        <w:ind w:firstLine="567"/>
        <w:rPr>
          <w:b/>
        </w:rPr>
      </w:pPr>
      <w:r w:rsidRPr="00113BF1">
        <w:t>(c)</w:t>
      </w:r>
      <w:r w:rsidRPr="00B62C5A">
        <w:rPr>
          <w:b/>
          <w:bCs/>
        </w:rPr>
        <w:tab/>
      </w:r>
      <w:r w:rsidR="001038EB" w:rsidRPr="00B658B2">
        <w:rPr>
          <w:b/>
          <w:bCs/>
        </w:rPr>
        <w:t xml:space="preserve">Train specialized teachers and professionals in inclusive </w:t>
      </w:r>
      <w:r w:rsidR="00A832DC">
        <w:rPr>
          <w:b/>
          <w:bCs/>
        </w:rPr>
        <w:t>education and assign them to inclusive classes</w:t>
      </w:r>
      <w:r w:rsidR="00A832DC" w:rsidRPr="00B658B2">
        <w:rPr>
          <w:b/>
          <w:bCs/>
        </w:rPr>
        <w:t xml:space="preserve"> </w:t>
      </w:r>
      <w:r w:rsidR="001038EB" w:rsidRPr="00B658B2">
        <w:rPr>
          <w:b/>
          <w:bCs/>
        </w:rPr>
        <w:t>providing individual support and all due attention to children with disabilities;</w:t>
      </w:r>
      <w:r w:rsidR="00941511">
        <w:rPr>
          <w:b/>
          <w:bCs/>
        </w:rPr>
        <w:t xml:space="preserve"> </w:t>
      </w:r>
    </w:p>
    <w:p w:rsidR="001038EB" w:rsidRPr="00B62C5A" w:rsidRDefault="00B62C5A" w:rsidP="00113BF1">
      <w:pPr>
        <w:pStyle w:val="SingleTxtG"/>
        <w:ind w:firstLine="567"/>
        <w:rPr>
          <w:b/>
        </w:rPr>
      </w:pPr>
      <w:r w:rsidRPr="00113BF1">
        <w:rPr>
          <w:bCs/>
        </w:rPr>
        <w:t>(d)</w:t>
      </w:r>
      <w:r w:rsidRPr="00113BF1">
        <w:rPr>
          <w:bCs/>
        </w:rPr>
        <w:tab/>
      </w:r>
      <w:r w:rsidR="0076129F">
        <w:rPr>
          <w:b/>
        </w:rPr>
        <w:t>R</w:t>
      </w:r>
      <w:r w:rsidR="001038EB" w:rsidRPr="00B62C5A">
        <w:rPr>
          <w:b/>
        </w:rPr>
        <w:t xml:space="preserve">eview the situation of children enrolled in the special education system with a view to </w:t>
      </w:r>
      <w:r w:rsidR="00232DF9" w:rsidRPr="00B62C5A">
        <w:rPr>
          <w:b/>
        </w:rPr>
        <w:t>in</w:t>
      </w:r>
      <w:r w:rsidR="00232DF9">
        <w:rPr>
          <w:b/>
        </w:rPr>
        <w:t>tegrating</w:t>
      </w:r>
      <w:r w:rsidR="00232DF9" w:rsidRPr="00B62C5A">
        <w:rPr>
          <w:b/>
        </w:rPr>
        <w:t xml:space="preserve"> </w:t>
      </w:r>
      <w:r w:rsidR="001038EB" w:rsidRPr="00B62C5A">
        <w:rPr>
          <w:b/>
        </w:rPr>
        <w:t>them into the mainstream education system as soon as possible;</w:t>
      </w:r>
      <w:r w:rsidR="0094219F">
        <w:rPr>
          <w:b/>
        </w:rPr>
        <w:t xml:space="preserve"> </w:t>
      </w:r>
    </w:p>
    <w:p w:rsidR="001038EB" w:rsidRPr="00B62C5A" w:rsidRDefault="00B62C5A" w:rsidP="00113BF1">
      <w:pPr>
        <w:pStyle w:val="SingleTxtG"/>
        <w:ind w:firstLine="567"/>
        <w:rPr>
          <w:b/>
        </w:rPr>
      </w:pPr>
      <w:r w:rsidRPr="00113BF1">
        <w:rPr>
          <w:bCs/>
        </w:rPr>
        <w:t>(e)</w:t>
      </w:r>
      <w:r w:rsidRPr="00B62C5A">
        <w:rPr>
          <w:b/>
        </w:rPr>
        <w:tab/>
      </w:r>
      <w:r w:rsidR="001038EB" w:rsidRPr="00B62C5A">
        <w:rPr>
          <w:b/>
        </w:rPr>
        <w:t xml:space="preserve">Increase the resources allocated to organizations that provide services </w:t>
      </w:r>
      <w:r w:rsidR="00232DF9">
        <w:rPr>
          <w:b/>
        </w:rPr>
        <w:t>for</w:t>
      </w:r>
      <w:r w:rsidR="001038EB" w:rsidRPr="00B62C5A">
        <w:rPr>
          <w:b/>
        </w:rPr>
        <w:t xml:space="preserve"> children with disabilities;</w:t>
      </w:r>
    </w:p>
    <w:p w:rsidR="001038EB" w:rsidRPr="00B62C5A" w:rsidRDefault="00B62C5A" w:rsidP="00113BF1">
      <w:pPr>
        <w:pStyle w:val="SingleTxtG"/>
        <w:ind w:firstLine="567"/>
        <w:rPr>
          <w:b/>
        </w:rPr>
      </w:pPr>
      <w:r w:rsidRPr="00113BF1">
        <w:rPr>
          <w:bCs/>
        </w:rPr>
        <w:t>(f)</w:t>
      </w:r>
      <w:r w:rsidRPr="00113BF1">
        <w:rPr>
          <w:bCs/>
        </w:rPr>
        <w:tab/>
      </w:r>
      <w:r w:rsidR="001038EB" w:rsidRPr="00B62C5A">
        <w:rPr>
          <w:b/>
        </w:rPr>
        <w:t xml:space="preserve">Monitor and assess the impact of the new </w:t>
      </w:r>
      <w:r w:rsidR="00232DF9">
        <w:rPr>
          <w:b/>
        </w:rPr>
        <w:t>d</w:t>
      </w:r>
      <w:r w:rsidR="001038EB" w:rsidRPr="00B62C5A">
        <w:rPr>
          <w:b/>
        </w:rPr>
        <w:t>irectorate on the protection of the rights of children with disabilities.</w:t>
      </w:r>
    </w:p>
    <w:p w:rsidR="001038EB" w:rsidRPr="00B62C5A" w:rsidRDefault="001038EB" w:rsidP="00B62C5A">
      <w:pPr>
        <w:pStyle w:val="H23G"/>
        <w:rPr>
          <w:rFonts w:eastAsia="Malgun Gothic"/>
        </w:rPr>
      </w:pPr>
      <w:r w:rsidRPr="00B62C5A">
        <w:rPr>
          <w:rFonts w:eastAsia="Malgun Gothic"/>
        </w:rPr>
        <w:tab/>
      </w:r>
      <w:r w:rsidRPr="00B62C5A">
        <w:rPr>
          <w:rFonts w:eastAsia="Malgun Gothic"/>
        </w:rPr>
        <w:tab/>
        <w:t>Health, health services and breastfeeding</w:t>
      </w:r>
    </w:p>
    <w:p w:rsidR="001038EB" w:rsidRPr="00B62C5A" w:rsidRDefault="00113BF1" w:rsidP="00344165">
      <w:pPr>
        <w:pStyle w:val="SingleTxtG"/>
      </w:pPr>
      <w:r w:rsidRPr="00B62C5A">
        <w:rPr>
          <w:iCs/>
        </w:rPr>
        <w:t>60.</w:t>
      </w:r>
      <w:r w:rsidRPr="00B62C5A">
        <w:rPr>
          <w:iCs/>
        </w:rPr>
        <w:tab/>
      </w:r>
      <w:r w:rsidR="001038EB" w:rsidRPr="00B62C5A">
        <w:t xml:space="preserve">The Committee welcomes the decline </w:t>
      </w:r>
      <w:r w:rsidR="00F047A5">
        <w:t>in</w:t>
      </w:r>
      <w:r w:rsidR="001038EB" w:rsidRPr="00B62C5A">
        <w:t xml:space="preserve"> infant and </w:t>
      </w:r>
      <w:r w:rsidR="001038EB" w:rsidRPr="00F047A5">
        <w:t>under-</w:t>
      </w:r>
      <w:r w:rsidR="00F047A5">
        <w:t>five</w:t>
      </w:r>
      <w:r w:rsidR="001038EB" w:rsidRPr="00B62C5A">
        <w:t xml:space="preserve"> mortality </w:t>
      </w:r>
      <w:r w:rsidR="00F047A5">
        <w:t xml:space="preserve">rates </w:t>
      </w:r>
      <w:r w:rsidR="001038EB" w:rsidRPr="00B62C5A">
        <w:t>and the adoption of the Breastfeeding Law</w:t>
      </w:r>
      <w:r w:rsidR="0076129F">
        <w:t>,</w:t>
      </w:r>
      <w:r w:rsidR="001038EB" w:rsidRPr="00B62C5A">
        <w:t xml:space="preserve"> but is concerned about the delay in adopting a primary</w:t>
      </w:r>
      <w:r w:rsidR="00F047A5">
        <w:t>-</w:t>
      </w:r>
      <w:r w:rsidR="001038EB" w:rsidRPr="00B62C5A">
        <w:t xml:space="preserve">health-care strategy and the limitations imposed on the </w:t>
      </w:r>
      <w:r w:rsidR="00F047A5">
        <w:t>e</w:t>
      </w:r>
      <w:r w:rsidR="001038EB" w:rsidRPr="00B62C5A">
        <w:t xml:space="preserve">xpanded </w:t>
      </w:r>
      <w:r w:rsidR="00F047A5">
        <w:t>p</w:t>
      </w:r>
      <w:r w:rsidR="001038EB" w:rsidRPr="00B62C5A">
        <w:t xml:space="preserve">rogramme of </w:t>
      </w:r>
      <w:r w:rsidR="00F047A5">
        <w:t>i</w:t>
      </w:r>
      <w:r w:rsidR="001038EB" w:rsidRPr="00B62C5A">
        <w:t xml:space="preserve">mmunization. </w:t>
      </w:r>
    </w:p>
    <w:p w:rsidR="001038EB" w:rsidRPr="00B62C5A" w:rsidRDefault="00113BF1" w:rsidP="00344165">
      <w:pPr>
        <w:pStyle w:val="SingleTxtG"/>
        <w:rPr>
          <w:b/>
        </w:rPr>
      </w:pPr>
      <w:r w:rsidRPr="00B62C5A">
        <w:rPr>
          <w:iCs/>
        </w:rPr>
        <w:lastRenderedPageBreak/>
        <w:t>61.</w:t>
      </w:r>
      <w:r w:rsidRPr="00B62C5A">
        <w:rPr>
          <w:iCs/>
        </w:rPr>
        <w:tab/>
      </w:r>
      <w:r w:rsidR="001038EB" w:rsidRPr="00B62C5A">
        <w:rPr>
          <w:b/>
        </w:rPr>
        <w:t xml:space="preserve">The Committee draws the State party’s attention to its </w:t>
      </w:r>
      <w:r w:rsidR="00F047A5">
        <w:rPr>
          <w:b/>
        </w:rPr>
        <w:t>g</w:t>
      </w:r>
      <w:r w:rsidR="001038EB" w:rsidRPr="00B62C5A">
        <w:rPr>
          <w:b/>
        </w:rPr>
        <w:t xml:space="preserve">eneral </w:t>
      </w:r>
      <w:r w:rsidR="00F047A5">
        <w:rPr>
          <w:b/>
        </w:rPr>
        <w:t>c</w:t>
      </w:r>
      <w:r w:rsidR="001038EB" w:rsidRPr="00B62C5A">
        <w:rPr>
          <w:b/>
        </w:rPr>
        <w:t>omment</w:t>
      </w:r>
      <w:r w:rsidR="008969E1">
        <w:rPr>
          <w:b/>
        </w:rPr>
        <w:t xml:space="preserve"> No. </w:t>
      </w:r>
      <w:r w:rsidR="001038EB" w:rsidRPr="00B62C5A">
        <w:rPr>
          <w:b/>
        </w:rPr>
        <w:t xml:space="preserve">15 (2013) on the right of the child to the enjoyment of the highest attainable standard of health, and recommends that the State party: </w:t>
      </w:r>
    </w:p>
    <w:p w:rsidR="001038EB" w:rsidRPr="00B62C5A" w:rsidRDefault="00B62C5A" w:rsidP="00113BF1">
      <w:pPr>
        <w:pStyle w:val="SingleTxtG"/>
        <w:ind w:firstLine="567"/>
        <w:rPr>
          <w:b/>
        </w:rPr>
      </w:pPr>
      <w:r w:rsidRPr="00113BF1">
        <w:rPr>
          <w:bCs/>
        </w:rPr>
        <w:t>(a)</w:t>
      </w:r>
      <w:r w:rsidRPr="00B62C5A">
        <w:rPr>
          <w:b/>
        </w:rPr>
        <w:tab/>
      </w:r>
      <w:r w:rsidR="001038EB" w:rsidRPr="00B62C5A">
        <w:rPr>
          <w:b/>
        </w:rPr>
        <w:t>Progress in the adoption of a primary-health</w:t>
      </w:r>
      <w:r w:rsidR="00F047A5">
        <w:rPr>
          <w:b/>
        </w:rPr>
        <w:t>-</w:t>
      </w:r>
      <w:r w:rsidR="001038EB" w:rsidRPr="00B62C5A">
        <w:rPr>
          <w:b/>
        </w:rPr>
        <w:t xml:space="preserve">care strategy; </w:t>
      </w:r>
    </w:p>
    <w:p w:rsidR="001038EB" w:rsidRPr="00B62C5A" w:rsidRDefault="00B62C5A" w:rsidP="00113BF1">
      <w:pPr>
        <w:pStyle w:val="SingleTxtG"/>
        <w:ind w:firstLine="567"/>
        <w:rPr>
          <w:b/>
        </w:rPr>
      </w:pPr>
      <w:r w:rsidRPr="00113BF1">
        <w:rPr>
          <w:bCs/>
        </w:rPr>
        <w:t>(b)</w:t>
      </w:r>
      <w:r w:rsidRPr="00B62C5A">
        <w:rPr>
          <w:b/>
        </w:rPr>
        <w:tab/>
      </w:r>
      <w:r w:rsidR="001038EB" w:rsidRPr="00B62C5A">
        <w:rPr>
          <w:b/>
        </w:rPr>
        <w:t xml:space="preserve">Allocate adequate human, technical and financial resources to the immunization programme; </w:t>
      </w:r>
    </w:p>
    <w:p w:rsidR="001038EB" w:rsidRPr="00B62C5A" w:rsidRDefault="00B62C5A" w:rsidP="00113BF1">
      <w:pPr>
        <w:pStyle w:val="SingleTxtG"/>
        <w:ind w:firstLine="567"/>
        <w:rPr>
          <w:b/>
        </w:rPr>
      </w:pPr>
      <w:r w:rsidRPr="00113BF1">
        <w:rPr>
          <w:bCs/>
        </w:rPr>
        <w:t>(c)</w:t>
      </w:r>
      <w:r w:rsidRPr="00B62C5A">
        <w:rPr>
          <w:b/>
        </w:rPr>
        <w:tab/>
      </w:r>
      <w:r w:rsidR="001038EB" w:rsidRPr="00B62C5A">
        <w:rPr>
          <w:b/>
        </w:rPr>
        <w:t xml:space="preserve">Improve </w:t>
      </w:r>
      <w:r w:rsidR="00F047A5">
        <w:rPr>
          <w:b/>
        </w:rPr>
        <w:t xml:space="preserve">the </w:t>
      </w:r>
      <w:r w:rsidR="001038EB" w:rsidRPr="00B62C5A">
        <w:rPr>
          <w:b/>
        </w:rPr>
        <w:t>coverage and quality of services</w:t>
      </w:r>
      <w:r w:rsidR="00F047A5">
        <w:rPr>
          <w:b/>
        </w:rPr>
        <w:t>,</w:t>
      </w:r>
      <w:r w:rsidR="001038EB" w:rsidRPr="00B62C5A">
        <w:rPr>
          <w:b/>
        </w:rPr>
        <w:t xml:space="preserve"> </w:t>
      </w:r>
      <w:r w:rsidR="00F047A5">
        <w:rPr>
          <w:b/>
        </w:rPr>
        <w:t>paying</w:t>
      </w:r>
      <w:r w:rsidR="00F047A5" w:rsidRPr="00B62C5A">
        <w:rPr>
          <w:b/>
        </w:rPr>
        <w:t xml:space="preserve"> </w:t>
      </w:r>
      <w:r w:rsidR="001038EB" w:rsidRPr="00B62C5A">
        <w:rPr>
          <w:b/>
        </w:rPr>
        <w:t xml:space="preserve">particular attention to rural and indigenous neglected populations. </w:t>
      </w:r>
    </w:p>
    <w:p w:rsidR="001038EB" w:rsidRPr="00DF7F81" w:rsidRDefault="001038EB" w:rsidP="00DF7F81">
      <w:pPr>
        <w:pStyle w:val="H23G"/>
      </w:pPr>
      <w:r w:rsidRPr="00DF7F81">
        <w:tab/>
      </w:r>
      <w:r w:rsidRPr="00DF7F81">
        <w:tab/>
        <w:t>Mental health and drug and substance abuse</w:t>
      </w:r>
    </w:p>
    <w:p w:rsidR="001038EB" w:rsidRDefault="00113BF1" w:rsidP="00344165">
      <w:pPr>
        <w:pStyle w:val="SingleTxtG"/>
      </w:pPr>
      <w:r>
        <w:rPr>
          <w:iCs/>
        </w:rPr>
        <w:t>62.</w:t>
      </w:r>
      <w:r>
        <w:rPr>
          <w:iCs/>
        </w:rPr>
        <w:tab/>
      </w:r>
      <w:r w:rsidR="001038EB">
        <w:t xml:space="preserve">The Committee remains concerned about the inadequate provision of mental health </w:t>
      </w:r>
      <w:r w:rsidR="001038EB" w:rsidRPr="004068A8">
        <w:t>services</w:t>
      </w:r>
      <w:r w:rsidR="001038EB">
        <w:t xml:space="preserve"> to children</w:t>
      </w:r>
      <w:r w:rsidR="001038EB" w:rsidRPr="004068A8">
        <w:t xml:space="preserve"> fighting drug</w:t>
      </w:r>
      <w:r w:rsidR="001038EB">
        <w:t>, alcohol and psychotropic</w:t>
      </w:r>
      <w:r w:rsidR="001038EB" w:rsidRPr="004068A8">
        <w:t xml:space="preserve"> addiction.</w:t>
      </w:r>
      <w:r w:rsidR="0094219F">
        <w:t xml:space="preserve"> </w:t>
      </w:r>
    </w:p>
    <w:p w:rsidR="001038EB" w:rsidRPr="004068A8" w:rsidRDefault="00113BF1" w:rsidP="00344165">
      <w:pPr>
        <w:pStyle w:val="SingleTxtG"/>
        <w:rPr>
          <w:b/>
        </w:rPr>
      </w:pPr>
      <w:r w:rsidRPr="004068A8">
        <w:rPr>
          <w:iCs/>
        </w:rPr>
        <w:t>63.</w:t>
      </w:r>
      <w:r w:rsidRPr="004068A8">
        <w:rPr>
          <w:iCs/>
        </w:rPr>
        <w:tab/>
      </w:r>
      <w:r w:rsidR="00AB0022">
        <w:rPr>
          <w:b/>
        </w:rPr>
        <w:t>Recalling its previous concluding observations</w:t>
      </w:r>
      <w:r w:rsidR="001038EB" w:rsidRPr="00DF7F81">
        <w:rPr>
          <w:b/>
        </w:rPr>
        <w:t xml:space="preserve"> (</w:t>
      </w:r>
      <w:r w:rsidR="00F047A5">
        <w:rPr>
          <w:b/>
        </w:rPr>
        <w:t xml:space="preserve">see </w:t>
      </w:r>
      <w:r w:rsidR="001038EB" w:rsidRPr="00DF7F81">
        <w:rPr>
          <w:b/>
        </w:rPr>
        <w:t>CRC/C/HND/CO/3</w:t>
      </w:r>
      <w:r w:rsidR="00F047A5">
        <w:rPr>
          <w:b/>
        </w:rPr>
        <w:t>,</w:t>
      </w:r>
      <w:r w:rsidR="001038EB" w:rsidRPr="00DF7F81">
        <w:rPr>
          <w:b/>
        </w:rPr>
        <w:t xml:space="preserve"> </w:t>
      </w:r>
      <w:r w:rsidR="008969E1">
        <w:rPr>
          <w:b/>
        </w:rPr>
        <w:t>para. </w:t>
      </w:r>
      <w:r w:rsidR="001038EB" w:rsidRPr="00DF7F81">
        <w:rPr>
          <w:b/>
        </w:rPr>
        <w:t>61 (b))</w:t>
      </w:r>
      <w:r w:rsidR="00AB0022">
        <w:rPr>
          <w:b/>
        </w:rPr>
        <w:t>,</w:t>
      </w:r>
      <w:r w:rsidR="001038EB" w:rsidRPr="00DF7F81">
        <w:rPr>
          <w:b/>
        </w:rPr>
        <w:t xml:space="preserve"> </w:t>
      </w:r>
      <w:r w:rsidR="00AB0022">
        <w:rPr>
          <w:b/>
        </w:rPr>
        <w:t xml:space="preserve">the Committee recommends </w:t>
      </w:r>
      <w:r w:rsidR="00F047A5">
        <w:rPr>
          <w:b/>
        </w:rPr>
        <w:t>that</w:t>
      </w:r>
      <w:r w:rsidR="001038EB" w:rsidRPr="00DF7F81">
        <w:rPr>
          <w:b/>
        </w:rPr>
        <w:t xml:space="preserve"> the State party provide adequate access to mental-health services for all children and develop specialized and youth-friendly drug-dependence treatment and harm reduction services for children and young people</w:t>
      </w:r>
      <w:r w:rsidR="001038EB" w:rsidRPr="004068A8">
        <w:t>.</w:t>
      </w:r>
      <w:r w:rsidR="001038EB" w:rsidRPr="004068A8">
        <w:rPr>
          <w:i/>
          <w:highlight w:val="yellow"/>
        </w:rPr>
        <w:t xml:space="preserve"> </w:t>
      </w:r>
    </w:p>
    <w:p w:rsidR="001038EB" w:rsidRPr="00DF7F81" w:rsidRDefault="001038EB" w:rsidP="00DF7F81">
      <w:pPr>
        <w:pStyle w:val="H23G"/>
      </w:pPr>
      <w:r w:rsidRPr="00DF7F81">
        <w:tab/>
      </w:r>
      <w:r w:rsidRPr="00DF7F81">
        <w:tab/>
        <w:t xml:space="preserve">Adolescent health </w:t>
      </w:r>
    </w:p>
    <w:p w:rsidR="001038EB" w:rsidRPr="006D5940" w:rsidRDefault="00113BF1" w:rsidP="00344165">
      <w:pPr>
        <w:pStyle w:val="SingleTxtG"/>
      </w:pPr>
      <w:r w:rsidRPr="006D5940">
        <w:rPr>
          <w:iCs/>
        </w:rPr>
        <w:t>64.</w:t>
      </w:r>
      <w:r w:rsidRPr="006D5940">
        <w:rPr>
          <w:iCs/>
        </w:rPr>
        <w:tab/>
      </w:r>
      <w:r w:rsidR="001038EB" w:rsidRPr="00DE58A7">
        <w:t xml:space="preserve">The Committee remains concerned </w:t>
      </w:r>
      <w:r w:rsidR="001038EB">
        <w:t>about</w:t>
      </w:r>
      <w:r w:rsidR="001038EB" w:rsidRPr="00DE58A7">
        <w:t xml:space="preserve"> the</w:t>
      </w:r>
      <w:r w:rsidR="001038EB">
        <w:t xml:space="preserve"> </w:t>
      </w:r>
      <w:r w:rsidR="001038EB" w:rsidRPr="00DE58A7">
        <w:t xml:space="preserve">high levels of pregnancy among </w:t>
      </w:r>
      <w:r w:rsidR="001038EB" w:rsidRPr="006D5940">
        <w:t>adolescent girls, in particular among adolescent</w:t>
      </w:r>
      <w:r w:rsidR="001038EB">
        <w:t>s</w:t>
      </w:r>
      <w:r w:rsidR="001038EB" w:rsidRPr="006D5940">
        <w:t xml:space="preserve"> with no education or with only primary schooling</w:t>
      </w:r>
      <w:r w:rsidR="00AB0022">
        <w:t>,</w:t>
      </w:r>
      <w:r w:rsidR="001038EB" w:rsidRPr="006D5940">
        <w:t xml:space="preserve"> and notes the </w:t>
      </w:r>
      <w:r w:rsidR="001038EB" w:rsidRPr="006D5940">
        <w:rPr>
          <w:color w:val="000000"/>
          <w:lang w:eastAsia="en-GB"/>
        </w:rPr>
        <w:t xml:space="preserve">neglect of sexual and reproductive health education in the design of the </w:t>
      </w:r>
      <w:r w:rsidR="00AB0022">
        <w:rPr>
          <w:color w:val="000000"/>
          <w:lang w:eastAsia="en-GB"/>
        </w:rPr>
        <w:t>n</w:t>
      </w:r>
      <w:r w:rsidR="001038EB" w:rsidRPr="006D5940">
        <w:rPr>
          <w:color w:val="000000"/>
          <w:lang w:eastAsia="en-GB"/>
        </w:rPr>
        <w:t xml:space="preserve">ational </w:t>
      </w:r>
      <w:r w:rsidR="00AB0022">
        <w:rPr>
          <w:color w:val="000000"/>
          <w:lang w:eastAsia="en-GB"/>
        </w:rPr>
        <w:t>c</w:t>
      </w:r>
      <w:r w:rsidR="001038EB" w:rsidRPr="006D5940">
        <w:rPr>
          <w:color w:val="000000"/>
          <w:lang w:eastAsia="en-GB"/>
        </w:rPr>
        <w:t xml:space="preserve">urriculum for </w:t>
      </w:r>
      <w:r w:rsidR="00AB0022">
        <w:rPr>
          <w:color w:val="000000"/>
          <w:lang w:eastAsia="en-GB"/>
        </w:rPr>
        <w:t>b</w:t>
      </w:r>
      <w:r w:rsidR="001038EB" w:rsidRPr="006D5940">
        <w:rPr>
          <w:color w:val="000000"/>
          <w:lang w:eastAsia="en-GB"/>
        </w:rPr>
        <w:t xml:space="preserve">asic </w:t>
      </w:r>
      <w:r w:rsidR="00AB0022">
        <w:rPr>
          <w:color w:val="000000"/>
          <w:lang w:eastAsia="en-GB"/>
        </w:rPr>
        <w:t>e</w:t>
      </w:r>
      <w:r w:rsidR="001038EB" w:rsidRPr="006D5940">
        <w:rPr>
          <w:color w:val="000000"/>
          <w:lang w:eastAsia="en-GB"/>
        </w:rPr>
        <w:t>ducation. The Committee is also deeply concerned that girls can in no circumstances have access to abortion services, including in cases of rape</w:t>
      </w:r>
      <w:r w:rsidR="00AB0022">
        <w:rPr>
          <w:color w:val="000000"/>
          <w:lang w:eastAsia="en-GB"/>
        </w:rPr>
        <w:t xml:space="preserve"> or</w:t>
      </w:r>
      <w:r w:rsidR="001038EB" w:rsidRPr="006D5940">
        <w:rPr>
          <w:color w:val="000000"/>
          <w:lang w:eastAsia="en-GB"/>
        </w:rPr>
        <w:t xml:space="preserve"> incest and when their health or life are in danger, a situation which places them at grave risk of resorting to clandestine abortion at the risk of their li</w:t>
      </w:r>
      <w:r w:rsidR="00AB0022">
        <w:rPr>
          <w:color w:val="000000"/>
          <w:lang w:eastAsia="en-GB"/>
        </w:rPr>
        <w:t>fe</w:t>
      </w:r>
      <w:r w:rsidR="001038EB" w:rsidRPr="006D5940">
        <w:rPr>
          <w:color w:val="000000"/>
          <w:lang w:eastAsia="en-GB"/>
        </w:rPr>
        <w:t xml:space="preserve"> and can lead them to be</w:t>
      </w:r>
      <w:r w:rsidR="001038EB">
        <w:rPr>
          <w:color w:val="000000"/>
          <w:lang w:eastAsia="en-GB"/>
        </w:rPr>
        <w:t>ing</w:t>
      </w:r>
      <w:r w:rsidR="001038EB" w:rsidRPr="006D5940">
        <w:rPr>
          <w:color w:val="000000"/>
          <w:lang w:eastAsia="en-GB"/>
        </w:rPr>
        <w:t xml:space="preserve"> criminalized.</w:t>
      </w:r>
    </w:p>
    <w:p w:rsidR="001038EB" w:rsidRPr="00DF7F81" w:rsidRDefault="00113BF1" w:rsidP="00344165">
      <w:pPr>
        <w:pStyle w:val="SingleTxtG"/>
        <w:rPr>
          <w:b/>
          <w:bCs/>
          <w:i/>
          <w:sz w:val="19"/>
          <w:szCs w:val="19"/>
          <w:u w:val="single"/>
          <w:lang w:eastAsia="en-GB"/>
        </w:rPr>
      </w:pPr>
      <w:r w:rsidRPr="00DF7F81">
        <w:rPr>
          <w:iCs/>
          <w:sz w:val="19"/>
          <w:szCs w:val="19"/>
          <w:lang w:eastAsia="en-GB"/>
        </w:rPr>
        <w:t>65.</w:t>
      </w:r>
      <w:r w:rsidRPr="00DF7F81">
        <w:rPr>
          <w:iCs/>
          <w:sz w:val="19"/>
          <w:szCs w:val="19"/>
          <w:lang w:eastAsia="en-GB"/>
        </w:rPr>
        <w:tab/>
      </w:r>
      <w:r w:rsidR="001038EB" w:rsidRPr="00DF7F81">
        <w:rPr>
          <w:rFonts w:eastAsia="Malgun Gothic"/>
          <w:b/>
          <w:lang w:eastAsia="zh-CN"/>
        </w:rPr>
        <w:t xml:space="preserve">In the light of its </w:t>
      </w:r>
      <w:r w:rsidR="00AB0022">
        <w:rPr>
          <w:rFonts w:eastAsia="Malgun Gothic"/>
          <w:b/>
          <w:lang w:eastAsia="zh-CN"/>
        </w:rPr>
        <w:t>g</w:t>
      </w:r>
      <w:r w:rsidR="001038EB" w:rsidRPr="00DF7F81">
        <w:rPr>
          <w:rFonts w:eastAsia="Malgun Gothic"/>
          <w:b/>
          <w:lang w:eastAsia="zh-CN"/>
        </w:rPr>
        <w:t xml:space="preserve">eneral </w:t>
      </w:r>
      <w:r w:rsidR="00AB0022">
        <w:rPr>
          <w:rFonts w:eastAsia="Malgun Gothic"/>
          <w:b/>
          <w:lang w:eastAsia="zh-CN"/>
        </w:rPr>
        <w:t>c</w:t>
      </w:r>
      <w:r w:rsidR="001038EB" w:rsidRPr="00DF7F81">
        <w:rPr>
          <w:rFonts w:eastAsia="Malgun Gothic"/>
          <w:b/>
          <w:lang w:eastAsia="zh-CN"/>
        </w:rPr>
        <w:t>omment</w:t>
      </w:r>
      <w:r w:rsidR="008969E1">
        <w:rPr>
          <w:rFonts w:eastAsia="Malgun Gothic"/>
          <w:b/>
          <w:lang w:eastAsia="zh-CN"/>
        </w:rPr>
        <w:t xml:space="preserve"> No. </w:t>
      </w:r>
      <w:r w:rsidR="001038EB" w:rsidRPr="00DF7F81">
        <w:rPr>
          <w:rFonts w:eastAsia="Malgun Gothic"/>
          <w:b/>
          <w:lang w:eastAsia="zh-CN"/>
        </w:rPr>
        <w:t>4 (2003) on adolescent health</w:t>
      </w:r>
      <w:r w:rsidR="007741AA">
        <w:rPr>
          <w:rFonts w:eastAsia="Malgun Gothic"/>
          <w:b/>
          <w:lang w:eastAsia="zh-CN"/>
        </w:rPr>
        <w:t xml:space="preserve"> in the context of the Convention</w:t>
      </w:r>
      <w:r w:rsidR="001038EB" w:rsidRPr="00DF7F81">
        <w:rPr>
          <w:rFonts w:eastAsia="Malgun Gothic"/>
          <w:b/>
          <w:lang w:eastAsia="zh-CN"/>
        </w:rPr>
        <w:t xml:space="preserve">, the Committee recommends </w:t>
      </w:r>
      <w:r w:rsidR="007741AA">
        <w:rPr>
          <w:rFonts w:eastAsia="Malgun Gothic"/>
          <w:b/>
          <w:lang w:eastAsia="zh-CN"/>
        </w:rPr>
        <w:t xml:space="preserve">that </w:t>
      </w:r>
      <w:r w:rsidR="001038EB" w:rsidRPr="00DF7F81">
        <w:rPr>
          <w:rFonts w:eastAsia="Malgun Gothic"/>
          <w:b/>
          <w:lang w:eastAsia="zh-CN"/>
        </w:rPr>
        <w:t xml:space="preserve">the State party: </w:t>
      </w:r>
    </w:p>
    <w:p w:rsidR="001038EB" w:rsidRPr="00DF7F81" w:rsidRDefault="00DF7F81" w:rsidP="00113BF1">
      <w:pPr>
        <w:pStyle w:val="SingleTxtG"/>
        <w:ind w:firstLine="567"/>
        <w:rPr>
          <w:b/>
          <w:bCs/>
          <w:i/>
          <w:sz w:val="19"/>
          <w:szCs w:val="19"/>
          <w:u w:val="single"/>
          <w:lang w:eastAsia="en-GB"/>
        </w:rPr>
      </w:pPr>
      <w:r w:rsidRPr="00113BF1">
        <w:rPr>
          <w:rFonts w:eastAsia="Malgun Gothic"/>
          <w:bCs/>
          <w:lang w:eastAsia="zh-CN"/>
        </w:rPr>
        <w:t>(a)</w:t>
      </w:r>
      <w:r w:rsidRPr="00DF7F81">
        <w:rPr>
          <w:rFonts w:eastAsia="Malgun Gothic"/>
          <w:b/>
          <w:lang w:eastAsia="zh-CN"/>
        </w:rPr>
        <w:tab/>
      </w:r>
      <w:r w:rsidR="001038EB" w:rsidRPr="00DF7F81">
        <w:rPr>
          <w:rFonts w:eastAsia="Malgun Gothic"/>
          <w:b/>
          <w:lang w:eastAsia="zh-CN"/>
        </w:rPr>
        <w:t>A</w:t>
      </w:r>
      <w:r w:rsidR="001038EB" w:rsidRPr="00DF7F81">
        <w:rPr>
          <w:b/>
          <w:bCs/>
          <w:lang w:eastAsia="en-GB"/>
        </w:rPr>
        <w:t>dopt a comprehensive sexual and reproductive health policy for</w:t>
      </w:r>
      <w:r w:rsidR="001038EB" w:rsidRPr="00DF7F81">
        <w:rPr>
          <w:b/>
          <w:bCs/>
        </w:rPr>
        <w:t xml:space="preserve"> </w:t>
      </w:r>
      <w:r w:rsidR="001038EB" w:rsidRPr="00DF7F81">
        <w:rPr>
          <w:b/>
          <w:bCs/>
          <w:lang w:eastAsia="en-GB"/>
        </w:rPr>
        <w:t>adolescents;</w:t>
      </w:r>
    </w:p>
    <w:p w:rsidR="001038EB" w:rsidRPr="00DF7F81" w:rsidRDefault="00DF7F81" w:rsidP="00113BF1">
      <w:pPr>
        <w:pStyle w:val="SingleTxtG"/>
        <w:ind w:firstLine="567"/>
        <w:rPr>
          <w:b/>
          <w:bCs/>
          <w:i/>
          <w:sz w:val="19"/>
          <w:szCs w:val="19"/>
          <w:u w:val="single"/>
          <w:lang w:eastAsia="en-GB"/>
        </w:rPr>
      </w:pPr>
      <w:r w:rsidRPr="00113BF1">
        <w:rPr>
          <w:lang w:eastAsia="en-GB"/>
        </w:rPr>
        <w:t>(b)</w:t>
      </w:r>
      <w:r w:rsidRPr="00DF7F81">
        <w:rPr>
          <w:b/>
          <w:bCs/>
          <w:lang w:eastAsia="en-GB"/>
        </w:rPr>
        <w:tab/>
      </w:r>
      <w:r w:rsidR="001038EB" w:rsidRPr="00DF7F81">
        <w:rPr>
          <w:b/>
          <w:bCs/>
          <w:lang w:eastAsia="en-GB"/>
        </w:rPr>
        <w:t xml:space="preserve">Ensure that sexual and reproductive health education is part of the mandatory school curriculum and </w:t>
      </w:r>
      <w:r w:rsidR="00556CB5">
        <w:rPr>
          <w:b/>
          <w:bCs/>
          <w:lang w:eastAsia="en-GB"/>
        </w:rPr>
        <w:t>aimed</w:t>
      </w:r>
      <w:r w:rsidR="00556CB5" w:rsidRPr="00DF7F81">
        <w:rPr>
          <w:b/>
          <w:bCs/>
        </w:rPr>
        <w:t xml:space="preserve"> </w:t>
      </w:r>
      <w:r w:rsidR="001038EB" w:rsidRPr="00DF7F81">
        <w:rPr>
          <w:b/>
          <w:bCs/>
          <w:lang w:eastAsia="en-GB"/>
        </w:rPr>
        <w:t xml:space="preserve">at adolescent girls and boys, with special attention on preventing early pregnancy and sexually transmitted infections; </w:t>
      </w:r>
    </w:p>
    <w:p w:rsidR="001038EB" w:rsidRPr="00DF7F81" w:rsidRDefault="00DF7F81" w:rsidP="00113BF1">
      <w:pPr>
        <w:pStyle w:val="SingleTxtG"/>
        <w:ind w:firstLine="567"/>
        <w:rPr>
          <w:b/>
          <w:bCs/>
          <w:i/>
          <w:sz w:val="19"/>
          <w:szCs w:val="19"/>
          <w:u w:val="single"/>
          <w:lang w:eastAsia="en-GB"/>
        </w:rPr>
      </w:pPr>
      <w:r w:rsidRPr="00113BF1">
        <w:rPr>
          <w:lang w:eastAsia="en-GB"/>
        </w:rPr>
        <w:t>(c)</w:t>
      </w:r>
      <w:r w:rsidRPr="00DF7F81">
        <w:rPr>
          <w:b/>
          <w:bCs/>
          <w:lang w:eastAsia="en-GB"/>
        </w:rPr>
        <w:tab/>
      </w:r>
      <w:r w:rsidR="001038EB" w:rsidRPr="00DF7F81">
        <w:rPr>
          <w:b/>
          <w:bCs/>
          <w:lang w:eastAsia="en-GB"/>
        </w:rPr>
        <w:t>T</w:t>
      </w:r>
      <w:r w:rsidR="001038EB" w:rsidRPr="00DF7F81">
        <w:rPr>
          <w:b/>
        </w:rPr>
        <w:t xml:space="preserve">ake measures to raise awareness of and foster responsible sexual behaviour and parenthood, </w:t>
      </w:r>
      <w:r w:rsidR="00556CB5">
        <w:rPr>
          <w:b/>
        </w:rPr>
        <w:t>paying</w:t>
      </w:r>
      <w:r w:rsidR="001038EB" w:rsidRPr="00DF7F81">
        <w:rPr>
          <w:b/>
        </w:rPr>
        <w:t xml:space="preserve"> particular attention to boys and men;</w:t>
      </w:r>
      <w:r w:rsidR="001038EB" w:rsidRPr="00DF7F81">
        <w:rPr>
          <w:b/>
          <w:color w:val="000000"/>
          <w:lang w:eastAsia="en-GB"/>
        </w:rPr>
        <w:t xml:space="preserve"> </w:t>
      </w:r>
    </w:p>
    <w:p w:rsidR="001038EB" w:rsidRPr="00DF7F81" w:rsidRDefault="00DF7F81" w:rsidP="00113BF1">
      <w:pPr>
        <w:pStyle w:val="SingleTxtG"/>
        <w:ind w:firstLine="567"/>
        <w:rPr>
          <w:b/>
          <w:bCs/>
          <w:i/>
          <w:sz w:val="19"/>
          <w:szCs w:val="19"/>
          <w:u w:val="single"/>
          <w:lang w:eastAsia="en-GB"/>
        </w:rPr>
      </w:pPr>
      <w:r w:rsidRPr="00113BF1">
        <w:rPr>
          <w:bCs/>
        </w:rPr>
        <w:t>(d)</w:t>
      </w:r>
      <w:r w:rsidRPr="00DF7F81">
        <w:rPr>
          <w:b/>
        </w:rPr>
        <w:tab/>
      </w:r>
      <w:r w:rsidR="001038EB" w:rsidRPr="00DF7F81">
        <w:rPr>
          <w:b/>
        </w:rPr>
        <w:t xml:space="preserve">Decriminalize abortions in all circumstances and review its legislation with a view to </w:t>
      </w:r>
      <w:r w:rsidR="001038EB" w:rsidRPr="00DF7F81">
        <w:rPr>
          <w:b/>
          <w:bCs/>
        </w:rPr>
        <w:t>ensuring children’s access to safe abortion and post-abortion care services. The views of the child should always be heard and respected in abortion decisions.</w:t>
      </w:r>
    </w:p>
    <w:p w:rsidR="001038EB" w:rsidRPr="00DF7F81" w:rsidRDefault="001038EB" w:rsidP="00DF7F81">
      <w:pPr>
        <w:pStyle w:val="H23G"/>
        <w:rPr>
          <w:rFonts w:eastAsia="Malgun Gothic"/>
        </w:rPr>
      </w:pPr>
      <w:r w:rsidRPr="00DF7F81">
        <w:rPr>
          <w:rFonts w:eastAsia="Malgun Gothic"/>
        </w:rPr>
        <w:tab/>
      </w:r>
      <w:r w:rsidRPr="00DF7F81">
        <w:rPr>
          <w:rFonts w:eastAsia="Malgun Gothic"/>
        </w:rPr>
        <w:tab/>
        <w:t>HIV/AIDS</w:t>
      </w:r>
    </w:p>
    <w:p w:rsidR="001038EB" w:rsidRPr="00DF7F81" w:rsidRDefault="00113BF1" w:rsidP="00344165">
      <w:pPr>
        <w:pStyle w:val="SingleTxtG"/>
      </w:pPr>
      <w:r w:rsidRPr="00DF7F81">
        <w:rPr>
          <w:iCs/>
        </w:rPr>
        <w:t>66.</w:t>
      </w:r>
      <w:r w:rsidRPr="00DF7F81">
        <w:rPr>
          <w:iCs/>
        </w:rPr>
        <w:tab/>
      </w:r>
      <w:r w:rsidR="001038EB" w:rsidRPr="00DF7F81">
        <w:t xml:space="preserve">The Committee notes the draft of a bill proposing comprehensive amendments to the </w:t>
      </w:r>
      <w:r w:rsidR="00BC6457">
        <w:t>s</w:t>
      </w:r>
      <w:r w:rsidR="001038EB" w:rsidRPr="00DF7F81">
        <w:t xml:space="preserve">pecial </w:t>
      </w:r>
      <w:r w:rsidR="00BC6457">
        <w:t>l</w:t>
      </w:r>
      <w:r w:rsidR="001038EB" w:rsidRPr="00DF7F81">
        <w:t>aw on HIV/AIDS</w:t>
      </w:r>
      <w:r w:rsidR="00BC6457">
        <w:t xml:space="preserve"> adopted in 1999</w:t>
      </w:r>
      <w:r w:rsidR="001038EB" w:rsidRPr="00DF7F81">
        <w:t xml:space="preserve">, and welcomes the development of the </w:t>
      </w:r>
      <w:r w:rsidR="00E27CB2">
        <w:t>n</w:t>
      </w:r>
      <w:r w:rsidR="001038EB" w:rsidRPr="00DF7F81">
        <w:t xml:space="preserve">ational </w:t>
      </w:r>
      <w:r w:rsidR="00E27CB2">
        <w:t>s</w:t>
      </w:r>
      <w:r w:rsidR="001038EB" w:rsidRPr="00DF7F81">
        <w:t xml:space="preserve">trategic </w:t>
      </w:r>
      <w:r w:rsidR="00E27CB2">
        <w:t>p</w:t>
      </w:r>
      <w:r w:rsidR="001038EB" w:rsidRPr="00DF7F81">
        <w:t>lans</w:t>
      </w:r>
      <w:r w:rsidR="00E27CB2">
        <w:t xml:space="preserve"> </w:t>
      </w:r>
      <w:r w:rsidR="00BC6457">
        <w:t>related</w:t>
      </w:r>
      <w:r w:rsidR="00E27CB2">
        <w:t xml:space="preserve"> to HIV/AIDS</w:t>
      </w:r>
      <w:r w:rsidR="001038EB" w:rsidRPr="00DF7F81">
        <w:t xml:space="preserve"> and the increase in budget allocations to fight HIV/AIDS. However, </w:t>
      </w:r>
      <w:r w:rsidR="002A3F53">
        <w:t>it</w:t>
      </w:r>
      <w:r w:rsidR="001038EB" w:rsidRPr="00DF7F81">
        <w:t xml:space="preserve"> remains concerned about the high rate of new cases registered, </w:t>
      </w:r>
      <w:r w:rsidR="001038EB" w:rsidRPr="00DF7F81">
        <w:lastRenderedPageBreak/>
        <w:t>especially among adolescents, and the still limited availability of services provided, in particular to prevent vertical transmission.</w:t>
      </w:r>
    </w:p>
    <w:p w:rsidR="001038EB" w:rsidRPr="00DF7F81" w:rsidRDefault="00113BF1" w:rsidP="00344165">
      <w:pPr>
        <w:pStyle w:val="SingleTxtG"/>
        <w:rPr>
          <w:b/>
        </w:rPr>
      </w:pPr>
      <w:r w:rsidRPr="00DF7F81">
        <w:rPr>
          <w:iCs/>
        </w:rPr>
        <w:t>67.</w:t>
      </w:r>
      <w:r w:rsidRPr="00DF7F81">
        <w:rPr>
          <w:iCs/>
        </w:rPr>
        <w:tab/>
      </w:r>
      <w:r w:rsidR="001038EB" w:rsidRPr="00DF7F81">
        <w:rPr>
          <w:b/>
        </w:rPr>
        <w:t xml:space="preserve">In the light of its </w:t>
      </w:r>
      <w:r w:rsidR="00BC6457">
        <w:rPr>
          <w:b/>
        </w:rPr>
        <w:t>g</w:t>
      </w:r>
      <w:r w:rsidR="001038EB" w:rsidRPr="00DF7F81">
        <w:rPr>
          <w:b/>
        </w:rPr>
        <w:t xml:space="preserve">eneral </w:t>
      </w:r>
      <w:r w:rsidR="00BC6457">
        <w:rPr>
          <w:b/>
        </w:rPr>
        <w:t>c</w:t>
      </w:r>
      <w:r w:rsidR="001038EB" w:rsidRPr="00DF7F81">
        <w:rPr>
          <w:b/>
        </w:rPr>
        <w:t>omment</w:t>
      </w:r>
      <w:r w:rsidR="008969E1">
        <w:rPr>
          <w:b/>
        </w:rPr>
        <w:t xml:space="preserve"> No. </w:t>
      </w:r>
      <w:r w:rsidR="001038EB" w:rsidRPr="00DF7F81">
        <w:rPr>
          <w:b/>
        </w:rPr>
        <w:t xml:space="preserve">3 (2003) on HIV/AIDS and the rights of the child, the Committee recommends that the State party: </w:t>
      </w:r>
    </w:p>
    <w:p w:rsidR="001038EB" w:rsidRPr="00DF7F81" w:rsidRDefault="00DF7F81" w:rsidP="00113BF1">
      <w:pPr>
        <w:pStyle w:val="SingleTxtG"/>
        <w:ind w:firstLine="567"/>
        <w:rPr>
          <w:b/>
        </w:rPr>
      </w:pPr>
      <w:r w:rsidRPr="00113BF1">
        <w:rPr>
          <w:bCs/>
        </w:rPr>
        <w:t>(a)</w:t>
      </w:r>
      <w:r w:rsidRPr="00DF7F81">
        <w:rPr>
          <w:b/>
        </w:rPr>
        <w:tab/>
      </w:r>
      <w:r w:rsidR="001038EB" w:rsidRPr="00DF7F81">
        <w:rPr>
          <w:b/>
        </w:rPr>
        <w:t>Improve access to quality, age-appropriate HIV/AIDS</w:t>
      </w:r>
      <w:r w:rsidR="00BC6457">
        <w:rPr>
          <w:b/>
        </w:rPr>
        <w:t xml:space="preserve"> and</w:t>
      </w:r>
      <w:r w:rsidR="001038EB" w:rsidRPr="00DF7F81">
        <w:rPr>
          <w:b/>
        </w:rPr>
        <w:t xml:space="preserve"> sexual and reproductive health services; </w:t>
      </w:r>
    </w:p>
    <w:p w:rsidR="001038EB" w:rsidRPr="00DF7F81" w:rsidRDefault="00DF7F81" w:rsidP="00113BF1">
      <w:pPr>
        <w:pStyle w:val="SingleTxtG"/>
        <w:ind w:firstLine="567"/>
        <w:rPr>
          <w:b/>
        </w:rPr>
      </w:pPr>
      <w:r w:rsidRPr="00113BF1">
        <w:rPr>
          <w:bCs/>
        </w:rPr>
        <w:t>(b)</w:t>
      </w:r>
      <w:r w:rsidRPr="00DF7F81">
        <w:rPr>
          <w:b/>
        </w:rPr>
        <w:tab/>
      </w:r>
      <w:r w:rsidR="001038EB" w:rsidRPr="00DF7F81">
        <w:rPr>
          <w:b/>
        </w:rPr>
        <w:t>Sustain the measures in place to prevent mother-to-child transmission of HIV/AIDS and develop a road</w:t>
      </w:r>
      <w:r w:rsidR="00BC6457">
        <w:rPr>
          <w:b/>
        </w:rPr>
        <w:t xml:space="preserve"> </w:t>
      </w:r>
      <w:r w:rsidR="001038EB" w:rsidRPr="00DF7F81">
        <w:rPr>
          <w:b/>
        </w:rPr>
        <w:t>map to ensure the implementation of effective preventive measures;</w:t>
      </w:r>
    </w:p>
    <w:p w:rsidR="001038EB" w:rsidRPr="00DF7F81" w:rsidRDefault="00DF7F81" w:rsidP="00113BF1">
      <w:pPr>
        <w:pStyle w:val="SingleTxtG"/>
        <w:ind w:firstLine="567"/>
        <w:rPr>
          <w:b/>
        </w:rPr>
      </w:pPr>
      <w:r w:rsidRPr="00113BF1">
        <w:rPr>
          <w:bCs/>
        </w:rPr>
        <w:t>(c)</w:t>
      </w:r>
      <w:r w:rsidRPr="00DF7F81">
        <w:rPr>
          <w:b/>
        </w:rPr>
        <w:tab/>
      </w:r>
      <w:r w:rsidR="001038EB" w:rsidRPr="00DF7F81">
        <w:rPr>
          <w:b/>
        </w:rPr>
        <w:t xml:space="preserve">Improve follow-up treatment for HIV/AIDS-infected mothers and their infants to ensure early diagnosis and early initiation of treatment; </w:t>
      </w:r>
    </w:p>
    <w:p w:rsidR="001038EB" w:rsidRPr="00DF7F81" w:rsidRDefault="00DF7F81" w:rsidP="00113BF1">
      <w:pPr>
        <w:pStyle w:val="SingleTxtG"/>
        <w:ind w:firstLine="567"/>
        <w:rPr>
          <w:b/>
        </w:rPr>
      </w:pPr>
      <w:r w:rsidRPr="00113BF1">
        <w:rPr>
          <w:bCs/>
        </w:rPr>
        <w:t>(d)</w:t>
      </w:r>
      <w:r w:rsidRPr="00DF7F81">
        <w:rPr>
          <w:b/>
        </w:rPr>
        <w:tab/>
      </w:r>
      <w:r w:rsidR="001038EB" w:rsidRPr="00DF7F81">
        <w:rPr>
          <w:b/>
        </w:rPr>
        <w:t xml:space="preserve">Improve </w:t>
      </w:r>
      <w:r w:rsidR="00BC6457">
        <w:rPr>
          <w:b/>
        </w:rPr>
        <w:t xml:space="preserve">the </w:t>
      </w:r>
      <w:r w:rsidR="001038EB" w:rsidRPr="00DF7F81">
        <w:rPr>
          <w:b/>
        </w:rPr>
        <w:t>access and coverage of antiretroviral therapy and prophylaxis for HIV-infected pregnant women;</w:t>
      </w:r>
    </w:p>
    <w:p w:rsidR="001038EB" w:rsidRPr="00DF7F81" w:rsidRDefault="00DF7F81" w:rsidP="00113BF1">
      <w:pPr>
        <w:pStyle w:val="SingleTxtG"/>
        <w:ind w:firstLine="567"/>
        <w:rPr>
          <w:b/>
        </w:rPr>
      </w:pPr>
      <w:r w:rsidRPr="00113BF1">
        <w:rPr>
          <w:bCs/>
        </w:rPr>
        <w:t>(e)</w:t>
      </w:r>
      <w:r w:rsidRPr="00DF7F81">
        <w:rPr>
          <w:b/>
        </w:rPr>
        <w:tab/>
      </w:r>
      <w:r w:rsidR="001038EB" w:rsidRPr="00DF7F81">
        <w:rPr>
          <w:b/>
        </w:rPr>
        <w:t xml:space="preserve">Seek technical assistance from, inter alia, the Joint United Nations Programme on HIV/AIDS and UNICEF. </w:t>
      </w:r>
    </w:p>
    <w:p w:rsidR="001038EB" w:rsidRPr="00DF7F81" w:rsidRDefault="001038EB" w:rsidP="00DF7F81">
      <w:pPr>
        <w:pStyle w:val="H23G"/>
        <w:rPr>
          <w:rFonts w:eastAsia="Malgun Gothic"/>
        </w:rPr>
      </w:pPr>
      <w:r w:rsidRPr="00DF7F81">
        <w:rPr>
          <w:rFonts w:eastAsia="Malgun Gothic"/>
        </w:rPr>
        <w:tab/>
      </w:r>
      <w:r w:rsidR="00DF7F81">
        <w:rPr>
          <w:rFonts w:eastAsia="Malgun Gothic"/>
        </w:rPr>
        <w:tab/>
      </w:r>
      <w:r w:rsidRPr="00DF7F81">
        <w:rPr>
          <w:rFonts w:eastAsia="Malgun Gothic"/>
        </w:rPr>
        <w:t>Standard of living</w:t>
      </w:r>
    </w:p>
    <w:p w:rsidR="001038EB" w:rsidRPr="00DF7F81" w:rsidRDefault="00113BF1" w:rsidP="00344165">
      <w:pPr>
        <w:pStyle w:val="SingleTxtG"/>
      </w:pPr>
      <w:r w:rsidRPr="00DF7F81">
        <w:rPr>
          <w:iCs/>
        </w:rPr>
        <w:t>68.</w:t>
      </w:r>
      <w:r w:rsidRPr="00DF7F81">
        <w:rPr>
          <w:iCs/>
        </w:rPr>
        <w:tab/>
      </w:r>
      <w:r w:rsidR="001038EB" w:rsidRPr="00DF7F81">
        <w:t xml:space="preserve">Despite all </w:t>
      </w:r>
      <w:r w:rsidR="00870040">
        <w:t xml:space="preserve">the </w:t>
      </w:r>
      <w:r w:rsidR="001038EB" w:rsidRPr="00DF7F81">
        <w:t>measures taken by the State party, the Committee is deeply concerned about the increasing number of poor households and geographic disparities in access to water and sanitation</w:t>
      </w:r>
      <w:r w:rsidR="00870040">
        <w:t>, which</w:t>
      </w:r>
      <w:r w:rsidR="001038EB" w:rsidRPr="00DF7F81">
        <w:t xml:space="preserve"> </w:t>
      </w:r>
      <w:r w:rsidR="00E8129C">
        <w:t xml:space="preserve">primarily </w:t>
      </w:r>
      <w:r w:rsidR="001038EB" w:rsidRPr="00DF7F81">
        <w:t>affect indigenous and Afro</w:t>
      </w:r>
      <w:r w:rsidR="00870040">
        <w:t>-</w:t>
      </w:r>
      <w:r w:rsidR="001038EB" w:rsidRPr="00DF7F81">
        <w:t>Honduran children. It is also concerned about the high level of chronic malnutrition</w:t>
      </w:r>
      <w:r w:rsidR="007672F7">
        <w:t>,</w:t>
      </w:r>
      <w:r w:rsidR="001038EB" w:rsidRPr="00DF7F81">
        <w:t xml:space="preserve"> which affects twice as many children in rural </w:t>
      </w:r>
      <w:r w:rsidR="007672F7">
        <w:t xml:space="preserve">areas </w:t>
      </w:r>
      <w:r w:rsidR="001038EB" w:rsidRPr="00DF7F81">
        <w:t xml:space="preserve">as </w:t>
      </w:r>
      <w:r w:rsidR="007672F7">
        <w:t xml:space="preserve">children </w:t>
      </w:r>
      <w:r w:rsidR="001038EB" w:rsidRPr="00DF7F81">
        <w:t>in urban areas.</w:t>
      </w:r>
    </w:p>
    <w:p w:rsidR="001038EB" w:rsidRPr="00DF7F81" w:rsidRDefault="00113BF1" w:rsidP="00344165">
      <w:pPr>
        <w:pStyle w:val="SingleTxtG"/>
        <w:rPr>
          <w:b/>
        </w:rPr>
      </w:pPr>
      <w:r w:rsidRPr="00DF7F81">
        <w:rPr>
          <w:iCs/>
        </w:rPr>
        <w:t>69.</w:t>
      </w:r>
      <w:r w:rsidRPr="00DF7F81">
        <w:rPr>
          <w:iCs/>
        </w:rPr>
        <w:tab/>
      </w:r>
      <w:r w:rsidR="001038EB" w:rsidRPr="00DF7F81">
        <w:rPr>
          <w:b/>
        </w:rPr>
        <w:t xml:space="preserve">The Committee recommends that the State party: </w:t>
      </w:r>
    </w:p>
    <w:p w:rsidR="001038EB" w:rsidRPr="00DF7F81" w:rsidRDefault="00DF7F81" w:rsidP="00113BF1">
      <w:pPr>
        <w:pStyle w:val="SingleTxtG"/>
        <w:ind w:firstLine="567"/>
        <w:rPr>
          <w:b/>
        </w:rPr>
      </w:pPr>
      <w:r w:rsidRPr="00113BF1">
        <w:rPr>
          <w:bCs/>
        </w:rPr>
        <w:t>(a)</w:t>
      </w:r>
      <w:r w:rsidRPr="00DF7F81">
        <w:rPr>
          <w:b/>
        </w:rPr>
        <w:tab/>
      </w:r>
      <w:r w:rsidR="001038EB" w:rsidRPr="00DF7F81">
        <w:rPr>
          <w:b/>
        </w:rPr>
        <w:t>Strengthen the institutional capacities for the implementation, monitoring and evaluation of soci</w:t>
      </w:r>
      <w:r w:rsidR="008D4C3A">
        <w:rPr>
          <w:b/>
        </w:rPr>
        <w:t>o</w:t>
      </w:r>
      <w:r w:rsidR="001038EB" w:rsidRPr="00DF7F81">
        <w:rPr>
          <w:b/>
        </w:rPr>
        <w:t xml:space="preserve">economic measures; </w:t>
      </w:r>
    </w:p>
    <w:p w:rsidR="001038EB" w:rsidRPr="00DF7F81" w:rsidRDefault="00DF7F81" w:rsidP="00113BF1">
      <w:pPr>
        <w:pStyle w:val="SingleTxtG"/>
        <w:ind w:firstLine="567"/>
        <w:rPr>
          <w:b/>
        </w:rPr>
      </w:pPr>
      <w:r w:rsidRPr="00113BF1">
        <w:rPr>
          <w:bCs/>
        </w:rPr>
        <w:t>(b)</w:t>
      </w:r>
      <w:r w:rsidRPr="00DF7F81">
        <w:rPr>
          <w:b/>
        </w:rPr>
        <w:tab/>
      </w:r>
      <w:r w:rsidR="001038EB" w:rsidRPr="00DF7F81">
        <w:rPr>
          <w:b/>
        </w:rPr>
        <w:t>Increase</w:t>
      </w:r>
      <w:r w:rsidR="00C44E8C">
        <w:rPr>
          <w:b/>
        </w:rPr>
        <w:t xml:space="preserve"> the</w:t>
      </w:r>
      <w:r w:rsidR="001038EB" w:rsidRPr="00DF7F81">
        <w:rPr>
          <w:b/>
        </w:rPr>
        <w:t xml:space="preserve"> efficiency of actions to reduce poverty;</w:t>
      </w:r>
    </w:p>
    <w:p w:rsidR="001038EB" w:rsidRPr="00DF7F81" w:rsidRDefault="00DF7F81" w:rsidP="00113BF1">
      <w:pPr>
        <w:pStyle w:val="SingleTxtG"/>
        <w:ind w:firstLine="567"/>
        <w:rPr>
          <w:b/>
        </w:rPr>
      </w:pPr>
      <w:r w:rsidRPr="00113BF1">
        <w:rPr>
          <w:bCs/>
        </w:rPr>
        <w:t>(c)</w:t>
      </w:r>
      <w:r w:rsidRPr="00DF7F81">
        <w:rPr>
          <w:b/>
        </w:rPr>
        <w:tab/>
      </w:r>
      <w:r w:rsidR="001038EB" w:rsidRPr="00DF7F81">
        <w:rPr>
          <w:b/>
        </w:rPr>
        <w:t>Intensify its efforts to reduce chronic malnutrition;</w:t>
      </w:r>
    </w:p>
    <w:p w:rsidR="001038EB" w:rsidRPr="00DF7F81" w:rsidRDefault="00DF7F81" w:rsidP="00113BF1">
      <w:pPr>
        <w:pStyle w:val="SingleTxtG"/>
        <w:ind w:firstLine="567"/>
        <w:rPr>
          <w:b/>
        </w:rPr>
      </w:pPr>
      <w:r w:rsidRPr="00113BF1">
        <w:rPr>
          <w:bCs/>
        </w:rPr>
        <w:t>(d)</w:t>
      </w:r>
      <w:r w:rsidRPr="00DF7F81">
        <w:rPr>
          <w:b/>
        </w:rPr>
        <w:tab/>
      </w:r>
      <w:r w:rsidR="001038EB" w:rsidRPr="00DF7F81">
        <w:rPr>
          <w:b/>
        </w:rPr>
        <w:t>Improve access to water and sanitation in rural, indigenous and Afro</w:t>
      </w:r>
      <w:r w:rsidR="00C44E8C">
        <w:rPr>
          <w:b/>
        </w:rPr>
        <w:t>-</w:t>
      </w:r>
      <w:r w:rsidR="001038EB" w:rsidRPr="00DF7F81">
        <w:rPr>
          <w:b/>
        </w:rPr>
        <w:t>Honduran areas.</w:t>
      </w:r>
    </w:p>
    <w:p w:rsidR="001038EB" w:rsidRPr="00DF7F81" w:rsidRDefault="00DF7F81" w:rsidP="00C44E8C">
      <w:pPr>
        <w:pStyle w:val="H1G"/>
        <w:rPr>
          <w:rFonts w:eastAsia="Malgun Gothic"/>
        </w:rPr>
      </w:pPr>
      <w:r>
        <w:rPr>
          <w:rFonts w:eastAsia="Malgun Gothic"/>
        </w:rPr>
        <w:tab/>
        <w:t>G.</w:t>
      </w:r>
      <w:r>
        <w:rPr>
          <w:rFonts w:eastAsia="Malgun Gothic"/>
        </w:rPr>
        <w:tab/>
      </w:r>
      <w:r w:rsidR="001038EB" w:rsidRPr="00DF7F81">
        <w:rPr>
          <w:rFonts w:eastAsia="Malgun Gothic"/>
        </w:rPr>
        <w:t>Education, leisure and cultural activities (arts.</w:t>
      </w:r>
      <w:r w:rsidR="006C7F7E">
        <w:rPr>
          <w:rFonts w:eastAsia="Malgun Gothic"/>
        </w:rPr>
        <w:t> </w:t>
      </w:r>
      <w:r w:rsidR="001038EB" w:rsidRPr="00DF7F81">
        <w:rPr>
          <w:rFonts w:eastAsia="Malgun Gothic"/>
        </w:rPr>
        <w:t>28</w:t>
      </w:r>
      <w:r w:rsidR="00C44E8C">
        <w:rPr>
          <w:rFonts w:eastAsia="Malgun Gothic"/>
        </w:rPr>
        <w:t>–</w:t>
      </w:r>
      <w:r w:rsidR="001038EB" w:rsidRPr="00DF7F81">
        <w:rPr>
          <w:rFonts w:eastAsia="Malgun Gothic"/>
        </w:rPr>
        <w:t>31)</w:t>
      </w:r>
    </w:p>
    <w:p w:rsidR="001038EB" w:rsidRPr="00910C5D" w:rsidRDefault="00DF7F81" w:rsidP="00DF7F81">
      <w:pPr>
        <w:pStyle w:val="H23G"/>
      </w:pPr>
      <w:r>
        <w:tab/>
      </w:r>
      <w:r>
        <w:tab/>
      </w:r>
      <w:r w:rsidR="001038EB" w:rsidRPr="00BA6B2D">
        <w:t>Education, including vocational training and guidance</w:t>
      </w:r>
    </w:p>
    <w:p w:rsidR="001038EB" w:rsidRPr="00DF7F81" w:rsidRDefault="00113BF1" w:rsidP="00344165">
      <w:pPr>
        <w:pStyle w:val="SingleTxtG"/>
      </w:pPr>
      <w:r w:rsidRPr="00DF7F81">
        <w:rPr>
          <w:iCs/>
        </w:rPr>
        <w:t>70.</w:t>
      </w:r>
      <w:r w:rsidRPr="00DF7F81">
        <w:rPr>
          <w:iCs/>
        </w:rPr>
        <w:tab/>
      </w:r>
      <w:r w:rsidR="001038EB" w:rsidRPr="00DF7F81">
        <w:t xml:space="preserve">The Committee welcomes the significant progress made by the State party to improve access to education. However, </w:t>
      </w:r>
      <w:r w:rsidR="00C44E8C">
        <w:t>it</w:t>
      </w:r>
      <w:r w:rsidR="001038EB" w:rsidRPr="00DF7F81">
        <w:t xml:space="preserve"> is concerned about: </w:t>
      </w:r>
    </w:p>
    <w:p w:rsidR="001038EB" w:rsidRPr="00DF7F81" w:rsidRDefault="00DF7F81" w:rsidP="00113BF1">
      <w:pPr>
        <w:pStyle w:val="SingleTxtG"/>
        <w:ind w:firstLine="567"/>
      </w:pPr>
      <w:r>
        <w:t>(a)</w:t>
      </w:r>
      <w:r>
        <w:tab/>
      </w:r>
      <w:r w:rsidR="001038EB" w:rsidRPr="00DF7F81">
        <w:t xml:space="preserve">The decrease </w:t>
      </w:r>
      <w:r w:rsidR="00C44E8C">
        <w:t>in</w:t>
      </w:r>
      <w:r w:rsidR="001038EB" w:rsidRPr="00DF7F81">
        <w:t xml:space="preserve"> financial allocations to education in relation to the central budget; </w:t>
      </w:r>
    </w:p>
    <w:p w:rsidR="001038EB" w:rsidRPr="00DF7F81" w:rsidRDefault="00DF7F81" w:rsidP="00113BF1">
      <w:pPr>
        <w:pStyle w:val="SingleTxtG"/>
        <w:ind w:firstLine="567"/>
      </w:pPr>
      <w:r>
        <w:t>(b)</w:t>
      </w:r>
      <w:r>
        <w:tab/>
      </w:r>
      <w:r w:rsidR="001038EB" w:rsidRPr="00DF7F81">
        <w:t>The high dropout rate</w:t>
      </w:r>
      <w:r w:rsidR="00C44E8C">
        <w:t>,</w:t>
      </w:r>
      <w:r w:rsidR="001038EB" w:rsidRPr="00DF7F81">
        <w:t xml:space="preserve"> in particular in rural and indigenous areas;</w:t>
      </w:r>
    </w:p>
    <w:p w:rsidR="001038EB" w:rsidRPr="00DF7F81" w:rsidRDefault="00DF7F81" w:rsidP="00113BF1">
      <w:pPr>
        <w:pStyle w:val="SingleTxtG"/>
        <w:ind w:firstLine="567"/>
      </w:pPr>
      <w:r>
        <w:t>(c)</w:t>
      </w:r>
      <w:r>
        <w:tab/>
      </w:r>
      <w:r w:rsidR="001038EB" w:rsidRPr="00DF7F81">
        <w:t>The low enrolment rate in preschool and secondary education</w:t>
      </w:r>
      <w:r w:rsidR="00C44E8C">
        <w:t>,</w:t>
      </w:r>
      <w:r w:rsidR="001038EB" w:rsidRPr="00DF7F81">
        <w:t xml:space="preserve"> in particular in rural and indigenous areas.</w:t>
      </w:r>
    </w:p>
    <w:p w:rsidR="001038EB" w:rsidRPr="00DF7F81" w:rsidRDefault="00113BF1" w:rsidP="00344165">
      <w:pPr>
        <w:pStyle w:val="SingleTxtG"/>
        <w:rPr>
          <w:b/>
        </w:rPr>
      </w:pPr>
      <w:r w:rsidRPr="00DF7F81">
        <w:rPr>
          <w:iCs/>
        </w:rPr>
        <w:t>71.</w:t>
      </w:r>
      <w:r w:rsidRPr="00DF7F81">
        <w:rPr>
          <w:iCs/>
        </w:rPr>
        <w:tab/>
      </w:r>
      <w:r w:rsidR="001038EB" w:rsidRPr="00DF7F81">
        <w:rPr>
          <w:rFonts w:eastAsia="Malgun Gothic"/>
          <w:b/>
        </w:rPr>
        <w:t xml:space="preserve">In the light of its </w:t>
      </w:r>
      <w:r w:rsidR="00C44E8C">
        <w:rPr>
          <w:b/>
        </w:rPr>
        <w:t>g</w:t>
      </w:r>
      <w:r w:rsidR="001038EB" w:rsidRPr="00DF7F81">
        <w:rPr>
          <w:b/>
        </w:rPr>
        <w:t xml:space="preserve">eneral </w:t>
      </w:r>
      <w:r w:rsidR="00C44E8C">
        <w:rPr>
          <w:b/>
        </w:rPr>
        <w:t>c</w:t>
      </w:r>
      <w:r w:rsidR="001038EB" w:rsidRPr="00DF7F81">
        <w:rPr>
          <w:b/>
        </w:rPr>
        <w:t>omment</w:t>
      </w:r>
      <w:r w:rsidR="008969E1">
        <w:rPr>
          <w:b/>
        </w:rPr>
        <w:t xml:space="preserve"> No. </w:t>
      </w:r>
      <w:r w:rsidR="001038EB" w:rsidRPr="00DF7F81">
        <w:rPr>
          <w:b/>
        </w:rPr>
        <w:t>1 (2001) on the aims of education, the Committee recommends that the State party:</w:t>
      </w:r>
    </w:p>
    <w:p w:rsidR="001038EB" w:rsidRPr="00DF7F81" w:rsidRDefault="00DF7F81" w:rsidP="00113BF1">
      <w:pPr>
        <w:pStyle w:val="SingleTxtG"/>
        <w:ind w:firstLine="567"/>
        <w:rPr>
          <w:b/>
        </w:rPr>
      </w:pPr>
      <w:r w:rsidRPr="00113BF1">
        <w:rPr>
          <w:bCs/>
        </w:rPr>
        <w:t>(a)</w:t>
      </w:r>
      <w:r w:rsidRPr="00DF7F81">
        <w:rPr>
          <w:b/>
        </w:rPr>
        <w:tab/>
      </w:r>
      <w:r w:rsidR="001038EB" w:rsidRPr="00DF7F81">
        <w:rPr>
          <w:b/>
        </w:rPr>
        <w:t xml:space="preserve">Increase the </w:t>
      </w:r>
      <w:r w:rsidR="00DF285B">
        <w:rPr>
          <w:b/>
        </w:rPr>
        <w:t>S</w:t>
      </w:r>
      <w:r w:rsidR="001038EB" w:rsidRPr="00DF7F81">
        <w:rPr>
          <w:b/>
        </w:rPr>
        <w:t>tate budget dedicated to education to improve accessibility and the quality of education;</w:t>
      </w:r>
    </w:p>
    <w:p w:rsidR="001038EB" w:rsidRPr="00DF7F81" w:rsidRDefault="00DF7F81" w:rsidP="00113BF1">
      <w:pPr>
        <w:pStyle w:val="SingleTxtG"/>
        <w:ind w:firstLine="567"/>
        <w:rPr>
          <w:b/>
        </w:rPr>
      </w:pPr>
      <w:r w:rsidRPr="00113BF1">
        <w:rPr>
          <w:bCs/>
        </w:rPr>
        <w:lastRenderedPageBreak/>
        <w:t>(b)</w:t>
      </w:r>
      <w:r w:rsidRPr="00DF7F81">
        <w:rPr>
          <w:b/>
        </w:rPr>
        <w:tab/>
      </w:r>
      <w:r w:rsidR="001038EB" w:rsidRPr="00DF7F81">
        <w:rPr>
          <w:b/>
        </w:rPr>
        <w:t>Reduce dropout rates</w:t>
      </w:r>
      <w:r w:rsidR="00DF285B">
        <w:rPr>
          <w:b/>
        </w:rPr>
        <w:t>,</w:t>
      </w:r>
      <w:r w:rsidR="001038EB" w:rsidRPr="00DF7F81">
        <w:rPr>
          <w:b/>
        </w:rPr>
        <w:t xml:space="preserve"> in particular in rural, remote and indigenous areas; </w:t>
      </w:r>
    </w:p>
    <w:p w:rsidR="001038EB" w:rsidRPr="00DF7F81" w:rsidRDefault="00DF7F81" w:rsidP="00113BF1">
      <w:pPr>
        <w:pStyle w:val="SingleTxtG"/>
        <w:ind w:firstLine="567"/>
        <w:rPr>
          <w:b/>
        </w:rPr>
      </w:pPr>
      <w:r w:rsidRPr="00113BF1">
        <w:rPr>
          <w:bCs/>
        </w:rPr>
        <w:t>(c)</w:t>
      </w:r>
      <w:r w:rsidRPr="00DF7F81">
        <w:rPr>
          <w:b/>
        </w:rPr>
        <w:tab/>
      </w:r>
      <w:r w:rsidR="001038EB" w:rsidRPr="00DF7F81">
        <w:rPr>
          <w:b/>
        </w:rPr>
        <w:t xml:space="preserve">Continue to support preschool education and substantially increase access to secondary education. </w:t>
      </w:r>
    </w:p>
    <w:p w:rsidR="001038EB" w:rsidRPr="00DF7F81" w:rsidRDefault="00DF7F81" w:rsidP="00DF7F81">
      <w:pPr>
        <w:pStyle w:val="H23G"/>
      </w:pPr>
      <w:r w:rsidRPr="00DF7F81">
        <w:tab/>
      </w:r>
      <w:r w:rsidRPr="00DF7F81">
        <w:tab/>
      </w:r>
      <w:r w:rsidR="001038EB" w:rsidRPr="00DF7F81">
        <w:t>Human rights education</w:t>
      </w:r>
    </w:p>
    <w:p w:rsidR="001038EB" w:rsidRPr="00DF7F81" w:rsidRDefault="00113BF1" w:rsidP="00344165">
      <w:pPr>
        <w:pStyle w:val="SingleTxtG"/>
      </w:pPr>
      <w:r w:rsidRPr="00DF7F81">
        <w:rPr>
          <w:iCs/>
        </w:rPr>
        <w:t>72.</w:t>
      </w:r>
      <w:r w:rsidRPr="00DF7F81">
        <w:rPr>
          <w:iCs/>
        </w:rPr>
        <w:tab/>
      </w:r>
      <w:r w:rsidR="001038EB" w:rsidRPr="00DF7F81">
        <w:rPr>
          <w:b/>
        </w:rPr>
        <w:t>The Committee recommends that the State party develop a national plan of action for human rights education, as recommended in the framework of the World Programme for Human Rights Education.</w:t>
      </w:r>
    </w:p>
    <w:p w:rsidR="001038EB" w:rsidRPr="00DF7F81" w:rsidRDefault="00DF7F81" w:rsidP="00DF7F81">
      <w:pPr>
        <w:pStyle w:val="H23G"/>
        <w:rPr>
          <w:lang w:eastAsia="en-GB"/>
        </w:rPr>
      </w:pPr>
      <w:r>
        <w:tab/>
      </w:r>
      <w:r>
        <w:tab/>
      </w:r>
      <w:r w:rsidR="001038EB" w:rsidRPr="00A52241">
        <w:t>Rest, leisure, recreation and cultural and artistic activities</w:t>
      </w:r>
      <w:r w:rsidR="001038EB" w:rsidRPr="00EF4C80">
        <w:rPr>
          <w:lang w:eastAsia="en-GB"/>
        </w:rPr>
        <w:tab/>
      </w:r>
    </w:p>
    <w:p w:rsidR="001038EB" w:rsidRPr="001E0A9B" w:rsidRDefault="00113BF1" w:rsidP="00344165">
      <w:pPr>
        <w:pStyle w:val="SingleTxtG"/>
        <w:rPr>
          <w:rFonts w:eastAsia="Malgun Gothic"/>
        </w:rPr>
      </w:pPr>
      <w:r w:rsidRPr="001E0A9B">
        <w:rPr>
          <w:rFonts w:eastAsia="Malgun Gothic"/>
          <w:iCs/>
        </w:rPr>
        <w:t>73.</w:t>
      </w:r>
      <w:r w:rsidRPr="001E0A9B">
        <w:rPr>
          <w:rFonts w:eastAsia="Malgun Gothic"/>
          <w:iCs/>
        </w:rPr>
        <w:tab/>
      </w:r>
      <w:r w:rsidR="001038EB" w:rsidRPr="00DE58A7">
        <w:rPr>
          <w:rFonts w:eastAsia="Malgun Gothic"/>
        </w:rPr>
        <w:t xml:space="preserve">The Committee notes the </w:t>
      </w:r>
      <w:r w:rsidR="001038EB" w:rsidRPr="00FD1BBB">
        <w:t>inclusion</w:t>
      </w:r>
      <w:r w:rsidR="001038EB" w:rsidRPr="00DE58A7">
        <w:rPr>
          <w:rFonts w:eastAsia="Malgun Gothic"/>
        </w:rPr>
        <w:t xml:space="preserve"> </w:t>
      </w:r>
      <w:r w:rsidR="001038EB">
        <w:rPr>
          <w:rFonts w:eastAsia="Malgun Gothic"/>
        </w:rPr>
        <w:t xml:space="preserve">of the </w:t>
      </w:r>
      <w:r w:rsidR="001038EB" w:rsidRPr="00DE58A7">
        <w:t>right</w:t>
      </w:r>
      <w:r w:rsidR="00DF285B">
        <w:t xml:space="preserve"> of children</w:t>
      </w:r>
      <w:r w:rsidR="001038EB" w:rsidRPr="00DE58A7">
        <w:t xml:space="preserve"> </w:t>
      </w:r>
      <w:r w:rsidR="001038EB" w:rsidRPr="00FD1BBB">
        <w:t xml:space="preserve">to rest, leisure and play in the </w:t>
      </w:r>
      <w:r w:rsidR="00DF285B">
        <w:t>n</w:t>
      </w:r>
      <w:r w:rsidR="001038EB" w:rsidRPr="00FD1BBB">
        <w:t xml:space="preserve">ational </w:t>
      </w:r>
      <w:r w:rsidR="00DF285B">
        <w:t>e</w:t>
      </w:r>
      <w:r w:rsidR="001038EB" w:rsidRPr="00FD1BBB">
        <w:t xml:space="preserve">ducation </w:t>
      </w:r>
      <w:r w:rsidR="00DF285B">
        <w:t>c</w:t>
      </w:r>
      <w:r w:rsidR="001038EB" w:rsidRPr="00FD1BBB">
        <w:t>urriculum.</w:t>
      </w:r>
      <w:r w:rsidR="001038EB" w:rsidRPr="00DE58A7">
        <w:t xml:space="preserve"> </w:t>
      </w:r>
      <w:r w:rsidR="00AC49B4">
        <w:t>It</w:t>
      </w:r>
      <w:r w:rsidR="001038EB" w:rsidRPr="00DE58A7">
        <w:t xml:space="preserve"> is concerned that progress has been limited</w:t>
      </w:r>
      <w:r w:rsidR="00DF285B">
        <w:t>,</w:t>
      </w:r>
      <w:r w:rsidR="001038EB" w:rsidRPr="00DE58A7">
        <w:t xml:space="preserve"> with no government ins</w:t>
      </w:r>
      <w:r w:rsidR="001038EB" w:rsidRPr="00FD1BBB">
        <w:t>titution taking th</w:t>
      </w:r>
      <w:r w:rsidR="001038EB" w:rsidRPr="00D14A78">
        <w:t>e lead</w:t>
      </w:r>
      <w:r w:rsidR="001038EB">
        <w:t xml:space="preserve"> in the implementation of this right</w:t>
      </w:r>
      <w:r w:rsidR="001038EB" w:rsidRPr="00D14A78">
        <w:t xml:space="preserve">, </w:t>
      </w:r>
      <w:r w:rsidR="00AC49B4">
        <w:t>and notes</w:t>
      </w:r>
      <w:r w:rsidR="00AC49B4" w:rsidRPr="00D14A78">
        <w:t xml:space="preserve"> </w:t>
      </w:r>
      <w:r w:rsidR="001038EB" w:rsidRPr="00D14A78">
        <w:t>the lack of spaces for recreat</w:t>
      </w:r>
      <w:r w:rsidR="001038EB">
        <w:t>ion, within and outside schools</w:t>
      </w:r>
      <w:r w:rsidR="00DF285B">
        <w:t>,</w:t>
      </w:r>
      <w:r w:rsidR="001038EB">
        <w:t xml:space="preserve"> and</w:t>
      </w:r>
      <w:r w:rsidR="001038EB" w:rsidRPr="00D14A78">
        <w:t xml:space="preserve"> </w:t>
      </w:r>
      <w:r w:rsidR="00AC49B4">
        <w:t>that</w:t>
      </w:r>
      <w:r w:rsidR="001038EB" w:rsidRPr="00D14A78">
        <w:t xml:space="preserve"> the few </w:t>
      </w:r>
      <w:r w:rsidR="00AC49B4">
        <w:t xml:space="preserve">spaces </w:t>
      </w:r>
      <w:r w:rsidR="001038EB" w:rsidRPr="00D14A78">
        <w:t xml:space="preserve">available </w:t>
      </w:r>
      <w:r w:rsidR="00AC49B4">
        <w:t xml:space="preserve">do </w:t>
      </w:r>
      <w:r w:rsidR="001038EB" w:rsidRPr="00D14A78">
        <w:t>not hav</w:t>
      </w:r>
      <w:r w:rsidR="00AC49B4">
        <w:t>e</w:t>
      </w:r>
      <w:r w:rsidR="001038EB" w:rsidRPr="00D14A78">
        <w:t xml:space="preserve"> </w:t>
      </w:r>
      <w:r w:rsidR="001038EB" w:rsidRPr="00DE58A7">
        <w:rPr>
          <w:lang w:eastAsia="en-GB"/>
        </w:rPr>
        <w:t>a gender perspective and often exclud</w:t>
      </w:r>
      <w:r w:rsidR="00AC49B4">
        <w:rPr>
          <w:lang w:eastAsia="en-GB"/>
        </w:rPr>
        <w:t>e</w:t>
      </w:r>
      <w:r w:rsidR="001038EB" w:rsidRPr="00DE58A7">
        <w:rPr>
          <w:lang w:eastAsia="en-GB"/>
        </w:rPr>
        <w:t xml:space="preserve"> girls.</w:t>
      </w:r>
      <w:r w:rsidR="001038EB" w:rsidRPr="001E0A9B">
        <w:rPr>
          <w:rFonts w:eastAsia="Malgun Gothic"/>
          <w:b/>
        </w:rPr>
        <w:t xml:space="preserve"> </w:t>
      </w:r>
      <w:r w:rsidR="00941511">
        <w:rPr>
          <w:rFonts w:eastAsia="Malgun Gothic"/>
          <w:b/>
        </w:rPr>
        <w:t xml:space="preserve">  </w:t>
      </w:r>
    </w:p>
    <w:p w:rsidR="001038EB" w:rsidRPr="00842B5C" w:rsidRDefault="00113BF1" w:rsidP="00344165">
      <w:pPr>
        <w:pStyle w:val="SingleTxtG"/>
        <w:rPr>
          <w:rFonts w:eastAsia="Malgun Gothic"/>
        </w:rPr>
      </w:pPr>
      <w:r w:rsidRPr="00842B5C">
        <w:rPr>
          <w:rFonts w:eastAsia="Malgun Gothic"/>
          <w:iCs/>
        </w:rPr>
        <w:t>74.</w:t>
      </w:r>
      <w:r w:rsidRPr="00842B5C">
        <w:rPr>
          <w:rFonts w:eastAsia="Malgun Gothic"/>
          <w:iCs/>
        </w:rPr>
        <w:tab/>
      </w:r>
      <w:r w:rsidR="001038EB" w:rsidRPr="00DF7F81">
        <w:rPr>
          <w:rStyle w:val="SingleTxtGChar"/>
          <w:rFonts w:eastAsia="Malgun Gothic"/>
          <w:b/>
        </w:rPr>
        <w:t xml:space="preserve">In the light of its </w:t>
      </w:r>
      <w:r w:rsidR="00DF285B">
        <w:rPr>
          <w:rStyle w:val="SingleTxtGChar"/>
          <w:rFonts w:eastAsia="Malgun Gothic"/>
          <w:b/>
        </w:rPr>
        <w:t>g</w:t>
      </w:r>
      <w:r w:rsidR="001038EB" w:rsidRPr="00DF7F81">
        <w:rPr>
          <w:rStyle w:val="SingleTxtGChar"/>
          <w:rFonts w:eastAsia="Malgun Gothic"/>
          <w:b/>
        </w:rPr>
        <w:t xml:space="preserve">eneral </w:t>
      </w:r>
      <w:r w:rsidR="00DF285B">
        <w:rPr>
          <w:rStyle w:val="SingleTxtGChar"/>
          <w:rFonts w:eastAsia="Malgun Gothic"/>
          <w:b/>
        </w:rPr>
        <w:t>c</w:t>
      </w:r>
      <w:r w:rsidR="001038EB" w:rsidRPr="00DF7F81">
        <w:rPr>
          <w:rStyle w:val="SingleTxtGChar"/>
          <w:rFonts w:eastAsia="Malgun Gothic"/>
          <w:b/>
        </w:rPr>
        <w:t>omment</w:t>
      </w:r>
      <w:r w:rsidR="008969E1">
        <w:rPr>
          <w:rStyle w:val="SingleTxtGChar"/>
          <w:rFonts w:eastAsia="Malgun Gothic"/>
          <w:b/>
        </w:rPr>
        <w:t xml:space="preserve"> No. </w:t>
      </w:r>
      <w:r w:rsidR="001038EB" w:rsidRPr="00DF7F81">
        <w:rPr>
          <w:rStyle w:val="SingleTxtGChar"/>
          <w:rFonts w:eastAsia="Malgun Gothic"/>
          <w:b/>
        </w:rPr>
        <w:t>17 (201</w:t>
      </w:r>
      <w:r w:rsidR="00DF285B">
        <w:rPr>
          <w:rStyle w:val="SingleTxtGChar"/>
          <w:rFonts w:eastAsia="Malgun Gothic"/>
          <w:b/>
        </w:rPr>
        <w:t>3</w:t>
      </w:r>
      <w:r w:rsidR="001038EB" w:rsidRPr="00DF7F81">
        <w:rPr>
          <w:rStyle w:val="SingleTxtGChar"/>
          <w:rFonts w:eastAsia="Malgun Gothic"/>
          <w:b/>
        </w:rPr>
        <w:t xml:space="preserve">) on the right of the child </w:t>
      </w:r>
      <w:r w:rsidR="001038EB" w:rsidRPr="00DF7F81">
        <w:rPr>
          <w:rStyle w:val="SingleTxtGChar"/>
          <w:b/>
        </w:rPr>
        <w:t xml:space="preserve">to rest, leisure, play, recreational activities, cultural life and the arts, </w:t>
      </w:r>
      <w:r w:rsidR="001038EB" w:rsidRPr="00DF7F81">
        <w:rPr>
          <w:rStyle w:val="SingleTxtGChar"/>
          <w:rFonts w:eastAsia="Malgun Gothic"/>
          <w:b/>
        </w:rPr>
        <w:t xml:space="preserve">the Committee recommends that the State party identify the governmental institution </w:t>
      </w:r>
      <w:r w:rsidR="00B64B38">
        <w:rPr>
          <w:rStyle w:val="SingleTxtGChar"/>
          <w:rFonts w:eastAsia="Malgun Gothic"/>
          <w:b/>
        </w:rPr>
        <w:t xml:space="preserve">that </w:t>
      </w:r>
      <w:r w:rsidR="00B43E5B">
        <w:rPr>
          <w:rStyle w:val="SingleTxtGChar"/>
          <w:rFonts w:eastAsia="Malgun Gothic"/>
          <w:b/>
        </w:rPr>
        <w:t>is</w:t>
      </w:r>
      <w:r w:rsidR="001038EB" w:rsidRPr="00DF7F81">
        <w:rPr>
          <w:rStyle w:val="SingleTxtGChar"/>
          <w:rFonts w:eastAsia="Malgun Gothic"/>
          <w:b/>
        </w:rPr>
        <w:t xml:space="preserve"> to take the lead </w:t>
      </w:r>
      <w:r w:rsidR="00E8129C">
        <w:rPr>
          <w:rStyle w:val="SingleTxtGChar"/>
          <w:rFonts w:eastAsia="Malgun Gothic"/>
          <w:b/>
        </w:rPr>
        <w:t>in</w:t>
      </w:r>
      <w:r w:rsidR="001038EB" w:rsidRPr="00DF7F81">
        <w:rPr>
          <w:rStyle w:val="SingleTxtGChar"/>
          <w:rFonts w:eastAsia="Malgun Gothic"/>
          <w:b/>
        </w:rPr>
        <w:t xml:space="preserve"> promot</w:t>
      </w:r>
      <w:r w:rsidR="00E8129C">
        <w:rPr>
          <w:rStyle w:val="SingleTxtGChar"/>
          <w:rFonts w:eastAsia="Malgun Gothic"/>
          <w:b/>
        </w:rPr>
        <w:t>ing</w:t>
      </w:r>
      <w:r w:rsidR="001038EB" w:rsidRPr="00DF7F81">
        <w:rPr>
          <w:rStyle w:val="SingleTxtGChar"/>
          <w:rFonts w:eastAsia="Malgun Gothic"/>
          <w:b/>
        </w:rPr>
        <w:t xml:space="preserve"> and protect</w:t>
      </w:r>
      <w:r w:rsidR="00E8129C">
        <w:rPr>
          <w:rStyle w:val="SingleTxtGChar"/>
          <w:rFonts w:eastAsia="Malgun Gothic"/>
          <w:b/>
        </w:rPr>
        <w:t>ing</w:t>
      </w:r>
      <w:r w:rsidR="001038EB" w:rsidRPr="00DF7F81">
        <w:rPr>
          <w:rStyle w:val="SingleTxtGChar"/>
          <w:rFonts w:eastAsia="Malgun Gothic"/>
          <w:b/>
        </w:rPr>
        <w:t xml:space="preserve"> this</w:t>
      </w:r>
      <w:r w:rsidR="001038EB" w:rsidRPr="00DF7F81">
        <w:rPr>
          <w:rStyle w:val="SingleTxtGChar"/>
          <w:b/>
        </w:rPr>
        <w:t xml:space="preserve"> right</w:t>
      </w:r>
      <w:r w:rsidR="001038EB" w:rsidRPr="00DF7F81">
        <w:rPr>
          <w:rStyle w:val="SingleTxtGChar"/>
          <w:rFonts w:eastAsia="Malgun Gothic"/>
          <w:b/>
        </w:rPr>
        <w:t>,</w:t>
      </w:r>
      <w:r w:rsidR="00B64B38">
        <w:rPr>
          <w:rStyle w:val="SingleTxtGChar"/>
          <w:rFonts w:eastAsia="Malgun Gothic"/>
          <w:b/>
        </w:rPr>
        <w:t xml:space="preserve"> </w:t>
      </w:r>
      <w:r w:rsidR="001038EB" w:rsidRPr="00E8129C">
        <w:rPr>
          <w:rStyle w:val="SingleTxtGChar"/>
          <w:rFonts w:eastAsia="Malgun Gothic"/>
          <w:b/>
        </w:rPr>
        <w:t xml:space="preserve">including </w:t>
      </w:r>
      <w:r w:rsidR="00B64B38">
        <w:rPr>
          <w:rStyle w:val="SingleTxtGChar"/>
          <w:rFonts w:eastAsia="Malgun Gothic"/>
          <w:b/>
        </w:rPr>
        <w:t xml:space="preserve">through </w:t>
      </w:r>
      <w:r w:rsidR="001038EB" w:rsidRPr="00E8129C">
        <w:rPr>
          <w:rStyle w:val="SingleTxtGChar"/>
          <w:rFonts w:eastAsia="Malgun Gothic"/>
          <w:b/>
        </w:rPr>
        <w:t>the</w:t>
      </w:r>
      <w:r w:rsidR="001038EB" w:rsidRPr="00DF7F81">
        <w:rPr>
          <w:rStyle w:val="SingleTxtGChar"/>
          <w:rFonts w:eastAsia="Malgun Gothic"/>
          <w:b/>
        </w:rPr>
        <w:t xml:space="preserve"> mobilization of national and municipal institutions and organizations</w:t>
      </w:r>
      <w:r w:rsidR="001038EB" w:rsidRPr="00DF7F81">
        <w:rPr>
          <w:rFonts w:eastAsia="Malgun Gothic"/>
          <w:b/>
        </w:rPr>
        <w:t>.</w:t>
      </w:r>
      <w:r w:rsidR="001038EB">
        <w:rPr>
          <w:rFonts w:eastAsia="Malgun Gothic"/>
          <w:b/>
        </w:rPr>
        <w:t xml:space="preserve"> </w:t>
      </w:r>
    </w:p>
    <w:p w:rsidR="001038EB" w:rsidRPr="00553408" w:rsidRDefault="008207E9" w:rsidP="00FC3DF6">
      <w:pPr>
        <w:pStyle w:val="H1G"/>
      </w:pPr>
      <w:r>
        <w:tab/>
        <w:t>H.</w:t>
      </w:r>
      <w:r>
        <w:tab/>
      </w:r>
      <w:r w:rsidR="001038EB" w:rsidRPr="00553408">
        <w:t>Special protection measures (arts.</w:t>
      </w:r>
      <w:r w:rsidR="00E34889">
        <w:t> </w:t>
      </w:r>
      <w:r w:rsidR="001038EB" w:rsidRPr="00553408">
        <w:t>22, 30, 32</w:t>
      </w:r>
      <w:r w:rsidR="00E34889">
        <w:t>–</w:t>
      </w:r>
      <w:r w:rsidR="001038EB" w:rsidRPr="00553408">
        <w:t>33, 35</w:t>
      </w:r>
      <w:r w:rsidR="00FC3DF6">
        <w:t>–</w:t>
      </w:r>
      <w:r w:rsidR="001038EB" w:rsidRPr="00553408">
        <w:t>36, 37 (b)</w:t>
      </w:r>
      <w:r w:rsidR="00E34889">
        <w:t>–</w:t>
      </w:r>
      <w:r w:rsidR="001038EB" w:rsidRPr="00553408">
        <w:t xml:space="preserve">(d), </w:t>
      </w:r>
      <w:r w:rsidR="00FC3DF6">
        <w:t xml:space="preserve">and </w:t>
      </w:r>
      <w:r w:rsidR="001038EB" w:rsidRPr="00553408">
        <w:t>38</w:t>
      </w:r>
      <w:r w:rsidR="00FC3DF6">
        <w:t>–</w:t>
      </w:r>
      <w:r w:rsidR="001038EB" w:rsidRPr="00553408">
        <w:t>40)</w:t>
      </w:r>
    </w:p>
    <w:p w:rsidR="001038EB" w:rsidRDefault="008207E9" w:rsidP="008207E9">
      <w:pPr>
        <w:pStyle w:val="H23G"/>
      </w:pPr>
      <w:r>
        <w:tab/>
      </w:r>
      <w:r>
        <w:tab/>
      </w:r>
      <w:r w:rsidR="001038EB" w:rsidRPr="00C61DAC">
        <w:t>Children in situations of migration</w:t>
      </w:r>
    </w:p>
    <w:p w:rsidR="001038EB" w:rsidRPr="008207E9" w:rsidRDefault="00113BF1" w:rsidP="00344165">
      <w:pPr>
        <w:pStyle w:val="SingleTxtG"/>
      </w:pPr>
      <w:r w:rsidRPr="008207E9">
        <w:rPr>
          <w:iCs/>
        </w:rPr>
        <w:t>75.</w:t>
      </w:r>
      <w:r w:rsidRPr="008207E9">
        <w:rPr>
          <w:iCs/>
        </w:rPr>
        <w:tab/>
      </w:r>
      <w:r w:rsidR="001038EB" w:rsidRPr="008207E9">
        <w:t xml:space="preserve">The Committee welcomes the measures taken to document regular and irregular migration processes and to provide assistance and protection </w:t>
      </w:r>
      <w:r w:rsidR="00E12C9A">
        <w:t>for</w:t>
      </w:r>
      <w:r w:rsidR="001038EB" w:rsidRPr="008207E9">
        <w:t xml:space="preserve"> repatriated children, including </w:t>
      </w:r>
      <w:r w:rsidR="00B43E5B">
        <w:t>by</w:t>
      </w:r>
      <w:r w:rsidR="00B43E5B" w:rsidRPr="008207E9">
        <w:t xml:space="preserve"> </w:t>
      </w:r>
      <w:r w:rsidR="001038EB" w:rsidRPr="008207E9">
        <w:t xml:space="preserve">increasing collaboration with countries in the region. However, the Committee remains concerned about: </w:t>
      </w:r>
    </w:p>
    <w:p w:rsidR="001038EB" w:rsidRPr="008207E9" w:rsidRDefault="008207E9" w:rsidP="00113BF1">
      <w:pPr>
        <w:pStyle w:val="SingleTxtG"/>
        <w:ind w:firstLine="567"/>
      </w:pPr>
      <w:r>
        <w:t>(a)</w:t>
      </w:r>
      <w:r>
        <w:tab/>
      </w:r>
      <w:r w:rsidR="001038EB" w:rsidRPr="008207E9">
        <w:t xml:space="preserve">The lack of policies </w:t>
      </w:r>
      <w:r w:rsidR="009E4E56">
        <w:t>and</w:t>
      </w:r>
      <w:r w:rsidR="001038EB" w:rsidRPr="008207E9">
        <w:t xml:space="preserve"> permanent programmes </w:t>
      </w:r>
      <w:r w:rsidR="00E12C9A">
        <w:t>for</w:t>
      </w:r>
      <w:r w:rsidR="001038EB" w:rsidRPr="008207E9">
        <w:t xml:space="preserve"> address</w:t>
      </w:r>
      <w:r w:rsidR="00E12C9A">
        <w:t>ing</w:t>
      </w:r>
      <w:r w:rsidR="001038EB" w:rsidRPr="008207E9">
        <w:t xml:space="preserve"> the root causes and structural factors that lead to the irregular and unaccompanied migration of children; </w:t>
      </w:r>
    </w:p>
    <w:p w:rsidR="001038EB" w:rsidRPr="008207E9" w:rsidRDefault="008207E9" w:rsidP="00113BF1">
      <w:pPr>
        <w:pStyle w:val="SingleTxtG"/>
        <w:ind w:firstLine="567"/>
      </w:pPr>
      <w:r>
        <w:t>(b)</w:t>
      </w:r>
      <w:r>
        <w:tab/>
      </w:r>
      <w:r w:rsidR="001038EB" w:rsidRPr="008207E9">
        <w:t>The detention in third countries of children waiting to be repatriated</w:t>
      </w:r>
      <w:r w:rsidR="00E12C9A">
        <w:t>,</w:t>
      </w:r>
      <w:r w:rsidR="001038EB" w:rsidRPr="008207E9">
        <w:t xml:space="preserve"> for unknown periods of time;</w:t>
      </w:r>
    </w:p>
    <w:p w:rsidR="001038EB" w:rsidRPr="008207E9" w:rsidRDefault="008207E9" w:rsidP="00113BF1">
      <w:pPr>
        <w:pStyle w:val="SingleTxtG"/>
        <w:ind w:firstLine="567"/>
      </w:pPr>
      <w:r>
        <w:t>(c)</w:t>
      </w:r>
      <w:r>
        <w:tab/>
      </w:r>
      <w:r w:rsidR="001038EB" w:rsidRPr="008207E9">
        <w:t xml:space="preserve">The lack of appropriate mechanisms </w:t>
      </w:r>
      <w:r w:rsidR="00E12C9A">
        <w:t>for</w:t>
      </w:r>
      <w:r w:rsidR="001038EB" w:rsidRPr="008207E9">
        <w:t xml:space="preserve"> monitor</w:t>
      </w:r>
      <w:r w:rsidR="00E12C9A">
        <w:t>ing</w:t>
      </w:r>
      <w:r w:rsidR="001038EB" w:rsidRPr="008207E9">
        <w:t xml:space="preserve"> and evaluat</w:t>
      </w:r>
      <w:r w:rsidR="00E12C9A">
        <w:t>ing</w:t>
      </w:r>
      <w:r w:rsidR="001038EB" w:rsidRPr="008207E9">
        <w:t xml:space="preserve"> repatriation processes, including family and social reintegration;</w:t>
      </w:r>
    </w:p>
    <w:p w:rsidR="001038EB" w:rsidRPr="008207E9" w:rsidRDefault="008207E9" w:rsidP="00113BF1">
      <w:pPr>
        <w:pStyle w:val="SingleTxtG"/>
        <w:ind w:firstLine="567"/>
      </w:pPr>
      <w:r>
        <w:t>(d)</w:t>
      </w:r>
      <w:r>
        <w:tab/>
      </w:r>
      <w:r w:rsidR="001038EB" w:rsidRPr="008207E9">
        <w:t xml:space="preserve">The impact of the migration of adult family members on the security and welfare of children left behind in the State party. </w:t>
      </w:r>
    </w:p>
    <w:p w:rsidR="001038EB" w:rsidRPr="008207E9" w:rsidRDefault="00113BF1" w:rsidP="00344165">
      <w:pPr>
        <w:pStyle w:val="SingleTxtG"/>
        <w:rPr>
          <w:b/>
        </w:rPr>
      </w:pPr>
      <w:r w:rsidRPr="008207E9">
        <w:rPr>
          <w:iCs/>
        </w:rPr>
        <w:t>76.</w:t>
      </w:r>
      <w:r w:rsidRPr="008207E9">
        <w:rPr>
          <w:iCs/>
        </w:rPr>
        <w:tab/>
      </w:r>
      <w:r w:rsidR="001038EB" w:rsidRPr="008207E9">
        <w:rPr>
          <w:b/>
        </w:rPr>
        <w:t xml:space="preserve">In the light of </w:t>
      </w:r>
      <w:r w:rsidR="00BB14F2">
        <w:rPr>
          <w:b/>
        </w:rPr>
        <w:t>the recommendations from its</w:t>
      </w:r>
      <w:r w:rsidR="001038EB" w:rsidRPr="008207E9">
        <w:rPr>
          <w:b/>
        </w:rPr>
        <w:t xml:space="preserve"> </w:t>
      </w:r>
      <w:r w:rsidR="00E12C9A" w:rsidRPr="00BB14F2">
        <w:rPr>
          <w:b/>
        </w:rPr>
        <w:t>d</w:t>
      </w:r>
      <w:r w:rsidR="001038EB" w:rsidRPr="00BB14F2">
        <w:rPr>
          <w:b/>
        </w:rPr>
        <w:t xml:space="preserve">ay of </w:t>
      </w:r>
      <w:r w:rsidR="00E12C9A" w:rsidRPr="00BB14F2">
        <w:rPr>
          <w:b/>
        </w:rPr>
        <w:t>g</w:t>
      </w:r>
      <w:r w:rsidR="001038EB" w:rsidRPr="00BB14F2">
        <w:rPr>
          <w:b/>
        </w:rPr>
        <w:t xml:space="preserve">eneral </w:t>
      </w:r>
      <w:r w:rsidR="00E12C9A" w:rsidRPr="00BB14F2">
        <w:rPr>
          <w:b/>
        </w:rPr>
        <w:t>d</w:t>
      </w:r>
      <w:r w:rsidR="001038EB" w:rsidRPr="00BB14F2">
        <w:rPr>
          <w:b/>
        </w:rPr>
        <w:t xml:space="preserve">iscussion on the </w:t>
      </w:r>
      <w:r w:rsidR="00E12C9A" w:rsidRPr="00BB14F2">
        <w:rPr>
          <w:b/>
        </w:rPr>
        <w:t>r</w:t>
      </w:r>
      <w:r w:rsidR="001038EB" w:rsidRPr="00BB14F2">
        <w:rPr>
          <w:b/>
        </w:rPr>
        <w:t>ights of all children in the context of international migration</w:t>
      </w:r>
      <w:r w:rsidR="00BB14F2">
        <w:rPr>
          <w:b/>
        </w:rPr>
        <w:t>, held</w:t>
      </w:r>
      <w:r w:rsidR="001038EB" w:rsidRPr="00BB14F2">
        <w:rPr>
          <w:b/>
        </w:rPr>
        <w:t xml:space="preserve"> in 2012</w:t>
      </w:r>
      <w:r w:rsidR="001038EB" w:rsidRPr="008207E9">
        <w:rPr>
          <w:b/>
        </w:rPr>
        <w:t xml:space="preserve">, the Committee recommends </w:t>
      </w:r>
      <w:r w:rsidR="00BB14F2">
        <w:rPr>
          <w:b/>
        </w:rPr>
        <w:t xml:space="preserve">that </w:t>
      </w:r>
      <w:r w:rsidR="001038EB" w:rsidRPr="008207E9">
        <w:rPr>
          <w:b/>
        </w:rPr>
        <w:t xml:space="preserve">the State party: </w:t>
      </w:r>
    </w:p>
    <w:p w:rsidR="001038EB" w:rsidRPr="008207E9" w:rsidRDefault="008207E9" w:rsidP="00113BF1">
      <w:pPr>
        <w:pStyle w:val="SingleTxtG"/>
        <w:ind w:firstLine="567"/>
        <w:rPr>
          <w:b/>
        </w:rPr>
      </w:pPr>
      <w:r w:rsidRPr="00113BF1">
        <w:rPr>
          <w:bCs/>
        </w:rPr>
        <w:t>(a)</w:t>
      </w:r>
      <w:r w:rsidRPr="008207E9">
        <w:rPr>
          <w:b/>
        </w:rPr>
        <w:tab/>
      </w:r>
      <w:r w:rsidR="001038EB" w:rsidRPr="008207E9">
        <w:rPr>
          <w:b/>
        </w:rPr>
        <w:t xml:space="preserve">Develop and implement a comprehensive human rights-based policy and programme to address the root causes of the irregular and unaccompanied migration of children; </w:t>
      </w:r>
    </w:p>
    <w:p w:rsidR="001038EB" w:rsidRPr="008207E9" w:rsidRDefault="008207E9" w:rsidP="00113BF1">
      <w:pPr>
        <w:pStyle w:val="SingleTxtG"/>
        <w:ind w:firstLine="567"/>
        <w:rPr>
          <w:b/>
        </w:rPr>
      </w:pPr>
      <w:r w:rsidRPr="00113BF1">
        <w:rPr>
          <w:bCs/>
        </w:rPr>
        <w:lastRenderedPageBreak/>
        <w:t>(b)</w:t>
      </w:r>
      <w:r w:rsidRPr="008207E9">
        <w:rPr>
          <w:b/>
        </w:rPr>
        <w:tab/>
      </w:r>
      <w:r w:rsidR="001038EB" w:rsidRPr="008207E9">
        <w:rPr>
          <w:b/>
        </w:rPr>
        <w:t xml:space="preserve">Take all measures </w:t>
      </w:r>
      <w:r w:rsidR="00173EBA" w:rsidRPr="00173EBA">
        <w:rPr>
          <w:b/>
        </w:rPr>
        <w:t xml:space="preserve">necessary </w:t>
      </w:r>
      <w:r w:rsidR="001038EB" w:rsidRPr="008207E9">
        <w:rPr>
          <w:b/>
        </w:rPr>
        <w:t>to end the administrative detention in third countries of migrant children waiting to be repatriated</w:t>
      </w:r>
      <w:r w:rsidR="009E4E56">
        <w:rPr>
          <w:b/>
        </w:rPr>
        <w:t>,</w:t>
      </w:r>
      <w:r w:rsidR="001038EB" w:rsidRPr="008207E9">
        <w:rPr>
          <w:b/>
        </w:rPr>
        <w:t xml:space="preserve"> and ensure that migrant children are informed about their legal status, fully understand their situation and have access to public defence services and/or guardians throughout the process. Children should also be informed </w:t>
      </w:r>
      <w:r w:rsidR="00173EBA">
        <w:rPr>
          <w:b/>
        </w:rPr>
        <w:t>that they may</w:t>
      </w:r>
      <w:r w:rsidR="001038EB" w:rsidRPr="008207E9">
        <w:rPr>
          <w:b/>
        </w:rPr>
        <w:t xml:space="preserve"> contact their </w:t>
      </w:r>
      <w:r w:rsidR="00173EBA">
        <w:rPr>
          <w:b/>
        </w:rPr>
        <w:t>c</w:t>
      </w:r>
      <w:r w:rsidR="001038EB" w:rsidRPr="008207E9">
        <w:rPr>
          <w:b/>
        </w:rPr>
        <w:t xml:space="preserve">onsular </w:t>
      </w:r>
      <w:r w:rsidR="00173EBA">
        <w:rPr>
          <w:b/>
        </w:rPr>
        <w:t>s</w:t>
      </w:r>
      <w:r w:rsidR="001038EB" w:rsidRPr="008207E9">
        <w:rPr>
          <w:b/>
        </w:rPr>
        <w:t>ervices;</w:t>
      </w:r>
    </w:p>
    <w:p w:rsidR="001038EB" w:rsidRPr="008207E9" w:rsidRDefault="008207E9" w:rsidP="00113BF1">
      <w:pPr>
        <w:pStyle w:val="SingleTxtG"/>
        <w:ind w:firstLine="567"/>
        <w:rPr>
          <w:b/>
        </w:rPr>
      </w:pPr>
      <w:r w:rsidRPr="00113BF1">
        <w:rPr>
          <w:bCs/>
        </w:rPr>
        <w:t>(c)</w:t>
      </w:r>
      <w:r w:rsidRPr="008207E9">
        <w:rPr>
          <w:b/>
        </w:rPr>
        <w:tab/>
      </w:r>
      <w:r w:rsidR="001038EB" w:rsidRPr="008207E9">
        <w:rPr>
          <w:b/>
        </w:rPr>
        <w:t xml:space="preserve">Collect disaggregated data related to cases of children’s repatriation, including the reintegration </w:t>
      </w:r>
      <w:r w:rsidR="00173EBA">
        <w:rPr>
          <w:b/>
        </w:rPr>
        <w:t xml:space="preserve">of children </w:t>
      </w:r>
      <w:r w:rsidR="001038EB" w:rsidRPr="008207E9">
        <w:rPr>
          <w:b/>
        </w:rPr>
        <w:t xml:space="preserve">in their families and communities; </w:t>
      </w:r>
    </w:p>
    <w:p w:rsidR="001038EB" w:rsidRPr="008207E9" w:rsidRDefault="008207E9" w:rsidP="00113BF1">
      <w:pPr>
        <w:pStyle w:val="SingleTxtG"/>
        <w:ind w:firstLine="567"/>
        <w:rPr>
          <w:b/>
        </w:rPr>
      </w:pPr>
      <w:r w:rsidRPr="00113BF1">
        <w:rPr>
          <w:bCs/>
        </w:rPr>
        <w:t>(d)</w:t>
      </w:r>
      <w:r w:rsidRPr="008207E9">
        <w:rPr>
          <w:b/>
        </w:rPr>
        <w:tab/>
      </w:r>
      <w:r w:rsidR="001038EB" w:rsidRPr="008207E9">
        <w:rPr>
          <w:b/>
        </w:rPr>
        <w:t xml:space="preserve">Collect disaggregated data on the situation of children </w:t>
      </w:r>
      <w:r w:rsidR="00173EBA" w:rsidRPr="00173EBA">
        <w:rPr>
          <w:b/>
        </w:rPr>
        <w:t>in the State party</w:t>
      </w:r>
      <w:r w:rsidR="00173EBA">
        <w:rPr>
          <w:b/>
        </w:rPr>
        <w:t xml:space="preserve"> left behind by</w:t>
      </w:r>
      <w:r w:rsidR="001038EB" w:rsidRPr="008207E9">
        <w:rPr>
          <w:b/>
        </w:rPr>
        <w:t xml:space="preserve"> migrant family members.</w:t>
      </w:r>
    </w:p>
    <w:p w:rsidR="001038EB" w:rsidRPr="008207E9" w:rsidRDefault="008207E9" w:rsidP="008207E9">
      <w:pPr>
        <w:pStyle w:val="H23G"/>
        <w:rPr>
          <w:rFonts w:eastAsia="Malgun Gothic"/>
        </w:rPr>
      </w:pPr>
      <w:r>
        <w:rPr>
          <w:rFonts w:eastAsia="Malgun Gothic"/>
        </w:rPr>
        <w:tab/>
      </w:r>
      <w:r>
        <w:rPr>
          <w:rFonts w:eastAsia="Malgun Gothic"/>
        </w:rPr>
        <w:tab/>
      </w:r>
      <w:r w:rsidR="001038EB" w:rsidRPr="008207E9">
        <w:rPr>
          <w:rFonts w:eastAsia="Malgun Gothic"/>
        </w:rPr>
        <w:t xml:space="preserve">Indigenous and Afro-Honduran children </w:t>
      </w:r>
    </w:p>
    <w:p w:rsidR="001038EB" w:rsidRPr="008207E9" w:rsidRDefault="00113BF1" w:rsidP="00344165">
      <w:pPr>
        <w:pStyle w:val="SingleTxtG"/>
      </w:pPr>
      <w:r w:rsidRPr="008207E9">
        <w:rPr>
          <w:iCs/>
        </w:rPr>
        <w:t>77.</w:t>
      </w:r>
      <w:r w:rsidRPr="008207E9">
        <w:rPr>
          <w:iCs/>
        </w:rPr>
        <w:tab/>
      </w:r>
      <w:r w:rsidR="001038EB" w:rsidRPr="008207E9">
        <w:t xml:space="preserve">The Committee welcomes the creation of the </w:t>
      </w:r>
      <w:r w:rsidR="00752D74">
        <w:t>Ministry</w:t>
      </w:r>
      <w:r w:rsidR="00752D74" w:rsidRPr="008207E9">
        <w:t xml:space="preserve"> </w:t>
      </w:r>
      <w:r w:rsidR="00752D74">
        <w:t>for</w:t>
      </w:r>
      <w:r w:rsidR="001038EB" w:rsidRPr="008207E9">
        <w:t xml:space="preserve"> Indigenous and Afro</w:t>
      </w:r>
      <w:r w:rsidR="00752D74">
        <w:t>-Honduran Peoples</w:t>
      </w:r>
      <w:r w:rsidR="001038EB" w:rsidRPr="008207E9">
        <w:t xml:space="preserve"> and the 2011 study on the </w:t>
      </w:r>
      <w:r w:rsidR="001A11E8">
        <w:t>s</w:t>
      </w:r>
      <w:r w:rsidR="001038EB" w:rsidRPr="008207E9">
        <w:t xml:space="preserve">tatus of </w:t>
      </w:r>
      <w:r w:rsidR="001A11E8">
        <w:t>i</w:t>
      </w:r>
      <w:r w:rsidR="001038EB" w:rsidRPr="008207E9">
        <w:t xml:space="preserve">ndigenous and Afro-Honduran </w:t>
      </w:r>
      <w:r w:rsidR="001A11E8">
        <w:t>c</w:t>
      </w:r>
      <w:r w:rsidR="001038EB" w:rsidRPr="008207E9">
        <w:t>hildren.</w:t>
      </w:r>
      <w:r w:rsidR="0094219F">
        <w:t xml:space="preserve"> </w:t>
      </w:r>
      <w:r w:rsidR="001038EB" w:rsidRPr="008207E9">
        <w:t>The Committee is nevertheless still concerned about:</w:t>
      </w:r>
    </w:p>
    <w:p w:rsidR="001038EB" w:rsidRPr="008207E9" w:rsidRDefault="008207E9" w:rsidP="00113BF1">
      <w:pPr>
        <w:pStyle w:val="SingleTxtG"/>
        <w:ind w:firstLine="567"/>
      </w:pPr>
      <w:r>
        <w:t>(a)</w:t>
      </w:r>
      <w:r>
        <w:tab/>
      </w:r>
      <w:r w:rsidR="001038EB" w:rsidRPr="008207E9">
        <w:t xml:space="preserve">The extremely high rate of poverty </w:t>
      </w:r>
      <w:r w:rsidR="00CF01D8">
        <w:t>among</w:t>
      </w:r>
      <w:r w:rsidR="001038EB" w:rsidRPr="008207E9">
        <w:t xml:space="preserve"> indigenous </w:t>
      </w:r>
      <w:r w:rsidR="00F35892">
        <w:t xml:space="preserve">children </w:t>
      </w:r>
      <w:r w:rsidR="001038EB" w:rsidRPr="008207E9">
        <w:t>and children</w:t>
      </w:r>
      <w:r w:rsidR="00570523">
        <w:t xml:space="preserve"> of African descent</w:t>
      </w:r>
      <w:r w:rsidR="001038EB" w:rsidRPr="008207E9">
        <w:t>;</w:t>
      </w:r>
    </w:p>
    <w:p w:rsidR="001038EB" w:rsidRPr="008207E9" w:rsidRDefault="008207E9" w:rsidP="00113BF1">
      <w:pPr>
        <w:pStyle w:val="SingleTxtG"/>
        <w:ind w:firstLine="567"/>
      </w:pPr>
      <w:r>
        <w:t>(b)</w:t>
      </w:r>
      <w:r>
        <w:tab/>
      </w:r>
      <w:r w:rsidR="001038EB" w:rsidRPr="008207E9">
        <w:t>The enduring practice of child labour, including in its worst forms</w:t>
      </w:r>
      <w:r w:rsidR="001A11E8">
        <w:t>,</w:t>
      </w:r>
      <w:r w:rsidR="001038EB" w:rsidRPr="008207E9">
        <w:t xml:space="preserve"> among indigenous </w:t>
      </w:r>
      <w:r w:rsidR="00570523">
        <w:t xml:space="preserve">children </w:t>
      </w:r>
      <w:r w:rsidR="001038EB" w:rsidRPr="008207E9">
        <w:t>and children</w:t>
      </w:r>
      <w:r w:rsidR="00570523">
        <w:t xml:space="preserve"> of African descent</w:t>
      </w:r>
      <w:r w:rsidR="001038EB" w:rsidRPr="008207E9">
        <w:t xml:space="preserve">; </w:t>
      </w:r>
    </w:p>
    <w:p w:rsidR="001038EB" w:rsidRPr="008207E9" w:rsidRDefault="008207E9" w:rsidP="00113BF1">
      <w:pPr>
        <w:pStyle w:val="SingleTxtG"/>
        <w:ind w:firstLine="567"/>
      </w:pPr>
      <w:r>
        <w:t>(c)</w:t>
      </w:r>
      <w:r>
        <w:tab/>
      </w:r>
      <w:r w:rsidR="001038EB" w:rsidRPr="008207E9">
        <w:t xml:space="preserve">The impact of laws and programmes promoting the exploitation of natural resources on the right of indigenous </w:t>
      </w:r>
      <w:r w:rsidR="00570523">
        <w:t xml:space="preserve">children </w:t>
      </w:r>
      <w:r w:rsidR="001038EB" w:rsidRPr="008207E9">
        <w:t>and children</w:t>
      </w:r>
      <w:r w:rsidR="00570523">
        <w:t xml:space="preserve"> of African descent</w:t>
      </w:r>
      <w:r w:rsidR="001038EB" w:rsidRPr="008207E9">
        <w:t xml:space="preserve"> and their families to ownership of the lands they inhabit</w:t>
      </w:r>
      <w:r w:rsidR="00EC0552">
        <w:t>;</w:t>
      </w:r>
      <w:r w:rsidR="001038EB" w:rsidRPr="008207E9">
        <w:t xml:space="preserve"> </w:t>
      </w:r>
    </w:p>
    <w:p w:rsidR="001038EB" w:rsidRPr="008207E9" w:rsidRDefault="008207E9" w:rsidP="00113BF1">
      <w:pPr>
        <w:pStyle w:val="SingleTxtG"/>
        <w:ind w:firstLine="567"/>
      </w:pPr>
      <w:r>
        <w:t>(d)</w:t>
      </w:r>
      <w:r w:rsidRPr="00344165">
        <w:rPr>
          <w:spacing w:val="-2"/>
        </w:rPr>
        <w:tab/>
      </w:r>
      <w:r w:rsidR="001038EB" w:rsidRPr="00344165">
        <w:rPr>
          <w:spacing w:val="-2"/>
        </w:rPr>
        <w:t xml:space="preserve">The increased militarization and excessive use of force in the context of disputes over land and natural resources, especially in communities where indigenous </w:t>
      </w:r>
      <w:r w:rsidR="00F35892" w:rsidRPr="00344165">
        <w:rPr>
          <w:spacing w:val="-2"/>
        </w:rPr>
        <w:t xml:space="preserve">peoples </w:t>
      </w:r>
      <w:r w:rsidR="001038EB" w:rsidRPr="00344165">
        <w:rPr>
          <w:spacing w:val="-2"/>
        </w:rPr>
        <w:t xml:space="preserve">and </w:t>
      </w:r>
      <w:r w:rsidR="00F35892" w:rsidRPr="00344165">
        <w:rPr>
          <w:spacing w:val="-2"/>
        </w:rPr>
        <w:t>peoples of African</w:t>
      </w:r>
      <w:r w:rsidR="001038EB" w:rsidRPr="00344165">
        <w:rPr>
          <w:spacing w:val="-2"/>
        </w:rPr>
        <w:t xml:space="preserve"> descen</w:t>
      </w:r>
      <w:r w:rsidR="00F35892" w:rsidRPr="00344165">
        <w:rPr>
          <w:spacing w:val="-2"/>
        </w:rPr>
        <w:t>t</w:t>
      </w:r>
      <w:r w:rsidR="001038EB" w:rsidRPr="00344165">
        <w:rPr>
          <w:spacing w:val="-2"/>
        </w:rPr>
        <w:t xml:space="preserve"> are settled, and the impact of evictions on children’s welfare.</w:t>
      </w:r>
      <w:r w:rsidR="0094219F">
        <w:t xml:space="preserve"> </w:t>
      </w:r>
    </w:p>
    <w:p w:rsidR="001038EB" w:rsidRPr="008207E9" w:rsidRDefault="00113BF1" w:rsidP="00344165">
      <w:pPr>
        <w:pStyle w:val="SingleTxtG"/>
        <w:rPr>
          <w:b/>
        </w:rPr>
      </w:pPr>
      <w:r w:rsidRPr="008207E9">
        <w:rPr>
          <w:iCs/>
        </w:rPr>
        <w:t>78.</w:t>
      </w:r>
      <w:r w:rsidRPr="008207E9">
        <w:rPr>
          <w:iCs/>
        </w:rPr>
        <w:tab/>
      </w:r>
      <w:r w:rsidR="001038EB" w:rsidRPr="008207E9">
        <w:rPr>
          <w:b/>
        </w:rPr>
        <w:t xml:space="preserve">In the light of its </w:t>
      </w:r>
      <w:r w:rsidR="00F35892">
        <w:rPr>
          <w:b/>
        </w:rPr>
        <w:t>g</w:t>
      </w:r>
      <w:r w:rsidR="001038EB" w:rsidRPr="008207E9">
        <w:rPr>
          <w:b/>
        </w:rPr>
        <w:t xml:space="preserve">eneral </w:t>
      </w:r>
      <w:r w:rsidR="00F35892">
        <w:rPr>
          <w:b/>
        </w:rPr>
        <w:t>c</w:t>
      </w:r>
      <w:r w:rsidR="001038EB" w:rsidRPr="008207E9">
        <w:rPr>
          <w:b/>
        </w:rPr>
        <w:t>omment</w:t>
      </w:r>
      <w:r w:rsidR="008969E1">
        <w:rPr>
          <w:b/>
        </w:rPr>
        <w:t xml:space="preserve"> No. </w:t>
      </w:r>
      <w:r w:rsidR="001038EB" w:rsidRPr="008207E9">
        <w:rPr>
          <w:b/>
        </w:rPr>
        <w:t xml:space="preserve">11 (2009) on indigenous children and their rights under the Convention, the Committee recommends that the State party: </w:t>
      </w:r>
    </w:p>
    <w:p w:rsidR="001038EB" w:rsidRPr="008207E9" w:rsidRDefault="008207E9" w:rsidP="00113BF1">
      <w:pPr>
        <w:pStyle w:val="SingleTxtG"/>
        <w:ind w:firstLine="567"/>
        <w:rPr>
          <w:b/>
        </w:rPr>
      </w:pPr>
      <w:r w:rsidRPr="00113BF1">
        <w:rPr>
          <w:bCs/>
        </w:rPr>
        <w:t>(a)</w:t>
      </w:r>
      <w:r>
        <w:rPr>
          <w:b/>
        </w:rPr>
        <w:tab/>
      </w:r>
      <w:r w:rsidR="001038EB" w:rsidRPr="008207E9">
        <w:rPr>
          <w:b/>
        </w:rPr>
        <w:t xml:space="preserve">Expeditiously implement measures to decrease the poverty of indigenous </w:t>
      </w:r>
      <w:r w:rsidR="0085038B">
        <w:rPr>
          <w:b/>
        </w:rPr>
        <w:t xml:space="preserve">children </w:t>
      </w:r>
      <w:r w:rsidR="001038EB" w:rsidRPr="008207E9">
        <w:rPr>
          <w:b/>
        </w:rPr>
        <w:t>and children</w:t>
      </w:r>
      <w:r w:rsidR="0085038B">
        <w:rPr>
          <w:b/>
        </w:rPr>
        <w:t xml:space="preserve"> of African descent</w:t>
      </w:r>
      <w:r w:rsidR="001038EB" w:rsidRPr="008207E9">
        <w:rPr>
          <w:b/>
        </w:rPr>
        <w:t xml:space="preserve">; </w:t>
      </w:r>
    </w:p>
    <w:p w:rsidR="001038EB" w:rsidRPr="008207E9" w:rsidRDefault="008207E9" w:rsidP="00113BF1">
      <w:pPr>
        <w:pStyle w:val="SingleTxtG"/>
        <w:ind w:firstLine="567"/>
        <w:rPr>
          <w:b/>
        </w:rPr>
      </w:pPr>
      <w:r w:rsidRPr="00113BF1">
        <w:rPr>
          <w:bCs/>
        </w:rPr>
        <w:t>(b)</w:t>
      </w:r>
      <w:r>
        <w:rPr>
          <w:b/>
        </w:rPr>
        <w:tab/>
      </w:r>
      <w:r w:rsidR="001038EB" w:rsidRPr="008207E9">
        <w:rPr>
          <w:b/>
        </w:rPr>
        <w:t>End the practice of child labour, in particular in it</w:t>
      </w:r>
      <w:r>
        <w:rPr>
          <w:b/>
        </w:rPr>
        <w:t>s worst forms, among indigenous</w:t>
      </w:r>
      <w:r w:rsidR="00E936D9">
        <w:rPr>
          <w:b/>
        </w:rPr>
        <w:t xml:space="preserve"> children </w:t>
      </w:r>
      <w:r w:rsidR="00E936D9" w:rsidRPr="00E936D9">
        <w:rPr>
          <w:b/>
        </w:rPr>
        <w:t>and children of African descent</w:t>
      </w:r>
      <w:r w:rsidR="00E936D9">
        <w:rPr>
          <w:b/>
        </w:rPr>
        <w:t>;</w:t>
      </w:r>
    </w:p>
    <w:p w:rsidR="001038EB" w:rsidRPr="008207E9" w:rsidRDefault="008207E9" w:rsidP="00113BF1">
      <w:pPr>
        <w:pStyle w:val="SingleTxtG"/>
        <w:ind w:firstLine="567"/>
        <w:rPr>
          <w:b/>
        </w:rPr>
      </w:pPr>
      <w:r w:rsidRPr="00113BF1">
        <w:rPr>
          <w:bCs/>
        </w:rPr>
        <w:t>(c)</w:t>
      </w:r>
      <w:r>
        <w:rPr>
          <w:b/>
        </w:rPr>
        <w:tab/>
      </w:r>
      <w:r w:rsidR="001038EB" w:rsidRPr="008207E9">
        <w:rPr>
          <w:b/>
        </w:rPr>
        <w:t xml:space="preserve">Review and refrain from implementing laws and programmes promoting the exploitation of natural resources that negatively </w:t>
      </w:r>
      <w:r w:rsidR="00E936D9">
        <w:rPr>
          <w:b/>
        </w:rPr>
        <w:t>affect the realization of</w:t>
      </w:r>
      <w:r w:rsidR="00E936D9" w:rsidRPr="008207E9">
        <w:rPr>
          <w:b/>
        </w:rPr>
        <w:t xml:space="preserve"> </w:t>
      </w:r>
      <w:r w:rsidR="001038EB" w:rsidRPr="008207E9">
        <w:rPr>
          <w:b/>
        </w:rPr>
        <w:t xml:space="preserve">children’s rights; </w:t>
      </w:r>
    </w:p>
    <w:p w:rsidR="001038EB" w:rsidRPr="008207E9" w:rsidRDefault="008207E9" w:rsidP="00113BF1">
      <w:pPr>
        <w:pStyle w:val="SingleTxtG"/>
        <w:ind w:firstLine="567"/>
        <w:rPr>
          <w:b/>
        </w:rPr>
      </w:pPr>
      <w:r w:rsidRPr="00113BF1">
        <w:rPr>
          <w:bCs/>
        </w:rPr>
        <w:t>(d)</w:t>
      </w:r>
      <w:r>
        <w:rPr>
          <w:b/>
        </w:rPr>
        <w:tab/>
      </w:r>
      <w:r w:rsidR="001038EB" w:rsidRPr="008207E9">
        <w:rPr>
          <w:b/>
        </w:rPr>
        <w:t xml:space="preserve">Monitor and review governmental actions in the context of disputes over land and natural resources, and investigate and prosecute cases of excessive use of force. </w:t>
      </w:r>
    </w:p>
    <w:p w:rsidR="001038EB" w:rsidRPr="008207E9" w:rsidRDefault="001038EB" w:rsidP="008207E9">
      <w:pPr>
        <w:pStyle w:val="H23G"/>
      </w:pPr>
      <w:r w:rsidRPr="00C515CC">
        <w:tab/>
      </w:r>
      <w:r w:rsidRPr="00C515CC">
        <w:tab/>
      </w:r>
      <w:r w:rsidRPr="00F86D32">
        <w:rPr>
          <w:rFonts w:eastAsia="Malgun Gothic"/>
          <w:lang w:eastAsia="zh-CN"/>
        </w:rPr>
        <w:t>Economic exploitation, including child labour</w:t>
      </w:r>
      <w:r w:rsidR="0094219F">
        <w:t xml:space="preserve"> </w:t>
      </w:r>
    </w:p>
    <w:p w:rsidR="001038EB" w:rsidRPr="00327C6C" w:rsidRDefault="00113BF1" w:rsidP="00344165">
      <w:pPr>
        <w:pStyle w:val="SingleTxtG"/>
        <w:rPr>
          <w:rFonts w:eastAsia="Malgun Gothic"/>
          <w:lang w:eastAsia="zh-CN"/>
        </w:rPr>
      </w:pPr>
      <w:r w:rsidRPr="00327C6C">
        <w:rPr>
          <w:rFonts w:eastAsia="Malgun Gothic"/>
          <w:iCs/>
          <w:lang w:eastAsia="zh-CN"/>
        </w:rPr>
        <w:t>79.</w:t>
      </w:r>
      <w:r w:rsidRPr="00327C6C">
        <w:rPr>
          <w:rFonts w:eastAsia="Malgun Gothic"/>
          <w:iCs/>
          <w:lang w:eastAsia="zh-CN"/>
        </w:rPr>
        <w:tab/>
      </w:r>
      <w:r w:rsidR="001038EB">
        <w:rPr>
          <w:lang w:eastAsia="en-GB"/>
        </w:rPr>
        <w:t xml:space="preserve">The Committee welcomes the measures </w:t>
      </w:r>
      <w:r w:rsidR="00E936D9">
        <w:rPr>
          <w:lang w:eastAsia="en-GB"/>
        </w:rPr>
        <w:t xml:space="preserve">the State party has </w:t>
      </w:r>
      <w:r w:rsidR="001038EB">
        <w:rPr>
          <w:lang w:eastAsia="en-GB"/>
        </w:rPr>
        <w:t>taken to combat child labour, but it remains</w:t>
      </w:r>
      <w:r w:rsidR="001038EB" w:rsidRPr="00327C6C">
        <w:rPr>
          <w:lang w:eastAsia="en-GB"/>
        </w:rPr>
        <w:t xml:space="preserve"> concerned about the lack of harmonization of the Labour Code with </w:t>
      </w:r>
      <w:r w:rsidR="001038EB">
        <w:rPr>
          <w:lang w:eastAsia="en-GB"/>
        </w:rPr>
        <w:t xml:space="preserve">international standards, </w:t>
      </w:r>
      <w:r w:rsidR="001038EB" w:rsidRPr="00327C6C">
        <w:rPr>
          <w:lang w:eastAsia="en-GB"/>
        </w:rPr>
        <w:t xml:space="preserve">including </w:t>
      </w:r>
      <w:r w:rsidR="00C15AD9">
        <w:rPr>
          <w:lang w:eastAsia="en-GB"/>
        </w:rPr>
        <w:t>the</w:t>
      </w:r>
      <w:r w:rsidR="001038EB" w:rsidRPr="00327C6C">
        <w:rPr>
          <w:lang w:eastAsia="en-GB"/>
        </w:rPr>
        <w:t xml:space="preserve"> </w:t>
      </w:r>
      <w:r w:rsidR="002A122C" w:rsidRPr="002A122C">
        <w:rPr>
          <w:lang w:eastAsia="en-GB"/>
        </w:rPr>
        <w:t>International Labour Organization</w:t>
      </w:r>
      <w:r w:rsidR="006717BA">
        <w:rPr>
          <w:lang w:eastAsia="en-GB"/>
        </w:rPr>
        <w:t xml:space="preserve"> (ILO)</w:t>
      </w:r>
      <w:r w:rsidR="002A122C" w:rsidRPr="002A122C">
        <w:rPr>
          <w:lang w:eastAsia="en-GB"/>
        </w:rPr>
        <w:t xml:space="preserve"> </w:t>
      </w:r>
      <w:r w:rsidR="001038EB" w:rsidRPr="00BE0648">
        <w:rPr>
          <w:lang w:eastAsia="en-GB"/>
        </w:rPr>
        <w:t xml:space="preserve">Minimum Age </w:t>
      </w:r>
      <w:r w:rsidR="005C451F">
        <w:rPr>
          <w:lang w:eastAsia="en-GB"/>
        </w:rPr>
        <w:t>Convention, 1973 (No. 138)</w:t>
      </w:r>
      <w:r w:rsidR="001038EB">
        <w:rPr>
          <w:lang w:eastAsia="en-GB"/>
        </w:rPr>
        <w:t xml:space="preserve">, </w:t>
      </w:r>
      <w:r w:rsidR="001038EB" w:rsidRPr="00327C6C">
        <w:rPr>
          <w:lang w:eastAsia="en-GB"/>
        </w:rPr>
        <w:t xml:space="preserve">the continuing high rates of child labour </w:t>
      </w:r>
      <w:r w:rsidR="001038EB">
        <w:rPr>
          <w:lang w:eastAsia="en-GB"/>
        </w:rPr>
        <w:t xml:space="preserve">and </w:t>
      </w:r>
      <w:r w:rsidR="001038EB" w:rsidRPr="00327C6C">
        <w:rPr>
          <w:lang w:eastAsia="en-GB"/>
        </w:rPr>
        <w:t xml:space="preserve">the </w:t>
      </w:r>
      <w:r w:rsidR="001038EB">
        <w:rPr>
          <w:lang w:eastAsia="en-GB"/>
        </w:rPr>
        <w:t>in</w:t>
      </w:r>
      <w:r w:rsidR="001038EB" w:rsidRPr="00327C6C">
        <w:rPr>
          <w:lang w:eastAsia="en-GB"/>
        </w:rPr>
        <w:t xml:space="preserve">ability of the labour inspectorate to identify cases of child labour. </w:t>
      </w:r>
    </w:p>
    <w:p w:rsidR="001038EB" w:rsidRPr="00466AE2" w:rsidRDefault="00113BF1" w:rsidP="00344165">
      <w:pPr>
        <w:pStyle w:val="SingleTxtG"/>
        <w:rPr>
          <w:rFonts w:eastAsia="Malgun Gothic"/>
          <w:b/>
        </w:rPr>
      </w:pPr>
      <w:r w:rsidRPr="00466AE2">
        <w:rPr>
          <w:rFonts w:eastAsia="Malgun Gothic"/>
          <w:iCs/>
        </w:rPr>
        <w:t>80.</w:t>
      </w:r>
      <w:r w:rsidRPr="00466AE2">
        <w:rPr>
          <w:rFonts w:eastAsia="Malgun Gothic"/>
          <w:iCs/>
        </w:rPr>
        <w:tab/>
      </w:r>
      <w:r w:rsidR="001038EB" w:rsidRPr="00466AE2">
        <w:rPr>
          <w:rFonts w:eastAsia="Malgun Gothic"/>
          <w:b/>
        </w:rPr>
        <w:t xml:space="preserve">The Committee recommends that the State party: </w:t>
      </w:r>
    </w:p>
    <w:p w:rsidR="001038EB" w:rsidRPr="00466AE2" w:rsidRDefault="00466AE2" w:rsidP="00113BF1">
      <w:pPr>
        <w:pStyle w:val="SingleTxtG"/>
        <w:ind w:firstLine="567"/>
        <w:rPr>
          <w:rFonts w:eastAsia="Malgun Gothic"/>
          <w:b/>
        </w:rPr>
      </w:pPr>
      <w:r w:rsidRPr="00113BF1">
        <w:rPr>
          <w:bCs/>
        </w:rPr>
        <w:t>(a)</w:t>
      </w:r>
      <w:r w:rsidRPr="00466AE2">
        <w:rPr>
          <w:b/>
        </w:rPr>
        <w:tab/>
      </w:r>
      <w:r w:rsidR="001038EB" w:rsidRPr="00466AE2">
        <w:rPr>
          <w:b/>
        </w:rPr>
        <w:t>Harmoni</w:t>
      </w:r>
      <w:r w:rsidR="00C15AD9">
        <w:rPr>
          <w:b/>
        </w:rPr>
        <w:t>z</w:t>
      </w:r>
      <w:r w:rsidR="001038EB" w:rsidRPr="00466AE2">
        <w:rPr>
          <w:b/>
        </w:rPr>
        <w:t xml:space="preserve">e the Labour Law with the laws on the rights of children and ensure its effective application; </w:t>
      </w:r>
    </w:p>
    <w:p w:rsidR="001038EB" w:rsidRPr="00466AE2" w:rsidRDefault="00466AE2" w:rsidP="00113BF1">
      <w:pPr>
        <w:pStyle w:val="SingleTxtG"/>
        <w:ind w:firstLine="567"/>
        <w:rPr>
          <w:rFonts w:eastAsia="Malgun Gothic"/>
          <w:b/>
        </w:rPr>
      </w:pPr>
      <w:r w:rsidRPr="00113BF1">
        <w:rPr>
          <w:bCs/>
        </w:rPr>
        <w:lastRenderedPageBreak/>
        <w:t>(b)</w:t>
      </w:r>
      <w:r w:rsidRPr="00466AE2">
        <w:rPr>
          <w:b/>
        </w:rPr>
        <w:tab/>
      </w:r>
      <w:r w:rsidR="001038EB" w:rsidRPr="00466AE2">
        <w:rPr>
          <w:b/>
        </w:rPr>
        <w:t>Establish monitoring mechanisms for the investigation and redress of children’s rights violations, with a view to improving accountability and transparency;</w:t>
      </w:r>
    </w:p>
    <w:p w:rsidR="001038EB" w:rsidRPr="00466AE2" w:rsidRDefault="00466AE2" w:rsidP="00113BF1">
      <w:pPr>
        <w:pStyle w:val="SingleTxtG"/>
        <w:ind w:firstLine="567"/>
        <w:rPr>
          <w:b/>
        </w:rPr>
      </w:pPr>
      <w:r w:rsidRPr="00113BF1">
        <w:rPr>
          <w:bCs/>
        </w:rPr>
        <w:t>(c)</w:t>
      </w:r>
      <w:r w:rsidRPr="00113BF1">
        <w:rPr>
          <w:bCs/>
        </w:rPr>
        <w:tab/>
      </w:r>
      <w:r w:rsidR="001038EB" w:rsidRPr="00466AE2">
        <w:rPr>
          <w:b/>
        </w:rPr>
        <w:t>Harmoni</w:t>
      </w:r>
      <w:r w:rsidR="00CF367A">
        <w:rPr>
          <w:b/>
        </w:rPr>
        <w:t>z</w:t>
      </w:r>
      <w:r w:rsidR="001038EB" w:rsidRPr="00466AE2">
        <w:rPr>
          <w:b/>
        </w:rPr>
        <w:t xml:space="preserve">e the labour code with </w:t>
      </w:r>
      <w:r w:rsidR="001038EB" w:rsidRPr="002A122C">
        <w:rPr>
          <w:b/>
        </w:rPr>
        <w:t xml:space="preserve">ILO </w:t>
      </w:r>
      <w:r w:rsidR="00CF367A" w:rsidRPr="002A122C">
        <w:rPr>
          <w:b/>
        </w:rPr>
        <w:t>C</w:t>
      </w:r>
      <w:r w:rsidR="001038EB" w:rsidRPr="002A122C">
        <w:rPr>
          <w:b/>
        </w:rPr>
        <w:t>onvention</w:t>
      </w:r>
      <w:r w:rsidR="008969E1" w:rsidRPr="002A122C">
        <w:rPr>
          <w:b/>
        </w:rPr>
        <w:t xml:space="preserve"> No. </w:t>
      </w:r>
      <w:r w:rsidR="001038EB" w:rsidRPr="002A122C">
        <w:rPr>
          <w:b/>
        </w:rPr>
        <w:t>138</w:t>
      </w:r>
      <w:r w:rsidR="001038EB" w:rsidRPr="00466AE2">
        <w:rPr>
          <w:b/>
        </w:rPr>
        <w:t xml:space="preserve"> and ratify </w:t>
      </w:r>
      <w:r w:rsidR="00CF367A">
        <w:rPr>
          <w:b/>
        </w:rPr>
        <w:t xml:space="preserve">the </w:t>
      </w:r>
      <w:r w:rsidR="002A122C">
        <w:rPr>
          <w:b/>
        </w:rPr>
        <w:t xml:space="preserve">ILO </w:t>
      </w:r>
      <w:r w:rsidR="00CF367A" w:rsidRPr="002A122C">
        <w:rPr>
          <w:b/>
        </w:rPr>
        <w:t xml:space="preserve">Domestic Workers </w:t>
      </w:r>
      <w:r w:rsidR="001038EB" w:rsidRPr="002A122C">
        <w:rPr>
          <w:b/>
        </w:rPr>
        <w:t>Convention</w:t>
      </w:r>
      <w:r w:rsidR="00CF367A" w:rsidRPr="002A122C">
        <w:rPr>
          <w:b/>
        </w:rPr>
        <w:t>, 2011</w:t>
      </w:r>
      <w:r w:rsidR="008969E1" w:rsidRPr="002A122C">
        <w:rPr>
          <w:b/>
        </w:rPr>
        <w:t xml:space="preserve"> </w:t>
      </w:r>
      <w:r w:rsidR="00CF367A" w:rsidRPr="002A122C">
        <w:rPr>
          <w:b/>
        </w:rPr>
        <w:t>(</w:t>
      </w:r>
      <w:r w:rsidR="008969E1" w:rsidRPr="002A122C">
        <w:rPr>
          <w:b/>
        </w:rPr>
        <w:t>No. </w:t>
      </w:r>
      <w:r w:rsidR="001038EB" w:rsidRPr="002A122C">
        <w:rPr>
          <w:b/>
        </w:rPr>
        <w:t>189</w:t>
      </w:r>
      <w:r w:rsidR="00CF367A" w:rsidRPr="002A122C">
        <w:rPr>
          <w:b/>
        </w:rPr>
        <w:t>)</w:t>
      </w:r>
      <w:r w:rsidR="001038EB" w:rsidRPr="00466AE2">
        <w:rPr>
          <w:b/>
        </w:rPr>
        <w:t xml:space="preserve"> and</w:t>
      </w:r>
      <w:r w:rsidR="00FA353E">
        <w:rPr>
          <w:b/>
        </w:rPr>
        <w:t>,</w:t>
      </w:r>
      <w:r w:rsidR="001038EB" w:rsidRPr="00466AE2">
        <w:rPr>
          <w:b/>
        </w:rPr>
        <w:t xml:space="preserve"> in this regard, seek technical assistance from the International Programme on the Elimination of Child Labour.</w:t>
      </w:r>
    </w:p>
    <w:p w:rsidR="001038EB" w:rsidRPr="00466AE2" w:rsidRDefault="001038EB" w:rsidP="00466AE2">
      <w:pPr>
        <w:pStyle w:val="H23G"/>
        <w:rPr>
          <w:rFonts w:eastAsia="Malgun Gothic"/>
        </w:rPr>
      </w:pPr>
      <w:r w:rsidRPr="00466AE2">
        <w:rPr>
          <w:rFonts w:eastAsia="Malgun Gothic"/>
        </w:rPr>
        <w:tab/>
      </w:r>
      <w:r w:rsidRPr="00466AE2">
        <w:rPr>
          <w:rFonts w:eastAsia="Malgun Gothic"/>
        </w:rPr>
        <w:tab/>
        <w:t>Children in street situations</w:t>
      </w:r>
    </w:p>
    <w:p w:rsidR="001038EB" w:rsidRPr="00466AE2" w:rsidRDefault="00113BF1" w:rsidP="00344165">
      <w:pPr>
        <w:pStyle w:val="SingleTxtG"/>
      </w:pPr>
      <w:r w:rsidRPr="00466AE2">
        <w:rPr>
          <w:iCs/>
        </w:rPr>
        <w:t>81.</w:t>
      </w:r>
      <w:r w:rsidRPr="00466AE2">
        <w:rPr>
          <w:iCs/>
        </w:rPr>
        <w:tab/>
      </w:r>
      <w:r w:rsidR="001038EB" w:rsidRPr="00466AE2">
        <w:t>The Committee regrets the lack of information on the situation of children in street situation</w:t>
      </w:r>
      <w:r w:rsidR="002A122C">
        <w:t>s</w:t>
      </w:r>
      <w:r w:rsidR="001038EB" w:rsidRPr="00466AE2">
        <w:t xml:space="preserve"> and the absence of </w:t>
      </w:r>
      <w:r w:rsidR="002A122C">
        <w:t>adequate</w:t>
      </w:r>
      <w:r w:rsidR="002A122C" w:rsidRPr="00466AE2">
        <w:t xml:space="preserve"> </w:t>
      </w:r>
      <w:r w:rsidR="001038EB" w:rsidRPr="00466AE2">
        <w:t xml:space="preserve">legislation, public institutions and coordinated action by civil society organizations in this respect. </w:t>
      </w:r>
    </w:p>
    <w:p w:rsidR="001038EB" w:rsidRPr="00466AE2" w:rsidRDefault="00113BF1" w:rsidP="00344165">
      <w:pPr>
        <w:pStyle w:val="SingleTxtG"/>
        <w:rPr>
          <w:b/>
        </w:rPr>
      </w:pPr>
      <w:r w:rsidRPr="00466AE2">
        <w:rPr>
          <w:iCs/>
        </w:rPr>
        <w:t>82.</w:t>
      </w:r>
      <w:r w:rsidRPr="00466AE2">
        <w:rPr>
          <w:iCs/>
        </w:rPr>
        <w:tab/>
      </w:r>
      <w:r w:rsidR="001038EB" w:rsidRPr="00466AE2">
        <w:rPr>
          <w:b/>
        </w:rPr>
        <w:t xml:space="preserve">The Committee recommends </w:t>
      </w:r>
      <w:r w:rsidR="002A122C">
        <w:rPr>
          <w:b/>
        </w:rPr>
        <w:t xml:space="preserve">that </w:t>
      </w:r>
      <w:r w:rsidR="001038EB" w:rsidRPr="00466AE2">
        <w:rPr>
          <w:b/>
        </w:rPr>
        <w:t>the State party:</w:t>
      </w:r>
    </w:p>
    <w:p w:rsidR="001038EB" w:rsidRPr="00466AE2" w:rsidRDefault="00466AE2" w:rsidP="00113BF1">
      <w:pPr>
        <w:pStyle w:val="SingleTxtG"/>
        <w:ind w:firstLine="567"/>
        <w:rPr>
          <w:b/>
        </w:rPr>
      </w:pPr>
      <w:r w:rsidRPr="00113BF1">
        <w:rPr>
          <w:bCs/>
        </w:rPr>
        <w:t>(a)</w:t>
      </w:r>
      <w:r w:rsidRPr="00466AE2">
        <w:rPr>
          <w:b/>
        </w:rPr>
        <w:tab/>
        <w:t xml:space="preserve">Conduct a census of </w:t>
      </w:r>
      <w:r w:rsidR="001038EB" w:rsidRPr="00466AE2">
        <w:rPr>
          <w:b/>
        </w:rPr>
        <w:t xml:space="preserve">children in street situations; </w:t>
      </w:r>
    </w:p>
    <w:p w:rsidR="001038EB" w:rsidRPr="00466AE2" w:rsidRDefault="00466AE2" w:rsidP="00113BF1">
      <w:pPr>
        <w:pStyle w:val="SingleTxtG"/>
        <w:ind w:firstLine="567"/>
        <w:rPr>
          <w:b/>
        </w:rPr>
      </w:pPr>
      <w:r w:rsidRPr="00113BF1">
        <w:rPr>
          <w:bCs/>
        </w:rPr>
        <w:t>(b)</w:t>
      </w:r>
      <w:r w:rsidRPr="00466AE2">
        <w:rPr>
          <w:b/>
        </w:rPr>
        <w:tab/>
      </w:r>
      <w:r w:rsidR="001038EB" w:rsidRPr="00466AE2">
        <w:rPr>
          <w:b/>
        </w:rPr>
        <w:t xml:space="preserve">Develop a comprehensive programme to protect children in street situations; </w:t>
      </w:r>
    </w:p>
    <w:p w:rsidR="001038EB" w:rsidRPr="00466AE2" w:rsidRDefault="00466AE2" w:rsidP="00113BF1">
      <w:pPr>
        <w:pStyle w:val="SingleTxtG"/>
        <w:ind w:firstLine="567"/>
        <w:rPr>
          <w:b/>
        </w:rPr>
      </w:pPr>
      <w:r w:rsidRPr="00113BF1">
        <w:rPr>
          <w:bCs/>
        </w:rPr>
        <w:t>(c)</w:t>
      </w:r>
      <w:r w:rsidRPr="00466AE2">
        <w:rPr>
          <w:b/>
        </w:rPr>
        <w:tab/>
      </w:r>
      <w:r w:rsidR="001038EB" w:rsidRPr="00466AE2">
        <w:rPr>
          <w:b/>
        </w:rPr>
        <w:t xml:space="preserve">Amend the legislation that criminalizes children in street situations; </w:t>
      </w:r>
    </w:p>
    <w:p w:rsidR="001038EB" w:rsidRPr="00466AE2" w:rsidRDefault="00466AE2" w:rsidP="00113BF1">
      <w:pPr>
        <w:pStyle w:val="SingleTxtG"/>
        <w:ind w:firstLine="567"/>
        <w:rPr>
          <w:b/>
        </w:rPr>
      </w:pPr>
      <w:r w:rsidRPr="00113BF1">
        <w:rPr>
          <w:bCs/>
        </w:rPr>
        <w:t>(d)</w:t>
      </w:r>
      <w:r w:rsidRPr="00466AE2">
        <w:rPr>
          <w:b/>
        </w:rPr>
        <w:tab/>
      </w:r>
      <w:r w:rsidR="001038EB" w:rsidRPr="00466AE2">
        <w:rPr>
          <w:b/>
        </w:rPr>
        <w:t xml:space="preserve">Prevent the institutionalization of children in street situations; </w:t>
      </w:r>
    </w:p>
    <w:p w:rsidR="001038EB" w:rsidRPr="00466AE2" w:rsidRDefault="00466AE2" w:rsidP="00113BF1">
      <w:pPr>
        <w:pStyle w:val="SingleTxtG"/>
        <w:ind w:firstLine="567"/>
        <w:rPr>
          <w:b/>
        </w:rPr>
      </w:pPr>
      <w:r w:rsidRPr="00113BF1">
        <w:rPr>
          <w:bCs/>
        </w:rPr>
        <w:t>(e)</w:t>
      </w:r>
      <w:r w:rsidRPr="00113BF1">
        <w:rPr>
          <w:bCs/>
        </w:rPr>
        <w:tab/>
      </w:r>
      <w:r w:rsidR="001038EB" w:rsidRPr="00466AE2">
        <w:rPr>
          <w:b/>
        </w:rPr>
        <w:t xml:space="preserve">Conduct public awareness programmes, including campaigns, against </w:t>
      </w:r>
      <w:r w:rsidR="00333EF7">
        <w:rPr>
          <w:b/>
        </w:rPr>
        <w:t xml:space="preserve">the </w:t>
      </w:r>
      <w:r w:rsidR="001038EB" w:rsidRPr="00466AE2">
        <w:rPr>
          <w:b/>
        </w:rPr>
        <w:t xml:space="preserve">discrimination of </w:t>
      </w:r>
      <w:r w:rsidRPr="00466AE2">
        <w:rPr>
          <w:b/>
        </w:rPr>
        <w:t xml:space="preserve">children in street situations. </w:t>
      </w:r>
    </w:p>
    <w:p w:rsidR="001038EB" w:rsidRPr="00EF4C80" w:rsidRDefault="00466AE2" w:rsidP="00466AE2">
      <w:pPr>
        <w:pStyle w:val="H23G"/>
        <w:rPr>
          <w:bCs/>
          <w:lang w:eastAsia="en-GB"/>
        </w:rPr>
      </w:pPr>
      <w:r>
        <w:rPr>
          <w:rFonts w:eastAsia="Malgun Gothic"/>
          <w:lang w:eastAsia="zh-CN"/>
        </w:rPr>
        <w:tab/>
      </w:r>
      <w:r>
        <w:rPr>
          <w:rFonts w:eastAsia="Malgun Gothic"/>
          <w:lang w:eastAsia="zh-CN"/>
        </w:rPr>
        <w:tab/>
      </w:r>
      <w:r w:rsidR="001038EB" w:rsidRPr="008E5F64">
        <w:rPr>
          <w:rFonts w:eastAsia="Malgun Gothic"/>
          <w:lang w:eastAsia="zh-CN"/>
        </w:rPr>
        <w:t>Administration of juvenile justice</w:t>
      </w:r>
    </w:p>
    <w:p w:rsidR="001038EB" w:rsidRPr="004E0987" w:rsidRDefault="00113BF1" w:rsidP="00344165">
      <w:pPr>
        <w:pStyle w:val="SingleTxtG"/>
        <w:rPr>
          <w:bCs/>
          <w:i/>
          <w:lang w:eastAsia="en-GB"/>
        </w:rPr>
      </w:pPr>
      <w:r w:rsidRPr="004E0987">
        <w:rPr>
          <w:iCs/>
          <w:lang w:eastAsia="en-GB"/>
        </w:rPr>
        <w:t>83.</w:t>
      </w:r>
      <w:r w:rsidRPr="004E0987">
        <w:rPr>
          <w:iCs/>
          <w:lang w:eastAsia="en-GB"/>
        </w:rPr>
        <w:tab/>
      </w:r>
      <w:r w:rsidR="001038EB">
        <w:t xml:space="preserve">The Committee welcomes the decline </w:t>
      </w:r>
      <w:r w:rsidR="00DA002B">
        <w:t>in the</w:t>
      </w:r>
      <w:r w:rsidR="001038EB">
        <w:t xml:space="preserve"> number of arrests under </w:t>
      </w:r>
      <w:r w:rsidR="00FC0093">
        <w:t>article </w:t>
      </w:r>
      <w:r w:rsidR="001038EB" w:rsidRPr="0049405F">
        <w:t>332 of the Criminal Code</w:t>
      </w:r>
      <w:r w:rsidR="001038EB">
        <w:t xml:space="preserve"> and </w:t>
      </w:r>
      <w:r w:rsidR="00DA002B">
        <w:t>the</w:t>
      </w:r>
      <w:r w:rsidR="001038EB">
        <w:t xml:space="preserve"> current review</w:t>
      </w:r>
      <w:r w:rsidR="00DA002B">
        <w:t xml:space="preserve"> </w:t>
      </w:r>
      <w:r w:rsidR="0023347F">
        <w:t>of that</w:t>
      </w:r>
      <w:r w:rsidR="00DA002B">
        <w:t xml:space="preserve"> article;</w:t>
      </w:r>
      <w:r w:rsidR="001038EB">
        <w:t xml:space="preserve"> the amendment of</w:t>
      </w:r>
      <w:r w:rsidR="001038EB" w:rsidRPr="0049405F">
        <w:t xml:space="preserve"> </w:t>
      </w:r>
      <w:r w:rsidR="00FC0093">
        <w:t>article </w:t>
      </w:r>
      <w:r w:rsidR="001038EB" w:rsidRPr="0049405F">
        <w:t>260 of the Code on Children and Adolescents</w:t>
      </w:r>
      <w:r w:rsidR="001038EB">
        <w:t xml:space="preserve"> to stipulate periodic inspections of pretrial detentions</w:t>
      </w:r>
      <w:r w:rsidR="0023347F">
        <w:t>;</w:t>
      </w:r>
      <w:r w:rsidR="001038EB">
        <w:t xml:space="preserve"> the restructuring of the judicial chain</w:t>
      </w:r>
      <w:r w:rsidR="0023347F">
        <w:t>;</w:t>
      </w:r>
      <w:r w:rsidR="001038EB">
        <w:t xml:space="preserve"> and the adoption of a new special criminal system. However, the Committee remains concerned about:</w:t>
      </w:r>
    </w:p>
    <w:p w:rsidR="001038EB" w:rsidRPr="004E0987" w:rsidRDefault="00466AE2" w:rsidP="00113BF1">
      <w:pPr>
        <w:pStyle w:val="SingleTxtG"/>
        <w:ind w:firstLine="567"/>
        <w:rPr>
          <w:bCs/>
          <w:i/>
          <w:lang w:eastAsia="en-GB"/>
        </w:rPr>
      </w:pPr>
      <w:r>
        <w:t>(a)</w:t>
      </w:r>
      <w:r>
        <w:tab/>
      </w:r>
      <w:r w:rsidR="001038EB">
        <w:t xml:space="preserve">Court decisions </w:t>
      </w:r>
      <w:r w:rsidR="00150F47">
        <w:t xml:space="preserve">that </w:t>
      </w:r>
      <w:r w:rsidR="001038EB">
        <w:t>follow a punishment rationale with little consideration for</w:t>
      </w:r>
      <w:r w:rsidR="0094219F">
        <w:t xml:space="preserve"> </w:t>
      </w:r>
      <w:r w:rsidR="001038EB">
        <w:t xml:space="preserve">alternative measures; </w:t>
      </w:r>
    </w:p>
    <w:p w:rsidR="001038EB" w:rsidRPr="004E0987" w:rsidRDefault="00466AE2" w:rsidP="00113BF1">
      <w:pPr>
        <w:pStyle w:val="SingleTxtG"/>
        <w:ind w:firstLine="567"/>
        <w:rPr>
          <w:bCs/>
          <w:i/>
          <w:lang w:eastAsia="en-GB"/>
        </w:rPr>
      </w:pPr>
      <w:r>
        <w:t>(b)</w:t>
      </w:r>
      <w:r>
        <w:tab/>
      </w:r>
      <w:r w:rsidR="001038EB">
        <w:t xml:space="preserve">The disrespect for pretrial time limits; </w:t>
      </w:r>
    </w:p>
    <w:p w:rsidR="001038EB" w:rsidRPr="004E0987" w:rsidRDefault="00466AE2" w:rsidP="00113BF1">
      <w:pPr>
        <w:pStyle w:val="SingleTxtG"/>
        <w:ind w:firstLine="567"/>
        <w:rPr>
          <w:bCs/>
          <w:i/>
          <w:lang w:eastAsia="en-GB"/>
        </w:rPr>
      </w:pPr>
      <w:r>
        <w:t>(c)</w:t>
      </w:r>
      <w:r>
        <w:tab/>
      </w:r>
      <w:r w:rsidR="001038EB">
        <w:t xml:space="preserve">The limited ability of centres for juvenile offenders to provide effective rehabilitation; </w:t>
      </w:r>
    </w:p>
    <w:p w:rsidR="001038EB" w:rsidRPr="004E0987" w:rsidRDefault="00466AE2" w:rsidP="00113BF1">
      <w:pPr>
        <w:pStyle w:val="SingleTxtG"/>
        <w:ind w:firstLine="567"/>
        <w:rPr>
          <w:bCs/>
          <w:i/>
          <w:lang w:eastAsia="en-GB"/>
        </w:rPr>
      </w:pPr>
      <w:r>
        <w:t>(d)</w:t>
      </w:r>
      <w:r>
        <w:tab/>
      </w:r>
      <w:r w:rsidR="001038EB">
        <w:t>The adoption</w:t>
      </w:r>
      <w:r w:rsidR="00150F47">
        <w:t>,</w:t>
      </w:r>
      <w:r w:rsidR="001038EB">
        <w:t xml:space="preserve"> in the constitutional reform of 2012</w:t>
      </w:r>
      <w:r w:rsidR="00150F47">
        <w:t xml:space="preserve">, </w:t>
      </w:r>
      <w:r w:rsidR="00150F47" w:rsidRPr="00150F47">
        <w:t xml:space="preserve">of new provisions </w:t>
      </w:r>
      <w:r w:rsidR="00150F47">
        <w:t>that</w:t>
      </w:r>
      <w:r w:rsidR="001038EB">
        <w:t xml:space="preserve"> extend the detention period from 24 to 48</w:t>
      </w:r>
      <w:r w:rsidR="00150F47">
        <w:t xml:space="preserve"> hours</w:t>
      </w:r>
      <w:r w:rsidR="001038EB">
        <w:t xml:space="preserve"> in </w:t>
      </w:r>
      <w:r w:rsidR="00E34889">
        <w:t>“</w:t>
      </w:r>
      <w:r w:rsidR="001038EB">
        <w:t>serious cases</w:t>
      </w:r>
      <w:r w:rsidR="00E34889">
        <w:t>”</w:t>
      </w:r>
      <w:r w:rsidR="001038EB">
        <w:t xml:space="preserve"> with</w:t>
      </w:r>
      <w:r w:rsidR="00150F47">
        <w:t xml:space="preserve"> no </w:t>
      </w:r>
      <w:r w:rsidR="001038EB">
        <w:t xml:space="preserve">exception criteria for detained children </w:t>
      </w:r>
      <w:r w:rsidR="00150F47">
        <w:t>and no</w:t>
      </w:r>
      <w:r w:rsidR="001038EB">
        <w:t xml:space="preserve"> clear definition of what “serious cases” means;</w:t>
      </w:r>
      <w:r w:rsidR="0094219F">
        <w:t xml:space="preserve"> </w:t>
      </w:r>
    </w:p>
    <w:p w:rsidR="001038EB" w:rsidRPr="004E0987" w:rsidRDefault="00466AE2" w:rsidP="00113BF1">
      <w:pPr>
        <w:pStyle w:val="SingleTxtG"/>
        <w:ind w:firstLine="567"/>
        <w:rPr>
          <w:bCs/>
          <w:i/>
          <w:lang w:eastAsia="en-GB"/>
        </w:rPr>
      </w:pPr>
      <w:r>
        <w:t>(e)</w:t>
      </w:r>
      <w:r>
        <w:tab/>
      </w:r>
      <w:r w:rsidR="001038EB">
        <w:t>The lack of information on cases of abuse of authority and</w:t>
      </w:r>
      <w:r w:rsidR="001038EB" w:rsidRPr="004E0987">
        <w:rPr>
          <w:szCs w:val="24"/>
        </w:rPr>
        <w:t xml:space="preserve"> torture</w:t>
      </w:r>
      <w:r w:rsidR="0046566F">
        <w:rPr>
          <w:szCs w:val="24"/>
        </w:rPr>
        <w:t xml:space="preserve"> and</w:t>
      </w:r>
      <w:r w:rsidR="001038EB" w:rsidRPr="004E0987">
        <w:rPr>
          <w:szCs w:val="24"/>
        </w:rPr>
        <w:t xml:space="preserve"> cruel, inhuman and degrading treatment of adolescent offenders at the hands of authorities responsible for operating centres for the deprivation of liberty</w:t>
      </w:r>
      <w:r w:rsidR="001038EB">
        <w:rPr>
          <w:szCs w:val="24"/>
        </w:rPr>
        <w:t>;</w:t>
      </w:r>
    </w:p>
    <w:p w:rsidR="001038EB" w:rsidRPr="004E0987" w:rsidRDefault="00466AE2" w:rsidP="00113BF1">
      <w:pPr>
        <w:pStyle w:val="SingleTxtG"/>
        <w:ind w:firstLine="567"/>
        <w:rPr>
          <w:bCs/>
          <w:i/>
          <w:lang w:eastAsia="en-GB"/>
        </w:rPr>
      </w:pPr>
      <w:r>
        <w:t>(f)</w:t>
      </w:r>
      <w:r>
        <w:tab/>
      </w:r>
      <w:r w:rsidR="001038EB">
        <w:t xml:space="preserve">Instances of </w:t>
      </w:r>
      <w:r w:rsidR="001038EB" w:rsidRPr="004E0987">
        <w:rPr>
          <w:szCs w:val="24"/>
        </w:rPr>
        <w:t>gang violence within detention centres that resulted in the deaths of several child detainees</w:t>
      </w:r>
      <w:r w:rsidR="001038EB">
        <w:rPr>
          <w:szCs w:val="24"/>
        </w:rPr>
        <w:t>;</w:t>
      </w:r>
      <w:r w:rsidR="001038EB" w:rsidRPr="004E0987">
        <w:rPr>
          <w:rFonts w:eastAsia="Malgun Gothic"/>
          <w:lang w:eastAsia="zh-CN"/>
        </w:rPr>
        <w:t xml:space="preserve"> </w:t>
      </w:r>
    </w:p>
    <w:p w:rsidR="001038EB" w:rsidRPr="00313C1B" w:rsidRDefault="00466AE2" w:rsidP="00113BF1">
      <w:pPr>
        <w:pStyle w:val="SingleTxtG"/>
        <w:ind w:firstLine="567"/>
        <w:rPr>
          <w:bCs/>
          <w:i/>
          <w:lang w:eastAsia="en-GB"/>
        </w:rPr>
      </w:pPr>
      <w:r>
        <w:rPr>
          <w:rFonts w:eastAsia="Malgun Gothic"/>
          <w:lang w:eastAsia="zh-CN"/>
        </w:rPr>
        <w:t>(g)</w:t>
      </w:r>
      <w:r>
        <w:rPr>
          <w:rFonts w:eastAsia="Malgun Gothic"/>
          <w:lang w:eastAsia="zh-CN"/>
        </w:rPr>
        <w:tab/>
      </w:r>
      <w:r w:rsidR="001038EB">
        <w:rPr>
          <w:rFonts w:eastAsia="Malgun Gothic"/>
          <w:lang w:eastAsia="zh-CN"/>
        </w:rPr>
        <w:t>T</w:t>
      </w:r>
      <w:r w:rsidR="001038EB" w:rsidRPr="004E0987">
        <w:rPr>
          <w:rFonts w:eastAsia="Malgun Gothic"/>
          <w:lang w:eastAsia="zh-CN"/>
        </w:rPr>
        <w:t>he recurrent discussions and proposals to decrease the age of</w:t>
      </w:r>
      <w:r>
        <w:rPr>
          <w:rFonts w:eastAsia="Malgun Gothic"/>
          <w:lang w:eastAsia="zh-CN"/>
        </w:rPr>
        <w:t xml:space="preserve"> criminal responsibility.</w:t>
      </w:r>
    </w:p>
    <w:p w:rsidR="001038EB" w:rsidRPr="00504191" w:rsidRDefault="00113BF1" w:rsidP="00344165">
      <w:pPr>
        <w:pStyle w:val="SingleTxtG"/>
        <w:keepNext/>
        <w:rPr>
          <w:rFonts w:eastAsia="Calibri"/>
          <w:b/>
          <w:lang w:eastAsia="de-DE"/>
        </w:rPr>
      </w:pPr>
      <w:r w:rsidRPr="00504191">
        <w:rPr>
          <w:rFonts w:eastAsia="Calibri"/>
          <w:iCs/>
          <w:lang w:eastAsia="de-DE"/>
        </w:rPr>
        <w:lastRenderedPageBreak/>
        <w:t>84.</w:t>
      </w:r>
      <w:r w:rsidRPr="00504191">
        <w:rPr>
          <w:rFonts w:eastAsia="Calibri"/>
          <w:iCs/>
          <w:lang w:eastAsia="de-DE"/>
        </w:rPr>
        <w:tab/>
      </w:r>
      <w:r w:rsidR="001038EB" w:rsidRPr="00504191">
        <w:rPr>
          <w:b/>
        </w:rPr>
        <w:t xml:space="preserve">In the light of its </w:t>
      </w:r>
      <w:r w:rsidR="00BA6F29">
        <w:rPr>
          <w:b/>
        </w:rPr>
        <w:t>g</w:t>
      </w:r>
      <w:r w:rsidR="001038EB" w:rsidRPr="00504191">
        <w:rPr>
          <w:b/>
        </w:rPr>
        <w:t xml:space="preserve">eneral </w:t>
      </w:r>
      <w:r w:rsidR="00BA6F29">
        <w:rPr>
          <w:b/>
        </w:rPr>
        <w:t>c</w:t>
      </w:r>
      <w:r w:rsidR="001038EB" w:rsidRPr="00504191">
        <w:rPr>
          <w:b/>
        </w:rPr>
        <w:t>omment</w:t>
      </w:r>
      <w:r w:rsidR="008969E1">
        <w:rPr>
          <w:b/>
        </w:rPr>
        <w:t xml:space="preserve"> No. </w:t>
      </w:r>
      <w:r w:rsidR="001038EB" w:rsidRPr="00504191">
        <w:rPr>
          <w:b/>
        </w:rPr>
        <w:t>10 (2007) on children’s rights in juvenile justice, the Committee urges the State party to:</w:t>
      </w:r>
      <w:r w:rsidR="001038EB" w:rsidRPr="00504191">
        <w:rPr>
          <w:rFonts w:eastAsia="Calibri"/>
          <w:b/>
          <w:lang w:eastAsia="de-DE"/>
        </w:rPr>
        <w:t xml:space="preserve"> </w:t>
      </w:r>
    </w:p>
    <w:p w:rsidR="001038EB" w:rsidRPr="00504191" w:rsidRDefault="00504191" w:rsidP="00113BF1">
      <w:pPr>
        <w:pStyle w:val="SingleTxtG"/>
        <w:ind w:firstLine="567"/>
        <w:rPr>
          <w:rFonts w:eastAsia="Calibri"/>
          <w:b/>
          <w:lang w:eastAsia="de-DE"/>
        </w:rPr>
      </w:pPr>
      <w:r w:rsidRPr="00113BF1">
        <w:rPr>
          <w:rFonts w:eastAsia="Calibri"/>
          <w:bCs/>
          <w:lang w:eastAsia="de-DE"/>
        </w:rPr>
        <w:t>(a)</w:t>
      </w:r>
      <w:r>
        <w:rPr>
          <w:rFonts w:eastAsia="Calibri"/>
          <w:b/>
          <w:lang w:eastAsia="de-DE"/>
        </w:rPr>
        <w:tab/>
      </w:r>
      <w:r w:rsidR="001038EB" w:rsidRPr="00504191">
        <w:rPr>
          <w:rFonts w:eastAsia="Calibri"/>
          <w:b/>
          <w:lang w:eastAsia="de-DE"/>
        </w:rPr>
        <w:t xml:space="preserve">Ensure the provision of qualified and independent legal aid </w:t>
      </w:r>
      <w:r w:rsidR="00325188">
        <w:rPr>
          <w:rFonts w:eastAsia="Calibri"/>
          <w:b/>
          <w:lang w:eastAsia="de-DE"/>
        </w:rPr>
        <w:t>for</w:t>
      </w:r>
      <w:r w:rsidR="001038EB" w:rsidRPr="00504191">
        <w:rPr>
          <w:rFonts w:eastAsia="Calibri"/>
          <w:b/>
          <w:lang w:eastAsia="de-DE"/>
        </w:rPr>
        <w:t xml:space="preserve"> children in conflict with the law at an early stage of the procedure and throughout the legal proceedings;</w:t>
      </w:r>
    </w:p>
    <w:p w:rsidR="001038EB" w:rsidRPr="00504191" w:rsidRDefault="00504191" w:rsidP="00113BF1">
      <w:pPr>
        <w:pStyle w:val="SingleTxtG"/>
        <w:ind w:firstLine="567"/>
        <w:rPr>
          <w:rFonts w:eastAsia="Calibri"/>
          <w:b/>
          <w:lang w:eastAsia="de-DE"/>
        </w:rPr>
      </w:pPr>
      <w:r w:rsidRPr="00113BF1">
        <w:rPr>
          <w:rFonts w:eastAsia="Calibri"/>
          <w:bCs/>
          <w:lang w:eastAsia="de-DE"/>
        </w:rPr>
        <w:t>(b)</w:t>
      </w:r>
      <w:r>
        <w:rPr>
          <w:rFonts w:eastAsia="Calibri"/>
          <w:b/>
          <w:lang w:eastAsia="de-DE"/>
        </w:rPr>
        <w:tab/>
      </w:r>
      <w:r w:rsidR="001038EB" w:rsidRPr="00504191">
        <w:rPr>
          <w:rFonts w:eastAsia="Calibri"/>
          <w:b/>
          <w:lang w:eastAsia="de-DE"/>
        </w:rPr>
        <w:t xml:space="preserve">Promote alternative measures to detention wherever possible, and ensure that detention is used as a last resort and for the shortest possible period of time and that it is reviewed </w:t>
      </w:r>
      <w:r w:rsidR="00325188" w:rsidRPr="00325188">
        <w:rPr>
          <w:rFonts w:eastAsia="Calibri"/>
          <w:b/>
          <w:lang w:eastAsia="de-DE"/>
        </w:rPr>
        <w:t xml:space="preserve">effectively </w:t>
      </w:r>
      <w:r w:rsidR="001038EB" w:rsidRPr="00504191">
        <w:rPr>
          <w:rFonts w:eastAsia="Calibri"/>
          <w:b/>
          <w:lang w:eastAsia="de-DE"/>
        </w:rPr>
        <w:t xml:space="preserve">on a regular basis with a view to </w:t>
      </w:r>
      <w:r w:rsidR="00A16BA3">
        <w:rPr>
          <w:rFonts w:eastAsia="Calibri"/>
          <w:b/>
          <w:lang w:eastAsia="de-DE"/>
        </w:rPr>
        <w:t xml:space="preserve">its </w:t>
      </w:r>
      <w:r w:rsidR="001038EB" w:rsidRPr="00504191">
        <w:rPr>
          <w:rFonts w:eastAsia="Calibri"/>
          <w:b/>
          <w:lang w:eastAsia="de-DE"/>
        </w:rPr>
        <w:t>withdraw</w:t>
      </w:r>
      <w:r w:rsidR="00A16BA3">
        <w:rPr>
          <w:rFonts w:eastAsia="Calibri"/>
          <w:b/>
          <w:lang w:eastAsia="de-DE"/>
        </w:rPr>
        <w:t>al</w:t>
      </w:r>
      <w:r w:rsidR="001038EB" w:rsidRPr="00504191">
        <w:rPr>
          <w:rFonts w:eastAsia="Calibri"/>
          <w:b/>
          <w:lang w:eastAsia="de-DE"/>
        </w:rPr>
        <w:t>;</w:t>
      </w:r>
    </w:p>
    <w:p w:rsidR="001038EB" w:rsidRPr="00504191" w:rsidRDefault="00DD7113" w:rsidP="00DD7113">
      <w:pPr>
        <w:pStyle w:val="SingleTxtG"/>
        <w:rPr>
          <w:b/>
        </w:rPr>
      </w:pPr>
      <w:r>
        <w:rPr>
          <w:bCs/>
        </w:rPr>
        <w:tab/>
      </w:r>
      <w:r w:rsidR="00504191" w:rsidRPr="00113BF1">
        <w:rPr>
          <w:bCs/>
        </w:rPr>
        <w:t>(c)</w:t>
      </w:r>
      <w:r w:rsidR="00504191">
        <w:rPr>
          <w:b/>
        </w:rPr>
        <w:tab/>
      </w:r>
      <w:r w:rsidR="001038EB" w:rsidRPr="00504191">
        <w:rPr>
          <w:b/>
        </w:rPr>
        <w:t xml:space="preserve">Monitor, evaluate and report on the impact of the new </w:t>
      </w:r>
      <w:r w:rsidR="001038EB" w:rsidRPr="00405E0C">
        <w:rPr>
          <w:b/>
        </w:rPr>
        <w:t>special</w:t>
      </w:r>
      <w:r w:rsidR="001038EB" w:rsidRPr="00504191">
        <w:rPr>
          <w:b/>
        </w:rPr>
        <w:t xml:space="preserve"> criminal system in ensuring respect for the human rights of child offenders, including </w:t>
      </w:r>
      <w:r>
        <w:rPr>
          <w:b/>
        </w:rPr>
        <w:t>with regard to</w:t>
      </w:r>
      <w:r w:rsidRPr="00504191">
        <w:rPr>
          <w:b/>
        </w:rPr>
        <w:t xml:space="preserve"> </w:t>
      </w:r>
      <w:r w:rsidR="001038EB" w:rsidRPr="00504191">
        <w:rPr>
          <w:b/>
        </w:rPr>
        <w:t xml:space="preserve">pretrial detention periods; </w:t>
      </w:r>
    </w:p>
    <w:p w:rsidR="001038EB" w:rsidRPr="00504191" w:rsidRDefault="00504191" w:rsidP="00113BF1">
      <w:pPr>
        <w:pStyle w:val="SingleTxtG"/>
        <w:ind w:firstLine="567"/>
        <w:rPr>
          <w:b/>
        </w:rPr>
      </w:pPr>
      <w:r w:rsidRPr="00113BF1">
        <w:rPr>
          <w:bCs/>
        </w:rPr>
        <w:t>(d)</w:t>
      </w:r>
      <w:r>
        <w:rPr>
          <w:b/>
        </w:rPr>
        <w:tab/>
      </w:r>
      <w:r w:rsidR="001038EB" w:rsidRPr="00504191">
        <w:rPr>
          <w:b/>
        </w:rPr>
        <w:t>Promptly investigate and prosecute cases of torture and abuse of authority in detention centres and provide redress to victims;</w:t>
      </w:r>
    </w:p>
    <w:p w:rsidR="001038EB" w:rsidRPr="00504191" w:rsidRDefault="00504191" w:rsidP="00113BF1">
      <w:pPr>
        <w:pStyle w:val="SingleTxtG"/>
        <w:ind w:firstLine="567"/>
        <w:rPr>
          <w:b/>
        </w:rPr>
      </w:pPr>
      <w:r w:rsidRPr="00113BF1">
        <w:rPr>
          <w:bCs/>
        </w:rPr>
        <w:t>(e)</w:t>
      </w:r>
      <w:r>
        <w:rPr>
          <w:b/>
        </w:rPr>
        <w:tab/>
      </w:r>
      <w:r w:rsidR="001038EB" w:rsidRPr="00504191">
        <w:rPr>
          <w:b/>
        </w:rPr>
        <w:t>Promptly investigate and prosecute cases of death during detention and</w:t>
      </w:r>
      <w:r w:rsidR="00525DB9">
        <w:rPr>
          <w:b/>
        </w:rPr>
        <w:t xml:space="preserve"> provide information on</w:t>
      </w:r>
      <w:r w:rsidR="001038EB" w:rsidRPr="00504191">
        <w:rPr>
          <w:b/>
        </w:rPr>
        <w:t xml:space="preserve"> the measures taken to address </w:t>
      </w:r>
      <w:r w:rsidR="00525DB9">
        <w:rPr>
          <w:b/>
        </w:rPr>
        <w:t>those cases</w:t>
      </w:r>
      <w:r w:rsidR="001038EB" w:rsidRPr="00504191">
        <w:rPr>
          <w:b/>
        </w:rPr>
        <w:t>;</w:t>
      </w:r>
    </w:p>
    <w:p w:rsidR="001038EB" w:rsidRPr="00110517" w:rsidRDefault="00504191" w:rsidP="00113BF1">
      <w:pPr>
        <w:pStyle w:val="SingleTxtG"/>
        <w:ind w:firstLine="567"/>
      </w:pPr>
      <w:r w:rsidRPr="00113BF1">
        <w:rPr>
          <w:bCs/>
        </w:rPr>
        <w:t>(f)</w:t>
      </w:r>
      <w:r>
        <w:rPr>
          <w:b/>
        </w:rPr>
        <w:tab/>
      </w:r>
      <w:r w:rsidR="001038EB" w:rsidRPr="00504191">
        <w:rPr>
          <w:b/>
        </w:rPr>
        <w:t xml:space="preserve">Make use of the technical assistance tools developed by the Interagency Panel on Juvenile Justice and its members, including the United Nations Office on Drugs and Crime, UNICEF, OHCHR and </w:t>
      </w:r>
      <w:r w:rsidR="00B61016">
        <w:rPr>
          <w:b/>
        </w:rPr>
        <w:t>non-governmental organizations</w:t>
      </w:r>
      <w:r w:rsidR="001038EB" w:rsidRPr="00504191">
        <w:rPr>
          <w:b/>
        </w:rPr>
        <w:t>, and seek technical assistance in the area of juvenile justice from members of the Panel.</w:t>
      </w:r>
    </w:p>
    <w:p w:rsidR="001038EB" w:rsidRPr="00BA6F29" w:rsidRDefault="00504191" w:rsidP="00504191">
      <w:pPr>
        <w:pStyle w:val="H1G"/>
        <w:rPr>
          <w:rFonts w:eastAsia="SimSun"/>
        </w:rPr>
      </w:pPr>
      <w:r>
        <w:rPr>
          <w:rFonts w:eastAsia="SimSun"/>
        </w:rPr>
        <w:tab/>
        <w:t>I.</w:t>
      </w:r>
      <w:r>
        <w:rPr>
          <w:rFonts w:eastAsia="SimSun"/>
        </w:rPr>
        <w:tab/>
      </w:r>
      <w:r w:rsidR="001038EB" w:rsidRPr="00BA6F29">
        <w:rPr>
          <w:rFonts w:eastAsia="SimSun"/>
        </w:rPr>
        <w:t>Ratification of the Optional Protocol</w:t>
      </w:r>
      <w:r w:rsidR="001038EB" w:rsidRPr="00BA6F29">
        <w:t xml:space="preserve"> on a communications procedure</w:t>
      </w:r>
    </w:p>
    <w:p w:rsidR="001038EB" w:rsidRPr="00BA6F29" w:rsidRDefault="00113BF1" w:rsidP="00344165">
      <w:pPr>
        <w:pStyle w:val="SingleTxtG"/>
      </w:pPr>
      <w:r w:rsidRPr="00BA6F29">
        <w:rPr>
          <w:iCs/>
        </w:rPr>
        <w:t>85.</w:t>
      </w:r>
      <w:r w:rsidRPr="00BA6F29">
        <w:rPr>
          <w:iCs/>
        </w:rPr>
        <w:tab/>
      </w:r>
      <w:r w:rsidR="001038EB" w:rsidRPr="00BA6F29">
        <w:rPr>
          <w:b/>
        </w:rPr>
        <w:t>The Committee recommends that the State party, in order to further strengthen the fulfilment of children’s rights, ratify the Optional Protocol to the Convention on the Rights of the Child on a communications procedure.</w:t>
      </w:r>
      <w:r w:rsidR="001038EB" w:rsidRPr="00BA6F29">
        <w:t xml:space="preserve"> </w:t>
      </w:r>
    </w:p>
    <w:p w:rsidR="001038EB" w:rsidRPr="00BA6F29" w:rsidRDefault="00504191" w:rsidP="00504191">
      <w:pPr>
        <w:pStyle w:val="H1G"/>
        <w:rPr>
          <w:rFonts w:eastAsia="SimSun"/>
        </w:rPr>
      </w:pPr>
      <w:r w:rsidRPr="00BA6F29">
        <w:rPr>
          <w:rFonts w:eastAsia="SimSun"/>
        </w:rPr>
        <w:tab/>
        <w:t>J.</w:t>
      </w:r>
      <w:r w:rsidRPr="00BA6F29">
        <w:rPr>
          <w:rFonts w:eastAsia="SimSun"/>
        </w:rPr>
        <w:tab/>
      </w:r>
      <w:r w:rsidR="001038EB" w:rsidRPr="00BA6F29">
        <w:rPr>
          <w:rFonts w:eastAsia="SimSun"/>
        </w:rPr>
        <w:t>Cooperation with regional bodies</w:t>
      </w:r>
    </w:p>
    <w:p w:rsidR="001038EB" w:rsidRPr="00113BF1" w:rsidRDefault="00113BF1" w:rsidP="00344165">
      <w:pPr>
        <w:pStyle w:val="SingleTxtG"/>
        <w:rPr>
          <w:b/>
          <w:bCs/>
          <w:iCs/>
          <w:lang w:eastAsia="en-GB"/>
        </w:rPr>
      </w:pPr>
      <w:r w:rsidRPr="00113BF1">
        <w:rPr>
          <w:iCs/>
          <w:lang w:eastAsia="en-GB"/>
        </w:rPr>
        <w:t>86.</w:t>
      </w:r>
      <w:r w:rsidRPr="00113BF1">
        <w:rPr>
          <w:iCs/>
          <w:lang w:eastAsia="en-GB"/>
        </w:rPr>
        <w:tab/>
      </w:r>
      <w:r w:rsidR="001038EB" w:rsidRPr="00BA6F29">
        <w:rPr>
          <w:b/>
        </w:rPr>
        <w:t xml:space="preserve">The Committee recommends that the State party cooperate with the Organization of American States (OAS) on the implementation of the Convention and other human rights instruments, both in the State party and in other OAS member </w:t>
      </w:r>
      <w:r w:rsidR="001038EB" w:rsidRPr="00113BF1">
        <w:rPr>
          <w:b/>
          <w:bCs/>
          <w:iCs/>
          <w:lang w:eastAsia="en-GB"/>
        </w:rPr>
        <w:t xml:space="preserve">States. </w:t>
      </w:r>
    </w:p>
    <w:p w:rsidR="001038EB" w:rsidRPr="00504191" w:rsidRDefault="00504191" w:rsidP="00504191">
      <w:pPr>
        <w:pStyle w:val="HChG"/>
      </w:pPr>
      <w:r>
        <w:tab/>
        <w:t>IV.</w:t>
      </w:r>
      <w:r>
        <w:tab/>
      </w:r>
      <w:r w:rsidR="001038EB" w:rsidRPr="00504191">
        <w:t>Implementation and reporting</w:t>
      </w:r>
    </w:p>
    <w:p w:rsidR="001038EB" w:rsidRPr="00504191" w:rsidRDefault="001038EB" w:rsidP="00504191">
      <w:pPr>
        <w:pStyle w:val="H1G"/>
      </w:pPr>
      <w:r w:rsidRPr="00504191">
        <w:tab/>
        <w:t>A.</w:t>
      </w:r>
      <w:r w:rsidRPr="00504191">
        <w:tab/>
        <w:t>Follow-up and dissemination</w:t>
      </w:r>
    </w:p>
    <w:p w:rsidR="001038EB" w:rsidRPr="00504191" w:rsidRDefault="00113BF1" w:rsidP="00344165">
      <w:pPr>
        <w:pStyle w:val="SingleTxtG"/>
      </w:pPr>
      <w:r w:rsidRPr="00504191">
        <w:rPr>
          <w:iCs/>
        </w:rPr>
        <w:t>87.</w:t>
      </w:r>
      <w:r w:rsidRPr="00504191">
        <w:rPr>
          <w:iCs/>
        </w:rPr>
        <w:tab/>
      </w:r>
      <w:r w:rsidR="001038EB" w:rsidRPr="00504191">
        <w:rPr>
          <w:rFonts w:eastAsia="Malgun Gothic"/>
          <w:b/>
        </w:rPr>
        <w:t xml:space="preserve">The Committee recommends that the State party take all appropriate measures to ensure that the recommendations contained in the present concluding observations are fully implemented. </w:t>
      </w:r>
      <w:r w:rsidR="0046566F">
        <w:rPr>
          <w:rFonts w:eastAsia="Malgun Gothic"/>
          <w:b/>
        </w:rPr>
        <w:t>It</w:t>
      </w:r>
      <w:r w:rsidR="001038EB" w:rsidRPr="00504191">
        <w:rPr>
          <w:rFonts w:eastAsia="Malgun Gothic"/>
          <w:b/>
        </w:rPr>
        <w:t xml:space="preserve"> also recommends that the combined fourth and fifth periodic reports, the written replies of the State party and the present concluding observations be made widely available in the languages of the country.</w:t>
      </w:r>
    </w:p>
    <w:p w:rsidR="001038EB" w:rsidRPr="00504191" w:rsidRDefault="001038EB" w:rsidP="00504191">
      <w:pPr>
        <w:pStyle w:val="H1G"/>
        <w:rPr>
          <w:rFonts w:eastAsia="Malgun Gothic"/>
        </w:rPr>
      </w:pPr>
      <w:r w:rsidRPr="00504191">
        <w:rPr>
          <w:rFonts w:eastAsia="Malgun Gothic"/>
        </w:rPr>
        <w:lastRenderedPageBreak/>
        <w:tab/>
        <w:t>B.</w:t>
      </w:r>
      <w:r w:rsidRPr="00504191">
        <w:rPr>
          <w:rFonts w:eastAsia="Malgun Gothic"/>
        </w:rPr>
        <w:tab/>
        <w:t xml:space="preserve">Next report </w:t>
      </w:r>
    </w:p>
    <w:p w:rsidR="001038EB" w:rsidRPr="00504191" w:rsidRDefault="00113BF1" w:rsidP="00344165">
      <w:pPr>
        <w:pStyle w:val="SingleTxtG"/>
        <w:rPr>
          <w:rFonts w:eastAsia="Malgun Gothic"/>
        </w:rPr>
      </w:pPr>
      <w:r w:rsidRPr="00504191">
        <w:rPr>
          <w:rFonts w:eastAsia="Malgun Gothic"/>
          <w:iCs/>
        </w:rPr>
        <w:t>88.</w:t>
      </w:r>
      <w:r w:rsidRPr="00504191">
        <w:rPr>
          <w:rFonts w:eastAsia="Malgun Gothic"/>
          <w:iCs/>
        </w:rPr>
        <w:tab/>
      </w:r>
      <w:r w:rsidR="001038EB" w:rsidRPr="00504191">
        <w:rPr>
          <w:rFonts w:eastAsia="Malgun Gothic"/>
          <w:b/>
        </w:rPr>
        <w:t xml:space="preserve">The Committee invites the State party to submit its </w:t>
      </w:r>
      <w:r w:rsidR="00F51071">
        <w:rPr>
          <w:rFonts w:eastAsia="Malgun Gothic"/>
          <w:b/>
        </w:rPr>
        <w:t xml:space="preserve">combined </w:t>
      </w:r>
      <w:r w:rsidR="001038EB" w:rsidRPr="00504191">
        <w:rPr>
          <w:rFonts w:eastAsia="Malgun Gothic"/>
          <w:b/>
        </w:rPr>
        <w:t xml:space="preserve">sixth and seventh periodic reports by 8 September 2020 and to include therein information on the follow-up to the present concluding observations. The report should be in compliance with the Committee’s harmonized treaty-specific reporting guidelines adopted on 31 January 2014 (CRC/C/58/Rev.3) and should not exceed 21,200 words (see General Assembly resolution 68/268, </w:t>
      </w:r>
      <w:r w:rsidR="008969E1">
        <w:rPr>
          <w:rFonts w:eastAsia="Malgun Gothic"/>
          <w:b/>
        </w:rPr>
        <w:t>para. </w:t>
      </w:r>
      <w:r w:rsidR="001038EB" w:rsidRPr="00504191">
        <w:rPr>
          <w:rFonts w:eastAsia="Malgun Gothic"/>
          <w:b/>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1038EB" w:rsidRDefault="00113BF1" w:rsidP="00344165">
      <w:pPr>
        <w:pStyle w:val="SingleTxtG"/>
        <w:rPr>
          <w:rFonts w:eastAsia="Malgun Gothic"/>
        </w:rPr>
      </w:pPr>
      <w:r>
        <w:rPr>
          <w:rFonts w:eastAsia="Malgun Gothic"/>
          <w:iCs/>
        </w:rPr>
        <w:t>89.</w:t>
      </w:r>
      <w:r>
        <w:rPr>
          <w:rFonts w:eastAsia="Malgun Gothic"/>
          <w:iCs/>
        </w:rPr>
        <w:tab/>
      </w:r>
      <w:r w:rsidR="001038EB" w:rsidRPr="00504191">
        <w:rPr>
          <w:rFonts w:eastAsia="Malgun Gothic"/>
          <w:b/>
        </w:rPr>
        <w:t>The Committee also invites the State party to submit an updated core document in accordance with the requirements for the common core document in the harmonized guidelines on reporting approved at the fifth inter-committee meeting of the human rights treaty bodies in June 2006 (HRI/GEN/2/Rev.6, chap. I)</w:t>
      </w:r>
      <w:r w:rsidR="00F51071">
        <w:rPr>
          <w:rFonts w:eastAsia="Malgun Gothic"/>
          <w:b/>
        </w:rPr>
        <w:t xml:space="preserve">. </w:t>
      </w:r>
      <w:r w:rsidR="00F51071" w:rsidRPr="00F51071">
        <w:rPr>
          <w:rFonts w:eastAsia="Malgun Gothic"/>
          <w:b/>
        </w:rPr>
        <w:t>The word limit for the common core document</w:t>
      </w:r>
      <w:r w:rsidR="00F51071">
        <w:rPr>
          <w:rFonts w:eastAsia="Malgun Gothic"/>
          <w:b/>
        </w:rPr>
        <w:t>, as established by the</w:t>
      </w:r>
      <w:r w:rsidR="001038EB" w:rsidRPr="00504191">
        <w:rPr>
          <w:rFonts w:eastAsia="Malgun Gothic"/>
          <w:b/>
        </w:rPr>
        <w:t xml:space="preserve"> General Assembly </w:t>
      </w:r>
      <w:r w:rsidR="00F51071">
        <w:rPr>
          <w:rFonts w:eastAsia="Malgun Gothic"/>
          <w:b/>
        </w:rPr>
        <w:t xml:space="preserve">in paragraph 16 of its </w:t>
      </w:r>
      <w:r w:rsidR="001038EB" w:rsidRPr="00504191">
        <w:rPr>
          <w:rFonts w:eastAsia="Malgun Gothic"/>
          <w:b/>
        </w:rPr>
        <w:t>resolution 68/268</w:t>
      </w:r>
      <w:r w:rsidR="00F51071">
        <w:rPr>
          <w:rFonts w:eastAsia="Malgun Gothic"/>
          <w:b/>
        </w:rPr>
        <w:t>, is 42,400 words</w:t>
      </w:r>
      <w:r w:rsidR="001038EB" w:rsidRPr="00504191">
        <w:rPr>
          <w:rFonts w:eastAsia="Malgun Gothic"/>
          <w:b/>
        </w:rPr>
        <w:t>.</w:t>
      </w:r>
    </w:p>
    <w:p w:rsidR="00504191" w:rsidRPr="00504191" w:rsidRDefault="00504191" w:rsidP="00504191">
      <w:pPr>
        <w:pStyle w:val="SingleTxtG"/>
        <w:spacing w:before="240" w:after="0"/>
        <w:jc w:val="center"/>
        <w:rPr>
          <w:rFonts w:eastAsia="Malgun Gothic"/>
          <w:u w:val="single"/>
        </w:rPr>
      </w:pPr>
      <w:r>
        <w:rPr>
          <w:rFonts w:eastAsia="Malgun Gothic"/>
          <w:u w:val="single"/>
        </w:rPr>
        <w:tab/>
      </w:r>
      <w:r>
        <w:rPr>
          <w:rFonts w:eastAsia="Malgun Gothic"/>
          <w:u w:val="single"/>
        </w:rPr>
        <w:tab/>
      </w:r>
      <w:r>
        <w:rPr>
          <w:rFonts w:eastAsia="Malgun Gothic"/>
          <w:u w:val="single"/>
        </w:rPr>
        <w:tab/>
      </w:r>
    </w:p>
    <w:sectPr w:rsidR="00504191" w:rsidRPr="00504191" w:rsidSect="00B1698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3T17:49:00Z" w:initials="Start">
    <w:p w:rsidR="00B1698F" w:rsidRDefault="00B1698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NO&gt;&gt;N1514605E&lt;&lt;ODS JOB NO&gt;&gt;</w:t>
      </w:r>
    </w:p>
    <w:p w:rsidR="00B1698F" w:rsidRDefault="00B1698F">
      <w:pPr>
        <w:pStyle w:val="CommentText"/>
      </w:pPr>
      <w:r>
        <w:t>&lt;&lt;ODS DOC SYMBOL1&gt;&gt;CRC/C/HND/CO/4-5&lt;&lt;ODS DOC SYMBOL1&gt;&gt;</w:t>
      </w:r>
    </w:p>
    <w:p w:rsidR="00B1698F" w:rsidRDefault="00B169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55" w:rsidRDefault="00995D55"/>
  </w:endnote>
  <w:endnote w:type="continuationSeparator" w:id="0">
    <w:p w:rsidR="00995D55" w:rsidRDefault="00995D55"/>
  </w:endnote>
  <w:endnote w:type="continuationNotice" w:id="1">
    <w:p w:rsidR="00995D55" w:rsidRDefault="00995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rcode 3 of 9 by request">
    <w:panose1 w:val="020B0803050302020204"/>
    <w:charset w:val="00"/>
    <w:family w:val="swiss"/>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5" w:rsidRPr="00AE2A67" w:rsidRDefault="00995D55" w:rsidP="00AE2A67">
    <w:pPr>
      <w:pStyle w:val="Footer"/>
      <w:tabs>
        <w:tab w:val="right" w:pos="9638"/>
      </w:tabs>
    </w:pPr>
    <w:r w:rsidRPr="00AE2A67">
      <w:rPr>
        <w:b/>
        <w:sz w:val="18"/>
      </w:rPr>
      <w:fldChar w:fldCharType="begin"/>
    </w:r>
    <w:r w:rsidRPr="00AE2A67">
      <w:rPr>
        <w:b/>
        <w:sz w:val="18"/>
      </w:rPr>
      <w:instrText xml:space="preserve"> PAGE  \* MERGEFORMAT </w:instrText>
    </w:r>
    <w:r w:rsidRPr="00AE2A67">
      <w:rPr>
        <w:b/>
        <w:sz w:val="18"/>
      </w:rPr>
      <w:fldChar w:fldCharType="separate"/>
    </w:r>
    <w:r w:rsidR="002912BE">
      <w:rPr>
        <w:b/>
        <w:noProof/>
        <w:sz w:val="18"/>
      </w:rPr>
      <w:t>18</w:t>
    </w:r>
    <w:r w:rsidRPr="00AE2A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5" w:rsidRPr="00AE2A67" w:rsidRDefault="00995D55" w:rsidP="00AE2A67">
    <w:pPr>
      <w:pStyle w:val="Footer"/>
      <w:tabs>
        <w:tab w:val="right" w:pos="9638"/>
      </w:tabs>
      <w:rPr>
        <w:b/>
        <w:sz w:val="18"/>
      </w:rPr>
    </w:pPr>
    <w:r>
      <w:tab/>
    </w:r>
    <w:r w:rsidRPr="00AE2A67">
      <w:rPr>
        <w:b/>
        <w:sz w:val="18"/>
      </w:rPr>
      <w:fldChar w:fldCharType="begin"/>
    </w:r>
    <w:r w:rsidRPr="00AE2A67">
      <w:rPr>
        <w:b/>
        <w:sz w:val="18"/>
      </w:rPr>
      <w:instrText xml:space="preserve"> PAGE  \* MERGEFORMAT </w:instrText>
    </w:r>
    <w:r w:rsidRPr="00AE2A67">
      <w:rPr>
        <w:b/>
        <w:sz w:val="18"/>
      </w:rPr>
      <w:fldChar w:fldCharType="separate"/>
    </w:r>
    <w:r w:rsidR="002912BE">
      <w:rPr>
        <w:b/>
        <w:noProof/>
        <w:sz w:val="18"/>
      </w:rPr>
      <w:t>19</w:t>
    </w:r>
    <w:r w:rsidRPr="00AE2A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1698F" w:rsidTr="00B1698F">
      <w:tc>
        <w:tcPr>
          <w:tcW w:w="3614" w:type="dxa"/>
          <w:shd w:val="clear" w:color="auto" w:fill="auto"/>
        </w:tcPr>
        <w:p w:rsidR="00B1698F" w:rsidRDefault="00B1698F" w:rsidP="00B1698F">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CRC/C/HND/CO/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HND/CO/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GE.15-11221(E)</w:t>
          </w:r>
        </w:p>
        <w:p w:rsidR="00B1698F" w:rsidRPr="00B1698F" w:rsidRDefault="00B1698F" w:rsidP="00B1698F">
          <w:pPr>
            <w:pStyle w:val="Footer"/>
            <w:rPr>
              <w:rFonts w:ascii="Barcode 3 of 9 by request" w:hAnsi="Barcode 3 of 9 by request"/>
              <w:sz w:val="24"/>
            </w:rPr>
          </w:pPr>
          <w:r>
            <w:rPr>
              <w:rFonts w:ascii="Barcode 3 of 9 by request" w:hAnsi="Barcode 3 of 9 by request"/>
              <w:sz w:val="24"/>
            </w:rPr>
            <w:t>*1511221*</w:t>
          </w:r>
        </w:p>
      </w:tc>
      <w:tc>
        <w:tcPr>
          <w:tcW w:w="4752" w:type="dxa"/>
          <w:shd w:val="clear" w:color="auto" w:fill="auto"/>
        </w:tcPr>
        <w:p w:rsidR="00B1698F" w:rsidRDefault="00B1698F" w:rsidP="00B1698F">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1698F" w:rsidRPr="00B1698F" w:rsidRDefault="00B1698F" w:rsidP="00B1698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55" w:rsidRPr="000B175B" w:rsidRDefault="00995D55" w:rsidP="000B175B">
      <w:pPr>
        <w:tabs>
          <w:tab w:val="right" w:pos="2155"/>
        </w:tabs>
        <w:spacing w:after="80"/>
        <w:ind w:left="680"/>
        <w:rPr>
          <w:u w:val="single"/>
        </w:rPr>
      </w:pPr>
      <w:r>
        <w:rPr>
          <w:u w:val="single"/>
        </w:rPr>
        <w:tab/>
      </w:r>
    </w:p>
  </w:footnote>
  <w:footnote w:type="continuationSeparator" w:id="0">
    <w:p w:rsidR="00995D55" w:rsidRPr="00FC68B7" w:rsidRDefault="00995D55" w:rsidP="00FC68B7">
      <w:pPr>
        <w:tabs>
          <w:tab w:val="left" w:pos="2155"/>
        </w:tabs>
        <w:spacing w:after="80"/>
        <w:ind w:left="680"/>
        <w:rPr>
          <w:u w:val="single"/>
        </w:rPr>
      </w:pPr>
      <w:r>
        <w:rPr>
          <w:u w:val="single"/>
        </w:rPr>
        <w:tab/>
      </w:r>
    </w:p>
  </w:footnote>
  <w:footnote w:type="continuationNotice" w:id="1">
    <w:p w:rsidR="00995D55" w:rsidRDefault="00995D55"/>
  </w:footnote>
  <w:footnote w:id="2">
    <w:p w:rsidR="00995D55" w:rsidRPr="004B3C66" w:rsidRDefault="00995D55" w:rsidP="001038EB">
      <w:pPr>
        <w:pStyle w:val="FootnoteText"/>
      </w:pPr>
      <w:r>
        <w:tab/>
      </w:r>
      <w:r w:rsidRPr="00A459F2">
        <w:rPr>
          <w:rStyle w:val="FootnoteReference"/>
          <w:sz w:val="20"/>
          <w:vertAlign w:val="baseline"/>
        </w:rPr>
        <w:t>*</w:t>
      </w:r>
      <w:r>
        <w:rPr>
          <w:sz w:val="20"/>
        </w:rPr>
        <w:tab/>
      </w:r>
      <w:r w:rsidRPr="00E057FE">
        <w:t>Adopted by the Committee at its</w:t>
      </w:r>
      <w:r>
        <w:t xml:space="preserve"> sixty-ninth</w:t>
      </w:r>
      <w:r w:rsidRPr="0055184D">
        <w:rPr>
          <w:color w:val="FF0000"/>
        </w:rPr>
        <w:t xml:space="preserve"> </w:t>
      </w:r>
      <w:r w:rsidRPr="00E057FE">
        <w:t xml:space="preserve">session </w:t>
      </w:r>
      <w:r>
        <w:t>(18 May–5 June 2015</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5" w:rsidRPr="00AE2A67" w:rsidRDefault="00995D55">
    <w:pPr>
      <w:pStyle w:val="Header"/>
    </w:pPr>
    <w:r>
      <w:t>CRC/C/HND/CO/4-5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55" w:rsidRPr="00AE2A67" w:rsidRDefault="00995D55" w:rsidP="00AE2A67">
    <w:pPr>
      <w:pStyle w:val="Header"/>
      <w:jc w:val="right"/>
    </w:pPr>
    <w:r>
      <w:t>CRC/C/HND/CO/4-5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D5"/>
    <w:multiLevelType w:val="hybridMultilevel"/>
    <w:tmpl w:val="B39AB586"/>
    <w:lvl w:ilvl="0" w:tplc="79BCB66A">
      <w:start w:val="1"/>
      <w:numFmt w:val="lowerLetter"/>
      <w:lvlText w:val="(%1)"/>
      <w:lvlJc w:val="left"/>
      <w:pPr>
        <w:ind w:left="2061" w:hanging="360"/>
      </w:pPr>
      <w:rPr>
        <w:rFonts w:ascii="Times New Roman" w:eastAsia="Times New Roman" w:hAnsi="Times New Roman" w:cs="Times New Roman"/>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B23EED"/>
    <w:multiLevelType w:val="hybridMultilevel"/>
    <w:tmpl w:val="A058CC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46B4530"/>
    <w:multiLevelType w:val="hybridMultilevel"/>
    <w:tmpl w:val="AE2444B4"/>
    <w:lvl w:ilvl="0" w:tplc="9814C7AA">
      <w:start w:val="1"/>
      <w:numFmt w:val="decimal"/>
      <w:lvlText w:val="%1."/>
      <w:lvlJc w:val="left"/>
      <w:pPr>
        <w:ind w:left="1778" w:hanging="360"/>
      </w:pPr>
      <w:rPr>
        <w:b w:val="0"/>
        <w:i w:val="0"/>
      </w:rPr>
    </w:lvl>
    <w:lvl w:ilvl="1" w:tplc="219017DE">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28B974A6"/>
    <w:multiLevelType w:val="hybridMultilevel"/>
    <w:tmpl w:val="8692F596"/>
    <w:lvl w:ilvl="0" w:tplc="F9D4F8A6">
      <w:start w:val="1"/>
      <w:numFmt w:val="lowerLetter"/>
      <w:lvlText w:val="(%1)"/>
      <w:lvlJc w:val="left"/>
      <w:pPr>
        <w:ind w:left="2858" w:hanging="360"/>
      </w:pPr>
      <w:rPr>
        <w:rFonts w:ascii="Times New Roman" w:eastAsia="Times New Roman" w:hAnsi="Times New Roman" w:cs="Times New Roman"/>
      </w:rPr>
    </w:lvl>
    <w:lvl w:ilvl="1" w:tplc="08090019" w:tentative="1">
      <w:start w:val="1"/>
      <w:numFmt w:val="lowerLetter"/>
      <w:lvlText w:val="%2."/>
      <w:lvlJc w:val="left"/>
      <w:pPr>
        <w:ind w:left="3578" w:hanging="360"/>
      </w:pPr>
    </w:lvl>
    <w:lvl w:ilvl="2" w:tplc="0809001B" w:tentative="1">
      <w:start w:val="1"/>
      <w:numFmt w:val="lowerRoman"/>
      <w:lvlText w:val="%3."/>
      <w:lvlJc w:val="right"/>
      <w:pPr>
        <w:ind w:left="4298" w:hanging="180"/>
      </w:pPr>
    </w:lvl>
    <w:lvl w:ilvl="3" w:tplc="0809000F" w:tentative="1">
      <w:start w:val="1"/>
      <w:numFmt w:val="decimal"/>
      <w:lvlText w:val="%4."/>
      <w:lvlJc w:val="left"/>
      <w:pPr>
        <w:ind w:left="5018" w:hanging="360"/>
      </w:pPr>
    </w:lvl>
    <w:lvl w:ilvl="4" w:tplc="08090019" w:tentative="1">
      <w:start w:val="1"/>
      <w:numFmt w:val="lowerLetter"/>
      <w:lvlText w:val="%5."/>
      <w:lvlJc w:val="left"/>
      <w:pPr>
        <w:ind w:left="5738" w:hanging="360"/>
      </w:pPr>
    </w:lvl>
    <w:lvl w:ilvl="5" w:tplc="0809001B" w:tentative="1">
      <w:start w:val="1"/>
      <w:numFmt w:val="lowerRoman"/>
      <w:lvlText w:val="%6."/>
      <w:lvlJc w:val="right"/>
      <w:pPr>
        <w:ind w:left="6458" w:hanging="180"/>
      </w:pPr>
    </w:lvl>
    <w:lvl w:ilvl="6" w:tplc="0809000F" w:tentative="1">
      <w:start w:val="1"/>
      <w:numFmt w:val="decimal"/>
      <w:lvlText w:val="%7."/>
      <w:lvlJc w:val="left"/>
      <w:pPr>
        <w:ind w:left="7178" w:hanging="360"/>
      </w:pPr>
    </w:lvl>
    <w:lvl w:ilvl="7" w:tplc="08090019" w:tentative="1">
      <w:start w:val="1"/>
      <w:numFmt w:val="lowerLetter"/>
      <w:lvlText w:val="%8."/>
      <w:lvlJc w:val="left"/>
      <w:pPr>
        <w:ind w:left="7898" w:hanging="360"/>
      </w:pPr>
    </w:lvl>
    <w:lvl w:ilvl="8" w:tplc="0809001B" w:tentative="1">
      <w:start w:val="1"/>
      <w:numFmt w:val="lowerRoman"/>
      <w:lvlText w:val="%9."/>
      <w:lvlJc w:val="right"/>
      <w:pPr>
        <w:ind w:left="8618" w:hanging="180"/>
      </w:pPr>
    </w:lvl>
  </w:abstractNum>
  <w:abstractNum w:abstractNumId="5">
    <w:nsid w:val="2B870F9E"/>
    <w:multiLevelType w:val="hybridMultilevel"/>
    <w:tmpl w:val="C88670DA"/>
    <w:lvl w:ilvl="0" w:tplc="219017DE">
      <w:start w:val="1"/>
      <w:numFmt w:val="lowerLetter"/>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nsid w:val="2C044589"/>
    <w:multiLevelType w:val="hybridMultilevel"/>
    <w:tmpl w:val="CB643F72"/>
    <w:lvl w:ilvl="0" w:tplc="2940E47E">
      <w:start w:val="32"/>
      <w:numFmt w:val="decimal"/>
      <w:lvlText w:val="%1."/>
      <w:lvlJc w:val="left"/>
      <w:pPr>
        <w:ind w:left="2138" w:hanging="360"/>
      </w:pPr>
      <w:rPr>
        <w:rFonts w:hint="default"/>
        <w:i w:val="0"/>
      </w:rPr>
    </w:lvl>
    <w:lvl w:ilvl="1" w:tplc="58229DB4">
      <w:start w:val="1"/>
      <w:numFmt w:val="lowerLetter"/>
      <w:lvlText w:val="(%2)"/>
      <w:lvlJc w:val="left"/>
      <w:pPr>
        <w:ind w:left="2858" w:hanging="360"/>
      </w:pPr>
      <w:rPr>
        <w:rFonts w:hint="default"/>
        <w:b w:val="0"/>
        <w:i w:val="0"/>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nsid w:val="317D491F"/>
    <w:multiLevelType w:val="hybridMultilevel"/>
    <w:tmpl w:val="2A8A47FA"/>
    <w:lvl w:ilvl="0" w:tplc="56765368">
      <w:start w:val="1"/>
      <w:numFmt w:val="bullet"/>
      <w:lvlText w:val="-"/>
      <w:lvlJc w:val="left"/>
      <w:pPr>
        <w:ind w:left="2214" w:hanging="360"/>
      </w:pPr>
      <w:rPr>
        <w:rFonts w:ascii="Times New Roman" w:eastAsia="Times New Roman" w:hAnsi="Times New Roman" w:cs="Times New Roman"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8">
    <w:nsid w:val="493C4DBD"/>
    <w:multiLevelType w:val="hybridMultilevel"/>
    <w:tmpl w:val="18DC1326"/>
    <w:lvl w:ilvl="0" w:tplc="219017DE">
      <w:start w:val="1"/>
      <w:numFmt w:val="lowerLetter"/>
      <w:lvlText w:val="(%1)"/>
      <w:lvlJc w:val="left"/>
      <w:pPr>
        <w:ind w:left="1494" w:hanging="360"/>
      </w:pPr>
      <w:rPr>
        <w:rFonts w:hint="default"/>
        <w:i w:val="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494C2E8E"/>
    <w:multiLevelType w:val="hybridMultilevel"/>
    <w:tmpl w:val="9F9A40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F80C9D"/>
    <w:multiLevelType w:val="hybridMultilevel"/>
    <w:tmpl w:val="37AC23DE"/>
    <w:lvl w:ilvl="0" w:tplc="9814C7AA">
      <w:start w:val="1"/>
      <w:numFmt w:val="decimal"/>
      <w:lvlText w:val="%1."/>
      <w:lvlJc w:val="left"/>
      <w:pPr>
        <w:ind w:left="1778" w:hanging="360"/>
      </w:pPr>
      <w:rPr>
        <w:b w:val="0"/>
        <w:i w:val="0"/>
      </w:rPr>
    </w:lvl>
    <w:lvl w:ilvl="1" w:tplc="64FCAEFC">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58F33A9B"/>
    <w:multiLevelType w:val="hybridMultilevel"/>
    <w:tmpl w:val="854EA2B2"/>
    <w:lvl w:ilvl="0" w:tplc="21B44FB0">
      <w:start w:val="1"/>
      <w:numFmt w:val="lowerLetter"/>
      <w:lvlText w:val="(%1)"/>
      <w:lvlJc w:val="left"/>
      <w:pPr>
        <w:ind w:left="2934" w:hanging="360"/>
      </w:pPr>
      <w:rPr>
        <w:rFonts w:hint="default"/>
      </w:rPr>
    </w:lvl>
    <w:lvl w:ilvl="1" w:tplc="040C0019">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12">
    <w:nsid w:val="5E261B3B"/>
    <w:multiLevelType w:val="hybridMultilevel"/>
    <w:tmpl w:val="30B0568A"/>
    <w:lvl w:ilvl="0" w:tplc="96A0ED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245AA8"/>
    <w:multiLevelType w:val="hybridMultilevel"/>
    <w:tmpl w:val="4880B62E"/>
    <w:lvl w:ilvl="0" w:tplc="79BCB66A">
      <w:start w:val="1"/>
      <w:numFmt w:val="lowerLetter"/>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840518"/>
    <w:multiLevelType w:val="hybridMultilevel"/>
    <w:tmpl w:val="17CC7060"/>
    <w:lvl w:ilvl="0" w:tplc="F1200F02">
      <w:start w:val="1"/>
      <w:numFmt w:val="lowerLetter"/>
      <w:lvlText w:val="(%1)"/>
      <w:lvlJc w:val="left"/>
      <w:pPr>
        <w:ind w:left="2135" w:hanging="360"/>
      </w:pPr>
      <w:rPr>
        <w:rFonts w:hint="default"/>
        <w:b w:val="0"/>
      </w:rPr>
    </w:lvl>
    <w:lvl w:ilvl="1" w:tplc="040C0019" w:tentative="1">
      <w:start w:val="1"/>
      <w:numFmt w:val="lowerLetter"/>
      <w:lvlText w:val="%2."/>
      <w:lvlJc w:val="left"/>
      <w:pPr>
        <w:ind w:left="2855" w:hanging="360"/>
      </w:pPr>
    </w:lvl>
    <w:lvl w:ilvl="2" w:tplc="040C001B" w:tentative="1">
      <w:start w:val="1"/>
      <w:numFmt w:val="lowerRoman"/>
      <w:lvlText w:val="%3."/>
      <w:lvlJc w:val="right"/>
      <w:pPr>
        <w:ind w:left="3575" w:hanging="180"/>
      </w:pPr>
    </w:lvl>
    <w:lvl w:ilvl="3" w:tplc="040C000F" w:tentative="1">
      <w:start w:val="1"/>
      <w:numFmt w:val="decimal"/>
      <w:lvlText w:val="%4."/>
      <w:lvlJc w:val="left"/>
      <w:pPr>
        <w:ind w:left="4295" w:hanging="360"/>
      </w:pPr>
    </w:lvl>
    <w:lvl w:ilvl="4" w:tplc="040C0019" w:tentative="1">
      <w:start w:val="1"/>
      <w:numFmt w:val="lowerLetter"/>
      <w:lvlText w:val="%5."/>
      <w:lvlJc w:val="left"/>
      <w:pPr>
        <w:ind w:left="5015" w:hanging="360"/>
      </w:pPr>
    </w:lvl>
    <w:lvl w:ilvl="5" w:tplc="040C001B" w:tentative="1">
      <w:start w:val="1"/>
      <w:numFmt w:val="lowerRoman"/>
      <w:lvlText w:val="%6."/>
      <w:lvlJc w:val="right"/>
      <w:pPr>
        <w:ind w:left="5735" w:hanging="180"/>
      </w:pPr>
    </w:lvl>
    <w:lvl w:ilvl="6" w:tplc="040C000F" w:tentative="1">
      <w:start w:val="1"/>
      <w:numFmt w:val="decimal"/>
      <w:lvlText w:val="%7."/>
      <w:lvlJc w:val="left"/>
      <w:pPr>
        <w:ind w:left="6455" w:hanging="360"/>
      </w:pPr>
    </w:lvl>
    <w:lvl w:ilvl="7" w:tplc="040C0019" w:tentative="1">
      <w:start w:val="1"/>
      <w:numFmt w:val="lowerLetter"/>
      <w:lvlText w:val="%8."/>
      <w:lvlJc w:val="left"/>
      <w:pPr>
        <w:ind w:left="7175" w:hanging="360"/>
      </w:pPr>
    </w:lvl>
    <w:lvl w:ilvl="8" w:tplc="040C001B" w:tentative="1">
      <w:start w:val="1"/>
      <w:numFmt w:val="lowerRoman"/>
      <w:lvlText w:val="%9."/>
      <w:lvlJc w:val="right"/>
      <w:pPr>
        <w:ind w:left="7895"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B51D76"/>
    <w:multiLevelType w:val="hybridMultilevel"/>
    <w:tmpl w:val="AFB430C0"/>
    <w:lvl w:ilvl="0" w:tplc="8A56AAF8">
      <w:start w:val="1"/>
      <w:numFmt w:val="decimal"/>
      <w:lvlText w:val="%1."/>
      <w:lvlJc w:val="left"/>
      <w:pPr>
        <w:ind w:left="1689" w:hanging="555"/>
      </w:pPr>
      <w:rPr>
        <w:rFonts w:hint="default"/>
        <w:b w:val="0"/>
        <w:bCs w:val="0"/>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F211024"/>
    <w:multiLevelType w:val="hybridMultilevel"/>
    <w:tmpl w:val="870A1C9C"/>
    <w:lvl w:ilvl="0" w:tplc="EFA40DB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nsid w:val="7E031681"/>
    <w:multiLevelType w:val="hybridMultilevel"/>
    <w:tmpl w:val="039A8BB4"/>
    <w:lvl w:ilvl="0" w:tplc="1EFE5478">
      <w:start w:val="1"/>
      <w:numFmt w:val="lowerLetter"/>
      <w:lvlText w:val="(%1)"/>
      <w:lvlJc w:val="left"/>
      <w:pPr>
        <w:ind w:left="2061" w:hanging="360"/>
      </w:pPr>
      <w:rPr>
        <w:rFonts w:hint="default"/>
        <w:b/>
        <w:i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nsid w:val="7F286529"/>
    <w:multiLevelType w:val="hybridMultilevel"/>
    <w:tmpl w:val="57DCEB2E"/>
    <w:lvl w:ilvl="0" w:tplc="79BCB66A">
      <w:start w:val="1"/>
      <w:numFmt w:val="lowerLetter"/>
      <w:lvlText w:val="(%1)"/>
      <w:lvlJc w:val="left"/>
      <w:pPr>
        <w:ind w:left="720" w:hanging="360"/>
      </w:pPr>
      <w:rPr>
        <w:rFonts w:ascii="Times New Roman" w:eastAsia="Times New Roman"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0"/>
  </w:num>
  <w:num w:numId="5">
    <w:abstractNumId w:val="10"/>
  </w:num>
  <w:num w:numId="6">
    <w:abstractNumId w:val="17"/>
  </w:num>
  <w:num w:numId="7">
    <w:abstractNumId w:val="14"/>
  </w:num>
  <w:num w:numId="8">
    <w:abstractNumId w:val="11"/>
  </w:num>
  <w:num w:numId="9">
    <w:abstractNumId w:val="18"/>
  </w:num>
  <w:num w:numId="10">
    <w:abstractNumId w:val="8"/>
  </w:num>
  <w:num w:numId="11">
    <w:abstractNumId w:val="3"/>
  </w:num>
  <w:num w:numId="12">
    <w:abstractNumId w:val="4"/>
  </w:num>
  <w:num w:numId="13">
    <w:abstractNumId w:val="5"/>
  </w:num>
  <w:num w:numId="14">
    <w:abstractNumId w:val="6"/>
  </w:num>
  <w:num w:numId="15">
    <w:abstractNumId w:val="12"/>
  </w:num>
  <w:num w:numId="16">
    <w:abstractNumId w:val="13"/>
  </w:num>
  <w:num w:numId="17">
    <w:abstractNumId w:val="19"/>
  </w:num>
  <w:num w:numId="18">
    <w:abstractNumId w:val="9"/>
  </w:num>
  <w:num w:numId="19">
    <w:abstractNumId w:val="2"/>
  </w:num>
  <w:num w:numId="2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67"/>
    <w:rsid w:val="00010840"/>
    <w:rsid w:val="00015E9C"/>
    <w:rsid w:val="000256FF"/>
    <w:rsid w:val="00034C53"/>
    <w:rsid w:val="00037475"/>
    <w:rsid w:val="00050F6B"/>
    <w:rsid w:val="00053BA9"/>
    <w:rsid w:val="0005565C"/>
    <w:rsid w:val="00072C8C"/>
    <w:rsid w:val="00091419"/>
    <w:rsid w:val="0009145D"/>
    <w:rsid w:val="000931C0"/>
    <w:rsid w:val="000A0151"/>
    <w:rsid w:val="000A4C4A"/>
    <w:rsid w:val="000B175B"/>
    <w:rsid w:val="000B3A0F"/>
    <w:rsid w:val="000B45CA"/>
    <w:rsid w:val="000B7395"/>
    <w:rsid w:val="000C11CF"/>
    <w:rsid w:val="000D0D4E"/>
    <w:rsid w:val="000E0415"/>
    <w:rsid w:val="000E1AAC"/>
    <w:rsid w:val="000E5038"/>
    <w:rsid w:val="000F03D6"/>
    <w:rsid w:val="000F753D"/>
    <w:rsid w:val="001038EB"/>
    <w:rsid w:val="001102D6"/>
    <w:rsid w:val="00112887"/>
    <w:rsid w:val="00113081"/>
    <w:rsid w:val="00113BF1"/>
    <w:rsid w:val="00120332"/>
    <w:rsid w:val="001258F7"/>
    <w:rsid w:val="001304D8"/>
    <w:rsid w:val="00150F47"/>
    <w:rsid w:val="00172EF0"/>
    <w:rsid w:val="00173EBA"/>
    <w:rsid w:val="00177D6B"/>
    <w:rsid w:val="00190254"/>
    <w:rsid w:val="00192650"/>
    <w:rsid w:val="00196F10"/>
    <w:rsid w:val="001A0C9A"/>
    <w:rsid w:val="001A11E8"/>
    <w:rsid w:val="001A3952"/>
    <w:rsid w:val="001B4B04"/>
    <w:rsid w:val="001C4665"/>
    <w:rsid w:val="001C6663"/>
    <w:rsid w:val="001C7895"/>
    <w:rsid w:val="001D20BF"/>
    <w:rsid w:val="001D26DF"/>
    <w:rsid w:val="001D2FDC"/>
    <w:rsid w:val="001E3807"/>
    <w:rsid w:val="001F161B"/>
    <w:rsid w:val="0020794B"/>
    <w:rsid w:val="0021161C"/>
    <w:rsid w:val="00211E0B"/>
    <w:rsid w:val="0021333C"/>
    <w:rsid w:val="00217205"/>
    <w:rsid w:val="00232DF9"/>
    <w:rsid w:val="0023347F"/>
    <w:rsid w:val="002335B5"/>
    <w:rsid w:val="00237785"/>
    <w:rsid w:val="00241466"/>
    <w:rsid w:val="00256405"/>
    <w:rsid w:val="0025784B"/>
    <w:rsid w:val="00276864"/>
    <w:rsid w:val="00285844"/>
    <w:rsid w:val="002912BE"/>
    <w:rsid w:val="002A122C"/>
    <w:rsid w:val="002A3F53"/>
    <w:rsid w:val="002B6292"/>
    <w:rsid w:val="002C3F14"/>
    <w:rsid w:val="002D3EFC"/>
    <w:rsid w:val="002D69DD"/>
    <w:rsid w:val="002D7089"/>
    <w:rsid w:val="002E7C98"/>
    <w:rsid w:val="00306BCA"/>
    <w:rsid w:val="003107FA"/>
    <w:rsid w:val="00311A6E"/>
    <w:rsid w:val="00315505"/>
    <w:rsid w:val="003229D8"/>
    <w:rsid w:val="00325188"/>
    <w:rsid w:val="00331C91"/>
    <w:rsid w:val="003334CB"/>
    <w:rsid w:val="00333EF7"/>
    <w:rsid w:val="00334590"/>
    <w:rsid w:val="00334678"/>
    <w:rsid w:val="00336125"/>
    <w:rsid w:val="0033671B"/>
    <w:rsid w:val="003407DC"/>
    <w:rsid w:val="00344165"/>
    <w:rsid w:val="00346C62"/>
    <w:rsid w:val="00350D0F"/>
    <w:rsid w:val="003551F5"/>
    <w:rsid w:val="00355C90"/>
    <w:rsid w:val="00356027"/>
    <w:rsid w:val="003561D9"/>
    <w:rsid w:val="0037263E"/>
    <w:rsid w:val="0039277A"/>
    <w:rsid w:val="003972E0"/>
    <w:rsid w:val="00397E59"/>
    <w:rsid w:val="003A1467"/>
    <w:rsid w:val="003A6184"/>
    <w:rsid w:val="003A793F"/>
    <w:rsid w:val="003B16A2"/>
    <w:rsid w:val="003C2CC4"/>
    <w:rsid w:val="003C46DA"/>
    <w:rsid w:val="003D4B23"/>
    <w:rsid w:val="003E6217"/>
    <w:rsid w:val="00405E0C"/>
    <w:rsid w:val="00410691"/>
    <w:rsid w:val="00412AE0"/>
    <w:rsid w:val="00416B5C"/>
    <w:rsid w:val="0043021B"/>
    <w:rsid w:val="004325CB"/>
    <w:rsid w:val="00433563"/>
    <w:rsid w:val="00435456"/>
    <w:rsid w:val="00446DE4"/>
    <w:rsid w:val="00461A32"/>
    <w:rsid w:val="00461E27"/>
    <w:rsid w:val="0046566F"/>
    <w:rsid w:val="004659B5"/>
    <w:rsid w:val="00466AE2"/>
    <w:rsid w:val="00473FF8"/>
    <w:rsid w:val="00484B41"/>
    <w:rsid w:val="00491FC9"/>
    <w:rsid w:val="00492807"/>
    <w:rsid w:val="004935A3"/>
    <w:rsid w:val="004A040D"/>
    <w:rsid w:val="004A1479"/>
    <w:rsid w:val="004B2912"/>
    <w:rsid w:val="004C3867"/>
    <w:rsid w:val="004C56CD"/>
    <w:rsid w:val="004D17E1"/>
    <w:rsid w:val="004D4E38"/>
    <w:rsid w:val="004E62DB"/>
    <w:rsid w:val="00504191"/>
    <w:rsid w:val="005122C4"/>
    <w:rsid w:val="00525DB9"/>
    <w:rsid w:val="00533821"/>
    <w:rsid w:val="005365BD"/>
    <w:rsid w:val="00540C2F"/>
    <w:rsid w:val="005420F2"/>
    <w:rsid w:val="00545070"/>
    <w:rsid w:val="00556CB5"/>
    <w:rsid w:val="005576A1"/>
    <w:rsid w:val="0056751F"/>
    <w:rsid w:val="00570523"/>
    <w:rsid w:val="005728A6"/>
    <w:rsid w:val="00585664"/>
    <w:rsid w:val="00590D6A"/>
    <w:rsid w:val="00593D0C"/>
    <w:rsid w:val="005A274D"/>
    <w:rsid w:val="005B3DB3"/>
    <w:rsid w:val="005C0081"/>
    <w:rsid w:val="005C11FB"/>
    <w:rsid w:val="005C14E2"/>
    <w:rsid w:val="005C451F"/>
    <w:rsid w:val="005C50EF"/>
    <w:rsid w:val="005C71C2"/>
    <w:rsid w:val="005D741B"/>
    <w:rsid w:val="005E253A"/>
    <w:rsid w:val="005E4A35"/>
    <w:rsid w:val="005F26F6"/>
    <w:rsid w:val="005F6194"/>
    <w:rsid w:val="00611FC4"/>
    <w:rsid w:val="006171BF"/>
    <w:rsid w:val="006176FB"/>
    <w:rsid w:val="00621057"/>
    <w:rsid w:val="00626AF3"/>
    <w:rsid w:val="00636452"/>
    <w:rsid w:val="00640B26"/>
    <w:rsid w:val="00646405"/>
    <w:rsid w:val="00647D4E"/>
    <w:rsid w:val="006555AE"/>
    <w:rsid w:val="00667723"/>
    <w:rsid w:val="006717BA"/>
    <w:rsid w:val="006745C3"/>
    <w:rsid w:val="00681D68"/>
    <w:rsid w:val="00682D97"/>
    <w:rsid w:val="006A7392"/>
    <w:rsid w:val="006B4932"/>
    <w:rsid w:val="006B6912"/>
    <w:rsid w:val="006B78B4"/>
    <w:rsid w:val="006C0D34"/>
    <w:rsid w:val="006C1AB8"/>
    <w:rsid w:val="006C3622"/>
    <w:rsid w:val="006C6761"/>
    <w:rsid w:val="006C680F"/>
    <w:rsid w:val="006C7F7E"/>
    <w:rsid w:val="006D101C"/>
    <w:rsid w:val="006D191E"/>
    <w:rsid w:val="006E564B"/>
    <w:rsid w:val="006F37F7"/>
    <w:rsid w:val="00706F24"/>
    <w:rsid w:val="00716373"/>
    <w:rsid w:val="007229A3"/>
    <w:rsid w:val="00723CA7"/>
    <w:rsid w:val="0072632A"/>
    <w:rsid w:val="00727A21"/>
    <w:rsid w:val="00752404"/>
    <w:rsid w:val="00752D74"/>
    <w:rsid w:val="007566D9"/>
    <w:rsid w:val="0076129F"/>
    <w:rsid w:val="00761D8B"/>
    <w:rsid w:val="007672F7"/>
    <w:rsid w:val="007741AA"/>
    <w:rsid w:val="00777AB0"/>
    <w:rsid w:val="00787ACA"/>
    <w:rsid w:val="00792D2A"/>
    <w:rsid w:val="00792E29"/>
    <w:rsid w:val="007A575A"/>
    <w:rsid w:val="007B3AA8"/>
    <w:rsid w:val="007B6BA5"/>
    <w:rsid w:val="007C3390"/>
    <w:rsid w:val="007C4F4B"/>
    <w:rsid w:val="007E0345"/>
    <w:rsid w:val="007E0669"/>
    <w:rsid w:val="007E694E"/>
    <w:rsid w:val="007F3143"/>
    <w:rsid w:val="007F6611"/>
    <w:rsid w:val="008003F1"/>
    <w:rsid w:val="00804405"/>
    <w:rsid w:val="008106DD"/>
    <w:rsid w:val="008175E9"/>
    <w:rsid w:val="008207E9"/>
    <w:rsid w:val="00824165"/>
    <w:rsid w:val="008242D7"/>
    <w:rsid w:val="00825FC0"/>
    <w:rsid w:val="0084572B"/>
    <w:rsid w:val="00845815"/>
    <w:rsid w:val="00847D2C"/>
    <w:rsid w:val="0085038B"/>
    <w:rsid w:val="00853810"/>
    <w:rsid w:val="008542E6"/>
    <w:rsid w:val="008545C5"/>
    <w:rsid w:val="008674AB"/>
    <w:rsid w:val="00870040"/>
    <w:rsid w:val="00871FD5"/>
    <w:rsid w:val="00881809"/>
    <w:rsid w:val="0088400E"/>
    <w:rsid w:val="0089070C"/>
    <w:rsid w:val="008969E1"/>
    <w:rsid w:val="008979B1"/>
    <w:rsid w:val="008A6B25"/>
    <w:rsid w:val="008A6C4F"/>
    <w:rsid w:val="008D4C3A"/>
    <w:rsid w:val="008E0E46"/>
    <w:rsid w:val="008E71FC"/>
    <w:rsid w:val="008F084C"/>
    <w:rsid w:val="008F0B7D"/>
    <w:rsid w:val="008F5D6C"/>
    <w:rsid w:val="00907CC9"/>
    <w:rsid w:val="009122F7"/>
    <w:rsid w:val="00914312"/>
    <w:rsid w:val="009149B8"/>
    <w:rsid w:val="0091683D"/>
    <w:rsid w:val="009212BB"/>
    <w:rsid w:val="00924249"/>
    <w:rsid w:val="00925822"/>
    <w:rsid w:val="009270B5"/>
    <w:rsid w:val="00931521"/>
    <w:rsid w:val="00937E0E"/>
    <w:rsid w:val="00941511"/>
    <w:rsid w:val="0094219F"/>
    <w:rsid w:val="00942BE3"/>
    <w:rsid w:val="0094501B"/>
    <w:rsid w:val="009454B5"/>
    <w:rsid w:val="009556E6"/>
    <w:rsid w:val="00960A18"/>
    <w:rsid w:val="00963CBA"/>
    <w:rsid w:val="00973A79"/>
    <w:rsid w:val="00974328"/>
    <w:rsid w:val="00976137"/>
    <w:rsid w:val="00991261"/>
    <w:rsid w:val="00995D55"/>
    <w:rsid w:val="009B06F7"/>
    <w:rsid w:val="009B116A"/>
    <w:rsid w:val="009C0B0B"/>
    <w:rsid w:val="009C608D"/>
    <w:rsid w:val="009E4E56"/>
    <w:rsid w:val="009E6C4F"/>
    <w:rsid w:val="009F0460"/>
    <w:rsid w:val="009F1F9A"/>
    <w:rsid w:val="009F2C38"/>
    <w:rsid w:val="009F3E16"/>
    <w:rsid w:val="00A064D4"/>
    <w:rsid w:val="00A13470"/>
    <w:rsid w:val="00A1427D"/>
    <w:rsid w:val="00A16BA3"/>
    <w:rsid w:val="00A35ED5"/>
    <w:rsid w:val="00A459F2"/>
    <w:rsid w:val="00A46281"/>
    <w:rsid w:val="00A72F22"/>
    <w:rsid w:val="00A748A6"/>
    <w:rsid w:val="00A832DC"/>
    <w:rsid w:val="00A84EF3"/>
    <w:rsid w:val="00A85115"/>
    <w:rsid w:val="00A879A4"/>
    <w:rsid w:val="00AA113C"/>
    <w:rsid w:val="00AA200D"/>
    <w:rsid w:val="00AB0022"/>
    <w:rsid w:val="00AB3011"/>
    <w:rsid w:val="00AC49B4"/>
    <w:rsid w:val="00AE2A67"/>
    <w:rsid w:val="00AF23FD"/>
    <w:rsid w:val="00AF357B"/>
    <w:rsid w:val="00B01341"/>
    <w:rsid w:val="00B02C38"/>
    <w:rsid w:val="00B03851"/>
    <w:rsid w:val="00B05926"/>
    <w:rsid w:val="00B06D31"/>
    <w:rsid w:val="00B121DD"/>
    <w:rsid w:val="00B14BE0"/>
    <w:rsid w:val="00B1698F"/>
    <w:rsid w:val="00B30179"/>
    <w:rsid w:val="00B3317B"/>
    <w:rsid w:val="00B421EA"/>
    <w:rsid w:val="00B43E5B"/>
    <w:rsid w:val="00B45C59"/>
    <w:rsid w:val="00B61016"/>
    <w:rsid w:val="00B62C5A"/>
    <w:rsid w:val="00B6481F"/>
    <w:rsid w:val="00B64B38"/>
    <w:rsid w:val="00B658B2"/>
    <w:rsid w:val="00B75D73"/>
    <w:rsid w:val="00B8145D"/>
    <w:rsid w:val="00B81E12"/>
    <w:rsid w:val="00B93068"/>
    <w:rsid w:val="00BA6F29"/>
    <w:rsid w:val="00BB14F2"/>
    <w:rsid w:val="00BC6457"/>
    <w:rsid w:val="00BC74E9"/>
    <w:rsid w:val="00BD1988"/>
    <w:rsid w:val="00BD720E"/>
    <w:rsid w:val="00BE1264"/>
    <w:rsid w:val="00BE618E"/>
    <w:rsid w:val="00C01E72"/>
    <w:rsid w:val="00C02682"/>
    <w:rsid w:val="00C035E9"/>
    <w:rsid w:val="00C05CD7"/>
    <w:rsid w:val="00C0689E"/>
    <w:rsid w:val="00C12151"/>
    <w:rsid w:val="00C1334A"/>
    <w:rsid w:val="00C15AD9"/>
    <w:rsid w:val="00C15C1D"/>
    <w:rsid w:val="00C20CDA"/>
    <w:rsid w:val="00C25364"/>
    <w:rsid w:val="00C3052B"/>
    <w:rsid w:val="00C310F8"/>
    <w:rsid w:val="00C31595"/>
    <w:rsid w:val="00C428E6"/>
    <w:rsid w:val="00C44E8C"/>
    <w:rsid w:val="00C463DD"/>
    <w:rsid w:val="00C745C3"/>
    <w:rsid w:val="00C76F42"/>
    <w:rsid w:val="00C963D6"/>
    <w:rsid w:val="00CA1414"/>
    <w:rsid w:val="00CE4230"/>
    <w:rsid w:val="00CE4A8F"/>
    <w:rsid w:val="00CF01D8"/>
    <w:rsid w:val="00CF367A"/>
    <w:rsid w:val="00D202CE"/>
    <w:rsid w:val="00D2031B"/>
    <w:rsid w:val="00D2543B"/>
    <w:rsid w:val="00D25FE2"/>
    <w:rsid w:val="00D43252"/>
    <w:rsid w:val="00D4355D"/>
    <w:rsid w:val="00D4531F"/>
    <w:rsid w:val="00D85525"/>
    <w:rsid w:val="00D92206"/>
    <w:rsid w:val="00D978C6"/>
    <w:rsid w:val="00DA002B"/>
    <w:rsid w:val="00DA040E"/>
    <w:rsid w:val="00DA124A"/>
    <w:rsid w:val="00DA4702"/>
    <w:rsid w:val="00DA67AD"/>
    <w:rsid w:val="00DB4419"/>
    <w:rsid w:val="00DB4442"/>
    <w:rsid w:val="00DC256C"/>
    <w:rsid w:val="00DC2778"/>
    <w:rsid w:val="00DC61B0"/>
    <w:rsid w:val="00DD2864"/>
    <w:rsid w:val="00DD7113"/>
    <w:rsid w:val="00DF044E"/>
    <w:rsid w:val="00DF285B"/>
    <w:rsid w:val="00DF728B"/>
    <w:rsid w:val="00DF7F81"/>
    <w:rsid w:val="00E03CFF"/>
    <w:rsid w:val="00E04FD3"/>
    <w:rsid w:val="00E07E35"/>
    <w:rsid w:val="00E12C9A"/>
    <w:rsid w:val="00E130AB"/>
    <w:rsid w:val="00E17AC0"/>
    <w:rsid w:val="00E24818"/>
    <w:rsid w:val="00E26121"/>
    <w:rsid w:val="00E27CB2"/>
    <w:rsid w:val="00E34889"/>
    <w:rsid w:val="00E425B1"/>
    <w:rsid w:val="00E50DB3"/>
    <w:rsid w:val="00E53A2D"/>
    <w:rsid w:val="00E5644E"/>
    <w:rsid w:val="00E7260F"/>
    <w:rsid w:val="00E8129C"/>
    <w:rsid w:val="00E936D9"/>
    <w:rsid w:val="00E96630"/>
    <w:rsid w:val="00EA35C9"/>
    <w:rsid w:val="00EB73EF"/>
    <w:rsid w:val="00EC0552"/>
    <w:rsid w:val="00EC7202"/>
    <w:rsid w:val="00EC7314"/>
    <w:rsid w:val="00ED7A2A"/>
    <w:rsid w:val="00EF1D7F"/>
    <w:rsid w:val="00EF4264"/>
    <w:rsid w:val="00EF488B"/>
    <w:rsid w:val="00F047A5"/>
    <w:rsid w:val="00F126AB"/>
    <w:rsid w:val="00F2395A"/>
    <w:rsid w:val="00F241A4"/>
    <w:rsid w:val="00F25F8F"/>
    <w:rsid w:val="00F32F59"/>
    <w:rsid w:val="00F35892"/>
    <w:rsid w:val="00F36E77"/>
    <w:rsid w:val="00F40E75"/>
    <w:rsid w:val="00F50D83"/>
    <w:rsid w:val="00F51071"/>
    <w:rsid w:val="00F51522"/>
    <w:rsid w:val="00F63F32"/>
    <w:rsid w:val="00F8205C"/>
    <w:rsid w:val="00F91D7E"/>
    <w:rsid w:val="00FA353E"/>
    <w:rsid w:val="00FA7DCF"/>
    <w:rsid w:val="00FB4496"/>
    <w:rsid w:val="00FC0093"/>
    <w:rsid w:val="00FC2263"/>
    <w:rsid w:val="00FC3DF6"/>
    <w:rsid w:val="00FC5697"/>
    <w:rsid w:val="00FC6097"/>
    <w:rsid w:val="00FC657C"/>
    <w:rsid w:val="00FC68B7"/>
    <w:rsid w:val="00FD5B18"/>
    <w:rsid w:val="00FE4557"/>
    <w:rsid w:val="00FF44B2"/>
    <w:rsid w:val="00FF70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459F2"/>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459F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AE2A67"/>
    <w:rPr>
      <w:lang w:eastAsia="en-US"/>
    </w:rPr>
  </w:style>
  <w:style w:type="character" w:customStyle="1" w:styleId="Heading2Char">
    <w:name w:val="Heading 2 Char"/>
    <w:link w:val="Heading2"/>
    <w:locked/>
    <w:rsid w:val="00AE2A67"/>
    <w:rPr>
      <w:lang w:eastAsia="en-US"/>
    </w:rPr>
  </w:style>
  <w:style w:type="character" w:customStyle="1" w:styleId="Heading3Char">
    <w:name w:val="Heading 3 Char"/>
    <w:link w:val="Heading3"/>
    <w:locked/>
    <w:rsid w:val="00AE2A67"/>
    <w:rPr>
      <w:lang w:eastAsia="en-US"/>
    </w:rPr>
  </w:style>
  <w:style w:type="character" w:styleId="Strong">
    <w:name w:val="Strong"/>
    <w:uiPriority w:val="22"/>
    <w:qFormat/>
    <w:rsid w:val="00AE2A67"/>
    <w:rPr>
      <w:b/>
    </w:rPr>
  </w:style>
  <w:style w:type="paragraph" w:customStyle="1" w:styleId="Default">
    <w:name w:val="Default"/>
    <w:rsid w:val="00AE2A67"/>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AE2A67"/>
    <w:rPr>
      <w:lang w:eastAsia="en-US"/>
    </w:rPr>
  </w:style>
  <w:style w:type="character" w:customStyle="1" w:styleId="FootnoteTextChar">
    <w:name w:val="Footnote Text Char"/>
    <w:aliases w:val="5_G Char"/>
    <w:link w:val="FootnoteText"/>
    <w:locked/>
    <w:rsid w:val="00AE2A67"/>
    <w:rPr>
      <w:rFonts w:eastAsia="SimSun"/>
      <w:sz w:val="18"/>
      <w:lang w:val="en-US" w:eastAsia="zh-CN"/>
    </w:rPr>
  </w:style>
  <w:style w:type="character" w:customStyle="1" w:styleId="Bulletpoint1Char">
    <w:name w:val="Bulletpoint_1 Char"/>
    <w:link w:val="Bulletpoint1"/>
    <w:locked/>
    <w:rsid w:val="00AE2A67"/>
    <w:rPr>
      <w:lang w:val="en-US" w:eastAsia="x-none"/>
    </w:rPr>
  </w:style>
  <w:style w:type="paragraph" w:customStyle="1" w:styleId="Bulletpoint1">
    <w:name w:val="Bulletpoint_1"/>
    <w:basedOn w:val="Normal"/>
    <w:link w:val="Bulletpoint1Char"/>
    <w:rsid w:val="00AE2A67"/>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AE2A67"/>
    <w:rPr>
      <w:b/>
      <w:sz w:val="28"/>
      <w:lang w:eastAsia="en-US"/>
    </w:rPr>
  </w:style>
  <w:style w:type="character" w:styleId="Emphasis">
    <w:name w:val="Emphasis"/>
    <w:uiPriority w:val="20"/>
    <w:qFormat/>
    <w:rsid w:val="00AE2A67"/>
    <w:rPr>
      <w:rFonts w:cs="Times New Roman"/>
      <w:b/>
      <w:bCs/>
    </w:rPr>
  </w:style>
  <w:style w:type="character" w:customStyle="1" w:styleId="st">
    <w:name w:val="st"/>
    <w:rsid w:val="00AE2A67"/>
    <w:rPr>
      <w:rFonts w:cs="Times New Roman"/>
    </w:rPr>
  </w:style>
  <w:style w:type="character" w:customStyle="1" w:styleId="H1GChar">
    <w:name w:val="_ H_1_G Char"/>
    <w:link w:val="H1G"/>
    <w:rsid w:val="00AE2A67"/>
    <w:rPr>
      <w:b/>
      <w:sz w:val="24"/>
      <w:lang w:eastAsia="en-US"/>
    </w:rPr>
  </w:style>
  <w:style w:type="paragraph" w:styleId="BalloonText">
    <w:name w:val="Balloon Text"/>
    <w:basedOn w:val="Normal"/>
    <w:link w:val="BalloonTextChar"/>
    <w:rsid w:val="00AE2A67"/>
    <w:rPr>
      <w:rFonts w:ascii="Tahoma" w:hAnsi="Tahoma"/>
      <w:sz w:val="16"/>
      <w:szCs w:val="16"/>
      <w:lang w:val="x-none"/>
    </w:rPr>
  </w:style>
  <w:style w:type="character" w:customStyle="1" w:styleId="BalloonTextChar">
    <w:name w:val="Balloon Text Char"/>
    <w:link w:val="BalloonText"/>
    <w:rsid w:val="00AE2A67"/>
    <w:rPr>
      <w:rFonts w:ascii="Tahoma" w:hAnsi="Tahoma"/>
      <w:sz w:val="16"/>
      <w:szCs w:val="16"/>
      <w:lang w:val="x-none" w:eastAsia="en-US"/>
    </w:rPr>
  </w:style>
  <w:style w:type="character" w:styleId="CommentReference">
    <w:name w:val="annotation reference"/>
    <w:rsid w:val="00AE2A67"/>
    <w:rPr>
      <w:sz w:val="16"/>
      <w:szCs w:val="16"/>
    </w:rPr>
  </w:style>
  <w:style w:type="paragraph" w:styleId="CommentText">
    <w:name w:val="annotation text"/>
    <w:basedOn w:val="Normal"/>
    <w:link w:val="CommentTextChar"/>
    <w:rsid w:val="00AE2A67"/>
    <w:rPr>
      <w:lang w:val="x-none"/>
    </w:rPr>
  </w:style>
  <w:style w:type="character" w:customStyle="1" w:styleId="CommentTextChar">
    <w:name w:val="Comment Text Char"/>
    <w:link w:val="CommentText"/>
    <w:rsid w:val="00AE2A67"/>
    <w:rPr>
      <w:lang w:val="x-none" w:eastAsia="en-US"/>
    </w:rPr>
  </w:style>
  <w:style w:type="paragraph" w:styleId="CommentSubject">
    <w:name w:val="annotation subject"/>
    <w:basedOn w:val="CommentText"/>
    <w:next w:val="CommentText"/>
    <w:link w:val="CommentSubjectChar"/>
    <w:rsid w:val="00AE2A67"/>
    <w:rPr>
      <w:b/>
      <w:bCs/>
    </w:rPr>
  </w:style>
  <w:style w:type="character" w:customStyle="1" w:styleId="CommentSubjectChar">
    <w:name w:val="Comment Subject Char"/>
    <w:link w:val="CommentSubject"/>
    <w:rsid w:val="00AE2A67"/>
    <w:rPr>
      <w:b/>
      <w:bCs/>
      <w:lang w:val="x-none" w:eastAsia="en-US"/>
    </w:rPr>
  </w:style>
  <w:style w:type="character" w:customStyle="1" w:styleId="HeaderChar">
    <w:name w:val="Header Char"/>
    <w:aliases w:val="6_G Char"/>
    <w:link w:val="Header"/>
    <w:rsid w:val="00AE2A67"/>
    <w:rPr>
      <w:b/>
      <w:sz w:val="18"/>
      <w:lang w:eastAsia="en-US"/>
    </w:rPr>
  </w:style>
  <w:style w:type="character" w:customStyle="1" w:styleId="FooterChar">
    <w:name w:val="Footer Char"/>
    <w:aliases w:val="3_G Char"/>
    <w:link w:val="Footer"/>
    <w:uiPriority w:val="99"/>
    <w:rsid w:val="00AE2A67"/>
    <w:rPr>
      <w:sz w:val="16"/>
      <w:lang w:eastAsia="en-US"/>
    </w:rPr>
  </w:style>
  <w:style w:type="paragraph" w:styleId="DocumentMap">
    <w:name w:val="Document Map"/>
    <w:basedOn w:val="Normal"/>
    <w:link w:val="DocumentMapChar"/>
    <w:rsid w:val="00AE2A67"/>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AE2A67"/>
    <w:rPr>
      <w:rFonts w:ascii="Tahoma" w:eastAsia="Calibri" w:hAnsi="Tahoma"/>
      <w:sz w:val="16"/>
      <w:szCs w:val="16"/>
      <w:lang w:val="en-US" w:eastAsia="zh-CN"/>
    </w:rPr>
  </w:style>
  <w:style w:type="character" w:customStyle="1" w:styleId="highlight1">
    <w:name w:val="highlight1"/>
    <w:rsid w:val="00AE2A67"/>
    <w:rPr>
      <w:shd w:val="clear" w:color="auto" w:fill="FFCC33"/>
    </w:rPr>
  </w:style>
  <w:style w:type="paragraph" w:styleId="NormalWeb">
    <w:name w:val="Normal (Web)"/>
    <w:basedOn w:val="Normal"/>
    <w:uiPriority w:val="99"/>
    <w:unhideWhenUsed/>
    <w:rsid w:val="00AE2A67"/>
    <w:pPr>
      <w:suppressAutoHyphens w:val="0"/>
      <w:spacing w:before="100" w:beforeAutospacing="1" w:after="100" w:afterAutospacing="1" w:line="240" w:lineRule="auto"/>
    </w:pPr>
    <w:rPr>
      <w:sz w:val="24"/>
      <w:szCs w:val="24"/>
      <w:lang w:eastAsia="en-GB"/>
    </w:rPr>
  </w:style>
  <w:style w:type="character" w:customStyle="1" w:styleId="hps">
    <w:name w:val="hps"/>
    <w:rsid w:val="00AE2A67"/>
  </w:style>
  <w:style w:type="character" w:customStyle="1" w:styleId="apple-converted-space">
    <w:name w:val="apple-converted-space"/>
    <w:rsid w:val="00AE2A67"/>
  </w:style>
  <w:style w:type="character" w:customStyle="1" w:styleId="highlight">
    <w:name w:val="highlight"/>
    <w:rsid w:val="00AE2A67"/>
  </w:style>
  <w:style w:type="numbering" w:customStyle="1" w:styleId="NoList1">
    <w:name w:val="No List1"/>
    <w:next w:val="NoList"/>
    <w:uiPriority w:val="99"/>
    <w:semiHidden/>
    <w:unhideWhenUsed/>
    <w:rsid w:val="00AE2A67"/>
  </w:style>
  <w:style w:type="paragraph" w:customStyle="1" w:styleId="ListParagraph1">
    <w:name w:val="List Paragraph1"/>
    <w:basedOn w:val="Normal"/>
    <w:uiPriority w:val="34"/>
    <w:qFormat/>
    <w:rsid w:val="00AE2A67"/>
    <w:pPr>
      <w:suppressAutoHyphens w:val="0"/>
      <w:spacing w:line="240" w:lineRule="auto"/>
      <w:ind w:left="720"/>
    </w:pPr>
    <w:rPr>
      <w:rFonts w:eastAsia="Malgun Gothic"/>
      <w:sz w:val="24"/>
      <w:szCs w:val="24"/>
      <w:lang w:val="en-US" w:eastAsia="zh-CN"/>
    </w:rPr>
  </w:style>
  <w:style w:type="character" w:customStyle="1" w:styleId="st1">
    <w:name w:val="st1"/>
    <w:rsid w:val="00AE2A67"/>
  </w:style>
  <w:style w:type="character" w:customStyle="1" w:styleId="apple-style-span">
    <w:name w:val="apple-style-span"/>
    <w:rsid w:val="00AE2A67"/>
  </w:style>
  <w:style w:type="character" w:styleId="HTMLTypewriter">
    <w:name w:val="HTML Typewriter"/>
    <w:uiPriority w:val="99"/>
    <w:unhideWhenUsed/>
    <w:rsid w:val="00AE2A67"/>
    <w:rPr>
      <w:rFonts w:ascii="Courier New" w:eastAsia="Times New Roman" w:hAnsi="Courier New" w:cs="Courier New"/>
      <w:sz w:val="20"/>
      <w:szCs w:val="20"/>
    </w:rPr>
  </w:style>
  <w:style w:type="character" w:customStyle="1" w:styleId="SingleTxtGCar">
    <w:name w:val="_ Single Txt_G Car"/>
    <w:rsid w:val="00AE2A67"/>
    <w:rPr>
      <w:lang w:val="en-GB" w:eastAsia="en-US" w:bidi="ar-SA"/>
    </w:rPr>
  </w:style>
  <w:style w:type="paragraph" w:styleId="BodyText">
    <w:name w:val="Body Text"/>
    <w:basedOn w:val="Normal"/>
    <w:link w:val="BodyTextChar"/>
    <w:rsid w:val="00AE2A67"/>
    <w:pPr>
      <w:suppressAutoHyphens w:val="0"/>
      <w:spacing w:line="240" w:lineRule="auto"/>
    </w:pPr>
    <w:rPr>
      <w:sz w:val="24"/>
      <w:lang w:val="es-HN"/>
    </w:rPr>
  </w:style>
  <w:style w:type="character" w:customStyle="1" w:styleId="BodyTextChar">
    <w:name w:val="Body Text Char"/>
    <w:link w:val="BodyText"/>
    <w:rsid w:val="00AE2A67"/>
    <w:rPr>
      <w:sz w:val="24"/>
      <w:lang w:val="es-HN" w:eastAsia="en-US"/>
    </w:rPr>
  </w:style>
  <w:style w:type="paragraph" w:styleId="Revision">
    <w:name w:val="Revision"/>
    <w:hidden/>
    <w:uiPriority w:val="99"/>
    <w:semiHidden/>
    <w:rsid w:val="008674A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A459F2"/>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A459F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AE2A67"/>
    <w:rPr>
      <w:lang w:eastAsia="en-US"/>
    </w:rPr>
  </w:style>
  <w:style w:type="character" w:customStyle="1" w:styleId="Heading2Char">
    <w:name w:val="Heading 2 Char"/>
    <w:link w:val="Heading2"/>
    <w:locked/>
    <w:rsid w:val="00AE2A67"/>
    <w:rPr>
      <w:lang w:eastAsia="en-US"/>
    </w:rPr>
  </w:style>
  <w:style w:type="character" w:customStyle="1" w:styleId="Heading3Char">
    <w:name w:val="Heading 3 Char"/>
    <w:link w:val="Heading3"/>
    <w:locked/>
    <w:rsid w:val="00AE2A67"/>
    <w:rPr>
      <w:lang w:eastAsia="en-US"/>
    </w:rPr>
  </w:style>
  <w:style w:type="character" w:styleId="Strong">
    <w:name w:val="Strong"/>
    <w:uiPriority w:val="22"/>
    <w:qFormat/>
    <w:rsid w:val="00AE2A67"/>
    <w:rPr>
      <w:b/>
    </w:rPr>
  </w:style>
  <w:style w:type="paragraph" w:customStyle="1" w:styleId="Default">
    <w:name w:val="Default"/>
    <w:rsid w:val="00AE2A67"/>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AE2A67"/>
    <w:rPr>
      <w:lang w:eastAsia="en-US"/>
    </w:rPr>
  </w:style>
  <w:style w:type="character" w:customStyle="1" w:styleId="FootnoteTextChar">
    <w:name w:val="Footnote Text Char"/>
    <w:aliases w:val="5_G Char"/>
    <w:link w:val="FootnoteText"/>
    <w:locked/>
    <w:rsid w:val="00AE2A67"/>
    <w:rPr>
      <w:rFonts w:eastAsia="SimSun"/>
      <w:sz w:val="18"/>
      <w:lang w:val="en-US" w:eastAsia="zh-CN"/>
    </w:rPr>
  </w:style>
  <w:style w:type="character" w:customStyle="1" w:styleId="Bulletpoint1Char">
    <w:name w:val="Bulletpoint_1 Char"/>
    <w:link w:val="Bulletpoint1"/>
    <w:locked/>
    <w:rsid w:val="00AE2A67"/>
    <w:rPr>
      <w:lang w:val="en-US" w:eastAsia="x-none"/>
    </w:rPr>
  </w:style>
  <w:style w:type="paragraph" w:customStyle="1" w:styleId="Bulletpoint1">
    <w:name w:val="Bulletpoint_1"/>
    <w:basedOn w:val="Normal"/>
    <w:link w:val="Bulletpoint1Char"/>
    <w:rsid w:val="00AE2A67"/>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AE2A67"/>
    <w:rPr>
      <w:b/>
      <w:sz w:val="28"/>
      <w:lang w:eastAsia="en-US"/>
    </w:rPr>
  </w:style>
  <w:style w:type="character" w:styleId="Emphasis">
    <w:name w:val="Emphasis"/>
    <w:uiPriority w:val="20"/>
    <w:qFormat/>
    <w:rsid w:val="00AE2A67"/>
    <w:rPr>
      <w:rFonts w:cs="Times New Roman"/>
      <w:b/>
      <w:bCs/>
    </w:rPr>
  </w:style>
  <w:style w:type="character" w:customStyle="1" w:styleId="st">
    <w:name w:val="st"/>
    <w:rsid w:val="00AE2A67"/>
    <w:rPr>
      <w:rFonts w:cs="Times New Roman"/>
    </w:rPr>
  </w:style>
  <w:style w:type="character" w:customStyle="1" w:styleId="H1GChar">
    <w:name w:val="_ H_1_G Char"/>
    <w:link w:val="H1G"/>
    <w:rsid w:val="00AE2A67"/>
    <w:rPr>
      <w:b/>
      <w:sz w:val="24"/>
      <w:lang w:eastAsia="en-US"/>
    </w:rPr>
  </w:style>
  <w:style w:type="paragraph" w:styleId="BalloonText">
    <w:name w:val="Balloon Text"/>
    <w:basedOn w:val="Normal"/>
    <w:link w:val="BalloonTextChar"/>
    <w:rsid w:val="00AE2A67"/>
    <w:rPr>
      <w:rFonts w:ascii="Tahoma" w:hAnsi="Tahoma"/>
      <w:sz w:val="16"/>
      <w:szCs w:val="16"/>
      <w:lang w:val="x-none"/>
    </w:rPr>
  </w:style>
  <w:style w:type="character" w:customStyle="1" w:styleId="BalloonTextChar">
    <w:name w:val="Balloon Text Char"/>
    <w:link w:val="BalloonText"/>
    <w:rsid w:val="00AE2A67"/>
    <w:rPr>
      <w:rFonts w:ascii="Tahoma" w:hAnsi="Tahoma"/>
      <w:sz w:val="16"/>
      <w:szCs w:val="16"/>
      <w:lang w:val="x-none" w:eastAsia="en-US"/>
    </w:rPr>
  </w:style>
  <w:style w:type="character" w:styleId="CommentReference">
    <w:name w:val="annotation reference"/>
    <w:rsid w:val="00AE2A67"/>
    <w:rPr>
      <w:sz w:val="16"/>
      <w:szCs w:val="16"/>
    </w:rPr>
  </w:style>
  <w:style w:type="paragraph" w:styleId="CommentText">
    <w:name w:val="annotation text"/>
    <w:basedOn w:val="Normal"/>
    <w:link w:val="CommentTextChar"/>
    <w:rsid w:val="00AE2A67"/>
    <w:rPr>
      <w:lang w:val="x-none"/>
    </w:rPr>
  </w:style>
  <w:style w:type="character" w:customStyle="1" w:styleId="CommentTextChar">
    <w:name w:val="Comment Text Char"/>
    <w:link w:val="CommentText"/>
    <w:rsid w:val="00AE2A67"/>
    <w:rPr>
      <w:lang w:val="x-none" w:eastAsia="en-US"/>
    </w:rPr>
  </w:style>
  <w:style w:type="paragraph" w:styleId="CommentSubject">
    <w:name w:val="annotation subject"/>
    <w:basedOn w:val="CommentText"/>
    <w:next w:val="CommentText"/>
    <w:link w:val="CommentSubjectChar"/>
    <w:rsid w:val="00AE2A67"/>
    <w:rPr>
      <w:b/>
      <w:bCs/>
    </w:rPr>
  </w:style>
  <w:style w:type="character" w:customStyle="1" w:styleId="CommentSubjectChar">
    <w:name w:val="Comment Subject Char"/>
    <w:link w:val="CommentSubject"/>
    <w:rsid w:val="00AE2A67"/>
    <w:rPr>
      <w:b/>
      <w:bCs/>
      <w:lang w:val="x-none" w:eastAsia="en-US"/>
    </w:rPr>
  </w:style>
  <w:style w:type="character" w:customStyle="1" w:styleId="HeaderChar">
    <w:name w:val="Header Char"/>
    <w:aliases w:val="6_G Char"/>
    <w:link w:val="Header"/>
    <w:rsid w:val="00AE2A67"/>
    <w:rPr>
      <w:b/>
      <w:sz w:val="18"/>
      <w:lang w:eastAsia="en-US"/>
    </w:rPr>
  </w:style>
  <w:style w:type="character" w:customStyle="1" w:styleId="FooterChar">
    <w:name w:val="Footer Char"/>
    <w:aliases w:val="3_G Char"/>
    <w:link w:val="Footer"/>
    <w:uiPriority w:val="99"/>
    <w:rsid w:val="00AE2A67"/>
    <w:rPr>
      <w:sz w:val="16"/>
      <w:lang w:eastAsia="en-US"/>
    </w:rPr>
  </w:style>
  <w:style w:type="paragraph" w:styleId="DocumentMap">
    <w:name w:val="Document Map"/>
    <w:basedOn w:val="Normal"/>
    <w:link w:val="DocumentMapChar"/>
    <w:rsid w:val="00AE2A67"/>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AE2A67"/>
    <w:rPr>
      <w:rFonts w:ascii="Tahoma" w:eastAsia="Calibri" w:hAnsi="Tahoma"/>
      <w:sz w:val="16"/>
      <w:szCs w:val="16"/>
      <w:lang w:val="en-US" w:eastAsia="zh-CN"/>
    </w:rPr>
  </w:style>
  <w:style w:type="character" w:customStyle="1" w:styleId="highlight1">
    <w:name w:val="highlight1"/>
    <w:rsid w:val="00AE2A67"/>
    <w:rPr>
      <w:shd w:val="clear" w:color="auto" w:fill="FFCC33"/>
    </w:rPr>
  </w:style>
  <w:style w:type="paragraph" w:styleId="NormalWeb">
    <w:name w:val="Normal (Web)"/>
    <w:basedOn w:val="Normal"/>
    <w:uiPriority w:val="99"/>
    <w:unhideWhenUsed/>
    <w:rsid w:val="00AE2A67"/>
    <w:pPr>
      <w:suppressAutoHyphens w:val="0"/>
      <w:spacing w:before="100" w:beforeAutospacing="1" w:after="100" w:afterAutospacing="1" w:line="240" w:lineRule="auto"/>
    </w:pPr>
    <w:rPr>
      <w:sz w:val="24"/>
      <w:szCs w:val="24"/>
      <w:lang w:eastAsia="en-GB"/>
    </w:rPr>
  </w:style>
  <w:style w:type="character" w:customStyle="1" w:styleId="hps">
    <w:name w:val="hps"/>
    <w:rsid w:val="00AE2A67"/>
  </w:style>
  <w:style w:type="character" w:customStyle="1" w:styleId="apple-converted-space">
    <w:name w:val="apple-converted-space"/>
    <w:rsid w:val="00AE2A67"/>
  </w:style>
  <w:style w:type="character" w:customStyle="1" w:styleId="highlight">
    <w:name w:val="highlight"/>
    <w:rsid w:val="00AE2A67"/>
  </w:style>
  <w:style w:type="numbering" w:customStyle="1" w:styleId="NoList1">
    <w:name w:val="No List1"/>
    <w:next w:val="NoList"/>
    <w:uiPriority w:val="99"/>
    <w:semiHidden/>
    <w:unhideWhenUsed/>
    <w:rsid w:val="00AE2A67"/>
  </w:style>
  <w:style w:type="paragraph" w:customStyle="1" w:styleId="ListParagraph1">
    <w:name w:val="List Paragraph1"/>
    <w:basedOn w:val="Normal"/>
    <w:uiPriority w:val="34"/>
    <w:qFormat/>
    <w:rsid w:val="00AE2A67"/>
    <w:pPr>
      <w:suppressAutoHyphens w:val="0"/>
      <w:spacing w:line="240" w:lineRule="auto"/>
      <w:ind w:left="720"/>
    </w:pPr>
    <w:rPr>
      <w:rFonts w:eastAsia="Malgun Gothic"/>
      <w:sz w:val="24"/>
      <w:szCs w:val="24"/>
      <w:lang w:val="en-US" w:eastAsia="zh-CN"/>
    </w:rPr>
  </w:style>
  <w:style w:type="character" w:customStyle="1" w:styleId="st1">
    <w:name w:val="st1"/>
    <w:rsid w:val="00AE2A67"/>
  </w:style>
  <w:style w:type="character" w:customStyle="1" w:styleId="apple-style-span">
    <w:name w:val="apple-style-span"/>
    <w:rsid w:val="00AE2A67"/>
  </w:style>
  <w:style w:type="character" w:styleId="HTMLTypewriter">
    <w:name w:val="HTML Typewriter"/>
    <w:uiPriority w:val="99"/>
    <w:unhideWhenUsed/>
    <w:rsid w:val="00AE2A67"/>
    <w:rPr>
      <w:rFonts w:ascii="Courier New" w:eastAsia="Times New Roman" w:hAnsi="Courier New" w:cs="Courier New"/>
      <w:sz w:val="20"/>
      <w:szCs w:val="20"/>
    </w:rPr>
  </w:style>
  <w:style w:type="character" w:customStyle="1" w:styleId="SingleTxtGCar">
    <w:name w:val="_ Single Txt_G Car"/>
    <w:rsid w:val="00AE2A67"/>
    <w:rPr>
      <w:lang w:val="en-GB" w:eastAsia="en-US" w:bidi="ar-SA"/>
    </w:rPr>
  </w:style>
  <w:style w:type="paragraph" w:styleId="BodyText">
    <w:name w:val="Body Text"/>
    <w:basedOn w:val="Normal"/>
    <w:link w:val="BodyTextChar"/>
    <w:rsid w:val="00AE2A67"/>
    <w:pPr>
      <w:suppressAutoHyphens w:val="0"/>
      <w:spacing w:line="240" w:lineRule="auto"/>
    </w:pPr>
    <w:rPr>
      <w:sz w:val="24"/>
      <w:lang w:val="es-HN"/>
    </w:rPr>
  </w:style>
  <w:style w:type="character" w:customStyle="1" w:styleId="BodyTextChar">
    <w:name w:val="Body Text Char"/>
    <w:link w:val="BodyText"/>
    <w:rsid w:val="00AE2A67"/>
    <w:rPr>
      <w:sz w:val="24"/>
      <w:lang w:val="es-HN" w:eastAsia="en-US"/>
    </w:rPr>
  </w:style>
  <w:style w:type="paragraph" w:styleId="Revision">
    <w:name w:val="Revision"/>
    <w:hidden/>
    <w:uiPriority w:val="99"/>
    <w:semiHidden/>
    <w:rsid w:val="008674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88C4-575A-4155-A81C-59CB3AE3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1</TotalTime>
  <Pages>19</Pages>
  <Words>7719</Words>
  <Characters>44003</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Fleche Isabelle</dc:creator>
  <cp:lastModifiedBy>Morris Helen</cp:lastModifiedBy>
  <cp:revision>3</cp:revision>
  <cp:lastPrinted>2015-07-03T15:50:00Z</cp:lastPrinted>
  <dcterms:created xsi:type="dcterms:W3CDTF">2015-07-03T15:50:00Z</dcterms:created>
  <dcterms:modified xsi:type="dcterms:W3CDTF">2015-07-03T15:50:00Z</dcterms:modified>
</cp:coreProperties>
</file>