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B15E94" w:rsidP="00B15E94">
            <w:pPr>
              <w:suppressAutoHyphens w:val="0"/>
              <w:spacing w:after="20"/>
              <w:jc w:val="right"/>
            </w:pPr>
            <w:r w:rsidRPr="00B15E94">
              <w:rPr>
                <w:sz w:val="40"/>
              </w:rPr>
              <w:t>CCPR</w:t>
            </w:r>
            <w:r>
              <w:t>/C/TUN/CO</w:t>
            </w:r>
            <w:r w:rsidR="00DC528A">
              <w:t>/</w:t>
            </w:r>
            <w:r>
              <w:t>5/Add.2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15E94" w:rsidRDefault="00B15E94" w:rsidP="00B15E94">
            <w:pPr>
              <w:suppressAutoHyphens w:val="0"/>
              <w:spacing w:before="240" w:line="240" w:lineRule="exact"/>
            </w:pPr>
            <w:r>
              <w:t>Distr.: General</w:t>
            </w:r>
          </w:p>
          <w:p w:rsidR="00B15E94" w:rsidRDefault="00B15E94" w:rsidP="00B15E94">
            <w:pPr>
              <w:suppressAutoHyphens w:val="0"/>
            </w:pPr>
            <w:r>
              <w:t>3 May 2010</w:t>
            </w:r>
          </w:p>
          <w:p w:rsidR="00B15E94" w:rsidRDefault="00B15E94" w:rsidP="00B15E94">
            <w:pPr>
              <w:suppressAutoHyphens w:val="0"/>
            </w:pPr>
            <w:r>
              <w:t>English</w:t>
            </w:r>
          </w:p>
          <w:p w:rsidR="00B56E9C" w:rsidRDefault="00B15E94" w:rsidP="00B15E94">
            <w:pPr>
              <w:suppressAutoHyphens w:val="0"/>
            </w:pPr>
            <w:r>
              <w:t>Original: Arabic</w:t>
            </w:r>
          </w:p>
        </w:tc>
      </w:tr>
    </w:tbl>
    <w:p w:rsidR="00B15E94" w:rsidRPr="00AC5D9B" w:rsidRDefault="00B15E94">
      <w:pPr>
        <w:spacing w:before="120"/>
        <w:rPr>
          <w:b/>
          <w:sz w:val="24"/>
          <w:szCs w:val="24"/>
        </w:rPr>
      </w:pPr>
      <w:r>
        <w:rPr>
          <w:b/>
          <w:sz w:val="24"/>
          <w:szCs w:val="24"/>
        </w:rPr>
        <w:t>Human Rights Committee</w:t>
      </w:r>
    </w:p>
    <w:p w:rsidR="00B15E94" w:rsidRPr="00B15E94" w:rsidRDefault="00B15E94" w:rsidP="00B15E94">
      <w:pPr>
        <w:pStyle w:val="HMG"/>
        <w:rPr>
          <w:lang w:val="en-US"/>
        </w:rPr>
      </w:pPr>
      <w:r>
        <w:tab/>
      </w:r>
      <w:r>
        <w:tab/>
      </w:r>
      <w:r w:rsidRPr="00B15E94">
        <w:t>Consideration of reports submitted by States parties under article 40 of the Covenant</w:t>
      </w:r>
    </w:p>
    <w:p w:rsidR="00B15E94" w:rsidRPr="00B15E94" w:rsidRDefault="00B15E94" w:rsidP="00B15E94">
      <w:pPr>
        <w:pStyle w:val="HMG"/>
      </w:pPr>
      <w:r w:rsidRPr="00B15E94">
        <w:tab/>
      </w:r>
      <w:r w:rsidRPr="00B15E94">
        <w:tab/>
        <w:t>Tunisia</w:t>
      </w:r>
      <w:r w:rsidRPr="00B15E94">
        <w:rPr>
          <w:rStyle w:val="FootnoteReference"/>
          <w:b w:val="0"/>
          <w:sz w:val="20"/>
          <w:vertAlign w:val="baseline"/>
        </w:rPr>
        <w:footnoteReference w:customMarkFollows="1" w:id="2"/>
        <w:t>*</w:t>
      </w:r>
    </w:p>
    <w:p w:rsidR="00B15E94" w:rsidRPr="00B15E94" w:rsidRDefault="00B15E94" w:rsidP="00B15E94">
      <w:pPr>
        <w:pStyle w:val="HChG"/>
      </w:pPr>
      <w:r w:rsidRPr="00B15E94">
        <w:rPr>
          <w:lang w:val="en-US"/>
        </w:rPr>
        <w:tab/>
      </w:r>
      <w:r w:rsidRPr="00B15E94">
        <w:rPr>
          <w:lang w:val="en-US"/>
        </w:rPr>
        <w:tab/>
      </w:r>
      <w:r w:rsidRPr="00B15E94">
        <w:t>Information received from Tunisia on the implementation of the concluding observations of the Human Rights Committee (CCPR/C/TUN/CO/5)</w:t>
      </w:r>
    </w:p>
    <w:p w:rsidR="00B15E94" w:rsidRPr="00B15E94" w:rsidRDefault="00B15E94" w:rsidP="00B15E94">
      <w:pPr>
        <w:pStyle w:val="SingleTxtG"/>
        <w:jc w:val="right"/>
      </w:pPr>
      <w:r w:rsidRPr="00B15E94">
        <w:t>[17 March 2010]</w:t>
      </w:r>
    </w:p>
    <w:p w:rsidR="009A4303" w:rsidRDefault="009A4303" w:rsidP="009A4303">
      <w:pPr>
        <w:pStyle w:val="SingleTxtG"/>
      </w:pPr>
      <w:r>
        <w:br w:type="page"/>
      </w:r>
      <w:r w:rsidRPr="009A4303">
        <w:t>1.</w:t>
      </w:r>
      <w:r w:rsidRPr="009A4303">
        <w:tab/>
        <w:t xml:space="preserve">At the outset, Tunisia wishes to underline the importance </w:t>
      </w:r>
      <w:r>
        <w:t xml:space="preserve">that </w:t>
      </w:r>
      <w:r w:rsidRPr="009A4303">
        <w:t xml:space="preserve">it attaches to </w:t>
      </w:r>
      <w:r>
        <w:t xml:space="preserve">increasing </w:t>
      </w:r>
      <w:r w:rsidRPr="009A4303">
        <w:t xml:space="preserve">its </w:t>
      </w:r>
      <w:r>
        <w:t>operation</w:t>
      </w:r>
      <w:r w:rsidRPr="009A4303">
        <w:t xml:space="preserve"> with the Human Rights Committee</w:t>
      </w:r>
      <w:r>
        <w:t xml:space="preserve">, as was explicitly </w:t>
      </w:r>
      <w:r w:rsidRPr="009A4303">
        <w:t>affirmed</w:t>
      </w:r>
      <w:r>
        <w:t xml:space="preserve">, </w:t>
      </w:r>
      <w:r w:rsidRPr="009A4303">
        <w:t>at the highest level</w:t>
      </w:r>
      <w:r>
        <w:t>,</w:t>
      </w:r>
      <w:r w:rsidRPr="009A4303">
        <w:t xml:space="preserve"> when </w:t>
      </w:r>
      <w:r>
        <w:t xml:space="preserve">Tunisia presented </w:t>
      </w:r>
      <w:r w:rsidRPr="009A4303">
        <w:t>its fifth periodic report to the Committee</w:t>
      </w:r>
      <w:r>
        <w:t xml:space="preserve"> on 17 and 18 March 2008. In </w:t>
      </w:r>
      <w:r w:rsidRPr="009A4303">
        <w:t>responding</w:t>
      </w:r>
      <w:r>
        <w:t>,</w:t>
      </w:r>
      <w:r w:rsidRPr="009A4303">
        <w:t xml:space="preserve"> in this document</w:t>
      </w:r>
      <w:r>
        <w:t>,</w:t>
      </w:r>
      <w:r w:rsidRPr="009A4303">
        <w:t xml:space="preserve"> to the Committee</w:t>
      </w:r>
      <w:r w:rsidR="00E37367">
        <w:t>’</w:t>
      </w:r>
      <w:r w:rsidRPr="009A4303">
        <w:t xml:space="preserve">s request for further information </w:t>
      </w:r>
      <w:r>
        <w:t xml:space="preserve">on </w:t>
      </w:r>
      <w:r w:rsidRPr="009A4303">
        <w:t xml:space="preserve">certain paragraphs of </w:t>
      </w:r>
      <w:r>
        <w:t>the</w:t>
      </w:r>
      <w:r w:rsidRPr="009A4303">
        <w:t xml:space="preserve"> concluding observations </w:t>
      </w:r>
      <w:r>
        <w:t xml:space="preserve">issued by the </w:t>
      </w:r>
      <w:r w:rsidRPr="009A4303">
        <w:t>Committee</w:t>
      </w:r>
      <w:r>
        <w:t xml:space="preserve"> following its consideration</w:t>
      </w:r>
      <w:r w:rsidRPr="009A4303">
        <w:t xml:space="preserve"> of th</w:t>
      </w:r>
      <w:r>
        <w:t>e</w:t>
      </w:r>
      <w:r w:rsidRPr="009A4303">
        <w:t xml:space="preserve"> report, Tunisia affirms that it </w:t>
      </w:r>
      <w:r>
        <w:t>stands</w:t>
      </w:r>
      <w:r w:rsidRPr="009A4303">
        <w:t xml:space="preserve"> ready to provide the Committee with further information in its next report. The request</w:t>
      </w:r>
      <w:r w:rsidR="009760FA">
        <w:t xml:space="preserve"> for</w:t>
      </w:r>
      <w:r w:rsidRPr="009A4303">
        <w:t xml:space="preserve"> additional information </w:t>
      </w:r>
      <w:r w:rsidR="009760FA">
        <w:t>pertains t</w:t>
      </w:r>
      <w:r w:rsidRPr="009A4303">
        <w:t xml:space="preserve">o the following paragraphs. </w:t>
      </w:r>
    </w:p>
    <w:p w:rsidR="009A4303" w:rsidRPr="009A4303" w:rsidRDefault="009760FA" w:rsidP="009760FA">
      <w:pPr>
        <w:pStyle w:val="H1G"/>
      </w:pPr>
      <w:r>
        <w:tab/>
      </w:r>
      <w:r>
        <w:tab/>
        <w:t>Recommendation, paragraph 11</w:t>
      </w:r>
      <w:r w:rsidR="009A4303" w:rsidRPr="009A4303">
        <w:t xml:space="preserve"> </w:t>
      </w:r>
    </w:p>
    <w:p w:rsidR="009A4303" w:rsidRPr="009760FA" w:rsidRDefault="009A4303" w:rsidP="009A4303">
      <w:pPr>
        <w:pStyle w:val="SingleTxtG"/>
      </w:pPr>
      <w:r w:rsidRPr="009760FA">
        <w:t xml:space="preserve">The State </w:t>
      </w:r>
      <w:r w:rsidR="009760FA" w:rsidRPr="009760FA">
        <w:t>p</w:t>
      </w:r>
      <w:r w:rsidRPr="009760FA">
        <w:t>arty should:</w:t>
      </w:r>
    </w:p>
    <w:p w:rsidR="009A4303" w:rsidRPr="009760FA" w:rsidRDefault="009A4303" w:rsidP="009A4303">
      <w:pPr>
        <w:pStyle w:val="SingleTxtG"/>
      </w:pPr>
      <w:r w:rsidRPr="009760FA">
        <w:tab/>
        <w:t>(a)</w:t>
      </w:r>
      <w:r w:rsidR="009760FA">
        <w:tab/>
      </w:r>
      <w:r w:rsidRPr="009760FA">
        <w:t>Ensure that all allegations of torture and cruel, inhuman or degrading treatment or punishment</w:t>
      </w:r>
      <w:r w:rsidR="009760FA">
        <w:t>, not just allegations about violence,</w:t>
      </w:r>
      <w:r w:rsidRPr="009760FA">
        <w:t xml:space="preserve"> are investigated by an independent authority, provide detailed information on the prosecution and punishment of the perpetrators of such acts, including their hierarchical superiors</w:t>
      </w:r>
      <w:r w:rsidR="009760FA">
        <w:t>,</w:t>
      </w:r>
      <w:r w:rsidRPr="009760FA">
        <w:t xml:space="preserve"> and ensure that the victims receive reparation, including appropriate compensation;</w:t>
      </w:r>
    </w:p>
    <w:p w:rsidR="009A4303" w:rsidRPr="009760FA" w:rsidRDefault="009A4303" w:rsidP="009A4303">
      <w:pPr>
        <w:pStyle w:val="SingleTxtG"/>
      </w:pPr>
      <w:r w:rsidRPr="009760FA">
        <w:tab/>
      </w:r>
      <w:r w:rsidR="009760FA">
        <w:t>(b)</w:t>
      </w:r>
      <w:r w:rsidR="009760FA">
        <w:tab/>
      </w:r>
      <w:r w:rsidRPr="009760FA">
        <w:t>Improve the training of public officials in this area.</w:t>
      </w:r>
    </w:p>
    <w:p w:rsidR="009760FA" w:rsidRDefault="009760FA" w:rsidP="009760FA">
      <w:pPr>
        <w:pStyle w:val="H1G"/>
        <w:rPr>
          <w:bCs/>
        </w:rPr>
      </w:pPr>
      <w:r>
        <w:tab/>
      </w:r>
      <w:r>
        <w:tab/>
      </w:r>
      <w:r w:rsidR="009A4303" w:rsidRPr="009760FA">
        <w:rPr>
          <w:bCs/>
        </w:rPr>
        <w:t>Reply</w:t>
      </w:r>
    </w:p>
    <w:p w:rsidR="009A4303" w:rsidRPr="009760FA" w:rsidRDefault="009A4303" w:rsidP="009760FA">
      <w:pPr>
        <w:pStyle w:val="SingleTxtG"/>
      </w:pPr>
      <w:r w:rsidRPr="009760FA">
        <w:t>2.</w:t>
      </w:r>
      <w:r w:rsidRPr="009760FA">
        <w:tab/>
        <w:t xml:space="preserve">In addition to the information </w:t>
      </w:r>
      <w:r w:rsidR="005D0580">
        <w:t xml:space="preserve">which </w:t>
      </w:r>
      <w:r w:rsidRPr="009760FA">
        <w:t xml:space="preserve">Tunisia </w:t>
      </w:r>
      <w:r w:rsidR="005D0580">
        <w:t xml:space="preserve">has already provided about </w:t>
      </w:r>
      <w:r w:rsidRPr="009760FA">
        <w:t>this paragraph, stress</w:t>
      </w:r>
      <w:r w:rsidR="005D0580">
        <w:t>ing</w:t>
      </w:r>
      <w:r w:rsidRPr="009760FA">
        <w:t xml:space="preserve"> that all State institutions give paramount importance to protecting the physical and mental integrity of individuals and deal very firmly with law enforcement officer</w:t>
      </w:r>
      <w:r w:rsidR="005D0580">
        <w:t>s</w:t>
      </w:r>
      <w:r w:rsidRPr="009760FA">
        <w:t xml:space="preserve"> </w:t>
      </w:r>
      <w:r w:rsidR="005D0580">
        <w:t xml:space="preserve">guilty of </w:t>
      </w:r>
      <w:r w:rsidRPr="009760FA">
        <w:t xml:space="preserve">misconduct, abuse of authority or acts of torture or other cruel, inhuman or degrading treatment, Tunisia wishes to </w:t>
      </w:r>
      <w:r w:rsidR="005D0580">
        <w:t xml:space="preserve">point out that the pursuit of this resolute State policy is driven by a desire on the part of the public authorities to </w:t>
      </w:r>
      <w:r w:rsidRPr="009760FA">
        <w:t xml:space="preserve">strengthen </w:t>
      </w:r>
      <w:r w:rsidR="005D0580">
        <w:t xml:space="preserve">the effectiveness of </w:t>
      </w:r>
      <w:r w:rsidRPr="009760FA">
        <w:t xml:space="preserve">national and international mechanisms to monitor detention facilities and prisons, </w:t>
      </w:r>
      <w:r w:rsidR="005D0580">
        <w:t xml:space="preserve">to </w:t>
      </w:r>
      <w:r w:rsidRPr="009760FA">
        <w:t>prosecute officials guilty of torture or other cruel, inhuman or degrading treatment</w:t>
      </w:r>
      <w:r w:rsidR="005D0580">
        <w:t>, to</w:t>
      </w:r>
      <w:r w:rsidRPr="009760FA">
        <w:t xml:space="preserve"> ensure that victims receive redress, including </w:t>
      </w:r>
      <w:r w:rsidR="005D0580">
        <w:t xml:space="preserve">appropriate </w:t>
      </w:r>
      <w:r w:rsidRPr="009760FA">
        <w:t>compensation</w:t>
      </w:r>
      <w:r w:rsidR="005D0580">
        <w:t xml:space="preserve">, and, lastly, </w:t>
      </w:r>
      <w:r w:rsidRPr="009760FA">
        <w:t xml:space="preserve">to </w:t>
      </w:r>
      <w:r w:rsidR="005D0580">
        <w:t xml:space="preserve">continue efforts to </w:t>
      </w:r>
      <w:r w:rsidRPr="009760FA">
        <w:t>improve the traini</w:t>
      </w:r>
      <w:r w:rsidR="003D626D">
        <w:t>ng of law enforcement officers.</w:t>
      </w:r>
    </w:p>
    <w:p w:rsidR="00770D88" w:rsidRDefault="001B6DFE" w:rsidP="009A4303">
      <w:pPr>
        <w:pStyle w:val="SingleTxtG"/>
      </w:pPr>
      <w:r>
        <w:tab/>
      </w:r>
      <w:r w:rsidR="005D0580">
        <w:t>(a)</w:t>
      </w:r>
      <w:r w:rsidR="005D0580">
        <w:tab/>
      </w:r>
      <w:r w:rsidR="009A4303" w:rsidRPr="009760FA">
        <w:rPr>
          <w:bCs/>
        </w:rPr>
        <w:t>Continu</w:t>
      </w:r>
      <w:r w:rsidR="005D0580">
        <w:rPr>
          <w:bCs/>
        </w:rPr>
        <w:t>ed efforts to strengthen the effectiveness</w:t>
      </w:r>
      <w:r w:rsidR="00770D88">
        <w:rPr>
          <w:bCs/>
        </w:rPr>
        <w:t xml:space="preserve"> </w:t>
      </w:r>
      <w:r w:rsidR="009A4303" w:rsidRPr="009760FA">
        <w:rPr>
          <w:bCs/>
        </w:rPr>
        <w:t>of national and international mechanisms to monitor detention facilities and prisons</w:t>
      </w:r>
      <w:r w:rsidR="00770D88">
        <w:rPr>
          <w:bCs/>
        </w:rPr>
        <w:t>.</w:t>
      </w:r>
    </w:p>
    <w:p w:rsidR="009A4303" w:rsidRPr="009A4303" w:rsidRDefault="009A4303" w:rsidP="009A4303">
      <w:pPr>
        <w:pStyle w:val="SingleTxtG"/>
      </w:pPr>
      <w:r w:rsidRPr="009A4303">
        <w:t>3.</w:t>
      </w:r>
      <w:r w:rsidRPr="009A4303">
        <w:tab/>
        <w:t xml:space="preserve">With a view to preventing all forms of </w:t>
      </w:r>
      <w:r w:rsidR="00B15CE4">
        <w:t>ill-treatment</w:t>
      </w:r>
      <w:r w:rsidRPr="009A4303">
        <w:t xml:space="preserve">, national and international mechanisms to monitor detention facilities and prisons </w:t>
      </w:r>
      <w:r w:rsidR="00B15CE4">
        <w:t xml:space="preserve">continue to </w:t>
      </w:r>
      <w:r w:rsidRPr="009A4303">
        <w:t>be strengthened</w:t>
      </w:r>
      <w:r w:rsidR="00B15CE4">
        <w:t xml:space="preserve">, in particular by </w:t>
      </w:r>
      <w:r w:rsidRPr="009A4303">
        <w:t>the following</w:t>
      </w:r>
      <w:r w:rsidR="00B15CE4">
        <w:t xml:space="preserve"> means</w:t>
      </w:r>
      <w:r w:rsidRPr="009A4303">
        <w:t>:</w:t>
      </w:r>
    </w:p>
    <w:p w:rsidR="009A4303" w:rsidRPr="009A4303" w:rsidRDefault="009A4303" w:rsidP="00B15CE4">
      <w:pPr>
        <w:pStyle w:val="Bullet1G"/>
      </w:pPr>
      <w:r w:rsidRPr="009A4303">
        <w:t>The Chairman of the Higher Committee for Human Rights and Fundamental Freedoms has continued to carry out surprise visits to prisons</w:t>
      </w:r>
      <w:r w:rsidR="00B15CE4">
        <w:t xml:space="preserve"> and detention facilities to </w:t>
      </w:r>
      <w:r w:rsidRPr="009A4303">
        <w:t>assess prisoners</w:t>
      </w:r>
      <w:r w:rsidR="00E37367">
        <w:t>’</w:t>
      </w:r>
      <w:r w:rsidRPr="009A4303">
        <w:t xml:space="preserve"> conditions and treatment. Moreover, working groups </w:t>
      </w:r>
      <w:r w:rsidR="00B15CE4">
        <w:t xml:space="preserve">including the </w:t>
      </w:r>
      <w:r w:rsidRPr="009A4303">
        <w:t>Chairman of the Higher Committee and legal experts who are known for their competence and integrity</w:t>
      </w:r>
      <w:r w:rsidR="00B15CE4">
        <w:t xml:space="preserve"> have been established to monitor prison conditions and report back to the Head of State.</w:t>
      </w:r>
    </w:p>
    <w:p w:rsidR="00B15CE4" w:rsidRDefault="009A4303" w:rsidP="00B15CE4">
      <w:pPr>
        <w:pStyle w:val="Bullet1G"/>
      </w:pPr>
      <w:r w:rsidRPr="009A4303">
        <w:t xml:space="preserve">The International Committee of the Red Cross </w:t>
      </w:r>
      <w:r w:rsidR="00B15CE4">
        <w:t xml:space="preserve">(ICRC) </w:t>
      </w:r>
      <w:r w:rsidRPr="009A4303">
        <w:t xml:space="preserve">has continued </w:t>
      </w:r>
      <w:r w:rsidR="00B15CE4">
        <w:t xml:space="preserve">to </w:t>
      </w:r>
      <w:r w:rsidRPr="009A4303">
        <w:t>visit prisons under the terms of the agreement it concluded with the Tunisian Government in 2005</w:t>
      </w:r>
      <w:r w:rsidR="00904C9B">
        <w:t>.</w:t>
      </w:r>
    </w:p>
    <w:p w:rsidR="00904C9B" w:rsidRDefault="00904C9B" w:rsidP="00B15CE4">
      <w:pPr>
        <w:pStyle w:val="Bullet1G"/>
      </w:pPr>
      <w:r>
        <w:t>Cooperation has b</w:t>
      </w:r>
      <w:r w:rsidR="009A4303" w:rsidRPr="009A4303">
        <w:t xml:space="preserve">een </w:t>
      </w:r>
      <w:r>
        <w:t xml:space="preserve">instituted </w:t>
      </w:r>
      <w:r w:rsidR="009A4303" w:rsidRPr="009A4303">
        <w:t xml:space="preserve">between the Tunisian </w:t>
      </w:r>
      <w:r>
        <w:t>A</w:t>
      </w:r>
      <w:r w:rsidR="009A4303" w:rsidRPr="009A4303">
        <w:t xml:space="preserve">ssociation for the </w:t>
      </w:r>
      <w:r>
        <w:t>R</w:t>
      </w:r>
      <w:r w:rsidR="009A4303" w:rsidRPr="009A4303">
        <w:t xml:space="preserve">ehabilitation of </w:t>
      </w:r>
      <w:r>
        <w:t>Former P</w:t>
      </w:r>
      <w:r w:rsidR="009A4303" w:rsidRPr="009A4303">
        <w:t xml:space="preserve">risoners and prison social services to </w:t>
      </w:r>
      <w:r>
        <w:t xml:space="preserve">help </w:t>
      </w:r>
      <w:r w:rsidR="009A4303" w:rsidRPr="009A4303">
        <w:t>rehabilitat</w:t>
      </w:r>
      <w:r>
        <w:t>e</w:t>
      </w:r>
      <w:r w:rsidR="009A4303" w:rsidRPr="009A4303">
        <w:t xml:space="preserve"> prisoners and reintegrat</w:t>
      </w:r>
      <w:r>
        <w:t>e</w:t>
      </w:r>
      <w:r w:rsidR="009A4303" w:rsidRPr="009A4303">
        <w:t xml:space="preserve"> them into society</w:t>
      </w:r>
      <w:r>
        <w:t>.</w:t>
      </w:r>
    </w:p>
    <w:p w:rsidR="009A1FCE" w:rsidRDefault="009A4303" w:rsidP="009A1FCE">
      <w:pPr>
        <w:pStyle w:val="Bullet1G"/>
      </w:pPr>
      <w:r w:rsidRPr="009A4303">
        <w:t>The Special Rapporteur on the promotion and protection of human rights and fundamental freedoms while countering terrorism visited Tunisia from 22 to 26 January 2010.</w:t>
      </w:r>
      <w:r w:rsidR="00904C9B">
        <w:t xml:space="preserve"> </w:t>
      </w:r>
      <w:r w:rsidRPr="009A4303">
        <w:t>The Special Rapporteur made several visits to the country</w:t>
      </w:r>
      <w:r w:rsidR="00E37367">
        <w:t>’</w:t>
      </w:r>
      <w:r w:rsidRPr="009A4303">
        <w:t xml:space="preserve">s largest prison, where he was able to learn about the conditions of a number of inmates </w:t>
      </w:r>
      <w:r w:rsidR="00904C9B">
        <w:t xml:space="preserve">at </w:t>
      </w:r>
      <w:r w:rsidRPr="009A4303">
        <w:t xml:space="preserve">first hand. </w:t>
      </w:r>
      <w:r w:rsidR="00904C9B">
        <w:t>He</w:t>
      </w:r>
      <w:r w:rsidRPr="009A4303">
        <w:t xml:space="preserve"> also visited a detention facility and the headquarters of </w:t>
      </w:r>
      <w:r w:rsidR="00904C9B">
        <w:t xml:space="preserve">an </w:t>
      </w:r>
      <w:r w:rsidRPr="009A4303">
        <w:t>association</w:t>
      </w:r>
      <w:r w:rsidR="00904C9B">
        <w:t xml:space="preserve"> for</w:t>
      </w:r>
      <w:r w:rsidRPr="009A4303">
        <w:t xml:space="preserve"> victims of terrorism. He spoke to </w:t>
      </w:r>
      <w:r w:rsidR="00904C9B">
        <w:t xml:space="preserve">a number of </w:t>
      </w:r>
      <w:r w:rsidRPr="009A4303">
        <w:t>victims of terroris</w:t>
      </w:r>
      <w:r w:rsidR="00904C9B">
        <w:t xml:space="preserve">t crimes and </w:t>
      </w:r>
      <w:r w:rsidRPr="009A4303">
        <w:t>to many officials and representatives of civil society.</w:t>
      </w:r>
    </w:p>
    <w:p w:rsidR="00904C9B" w:rsidRDefault="00B13C3E" w:rsidP="009A1FCE">
      <w:pPr>
        <w:pStyle w:val="SingleTxtG"/>
      </w:pPr>
      <w:r>
        <w:tab/>
      </w:r>
      <w:r w:rsidR="00904C9B">
        <w:t>(b)</w:t>
      </w:r>
      <w:r w:rsidR="00904C9B">
        <w:tab/>
      </w:r>
      <w:r w:rsidR="009A4303" w:rsidRPr="00904C9B">
        <w:t xml:space="preserve">Prosecuting </w:t>
      </w:r>
      <w:r w:rsidR="00904C9B">
        <w:t xml:space="preserve">officials who </w:t>
      </w:r>
      <w:r w:rsidR="009A4303" w:rsidRPr="00904C9B">
        <w:t>perpetrat</w:t>
      </w:r>
      <w:r w:rsidR="00904C9B">
        <w:t>e offences.</w:t>
      </w:r>
    </w:p>
    <w:p w:rsidR="00F63303" w:rsidRDefault="009A1FCE" w:rsidP="009A1FCE">
      <w:pPr>
        <w:pStyle w:val="SingleTxtG"/>
      </w:pPr>
      <w:r>
        <w:t>4.</w:t>
      </w:r>
      <w:r>
        <w:tab/>
        <w:t>T</w:t>
      </w:r>
      <w:r w:rsidR="009A4303" w:rsidRPr="009A4303">
        <w:t xml:space="preserve">he Tunisian </w:t>
      </w:r>
      <w:r>
        <w:t xml:space="preserve">courts </w:t>
      </w:r>
      <w:r w:rsidR="009A4303" w:rsidRPr="009A4303">
        <w:t>continue to p</w:t>
      </w:r>
      <w:r>
        <w:t xml:space="preserve">unish </w:t>
      </w:r>
      <w:r w:rsidR="009A4303" w:rsidRPr="009A4303">
        <w:t>illegal act</w:t>
      </w:r>
      <w:r>
        <w:t>s</w:t>
      </w:r>
      <w:r w:rsidR="009A4303" w:rsidRPr="009A4303">
        <w:t xml:space="preserve"> and practices and </w:t>
      </w:r>
      <w:r>
        <w:t xml:space="preserve">have no hesitation in prosecuting, trying and convicting </w:t>
      </w:r>
      <w:r w:rsidR="009A4303" w:rsidRPr="009A4303">
        <w:t xml:space="preserve">individuals </w:t>
      </w:r>
      <w:r>
        <w:t>proven to have i</w:t>
      </w:r>
      <w:r w:rsidR="009A4303" w:rsidRPr="009A4303">
        <w:t>nflict</w:t>
      </w:r>
      <w:r>
        <w:t>ed</w:t>
      </w:r>
      <w:r w:rsidR="009A4303" w:rsidRPr="009A4303">
        <w:t xml:space="preserve"> ill-treatment </w:t>
      </w:r>
      <w:r>
        <w:t xml:space="preserve">or to have abused their authority and impose </w:t>
      </w:r>
      <w:r w:rsidR="00F63303">
        <w:t xml:space="preserve">stiff penalties on </w:t>
      </w:r>
      <w:r>
        <w:t>t</w:t>
      </w:r>
      <w:r w:rsidR="009A4303" w:rsidRPr="009A4303">
        <w:t>he perpetrators of such offences</w:t>
      </w:r>
      <w:r w:rsidR="00F63303">
        <w:t>, c</w:t>
      </w:r>
      <w:r w:rsidR="009A4303" w:rsidRPr="009A4303">
        <w:t>ommensurate with the gravity and nature of the offence</w:t>
      </w:r>
      <w:r w:rsidR="00F63303">
        <w:t xml:space="preserve">. </w:t>
      </w:r>
      <w:r w:rsidR="009A4303" w:rsidRPr="009A4303">
        <w:t xml:space="preserve">Court </w:t>
      </w:r>
      <w:r w:rsidR="00F63303">
        <w:t xml:space="preserve">judgements issued </w:t>
      </w:r>
      <w:r w:rsidR="009A4303" w:rsidRPr="009A4303">
        <w:t xml:space="preserve">in this regard include the following: </w:t>
      </w:r>
    </w:p>
    <w:p w:rsidR="00F63303" w:rsidRDefault="009A4303" w:rsidP="00F63303">
      <w:pPr>
        <w:pStyle w:val="Bullet1G"/>
      </w:pPr>
      <w:r w:rsidRPr="009A4303">
        <w:t xml:space="preserve">Tunis Court of Appeal </w:t>
      </w:r>
      <w:r w:rsidR="00F63303">
        <w:t xml:space="preserve">judgement </w:t>
      </w:r>
      <w:r w:rsidRPr="009A4303">
        <w:t>No. 10372 of 2 February 2007</w:t>
      </w:r>
      <w:r w:rsidR="00F63303">
        <w:t>,</w:t>
      </w:r>
      <w:r w:rsidRPr="009A4303">
        <w:t xml:space="preserve"> </w:t>
      </w:r>
      <w:r w:rsidR="00F63303">
        <w:t xml:space="preserve">by sentencing </w:t>
      </w:r>
      <w:r w:rsidRPr="009A4303">
        <w:t>a police station chief</w:t>
      </w:r>
      <w:r w:rsidR="00F63303">
        <w:t>, in accordance with article 101 of the Criminal Code, to pay</w:t>
      </w:r>
      <w:r w:rsidRPr="009A4303">
        <w:t xml:space="preserve"> a fine of 500 </w:t>
      </w:r>
      <w:r w:rsidR="00F63303">
        <w:t xml:space="preserve">Tunisian </w:t>
      </w:r>
      <w:r w:rsidRPr="009A4303">
        <w:t xml:space="preserve">dinars for </w:t>
      </w:r>
      <w:r w:rsidR="00F63303">
        <w:t xml:space="preserve">the offence of </w:t>
      </w:r>
      <w:r w:rsidRPr="009A4303">
        <w:t xml:space="preserve">violence </w:t>
      </w:r>
      <w:r w:rsidR="00F63303">
        <w:t xml:space="preserve">committed </w:t>
      </w:r>
      <w:r w:rsidRPr="009A4303">
        <w:t xml:space="preserve">by a public official </w:t>
      </w:r>
      <w:r w:rsidR="00E647F3">
        <w:t>while on duty</w:t>
      </w:r>
    </w:p>
    <w:p w:rsidR="00B13C3E" w:rsidRDefault="009A4303" w:rsidP="00F63303">
      <w:pPr>
        <w:pStyle w:val="SingleTxtG"/>
      </w:pPr>
      <w:r w:rsidRPr="009A4303">
        <w:t>5.</w:t>
      </w:r>
      <w:r w:rsidRPr="009A4303">
        <w:tab/>
        <w:t xml:space="preserve">The acts </w:t>
      </w:r>
      <w:r w:rsidR="00B13C3E">
        <w:t xml:space="preserve">in </w:t>
      </w:r>
      <w:r w:rsidRPr="009A4303">
        <w:t xml:space="preserve">this </w:t>
      </w:r>
      <w:r w:rsidR="00B13C3E">
        <w:t>case</w:t>
      </w:r>
      <w:r w:rsidRPr="009A4303">
        <w:t xml:space="preserve"> occurred on 23 March 2006, when</w:t>
      </w:r>
      <w:r w:rsidR="00B13C3E">
        <w:t xml:space="preserve"> B.L., who had been </w:t>
      </w:r>
      <w:r w:rsidRPr="009A4303">
        <w:t>arrest</w:t>
      </w:r>
      <w:r w:rsidR="00B13C3E">
        <w:t xml:space="preserve">ed </w:t>
      </w:r>
      <w:r w:rsidRPr="009A4303">
        <w:t>together with several young people, suffered a broken hand after being violently assaulted by the chief of the El-Ouardia police station</w:t>
      </w:r>
      <w:r w:rsidR="00DC528A">
        <w:t>:</w:t>
      </w:r>
    </w:p>
    <w:p w:rsidR="00B13C3E" w:rsidRDefault="009A4303" w:rsidP="00B13C3E">
      <w:pPr>
        <w:pStyle w:val="Bullet1G"/>
      </w:pPr>
      <w:r w:rsidRPr="009A4303">
        <w:t xml:space="preserve">Tunis Court of Appeal </w:t>
      </w:r>
      <w:r w:rsidR="00B13C3E">
        <w:t xml:space="preserve">judgement </w:t>
      </w:r>
      <w:r w:rsidRPr="009A4303">
        <w:t xml:space="preserve">decision No. 12494 of 3 March 2009, </w:t>
      </w:r>
      <w:r w:rsidR="00B13C3E">
        <w:t xml:space="preserve">convicting four police </w:t>
      </w:r>
      <w:r w:rsidRPr="009A4303">
        <w:t xml:space="preserve">officers of ill-treatment leading to the death of a person in custody. Two of the officers were each sentenced to prison terms of 20 years for assault and battery causing unintentional death. The other two officers were sentenced as accomplices to </w:t>
      </w:r>
      <w:r w:rsidR="00B54E88">
        <w:t xml:space="preserve">terms of </w:t>
      </w:r>
      <w:r w:rsidRPr="009A4303">
        <w:t>15 and 10 years</w:t>
      </w:r>
      <w:r w:rsidR="00E37367">
        <w:t>’</w:t>
      </w:r>
      <w:r w:rsidR="003D626D">
        <w:t xml:space="preserve"> imprisonment respectively.</w:t>
      </w:r>
    </w:p>
    <w:p w:rsidR="00B54E88" w:rsidRDefault="009A4303" w:rsidP="00F63303">
      <w:pPr>
        <w:pStyle w:val="SingleTxtG"/>
      </w:pPr>
      <w:r w:rsidRPr="009A4303">
        <w:t>6.</w:t>
      </w:r>
      <w:r w:rsidRPr="009A4303">
        <w:tab/>
        <w:t xml:space="preserve">The acts </w:t>
      </w:r>
      <w:r w:rsidR="00B54E88">
        <w:t xml:space="preserve">in </w:t>
      </w:r>
      <w:r w:rsidRPr="009A4303">
        <w:t xml:space="preserve">this </w:t>
      </w:r>
      <w:r w:rsidR="00B54E88">
        <w:t>case</w:t>
      </w:r>
      <w:r w:rsidRPr="009A4303">
        <w:t xml:space="preserve"> occurred </w:t>
      </w:r>
      <w:r w:rsidR="00B54E88">
        <w:t xml:space="preserve">when </w:t>
      </w:r>
      <w:r w:rsidRPr="009A4303">
        <w:t>an altercation</w:t>
      </w:r>
      <w:r w:rsidR="00B54E88">
        <w:t xml:space="preserve"> broke out</w:t>
      </w:r>
      <w:r w:rsidRPr="009A4303">
        <w:t xml:space="preserve"> between M.S. and </w:t>
      </w:r>
      <w:r w:rsidR="00B54E88">
        <w:t xml:space="preserve">police </w:t>
      </w:r>
      <w:r w:rsidRPr="009A4303">
        <w:t xml:space="preserve">officers in the town of Soliman after the former refused to pay for drinks he had consumed at the </w:t>
      </w:r>
      <w:r w:rsidR="00B54E88">
        <w:t>Medi Sea H</w:t>
      </w:r>
      <w:r w:rsidRPr="009A4303">
        <w:t xml:space="preserve">otel. The officers sprayed him with gas and </w:t>
      </w:r>
      <w:r w:rsidR="00B54E88">
        <w:t xml:space="preserve">assaulted </w:t>
      </w:r>
      <w:r w:rsidRPr="009A4303">
        <w:t>him, before tying him up and placing him in a car. These actions led to the victim</w:t>
      </w:r>
      <w:r w:rsidR="00E37367">
        <w:t>’</w:t>
      </w:r>
      <w:r w:rsidRPr="009A4303">
        <w:t>s death</w:t>
      </w:r>
      <w:r w:rsidR="00DC528A">
        <w:t>:</w:t>
      </w:r>
    </w:p>
    <w:p w:rsidR="00F8521A" w:rsidRDefault="009A4303" w:rsidP="00B54E88">
      <w:pPr>
        <w:pStyle w:val="Bullet1G"/>
      </w:pPr>
      <w:r w:rsidRPr="009A4303">
        <w:t xml:space="preserve">Monastir Court of Appeal </w:t>
      </w:r>
      <w:r w:rsidR="00B54E88">
        <w:t xml:space="preserve">judgement </w:t>
      </w:r>
      <w:r w:rsidRPr="009A4303">
        <w:t xml:space="preserve">No. 1579 of 11 June 2009, </w:t>
      </w:r>
      <w:r w:rsidR="00B54E88">
        <w:t xml:space="preserve">convicting </w:t>
      </w:r>
      <w:r w:rsidRPr="009A4303">
        <w:t xml:space="preserve">two police officers </w:t>
      </w:r>
      <w:r w:rsidR="00B54E88">
        <w:t xml:space="preserve">of committing acts </w:t>
      </w:r>
      <w:r w:rsidRPr="009A4303">
        <w:t xml:space="preserve">of violence </w:t>
      </w:r>
      <w:r w:rsidR="00B54E88">
        <w:t xml:space="preserve">while on </w:t>
      </w:r>
      <w:r w:rsidRPr="009A4303">
        <w:t>dut</w:t>
      </w:r>
      <w:r w:rsidR="00B54E88">
        <w:t>y</w:t>
      </w:r>
      <w:r w:rsidRPr="009A4303">
        <w:t xml:space="preserve">. The officers in question were each sentenced to </w:t>
      </w:r>
      <w:r w:rsidR="003D626D">
        <w:t>two</w:t>
      </w:r>
      <w:r w:rsidRPr="009A4303">
        <w:t xml:space="preserve"> years</w:t>
      </w:r>
      <w:r w:rsidR="00E37367">
        <w:t>’</w:t>
      </w:r>
      <w:r w:rsidRPr="009A4303">
        <w:t xml:space="preserve"> imprisonment.</w:t>
      </w:r>
    </w:p>
    <w:p w:rsidR="00F8521A" w:rsidRDefault="009A4303" w:rsidP="00F8521A">
      <w:pPr>
        <w:pStyle w:val="SingleTxtG"/>
      </w:pPr>
      <w:r w:rsidRPr="009A4303">
        <w:t>7.</w:t>
      </w:r>
      <w:r w:rsidR="00F8521A">
        <w:tab/>
      </w:r>
      <w:r w:rsidRPr="009A4303">
        <w:t xml:space="preserve">The acts </w:t>
      </w:r>
      <w:r w:rsidR="00F8521A">
        <w:t xml:space="preserve">in </w:t>
      </w:r>
      <w:r w:rsidRPr="009A4303">
        <w:t xml:space="preserve">this </w:t>
      </w:r>
      <w:r w:rsidR="00F8521A">
        <w:t>case</w:t>
      </w:r>
      <w:r w:rsidRPr="009A4303">
        <w:t xml:space="preserve"> occurred when F.B. was assaulted by a </w:t>
      </w:r>
      <w:r w:rsidR="00F8521A">
        <w:t xml:space="preserve">police </w:t>
      </w:r>
      <w:r w:rsidRPr="009A4303">
        <w:t xml:space="preserve">officer in a nightclub at the Cap Serail </w:t>
      </w:r>
      <w:r w:rsidR="00F8521A">
        <w:t>H</w:t>
      </w:r>
      <w:r w:rsidRPr="009A4303">
        <w:t>otel: the officer had led the victim</w:t>
      </w:r>
      <w:r w:rsidR="00E37367">
        <w:t>’</w:t>
      </w:r>
      <w:r w:rsidRPr="009A4303">
        <w:t xml:space="preserve">s female companion away in order to talk to her and when F.B. attempted to </w:t>
      </w:r>
      <w:r w:rsidR="00F8521A">
        <w:t xml:space="preserve">pull her away, </w:t>
      </w:r>
      <w:r w:rsidRPr="009A4303">
        <w:t xml:space="preserve">the officer </w:t>
      </w:r>
      <w:r w:rsidR="00F8521A">
        <w:t xml:space="preserve">had attacked </w:t>
      </w:r>
      <w:r w:rsidRPr="009A4303">
        <w:t>him before handcuffing him and his friend. The off</w:t>
      </w:r>
      <w:r w:rsidR="00DC528A">
        <w:t>icer then beat both F.</w:t>
      </w:r>
      <w:r w:rsidRPr="009A4303">
        <w:t xml:space="preserve">B. and his friend all over their bodies with a truncheon </w:t>
      </w:r>
      <w:r w:rsidR="00F8521A">
        <w:t xml:space="preserve">and bundled </w:t>
      </w:r>
      <w:r w:rsidR="003D626D">
        <w:t>them into an official car.</w:t>
      </w:r>
    </w:p>
    <w:p w:rsidR="009A4303" w:rsidRDefault="009A4303" w:rsidP="00F8521A">
      <w:pPr>
        <w:pStyle w:val="SingleTxtG"/>
      </w:pPr>
      <w:r w:rsidRPr="009A4303">
        <w:t>8.</w:t>
      </w:r>
      <w:r w:rsidRPr="009A4303">
        <w:tab/>
        <w:t xml:space="preserve">The following table shows the number of </w:t>
      </w:r>
      <w:r w:rsidR="00F8521A">
        <w:t xml:space="preserve">police </w:t>
      </w:r>
      <w:r w:rsidRPr="009A4303">
        <w:t>officers</w:t>
      </w:r>
      <w:r w:rsidR="00F8521A">
        <w:t>, during the period from 1999 to September 2009, who were</w:t>
      </w:r>
      <w:r w:rsidRPr="009A4303">
        <w:t xml:space="preserve"> prosecuted f</w:t>
      </w:r>
      <w:r w:rsidR="00F8521A">
        <w:t>or</w:t>
      </w:r>
      <w:r w:rsidRPr="009A4303">
        <w:t xml:space="preserve"> ill-treatment </w:t>
      </w:r>
      <w:r w:rsidR="00F8521A">
        <w:t xml:space="preserve">to </w:t>
      </w:r>
      <w:r w:rsidRPr="009A4303">
        <w:t>whom final judgements were handed down</w:t>
      </w:r>
      <w:r w:rsidR="003D626D">
        <w:t>.</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3752"/>
        <w:gridCol w:w="3619"/>
      </w:tblGrid>
      <w:tr w:rsidR="009A4303" w:rsidRPr="00F8521A" w:rsidTr="003D626D">
        <w:trPr>
          <w:tblHeader/>
        </w:trPr>
        <w:tc>
          <w:tcPr>
            <w:tcW w:w="3968" w:type="dxa"/>
            <w:tcBorders>
              <w:top w:val="single" w:sz="4" w:space="0" w:color="auto"/>
              <w:bottom w:val="single" w:sz="12" w:space="0" w:color="auto"/>
            </w:tcBorders>
            <w:shd w:val="clear" w:color="auto" w:fill="auto"/>
            <w:vAlign w:val="bottom"/>
          </w:tcPr>
          <w:p w:rsidR="009A4303" w:rsidRPr="00F8521A" w:rsidRDefault="009A4303" w:rsidP="00CE6972">
            <w:pPr>
              <w:spacing w:before="80" w:after="80" w:line="200" w:lineRule="exact"/>
              <w:rPr>
                <w:i/>
                <w:sz w:val="16"/>
              </w:rPr>
            </w:pPr>
            <w:r w:rsidRPr="00F8521A">
              <w:rPr>
                <w:i/>
                <w:sz w:val="16"/>
              </w:rPr>
              <w:t>Year</w:t>
            </w:r>
          </w:p>
        </w:tc>
        <w:tc>
          <w:tcPr>
            <w:tcW w:w="3828" w:type="dxa"/>
            <w:tcBorders>
              <w:top w:val="single" w:sz="4" w:space="0" w:color="auto"/>
              <w:bottom w:val="single" w:sz="12" w:space="0" w:color="auto"/>
            </w:tcBorders>
            <w:shd w:val="clear" w:color="auto" w:fill="auto"/>
            <w:vAlign w:val="bottom"/>
          </w:tcPr>
          <w:p w:rsidR="009A4303" w:rsidRPr="00F8521A" w:rsidRDefault="009A4303" w:rsidP="00CE6972">
            <w:pPr>
              <w:spacing w:before="80" w:after="80" w:line="200" w:lineRule="exact"/>
              <w:jc w:val="right"/>
              <w:rPr>
                <w:i/>
                <w:sz w:val="16"/>
              </w:rPr>
            </w:pPr>
            <w:r w:rsidRPr="00F8521A">
              <w:rPr>
                <w:i/>
                <w:sz w:val="16"/>
              </w:rPr>
              <w:t>Number of officers</w:t>
            </w:r>
          </w:p>
        </w:tc>
      </w:tr>
      <w:tr w:rsidR="009A4303" w:rsidRPr="00664D0C" w:rsidTr="00CE6972">
        <w:tc>
          <w:tcPr>
            <w:tcW w:w="3968" w:type="dxa"/>
            <w:tcBorders>
              <w:top w:val="single" w:sz="12" w:space="0" w:color="auto"/>
            </w:tcBorders>
            <w:shd w:val="clear" w:color="auto" w:fill="auto"/>
          </w:tcPr>
          <w:p w:rsidR="009A4303" w:rsidRPr="00664D0C" w:rsidRDefault="009A4303" w:rsidP="00664D0C">
            <w:pPr>
              <w:suppressAutoHyphens w:val="0"/>
              <w:spacing w:before="40" w:after="40" w:line="220" w:lineRule="exact"/>
              <w:rPr>
                <w:sz w:val="18"/>
              </w:rPr>
            </w:pPr>
            <w:r w:rsidRPr="00664D0C">
              <w:rPr>
                <w:sz w:val="18"/>
              </w:rPr>
              <w:t>1999</w:t>
            </w:r>
          </w:p>
        </w:tc>
        <w:tc>
          <w:tcPr>
            <w:tcW w:w="3828" w:type="dxa"/>
            <w:tcBorders>
              <w:top w:val="single" w:sz="12" w:space="0" w:color="auto"/>
            </w:tcBorders>
            <w:shd w:val="clear" w:color="auto" w:fill="auto"/>
            <w:vAlign w:val="bottom"/>
          </w:tcPr>
          <w:p w:rsidR="009A4303" w:rsidRPr="00664D0C" w:rsidRDefault="009A4303" w:rsidP="00664D0C">
            <w:pPr>
              <w:suppressAutoHyphens w:val="0"/>
              <w:spacing w:before="40" w:after="40" w:line="220" w:lineRule="exact"/>
              <w:jc w:val="right"/>
              <w:rPr>
                <w:sz w:val="18"/>
              </w:rPr>
            </w:pPr>
            <w:r w:rsidRPr="00664D0C">
              <w:rPr>
                <w:sz w:val="18"/>
              </w:rPr>
              <w:t>4</w:t>
            </w:r>
          </w:p>
        </w:tc>
      </w:tr>
      <w:tr w:rsidR="009A4303" w:rsidRPr="00664D0C" w:rsidTr="00CE6972">
        <w:tc>
          <w:tcPr>
            <w:tcW w:w="3968" w:type="dxa"/>
            <w:shd w:val="clear" w:color="auto" w:fill="auto"/>
          </w:tcPr>
          <w:p w:rsidR="009A4303" w:rsidRPr="00664D0C" w:rsidRDefault="009A4303" w:rsidP="00664D0C">
            <w:pPr>
              <w:suppressAutoHyphens w:val="0"/>
              <w:spacing w:before="40" w:after="40" w:line="220" w:lineRule="exact"/>
              <w:rPr>
                <w:sz w:val="18"/>
              </w:rPr>
            </w:pPr>
            <w:r w:rsidRPr="00664D0C">
              <w:rPr>
                <w:sz w:val="18"/>
              </w:rPr>
              <w:t>2000</w:t>
            </w:r>
          </w:p>
        </w:tc>
        <w:tc>
          <w:tcPr>
            <w:tcW w:w="3828" w:type="dxa"/>
            <w:shd w:val="clear" w:color="auto" w:fill="auto"/>
            <w:vAlign w:val="bottom"/>
          </w:tcPr>
          <w:p w:rsidR="009A4303" w:rsidRPr="00664D0C" w:rsidRDefault="009A4303" w:rsidP="00664D0C">
            <w:pPr>
              <w:suppressAutoHyphens w:val="0"/>
              <w:spacing w:before="40" w:after="40" w:line="220" w:lineRule="exact"/>
              <w:jc w:val="right"/>
              <w:rPr>
                <w:sz w:val="18"/>
              </w:rPr>
            </w:pPr>
            <w:r w:rsidRPr="00664D0C">
              <w:rPr>
                <w:sz w:val="18"/>
              </w:rPr>
              <w:t>5</w:t>
            </w:r>
          </w:p>
        </w:tc>
      </w:tr>
      <w:tr w:rsidR="009A4303" w:rsidRPr="00664D0C" w:rsidTr="00CE6972">
        <w:tc>
          <w:tcPr>
            <w:tcW w:w="3968" w:type="dxa"/>
            <w:shd w:val="clear" w:color="auto" w:fill="auto"/>
          </w:tcPr>
          <w:p w:rsidR="009A4303" w:rsidRPr="00664D0C" w:rsidRDefault="009A4303" w:rsidP="00664D0C">
            <w:pPr>
              <w:suppressAutoHyphens w:val="0"/>
              <w:spacing w:before="40" w:after="40" w:line="220" w:lineRule="exact"/>
              <w:rPr>
                <w:sz w:val="18"/>
              </w:rPr>
            </w:pPr>
            <w:r w:rsidRPr="00664D0C">
              <w:rPr>
                <w:sz w:val="18"/>
              </w:rPr>
              <w:t>2001</w:t>
            </w:r>
          </w:p>
        </w:tc>
        <w:tc>
          <w:tcPr>
            <w:tcW w:w="3828" w:type="dxa"/>
            <w:shd w:val="clear" w:color="auto" w:fill="auto"/>
            <w:vAlign w:val="bottom"/>
          </w:tcPr>
          <w:p w:rsidR="009A4303" w:rsidRPr="00664D0C" w:rsidRDefault="009A4303" w:rsidP="00664D0C">
            <w:pPr>
              <w:suppressAutoHyphens w:val="0"/>
              <w:spacing w:before="40" w:after="40" w:line="220" w:lineRule="exact"/>
              <w:jc w:val="right"/>
              <w:rPr>
                <w:sz w:val="18"/>
              </w:rPr>
            </w:pPr>
            <w:r w:rsidRPr="00664D0C">
              <w:rPr>
                <w:sz w:val="18"/>
              </w:rPr>
              <w:t>2</w:t>
            </w:r>
          </w:p>
        </w:tc>
      </w:tr>
      <w:tr w:rsidR="009A4303" w:rsidRPr="00664D0C" w:rsidTr="00CE6972">
        <w:tc>
          <w:tcPr>
            <w:tcW w:w="3968" w:type="dxa"/>
            <w:shd w:val="clear" w:color="auto" w:fill="auto"/>
          </w:tcPr>
          <w:p w:rsidR="009A4303" w:rsidRPr="00664D0C" w:rsidRDefault="009A4303" w:rsidP="00664D0C">
            <w:pPr>
              <w:suppressAutoHyphens w:val="0"/>
              <w:spacing w:before="40" w:after="40" w:line="220" w:lineRule="exact"/>
              <w:rPr>
                <w:sz w:val="18"/>
              </w:rPr>
            </w:pPr>
            <w:r w:rsidRPr="00664D0C">
              <w:rPr>
                <w:sz w:val="18"/>
              </w:rPr>
              <w:t>2002</w:t>
            </w:r>
          </w:p>
        </w:tc>
        <w:tc>
          <w:tcPr>
            <w:tcW w:w="3828" w:type="dxa"/>
            <w:shd w:val="clear" w:color="auto" w:fill="auto"/>
            <w:vAlign w:val="bottom"/>
          </w:tcPr>
          <w:p w:rsidR="009A4303" w:rsidRPr="00664D0C" w:rsidRDefault="009A4303" w:rsidP="00664D0C">
            <w:pPr>
              <w:suppressAutoHyphens w:val="0"/>
              <w:spacing w:before="40" w:after="40" w:line="220" w:lineRule="exact"/>
              <w:jc w:val="right"/>
              <w:rPr>
                <w:sz w:val="18"/>
              </w:rPr>
            </w:pPr>
            <w:r w:rsidRPr="00664D0C">
              <w:rPr>
                <w:sz w:val="18"/>
              </w:rPr>
              <w:t>3</w:t>
            </w:r>
          </w:p>
        </w:tc>
      </w:tr>
      <w:tr w:rsidR="009A4303" w:rsidRPr="00664D0C" w:rsidTr="00CE6972">
        <w:tc>
          <w:tcPr>
            <w:tcW w:w="3968" w:type="dxa"/>
            <w:shd w:val="clear" w:color="auto" w:fill="auto"/>
          </w:tcPr>
          <w:p w:rsidR="009A4303" w:rsidRPr="00664D0C" w:rsidRDefault="009A4303" w:rsidP="00664D0C">
            <w:pPr>
              <w:suppressAutoHyphens w:val="0"/>
              <w:spacing w:before="40" w:after="40" w:line="220" w:lineRule="exact"/>
              <w:rPr>
                <w:sz w:val="18"/>
              </w:rPr>
            </w:pPr>
            <w:r w:rsidRPr="00664D0C">
              <w:rPr>
                <w:sz w:val="18"/>
              </w:rPr>
              <w:t>2003</w:t>
            </w:r>
          </w:p>
        </w:tc>
        <w:tc>
          <w:tcPr>
            <w:tcW w:w="3828" w:type="dxa"/>
            <w:shd w:val="clear" w:color="auto" w:fill="auto"/>
            <w:vAlign w:val="bottom"/>
          </w:tcPr>
          <w:p w:rsidR="009A4303" w:rsidRPr="00664D0C" w:rsidRDefault="009A4303" w:rsidP="00664D0C">
            <w:pPr>
              <w:suppressAutoHyphens w:val="0"/>
              <w:spacing w:before="40" w:after="40" w:line="220" w:lineRule="exact"/>
              <w:jc w:val="right"/>
              <w:rPr>
                <w:sz w:val="18"/>
              </w:rPr>
            </w:pPr>
            <w:r w:rsidRPr="00664D0C">
              <w:rPr>
                <w:sz w:val="18"/>
              </w:rPr>
              <w:t>9</w:t>
            </w:r>
          </w:p>
        </w:tc>
      </w:tr>
      <w:tr w:rsidR="009A4303" w:rsidRPr="00664D0C" w:rsidTr="00CE6972">
        <w:tc>
          <w:tcPr>
            <w:tcW w:w="3968" w:type="dxa"/>
            <w:shd w:val="clear" w:color="auto" w:fill="auto"/>
          </w:tcPr>
          <w:p w:rsidR="009A4303" w:rsidRPr="00664D0C" w:rsidRDefault="009A4303" w:rsidP="00664D0C">
            <w:pPr>
              <w:suppressAutoHyphens w:val="0"/>
              <w:spacing w:before="40" w:after="40" w:line="220" w:lineRule="exact"/>
              <w:rPr>
                <w:sz w:val="18"/>
              </w:rPr>
            </w:pPr>
            <w:r w:rsidRPr="00664D0C">
              <w:rPr>
                <w:sz w:val="18"/>
              </w:rPr>
              <w:t>2004</w:t>
            </w:r>
          </w:p>
        </w:tc>
        <w:tc>
          <w:tcPr>
            <w:tcW w:w="3828" w:type="dxa"/>
            <w:shd w:val="clear" w:color="auto" w:fill="auto"/>
            <w:vAlign w:val="bottom"/>
          </w:tcPr>
          <w:p w:rsidR="009A4303" w:rsidRPr="00664D0C" w:rsidRDefault="009A4303" w:rsidP="00664D0C">
            <w:pPr>
              <w:suppressAutoHyphens w:val="0"/>
              <w:spacing w:before="40" w:after="40" w:line="220" w:lineRule="exact"/>
              <w:jc w:val="right"/>
              <w:rPr>
                <w:sz w:val="18"/>
              </w:rPr>
            </w:pPr>
            <w:r w:rsidRPr="00664D0C">
              <w:rPr>
                <w:sz w:val="18"/>
              </w:rPr>
              <w:t>27</w:t>
            </w:r>
          </w:p>
        </w:tc>
      </w:tr>
      <w:tr w:rsidR="009A4303" w:rsidRPr="00664D0C" w:rsidTr="00CE6972">
        <w:tc>
          <w:tcPr>
            <w:tcW w:w="3968" w:type="dxa"/>
            <w:shd w:val="clear" w:color="auto" w:fill="auto"/>
          </w:tcPr>
          <w:p w:rsidR="009A4303" w:rsidRPr="00664D0C" w:rsidRDefault="009A4303" w:rsidP="00664D0C">
            <w:pPr>
              <w:suppressAutoHyphens w:val="0"/>
              <w:spacing w:before="40" w:after="40" w:line="220" w:lineRule="exact"/>
              <w:rPr>
                <w:sz w:val="18"/>
              </w:rPr>
            </w:pPr>
            <w:r w:rsidRPr="00664D0C">
              <w:rPr>
                <w:sz w:val="18"/>
              </w:rPr>
              <w:t>2005</w:t>
            </w:r>
          </w:p>
        </w:tc>
        <w:tc>
          <w:tcPr>
            <w:tcW w:w="3828" w:type="dxa"/>
            <w:shd w:val="clear" w:color="auto" w:fill="auto"/>
            <w:vAlign w:val="bottom"/>
          </w:tcPr>
          <w:p w:rsidR="009A4303" w:rsidRPr="00664D0C" w:rsidRDefault="009A4303" w:rsidP="00664D0C">
            <w:pPr>
              <w:suppressAutoHyphens w:val="0"/>
              <w:spacing w:before="40" w:after="40" w:line="220" w:lineRule="exact"/>
              <w:jc w:val="right"/>
              <w:rPr>
                <w:sz w:val="18"/>
              </w:rPr>
            </w:pPr>
            <w:r w:rsidRPr="00664D0C">
              <w:rPr>
                <w:sz w:val="18"/>
              </w:rPr>
              <w:t>33</w:t>
            </w:r>
          </w:p>
        </w:tc>
      </w:tr>
      <w:tr w:rsidR="009A4303" w:rsidRPr="00664D0C" w:rsidTr="00CE6972">
        <w:tc>
          <w:tcPr>
            <w:tcW w:w="3968" w:type="dxa"/>
            <w:shd w:val="clear" w:color="auto" w:fill="auto"/>
          </w:tcPr>
          <w:p w:rsidR="009A4303" w:rsidRPr="00664D0C" w:rsidRDefault="009A4303" w:rsidP="00664D0C">
            <w:pPr>
              <w:suppressAutoHyphens w:val="0"/>
              <w:spacing w:before="40" w:after="40" w:line="220" w:lineRule="exact"/>
              <w:rPr>
                <w:sz w:val="18"/>
              </w:rPr>
            </w:pPr>
            <w:r w:rsidRPr="00664D0C">
              <w:rPr>
                <w:sz w:val="18"/>
              </w:rPr>
              <w:t>2006</w:t>
            </w:r>
          </w:p>
        </w:tc>
        <w:tc>
          <w:tcPr>
            <w:tcW w:w="3828" w:type="dxa"/>
            <w:shd w:val="clear" w:color="auto" w:fill="auto"/>
            <w:vAlign w:val="bottom"/>
          </w:tcPr>
          <w:p w:rsidR="009A4303" w:rsidRPr="00664D0C" w:rsidRDefault="009A4303" w:rsidP="00664D0C">
            <w:pPr>
              <w:suppressAutoHyphens w:val="0"/>
              <w:spacing w:before="40" w:after="40" w:line="220" w:lineRule="exact"/>
              <w:jc w:val="right"/>
              <w:rPr>
                <w:sz w:val="18"/>
              </w:rPr>
            </w:pPr>
            <w:r w:rsidRPr="00664D0C">
              <w:rPr>
                <w:sz w:val="18"/>
              </w:rPr>
              <w:t>29</w:t>
            </w:r>
          </w:p>
        </w:tc>
      </w:tr>
      <w:tr w:rsidR="009A4303" w:rsidRPr="00664D0C" w:rsidTr="00CE6972">
        <w:tc>
          <w:tcPr>
            <w:tcW w:w="3968" w:type="dxa"/>
            <w:shd w:val="clear" w:color="auto" w:fill="auto"/>
          </w:tcPr>
          <w:p w:rsidR="009A4303" w:rsidRPr="00664D0C" w:rsidRDefault="009A4303" w:rsidP="00664D0C">
            <w:pPr>
              <w:suppressAutoHyphens w:val="0"/>
              <w:spacing w:before="40" w:after="40" w:line="220" w:lineRule="exact"/>
              <w:rPr>
                <w:sz w:val="18"/>
              </w:rPr>
            </w:pPr>
            <w:r w:rsidRPr="00664D0C">
              <w:rPr>
                <w:sz w:val="18"/>
              </w:rPr>
              <w:t>2007</w:t>
            </w:r>
          </w:p>
        </w:tc>
        <w:tc>
          <w:tcPr>
            <w:tcW w:w="3828" w:type="dxa"/>
            <w:shd w:val="clear" w:color="auto" w:fill="auto"/>
            <w:vAlign w:val="bottom"/>
          </w:tcPr>
          <w:p w:rsidR="009A4303" w:rsidRPr="00664D0C" w:rsidRDefault="009A4303" w:rsidP="00664D0C">
            <w:pPr>
              <w:suppressAutoHyphens w:val="0"/>
              <w:spacing w:before="40" w:after="40" w:line="220" w:lineRule="exact"/>
              <w:jc w:val="right"/>
              <w:rPr>
                <w:sz w:val="18"/>
              </w:rPr>
            </w:pPr>
            <w:r w:rsidRPr="00664D0C">
              <w:rPr>
                <w:sz w:val="18"/>
              </w:rPr>
              <w:t>43</w:t>
            </w:r>
          </w:p>
        </w:tc>
      </w:tr>
      <w:tr w:rsidR="009A4303" w:rsidRPr="00664D0C" w:rsidTr="00CE6972">
        <w:tc>
          <w:tcPr>
            <w:tcW w:w="3968" w:type="dxa"/>
            <w:shd w:val="clear" w:color="auto" w:fill="auto"/>
          </w:tcPr>
          <w:p w:rsidR="009A4303" w:rsidRPr="00664D0C" w:rsidRDefault="009A4303" w:rsidP="00664D0C">
            <w:pPr>
              <w:suppressAutoHyphens w:val="0"/>
              <w:spacing w:before="40" w:after="40" w:line="220" w:lineRule="exact"/>
              <w:rPr>
                <w:sz w:val="18"/>
              </w:rPr>
            </w:pPr>
            <w:r w:rsidRPr="00664D0C">
              <w:rPr>
                <w:sz w:val="18"/>
              </w:rPr>
              <w:t>2008</w:t>
            </w:r>
          </w:p>
        </w:tc>
        <w:tc>
          <w:tcPr>
            <w:tcW w:w="3828" w:type="dxa"/>
            <w:shd w:val="clear" w:color="auto" w:fill="auto"/>
            <w:vAlign w:val="bottom"/>
          </w:tcPr>
          <w:p w:rsidR="009A4303" w:rsidRPr="00664D0C" w:rsidRDefault="009A4303" w:rsidP="00664D0C">
            <w:pPr>
              <w:suppressAutoHyphens w:val="0"/>
              <w:spacing w:before="40" w:after="40" w:line="220" w:lineRule="exact"/>
              <w:jc w:val="right"/>
              <w:rPr>
                <w:sz w:val="18"/>
              </w:rPr>
            </w:pPr>
            <w:r w:rsidRPr="00664D0C">
              <w:rPr>
                <w:sz w:val="18"/>
              </w:rPr>
              <w:t>32</w:t>
            </w:r>
          </w:p>
        </w:tc>
      </w:tr>
      <w:tr w:rsidR="009A4303" w:rsidRPr="00664D0C" w:rsidTr="00CE6972">
        <w:tc>
          <w:tcPr>
            <w:tcW w:w="3968" w:type="dxa"/>
            <w:tcBorders>
              <w:bottom w:val="single" w:sz="4" w:space="0" w:color="auto"/>
            </w:tcBorders>
            <w:shd w:val="clear" w:color="auto" w:fill="auto"/>
          </w:tcPr>
          <w:p w:rsidR="009A4303" w:rsidRPr="00664D0C" w:rsidRDefault="009A4303" w:rsidP="00664D0C">
            <w:pPr>
              <w:suppressAutoHyphens w:val="0"/>
              <w:spacing w:before="40" w:after="40" w:line="220" w:lineRule="exact"/>
              <w:rPr>
                <w:sz w:val="18"/>
              </w:rPr>
            </w:pPr>
            <w:r w:rsidRPr="00664D0C">
              <w:rPr>
                <w:sz w:val="18"/>
              </w:rPr>
              <w:t>2009 (until 25 September)</w:t>
            </w:r>
          </w:p>
        </w:tc>
        <w:tc>
          <w:tcPr>
            <w:tcW w:w="3828" w:type="dxa"/>
            <w:tcBorders>
              <w:bottom w:val="single" w:sz="4" w:space="0" w:color="auto"/>
            </w:tcBorders>
            <w:shd w:val="clear" w:color="auto" w:fill="auto"/>
            <w:vAlign w:val="bottom"/>
          </w:tcPr>
          <w:p w:rsidR="009A4303" w:rsidRPr="00664D0C" w:rsidRDefault="009A4303" w:rsidP="00664D0C">
            <w:pPr>
              <w:suppressAutoHyphens w:val="0"/>
              <w:spacing w:before="40" w:after="40" w:line="220" w:lineRule="exact"/>
              <w:jc w:val="right"/>
              <w:rPr>
                <w:sz w:val="18"/>
              </w:rPr>
            </w:pPr>
            <w:r w:rsidRPr="00664D0C">
              <w:rPr>
                <w:sz w:val="18"/>
              </w:rPr>
              <w:t>41</w:t>
            </w:r>
          </w:p>
        </w:tc>
      </w:tr>
      <w:tr w:rsidR="00664D0C" w:rsidRPr="00325DC1" w:rsidTr="00CE6972">
        <w:tc>
          <w:tcPr>
            <w:tcW w:w="3968" w:type="dxa"/>
            <w:tcBorders>
              <w:top w:val="single" w:sz="4" w:space="0" w:color="auto"/>
              <w:bottom w:val="single" w:sz="12" w:space="0" w:color="auto"/>
            </w:tcBorders>
            <w:shd w:val="clear" w:color="auto" w:fill="auto"/>
            <w:vAlign w:val="center"/>
          </w:tcPr>
          <w:p w:rsidR="00664D0C" w:rsidRPr="00325DC1" w:rsidRDefault="00325DC1" w:rsidP="003D626D">
            <w:pPr>
              <w:suppressAutoHyphens w:val="0"/>
              <w:spacing w:before="80" w:after="80" w:line="220" w:lineRule="exact"/>
              <w:ind w:left="284"/>
              <w:rPr>
                <w:b/>
                <w:sz w:val="18"/>
              </w:rPr>
            </w:pPr>
            <w:r w:rsidRPr="00325DC1">
              <w:rPr>
                <w:b/>
                <w:sz w:val="18"/>
              </w:rPr>
              <w:t>Total</w:t>
            </w:r>
          </w:p>
        </w:tc>
        <w:tc>
          <w:tcPr>
            <w:tcW w:w="3828" w:type="dxa"/>
            <w:tcBorders>
              <w:top w:val="single" w:sz="4" w:space="0" w:color="auto"/>
              <w:bottom w:val="single" w:sz="12" w:space="0" w:color="auto"/>
            </w:tcBorders>
            <w:shd w:val="clear" w:color="auto" w:fill="auto"/>
            <w:vAlign w:val="center"/>
          </w:tcPr>
          <w:p w:rsidR="00664D0C" w:rsidRPr="00325DC1" w:rsidRDefault="00325DC1" w:rsidP="003D626D">
            <w:pPr>
              <w:suppressAutoHyphens w:val="0"/>
              <w:spacing w:before="80" w:after="80" w:line="220" w:lineRule="exact"/>
              <w:ind w:left="284"/>
              <w:jc w:val="right"/>
              <w:rPr>
                <w:b/>
                <w:sz w:val="18"/>
              </w:rPr>
            </w:pPr>
            <w:r w:rsidRPr="00325DC1">
              <w:rPr>
                <w:b/>
                <w:sz w:val="18"/>
              </w:rPr>
              <w:t>228</w:t>
            </w:r>
          </w:p>
        </w:tc>
      </w:tr>
    </w:tbl>
    <w:p w:rsidR="00325DC1" w:rsidRDefault="009A4303" w:rsidP="00172EE9">
      <w:pPr>
        <w:pStyle w:val="SingleTxtG"/>
        <w:spacing w:before="240"/>
      </w:pPr>
      <w:r w:rsidRPr="009A4303">
        <w:t>9.</w:t>
      </w:r>
      <w:r w:rsidRPr="009A4303">
        <w:tab/>
        <w:t xml:space="preserve">The term </w:t>
      </w:r>
      <w:r w:rsidR="00E37367">
        <w:t>“</w:t>
      </w:r>
      <w:r w:rsidRPr="009A4303">
        <w:t>ill-treatment</w:t>
      </w:r>
      <w:r w:rsidR="00E37367">
        <w:t>”</w:t>
      </w:r>
      <w:r w:rsidR="00172EE9">
        <w:t xml:space="preserve"> does not refer o</w:t>
      </w:r>
      <w:r w:rsidRPr="009A4303">
        <w:t>nly to offences involving violence, but includes the following:</w:t>
      </w:r>
    </w:p>
    <w:p w:rsidR="00325DC1" w:rsidRDefault="009A4303" w:rsidP="00172EE9">
      <w:pPr>
        <w:pStyle w:val="Bullet1G"/>
      </w:pPr>
      <w:r w:rsidRPr="009A4303">
        <w:t>Abuse of authority</w:t>
      </w:r>
      <w:r w:rsidR="00172EE9">
        <w:t>,</w:t>
      </w:r>
      <w:r w:rsidRPr="009A4303">
        <w:t xml:space="preserve"> accompanied by violence</w:t>
      </w:r>
    </w:p>
    <w:p w:rsidR="00325DC1" w:rsidRDefault="009A4303" w:rsidP="00172EE9">
      <w:pPr>
        <w:pStyle w:val="Bullet1G"/>
      </w:pPr>
      <w:r w:rsidRPr="009A4303">
        <w:t xml:space="preserve">Use of violence by public officials </w:t>
      </w:r>
      <w:r w:rsidR="00172EE9">
        <w:t xml:space="preserve">during </w:t>
      </w:r>
      <w:r w:rsidRPr="009A4303">
        <w:t>the performance of their duties</w:t>
      </w:r>
    </w:p>
    <w:p w:rsidR="00325DC1" w:rsidRDefault="009A4303" w:rsidP="00172EE9">
      <w:pPr>
        <w:pStyle w:val="Bullet1G"/>
      </w:pPr>
      <w:r w:rsidRPr="009A4303">
        <w:t xml:space="preserve">Use of violence against </w:t>
      </w:r>
      <w:r w:rsidR="00172EE9">
        <w:t>suspects to extract confessions</w:t>
      </w:r>
    </w:p>
    <w:p w:rsidR="00325DC1" w:rsidRDefault="00172EE9" w:rsidP="00172EE9">
      <w:pPr>
        <w:pStyle w:val="Bullet1G"/>
      </w:pPr>
      <w:r>
        <w:t>Arbitrary arrest and detention</w:t>
      </w:r>
    </w:p>
    <w:p w:rsidR="00325DC1" w:rsidRDefault="009A4303" w:rsidP="00172EE9">
      <w:pPr>
        <w:pStyle w:val="Bullet1G"/>
      </w:pPr>
      <w:r w:rsidRPr="009A4303">
        <w:t>Miscellaneous forms of abuse of authority and ill-treatment</w:t>
      </w:r>
    </w:p>
    <w:p w:rsidR="00172EE9" w:rsidRDefault="009A4303" w:rsidP="00325DC1">
      <w:pPr>
        <w:pStyle w:val="SingleTxtG"/>
        <w:spacing w:before="240"/>
      </w:pPr>
      <w:r w:rsidRPr="009A4303">
        <w:t>10.</w:t>
      </w:r>
      <w:r w:rsidRPr="009A4303">
        <w:tab/>
        <w:t xml:space="preserve">It should be noted that prosecutions and convictions </w:t>
      </w:r>
      <w:r w:rsidR="00172EE9">
        <w:t xml:space="preserve">in such cases </w:t>
      </w:r>
      <w:r w:rsidRPr="009A4303">
        <w:t xml:space="preserve">are without prejudice to any other disciplinary action which the authorities </w:t>
      </w:r>
      <w:r w:rsidR="00172EE9">
        <w:t xml:space="preserve">may </w:t>
      </w:r>
      <w:r w:rsidRPr="009A4303">
        <w:t>deem necessary to take against their officers</w:t>
      </w:r>
      <w:r w:rsidR="00172EE9">
        <w:t xml:space="preserve"> </w:t>
      </w:r>
      <w:r w:rsidRPr="009A4303">
        <w:t xml:space="preserve">in accordance with the principle </w:t>
      </w:r>
      <w:r w:rsidR="00172EE9">
        <w:t xml:space="preserve">that a criminal and </w:t>
      </w:r>
      <w:r w:rsidRPr="009A4303">
        <w:t>disciplinary offence</w:t>
      </w:r>
      <w:r w:rsidR="00172EE9">
        <w:t xml:space="preserve"> attracts dual penalties.</w:t>
      </w:r>
      <w:r w:rsidRPr="009A4303">
        <w:t xml:space="preserve"> The perpetrators of such offences generally </w:t>
      </w:r>
      <w:r w:rsidR="00172EE9">
        <w:t xml:space="preserve">face </w:t>
      </w:r>
      <w:r w:rsidRPr="009A4303">
        <w:t>disciplinary proceedings for dismissal.</w:t>
      </w:r>
    </w:p>
    <w:p w:rsidR="00147104" w:rsidRDefault="009A4303" w:rsidP="00325DC1">
      <w:pPr>
        <w:pStyle w:val="SingleTxtG"/>
        <w:spacing w:before="240"/>
      </w:pPr>
      <w:r w:rsidRPr="009A4303">
        <w:t>11.</w:t>
      </w:r>
      <w:r w:rsidRPr="009A4303">
        <w:tab/>
        <w:t>The table below shows the number of officers removed from their</w:t>
      </w:r>
      <w:r w:rsidR="00DC528A">
        <w:t xml:space="preserve"> posts</w:t>
      </w:r>
      <w:r w:rsidRPr="009A4303">
        <w:t xml:space="preserve"> </w:t>
      </w:r>
      <w:r w:rsidR="00172EE9">
        <w:t xml:space="preserve">between 1999 and September 2009, in accordance with </w:t>
      </w:r>
      <w:r w:rsidRPr="009A4303">
        <w:t xml:space="preserve">article 53 of the statute of the internal security forces, </w:t>
      </w:r>
      <w:r w:rsidR="00172EE9">
        <w:t>after being p</w:t>
      </w:r>
      <w:r w:rsidRPr="009A4303">
        <w:t>rosecut</w:t>
      </w:r>
      <w:r w:rsidR="00172EE9">
        <w:t>ed</w:t>
      </w:r>
      <w:r w:rsidRPr="009A4303">
        <w:t xml:space="preserve"> for ill-treatment</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3752"/>
        <w:gridCol w:w="3619"/>
      </w:tblGrid>
      <w:tr w:rsidR="00147104" w:rsidRPr="00F8521A" w:rsidTr="00147104">
        <w:tc>
          <w:tcPr>
            <w:tcW w:w="3752" w:type="dxa"/>
            <w:tcBorders>
              <w:top w:val="single" w:sz="4" w:space="0" w:color="auto"/>
              <w:bottom w:val="single" w:sz="12" w:space="0" w:color="auto"/>
            </w:tcBorders>
            <w:shd w:val="clear" w:color="auto" w:fill="auto"/>
            <w:vAlign w:val="bottom"/>
          </w:tcPr>
          <w:p w:rsidR="00147104" w:rsidRPr="00F8521A" w:rsidRDefault="00147104" w:rsidP="002549FE">
            <w:pPr>
              <w:spacing w:before="80" w:after="80" w:line="200" w:lineRule="exact"/>
              <w:rPr>
                <w:i/>
                <w:sz w:val="16"/>
              </w:rPr>
            </w:pPr>
            <w:r w:rsidRPr="00F8521A">
              <w:rPr>
                <w:i/>
                <w:sz w:val="16"/>
              </w:rPr>
              <w:t>Year</w:t>
            </w:r>
          </w:p>
        </w:tc>
        <w:tc>
          <w:tcPr>
            <w:tcW w:w="3619" w:type="dxa"/>
            <w:tcBorders>
              <w:top w:val="single" w:sz="4" w:space="0" w:color="auto"/>
              <w:bottom w:val="single" w:sz="12" w:space="0" w:color="auto"/>
            </w:tcBorders>
            <w:shd w:val="clear" w:color="auto" w:fill="auto"/>
            <w:vAlign w:val="bottom"/>
          </w:tcPr>
          <w:p w:rsidR="00147104" w:rsidRPr="00F8521A" w:rsidRDefault="00147104" w:rsidP="002549FE">
            <w:pPr>
              <w:spacing w:before="80" w:after="80" w:line="200" w:lineRule="exact"/>
              <w:jc w:val="right"/>
              <w:rPr>
                <w:i/>
                <w:sz w:val="16"/>
              </w:rPr>
            </w:pPr>
            <w:r w:rsidRPr="00F8521A">
              <w:rPr>
                <w:i/>
                <w:sz w:val="16"/>
              </w:rPr>
              <w:t>Number of officers</w:t>
            </w:r>
          </w:p>
        </w:tc>
      </w:tr>
      <w:tr w:rsidR="00147104" w:rsidRPr="00664D0C" w:rsidTr="00147104">
        <w:tc>
          <w:tcPr>
            <w:tcW w:w="3752" w:type="dxa"/>
            <w:tcBorders>
              <w:top w:val="single" w:sz="12" w:space="0" w:color="auto"/>
            </w:tcBorders>
            <w:shd w:val="clear" w:color="auto" w:fill="auto"/>
          </w:tcPr>
          <w:p w:rsidR="00147104" w:rsidRPr="00664D0C" w:rsidRDefault="00147104" w:rsidP="002549FE">
            <w:pPr>
              <w:suppressAutoHyphens w:val="0"/>
              <w:spacing w:before="40" w:after="40" w:line="220" w:lineRule="exact"/>
              <w:rPr>
                <w:sz w:val="18"/>
              </w:rPr>
            </w:pPr>
            <w:r w:rsidRPr="00664D0C">
              <w:rPr>
                <w:sz w:val="18"/>
              </w:rPr>
              <w:t>1999</w:t>
            </w:r>
          </w:p>
        </w:tc>
        <w:tc>
          <w:tcPr>
            <w:tcW w:w="3619" w:type="dxa"/>
            <w:tcBorders>
              <w:top w:val="single" w:sz="12" w:space="0" w:color="auto"/>
            </w:tcBorders>
            <w:shd w:val="clear" w:color="auto" w:fill="auto"/>
            <w:vAlign w:val="bottom"/>
          </w:tcPr>
          <w:p w:rsidR="00147104" w:rsidRPr="00147104" w:rsidRDefault="00147104" w:rsidP="002549FE">
            <w:pPr>
              <w:suppressAutoHyphens w:val="0"/>
              <w:spacing w:before="40" w:after="40" w:line="220" w:lineRule="exact"/>
              <w:jc w:val="right"/>
              <w:rPr>
                <w:sz w:val="18"/>
              </w:rPr>
            </w:pPr>
            <w:r w:rsidRPr="00147104">
              <w:rPr>
                <w:sz w:val="18"/>
              </w:rPr>
              <w:t>1</w:t>
            </w:r>
          </w:p>
        </w:tc>
      </w:tr>
      <w:tr w:rsidR="00147104" w:rsidRPr="00664D0C" w:rsidTr="00147104">
        <w:tc>
          <w:tcPr>
            <w:tcW w:w="3752" w:type="dxa"/>
            <w:shd w:val="clear" w:color="auto" w:fill="auto"/>
          </w:tcPr>
          <w:p w:rsidR="00147104" w:rsidRPr="00664D0C" w:rsidRDefault="00147104" w:rsidP="002549FE">
            <w:pPr>
              <w:suppressAutoHyphens w:val="0"/>
              <w:spacing w:before="40" w:after="40" w:line="220" w:lineRule="exact"/>
              <w:rPr>
                <w:sz w:val="18"/>
              </w:rPr>
            </w:pPr>
            <w:r w:rsidRPr="00664D0C">
              <w:rPr>
                <w:sz w:val="18"/>
              </w:rPr>
              <w:t>2000</w:t>
            </w:r>
          </w:p>
        </w:tc>
        <w:tc>
          <w:tcPr>
            <w:tcW w:w="3619" w:type="dxa"/>
            <w:shd w:val="clear" w:color="auto" w:fill="auto"/>
            <w:vAlign w:val="bottom"/>
          </w:tcPr>
          <w:p w:rsidR="00147104" w:rsidRPr="00147104" w:rsidRDefault="00147104" w:rsidP="002549FE">
            <w:pPr>
              <w:suppressAutoHyphens w:val="0"/>
              <w:spacing w:before="40" w:after="40" w:line="220" w:lineRule="exact"/>
              <w:jc w:val="right"/>
              <w:rPr>
                <w:sz w:val="18"/>
              </w:rPr>
            </w:pPr>
            <w:r w:rsidRPr="00147104">
              <w:rPr>
                <w:sz w:val="18"/>
              </w:rPr>
              <w:t>1</w:t>
            </w:r>
          </w:p>
        </w:tc>
      </w:tr>
      <w:tr w:rsidR="00147104" w:rsidRPr="00664D0C" w:rsidTr="00147104">
        <w:tc>
          <w:tcPr>
            <w:tcW w:w="3752" w:type="dxa"/>
            <w:shd w:val="clear" w:color="auto" w:fill="auto"/>
          </w:tcPr>
          <w:p w:rsidR="00147104" w:rsidRPr="00664D0C" w:rsidRDefault="00147104" w:rsidP="002549FE">
            <w:pPr>
              <w:suppressAutoHyphens w:val="0"/>
              <w:spacing w:before="40" w:after="40" w:line="220" w:lineRule="exact"/>
              <w:rPr>
                <w:sz w:val="18"/>
              </w:rPr>
            </w:pPr>
            <w:r w:rsidRPr="00664D0C">
              <w:rPr>
                <w:sz w:val="18"/>
              </w:rPr>
              <w:t>2001</w:t>
            </w:r>
          </w:p>
        </w:tc>
        <w:tc>
          <w:tcPr>
            <w:tcW w:w="3619" w:type="dxa"/>
            <w:shd w:val="clear" w:color="auto" w:fill="auto"/>
            <w:vAlign w:val="bottom"/>
          </w:tcPr>
          <w:p w:rsidR="00147104" w:rsidRPr="00147104" w:rsidRDefault="00646AE6" w:rsidP="002549FE">
            <w:pPr>
              <w:suppressAutoHyphens w:val="0"/>
              <w:spacing w:before="40" w:after="40" w:line="220" w:lineRule="exact"/>
              <w:jc w:val="right"/>
              <w:rPr>
                <w:sz w:val="18"/>
              </w:rPr>
            </w:pPr>
            <w:r>
              <w:rPr>
                <w:sz w:val="18"/>
              </w:rPr>
              <w:t>-</w:t>
            </w:r>
          </w:p>
        </w:tc>
      </w:tr>
      <w:tr w:rsidR="00147104" w:rsidRPr="00664D0C" w:rsidTr="00147104">
        <w:tc>
          <w:tcPr>
            <w:tcW w:w="3752" w:type="dxa"/>
            <w:shd w:val="clear" w:color="auto" w:fill="auto"/>
          </w:tcPr>
          <w:p w:rsidR="00147104" w:rsidRPr="00664D0C" w:rsidRDefault="00147104" w:rsidP="002549FE">
            <w:pPr>
              <w:suppressAutoHyphens w:val="0"/>
              <w:spacing w:before="40" w:after="40" w:line="220" w:lineRule="exact"/>
              <w:rPr>
                <w:sz w:val="18"/>
              </w:rPr>
            </w:pPr>
            <w:r w:rsidRPr="00664D0C">
              <w:rPr>
                <w:sz w:val="18"/>
              </w:rPr>
              <w:t>2002</w:t>
            </w:r>
          </w:p>
        </w:tc>
        <w:tc>
          <w:tcPr>
            <w:tcW w:w="3619" w:type="dxa"/>
            <w:shd w:val="clear" w:color="auto" w:fill="auto"/>
            <w:vAlign w:val="bottom"/>
          </w:tcPr>
          <w:p w:rsidR="00147104" w:rsidRPr="00147104" w:rsidRDefault="00147104" w:rsidP="002549FE">
            <w:pPr>
              <w:suppressAutoHyphens w:val="0"/>
              <w:spacing w:before="40" w:after="40" w:line="220" w:lineRule="exact"/>
              <w:jc w:val="right"/>
              <w:rPr>
                <w:sz w:val="18"/>
              </w:rPr>
            </w:pPr>
            <w:r w:rsidRPr="00147104">
              <w:rPr>
                <w:sz w:val="18"/>
              </w:rPr>
              <w:t>7</w:t>
            </w:r>
          </w:p>
        </w:tc>
      </w:tr>
      <w:tr w:rsidR="00147104" w:rsidRPr="00664D0C" w:rsidTr="00147104">
        <w:tc>
          <w:tcPr>
            <w:tcW w:w="3752" w:type="dxa"/>
            <w:shd w:val="clear" w:color="auto" w:fill="auto"/>
          </w:tcPr>
          <w:p w:rsidR="00147104" w:rsidRPr="00664D0C" w:rsidRDefault="00147104" w:rsidP="002549FE">
            <w:pPr>
              <w:suppressAutoHyphens w:val="0"/>
              <w:spacing w:before="40" w:after="40" w:line="220" w:lineRule="exact"/>
              <w:rPr>
                <w:sz w:val="18"/>
              </w:rPr>
            </w:pPr>
            <w:r w:rsidRPr="00664D0C">
              <w:rPr>
                <w:sz w:val="18"/>
              </w:rPr>
              <w:t>2003</w:t>
            </w:r>
          </w:p>
        </w:tc>
        <w:tc>
          <w:tcPr>
            <w:tcW w:w="3619" w:type="dxa"/>
            <w:shd w:val="clear" w:color="auto" w:fill="auto"/>
            <w:vAlign w:val="bottom"/>
          </w:tcPr>
          <w:p w:rsidR="00147104" w:rsidRPr="00147104" w:rsidRDefault="00147104" w:rsidP="002549FE">
            <w:pPr>
              <w:suppressAutoHyphens w:val="0"/>
              <w:spacing w:before="40" w:after="40" w:line="220" w:lineRule="exact"/>
              <w:jc w:val="right"/>
              <w:rPr>
                <w:sz w:val="18"/>
              </w:rPr>
            </w:pPr>
            <w:r w:rsidRPr="00147104">
              <w:rPr>
                <w:sz w:val="18"/>
              </w:rPr>
              <w:t>2</w:t>
            </w:r>
          </w:p>
        </w:tc>
      </w:tr>
      <w:tr w:rsidR="00147104" w:rsidRPr="00664D0C" w:rsidTr="00147104">
        <w:tc>
          <w:tcPr>
            <w:tcW w:w="3752" w:type="dxa"/>
            <w:shd w:val="clear" w:color="auto" w:fill="auto"/>
          </w:tcPr>
          <w:p w:rsidR="00147104" w:rsidRPr="00664D0C" w:rsidRDefault="00147104" w:rsidP="002549FE">
            <w:pPr>
              <w:suppressAutoHyphens w:val="0"/>
              <w:spacing w:before="40" w:after="40" w:line="220" w:lineRule="exact"/>
              <w:rPr>
                <w:sz w:val="18"/>
              </w:rPr>
            </w:pPr>
            <w:r w:rsidRPr="00664D0C">
              <w:rPr>
                <w:sz w:val="18"/>
              </w:rPr>
              <w:t>2004</w:t>
            </w:r>
          </w:p>
        </w:tc>
        <w:tc>
          <w:tcPr>
            <w:tcW w:w="3619" w:type="dxa"/>
            <w:shd w:val="clear" w:color="auto" w:fill="auto"/>
            <w:vAlign w:val="bottom"/>
          </w:tcPr>
          <w:p w:rsidR="00147104" w:rsidRPr="00147104" w:rsidRDefault="00147104" w:rsidP="002549FE">
            <w:pPr>
              <w:suppressAutoHyphens w:val="0"/>
              <w:spacing w:before="40" w:after="40" w:line="220" w:lineRule="exact"/>
              <w:jc w:val="right"/>
              <w:rPr>
                <w:sz w:val="18"/>
              </w:rPr>
            </w:pPr>
            <w:r w:rsidRPr="00147104">
              <w:rPr>
                <w:sz w:val="18"/>
              </w:rPr>
              <w:t>4</w:t>
            </w:r>
          </w:p>
        </w:tc>
      </w:tr>
      <w:tr w:rsidR="00147104" w:rsidRPr="00664D0C" w:rsidTr="00147104">
        <w:tc>
          <w:tcPr>
            <w:tcW w:w="3752" w:type="dxa"/>
            <w:shd w:val="clear" w:color="auto" w:fill="auto"/>
          </w:tcPr>
          <w:p w:rsidR="00147104" w:rsidRPr="00664D0C" w:rsidRDefault="00147104" w:rsidP="002549FE">
            <w:pPr>
              <w:suppressAutoHyphens w:val="0"/>
              <w:spacing w:before="40" w:after="40" w:line="220" w:lineRule="exact"/>
              <w:rPr>
                <w:sz w:val="18"/>
              </w:rPr>
            </w:pPr>
            <w:r w:rsidRPr="00664D0C">
              <w:rPr>
                <w:sz w:val="18"/>
              </w:rPr>
              <w:t>2005</w:t>
            </w:r>
          </w:p>
        </w:tc>
        <w:tc>
          <w:tcPr>
            <w:tcW w:w="3619" w:type="dxa"/>
            <w:shd w:val="clear" w:color="auto" w:fill="auto"/>
            <w:vAlign w:val="bottom"/>
          </w:tcPr>
          <w:p w:rsidR="00147104" w:rsidRPr="00147104" w:rsidRDefault="00147104" w:rsidP="002549FE">
            <w:pPr>
              <w:suppressAutoHyphens w:val="0"/>
              <w:spacing w:before="40" w:after="40" w:line="220" w:lineRule="exact"/>
              <w:jc w:val="right"/>
              <w:rPr>
                <w:sz w:val="18"/>
              </w:rPr>
            </w:pPr>
            <w:r w:rsidRPr="00147104">
              <w:rPr>
                <w:sz w:val="18"/>
              </w:rPr>
              <w:t>2</w:t>
            </w:r>
          </w:p>
        </w:tc>
      </w:tr>
      <w:tr w:rsidR="00147104" w:rsidRPr="00664D0C" w:rsidTr="00147104">
        <w:tc>
          <w:tcPr>
            <w:tcW w:w="3752" w:type="dxa"/>
            <w:shd w:val="clear" w:color="auto" w:fill="auto"/>
          </w:tcPr>
          <w:p w:rsidR="00147104" w:rsidRPr="00664D0C" w:rsidRDefault="00147104" w:rsidP="002549FE">
            <w:pPr>
              <w:suppressAutoHyphens w:val="0"/>
              <w:spacing w:before="40" w:after="40" w:line="220" w:lineRule="exact"/>
              <w:rPr>
                <w:sz w:val="18"/>
              </w:rPr>
            </w:pPr>
            <w:r w:rsidRPr="00664D0C">
              <w:rPr>
                <w:sz w:val="18"/>
              </w:rPr>
              <w:t>2006</w:t>
            </w:r>
          </w:p>
        </w:tc>
        <w:tc>
          <w:tcPr>
            <w:tcW w:w="3619" w:type="dxa"/>
            <w:shd w:val="clear" w:color="auto" w:fill="auto"/>
            <w:vAlign w:val="bottom"/>
          </w:tcPr>
          <w:p w:rsidR="00147104" w:rsidRPr="00147104" w:rsidRDefault="00646AE6" w:rsidP="002549FE">
            <w:pPr>
              <w:suppressAutoHyphens w:val="0"/>
              <w:spacing w:before="40" w:after="40" w:line="220" w:lineRule="exact"/>
              <w:jc w:val="right"/>
              <w:rPr>
                <w:sz w:val="18"/>
              </w:rPr>
            </w:pPr>
            <w:r>
              <w:rPr>
                <w:sz w:val="18"/>
              </w:rPr>
              <w:t>-</w:t>
            </w:r>
          </w:p>
        </w:tc>
      </w:tr>
      <w:tr w:rsidR="00147104" w:rsidRPr="00664D0C" w:rsidTr="00147104">
        <w:tc>
          <w:tcPr>
            <w:tcW w:w="3752" w:type="dxa"/>
            <w:shd w:val="clear" w:color="auto" w:fill="auto"/>
          </w:tcPr>
          <w:p w:rsidR="00147104" w:rsidRPr="00664D0C" w:rsidRDefault="00147104" w:rsidP="002549FE">
            <w:pPr>
              <w:suppressAutoHyphens w:val="0"/>
              <w:spacing w:before="40" w:after="40" w:line="220" w:lineRule="exact"/>
              <w:rPr>
                <w:sz w:val="18"/>
              </w:rPr>
            </w:pPr>
            <w:r w:rsidRPr="00664D0C">
              <w:rPr>
                <w:sz w:val="18"/>
              </w:rPr>
              <w:t>2007</w:t>
            </w:r>
          </w:p>
        </w:tc>
        <w:tc>
          <w:tcPr>
            <w:tcW w:w="3619" w:type="dxa"/>
            <w:shd w:val="clear" w:color="auto" w:fill="auto"/>
            <w:vAlign w:val="bottom"/>
          </w:tcPr>
          <w:p w:rsidR="00147104" w:rsidRPr="00147104" w:rsidRDefault="00646AE6" w:rsidP="002549FE">
            <w:pPr>
              <w:suppressAutoHyphens w:val="0"/>
              <w:spacing w:before="40" w:after="40" w:line="220" w:lineRule="exact"/>
              <w:jc w:val="right"/>
              <w:rPr>
                <w:sz w:val="18"/>
              </w:rPr>
            </w:pPr>
            <w:r>
              <w:rPr>
                <w:sz w:val="18"/>
              </w:rPr>
              <w:t>-</w:t>
            </w:r>
          </w:p>
        </w:tc>
      </w:tr>
      <w:tr w:rsidR="00147104" w:rsidRPr="00664D0C" w:rsidTr="00147104">
        <w:tc>
          <w:tcPr>
            <w:tcW w:w="3752" w:type="dxa"/>
            <w:shd w:val="clear" w:color="auto" w:fill="auto"/>
          </w:tcPr>
          <w:p w:rsidR="00147104" w:rsidRPr="00664D0C" w:rsidRDefault="00147104" w:rsidP="002549FE">
            <w:pPr>
              <w:suppressAutoHyphens w:val="0"/>
              <w:spacing w:before="40" w:after="40" w:line="220" w:lineRule="exact"/>
              <w:rPr>
                <w:sz w:val="18"/>
              </w:rPr>
            </w:pPr>
            <w:r w:rsidRPr="00664D0C">
              <w:rPr>
                <w:sz w:val="18"/>
              </w:rPr>
              <w:t>2008</w:t>
            </w:r>
          </w:p>
        </w:tc>
        <w:tc>
          <w:tcPr>
            <w:tcW w:w="3619" w:type="dxa"/>
            <w:shd w:val="clear" w:color="auto" w:fill="auto"/>
            <w:vAlign w:val="bottom"/>
          </w:tcPr>
          <w:p w:rsidR="00147104" w:rsidRPr="00147104" w:rsidRDefault="00147104" w:rsidP="002549FE">
            <w:pPr>
              <w:suppressAutoHyphens w:val="0"/>
              <w:spacing w:before="40" w:after="40" w:line="220" w:lineRule="exact"/>
              <w:jc w:val="right"/>
              <w:rPr>
                <w:sz w:val="18"/>
              </w:rPr>
            </w:pPr>
            <w:r w:rsidRPr="00147104">
              <w:rPr>
                <w:sz w:val="18"/>
              </w:rPr>
              <w:t>1</w:t>
            </w:r>
          </w:p>
        </w:tc>
      </w:tr>
      <w:tr w:rsidR="00147104" w:rsidRPr="00664D0C" w:rsidTr="00147104">
        <w:tc>
          <w:tcPr>
            <w:tcW w:w="3752" w:type="dxa"/>
            <w:tcBorders>
              <w:bottom w:val="single" w:sz="4" w:space="0" w:color="auto"/>
            </w:tcBorders>
            <w:shd w:val="clear" w:color="auto" w:fill="auto"/>
          </w:tcPr>
          <w:p w:rsidR="00147104" w:rsidRPr="00664D0C" w:rsidRDefault="00147104" w:rsidP="002549FE">
            <w:pPr>
              <w:suppressAutoHyphens w:val="0"/>
              <w:spacing w:before="40" w:after="40" w:line="220" w:lineRule="exact"/>
              <w:rPr>
                <w:sz w:val="18"/>
              </w:rPr>
            </w:pPr>
            <w:r w:rsidRPr="00664D0C">
              <w:rPr>
                <w:sz w:val="18"/>
              </w:rPr>
              <w:t>2009 (until 25 September)</w:t>
            </w:r>
          </w:p>
        </w:tc>
        <w:tc>
          <w:tcPr>
            <w:tcW w:w="3619" w:type="dxa"/>
            <w:tcBorders>
              <w:bottom w:val="single" w:sz="4" w:space="0" w:color="auto"/>
            </w:tcBorders>
            <w:shd w:val="clear" w:color="auto" w:fill="auto"/>
            <w:vAlign w:val="bottom"/>
          </w:tcPr>
          <w:p w:rsidR="00147104" w:rsidRPr="00147104" w:rsidRDefault="00646AE6" w:rsidP="002549FE">
            <w:pPr>
              <w:suppressAutoHyphens w:val="0"/>
              <w:spacing w:before="40" w:after="40" w:line="220" w:lineRule="exact"/>
              <w:jc w:val="right"/>
              <w:rPr>
                <w:sz w:val="18"/>
              </w:rPr>
            </w:pPr>
            <w:r>
              <w:rPr>
                <w:sz w:val="18"/>
              </w:rPr>
              <w:t>-</w:t>
            </w:r>
          </w:p>
        </w:tc>
      </w:tr>
      <w:tr w:rsidR="00147104" w:rsidRPr="00325DC1" w:rsidTr="002549FE">
        <w:tc>
          <w:tcPr>
            <w:tcW w:w="3752" w:type="dxa"/>
            <w:tcBorders>
              <w:top w:val="single" w:sz="4" w:space="0" w:color="auto"/>
              <w:bottom w:val="single" w:sz="12" w:space="0" w:color="auto"/>
            </w:tcBorders>
            <w:shd w:val="clear" w:color="auto" w:fill="auto"/>
            <w:vAlign w:val="center"/>
          </w:tcPr>
          <w:p w:rsidR="00147104" w:rsidRPr="00325DC1" w:rsidRDefault="00147104" w:rsidP="003D626D">
            <w:pPr>
              <w:suppressAutoHyphens w:val="0"/>
              <w:spacing w:before="80" w:after="80" w:line="220" w:lineRule="exact"/>
              <w:ind w:left="284"/>
              <w:rPr>
                <w:b/>
                <w:sz w:val="18"/>
              </w:rPr>
            </w:pPr>
            <w:r w:rsidRPr="00325DC1">
              <w:rPr>
                <w:b/>
                <w:sz w:val="18"/>
              </w:rPr>
              <w:t>Total</w:t>
            </w:r>
          </w:p>
        </w:tc>
        <w:tc>
          <w:tcPr>
            <w:tcW w:w="3619" w:type="dxa"/>
            <w:tcBorders>
              <w:top w:val="single" w:sz="4" w:space="0" w:color="auto"/>
              <w:bottom w:val="single" w:sz="12" w:space="0" w:color="auto"/>
            </w:tcBorders>
            <w:shd w:val="clear" w:color="auto" w:fill="auto"/>
            <w:vAlign w:val="bottom"/>
          </w:tcPr>
          <w:p w:rsidR="00147104" w:rsidRPr="00147104" w:rsidRDefault="00147104" w:rsidP="00147104">
            <w:pPr>
              <w:suppressAutoHyphens w:val="0"/>
              <w:spacing w:before="80" w:after="80" w:line="220" w:lineRule="exact"/>
              <w:ind w:left="284"/>
              <w:jc w:val="right"/>
              <w:rPr>
                <w:b/>
                <w:sz w:val="18"/>
              </w:rPr>
            </w:pPr>
            <w:r w:rsidRPr="00147104">
              <w:rPr>
                <w:b/>
                <w:sz w:val="18"/>
              </w:rPr>
              <w:t>18</w:t>
            </w:r>
          </w:p>
        </w:tc>
      </w:tr>
    </w:tbl>
    <w:p w:rsidR="005A4D1A" w:rsidRPr="005A4D1A" w:rsidRDefault="005A4D1A" w:rsidP="00147104">
      <w:pPr>
        <w:pStyle w:val="SingleTxtG"/>
        <w:spacing w:before="240"/>
      </w:pPr>
      <w:r>
        <w:rPr>
          <w:bCs/>
        </w:rPr>
        <w:tab/>
      </w:r>
      <w:r w:rsidRPr="005A4D1A">
        <w:rPr>
          <w:bCs/>
        </w:rPr>
        <w:t>(c)</w:t>
      </w:r>
      <w:r>
        <w:rPr>
          <w:bCs/>
        </w:rPr>
        <w:tab/>
      </w:r>
      <w:r w:rsidR="009A4303" w:rsidRPr="005A4D1A">
        <w:t>Ensuring that the victims receive re</w:t>
      </w:r>
      <w:r>
        <w:t>dress</w:t>
      </w:r>
      <w:r w:rsidR="009A4303" w:rsidRPr="005A4D1A">
        <w:t xml:space="preserve">, including </w:t>
      </w:r>
      <w:r>
        <w:t xml:space="preserve">appropriate </w:t>
      </w:r>
      <w:r w:rsidR="009A4303" w:rsidRPr="005A4D1A">
        <w:t>compensation</w:t>
      </w:r>
      <w:r>
        <w:t>.</w:t>
      </w:r>
    </w:p>
    <w:p w:rsidR="005A4D1A" w:rsidRDefault="009A4303" w:rsidP="00147104">
      <w:pPr>
        <w:pStyle w:val="SingleTxtG"/>
        <w:spacing w:before="240"/>
      </w:pPr>
      <w:r w:rsidRPr="009A4303">
        <w:t>12.</w:t>
      </w:r>
      <w:r w:rsidRPr="009A4303">
        <w:tab/>
        <w:t xml:space="preserve">Under Tunisian law, the victim of an offence has the right to bring an action for </w:t>
      </w:r>
      <w:r w:rsidR="005A4D1A">
        <w:t xml:space="preserve">appropriate </w:t>
      </w:r>
      <w:r w:rsidRPr="009A4303">
        <w:t xml:space="preserve">compensation against the perpetrator of that offence. The victim can either </w:t>
      </w:r>
      <w:r w:rsidR="005A4D1A">
        <w:t xml:space="preserve">sue for damages in </w:t>
      </w:r>
      <w:r w:rsidRPr="009A4303">
        <w:t xml:space="preserve">the criminal </w:t>
      </w:r>
      <w:r w:rsidR="005A4D1A">
        <w:t xml:space="preserve">proceedings </w:t>
      </w:r>
      <w:r w:rsidRPr="009A4303">
        <w:t>or file a separate civil suit</w:t>
      </w:r>
      <w:r w:rsidR="005A4D1A">
        <w:t>.</w:t>
      </w:r>
    </w:p>
    <w:p w:rsidR="005A4D1A" w:rsidRDefault="009A4303" w:rsidP="00147104">
      <w:pPr>
        <w:pStyle w:val="SingleTxtG"/>
        <w:spacing w:before="240"/>
      </w:pPr>
      <w:r w:rsidRPr="009A4303">
        <w:t>13.</w:t>
      </w:r>
      <w:r w:rsidRPr="009A4303">
        <w:tab/>
        <w:t xml:space="preserve">Examples of cases brought before the Tunisian </w:t>
      </w:r>
      <w:r w:rsidR="005A4D1A">
        <w:t>courts i</w:t>
      </w:r>
      <w:r w:rsidRPr="009A4303">
        <w:t xml:space="preserve">nclude </w:t>
      </w:r>
      <w:r w:rsidR="005A4D1A">
        <w:t>one</w:t>
      </w:r>
      <w:r w:rsidRPr="009A4303">
        <w:t xml:space="preserve"> heard by the Tunis Court of Appeal in 2002</w:t>
      </w:r>
      <w:r w:rsidR="005A4D1A">
        <w:t>,</w:t>
      </w:r>
      <w:r w:rsidRPr="009A4303">
        <w:t xml:space="preserve"> </w:t>
      </w:r>
      <w:r w:rsidR="005A4D1A">
        <w:t>where</w:t>
      </w:r>
      <w:r w:rsidRPr="009A4303">
        <w:t xml:space="preserve"> four prison officers had shackled the legs of a recalcitrant prisoner</w:t>
      </w:r>
      <w:r w:rsidR="005A4D1A">
        <w:t xml:space="preserve"> and </w:t>
      </w:r>
      <w:r w:rsidRPr="009A4303">
        <w:t>the victim</w:t>
      </w:r>
      <w:r w:rsidR="00E37367">
        <w:t>’</w:t>
      </w:r>
      <w:r w:rsidRPr="009A4303">
        <w:t xml:space="preserve">s feet had became gangrenous and had had to be amputated. The court sentenced each of the four officers to </w:t>
      </w:r>
      <w:r w:rsidR="005A4D1A">
        <w:t xml:space="preserve">4 </w:t>
      </w:r>
      <w:r w:rsidRPr="009A4303">
        <w:t xml:space="preserve">years in prison for abuse of authority, complicity in </w:t>
      </w:r>
      <w:r w:rsidR="005A4D1A">
        <w:t xml:space="preserve">committing </w:t>
      </w:r>
      <w:r w:rsidRPr="009A4303">
        <w:t xml:space="preserve">abuse of authority and </w:t>
      </w:r>
      <w:r w:rsidR="005A4D1A">
        <w:t xml:space="preserve">the offence of carrying out a </w:t>
      </w:r>
      <w:r w:rsidRPr="009A4303">
        <w:t xml:space="preserve">violent assault on an inmate while </w:t>
      </w:r>
      <w:r w:rsidR="005A4D1A">
        <w:t xml:space="preserve">on </w:t>
      </w:r>
      <w:r w:rsidRPr="009A4303">
        <w:t>dut</w:t>
      </w:r>
      <w:r w:rsidR="005A4D1A">
        <w:t>y</w:t>
      </w:r>
      <w:r w:rsidRPr="009A4303">
        <w:t xml:space="preserve"> leading to amputation of a limb. </w:t>
      </w:r>
    </w:p>
    <w:p w:rsidR="00166539" w:rsidRDefault="009A4303" w:rsidP="00147104">
      <w:pPr>
        <w:pStyle w:val="SingleTxtG"/>
        <w:spacing w:before="240"/>
      </w:pPr>
      <w:r w:rsidRPr="009A4303">
        <w:t>14.</w:t>
      </w:r>
      <w:r w:rsidRPr="009A4303">
        <w:tab/>
      </w:r>
      <w:r w:rsidR="005A4D1A">
        <w:t xml:space="preserve">In accordance with </w:t>
      </w:r>
      <w:r w:rsidRPr="009A4303">
        <w:t>article 49 of the statute of the internal security forces (Act No. 70 of 6 August 1982</w:t>
      </w:r>
      <w:r w:rsidR="005A4D1A">
        <w:t>)</w:t>
      </w:r>
      <w:r w:rsidRPr="009A4303">
        <w:t xml:space="preserve">, which stipulates that the authorities must </w:t>
      </w:r>
      <w:r w:rsidR="005A4D1A">
        <w:t xml:space="preserve">afford </w:t>
      </w:r>
      <w:r w:rsidRPr="009A4303">
        <w:t>victims the right to c</w:t>
      </w:r>
      <w:r w:rsidR="005A4D1A">
        <w:t xml:space="preserve">laim damages </w:t>
      </w:r>
      <w:r w:rsidRPr="009A4303">
        <w:t xml:space="preserve">if an officer of the internal security forces is prosecuted for </w:t>
      </w:r>
      <w:r w:rsidR="005A4D1A">
        <w:t>committing a wrongful act in or during the course of duty</w:t>
      </w:r>
      <w:r w:rsidR="00166539">
        <w:t xml:space="preserve">, the court ordered </w:t>
      </w:r>
      <w:r w:rsidRPr="009A4303">
        <w:t xml:space="preserve">the Ministry of Justice, </w:t>
      </w:r>
      <w:r w:rsidR="00166539">
        <w:t xml:space="preserve">as represented by a State attorney, </w:t>
      </w:r>
      <w:r w:rsidR="00DC528A">
        <w:t>to pay the plaintiff M.A.</w:t>
      </w:r>
      <w:r w:rsidRPr="009A4303">
        <w:t xml:space="preserve">M. the sum of </w:t>
      </w:r>
      <w:r w:rsidR="00166539">
        <w:t>D</w:t>
      </w:r>
      <w:r w:rsidRPr="009A4303">
        <w:t xml:space="preserve">200,000 in compensation for physical injury, </w:t>
      </w:r>
      <w:r w:rsidR="00166539">
        <w:t>D</w:t>
      </w:r>
      <w:r w:rsidRPr="009A4303">
        <w:t xml:space="preserve">100,000 for </w:t>
      </w:r>
      <w:r w:rsidR="00166539">
        <w:t xml:space="preserve">psychological </w:t>
      </w:r>
      <w:r w:rsidRPr="009A4303">
        <w:t xml:space="preserve">injury and </w:t>
      </w:r>
      <w:r w:rsidR="00166539">
        <w:t>D</w:t>
      </w:r>
      <w:r w:rsidRPr="009A4303">
        <w:t xml:space="preserve">6,000 </w:t>
      </w:r>
      <w:r w:rsidR="00166539">
        <w:t xml:space="preserve">in </w:t>
      </w:r>
      <w:r w:rsidRPr="009A4303">
        <w:t>costs for artificial limbs to be fitted.</w:t>
      </w:r>
    </w:p>
    <w:p w:rsidR="005A4D1A" w:rsidRPr="00166539" w:rsidRDefault="00166539" w:rsidP="00147104">
      <w:pPr>
        <w:pStyle w:val="SingleTxtG"/>
        <w:spacing w:before="240"/>
      </w:pPr>
      <w:r w:rsidRPr="00166539">
        <w:rPr>
          <w:bCs/>
        </w:rPr>
        <w:tab/>
        <w:t>(d)</w:t>
      </w:r>
      <w:r w:rsidRPr="00166539">
        <w:rPr>
          <w:bCs/>
        </w:rPr>
        <w:tab/>
      </w:r>
      <w:r w:rsidR="009A4303" w:rsidRPr="00166539">
        <w:rPr>
          <w:bCs/>
        </w:rPr>
        <w:t>Improving the training of law enforcement officers</w:t>
      </w:r>
      <w:r>
        <w:rPr>
          <w:bCs/>
        </w:rPr>
        <w:t>.</w:t>
      </w:r>
    </w:p>
    <w:p w:rsidR="005A4D1A" w:rsidRDefault="009A4303" w:rsidP="00147104">
      <w:pPr>
        <w:pStyle w:val="SingleTxtG"/>
        <w:spacing w:before="240"/>
      </w:pPr>
      <w:r w:rsidRPr="009A4303">
        <w:t>15.</w:t>
      </w:r>
      <w:r w:rsidRPr="009A4303">
        <w:tab/>
        <w:t xml:space="preserve">Tunisia attaches great importance to improving the training of law enforcement officers and places particular emphasis on </w:t>
      </w:r>
      <w:r w:rsidR="000B093D">
        <w:t xml:space="preserve">the </w:t>
      </w:r>
      <w:r w:rsidRPr="009A4303">
        <w:t>promot</w:t>
      </w:r>
      <w:r w:rsidR="000B093D">
        <w:t>ion</w:t>
      </w:r>
      <w:r w:rsidRPr="009A4303">
        <w:t xml:space="preserve"> </w:t>
      </w:r>
      <w:r w:rsidR="000B093D">
        <w:t xml:space="preserve">of </w:t>
      </w:r>
      <w:r w:rsidRPr="009A4303">
        <w:t>a human rights culture. Tunisia believes that education constitutes the princip</w:t>
      </w:r>
      <w:r w:rsidR="000B093D">
        <w:t>al</w:t>
      </w:r>
      <w:r w:rsidRPr="009A4303">
        <w:t xml:space="preserve"> means by which such a culture may be disseminated and </w:t>
      </w:r>
      <w:r w:rsidR="006173A6">
        <w:t xml:space="preserve">behaviour may be </w:t>
      </w:r>
      <w:r w:rsidRPr="009A4303">
        <w:t xml:space="preserve">changed </w:t>
      </w:r>
      <w:r w:rsidR="006173A6">
        <w:t>for the better</w:t>
      </w:r>
      <w:r w:rsidRPr="009A4303">
        <w:t xml:space="preserve">, since the effectiveness of laws and regulations (important as these may be) depends on the degree to which </w:t>
      </w:r>
      <w:r w:rsidR="006173A6">
        <w:t xml:space="preserve">a </w:t>
      </w:r>
      <w:r w:rsidRPr="009A4303">
        <w:t xml:space="preserve">human rights </w:t>
      </w:r>
      <w:r w:rsidR="006173A6">
        <w:t>culture has been developed and promoted</w:t>
      </w:r>
      <w:r w:rsidRPr="009A4303">
        <w:t xml:space="preserve">. </w:t>
      </w:r>
    </w:p>
    <w:p w:rsidR="00865672" w:rsidRDefault="009A4303" w:rsidP="00865672">
      <w:pPr>
        <w:pStyle w:val="SingleTxtG"/>
      </w:pPr>
      <w:r w:rsidRPr="009A4303">
        <w:t>16.</w:t>
      </w:r>
      <w:r w:rsidRPr="009A4303">
        <w:tab/>
        <w:t>The Convention against Torture and Other Cruel, Inhuman or Degrading Treatment and</w:t>
      </w:r>
      <w:r w:rsidR="003220EB">
        <w:t xml:space="preserve"> </w:t>
      </w:r>
      <w:r w:rsidR="00865672">
        <w:t>other international instruments pertaining to victims of abuse of power are taught in training schools for the security forces (the National Guard and the police), as well as in the Prisons and Rehabilitation Training School, the Higher Institute of the Judiciary and the Higher Institute for Lawyers.</w:t>
      </w:r>
    </w:p>
    <w:p w:rsidR="00865672" w:rsidRDefault="00865672" w:rsidP="00865672">
      <w:pPr>
        <w:pStyle w:val="SingleTxtG"/>
      </w:pPr>
      <w:r>
        <w:t>17.</w:t>
      </w:r>
      <w:r>
        <w:tab/>
        <w:t xml:space="preserve">As integration of information on the prohibition of torture into training courses for law enforcement officers is a key to disseminating a human rights culture, for some time now, efforts have been made to deepen and widen the integration process so as to reach all law enforcement officers, in particular officers from the Ministry of the Interior and Local Development and the Ministry of Justice and Human Rights. </w:t>
      </w:r>
    </w:p>
    <w:p w:rsidR="00865672" w:rsidRDefault="00865672" w:rsidP="00865672">
      <w:pPr>
        <w:pStyle w:val="SingleTxtG"/>
      </w:pPr>
      <w:r>
        <w:t>18.</w:t>
      </w:r>
      <w:r>
        <w:tab/>
        <w:t>In training schools for the security forces, in addition to awareness-raising and training courses, instruction on human rights and ethical conduct is integrated into basic, specialist and ongoing training for the different ranks, including cadres and police deputies. Similarly, the centre for training and retraining of staff from the Ministry of the Interior and Local Development plays an active role in disseminating a culture and awareness of human rights among staff of the Ministry. Trainees at the Higher Institute of Internal Security Forces are required, inter alia, to carry out research and studies on human rights. Subjects studied during the 2009 academic year included torture and degrading treatment as addressed in Tunisian law, legal instruments on countering terrorism, a new and more progressive approach to the penalty of imprisonment, and the offences of trafficking women and children.</w:t>
      </w:r>
    </w:p>
    <w:p w:rsidR="00865672" w:rsidRDefault="00865672" w:rsidP="00865672">
      <w:pPr>
        <w:pStyle w:val="SingleTxtG"/>
      </w:pPr>
      <w:r>
        <w:t>19.</w:t>
      </w:r>
      <w:r>
        <w:tab/>
        <w:t>In recent years, the Ministry of the Interior and Local Development has organized numerous meetings and seminars on the subject of human rights, including</w:t>
      </w:r>
      <w:r w:rsidR="00DE6004">
        <w:t>:</w:t>
      </w:r>
    </w:p>
    <w:p w:rsidR="00865672" w:rsidRDefault="00865672" w:rsidP="00865672">
      <w:pPr>
        <w:pStyle w:val="Bullet1G"/>
      </w:pPr>
      <w:r>
        <w:t>Scheduled talks and seminars as part of training courses and workshops run at training schools for the security forces at different levels</w:t>
      </w:r>
    </w:p>
    <w:p w:rsidR="00865672" w:rsidRDefault="00865672" w:rsidP="00865672">
      <w:pPr>
        <w:pStyle w:val="Bullet1G"/>
      </w:pPr>
      <w:r>
        <w:t>Discussions on the theme of protecting human rights and public freedoms held during periodic seminars for district and regiment chiefs as well as meetings of brigade and police station chiefs</w:t>
      </w:r>
    </w:p>
    <w:p w:rsidR="00865672" w:rsidRDefault="00865672" w:rsidP="00865672">
      <w:pPr>
        <w:pStyle w:val="Bullet1G"/>
      </w:pPr>
      <w:r>
        <w:t>Regional study days, held in conjunction with the judiciary, to raise awareness of procedures and new amendments to existing legislation</w:t>
      </w:r>
    </w:p>
    <w:p w:rsidR="00865672" w:rsidRDefault="00865672" w:rsidP="00865672">
      <w:pPr>
        <w:pStyle w:val="Bullet1G"/>
      </w:pPr>
      <w:r>
        <w:t>Weeks exclusively devoted to human rights and awareness-raising sessions of national mechanisms for human rights protection, organized at the National School for Auxiliary Police Officers in Bizerte</w:t>
      </w:r>
    </w:p>
    <w:p w:rsidR="00865672" w:rsidRDefault="00865672" w:rsidP="00865672">
      <w:pPr>
        <w:pStyle w:val="SingleTxtG"/>
      </w:pPr>
      <w:r>
        <w:t>20.</w:t>
      </w:r>
      <w:r>
        <w:tab/>
        <w:t>Moreover, a guide to United Nations and national documents on human rights has been published, along with updates. The guide has been distributed as a work and reference tool to all law enforcement officers. The main international instruments in the guide include</w:t>
      </w:r>
      <w:r w:rsidR="00DE6004">
        <w:t>:</w:t>
      </w:r>
    </w:p>
    <w:p w:rsidR="00865672" w:rsidRDefault="00865672" w:rsidP="00865672">
      <w:pPr>
        <w:pStyle w:val="Bullet1G"/>
      </w:pPr>
      <w:r>
        <w:t>The Convention against Torture and Other Cruel, Inhuman or Degrading Treatment</w:t>
      </w:r>
    </w:p>
    <w:p w:rsidR="00865672" w:rsidRDefault="00865672" w:rsidP="00865672">
      <w:pPr>
        <w:pStyle w:val="Bullet1G"/>
      </w:pPr>
      <w:r>
        <w:t>Extracts from the Code of Criminal Procedure relating to the cus</w:t>
      </w:r>
      <w:r w:rsidR="00DE6004">
        <w:t>tody and treatment of detainees</w:t>
      </w:r>
    </w:p>
    <w:p w:rsidR="00865672" w:rsidRDefault="00865672" w:rsidP="00865672">
      <w:pPr>
        <w:pStyle w:val="Bullet1G"/>
      </w:pPr>
      <w:r>
        <w:t>The Act on the organization of prisons</w:t>
      </w:r>
    </w:p>
    <w:p w:rsidR="00865672" w:rsidRDefault="00865672" w:rsidP="00865672">
      <w:pPr>
        <w:pStyle w:val="Bullet1G"/>
      </w:pPr>
      <w:r>
        <w:t>The Code of Conduct for Law Enforcement Officials</w:t>
      </w:r>
    </w:p>
    <w:p w:rsidR="00865672" w:rsidRDefault="00865672" w:rsidP="00865672">
      <w:pPr>
        <w:pStyle w:val="Bullet1G"/>
      </w:pPr>
      <w:r>
        <w:t>The Standard Minimum Rules for the Treatment of Prisoners</w:t>
      </w:r>
    </w:p>
    <w:p w:rsidR="00865672" w:rsidRDefault="00865672" w:rsidP="00865672">
      <w:pPr>
        <w:pStyle w:val="Bullet1G"/>
      </w:pPr>
      <w:r>
        <w:t>The principles of Medical Ethics relevant to the Role of Health Personnel, particularly Physicians, in the Protection of Prisoners and Detainees against Torture and Other Cruel, Inhuman or Degrading Treatment or Punishment</w:t>
      </w:r>
    </w:p>
    <w:p w:rsidR="00865672" w:rsidRDefault="00865672" w:rsidP="00865672">
      <w:pPr>
        <w:pStyle w:val="Bullet1G"/>
      </w:pPr>
      <w:r>
        <w:t>The declaration on the Elimination of All Forms of Intolerance and of Discrimination Based on Religion or Belief</w:t>
      </w:r>
    </w:p>
    <w:p w:rsidR="00865672" w:rsidRDefault="00865672" w:rsidP="00865672">
      <w:pPr>
        <w:pStyle w:val="Bullet1G"/>
      </w:pPr>
      <w:r>
        <w:t>The Basic Principles on the Use of Force and Firearms by Law Enforcement Officials</w:t>
      </w:r>
    </w:p>
    <w:p w:rsidR="00865672" w:rsidRDefault="00865672" w:rsidP="00865672">
      <w:pPr>
        <w:pStyle w:val="Bullet1G"/>
      </w:pPr>
      <w:r>
        <w:t>The Basic Principles on the Role of Lawyers</w:t>
      </w:r>
    </w:p>
    <w:p w:rsidR="00865672" w:rsidRDefault="00865672" w:rsidP="00865672">
      <w:pPr>
        <w:pStyle w:val="SingleTxtG"/>
      </w:pPr>
      <w:r>
        <w:t>21.</w:t>
      </w:r>
      <w:r>
        <w:tab/>
        <w:t>The Ministry of Justice and Human Rights makes considerable efforts not only to administer justice, but also to provide human rights training</w:t>
      </w:r>
      <w:r w:rsidRPr="00AD3F00">
        <w:t xml:space="preserve"> </w:t>
      </w:r>
      <w:r>
        <w:t>and promote a culture of human rights, notably through the National School for Prisons and Rehabilitation. To this end, the Prisons and Rehabilitation Department has made human rights a core subject for all trainees taking basic training programmes for recruits, and for officers taking practical training courses. Moreover, numerous refresher courses have been held to improve the skills of prison officers, deepen their knowledge of, and familiarize them with, the latest developments in human rights. These courses have focused on the following themes</w:t>
      </w:r>
      <w:r w:rsidR="00DE6004">
        <w:t>:</w:t>
      </w:r>
    </w:p>
    <w:p w:rsidR="00865672" w:rsidRDefault="00865672" w:rsidP="00865672">
      <w:pPr>
        <w:pStyle w:val="Bullet1G"/>
      </w:pPr>
      <w:r>
        <w:t>Rights and duties of prisoners and related regulations</w:t>
      </w:r>
    </w:p>
    <w:p w:rsidR="00865672" w:rsidRDefault="00865672" w:rsidP="00865672">
      <w:pPr>
        <w:pStyle w:val="Bullet1G"/>
      </w:pPr>
      <w:r>
        <w:t>Treatment of prisoners</w:t>
      </w:r>
    </w:p>
    <w:p w:rsidR="00865672" w:rsidRDefault="00865672" w:rsidP="00865672">
      <w:pPr>
        <w:pStyle w:val="Bullet1G"/>
      </w:pPr>
      <w:r>
        <w:t>Dialogue and communication skills</w:t>
      </w:r>
    </w:p>
    <w:p w:rsidR="00865672" w:rsidRDefault="00865672" w:rsidP="00865672">
      <w:pPr>
        <w:pStyle w:val="SingleTxtG"/>
      </w:pPr>
      <w:r>
        <w:t>22.</w:t>
      </w:r>
      <w:r>
        <w:tab/>
        <w:t>The Prisons and Rehabilitation Department has organized human rights awareness-raising days for public officials for its staff in all prisons and rehabilitation centres overseen by public administration cadres.</w:t>
      </w:r>
    </w:p>
    <w:p w:rsidR="00865672" w:rsidRDefault="00865672" w:rsidP="00865672">
      <w:pPr>
        <w:pStyle w:val="H1G"/>
      </w:pPr>
      <w:r>
        <w:tab/>
      </w:r>
      <w:r>
        <w:tab/>
        <w:t>Recommendation, paragraph 20</w:t>
      </w:r>
      <w:r>
        <w:br/>
        <w:t xml:space="preserve">Steps taken to ensure respect for and protect the peaceful activities of human rights organizations and defenders, and information on investigations of allegations of intimidation and harassment </w:t>
      </w:r>
    </w:p>
    <w:p w:rsidR="00865672" w:rsidRDefault="00865672" w:rsidP="00865672">
      <w:pPr>
        <w:pStyle w:val="H1G"/>
      </w:pPr>
      <w:r>
        <w:tab/>
      </w:r>
      <w:r>
        <w:tab/>
        <w:t>Reply</w:t>
      </w:r>
    </w:p>
    <w:p w:rsidR="00865672" w:rsidRDefault="00865672" w:rsidP="00865672">
      <w:pPr>
        <w:pStyle w:val="SingleTxtG"/>
      </w:pPr>
      <w:r>
        <w:t>23.</w:t>
      </w:r>
      <w:r>
        <w:tab/>
        <w:t>At the outset, it should be emphasized that the Tunisian authorities encourage and protect human rights activists, and have established an appropriate legal framework within which they may conduct their human rights activities, whether they relate to individuals or organizations.</w:t>
      </w:r>
    </w:p>
    <w:p w:rsidR="00865672" w:rsidRDefault="00865672" w:rsidP="00865672">
      <w:pPr>
        <w:pStyle w:val="SingleTxtG"/>
      </w:pPr>
      <w:r>
        <w:t>24.</w:t>
      </w:r>
      <w:r>
        <w:tab/>
        <w:t xml:space="preserve">It should also be stressed that there are no special provisions of law on this matter, since the Criminal Code and the Code of Criminal Procedure contain general provisions affording equal protection to all citizens. Any measure designed to grant special legal protection to a given category of persons would, moreover, be contrary to the principle of equality enshrined in the Constitution. </w:t>
      </w:r>
    </w:p>
    <w:p w:rsidR="00865672" w:rsidRDefault="00865672" w:rsidP="00865672">
      <w:pPr>
        <w:pStyle w:val="SingleTxtG"/>
      </w:pPr>
      <w:r>
        <w:t>25.</w:t>
      </w:r>
      <w:r>
        <w:tab/>
        <w:t xml:space="preserve">It should likewise be underlined that no special practical measures have been taken in this regard; to do so would violate the principle of equality, by which all individuals should be treated alike. </w:t>
      </w:r>
    </w:p>
    <w:p w:rsidR="00865672" w:rsidRDefault="00865672" w:rsidP="00865672">
      <w:pPr>
        <w:pStyle w:val="SingleTxtG"/>
      </w:pPr>
      <w:r>
        <w:t>26.</w:t>
      </w:r>
      <w:r>
        <w:tab/>
        <w:t>The Tunisian authorities guarantee the rights of human rights activists and defenders and wish to draw the attention of the Human Rig</w:t>
      </w:r>
      <w:r w:rsidR="00DE6004">
        <w:t>hts Committee to the following.</w:t>
      </w:r>
    </w:p>
    <w:p w:rsidR="00865672" w:rsidRDefault="00865672" w:rsidP="00865672">
      <w:pPr>
        <w:pStyle w:val="SingleTxtG"/>
      </w:pPr>
      <w:r>
        <w:t>First</w:t>
      </w:r>
    </w:p>
    <w:p w:rsidR="00865672" w:rsidRDefault="00865672" w:rsidP="00865672">
      <w:pPr>
        <w:pStyle w:val="SingleTxtG"/>
      </w:pPr>
      <w:r>
        <w:t>27.</w:t>
      </w:r>
      <w:r>
        <w:tab/>
        <w:t>Human rights activists and defenders must not use their position for personal gain or to engage in activities incompatible with the peaceful purposes and noble aims associated with human rights values and principles. If such a position is exploited, it loses its raison d</w:t>
      </w:r>
      <w:r w:rsidR="00E37367">
        <w:t>’</w:t>
      </w:r>
      <w:r>
        <w:t xml:space="preserve">être, and the activist or human rights defender will be in a worse moral position than a lawbreaker who does not take on or is not attributed </w:t>
      </w:r>
      <w:r w:rsidR="00DE6004">
        <w:t>such a role.</w:t>
      </w:r>
    </w:p>
    <w:p w:rsidR="00865672" w:rsidRDefault="00865672" w:rsidP="00865672">
      <w:pPr>
        <w:pStyle w:val="SingleTxtG"/>
      </w:pPr>
      <w:r>
        <w:t>28.</w:t>
      </w:r>
      <w:r>
        <w:tab/>
        <w:t>The politicization of human rights by certain human rights defenders does not at all serve the cause of such rights. The State makes every effort to assist human rights activists and defenders to carry out their work and seeks to resolve problems or misunderstandings which arise, primarily through dialogue, eschewing all action</w:t>
      </w:r>
      <w:r w:rsidR="00DE6004">
        <w:t>s which may exacerbate matters.</w:t>
      </w:r>
    </w:p>
    <w:p w:rsidR="00865672" w:rsidRDefault="00865672" w:rsidP="00865672">
      <w:pPr>
        <w:pStyle w:val="SingleTxtG"/>
      </w:pPr>
      <w:r>
        <w:t>Second</w:t>
      </w:r>
    </w:p>
    <w:p w:rsidR="00865672" w:rsidRDefault="00865672" w:rsidP="00865672">
      <w:pPr>
        <w:pStyle w:val="SingleTxtG"/>
      </w:pPr>
      <w:r>
        <w:t>29.</w:t>
      </w:r>
      <w:r>
        <w:tab/>
        <w:t>There is no doubt that human rights activists or defenders are capable of breaking the law by, inter alia, abusing their positions; they are not infallible. Hence, in keeping with the principle of equality of citizens, the status of human rights activists or defenders cannot be used as a pretext to shield such individuals from prosecution for any illegal actions they may perpetrate. In a State governed by the rule of law and respect for institutions, human rights activists or defenders, however important and noble their status, cannot be granted more rights than other citizens.</w:t>
      </w:r>
    </w:p>
    <w:p w:rsidR="00865672" w:rsidRDefault="00865672" w:rsidP="00865672">
      <w:pPr>
        <w:pStyle w:val="SingleTxtG"/>
      </w:pPr>
      <w:r>
        <w:t>30.</w:t>
      </w:r>
      <w:r>
        <w:tab/>
        <w:t xml:space="preserve">As the authorities in Tunisia are convinced that human rights defenders have </w:t>
      </w:r>
      <w:r w:rsidR="006B77F7">
        <w:t xml:space="preserve">a noble </w:t>
      </w:r>
      <w:r>
        <w:t>mission, however, they have pledged to promote their activities and to drive the human rights education process forward as it is key to ensuring that such activities flourish and achieve their worthy aims. It will, however, require patience and forbearance before everyone understands that defending human rights is not a matter of conflict between human rights activists and the authorities but rather is a constructive and ongoing development process in which human rights evolve continuously on the ground, in an atmosphere characterized by moderation and restraint.</w:t>
      </w:r>
    </w:p>
    <w:p w:rsidR="00865672" w:rsidRDefault="00865672" w:rsidP="00865672">
      <w:pPr>
        <w:pStyle w:val="SingleTxtG"/>
      </w:pPr>
      <w:r>
        <w:t>Third</w:t>
      </w:r>
    </w:p>
    <w:p w:rsidR="00865672" w:rsidRDefault="00865672" w:rsidP="00865672">
      <w:pPr>
        <w:pStyle w:val="SingleTxtG"/>
      </w:pPr>
      <w:r>
        <w:t>31.</w:t>
      </w:r>
      <w:r>
        <w:tab/>
        <w:t>The Tunisian authorities attach as much importance to the communications concerning allegations of intimidation and harassment which are sometimes submitted by human rights workers as it does to complaints from individuals against human rights workers. Regardless of their provenance, all complaints and allegations are carefully considered by the various organs of the judiciary, including the Office of the Public Prosecutor, which investigates all cases referred to it, and the courts which rule on cases of both kinds.</w:t>
      </w:r>
    </w:p>
    <w:p w:rsidR="00865672" w:rsidRDefault="00865672" w:rsidP="00865672">
      <w:pPr>
        <w:pStyle w:val="SingleTxtG"/>
      </w:pPr>
      <w:r>
        <w:t>Fourth</w:t>
      </w:r>
    </w:p>
    <w:p w:rsidR="00865672" w:rsidRDefault="00865672" w:rsidP="00865672">
      <w:pPr>
        <w:pStyle w:val="SingleTxtG"/>
      </w:pPr>
      <w:r>
        <w:t>32.</w:t>
      </w:r>
      <w:r>
        <w:tab/>
        <w:t>From the investigation conducted into allegations referred to the Office of the Public Prosecutor by persons claiming to work in human rights, it was concluded that the allegations were unfounded, or were based on misinformation or that persons found guilty in cases that were investigated had not been convicted because they were human rights advocates or on account of their activities in defence of human rights. This may be illustrated by the following two examples from Tunisian case</w:t>
      </w:r>
      <w:r w:rsidR="00E37367">
        <w:t xml:space="preserve"> </w:t>
      </w:r>
      <w:r>
        <w:t>law.</w:t>
      </w:r>
    </w:p>
    <w:p w:rsidR="00865672" w:rsidRDefault="00865672" w:rsidP="00865672">
      <w:pPr>
        <w:pStyle w:val="H23G"/>
      </w:pPr>
      <w:r>
        <w:tab/>
      </w:r>
      <w:r>
        <w:tab/>
        <w:t>Example 1</w:t>
      </w:r>
    </w:p>
    <w:p w:rsidR="00865672" w:rsidRDefault="00865672" w:rsidP="00865672">
      <w:pPr>
        <w:pStyle w:val="SingleTxtG"/>
      </w:pPr>
      <w:r>
        <w:t>33.</w:t>
      </w:r>
      <w:r>
        <w:tab/>
        <w:t xml:space="preserve">In the first half of 2008, following the emergence of a protest movement in the town of Redeyef in the governorate of Gafsa, allegations were made to the Tunisian authorities that a number of trade union advocates and activists had been prosecuted and imprisoned for their human rights and union activities. However, when the matter was investigated, it was found that the individuals involved had come to an agreement to stir up civil disobedience. As a result, the civil trade union protest movement was transformed into a rebellion, and leaflets calling for violence were distributed. Violence did indeed occur. Petrol bombs and knives were used and public roads and railway lines were blocked. Many people sustained injuries and damage was done to public and private property. Those guilty of participating in these actions were convicted and granted conditional release. </w:t>
      </w:r>
    </w:p>
    <w:p w:rsidR="00865672" w:rsidRDefault="00865672" w:rsidP="00865672">
      <w:pPr>
        <w:pStyle w:val="SingleTxtG"/>
      </w:pPr>
      <w:r>
        <w:t>34.</w:t>
      </w:r>
      <w:r>
        <w:tab/>
        <w:t>This case demonstrates that a distinction must be drawn between activities conducted with a view to defending human rights, including trade union rights, and criminal activities resulting in attack</w:t>
      </w:r>
      <w:r w:rsidR="00DE6004">
        <w:t>s on persons and property.</w:t>
      </w:r>
    </w:p>
    <w:p w:rsidR="00865672" w:rsidRDefault="00865672" w:rsidP="00865672">
      <w:pPr>
        <w:pStyle w:val="H23G"/>
      </w:pPr>
      <w:r>
        <w:tab/>
      </w:r>
      <w:r>
        <w:tab/>
        <w:t>Example 2</w:t>
      </w:r>
    </w:p>
    <w:p w:rsidR="00865672" w:rsidRDefault="00865672" w:rsidP="00865672">
      <w:pPr>
        <w:pStyle w:val="SingleTxtG"/>
      </w:pPr>
      <w:r>
        <w:t>35.</w:t>
      </w:r>
      <w:r>
        <w:tab/>
        <w:t xml:space="preserve">In October 2008, allegations were made that Mr. Mokhtar Jalali, a human rights activist and member of an opposition party, had been arrested because of his human rights activities. Investigators ascertained that Mr. Jalali had been involved in a traffic accident in Tunis on 13 October 2008 in which a pedestrian had died. </w:t>
      </w:r>
    </w:p>
    <w:p w:rsidR="00865672" w:rsidRDefault="00865672" w:rsidP="00865672">
      <w:pPr>
        <w:pStyle w:val="SingleTxtG"/>
      </w:pPr>
      <w:r>
        <w:t>36.</w:t>
      </w:r>
      <w:r>
        <w:tab/>
        <w:t xml:space="preserve">Mr. Jalali was tried and found guilty of committing manslaughter in a road accident; he was found to bear responsibility for the road accident, since he had been driving at excessive speed and without due care in a built-up area. </w:t>
      </w:r>
    </w:p>
    <w:p w:rsidR="00865672" w:rsidRDefault="00865672" w:rsidP="00865672">
      <w:pPr>
        <w:pStyle w:val="SingleTxtG"/>
      </w:pPr>
      <w:r>
        <w:t>37.</w:t>
      </w:r>
      <w:r>
        <w:tab/>
        <w:t xml:space="preserve">The above clearly shows that this human rights activist was not prosecuted because of his human rights activities but because of a traffic accident for which, as the investigation proved, he was responsible. </w:t>
      </w:r>
    </w:p>
    <w:p w:rsidR="00865672" w:rsidRDefault="00865672" w:rsidP="00865672">
      <w:pPr>
        <w:pStyle w:val="H1G"/>
      </w:pPr>
      <w:r>
        <w:tab/>
      </w:r>
      <w:r>
        <w:tab/>
        <w:t>Recommendation, paragraph 21</w:t>
      </w:r>
      <w:r>
        <w:br/>
        <w:t>Information regarding the registration of associations for the protection of human rights, review of all appeals brought in cases where registration is refused and examples</w:t>
      </w:r>
      <w:r w:rsidR="00DE6004">
        <w:t xml:space="preserve"> of such rejections and appeals</w:t>
      </w:r>
    </w:p>
    <w:p w:rsidR="00865672" w:rsidRDefault="00865672" w:rsidP="00865672">
      <w:pPr>
        <w:pStyle w:val="H1G"/>
      </w:pPr>
      <w:r>
        <w:tab/>
      </w:r>
      <w:r>
        <w:tab/>
        <w:t>Reply</w:t>
      </w:r>
    </w:p>
    <w:p w:rsidR="00865672" w:rsidRDefault="00865672" w:rsidP="00865672">
      <w:pPr>
        <w:pStyle w:val="SingleTxtG"/>
      </w:pPr>
      <w:r>
        <w:t>38.</w:t>
      </w:r>
      <w:r>
        <w:tab/>
        <w:t xml:space="preserve">Promoting civil society is a policy choice made by Tunisia. In this regard, the Organization Act No. 92-25 of 2 April 1992 has strengthened the appeal process in cases where a registration application from an independent human rights association is rejected. </w:t>
      </w:r>
    </w:p>
    <w:p w:rsidR="00865672" w:rsidRDefault="00865672" w:rsidP="00865672">
      <w:pPr>
        <w:pStyle w:val="SingleTxtG"/>
      </w:pPr>
      <w:r>
        <w:t>39.</w:t>
      </w:r>
      <w:r>
        <w:tab/>
        <w:t xml:space="preserve">Examples of cases considered by the Tunisian administrative justice include case No. 3643 in which the Tunisian League for the Defence of Human Rights lodged an appeal against a decision of the Interior Minister of 14 May 1992 classifying the League as a general purpose association. </w:t>
      </w:r>
    </w:p>
    <w:p w:rsidR="00865672" w:rsidRDefault="00865672" w:rsidP="00865672">
      <w:pPr>
        <w:pStyle w:val="SingleTxtG"/>
      </w:pPr>
      <w:r>
        <w:t>40.</w:t>
      </w:r>
      <w:r>
        <w:tab/>
        <w:t>The plaintiff argued that the administration had not provided legal guarantees when preparing the contested decision, including in particular the right of defence.</w:t>
      </w:r>
    </w:p>
    <w:p w:rsidR="00865672" w:rsidRDefault="00865672" w:rsidP="00865672">
      <w:pPr>
        <w:pStyle w:val="SingleTxtG"/>
      </w:pPr>
      <w:r>
        <w:t>41.</w:t>
      </w:r>
      <w:r>
        <w:tab/>
        <w:t>The administrative court held that, since the Tunisian League for the Defence of Human Rights had not been informed of the preparation of the decision against it and had been unable to present its views prior to the decision being issued, the decision on classification of the League, which faced possible dissolution, was illegal, as it had been taken without the League taking part in the proceedings, as required under article 3 of the relevant Act. The decision could thus have serious repercussions on the association</w:t>
      </w:r>
      <w:r w:rsidR="00E37367">
        <w:t>’</w:t>
      </w:r>
      <w:r>
        <w:t>s activities. In the light of the above, the court upheld the appeal on the form and the merits and annulled the contested decision on 21 May 1996.</w:t>
      </w:r>
    </w:p>
    <w:p w:rsidR="00865672" w:rsidRDefault="00865672" w:rsidP="00865672">
      <w:pPr>
        <w:pStyle w:val="SingleTxtG"/>
      </w:pPr>
      <w:r>
        <w:t>42.</w:t>
      </w:r>
      <w:r>
        <w:tab/>
        <w:t>It should, however, be noted that registration applications submitted by associations are not rejected because these associations are actively involved in human rights but rather because they have been established illegally or undermine public order. The right to freedom of assembly and freedom of expression is thus guaranteed, subject, however, to the limits imposed by law. Membership of an association actively involved in human rights does not confer immunity from prosecution.</w:t>
      </w:r>
    </w:p>
    <w:p w:rsidR="00865672" w:rsidRDefault="00865672" w:rsidP="00865672">
      <w:pPr>
        <w:pStyle w:val="SingleTxtG"/>
      </w:pPr>
      <w:r>
        <w:t>43.</w:t>
      </w:r>
      <w:r>
        <w:tab/>
        <w:t xml:space="preserve">The registration process is monitored to ensure that associations do not pursue aims which are incompatible with the republican order and do not promote religious extremism, discrimination, racism, intolerance, hatred for religion or terrorism. </w:t>
      </w:r>
    </w:p>
    <w:p w:rsidR="00865672" w:rsidRDefault="00865672" w:rsidP="00865672">
      <w:pPr>
        <w:pStyle w:val="SingleTxtG"/>
      </w:pPr>
      <w:r>
        <w:t>44.</w:t>
      </w:r>
      <w:r>
        <w:tab/>
        <w:t xml:space="preserve">The Tunisian authorities strive to build consensus between the parties which monitor the association registration process and to set deadlines which help to safeguard and support the right to freedom of assembly in compliance with international standards. </w:t>
      </w:r>
    </w:p>
    <w:p w:rsidR="00865672" w:rsidRDefault="00865672" w:rsidP="00865672">
      <w:pPr>
        <w:pStyle w:val="SingleTxtG"/>
      </w:pPr>
      <w:r>
        <w:t>45.</w:t>
      </w:r>
      <w:r>
        <w:tab/>
        <w:t xml:space="preserve">Lastly, it should be noted that in its dialogue with the Human Rights Committee, and given the importance the Committee which attaches to promoting rights and freedoms and, in particular, to strengthening guarantees for persons deprived of their liberty, Tunisia has recently developed its legislation in many fields, promulgating the following laws. </w:t>
      </w:r>
    </w:p>
    <w:p w:rsidR="00865672" w:rsidRDefault="00865672" w:rsidP="00865672">
      <w:pPr>
        <w:pStyle w:val="H23G"/>
      </w:pPr>
      <w:r>
        <w:tab/>
      </w:r>
      <w:r>
        <w:tab/>
        <w:t>Act No. 21 of 4 March 2008, on extending the duration of police custody and pretrial detention</w:t>
      </w:r>
    </w:p>
    <w:p w:rsidR="00865672" w:rsidRDefault="00865672" w:rsidP="00865672">
      <w:pPr>
        <w:pStyle w:val="SingleTxtG"/>
      </w:pPr>
      <w:r>
        <w:t>46.</w:t>
      </w:r>
      <w:r>
        <w:tab/>
        <w:t xml:space="preserve">By this Act, articles 13 </w:t>
      </w:r>
      <w:r w:rsidRPr="006E4B1F">
        <w:t>bis</w:t>
      </w:r>
      <w:r>
        <w:t>, 57 and 85 of the Code of Criminal Procedure were amended to include explicit provisions stating that any decision to extend police custody or pretrial detention must be supported by a written statement setting out the fact</w:t>
      </w:r>
      <w:r w:rsidR="0020307E">
        <w:t>ual</w:t>
      </w:r>
      <w:r>
        <w:t xml:space="preserve"> and legal grounds for the decision. Under this Act, public prosecutors who monitor police custody are required to evaluate the grounds for an extension, such as the need to establish whether or not an offence has been committed and to prevent further offences being committe</w:t>
      </w:r>
      <w:r w:rsidRPr="008E0A34">
        <w:t>d.</w:t>
      </w:r>
      <w:r>
        <w:t xml:space="preserve"> They must weigh up factors of the extension pertaining to the investigation such as hearing of witnesses and the apprehension of an accused person who has absconded, and must assess the overall evidence used to justify holding the person in custody.</w:t>
      </w:r>
    </w:p>
    <w:p w:rsidR="00865672" w:rsidRDefault="00865672" w:rsidP="00865672">
      <w:pPr>
        <w:pStyle w:val="SingleTxtG"/>
      </w:pPr>
      <w:r>
        <w:t>47.</w:t>
      </w:r>
      <w:r>
        <w:tab/>
        <w:t>The fact that an investigating judge must justify a pretrial detention order allows the indictment division, on appeal, to assess the validity of grounds given and to take an appropriate decision, verifying, inter alia, compliance with mandatory release orders, in accordance with the principle that freedom must be the rule and deprivation of lib</w:t>
      </w:r>
      <w:r w:rsidR="006E4B1F">
        <w:t>erty the exception to the rule.</w:t>
      </w:r>
    </w:p>
    <w:p w:rsidR="00865672" w:rsidRDefault="00865672" w:rsidP="00865672">
      <w:pPr>
        <w:pStyle w:val="SingleTxtG"/>
      </w:pPr>
      <w:r>
        <w:t>48.</w:t>
      </w:r>
      <w:r>
        <w:tab/>
        <w:t xml:space="preserve">The requirement to justify such decisions also safeguards the legitimate interests of the accused, without prejudice to the purposes which police custody and pretrial detention serve in terms of controlling crime, gathering evidence and apprehending and bringing offenders to justice, while maintaining public order and security. </w:t>
      </w:r>
    </w:p>
    <w:p w:rsidR="00865672" w:rsidRDefault="00865672" w:rsidP="00865672">
      <w:pPr>
        <w:pStyle w:val="SingleTxtG"/>
      </w:pPr>
      <w:r>
        <w:t>49.</w:t>
      </w:r>
      <w:r>
        <w:tab/>
        <w:t xml:space="preserve">This amendment to the law is likely to improve the criminal justice system by providing additional safeguards for all individuals deprived of their liberty and establishing legal rules which prevent those safeguards being violated. Moreover, it ensures that police custody is subject to judicial oversight and highlights the exceptional nature of pretrial detention, in keeping with the Constitution. </w:t>
      </w:r>
    </w:p>
    <w:p w:rsidR="00865672" w:rsidRPr="001D26DF" w:rsidRDefault="00865672" w:rsidP="00865672">
      <w:pPr>
        <w:pStyle w:val="H23G"/>
      </w:pPr>
      <w:r>
        <w:tab/>
      </w:r>
      <w:r>
        <w:tab/>
        <w:t>Act No. 58 of 4 August 2008 on the treatment of pregnant and breastfeeding women in detention</w:t>
      </w:r>
    </w:p>
    <w:p w:rsidR="000949E9" w:rsidRDefault="000949E9" w:rsidP="000949E9">
      <w:pPr>
        <w:pStyle w:val="SingleTxtG"/>
      </w:pPr>
      <w:r w:rsidRPr="00F33A31">
        <w:t>50.</w:t>
      </w:r>
      <w:r w:rsidRPr="00F33A31">
        <w:tab/>
      </w:r>
      <w:r>
        <w:t>Under t</w:t>
      </w:r>
      <w:r w:rsidRPr="00F33A31">
        <w:t xml:space="preserve">his </w:t>
      </w:r>
      <w:r>
        <w:t>A</w:t>
      </w:r>
      <w:r w:rsidRPr="00F33A31">
        <w:t>ct</w:t>
      </w:r>
      <w:r>
        <w:t>,</w:t>
      </w:r>
      <w:r w:rsidRPr="00F33A31">
        <w:t xml:space="preserve"> an area</w:t>
      </w:r>
      <w:r>
        <w:t xml:space="preserve"> is</w:t>
      </w:r>
      <w:r w:rsidRPr="00F33A31">
        <w:t xml:space="preserve"> to be set aside </w:t>
      </w:r>
      <w:r>
        <w:t xml:space="preserve">in prison </w:t>
      </w:r>
      <w:r w:rsidRPr="00F33A31">
        <w:t>for prisoners who are pregnant or who are breastfeeding and the maximum age up to which children may remain with their imprisoned mothers</w:t>
      </w:r>
      <w:r w:rsidRPr="00614D26">
        <w:t xml:space="preserve"> </w:t>
      </w:r>
      <w:r>
        <w:t>is revised</w:t>
      </w:r>
      <w:r w:rsidRPr="00F33A31">
        <w:t>.</w:t>
      </w:r>
    </w:p>
    <w:p w:rsidR="000949E9" w:rsidRDefault="000949E9" w:rsidP="000949E9">
      <w:pPr>
        <w:pStyle w:val="H4G"/>
      </w:pPr>
      <w:r>
        <w:tab/>
        <w:t>A.</w:t>
      </w:r>
      <w:r>
        <w:tab/>
      </w:r>
      <w:r w:rsidRPr="00F33A31">
        <w:t>Setting aside an area for prisoners who are pregnant or breastfeeding</w:t>
      </w:r>
    </w:p>
    <w:p w:rsidR="000949E9" w:rsidRDefault="000949E9" w:rsidP="000949E9">
      <w:pPr>
        <w:pStyle w:val="SingleTxtG"/>
      </w:pPr>
      <w:r w:rsidRPr="00F33A31">
        <w:t>51.</w:t>
      </w:r>
      <w:r w:rsidRPr="00F33A31">
        <w:tab/>
        <w:t xml:space="preserve">Unlike other female prisoners, pregnant or breastfeeding prisoners fall into a special category; both they and their children in detention with them require specialized medical, psychological and even social care. Hence, an area </w:t>
      </w:r>
      <w:r>
        <w:t>resembling</w:t>
      </w:r>
      <w:r w:rsidRPr="00F33A31">
        <w:t xml:space="preserve"> a normal environment must be set aside for them</w:t>
      </w:r>
      <w:r>
        <w:t>,</w:t>
      </w:r>
      <w:r w:rsidRPr="00F33A31">
        <w:t xml:space="preserve"> in which prisoners</w:t>
      </w:r>
      <w:r w:rsidR="00E37367">
        <w:t>’</w:t>
      </w:r>
      <w:r w:rsidRPr="00F33A31">
        <w:t xml:space="preserve"> children receive the medical and psychological care they require, enjoy a sound upbringi</w:t>
      </w:r>
      <w:r>
        <w:t>ng and are protected from harm.</w:t>
      </w:r>
    </w:p>
    <w:p w:rsidR="000949E9" w:rsidRDefault="000949E9" w:rsidP="000949E9">
      <w:pPr>
        <w:pStyle w:val="SingleTxtG"/>
      </w:pPr>
      <w:r>
        <w:t>52.</w:t>
      </w:r>
      <w:r>
        <w:tab/>
        <w:t>As such, this Act</w:t>
      </w:r>
      <w:r w:rsidRPr="00F33A31">
        <w:t xml:space="preserve"> represents a renewed focus on family welfare and</w:t>
      </w:r>
      <w:r>
        <w:t xml:space="preserve"> recognizes</w:t>
      </w:r>
      <w:r w:rsidRPr="00F33A31">
        <w:t xml:space="preserve"> the universality, complementarity and interrelatedness</w:t>
      </w:r>
      <w:r>
        <w:t xml:space="preserve"> of human rights in keeping with</w:t>
      </w:r>
      <w:r w:rsidRPr="00F33A31">
        <w:t xml:space="preserve"> the Tunisian Constitution. It </w:t>
      </w:r>
      <w:r>
        <w:t xml:space="preserve">also </w:t>
      </w:r>
      <w:r w:rsidRPr="00F33A31">
        <w:t>affirms the principle of protecting the best interests of the child; this principle is now an established element in Tunisian legislation, both in the Personal Status Code and the Child Protection Code.</w:t>
      </w:r>
    </w:p>
    <w:p w:rsidR="000949E9" w:rsidRDefault="000949E9" w:rsidP="000949E9">
      <w:pPr>
        <w:pStyle w:val="H4G"/>
      </w:pPr>
      <w:r w:rsidRPr="00F33A31">
        <w:tab/>
      </w:r>
      <w:r>
        <w:t>B.</w:t>
      </w:r>
      <w:r>
        <w:tab/>
      </w:r>
      <w:r w:rsidRPr="00F33A31">
        <w:t>Revising the maximum age up to which children may remain with their</w:t>
      </w:r>
      <w:r w:rsidRPr="00614D26">
        <w:t xml:space="preserve"> </w:t>
      </w:r>
      <w:r w:rsidRPr="00F33A31">
        <w:t>mothers</w:t>
      </w:r>
      <w:r>
        <w:t xml:space="preserve"> in prison</w:t>
      </w:r>
    </w:p>
    <w:p w:rsidR="000949E9" w:rsidRDefault="000949E9" w:rsidP="000949E9">
      <w:pPr>
        <w:pStyle w:val="SingleTxtG"/>
      </w:pPr>
      <w:r w:rsidRPr="00F33A31">
        <w:t>53.</w:t>
      </w:r>
      <w:r w:rsidRPr="00F33A31">
        <w:tab/>
        <w:t xml:space="preserve">Prisoners who are pregnant or breastfeeding are housed in a special area for the duration of their pregnancies or until they </w:t>
      </w:r>
      <w:r>
        <w:t>stop</w:t>
      </w:r>
      <w:r w:rsidRPr="00F33A31">
        <w:t xml:space="preserve"> breastfeeding. </w:t>
      </w:r>
      <w:r>
        <w:t>They</w:t>
      </w:r>
      <w:r w:rsidRPr="00F33A31">
        <w:t xml:space="preserve"> serve out the remainder of their sentences in a women</w:t>
      </w:r>
      <w:r w:rsidR="00E37367">
        <w:t>’</w:t>
      </w:r>
      <w:r w:rsidRPr="00F33A31">
        <w:t xml:space="preserve">s prison or in a prison wing set aside for them. </w:t>
      </w:r>
    </w:p>
    <w:p w:rsidR="000949E9" w:rsidRDefault="000949E9" w:rsidP="000949E9">
      <w:pPr>
        <w:pStyle w:val="SingleTxtG"/>
      </w:pPr>
      <w:r w:rsidRPr="00F33A31">
        <w:t>54.</w:t>
      </w:r>
      <w:r w:rsidRPr="00F33A31">
        <w:tab/>
        <w:t>Under previous legislation, a child was allowe</w:t>
      </w:r>
      <w:r>
        <w:t>d to remain in prison with the mother until the age of 3</w:t>
      </w:r>
      <w:r w:rsidRPr="00F33A31">
        <w:t xml:space="preserve"> b</w:t>
      </w:r>
      <w:r>
        <w:t>efore being handed over to the</w:t>
      </w:r>
      <w:r w:rsidRPr="00F33A31">
        <w:t xml:space="preserve"> father or</w:t>
      </w:r>
      <w:r>
        <w:t xml:space="preserve"> to a person designated by the</w:t>
      </w:r>
      <w:r w:rsidRPr="00F33A31">
        <w:t xml:space="preserve"> mother. If this was not possible, the prison administration </w:t>
      </w:r>
      <w:r>
        <w:t>would notify</w:t>
      </w:r>
      <w:r w:rsidRPr="00F33A31">
        <w:t xml:space="preserve"> the judge for the enforcement of sentences</w:t>
      </w:r>
      <w:r>
        <w:t>,</w:t>
      </w:r>
      <w:r w:rsidRPr="00F33A31">
        <w:t xml:space="preserve"> who </w:t>
      </w:r>
      <w:r>
        <w:t>would refer the matter</w:t>
      </w:r>
      <w:r w:rsidRPr="00F33A31">
        <w:t xml:space="preserve"> to the competent family judge </w:t>
      </w:r>
      <w:r>
        <w:t>responsible for</w:t>
      </w:r>
      <w:r w:rsidRPr="00F33A31">
        <w:t xml:space="preserve"> </w:t>
      </w:r>
      <w:r>
        <w:t xml:space="preserve">authorizing </w:t>
      </w:r>
      <w:r w:rsidRPr="00F33A31">
        <w:t>measures to safeguard the child</w:t>
      </w:r>
      <w:r w:rsidR="00E37367">
        <w:t>’</w:t>
      </w:r>
      <w:r w:rsidRPr="00F33A31">
        <w:t>s best interests,</w:t>
      </w:r>
      <w:r>
        <w:t xml:space="preserve"> such as entrusting the child </w:t>
      </w:r>
      <w:r w:rsidRPr="00F33A31">
        <w:t>to the care of a child welfare agency.</w:t>
      </w:r>
    </w:p>
    <w:p w:rsidR="000949E9" w:rsidRDefault="000949E9" w:rsidP="000949E9">
      <w:pPr>
        <w:pStyle w:val="SingleTxtG"/>
      </w:pPr>
      <w:r w:rsidRPr="00F33A31">
        <w:t>55.</w:t>
      </w:r>
      <w:r w:rsidRPr="00F33A31">
        <w:tab/>
      </w:r>
      <w:r>
        <w:t>The three-year period established</w:t>
      </w:r>
      <w:r w:rsidRPr="00F33A31">
        <w:t xml:space="preserve"> under the Act on the organization of prisons in Tunisia was considered </w:t>
      </w:r>
      <w:r>
        <w:t>rather long</w:t>
      </w:r>
      <w:r w:rsidRPr="00F33A31">
        <w:t xml:space="preserve">, </w:t>
      </w:r>
      <w:r>
        <w:t>given that when children turn 3 they start to become conscious of their</w:t>
      </w:r>
      <w:r w:rsidRPr="00F33A31">
        <w:t xml:space="preserve"> surroundings. It was feared that this could have a negative influence on child</w:t>
      </w:r>
      <w:r>
        <w:t>ren</w:t>
      </w:r>
      <w:r w:rsidR="00E37367">
        <w:t>’</w:t>
      </w:r>
      <w:r>
        <w:t>s psychological well-being</w:t>
      </w:r>
      <w:r w:rsidRPr="00F33A31">
        <w:t>, upbringing and development.</w:t>
      </w:r>
    </w:p>
    <w:p w:rsidR="000949E9" w:rsidRDefault="000949E9" w:rsidP="000949E9">
      <w:pPr>
        <w:pStyle w:val="SingleTxtG"/>
      </w:pPr>
      <w:r w:rsidRPr="00F33A31">
        <w:t>56.</w:t>
      </w:r>
      <w:r w:rsidRPr="00F33A31">
        <w:tab/>
        <w:t xml:space="preserve">In the light of the above, the new Act sets the breastfeeding period at one year. This period may be extended by </w:t>
      </w:r>
      <w:r>
        <w:t>up to</w:t>
      </w:r>
      <w:r w:rsidRPr="00F33A31">
        <w:t xml:space="preserve"> one additional year, </w:t>
      </w:r>
      <w:r>
        <w:t>further to a decision of the competent family court,</w:t>
      </w:r>
      <w:r w:rsidRPr="00F33A31">
        <w:t xml:space="preserve"> at the request of the mother</w:t>
      </w:r>
      <w:r>
        <w:t>, and after consideration is given to</w:t>
      </w:r>
      <w:r w:rsidRPr="00F33A31">
        <w:t xml:space="preserve"> the child</w:t>
      </w:r>
      <w:r w:rsidR="00E37367">
        <w:t>’</w:t>
      </w:r>
      <w:r w:rsidRPr="00F33A31">
        <w:t>s best interests. This corresponds to the established maximum breastfeeding period of two years. In</w:t>
      </w:r>
      <w:r>
        <w:t xml:space="preserve"> taking this decision, the court will take</w:t>
      </w:r>
      <w:r w:rsidRPr="00F33A31">
        <w:t xml:space="preserve"> into ac</w:t>
      </w:r>
      <w:r>
        <w:t>count the soci</w:t>
      </w:r>
      <w:r w:rsidRPr="00F33A31">
        <w:t xml:space="preserve">al </w:t>
      </w:r>
      <w:r>
        <w:t>circumstances</w:t>
      </w:r>
      <w:r w:rsidRPr="00F33A31">
        <w:t xml:space="preserve"> </w:t>
      </w:r>
      <w:r>
        <w:t>and</w:t>
      </w:r>
      <w:r w:rsidRPr="00F33A31">
        <w:t xml:space="preserve"> mental and physical health of the mother and child.</w:t>
      </w:r>
    </w:p>
    <w:p w:rsidR="000949E9" w:rsidRDefault="000949E9" w:rsidP="000949E9">
      <w:pPr>
        <w:pStyle w:val="H23G"/>
      </w:pPr>
      <w:r w:rsidRPr="00F33A31">
        <w:tab/>
      </w:r>
      <w:r>
        <w:tab/>
      </w:r>
      <w:r w:rsidRPr="00F33A31">
        <w:t>Act No. 75 of 11 December 2008 on strengthening the guarantees afforded to accused persons, improving the situation of inmates and easing conditions relating to rehabilitation</w:t>
      </w:r>
    </w:p>
    <w:p w:rsidR="000949E9" w:rsidRPr="00F33A31" w:rsidRDefault="000949E9" w:rsidP="000949E9">
      <w:pPr>
        <w:pStyle w:val="SingleTxtG"/>
      </w:pPr>
      <w:r w:rsidRPr="00F33A31">
        <w:t>57.</w:t>
      </w:r>
      <w:r w:rsidRPr="00F33A31">
        <w:tab/>
        <w:t xml:space="preserve">This Act focuses on improving the situation of inmates by ensuring that the </w:t>
      </w:r>
      <w:r>
        <w:t xml:space="preserve">statutory </w:t>
      </w:r>
      <w:r w:rsidRPr="00F33A31">
        <w:t xml:space="preserve">period of pretrial detention is not exceeded and by reviewing </w:t>
      </w:r>
      <w:r>
        <w:t>the</w:t>
      </w:r>
      <w:r w:rsidRPr="00F33A31">
        <w:t xml:space="preserve"> conditions </w:t>
      </w:r>
      <w:r>
        <w:t xml:space="preserve">under which rights are restored </w:t>
      </w:r>
      <w:r w:rsidRPr="00F33A31">
        <w:t>in order to facilitate the reintegration of off</w:t>
      </w:r>
      <w:r>
        <w:t>enders.</w:t>
      </w:r>
    </w:p>
    <w:p w:rsidR="000949E9" w:rsidRDefault="000949E9" w:rsidP="000949E9">
      <w:pPr>
        <w:pStyle w:val="H4G"/>
      </w:pPr>
      <w:r>
        <w:tab/>
        <w:t>A.</w:t>
      </w:r>
      <w:r>
        <w:tab/>
      </w:r>
      <w:r w:rsidRPr="00F33A31">
        <w:t>Improvin</w:t>
      </w:r>
      <w:r>
        <w:t xml:space="preserve">g the situation of persons </w:t>
      </w:r>
      <w:r w:rsidRPr="00F33A31">
        <w:t>in pretrial detention</w:t>
      </w:r>
    </w:p>
    <w:p w:rsidR="000949E9" w:rsidRDefault="000949E9" w:rsidP="000949E9">
      <w:pPr>
        <w:pStyle w:val="SingleTxtG"/>
      </w:pPr>
      <w:r>
        <w:t>58.</w:t>
      </w:r>
      <w:r>
        <w:tab/>
        <w:t>The new Act</w:t>
      </w:r>
      <w:r w:rsidRPr="00F33A31">
        <w:t xml:space="preserve"> contains several provisions </w:t>
      </w:r>
      <w:r>
        <w:t>introducing tighter regulation on</w:t>
      </w:r>
      <w:r w:rsidRPr="00F33A31">
        <w:t xml:space="preserve"> p</w:t>
      </w:r>
      <w:r>
        <w:t xml:space="preserve">retrial detention regime and </w:t>
      </w:r>
      <w:r w:rsidRPr="00F33A31">
        <w:t>broaden</w:t>
      </w:r>
      <w:r>
        <w:t>ing</w:t>
      </w:r>
      <w:r w:rsidRPr="00F33A31">
        <w:t xml:space="preserve"> the scope of mandatory release.</w:t>
      </w:r>
    </w:p>
    <w:p w:rsidR="000949E9" w:rsidRDefault="000949E9" w:rsidP="000949E9">
      <w:pPr>
        <w:pStyle w:val="SingleTxtG"/>
      </w:pPr>
      <w:r>
        <w:rPr>
          <w:b/>
          <w:bCs/>
        </w:rPr>
        <w:t>1.</w:t>
      </w:r>
      <w:r>
        <w:rPr>
          <w:b/>
          <w:bCs/>
        </w:rPr>
        <w:tab/>
        <w:t>Regulation of p</w:t>
      </w:r>
      <w:r w:rsidRPr="00F33A31">
        <w:rPr>
          <w:b/>
          <w:bCs/>
        </w:rPr>
        <w:t>retrial detention</w:t>
      </w:r>
    </w:p>
    <w:p w:rsidR="000949E9" w:rsidRDefault="000949E9" w:rsidP="000949E9">
      <w:pPr>
        <w:pStyle w:val="SingleTxtG"/>
      </w:pPr>
      <w:r w:rsidRPr="00F33A31">
        <w:t>59.</w:t>
      </w:r>
      <w:r w:rsidRPr="00F33A31">
        <w:tab/>
        <w:t>Under article 85 of th</w:t>
      </w:r>
      <w:r>
        <w:t>e Code of Criminal Procedure, an accused person could</w:t>
      </w:r>
      <w:r w:rsidRPr="00F33A31">
        <w:t xml:space="preserve"> be remanded in custody for </w:t>
      </w:r>
      <w:r>
        <w:t>committing</w:t>
      </w:r>
      <w:r w:rsidRPr="00F33A31">
        <w:t xml:space="preserve"> serious offences or flag</w:t>
      </w:r>
      <w:r>
        <w:t>rant major offences, or when</w:t>
      </w:r>
      <w:r w:rsidRPr="00F33A31">
        <w:t xml:space="preserve"> serious allegations </w:t>
      </w:r>
      <w:r>
        <w:t xml:space="preserve">had been made which </w:t>
      </w:r>
      <w:r w:rsidRPr="00F33A31">
        <w:t xml:space="preserve">necessitate detention as a security measure to prevent further offences </w:t>
      </w:r>
      <w:r>
        <w:t xml:space="preserve">from </w:t>
      </w:r>
      <w:r w:rsidRPr="00F33A31">
        <w:t xml:space="preserve">being committed, to ensure that a penalty </w:t>
      </w:r>
      <w:r>
        <w:t>was enforced</w:t>
      </w:r>
      <w:r w:rsidRPr="00F33A31">
        <w:t xml:space="preserve"> or to facilitate investigations, provided that the p</w:t>
      </w:r>
      <w:r>
        <w:t>eriod of pretrial detention did</w:t>
      </w:r>
      <w:r w:rsidRPr="00F33A31">
        <w:t xml:space="preserve"> not exceed six months. By </w:t>
      </w:r>
      <w:r>
        <w:t>means of a decision stating the grounds</w:t>
      </w:r>
      <w:r w:rsidRPr="00F33A31">
        <w:t xml:space="preserve"> and following consul</w:t>
      </w:r>
      <w:r>
        <w:t>tation with the prosecutor, that period could</w:t>
      </w:r>
      <w:r w:rsidRPr="00F33A31">
        <w:t xml:space="preserve"> be extended once for up to three months for major offences and twice, for up to four months e</w:t>
      </w:r>
      <w:r>
        <w:t>ach time, for serious offences.</w:t>
      </w:r>
    </w:p>
    <w:p w:rsidR="000949E9" w:rsidRDefault="000949E9" w:rsidP="000949E9">
      <w:pPr>
        <w:pStyle w:val="SingleTxtG"/>
      </w:pPr>
      <w:r>
        <w:t>60.</w:t>
      </w:r>
      <w:r>
        <w:tab/>
        <w:t xml:space="preserve">However, </w:t>
      </w:r>
      <w:r w:rsidRPr="00F33A31">
        <w:t xml:space="preserve">article </w:t>
      </w:r>
      <w:r>
        <w:t>85 did</w:t>
      </w:r>
      <w:r w:rsidRPr="00F33A31">
        <w:t xml:space="preserve"> not explicitly state whether the pr</w:t>
      </w:r>
      <w:r>
        <w:t>etrial detention period included</w:t>
      </w:r>
      <w:r w:rsidRPr="00F33A31">
        <w:t xml:space="preserve"> </w:t>
      </w:r>
      <w:r>
        <w:t>the time taken for an</w:t>
      </w:r>
      <w:r w:rsidRPr="00F33A31">
        <w:t xml:space="preserve"> investigat</w:t>
      </w:r>
      <w:r>
        <w:t>ion following a</w:t>
      </w:r>
      <w:r w:rsidRPr="00F33A31">
        <w:t xml:space="preserve"> decision </w:t>
      </w:r>
      <w:r>
        <w:t>of the indictment divisions</w:t>
      </w:r>
      <w:r w:rsidRPr="00F33A31">
        <w:t xml:space="preserve"> to </w:t>
      </w:r>
      <w:r>
        <w:t>send a</w:t>
      </w:r>
      <w:r w:rsidRPr="00F33A31">
        <w:t xml:space="preserve"> case </w:t>
      </w:r>
      <w:r>
        <w:t>back</w:t>
      </w:r>
      <w:r w:rsidRPr="00F33A31">
        <w:t xml:space="preserve"> to the investigating judge </w:t>
      </w:r>
      <w:r>
        <w:t>to complete an</w:t>
      </w:r>
      <w:r w:rsidRPr="00F33A31">
        <w:t xml:space="preserve"> investigation. In such </w:t>
      </w:r>
      <w:r>
        <w:t>cases, the investigating judge wa</w:t>
      </w:r>
      <w:r w:rsidRPr="00F33A31">
        <w:t>s no longer di</w:t>
      </w:r>
      <w:r>
        <w:t>rectly responsible for the case and wa</w:t>
      </w:r>
      <w:r w:rsidRPr="00F33A31">
        <w:t xml:space="preserve">s only responsible for executing </w:t>
      </w:r>
      <w:r>
        <w:t>the</w:t>
      </w:r>
      <w:r w:rsidRPr="00F33A31">
        <w:t xml:space="preserve"> decision </w:t>
      </w:r>
      <w:r>
        <w:t>of the indictment division.</w:t>
      </w:r>
    </w:p>
    <w:p w:rsidR="000949E9" w:rsidRDefault="000949E9" w:rsidP="000949E9">
      <w:pPr>
        <w:pStyle w:val="SingleTxtG"/>
      </w:pPr>
      <w:r w:rsidRPr="00F33A31">
        <w:t>61.</w:t>
      </w:r>
      <w:r w:rsidRPr="00F33A31">
        <w:tab/>
        <w:t>In order to safeguard the ri</w:t>
      </w:r>
      <w:r>
        <w:t>ghts of the accused, the new Act</w:t>
      </w:r>
      <w:r w:rsidRPr="00F33A31">
        <w:t xml:space="preserve"> specifically states that a decision of </w:t>
      </w:r>
      <w:r>
        <w:t>the indictment division to send</w:t>
      </w:r>
      <w:r w:rsidRPr="00F33A31">
        <w:t xml:space="preserve"> a case </w:t>
      </w:r>
      <w:r>
        <w:t xml:space="preserve">back </w:t>
      </w:r>
      <w:r w:rsidRPr="00F33A31">
        <w:t xml:space="preserve">to an investigating judge to </w:t>
      </w:r>
      <w:r>
        <w:t>complete certain procedures necessary for the</w:t>
      </w:r>
      <w:r w:rsidRPr="00F33A31">
        <w:t xml:space="preserve"> preparation of a case must not </w:t>
      </w:r>
      <w:r>
        <w:t>result in the accused being held beyond</w:t>
      </w:r>
      <w:r w:rsidRPr="00F33A31">
        <w:t xml:space="preserve"> the maximum permitted</w:t>
      </w:r>
      <w:r>
        <w:t xml:space="preserve"> term</w:t>
      </w:r>
      <w:r w:rsidRPr="00F33A31">
        <w:t>. Once this term has expired, the investigating judge or th</w:t>
      </w:r>
      <w:r>
        <w:t>e indictment division must grant</w:t>
      </w:r>
      <w:r w:rsidRPr="00F33A31">
        <w:t xml:space="preserve"> the detained </w:t>
      </w:r>
      <w:r>
        <w:t>a</w:t>
      </w:r>
      <w:r w:rsidRPr="00961B6B">
        <w:t xml:space="preserve"> </w:t>
      </w:r>
      <w:r>
        <w:t>temporar</w:t>
      </w:r>
      <w:r w:rsidRPr="00F33A31">
        <w:t>y</w:t>
      </w:r>
      <w:r>
        <w:t xml:space="preserve"> release</w:t>
      </w:r>
      <w:r w:rsidRPr="00F33A31">
        <w:t>.</w:t>
      </w:r>
    </w:p>
    <w:p w:rsidR="000949E9" w:rsidRDefault="000949E9" w:rsidP="000949E9">
      <w:pPr>
        <w:pStyle w:val="SingleTxtG"/>
      </w:pPr>
      <w:r w:rsidRPr="00F33A31">
        <w:t>62.</w:t>
      </w:r>
      <w:r w:rsidRPr="00F33A31">
        <w:tab/>
        <w:t>To ensure that a defendant who has been released appears before the court when</w:t>
      </w:r>
      <w:r>
        <w:t>ever</w:t>
      </w:r>
      <w:r w:rsidRPr="00F33A31">
        <w:t xml:space="preserve"> required, the judge or the indictment division, as </w:t>
      </w:r>
      <w:r>
        <w:t>the case may be</w:t>
      </w:r>
      <w:r w:rsidRPr="00F33A31">
        <w:t xml:space="preserve">, is authorized to take the necessary measures to ensure </w:t>
      </w:r>
      <w:r>
        <w:t>that the defendant appears. These measures include inter alia compulsory</w:t>
      </w:r>
      <w:r w:rsidRPr="00F33A31">
        <w:t xml:space="preserve"> residence in the district in which the court has jurisdiction, </w:t>
      </w:r>
      <w:r>
        <w:t>the obligation</w:t>
      </w:r>
      <w:r w:rsidRPr="00F33A31">
        <w:t xml:space="preserve"> to </w:t>
      </w:r>
      <w:r>
        <w:t>report one</w:t>
      </w:r>
      <w:r w:rsidR="00E37367">
        <w:t>’</w:t>
      </w:r>
      <w:r>
        <w:t>s</w:t>
      </w:r>
      <w:r w:rsidRPr="00F33A31">
        <w:t xml:space="preserve"> movements or, if necessary, </w:t>
      </w:r>
      <w:r>
        <w:t>a prohibition</w:t>
      </w:r>
      <w:r w:rsidRPr="00F33A31">
        <w:t xml:space="preserve"> </w:t>
      </w:r>
      <w:r>
        <w:t>on travel.</w:t>
      </w:r>
    </w:p>
    <w:p w:rsidR="000949E9" w:rsidRPr="00F33A31" w:rsidRDefault="000949E9" w:rsidP="000949E9">
      <w:pPr>
        <w:pStyle w:val="SingleTxtG"/>
      </w:pPr>
      <w:r>
        <w:rPr>
          <w:b/>
          <w:bCs/>
        </w:rPr>
        <w:t>2.</w:t>
      </w:r>
      <w:r>
        <w:rPr>
          <w:b/>
          <w:bCs/>
        </w:rPr>
        <w:tab/>
      </w:r>
      <w:r w:rsidRPr="00F33A31">
        <w:rPr>
          <w:b/>
          <w:bCs/>
        </w:rPr>
        <w:t>Broadening the scope of release on and without bail</w:t>
      </w:r>
    </w:p>
    <w:p w:rsidR="000949E9" w:rsidRDefault="000949E9" w:rsidP="000949E9">
      <w:pPr>
        <w:pStyle w:val="SingleTxtG"/>
      </w:pPr>
      <w:r w:rsidRPr="00F33A31">
        <w:t>63.</w:t>
      </w:r>
      <w:r w:rsidRPr="00F33A31">
        <w:tab/>
      </w:r>
      <w:r>
        <w:t>The final</w:t>
      </w:r>
      <w:r w:rsidRPr="00F33A31">
        <w:t xml:space="preserve"> paragraph of article 85 of</w:t>
      </w:r>
      <w:r>
        <w:t xml:space="preserve"> the Code of Criminal Procedure</w:t>
      </w:r>
      <w:r w:rsidRPr="00F33A31">
        <w:t xml:space="preserve"> </w:t>
      </w:r>
      <w:r>
        <w:t xml:space="preserve">stated that </w:t>
      </w:r>
      <w:r w:rsidRPr="00F33A31">
        <w:t xml:space="preserve">if the maximum penalty prescribed by law </w:t>
      </w:r>
      <w:r>
        <w:t xml:space="preserve">is </w:t>
      </w:r>
      <w:r w:rsidR="00BC2801">
        <w:t>one</w:t>
      </w:r>
      <w:r>
        <w:t xml:space="preserve"> year</w:t>
      </w:r>
      <w:r w:rsidR="00E37367">
        <w:t>’</w:t>
      </w:r>
      <w:r>
        <w:t>s imprisonment, an accused person had</w:t>
      </w:r>
      <w:r w:rsidRPr="00F33A31">
        <w:t xml:space="preserve"> the right to be released on or without bail five days after bein</w:t>
      </w:r>
      <w:r>
        <w:t>g questioned, provided that he or she</w:t>
      </w:r>
      <w:r w:rsidRPr="00F33A31">
        <w:t xml:space="preserve"> had a fixed abode in Tunisia and had not previously b</w:t>
      </w:r>
      <w:r>
        <w:t>een sentenced to more than</w:t>
      </w:r>
      <w:r w:rsidR="00BD5D63">
        <w:t xml:space="preserve"> </w:t>
      </w:r>
      <w:r w:rsidR="00BC2801">
        <w:t>three</w:t>
      </w:r>
      <w:r>
        <w:t xml:space="preserve"> months</w:t>
      </w:r>
      <w:r w:rsidR="00E37367">
        <w:t>’</w:t>
      </w:r>
      <w:r w:rsidRPr="00F33A31">
        <w:t xml:space="preserve"> imprisonment.</w:t>
      </w:r>
    </w:p>
    <w:p w:rsidR="000949E9" w:rsidRDefault="000949E9" w:rsidP="000949E9">
      <w:pPr>
        <w:pStyle w:val="SingleTxtG"/>
      </w:pPr>
      <w:r w:rsidRPr="00F33A31">
        <w:t>64.</w:t>
      </w:r>
      <w:r w:rsidRPr="00F33A31">
        <w:tab/>
        <w:t xml:space="preserve">However, this article was rarely </w:t>
      </w:r>
      <w:r>
        <w:t>appli</w:t>
      </w:r>
      <w:r w:rsidRPr="00F33A31">
        <w:t>ed</w:t>
      </w:r>
      <w:r>
        <w:t>,</w:t>
      </w:r>
      <w:r w:rsidRPr="00F33A31">
        <w:t xml:space="preserve"> since </w:t>
      </w:r>
      <w:r>
        <w:t>only very few accused persons</w:t>
      </w:r>
      <w:r w:rsidRPr="00F33A31">
        <w:t xml:space="preserve"> met </w:t>
      </w:r>
      <w:r>
        <w:t xml:space="preserve">both </w:t>
      </w:r>
      <w:r w:rsidRPr="00F33A31">
        <w:t xml:space="preserve">conditions. To </w:t>
      </w:r>
      <w:r>
        <w:t>emphasize</w:t>
      </w:r>
      <w:r w:rsidRPr="00F33A31">
        <w:t xml:space="preserve"> that pretrial detention is an exceptional measure, the new </w:t>
      </w:r>
      <w:r>
        <w:t>Act</w:t>
      </w:r>
      <w:r w:rsidRPr="00F33A31">
        <w:t xml:space="preserve"> broadens the scope of release on or without bail five days after questioning to include </w:t>
      </w:r>
      <w:r>
        <w:t>accused persons</w:t>
      </w:r>
      <w:r w:rsidRPr="00F33A31">
        <w:t xml:space="preserve"> with a fixed abode in Tunisia who have not previously</w:t>
      </w:r>
      <w:r>
        <w:t xml:space="preserve"> been sentenced to more than </w:t>
      </w:r>
      <w:r w:rsidR="004C2BD0">
        <w:t xml:space="preserve">six </w:t>
      </w:r>
      <w:r w:rsidRPr="00F33A31">
        <w:t xml:space="preserve">months in prison, if the maximum penalty prescribed by law </w:t>
      </w:r>
      <w:r>
        <w:t xml:space="preserve">is </w:t>
      </w:r>
      <w:r w:rsidR="00BC2801">
        <w:t xml:space="preserve">two </w:t>
      </w:r>
      <w:r>
        <w:t>years</w:t>
      </w:r>
      <w:r w:rsidR="00E37367">
        <w:t>’</w:t>
      </w:r>
      <w:r w:rsidRPr="00F33A31">
        <w:t xml:space="preserve"> imprisonment.</w:t>
      </w:r>
    </w:p>
    <w:p w:rsidR="000949E9" w:rsidRDefault="000949E9" w:rsidP="000949E9">
      <w:pPr>
        <w:pStyle w:val="SingleTxtG"/>
      </w:pPr>
      <w:r w:rsidRPr="00F33A31">
        <w:t>65.</w:t>
      </w:r>
      <w:r w:rsidRPr="00F33A31">
        <w:tab/>
        <w:t xml:space="preserve">This </w:t>
      </w:r>
      <w:r>
        <w:t>rule is</w:t>
      </w:r>
      <w:r w:rsidRPr="00F33A31">
        <w:t xml:space="preserve"> not a</w:t>
      </w:r>
      <w:r>
        <w:t>bsolute,</w:t>
      </w:r>
      <w:r w:rsidRPr="00F33A31">
        <w:t xml:space="preserve"> </w:t>
      </w:r>
      <w:r>
        <w:t xml:space="preserve">however, exceptions are allowed for </w:t>
      </w:r>
      <w:r w:rsidRPr="00F33A31">
        <w:t>cer</w:t>
      </w:r>
      <w:r>
        <w:t>tain serious crimes which impinge on</w:t>
      </w:r>
      <w:r w:rsidRPr="00F33A31">
        <w:t xml:space="preserve"> public safety.</w:t>
      </w:r>
    </w:p>
    <w:p w:rsidR="000949E9" w:rsidRDefault="000949E9" w:rsidP="000949E9">
      <w:pPr>
        <w:pStyle w:val="H4G"/>
      </w:pPr>
      <w:r>
        <w:tab/>
        <w:t>B.</w:t>
      </w:r>
      <w:r>
        <w:tab/>
      </w:r>
      <w:r w:rsidRPr="00F33A31">
        <w:t>Facilitating reintegration</w:t>
      </w:r>
    </w:p>
    <w:p w:rsidR="000949E9" w:rsidRDefault="000949E9" w:rsidP="000949E9">
      <w:pPr>
        <w:pStyle w:val="SingleTxtG"/>
      </w:pPr>
      <w:r w:rsidRPr="00F33A31">
        <w:t>66.</w:t>
      </w:r>
      <w:r w:rsidRPr="00F33A31">
        <w:tab/>
        <w:t>The main new elements i</w:t>
      </w:r>
      <w:r>
        <w:t>ntroduced by this Act include:</w:t>
      </w:r>
    </w:p>
    <w:p w:rsidR="000949E9" w:rsidRDefault="000949E9" w:rsidP="000949E9">
      <w:pPr>
        <w:pStyle w:val="Bullet1G"/>
      </w:pPr>
      <w:r>
        <w:t>Revis</w:t>
      </w:r>
      <w:r w:rsidRPr="00F33A31">
        <w:t>ed time frames for rehabilitation by the pardons commission: und</w:t>
      </w:r>
      <w:r>
        <w:t xml:space="preserve">er the previous legislation, </w:t>
      </w:r>
      <w:r w:rsidRPr="00F33A31">
        <w:t>offender</w:t>
      </w:r>
      <w:r>
        <w:t>s</w:t>
      </w:r>
      <w:r w:rsidRPr="00F33A31">
        <w:t xml:space="preserve"> </w:t>
      </w:r>
      <w:r>
        <w:t xml:space="preserve">had to wait </w:t>
      </w:r>
      <w:r w:rsidRPr="00F33A31">
        <w:t xml:space="preserve">between one and three years </w:t>
      </w:r>
      <w:r>
        <w:t>before applying</w:t>
      </w:r>
      <w:r w:rsidRPr="00F33A31">
        <w:t xml:space="preserve"> to the pardons commission to recover their rights; the length of </w:t>
      </w:r>
      <w:r>
        <w:t>time</w:t>
      </w:r>
      <w:r w:rsidRPr="00F33A31">
        <w:t xml:space="preserve"> depended on whether </w:t>
      </w:r>
      <w:r>
        <w:t>the offender had been convicted for</w:t>
      </w:r>
      <w:r w:rsidRPr="00F33A31">
        <w:t xml:space="preserve"> a major or a serious offence. There is no doubt that </w:t>
      </w:r>
      <w:r>
        <w:t>the time limits</w:t>
      </w:r>
      <w:r w:rsidRPr="00F33A31">
        <w:t xml:space="preserve"> were excessive, since they hindered the detainee from finding emplo</w:t>
      </w:r>
      <w:r>
        <w:t>yment quickly. Under the new Act</w:t>
      </w:r>
      <w:r w:rsidRPr="00F33A31">
        <w:t>, the tim</w:t>
      </w:r>
      <w:r>
        <w:t>e limit</w:t>
      </w:r>
      <w:r w:rsidRPr="00F33A31">
        <w:t>s have been reduced</w:t>
      </w:r>
      <w:r>
        <w:t>,</w:t>
      </w:r>
      <w:r w:rsidRPr="00F33A31">
        <w:t xml:space="preserve"> from one year to six months for a major offence</w:t>
      </w:r>
      <w:r>
        <w:t>,</w:t>
      </w:r>
      <w:r w:rsidRPr="00F33A31">
        <w:t xml:space="preserve"> and from three years to t</w:t>
      </w:r>
      <w:r>
        <w:t>wo years for a serious offence.</w:t>
      </w:r>
    </w:p>
    <w:p w:rsidR="000949E9" w:rsidRDefault="000949E9" w:rsidP="000949E9">
      <w:pPr>
        <w:pStyle w:val="SingleTxtG"/>
      </w:pPr>
      <w:r>
        <w:t>67.</w:t>
      </w:r>
      <w:r>
        <w:tab/>
        <w:t>Revised time limit</w:t>
      </w:r>
      <w:r w:rsidRPr="00F33A31">
        <w:t>s for the au</w:t>
      </w:r>
      <w:r>
        <w:t>tomatic restoration of rights. Under the p</w:t>
      </w:r>
      <w:r w:rsidRPr="00F33A31">
        <w:t>revious legislation</w:t>
      </w:r>
      <w:r>
        <w:t>,</w:t>
      </w:r>
      <w:r w:rsidRPr="00F33A31">
        <w:t xml:space="preserve"> </w:t>
      </w:r>
      <w:r>
        <w:t>for automatic restoration of rights</w:t>
      </w:r>
      <w:r w:rsidRPr="00F33A31">
        <w:t xml:space="preserve">, the offender could not be reconvicted of a major or serious offence within a </w:t>
      </w:r>
      <w:r>
        <w:t>given</w:t>
      </w:r>
      <w:r w:rsidRPr="00F33A31">
        <w:t xml:space="preserve"> time period. This period depended on the nature of the offence committed. For f</w:t>
      </w:r>
      <w:r>
        <w:t>inancial penalties, it was</w:t>
      </w:r>
      <w:r w:rsidR="00BD5D63">
        <w:t xml:space="preserve"> 3</w:t>
      </w:r>
      <w:r w:rsidRPr="00F33A31">
        <w:t xml:space="preserve"> years from the date on which the payment was registered or from when the penalty no longer </w:t>
      </w:r>
      <w:r>
        <w:t>applied, as the statute</w:t>
      </w:r>
      <w:r w:rsidRPr="00F33A31">
        <w:t xml:space="preserve"> of </w:t>
      </w:r>
      <w:r>
        <w:t>limitations had run out, 5</w:t>
      </w:r>
      <w:r w:rsidRPr="00F33A31">
        <w:t xml:space="preserve"> years for penalties of deprivation of liberty </w:t>
      </w:r>
      <w:r>
        <w:t>imposed for a major offence, and 10</w:t>
      </w:r>
      <w:r w:rsidRPr="00F33A31">
        <w:t xml:space="preserve"> years for penalties of deprivation of liberty handed down for a serious offence. These time </w:t>
      </w:r>
      <w:r>
        <w:t>limits took effect</w:t>
      </w:r>
      <w:r w:rsidRPr="00F33A31">
        <w:t xml:space="preserve"> when the prison term ended or when the</w:t>
      </w:r>
      <w:r>
        <w:t xml:space="preserve"> penalty</w:t>
      </w:r>
      <w:r w:rsidRPr="00F33A31">
        <w:t xml:space="preserve"> no longer </w:t>
      </w:r>
      <w:r>
        <w:t>applied under the statute of limitations.</w:t>
      </w:r>
    </w:p>
    <w:p w:rsidR="000949E9" w:rsidRDefault="000949E9" w:rsidP="000949E9">
      <w:pPr>
        <w:pStyle w:val="SingleTxtG"/>
      </w:pPr>
      <w:r w:rsidRPr="00F33A31">
        <w:t>68.</w:t>
      </w:r>
      <w:r w:rsidRPr="00F33A31">
        <w:tab/>
        <w:t xml:space="preserve">Since it is preferable to reduce the time necessary for rehabilitation so as to allow </w:t>
      </w:r>
      <w:r>
        <w:t xml:space="preserve">offenders </w:t>
      </w:r>
      <w:r w:rsidRPr="00F33A31">
        <w:t>to reintegrate into society and find employment more quickly, the new Act has reduced the penalt</w:t>
      </w:r>
      <w:r>
        <w:t>y for a minor offence from 3 years to 1</w:t>
      </w:r>
      <w:r w:rsidRPr="00F33A31">
        <w:t xml:space="preserve"> year, has reduced prison te</w:t>
      </w:r>
      <w:r>
        <w:t>rms for major offences from 5 years to 2</w:t>
      </w:r>
      <w:r w:rsidRPr="00F33A31">
        <w:t xml:space="preserve"> years and prison ter</w:t>
      </w:r>
      <w:r>
        <w:t>ms for serious offences from 10 years to 5</w:t>
      </w:r>
      <w:r w:rsidRPr="00F33A31">
        <w:t xml:space="preserve"> years.</w:t>
      </w:r>
    </w:p>
    <w:p w:rsidR="000949E9" w:rsidRDefault="000949E9" w:rsidP="000949E9">
      <w:pPr>
        <w:pStyle w:val="H23G"/>
      </w:pPr>
      <w:r w:rsidRPr="00F33A31">
        <w:tab/>
      </w:r>
      <w:r>
        <w:tab/>
      </w:r>
      <w:r w:rsidRPr="00F33A31">
        <w:t>Act No. 68 of 12 August 2009 on punitive damages and alternatives to prison sentences</w:t>
      </w:r>
    </w:p>
    <w:p w:rsidR="000949E9" w:rsidRDefault="000949E9" w:rsidP="000949E9">
      <w:pPr>
        <w:pStyle w:val="SingleTxtG"/>
      </w:pPr>
      <w:r w:rsidRPr="00F33A31">
        <w:t>69.</w:t>
      </w:r>
      <w:r w:rsidRPr="00F33A31">
        <w:tab/>
        <w:t>Thi</w:t>
      </w:r>
      <w:r>
        <w:t>s new Act empowers a court</w:t>
      </w:r>
      <w:r w:rsidRPr="00F33A31">
        <w:t xml:space="preserve"> ruling</w:t>
      </w:r>
      <w:r>
        <w:t xml:space="preserve"> on a petty offence </w:t>
      </w:r>
      <w:r w:rsidRPr="00F33A31">
        <w:t xml:space="preserve">or </w:t>
      </w:r>
      <w:r>
        <w:t>a simple</w:t>
      </w:r>
      <w:r w:rsidRPr="00F33A31">
        <w:t xml:space="preserve"> offence which carries a short-term prison sentence to </w:t>
      </w:r>
      <w:r>
        <w:t>replace</w:t>
      </w:r>
      <w:r w:rsidRPr="00F33A31">
        <w:t xml:space="preserve"> </w:t>
      </w:r>
      <w:r>
        <w:t>a prison sentence</w:t>
      </w:r>
      <w:r w:rsidRPr="00F33A31">
        <w:t xml:space="preserve"> wit</w:t>
      </w:r>
      <w:r>
        <w:t>h the payment, within a specified</w:t>
      </w:r>
      <w:r w:rsidRPr="00F33A31">
        <w:t xml:space="preserve"> time period, of damages which are agreed upon by the victim and offender</w:t>
      </w:r>
      <w:r>
        <w:t>,</w:t>
      </w:r>
      <w:r w:rsidRPr="00F33A31">
        <w:t xml:space="preserve"> </w:t>
      </w:r>
      <w:r>
        <w:t>subject to</w:t>
      </w:r>
      <w:r w:rsidRPr="00F33A31">
        <w:t xml:space="preserve"> the proviso that the original sente</w:t>
      </w:r>
      <w:r>
        <w:t>nce will be reinstated if the</w:t>
      </w:r>
      <w:r w:rsidRPr="00F33A31">
        <w:t xml:space="preserve"> damages are not paid </w:t>
      </w:r>
      <w:r>
        <w:t>on</w:t>
      </w:r>
      <w:r w:rsidRPr="00F33A31">
        <w:t xml:space="preserve"> time.</w:t>
      </w:r>
    </w:p>
    <w:p w:rsidR="000949E9" w:rsidRDefault="000949E9" w:rsidP="000949E9">
      <w:pPr>
        <w:pStyle w:val="SingleTxtG"/>
      </w:pPr>
      <w:r w:rsidRPr="00F33A31">
        <w:t>70.</w:t>
      </w:r>
      <w:r w:rsidRPr="00F33A31">
        <w:tab/>
        <w:t xml:space="preserve">Punitive damages may be imposed as an alternative to </w:t>
      </w:r>
      <w:r>
        <w:t>a prison term</w:t>
      </w:r>
      <w:r w:rsidRPr="00F33A31">
        <w:t xml:space="preserve"> for minor and major offences </w:t>
      </w:r>
      <w:r>
        <w:t xml:space="preserve">in </w:t>
      </w:r>
      <w:r w:rsidRPr="00F33A31">
        <w:t xml:space="preserve">which direct personal injury </w:t>
      </w:r>
      <w:r>
        <w:t xml:space="preserve">is done </w:t>
      </w:r>
      <w:r w:rsidRPr="00F33A31">
        <w:t>to the victim and which carry a pri</w:t>
      </w:r>
      <w:r>
        <w:t xml:space="preserve">son sentence of up to </w:t>
      </w:r>
      <w:r w:rsidR="002F0ACE">
        <w:t>6</w:t>
      </w:r>
      <w:r w:rsidRPr="00F33A31">
        <w:t xml:space="preserve"> months. Such</w:t>
      </w:r>
      <w:r>
        <w:t xml:space="preserve"> sentences are too short for</w:t>
      </w:r>
      <w:r w:rsidRPr="00F33A31">
        <w:t xml:space="preserve"> offender</w:t>
      </w:r>
      <w:r>
        <w:t>s</w:t>
      </w:r>
      <w:r w:rsidRPr="00F33A31">
        <w:t xml:space="preserve"> to benefit from the appropriate reform and rehabilitation programmes, </w:t>
      </w:r>
      <w:r>
        <w:t>which makes it less</w:t>
      </w:r>
      <w:r w:rsidRPr="00F33A31">
        <w:t xml:space="preserve"> </w:t>
      </w:r>
      <w:r>
        <w:t>likely</w:t>
      </w:r>
      <w:r w:rsidRPr="00F33A31">
        <w:t xml:space="preserve"> that </w:t>
      </w:r>
      <w:r>
        <w:t>they</w:t>
      </w:r>
      <w:r w:rsidRPr="00F33A31">
        <w:t xml:space="preserve"> will achieve their objectives </w:t>
      </w:r>
      <w:r>
        <w:t>of effecting reform</w:t>
      </w:r>
      <w:r w:rsidRPr="00F33A31">
        <w:t xml:space="preserve"> and</w:t>
      </w:r>
      <w:r>
        <w:t xml:space="preserve"> more</w:t>
      </w:r>
      <w:r w:rsidRPr="00F33A31">
        <w:t xml:space="preserve"> </w:t>
      </w:r>
      <w:r>
        <w:t>likely</w:t>
      </w:r>
      <w:r w:rsidRPr="00F33A31">
        <w:t xml:space="preserve"> that the offender will reoffend.</w:t>
      </w:r>
    </w:p>
    <w:p w:rsidR="000949E9" w:rsidRDefault="000949E9" w:rsidP="000949E9">
      <w:pPr>
        <w:pStyle w:val="SingleTxtG"/>
      </w:pPr>
      <w:r w:rsidRPr="00F33A31">
        <w:t>71.</w:t>
      </w:r>
      <w:r w:rsidRPr="00F33A31">
        <w:tab/>
        <w:t>When ruling on a case, a court may also safeguard the rights of the victim by requiring the o</w:t>
      </w:r>
      <w:r>
        <w:t>ffender to pay punitive damages of not</w:t>
      </w:r>
      <w:r w:rsidRPr="00F33A31">
        <w:t xml:space="preserve"> less than 20 </w:t>
      </w:r>
      <w:r>
        <w:t xml:space="preserve">Tunisian </w:t>
      </w:r>
      <w:r w:rsidRPr="00F33A31">
        <w:t xml:space="preserve">dinars and not </w:t>
      </w:r>
      <w:r>
        <w:t>more than</w:t>
      </w:r>
      <w:r w:rsidRPr="00F33A31">
        <w:t xml:space="preserve"> 5,000 dinars, even</w:t>
      </w:r>
      <w:r>
        <w:t xml:space="preserve"> if there are multiple victims.</w:t>
      </w:r>
    </w:p>
    <w:p w:rsidR="000949E9" w:rsidRDefault="000949E9" w:rsidP="000949E9">
      <w:pPr>
        <w:pStyle w:val="SingleTxtG"/>
      </w:pPr>
      <w:r w:rsidRPr="00F33A31">
        <w:t>72.</w:t>
      </w:r>
      <w:r w:rsidRPr="00F33A31">
        <w:tab/>
        <w:t>In order to balance the interests of the victim, t</w:t>
      </w:r>
      <w:r>
        <w:t>he accused and society, the abov</w:t>
      </w:r>
      <w:r w:rsidRPr="00F33A31">
        <w:t>e</w:t>
      </w:r>
      <w:r>
        <w:t>-</w:t>
      </w:r>
      <w:r w:rsidRPr="00F33A31">
        <w:t>mentioned provisions do not apply to offence</w:t>
      </w:r>
      <w:r>
        <w:t xml:space="preserve">s for which a prison term of </w:t>
      </w:r>
      <w:r w:rsidR="002F0ACE">
        <w:t>6</w:t>
      </w:r>
      <w:r w:rsidRPr="00F33A31">
        <w:t xml:space="preserve"> months or more is </w:t>
      </w:r>
      <w:r>
        <w:t>prescrib</w:t>
      </w:r>
      <w:r w:rsidRPr="00F33A31">
        <w:t>ed or which pose an inherent danger to society and for which the payment of compensation cannot make amends. Likewise, punitive damages may not be offered as an alternative to prison terms</w:t>
      </w:r>
      <w:r>
        <w:t xml:space="preserve"> even o</w:t>
      </w:r>
      <w:r w:rsidRPr="00F33A31">
        <w:t>f less than six months</w:t>
      </w:r>
      <w:r>
        <w:t>, for certain serious</w:t>
      </w:r>
      <w:r w:rsidRPr="00F33A31">
        <w:t xml:space="preserve"> offences. Such offences include bribery and offences whose gravity depends on the status of the victim, </w:t>
      </w:r>
      <w:r>
        <w:t>for example,</w:t>
      </w:r>
      <w:r w:rsidRPr="00F33A31">
        <w:t xml:space="preserve"> offences against minors. Some offences which are subject to particular legal procedures are also excluded, such as causing death or injury as a result of a traffic accident and writing a cheque with insufficient funds in the relevant account to cover </w:t>
      </w:r>
      <w:r>
        <w:t>it</w:t>
      </w:r>
      <w:r w:rsidRPr="00F33A31">
        <w:t>.</w:t>
      </w:r>
    </w:p>
    <w:p w:rsidR="000949E9" w:rsidRPr="00F33A31" w:rsidRDefault="000949E9" w:rsidP="000949E9">
      <w:pPr>
        <w:pStyle w:val="SingleTxtG"/>
      </w:pPr>
      <w:r w:rsidRPr="00F33A31">
        <w:t>73.</w:t>
      </w:r>
      <w:r w:rsidRPr="00F33A31">
        <w:tab/>
      </w:r>
      <w:r>
        <w:t>T</w:t>
      </w:r>
      <w:r w:rsidRPr="00F33A31">
        <w:t xml:space="preserve">he accused, </w:t>
      </w:r>
      <w:r>
        <w:t xml:space="preserve">or </w:t>
      </w:r>
      <w:r w:rsidRPr="00F33A31">
        <w:t xml:space="preserve">his </w:t>
      </w:r>
      <w:r>
        <w:t>or her representative, or an ascendant, descendant, relative</w:t>
      </w:r>
      <w:r w:rsidRPr="00F33A31">
        <w:t xml:space="preserve"> or spouse </w:t>
      </w:r>
      <w:r>
        <w:t>has three months to</w:t>
      </w:r>
      <w:r w:rsidRPr="00F33A31">
        <w:t xml:space="preserve"> submit dated </w:t>
      </w:r>
      <w:r>
        <w:t xml:space="preserve">documentary </w:t>
      </w:r>
      <w:r w:rsidRPr="00F33A31">
        <w:t xml:space="preserve">evidence to the public prosecutor at the court which </w:t>
      </w:r>
      <w:r>
        <w:t>order</w:t>
      </w:r>
      <w:r w:rsidRPr="00F33A31">
        <w:t xml:space="preserve">ed the payment of punitive damages </w:t>
      </w:r>
      <w:r>
        <w:t xml:space="preserve">to show </w:t>
      </w:r>
      <w:r w:rsidRPr="00F33A31">
        <w:t>that the sentence has been executed or that the punitive damages have been paid.</w:t>
      </w:r>
    </w:p>
    <w:p w:rsidR="000949E9" w:rsidRDefault="000949E9" w:rsidP="000949E9">
      <w:pPr>
        <w:pStyle w:val="SingleTxtG"/>
      </w:pPr>
      <w:r w:rsidRPr="00F33A31">
        <w:t>74.</w:t>
      </w:r>
      <w:r w:rsidRPr="00F33A31">
        <w:tab/>
        <w:t xml:space="preserve">If the offender does not pay the punitive damages or </w:t>
      </w:r>
      <w:r>
        <w:t xml:space="preserve">make </w:t>
      </w:r>
      <w:r w:rsidRPr="00F33A31">
        <w:t xml:space="preserve">other restitution within three months of the date on which the </w:t>
      </w:r>
      <w:r>
        <w:t xml:space="preserve">deadline for </w:t>
      </w:r>
      <w:r w:rsidRPr="00F33A31">
        <w:t>appeal</w:t>
      </w:r>
      <w:r>
        <w:t>ing</w:t>
      </w:r>
      <w:r w:rsidRPr="00F33A31">
        <w:t xml:space="preserve"> the verdict of the court of first instance expires, or within three months of the final verdict being handed down, the public prosecutor will initiate procedures to enforce the </w:t>
      </w:r>
      <w:r>
        <w:t xml:space="preserve">original </w:t>
      </w:r>
      <w:r w:rsidRPr="00F33A31">
        <w:t>pris</w:t>
      </w:r>
      <w:r>
        <w:t>on sentence.</w:t>
      </w:r>
    </w:p>
    <w:p w:rsidR="000949E9" w:rsidRDefault="000949E9" w:rsidP="000949E9">
      <w:pPr>
        <w:pStyle w:val="SingleTxtG"/>
      </w:pPr>
      <w:r w:rsidRPr="00F33A31">
        <w:t>75.</w:t>
      </w:r>
      <w:r w:rsidRPr="00F33A31">
        <w:tab/>
        <w:t>If the punitive damages are paid within the legally stipulated time period, the prison s</w:t>
      </w:r>
      <w:r>
        <w:t>entence which was handed down will be</w:t>
      </w:r>
      <w:r w:rsidRPr="00F33A31">
        <w:t xml:space="preserve"> extinguished.</w:t>
      </w:r>
    </w:p>
    <w:p w:rsidR="000949E9" w:rsidRDefault="000949E9" w:rsidP="000949E9">
      <w:pPr>
        <w:pStyle w:val="SingleTxtG"/>
      </w:pPr>
      <w:r w:rsidRPr="00F33A31">
        <w:t>76.</w:t>
      </w:r>
      <w:r w:rsidRPr="00F33A31">
        <w:tab/>
        <w:t>In submitting this additional information to the Human Rights Committee, Tunisia wishes to reiterate its willingness to provide the Committee with further details in its next periodic report</w:t>
      </w:r>
      <w:r>
        <w:t>.</w:t>
      </w:r>
    </w:p>
    <w:p w:rsidR="000949E9" w:rsidRPr="00106A43" w:rsidRDefault="000949E9" w:rsidP="000949E9">
      <w:pPr>
        <w:spacing w:before="240"/>
        <w:jc w:val="center"/>
        <w:rPr>
          <w:u w:val="single"/>
        </w:rPr>
      </w:pPr>
      <w:r>
        <w:rPr>
          <w:u w:val="single"/>
        </w:rPr>
        <w:tab/>
      </w:r>
      <w:r>
        <w:rPr>
          <w:u w:val="single"/>
        </w:rPr>
        <w:tab/>
      </w:r>
      <w:r>
        <w:rPr>
          <w:u w:val="single"/>
        </w:rPr>
        <w:tab/>
      </w:r>
    </w:p>
    <w:sectPr w:rsidR="000949E9" w:rsidRPr="00106A43" w:rsidSect="00B15E94">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79B" w:rsidRDefault="00D4679B"/>
  </w:endnote>
  <w:endnote w:type="continuationSeparator" w:id="0">
    <w:p w:rsidR="00D4679B" w:rsidRDefault="00D4679B"/>
  </w:endnote>
  <w:endnote w:type="continuationNotice" w:id="1">
    <w:p w:rsidR="00D4679B" w:rsidRDefault="00D46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B1" w:rsidRPr="00B15E94" w:rsidRDefault="00DF5DB1" w:rsidP="00B15E94">
    <w:pPr>
      <w:pStyle w:val="Footer"/>
      <w:tabs>
        <w:tab w:val="right" w:pos="9598"/>
      </w:tabs>
    </w:pPr>
    <w:r w:rsidRPr="00B15E94">
      <w:rPr>
        <w:b/>
        <w:sz w:val="18"/>
      </w:rPr>
      <w:fldChar w:fldCharType="begin"/>
    </w:r>
    <w:r w:rsidRPr="00B15E94">
      <w:rPr>
        <w:b/>
        <w:sz w:val="18"/>
      </w:rPr>
      <w:instrText xml:space="preserve"> PAGE  \* MERGEFORMAT </w:instrText>
    </w:r>
    <w:r w:rsidRPr="00B15E94">
      <w:rPr>
        <w:b/>
        <w:sz w:val="18"/>
      </w:rPr>
      <w:fldChar w:fldCharType="separate"/>
    </w:r>
    <w:r w:rsidR="00AA270C">
      <w:rPr>
        <w:b/>
        <w:noProof/>
        <w:sz w:val="18"/>
      </w:rPr>
      <w:t>2</w:t>
    </w:r>
    <w:r w:rsidRPr="00B15E94">
      <w:rPr>
        <w:b/>
        <w:sz w:val="18"/>
      </w:rPr>
      <w:fldChar w:fldCharType="end"/>
    </w:r>
    <w:r>
      <w:rPr>
        <w:sz w:val="18"/>
      </w:rPr>
      <w:tab/>
    </w:r>
    <w:r>
      <w:t>GE.10-42047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B1" w:rsidRPr="00B15E94" w:rsidRDefault="00DF5DB1" w:rsidP="00B15E94">
    <w:pPr>
      <w:pStyle w:val="Footer"/>
      <w:tabs>
        <w:tab w:val="right" w:pos="9598"/>
      </w:tabs>
      <w:rPr>
        <w:b/>
        <w:sz w:val="18"/>
      </w:rPr>
    </w:pPr>
    <w:r>
      <w:t>GE.10-42047</w:t>
    </w:r>
    <w:r>
      <w:tab/>
    </w:r>
    <w:r w:rsidRPr="00B15E94">
      <w:rPr>
        <w:b/>
        <w:sz w:val="18"/>
      </w:rPr>
      <w:fldChar w:fldCharType="begin"/>
    </w:r>
    <w:r w:rsidRPr="00B15E94">
      <w:rPr>
        <w:b/>
        <w:sz w:val="18"/>
      </w:rPr>
      <w:instrText xml:space="preserve"> PAGE  \* MERGEFORMAT </w:instrText>
    </w:r>
    <w:r w:rsidRPr="00B15E94">
      <w:rPr>
        <w:b/>
        <w:sz w:val="18"/>
      </w:rPr>
      <w:fldChar w:fldCharType="separate"/>
    </w:r>
    <w:r w:rsidR="00AA270C">
      <w:rPr>
        <w:b/>
        <w:noProof/>
        <w:sz w:val="18"/>
      </w:rPr>
      <w:t>13</w:t>
    </w:r>
    <w:r w:rsidRPr="00B15E9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B1" w:rsidRDefault="00DF5DB1">
    <w:pPr>
      <w:pStyle w:val="Footer"/>
    </w:pPr>
    <w:r>
      <w:rPr>
        <w:sz w:val="20"/>
      </w:rPr>
      <w:t>GE.10-42047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300610    070710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79B" w:rsidRPr="000B175B" w:rsidRDefault="00D4679B" w:rsidP="000B175B">
      <w:pPr>
        <w:tabs>
          <w:tab w:val="right" w:pos="2155"/>
        </w:tabs>
        <w:spacing w:after="80"/>
        <w:ind w:left="680"/>
        <w:rPr>
          <w:u w:val="single"/>
        </w:rPr>
      </w:pPr>
      <w:r>
        <w:rPr>
          <w:u w:val="single"/>
        </w:rPr>
        <w:tab/>
      </w:r>
    </w:p>
  </w:footnote>
  <w:footnote w:type="continuationSeparator" w:id="0">
    <w:p w:rsidR="00D4679B" w:rsidRPr="00FC68B7" w:rsidRDefault="00D4679B" w:rsidP="00FC68B7">
      <w:pPr>
        <w:tabs>
          <w:tab w:val="left" w:pos="2155"/>
        </w:tabs>
        <w:spacing w:after="80"/>
        <w:ind w:left="680"/>
        <w:rPr>
          <w:u w:val="single"/>
        </w:rPr>
      </w:pPr>
      <w:r>
        <w:rPr>
          <w:u w:val="single"/>
        </w:rPr>
        <w:tab/>
      </w:r>
    </w:p>
  </w:footnote>
  <w:footnote w:type="continuationNotice" w:id="1">
    <w:p w:rsidR="00D4679B" w:rsidRDefault="00D4679B"/>
  </w:footnote>
  <w:footnote w:id="2">
    <w:p w:rsidR="00DF5DB1" w:rsidRPr="00B15E94" w:rsidRDefault="00DF5DB1">
      <w:pPr>
        <w:pStyle w:val="FootnoteText"/>
      </w:pPr>
      <w:r>
        <w:tab/>
      </w:r>
      <w:r w:rsidRPr="00B15E94">
        <w:rPr>
          <w:rStyle w:val="FootnoteReference"/>
          <w:sz w:val="20"/>
          <w:vertAlign w:val="baseline"/>
        </w:rPr>
        <w:t>*</w:t>
      </w:r>
      <w:r>
        <w:rPr>
          <w:sz w:val="20"/>
        </w:rPr>
        <w:tab/>
      </w:r>
      <w:r w:rsidRPr="00B15E94">
        <w:rPr>
          <w:szCs w:val="18"/>
        </w:rPr>
        <w:t>In accordance with the information transmitted to States parties regarding the processing of their reports, the present document was not formally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B1" w:rsidRPr="00B15E94" w:rsidRDefault="00DF5DB1" w:rsidP="00B15E94">
    <w:pPr>
      <w:pStyle w:val="Header"/>
    </w:pPr>
    <w:r w:rsidRPr="00B15E94">
      <w:t>CCPR/C/TUN/CO</w:t>
    </w:r>
    <w:r w:rsidR="00AA270C">
      <w:t>/5/</w:t>
    </w:r>
    <w:r w:rsidRPr="00B15E94">
      <w:t>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B1" w:rsidRPr="00B15E94" w:rsidRDefault="00DF5DB1" w:rsidP="00B15E94">
    <w:pPr>
      <w:pStyle w:val="Header"/>
      <w:jc w:val="right"/>
    </w:pPr>
    <w:r w:rsidRPr="00B15E94">
      <w:t>CCPR/C/TUN/CO</w:t>
    </w:r>
    <w:r>
      <w:t>/</w:t>
    </w:r>
    <w:r w:rsidRPr="00B15E94">
      <w:t>5/Add.2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5A7"/>
    <w:rsid w:val="00050F6B"/>
    <w:rsid w:val="00057E97"/>
    <w:rsid w:val="00060C3A"/>
    <w:rsid w:val="00072C8C"/>
    <w:rsid w:val="000733B5"/>
    <w:rsid w:val="00081815"/>
    <w:rsid w:val="000931C0"/>
    <w:rsid w:val="000949E9"/>
    <w:rsid w:val="000B093D"/>
    <w:rsid w:val="000B175B"/>
    <w:rsid w:val="000B3A0F"/>
    <w:rsid w:val="000B4EF7"/>
    <w:rsid w:val="000C2C03"/>
    <w:rsid w:val="000C2D2E"/>
    <w:rsid w:val="000E0415"/>
    <w:rsid w:val="001103AA"/>
    <w:rsid w:val="00147104"/>
    <w:rsid w:val="00165F3A"/>
    <w:rsid w:val="00166539"/>
    <w:rsid w:val="00172EE9"/>
    <w:rsid w:val="00183968"/>
    <w:rsid w:val="001A6686"/>
    <w:rsid w:val="001B4B04"/>
    <w:rsid w:val="001B6DFE"/>
    <w:rsid w:val="001C6663"/>
    <w:rsid w:val="001C7895"/>
    <w:rsid w:val="001D0C8C"/>
    <w:rsid w:val="001D26DF"/>
    <w:rsid w:val="001D3A03"/>
    <w:rsid w:val="001F20C3"/>
    <w:rsid w:val="00202DA8"/>
    <w:rsid w:val="0020307E"/>
    <w:rsid w:val="00211E0B"/>
    <w:rsid w:val="0023210C"/>
    <w:rsid w:val="002549FE"/>
    <w:rsid w:val="00267F5F"/>
    <w:rsid w:val="00286B4D"/>
    <w:rsid w:val="002937F7"/>
    <w:rsid w:val="002F0ACE"/>
    <w:rsid w:val="002F175C"/>
    <w:rsid w:val="003220EB"/>
    <w:rsid w:val="003229D8"/>
    <w:rsid w:val="00325DC1"/>
    <w:rsid w:val="00332996"/>
    <w:rsid w:val="00332CBF"/>
    <w:rsid w:val="00352709"/>
    <w:rsid w:val="00364C60"/>
    <w:rsid w:val="00367567"/>
    <w:rsid w:val="00371178"/>
    <w:rsid w:val="0037546C"/>
    <w:rsid w:val="003A6810"/>
    <w:rsid w:val="003C2CC4"/>
    <w:rsid w:val="003D4B23"/>
    <w:rsid w:val="003D626D"/>
    <w:rsid w:val="00410C89"/>
    <w:rsid w:val="00426B9B"/>
    <w:rsid w:val="004325CB"/>
    <w:rsid w:val="00436B33"/>
    <w:rsid w:val="00442A83"/>
    <w:rsid w:val="0045495B"/>
    <w:rsid w:val="00487488"/>
    <w:rsid w:val="004C2BD0"/>
    <w:rsid w:val="0052136D"/>
    <w:rsid w:val="0052775E"/>
    <w:rsid w:val="005420F2"/>
    <w:rsid w:val="005628B6"/>
    <w:rsid w:val="005848B3"/>
    <w:rsid w:val="005A4D1A"/>
    <w:rsid w:val="005B3DB3"/>
    <w:rsid w:val="005D0580"/>
    <w:rsid w:val="005F7717"/>
    <w:rsid w:val="005F7B75"/>
    <w:rsid w:val="006001EE"/>
    <w:rsid w:val="00605042"/>
    <w:rsid w:val="00611FC4"/>
    <w:rsid w:val="006173A6"/>
    <w:rsid w:val="006176FB"/>
    <w:rsid w:val="00640B26"/>
    <w:rsid w:val="00646AE6"/>
    <w:rsid w:val="00652D0A"/>
    <w:rsid w:val="00662BB6"/>
    <w:rsid w:val="00664D0C"/>
    <w:rsid w:val="00684C21"/>
    <w:rsid w:val="006B77F7"/>
    <w:rsid w:val="006D37AF"/>
    <w:rsid w:val="006D51D0"/>
    <w:rsid w:val="006E4B1F"/>
    <w:rsid w:val="006E564B"/>
    <w:rsid w:val="006E7191"/>
    <w:rsid w:val="007006A0"/>
    <w:rsid w:val="00703577"/>
    <w:rsid w:val="0072632A"/>
    <w:rsid w:val="007327D5"/>
    <w:rsid w:val="007629C8"/>
    <w:rsid w:val="00770D88"/>
    <w:rsid w:val="007B6BA5"/>
    <w:rsid w:val="007C3390"/>
    <w:rsid w:val="007C4F4B"/>
    <w:rsid w:val="007C784F"/>
    <w:rsid w:val="007E0B2D"/>
    <w:rsid w:val="007F6611"/>
    <w:rsid w:val="008242D7"/>
    <w:rsid w:val="008257B1"/>
    <w:rsid w:val="00843767"/>
    <w:rsid w:val="00865672"/>
    <w:rsid w:val="008679D9"/>
    <w:rsid w:val="00890102"/>
    <w:rsid w:val="008979B1"/>
    <w:rsid w:val="008A1DB2"/>
    <w:rsid w:val="008A6B25"/>
    <w:rsid w:val="008A6C4F"/>
    <w:rsid w:val="008B2335"/>
    <w:rsid w:val="008E0678"/>
    <w:rsid w:val="00904C9B"/>
    <w:rsid w:val="00910F40"/>
    <w:rsid w:val="00912C08"/>
    <w:rsid w:val="009223CA"/>
    <w:rsid w:val="00940F93"/>
    <w:rsid w:val="0095347F"/>
    <w:rsid w:val="009760F3"/>
    <w:rsid w:val="009760FA"/>
    <w:rsid w:val="009909F5"/>
    <w:rsid w:val="009A0E8D"/>
    <w:rsid w:val="009A1FCE"/>
    <w:rsid w:val="009A4303"/>
    <w:rsid w:val="009A4916"/>
    <w:rsid w:val="009B26E7"/>
    <w:rsid w:val="00A00A3F"/>
    <w:rsid w:val="00A01489"/>
    <w:rsid w:val="00A338F1"/>
    <w:rsid w:val="00A72F22"/>
    <w:rsid w:val="00A7360F"/>
    <w:rsid w:val="00A748A6"/>
    <w:rsid w:val="00A769F4"/>
    <w:rsid w:val="00A776B4"/>
    <w:rsid w:val="00A80F91"/>
    <w:rsid w:val="00A94361"/>
    <w:rsid w:val="00AA270C"/>
    <w:rsid w:val="00AA293C"/>
    <w:rsid w:val="00B13C3E"/>
    <w:rsid w:val="00B13E9B"/>
    <w:rsid w:val="00B15CE4"/>
    <w:rsid w:val="00B15E94"/>
    <w:rsid w:val="00B30179"/>
    <w:rsid w:val="00B339A7"/>
    <w:rsid w:val="00B46D44"/>
    <w:rsid w:val="00B54E88"/>
    <w:rsid w:val="00B56E4A"/>
    <w:rsid w:val="00B56E9C"/>
    <w:rsid w:val="00B64B1F"/>
    <w:rsid w:val="00B6553F"/>
    <w:rsid w:val="00B66E5E"/>
    <w:rsid w:val="00B77D05"/>
    <w:rsid w:val="00B81206"/>
    <w:rsid w:val="00B81E12"/>
    <w:rsid w:val="00B9067B"/>
    <w:rsid w:val="00BC2801"/>
    <w:rsid w:val="00BC2C23"/>
    <w:rsid w:val="00BC74E9"/>
    <w:rsid w:val="00BD5D63"/>
    <w:rsid w:val="00BE0C8E"/>
    <w:rsid w:val="00BF68A8"/>
    <w:rsid w:val="00C11A03"/>
    <w:rsid w:val="00C463DD"/>
    <w:rsid w:val="00C4724C"/>
    <w:rsid w:val="00C629A0"/>
    <w:rsid w:val="00C745C3"/>
    <w:rsid w:val="00CE4A8F"/>
    <w:rsid w:val="00CE6972"/>
    <w:rsid w:val="00D16025"/>
    <w:rsid w:val="00D2031B"/>
    <w:rsid w:val="00D25FE2"/>
    <w:rsid w:val="00D43252"/>
    <w:rsid w:val="00D4679B"/>
    <w:rsid w:val="00D47EEA"/>
    <w:rsid w:val="00D95303"/>
    <w:rsid w:val="00D978C6"/>
    <w:rsid w:val="00DA3111"/>
    <w:rsid w:val="00DA3C1C"/>
    <w:rsid w:val="00DB0C79"/>
    <w:rsid w:val="00DC05A7"/>
    <w:rsid w:val="00DC528A"/>
    <w:rsid w:val="00DE6004"/>
    <w:rsid w:val="00DF5DB1"/>
    <w:rsid w:val="00E27346"/>
    <w:rsid w:val="00E37367"/>
    <w:rsid w:val="00E647F3"/>
    <w:rsid w:val="00E71BC8"/>
    <w:rsid w:val="00E7260F"/>
    <w:rsid w:val="00E779FC"/>
    <w:rsid w:val="00E96630"/>
    <w:rsid w:val="00EB2581"/>
    <w:rsid w:val="00ED7A2A"/>
    <w:rsid w:val="00EF1D7F"/>
    <w:rsid w:val="00F20C3D"/>
    <w:rsid w:val="00F43E9E"/>
    <w:rsid w:val="00F620EF"/>
    <w:rsid w:val="00F63303"/>
    <w:rsid w:val="00F74F2F"/>
    <w:rsid w:val="00F8521A"/>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6</TotalTime>
  <Pages>1</Pages>
  <Words>5958</Words>
  <Characters>31283</Characters>
  <Application>Microsoft Office Word</Application>
  <DocSecurity>4</DocSecurity>
  <Lines>558</Lines>
  <Paragraphs>235</Paragraphs>
  <ScaleCrop>false</ScaleCrop>
  <HeadingPairs>
    <vt:vector size="2" baseType="variant">
      <vt:variant>
        <vt:lpstr>Title</vt:lpstr>
      </vt:variant>
      <vt:variant>
        <vt:i4>1</vt:i4>
      </vt:variant>
    </vt:vector>
  </HeadingPairs>
  <TitlesOfParts>
    <vt:vector size="1" baseType="lpstr">
      <vt:lpstr>1042047</vt:lpstr>
    </vt:vector>
  </TitlesOfParts>
  <Company>CSD</Company>
  <LinksUpToDate>false</LinksUpToDate>
  <CharactersWithSpaces>37006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1042047</dc:title>
  <dc:subject/>
  <dc:creator>Giltsoff</dc:creator>
  <cp:keywords>CCPER/C/TUN/CO0005/Add.2</cp:keywords>
  <dc:description>Final</dc:description>
  <cp:lastModifiedBy>Doyle</cp:lastModifiedBy>
  <cp:revision>3</cp:revision>
  <cp:lastPrinted>2010-07-07T10:08:00Z</cp:lastPrinted>
  <dcterms:created xsi:type="dcterms:W3CDTF">2010-07-07T10:07:00Z</dcterms:created>
  <dcterms:modified xsi:type="dcterms:W3CDTF">2010-07-07T10:13:00Z</dcterms:modified>
</cp:coreProperties>
</file>