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5019DF3" w14:textId="77777777" w:rsidTr="007A2AE0">
        <w:trPr>
          <w:trHeight w:hRule="exact" w:val="851"/>
        </w:trPr>
        <w:tc>
          <w:tcPr>
            <w:tcW w:w="142" w:type="dxa"/>
            <w:tcBorders>
              <w:bottom w:val="single" w:sz="4" w:space="0" w:color="auto"/>
            </w:tcBorders>
          </w:tcPr>
          <w:p w14:paraId="539A9E29" w14:textId="77777777" w:rsidR="002D5AAC" w:rsidRDefault="002D5AAC" w:rsidP="007A2AE0"/>
        </w:tc>
        <w:tc>
          <w:tcPr>
            <w:tcW w:w="4820" w:type="dxa"/>
            <w:gridSpan w:val="2"/>
            <w:tcBorders>
              <w:bottom w:val="single" w:sz="4" w:space="0" w:color="auto"/>
            </w:tcBorders>
            <w:vAlign w:val="bottom"/>
          </w:tcPr>
          <w:p w14:paraId="6DB26269" w14:textId="77777777" w:rsidR="002D5AAC" w:rsidRPr="00BD33EE" w:rsidRDefault="00DF71B9" w:rsidP="007A2AE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7635FA" w14:textId="3CF5467B" w:rsidR="002D5AAC" w:rsidRDefault="00B8304D" w:rsidP="00B8304D">
            <w:pPr>
              <w:jc w:val="right"/>
            </w:pPr>
            <w:r w:rsidRPr="00B8304D">
              <w:rPr>
                <w:sz w:val="40"/>
              </w:rPr>
              <w:t>CMW</w:t>
            </w:r>
            <w:r>
              <w:t>/C/BOL/CO/3</w:t>
            </w:r>
          </w:p>
        </w:tc>
      </w:tr>
      <w:tr w:rsidR="002D5AAC" w:rsidRPr="00AA450E" w14:paraId="1C2D8164" w14:textId="77777777" w:rsidTr="007A2AE0">
        <w:trPr>
          <w:trHeight w:hRule="exact" w:val="2835"/>
        </w:trPr>
        <w:tc>
          <w:tcPr>
            <w:tcW w:w="1280" w:type="dxa"/>
            <w:gridSpan w:val="2"/>
            <w:tcBorders>
              <w:top w:val="single" w:sz="4" w:space="0" w:color="auto"/>
              <w:bottom w:val="single" w:sz="12" w:space="0" w:color="auto"/>
            </w:tcBorders>
          </w:tcPr>
          <w:p w14:paraId="4A153CEE" w14:textId="77777777" w:rsidR="002D5AAC" w:rsidRDefault="002E5067" w:rsidP="007A2AE0">
            <w:pPr>
              <w:spacing w:before="120"/>
              <w:jc w:val="center"/>
            </w:pPr>
            <w:r>
              <w:rPr>
                <w:noProof/>
                <w:lang w:val="fr-CH" w:eastAsia="fr-CH"/>
              </w:rPr>
              <w:drawing>
                <wp:inline distT="0" distB="0" distL="0" distR="0" wp14:anchorId="09D1EDFE" wp14:editId="55A3CED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BCF6582" w14:textId="77777777" w:rsidR="002D5AAC" w:rsidRPr="00033EE1" w:rsidRDefault="00734ACB" w:rsidP="007A2AE0">
            <w:pPr>
              <w:spacing w:before="120" w:line="360" w:lineRule="exact"/>
              <w:rPr>
                <w:b/>
                <w:sz w:val="34"/>
                <w:szCs w:val="34"/>
              </w:rPr>
            </w:pPr>
            <w:r w:rsidRPr="00CD6A00">
              <w:rPr>
                <w:b/>
                <w:spacing w:val="-4"/>
                <w:sz w:val="34"/>
                <w:szCs w:val="40"/>
              </w:rPr>
              <w:t xml:space="preserve">Международная </w:t>
            </w:r>
            <w:r>
              <w:rPr>
                <w:b/>
                <w:spacing w:val="-4"/>
                <w:sz w:val="34"/>
                <w:szCs w:val="40"/>
              </w:rPr>
              <w:t>к</w:t>
            </w:r>
            <w:r w:rsidRPr="00CD6A00">
              <w:rPr>
                <w:b/>
                <w:spacing w:val="-4"/>
                <w:sz w:val="34"/>
                <w:szCs w:val="40"/>
              </w:rPr>
              <w:t>онвенция</w:t>
            </w:r>
            <w:r w:rsidRPr="00CD6A00">
              <w:rPr>
                <w:b/>
                <w:spacing w:val="-4"/>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14:paraId="6B900ABD" w14:textId="77777777" w:rsidR="002D5AAC" w:rsidRPr="00B8304D" w:rsidRDefault="00B8304D" w:rsidP="007A2AE0">
            <w:pPr>
              <w:spacing w:before="240"/>
              <w:rPr>
                <w:lang w:val="en-US"/>
              </w:rPr>
            </w:pPr>
            <w:r w:rsidRPr="00B8304D">
              <w:rPr>
                <w:lang w:val="en-US"/>
              </w:rPr>
              <w:t>Distr.: General</w:t>
            </w:r>
          </w:p>
          <w:p w14:paraId="13607585" w14:textId="77777777" w:rsidR="00B8304D" w:rsidRPr="00B8304D" w:rsidRDefault="00B8304D" w:rsidP="00B8304D">
            <w:pPr>
              <w:spacing w:line="240" w:lineRule="exact"/>
              <w:rPr>
                <w:lang w:val="en-US"/>
              </w:rPr>
            </w:pPr>
            <w:r w:rsidRPr="00B8304D">
              <w:rPr>
                <w:lang w:val="en-US"/>
              </w:rPr>
              <w:t>27 October 2022</w:t>
            </w:r>
          </w:p>
          <w:p w14:paraId="12E3F77A" w14:textId="77777777" w:rsidR="00B8304D" w:rsidRPr="00B8304D" w:rsidRDefault="00B8304D" w:rsidP="00B8304D">
            <w:pPr>
              <w:spacing w:line="240" w:lineRule="exact"/>
              <w:rPr>
                <w:lang w:val="en-US"/>
              </w:rPr>
            </w:pPr>
            <w:r w:rsidRPr="00B8304D">
              <w:rPr>
                <w:lang w:val="en-US"/>
              </w:rPr>
              <w:t>Russian</w:t>
            </w:r>
          </w:p>
          <w:p w14:paraId="4E75E70B" w14:textId="7C7C0575" w:rsidR="00B8304D" w:rsidRPr="00B8304D" w:rsidRDefault="00B8304D" w:rsidP="00B8304D">
            <w:pPr>
              <w:spacing w:line="240" w:lineRule="exact"/>
              <w:rPr>
                <w:lang w:val="en-US"/>
              </w:rPr>
            </w:pPr>
            <w:r w:rsidRPr="00B8304D">
              <w:rPr>
                <w:lang w:val="en-US"/>
              </w:rPr>
              <w:t>Original: Spanish</w:t>
            </w:r>
          </w:p>
        </w:tc>
      </w:tr>
    </w:tbl>
    <w:p w14:paraId="1DBED816" w14:textId="01D63ABA" w:rsidR="00B8304D" w:rsidRPr="00B8304D" w:rsidRDefault="00B8304D" w:rsidP="00B8304D">
      <w:pPr>
        <w:spacing w:before="120"/>
        <w:rPr>
          <w:b/>
          <w:sz w:val="24"/>
          <w:szCs w:val="24"/>
        </w:rPr>
      </w:pPr>
      <w:r w:rsidRPr="00B8304D">
        <w:rPr>
          <w:b/>
          <w:bCs/>
          <w:sz w:val="24"/>
          <w:szCs w:val="24"/>
        </w:rPr>
        <w:t xml:space="preserve">Комитет по защите прав всех </w:t>
      </w:r>
      <w:r>
        <w:rPr>
          <w:b/>
          <w:bCs/>
          <w:sz w:val="24"/>
          <w:szCs w:val="24"/>
        </w:rPr>
        <w:br/>
      </w:r>
      <w:r w:rsidRPr="00B8304D">
        <w:rPr>
          <w:b/>
          <w:bCs/>
          <w:sz w:val="24"/>
          <w:szCs w:val="24"/>
        </w:rPr>
        <w:t>трудящихся-мигрантов и членов их семей</w:t>
      </w:r>
    </w:p>
    <w:p w14:paraId="3D7478AB" w14:textId="77777777" w:rsidR="00B8304D" w:rsidRPr="007F7AC4" w:rsidRDefault="00B8304D" w:rsidP="00B8304D">
      <w:pPr>
        <w:pStyle w:val="HChG"/>
      </w:pPr>
      <w:r>
        <w:tab/>
      </w:r>
      <w:r>
        <w:tab/>
      </w:r>
      <w:r>
        <w:rPr>
          <w:bCs/>
        </w:rPr>
        <w:t>Заключительные замечания по третьему периодическому докладу Многонационального Государства Боливия</w:t>
      </w:r>
      <w:r w:rsidRPr="00FC5C5F">
        <w:rPr>
          <w:rStyle w:val="aa"/>
          <w:b w:val="0"/>
          <w:bCs/>
          <w:sz w:val="20"/>
          <w:vertAlign w:val="baseline"/>
        </w:rPr>
        <w:footnoteReference w:customMarkFollows="1" w:id="1"/>
        <w:t>*</w:t>
      </w:r>
    </w:p>
    <w:p w14:paraId="38460632" w14:textId="4A8282E9" w:rsidR="00B8304D" w:rsidRPr="007F7AC4" w:rsidRDefault="00B8304D" w:rsidP="00B8304D">
      <w:pPr>
        <w:pStyle w:val="SingleTxtG"/>
      </w:pPr>
      <w:bookmarkStart w:id="0" w:name="_Hlk98746163"/>
      <w:r>
        <w:t>1.</w:t>
      </w:r>
      <w:r>
        <w:tab/>
        <w:t>Комитет рассмотрел третий периодический доклад Многонационального Государства Боливия</w:t>
      </w:r>
      <w:r>
        <w:rPr>
          <w:rStyle w:val="aa"/>
        </w:rPr>
        <w:footnoteReference w:id="2"/>
      </w:r>
      <w:r>
        <w:t xml:space="preserve"> на своих 500-м и 502-м заседаниях</w:t>
      </w:r>
      <w:r>
        <w:rPr>
          <w:rStyle w:val="aa"/>
        </w:rPr>
        <w:footnoteReference w:id="3"/>
      </w:r>
      <w:r>
        <w:t xml:space="preserve">, состоявшихся </w:t>
      </w:r>
      <w:r w:rsidR="00C81D32">
        <w:br/>
      </w:r>
      <w:r>
        <w:t>22 и 23 сентября 2022 года, и на своем 512-м заседании 30 сентября 2022 года принял настоящие заключительные замечания.</w:t>
      </w:r>
    </w:p>
    <w:bookmarkEnd w:id="0"/>
    <w:p w14:paraId="71689057" w14:textId="77777777" w:rsidR="00B8304D" w:rsidRPr="007F7AC4" w:rsidRDefault="00B8304D" w:rsidP="00B8304D">
      <w:pPr>
        <w:pStyle w:val="H1G"/>
      </w:pPr>
      <w:r>
        <w:rPr>
          <w:bCs/>
        </w:rPr>
        <w:tab/>
        <w:t>A.</w:t>
      </w:r>
      <w:r>
        <w:tab/>
      </w:r>
      <w:r>
        <w:rPr>
          <w:bCs/>
        </w:rPr>
        <w:t>Введение</w:t>
      </w:r>
    </w:p>
    <w:p w14:paraId="53765430" w14:textId="77777777" w:rsidR="00B8304D" w:rsidRPr="007F7AC4" w:rsidRDefault="00B8304D" w:rsidP="00B8304D">
      <w:pPr>
        <w:pStyle w:val="SingleTxtG"/>
      </w:pPr>
      <w:bookmarkStart w:id="1" w:name="_Hlk98746071"/>
      <w:r>
        <w:t>2.</w:t>
      </w:r>
      <w:r>
        <w:tab/>
        <w:t>Комитет приветствует представление третьего периодического доклада государства-участника, его ответы на перечень вопросов</w:t>
      </w:r>
      <w:r>
        <w:rPr>
          <w:rStyle w:val="aa"/>
        </w:rPr>
        <w:footnoteReference w:id="4"/>
      </w:r>
      <w:r>
        <w:t>, а также дополнительную информацию, представленную делегацией во главе с министром юстиции и транспарентности институтов, которую сопровождал заместитель министра юстиции и основных прав. В состав делегации также вошли представители Министерства внутренних дел, включая Генерального директора по вопросам миграции, а также посол и должностные лица Постоянного представительства Многонационального Государства Боливия при Отделении Организации Объединенных Наций и других международных организациях в Женеве.</w:t>
      </w:r>
    </w:p>
    <w:p w14:paraId="7D889591" w14:textId="77777777" w:rsidR="00B8304D" w:rsidRPr="007F7AC4" w:rsidRDefault="00B8304D" w:rsidP="00B8304D">
      <w:pPr>
        <w:pStyle w:val="SingleTxtG"/>
      </w:pPr>
      <w:r>
        <w:t>3.</w:t>
      </w:r>
      <w:r>
        <w:tab/>
        <w:t>Комитет высоко оценивает открытый и конструктивный диалог с делегацией, проведенный в смешанном формате, а также полученную от представителей государства-участника информацию и конструктивное взаимодействие в ходе заседаний, позволившее совместно проанализировать и обсудить различные вопросы.</w:t>
      </w:r>
      <w:bookmarkEnd w:id="1"/>
    </w:p>
    <w:p w14:paraId="7BDEDD99" w14:textId="77777777" w:rsidR="00B8304D" w:rsidRPr="007F7AC4" w:rsidRDefault="00B8304D" w:rsidP="00B8304D">
      <w:pPr>
        <w:pStyle w:val="SingleTxtG"/>
      </w:pPr>
      <w:r>
        <w:t>4.</w:t>
      </w:r>
      <w:r>
        <w:tab/>
        <w:t>Комитет осведомлен о том, что Многонациональное Государство Боливия как страна происхождения трудящихся-мигрантов добилась прогресса в защите прав своих граждан за рубежом. В то же время он отмечает, что как страна происхождения, транзита, возвращения и назначения государство-участник сталкивается с проблемами в том, что касается защиты прав трудящихся-мигрантов и членов их семей.</w:t>
      </w:r>
    </w:p>
    <w:p w14:paraId="2FE83596" w14:textId="2403E695" w:rsidR="00B8304D" w:rsidRPr="007F7AC4" w:rsidRDefault="00B8304D" w:rsidP="00B8304D">
      <w:pPr>
        <w:pStyle w:val="SingleTxtG"/>
      </w:pPr>
      <w:r>
        <w:t>5.</w:t>
      </w:r>
      <w:r>
        <w:tab/>
        <w:t>Комитет отмечает, что некоторые из стран, в которых поселились боливийцы, являются частью Южноамериканского общего рынка и Андского сообщества и</w:t>
      </w:r>
      <w:r w:rsidR="006A31AA">
        <w:rPr>
          <w:lang w:val="en-US"/>
        </w:rPr>
        <w:t> </w:t>
      </w:r>
      <w:r>
        <w:t>поэтому могут пользоваться преимуществами, которые дают их миграционные соглашения, такие как Андский миграционный статут, Андский документ по вопросам миграции рабочей силы и Соглашение о праве на проживание для граждан государств</w:t>
      </w:r>
      <w:r w:rsidR="00D25848">
        <w:rPr>
          <w:lang w:val="en-US"/>
        </w:rPr>
        <w:t> </w:t>
      </w:r>
      <w:r w:rsidR="00D25848" w:rsidRPr="00D25848">
        <w:t>—</w:t>
      </w:r>
      <w:r w:rsidR="00D25848">
        <w:rPr>
          <w:lang w:val="en-US"/>
        </w:rPr>
        <w:t> </w:t>
      </w:r>
      <w:r>
        <w:t>членов Южноамериканского общего рынка.</w:t>
      </w:r>
    </w:p>
    <w:p w14:paraId="7A5C90D5" w14:textId="77777777" w:rsidR="00B8304D" w:rsidRPr="007F7AC4" w:rsidRDefault="00B8304D" w:rsidP="00B8304D">
      <w:pPr>
        <w:pStyle w:val="H1G"/>
      </w:pPr>
      <w:r>
        <w:rPr>
          <w:bCs/>
        </w:rPr>
        <w:lastRenderedPageBreak/>
        <w:tab/>
        <w:t>B.</w:t>
      </w:r>
      <w:r>
        <w:tab/>
      </w:r>
      <w:r>
        <w:rPr>
          <w:bCs/>
        </w:rPr>
        <w:t>Позитивные аспекты</w:t>
      </w:r>
    </w:p>
    <w:p w14:paraId="4C2D374F" w14:textId="77777777" w:rsidR="00B8304D" w:rsidRPr="007F7AC4" w:rsidRDefault="00B8304D" w:rsidP="00B8304D">
      <w:pPr>
        <w:pStyle w:val="SingleTxtG"/>
      </w:pPr>
      <w:r>
        <w:t>6.</w:t>
      </w:r>
      <w:r>
        <w:tab/>
        <w:t>Комитет с удовлетворением отмечает ратификацию следующих договоров:</w:t>
      </w:r>
    </w:p>
    <w:p w14:paraId="7DAFBC52" w14:textId="77777777" w:rsidR="00B8304D" w:rsidRPr="007F7AC4" w:rsidRDefault="00B8304D" w:rsidP="006A31AA">
      <w:pPr>
        <w:pStyle w:val="SingleTxtG"/>
        <w:ind w:firstLine="567"/>
      </w:pPr>
      <w:r>
        <w:t>a)</w:t>
      </w:r>
      <w:r>
        <w:tab/>
        <w:t>Межамериканской конвенции о защите прав человека пожилых людей в мае 2017 года;</w:t>
      </w:r>
    </w:p>
    <w:p w14:paraId="59D881D6" w14:textId="157234AD" w:rsidR="00B8304D" w:rsidRPr="007F7AC4" w:rsidRDefault="00B8304D" w:rsidP="006A31AA">
      <w:pPr>
        <w:pStyle w:val="SingleTxtG"/>
        <w:ind w:firstLine="567"/>
      </w:pPr>
      <w:r>
        <w:t>b)</w:t>
      </w:r>
      <w:r>
        <w:tab/>
        <w:t>Конвенции 1988 года о безопасности и гигиене труда в строительстве (№</w:t>
      </w:r>
      <w:r w:rsidR="006A31AA">
        <w:rPr>
          <w:lang w:val="en-US"/>
        </w:rPr>
        <w:t> </w:t>
      </w:r>
      <w:r>
        <w:t>167) Международной организации труда (МОТ) в феврале 2015 года;</w:t>
      </w:r>
    </w:p>
    <w:p w14:paraId="61F9C5E2" w14:textId="77777777" w:rsidR="00B8304D" w:rsidRPr="007F7AC4" w:rsidRDefault="00B8304D" w:rsidP="006A31AA">
      <w:pPr>
        <w:pStyle w:val="SingleTxtG"/>
        <w:ind w:firstLine="567"/>
      </w:pPr>
      <w:r>
        <w:t>c)</w:t>
      </w:r>
      <w:r>
        <w:tab/>
        <w:t>Факультативного протокола к Конвенции о правах ребенка, касающегося процедуры сообщений, в апреле 2013 года;</w:t>
      </w:r>
    </w:p>
    <w:p w14:paraId="46295275" w14:textId="25E201FC" w:rsidR="00B8304D" w:rsidRPr="007F7AC4" w:rsidRDefault="00B8304D" w:rsidP="006A31AA">
      <w:pPr>
        <w:pStyle w:val="SingleTxtG"/>
        <w:ind w:firstLine="567"/>
      </w:pPr>
      <w:r>
        <w:t>d)</w:t>
      </w:r>
      <w:r>
        <w:tab/>
        <w:t>Конвенции 2011 года о домашних работниках (№ 189) МОТ в апреле 2013</w:t>
      </w:r>
      <w:r w:rsidR="006A31AA">
        <w:rPr>
          <w:lang w:val="en-US"/>
        </w:rPr>
        <w:t> </w:t>
      </w:r>
      <w:r>
        <w:t>года.</w:t>
      </w:r>
    </w:p>
    <w:p w14:paraId="3A4D26CD" w14:textId="77777777" w:rsidR="00B8304D" w:rsidRPr="007F7AC4" w:rsidRDefault="00B8304D" w:rsidP="00B8304D">
      <w:pPr>
        <w:pStyle w:val="SingleTxtG"/>
      </w:pPr>
      <w:r>
        <w:t>7.</w:t>
      </w:r>
      <w:r>
        <w:tab/>
        <w:t xml:space="preserve">Комитет приветствует следующие законодательные меры: </w:t>
      </w:r>
    </w:p>
    <w:p w14:paraId="3CD64736" w14:textId="77777777" w:rsidR="00B8304D" w:rsidRPr="007F7AC4" w:rsidRDefault="00B8304D" w:rsidP="006A31AA">
      <w:pPr>
        <w:pStyle w:val="SingleTxtG"/>
        <w:ind w:firstLine="567"/>
      </w:pPr>
      <w:r>
        <w:t>a)</w:t>
      </w:r>
      <w:r>
        <w:tab/>
        <w:t>Закон № 1173 от 3 мая 2019 года о сокращении сроков уголовного разбирательства и усилении комплексной борьбы с насилием в отношении детей, подростков и женщин;</w:t>
      </w:r>
    </w:p>
    <w:p w14:paraId="0376BA10" w14:textId="06D0FD21" w:rsidR="00B8304D" w:rsidRPr="007F7AC4" w:rsidRDefault="00B8304D" w:rsidP="006A31AA">
      <w:pPr>
        <w:pStyle w:val="SingleTxtG"/>
        <w:ind w:firstLine="567"/>
      </w:pPr>
      <w:r>
        <w:t>b)</w:t>
      </w:r>
      <w:r>
        <w:tab/>
        <w:t>Закон № 1152, вносящий изменения в Закон № 475 от 30 декабря 2013</w:t>
      </w:r>
      <w:r w:rsidR="006A31AA">
        <w:rPr>
          <w:lang w:val="en-US"/>
        </w:rPr>
        <w:t> </w:t>
      </w:r>
      <w:r>
        <w:t xml:space="preserve">года о предоставлении комплексных медицинских услуг в Многонациональном Государстве Боливия с поправками, внесенными Законом № 1069 от 28 мая 2018 года, озаглавленного </w:t>
      </w:r>
      <w:r w:rsidR="00154FE3">
        <w:t>«</w:t>
      </w:r>
      <w:r>
        <w:t>На пути к единой, универсальной и бесплатной системе здравоохранения</w:t>
      </w:r>
      <w:r w:rsidR="00154FE3">
        <w:t>»</w:t>
      </w:r>
      <w:r>
        <w:t>, от 20 февраля 2019 года;</w:t>
      </w:r>
    </w:p>
    <w:p w14:paraId="7CCCAA50" w14:textId="77777777" w:rsidR="00B8304D" w:rsidRPr="007F7AC4" w:rsidRDefault="00B8304D" w:rsidP="006A31AA">
      <w:pPr>
        <w:pStyle w:val="SingleTxtG"/>
        <w:ind w:firstLine="567"/>
      </w:pPr>
      <w:r>
        <w:t>c)</w:t>
      </w:r>
      <w:r>
        <w:tab/>
        <w:t>Закон № 1067 от 28 мая 2018 года, вносящий изменения в Закон № 370 о миграции и предусматривающий более широкую регистрацию лиц, родившихся за рубежом от боливийских матерей или отцов;</w:t>
      </w:r>
    </w:p>
    <w:p w14:paraId="52AEA93C" w14:textId="77777777" w:rsidR="00B8304D" w:rsidRPr="007F7AC4" w:rsidRDefault="00B8304D" w:rsidP="006A31AA">
      <w:pPr>
        <w:pStyle w:val="SingleTxtG"/>
        <w:ind w:firstLine="567"/>
      </w:pPr>
      <w:r>
        <w:t>d)</w:t>
      </w:r>
      <w:r>
        <w:tab/>
        <w:t>Закон № 997 от 13 ноября 2017 года, вносящий изменения в Закон № 370 о миграции и позволяющий иностранцам старше 60 лет, имеющим постоянный вид на жительство, получить удостоверение личности иностранца с бессрочным сроком действия, и отменяющий плату за миграционные услуги для людей с инвалидностью, выезжающих за границу, а также для неплатежеспособных лиц и членов их семей, которым необходимо выехать за границу для лечения серьезных заболеваний;</w:t>
      </w:r>
    </w:p>
    <w:p w14:paraId="119F4B7A" w14:textId="3A1FD8A4" w:rsidR="00B8304D" w:rsidRPr="007F7AC4" w:rsidRDefault="00B8304D" w:rsidP="006A31AA">
      <w:pPr>
        <w:pStyle w:val="SingleTxtG"/>
        <w:ind w:firstLine="567"/>
      </w:pPr>
      <w:r>
        <w:t>e)</w:t>
      </w:r>
      <w:r>
        <w:tab/>
        <w:t>Закон № 464 о Многонациональной службе оказания помощи жертвам и Закон № 463 о Многонациональной службе государственных защитников от 19</w:t>
      </w:r>
      <w:r w:rsidR="006A31AA">
        <w:t> </w:t>
      </w:r>
      <w:r>
        <w:t>декабря 2013 года;</w:t>
      </w:r>
    </w:p>
    <w:p w14:paraId="271F3148" w14:textId="77777777" w:rsidR="00B8304D" w:rsidRPr="007F7AC4" w:rsidRDefault="00B8304D" w:rsidP="006A31AA">
      <w:pPr>
        <w:pStyle w:val="SingleTxtG"/>
        <w:ind w:firstLine="567"/>
      </w:pPr>
      <w:r>
        <w:t>f)</w:t>
      </w:r>
      <w:r>
        <w:tab/>
        <w:t>Закон № 370 о миграции</w:t>
      </w:r>
      <w:r>
        <w:rPr>
          <w:b/>
          <w:bCs/>
        </w:rPr>
        <w:t xml:space="preserve"> </w:t>
      </w:r>
      <w:r>
        <w:t>от 8 мая 2013 года и Верховный указ № 1923 от 12 марта 2014 года, которые обеспечивают защиту иностранных трудящихся-мигрантов и членов их семей.</w:t>
      </w:r>
    </w:p>
    <w:p w14:paraId="72B26634" w14:textId="77777777" w:rsidR="00B8304D" w:rsidRPr="007F7AC4" w:rsidRDefault="00B8304D" w:rsidP="00B8304D">
      <w:pPr>
        <w:pStyle w:val="SingleTxtG"/>
      </w:pPr>
      <w:r>
        <w:t>8.</w:t>
      </w:r>
      <w:r>
        <w:tab/>
        <w:t>Комитет также приветствует следующие институциональные и политические меры:</w:t>
      </w:r>
    </w:p>
    <w:p w14:paraId="4107CAEF" w14:textId="6480E441" w:rsidR="00B8304D" w:rsidRPr="007F7AC4" w:rsidRDefault="00B8304D" w:rsidP="006A31AA">
      <w:pPr>
        <w:pStyle w:val="SingleTxtG"/>
        <w:ind w:firstLine="567"/>
      </w:pPr>
      <w:r>
        <w:t>a)</w:t>
      </w:r>
      <w:r>
        <w:tab/>
      </w:r>
      <w:proofErr w:type="spellStart"/>
      <w:r>
        <w:t>Межсекторальный</w:t>
      </w:r>
      <w:proofErr w:type="spellEnd"/>
      <w:r>
        <w:t xml:space="preserve"> план всестороннего развития по обеспечению достойной жизни и борьбе с расизмом и всеми формами дискриминации на </w:t>
      </w:r>
      <w:r w:rsidR="006A31AA">
        <w:br/>
      </w:r>
      <w:r>
        <w:t>2021–2025 годы, утвержденный постановлением внеочередной сессии № 001/2022, от</w:t>
      </w:r>
      <w:r w:rsidR="006A31AA">
        <w:t> </w:t>
      </w:r>
      <w:r>
        <w:t>марта 2022 года;</w:t>
      </w:r>
    </w:p>
    <w:p w14:paraId="6300F7FB" w14:textId="77777777" w:rsidR="00B8304D" w:rsidRPr="007F7AC4" w:rsidRDefault="00B8304D" w:rsidP="006A31AA">
      <w:pPr>
        <w:pStyle w:val="SingleTxtG"/>
        <w:ind w:firstLine="567"/>
      </w:pPr>
      <w:r>
        <w:t>b)</w:t>
      </w:r>
      <w:r>
        <w:tab/>
        <w:t>Министерское постановление № 001/2022 от января 2022 года, которое относит мигрантов к группам населения, находящимся в уязвимом положении, и предусматривает гибкость при их регистрации в учебных заведениях;</w:t>
      </w:r>
    </w:p>
    <w:p w14:paraId="37364B20" w14:textId="77777777" w:rsidR="00B8304D" w:rsidRPr="007F7AC4" w:rsidRDefault="00B8304D" w:rsidP="006A31AA">
      <w:pPr>
        <w:pStyle w:val="SingleTxtG"/>
        <w:ind w:firstLine="567"/>
      </w:pPr>
      <w:r>
        <w:t>c)</w:t>
      </w:r>
      <w:r>
        <w:tab/>
        <w:t>Министерское постановление № 196/2021 от марта 2021 года, которое утверждает порядок рассмотрения жалоб на притеснения и сексуальные домогательства в отношении женщин на рабочем месте;</w:t>
      </w:r>
    </w:p>
    <w:p w14:paraId="38ECD687" w14:textId="77777777" w:rsidR="00B8304D" w:rsidRPr="007F7AC4" w:rsidRDefault="00B8304D" w:rsidP="006A31AA">
      <w:pPr>
        <w:pStyle w:val="SingleTxtG"/>
        <w:ind w:firstLine="567"/>
      </w:pPr>
      <w:r>
        <w:t>d)</w:t>
      </w:r>
      <w:r>
        <w:tab/>
        <w:t>Единый протокол оказания специализированной помощи жертвам торговли людьми, утвержденный постановлением FGE/JLP/DAJ № 2017/2020 от ноября 2020 года;</w:t>
      </w:r>
    </w:p>
    <w:p w14:paraId="70EED2F4" w14:textId="77777777" w:rsidR="00B8304D" w:rsidRPr="007F7AC4" w:rsidRDefault="00B8304D" w:rsidP="006A31AA">
      <w:pPr>
        <w:pStyle w:val="SingleTxtG"/>
        <w:ind w:firstLine="567"/>
      </w:pPr>
      <w:r>
        <w:lastRenderedPageBreak/>
        <w:t>e)</w:t>
      </w:r>
      <w:r>
        <w:tab/>
        <w:t>Постановление № 148/2020 Главного управления по вопросам миграции от августа 2020 года, которое предоставляет право на временное пребывание лицам из Венесуэлы, въезжающим в страну с детьми и подростками;</w:t>
      </w:r>
    </w:p>
    <w:p w14:paraId="151FD9A6" w14:textId="77777777" w:rsidR="00B8304D" w:rsidRPr="007F7AC4" w:rsidRDefault="00B8304D" w:rsidP="006A31AA">
      <w:pPr>
        <w:pStyle w:val="SingleTxtG"/>
        <w:ind w:firstLine="567"/>
      </w:pPr>
      <w:r>
        <w:t>f)</w:t>
      </w:r>
      <w:r>
        <w:tab/>
        <w:t>Межведомственный протокол по оказанию помощи детям, подросткам и женщинам, ставшим жертвами насилия, и их защите, принятый Министерским решением № 154/2019 от декабря 2019 года;</w:t>
      </w:r>
    </w:p>
    <w:p w14:paraId="01ED644A" w14:textId="77777777" w:rsidR="00B8304D" w:rsidRPr="007F7AC4" w:rsidRDefault="00B8304D" w:rsidP="006A31AA">
      <w:pPr>
        <w:pStyle w:val="SingleTxtG"/>
        <w:ind w:firstLine="567"/>
      </w:pPr>
      <w:r>
        <w:t>g)</w:t>
      </w:r>
      <w:r>
        <w:tab/>
        <w:t>Верховные указы №№ 1800 (2013), 2965 (2016), 3676 (2018) и 4576 (2021), предусматривающие четыре процедуры урегулирования миграционного статуса и получения удостоверения личности для иностранцев с неурегулированным миграционным статусом.</w:t>
      </w:r>
    </w:p>
    <w:p w14:paraId="0B2D1A17" w14:textId="77777777" w:rsidR="00B8304D" w:rsidRPr="007F7AC4" w:rsidRDefault="00B8304D" w:rsidP="00B8304D">
      <w:pPr>
        <w:pStyle w:val="SingleTxtG"/>
      </w:pPr>
      <w:r>
        <w:t>9.</w:t>
      </w:r>
      <w:r>
        <w:tab/>
        <w:t>Комитет отмечает в качестве позитивного тот факт, что государство-участник проголосовало за Глобальный договор о безопасной, упорядоченной и легальной миграции, принятый Генеральной Ассамблеей в ее резолюции 73/195, и рекомендует государству-участнику продолжать прилагать усилия по его реализации в рамках международных обязательств, вытекающих из Конвенции, учитывая, что оба международных документа сходятся в вопросах защиты прав трудящихся-мигрантов и членов их семей.</w:t>
      </w:r>
    </w:p>
    <w:p w14:paraId="5C4EA877" w14:textId="1835AA79" w:rsidR="00B8304D" w:rsidRPr="007F7AC4" w:rsidRDefault="00B8304D" w:rsidP="00B8304D">
      <w:pPr>
        <w:pStyle w:val="SingleTxtG"/>
      </w:pPr>
      <w:r>
        <w:t>10.</w:t>
      </w:r>
      <w:r>
        <w:tab/>
        <w:t>Комитет принимает к сведению создание в 2015 году Многонациональной системы последующей деятельности, мониторинга и статистического учета хода выполнения рекомендаций по вопросам прав человека в Боливии (СИПЛЮС</w:t>
      </w:r>
      <w:r w:rsidR="006A31AA">
        <w:t> </w:t>
      </w:r>
      <w:r>
        <w:t>Боливия).</w:t>
      </w:r>
    </w:p>
    <w:p w14:paraId="50A1D255" w14:textId="7D3AF0AB" w:rsidR="00B8304D" w:rsidRPr="007F7AC4" w:rsidRDefault="00B8304D" w:rsidP="00B8304D">
      <w:pPr>
        <w:pStyle w:val="H1G"/>
      </w:pPr>
      <w:r>
        <w:rPr>
          <w:bCs/>
        </w:rPr>
        <w:tab/>
        <w:t>C.</w:t>
      </w:r>
      <w:r>
        <w:tab/>
      </w:r>
      <w:r>
        <w:rPr>
          <w:bCs/>
        </w:rPr>
        <w:t>Основные вопросы, вызывающие обеспокоенность, и</w:t>
      </w:r>
      <w:r w:rsidR="006A31AA">
        <w:rPr>
          <w:bCs/>
        </w:rPr>
        <w:t> </w:t>
      </w:r>
      <w:r>
        <w:rPr>
          <w:bCs/>
        </w:rPr>
        <w:t>рекомендации</w:t>
      </w:r>
    </w:p>
    <w:p w14:paraId="6B0EF41F" w14:textId="002B7E7E" w:rsidR="00B8304D" w:rsidRPr="007F7AC4" w:rsidRDefault="00B8304D" w:rsidP="00B8304D">
      <w:pPr>
        <w:pStyle w:val="H23G"/>
      </w:pPr>
      <w:r>
        <w:rPr>
          <w:bCs/>
        </w:rPr>
        <w:tab/>
        <w:t>1.</w:t>
      </w:r>
      <w:r>
        <w:tab/>
      </w:r>
      <w:r>
        <w:rPr>
          <w:bCs/>
        </w:rPr>
        <w:t>Общие меры по осуществлению (ст</w:t>
      </w:r>
      <w:r w:rsidR="006922FE" w:rsidRPr="006922FE">
        <w:rPr>
          <w:bCs/>
        </w:rPr>
        <w:t>.</w:t>
      </w:r>
      <w:r>
        <w:rPr>
          <w:bCs/>
        </w:rPr>
        <w:t xml:space="preserve"> 73 и 84)</w:t>
      </w:r>
    </w:p>
    <w:p w14:paraId="37B84305" w14:textId="77777777" w:rsidR="00B8304D" w:rsidRPr="007F7AC4" w:rsidRDefault="00B8304D" w:rsidP="00B8304D">
      <w:pPr>
        <w:pStyle w:val="H23G"/>
      </w:pPr>
      <w:r>
        <w:tab/>
      </w:r>
      <w:r>
        <w:tab/>
      </w:r>
      <w:r>
        <w:rPr>
          <w:bCs/>
        </w:rPr>
        <w:t>Нынешний контекст</w:t>
      </w:r>
    </w:p>
    <w:p w14:paraId="32EFF71A" w14:textId="77777777" w:rsidR="00B8304D" w:rsidRPr="007F7AC4" w:rsidRDefault="00B8304D" w:rsidP="00B8304D">
      <w:pPr>
        <w:pStyle w:val="SingleTxtG"/>
      </w:pPr>
      <w:r>
        <w:t>11.</w:t>
      </w:r>
      <w:r>
        <w:tab/>
        <w:t>Комитет с обеспокоенностью отмечает непропорционально сильное воздействие пандемии коронавирусного заболевания (COVID-19) на трудящихся-мигрантов и членов их семей, а также сообщения о создании карантинных лагерей на сухопутных границах в местах с экстремальными географическими и климатическими условиями, что подвергает риску боливийцев, стремящихся вернуться в страну.</w:t>
      </w:r>
    </w:p>
    <w:p w14:paraId="3AE76395" w14:textId="77777777" w:rsidR="00B8304D" w:rsidRPr="007F7AC4" w:rsidRDefault="00B8304D" w:rsidP="00B8304D">
      <w:pPr>
        <w:pStyle w:val="SingleTxtG"/>
        <w:rPr>
          <w:b/>
        </w:rPr>
      </w:pPr>
      <w:r>
        <w:t>12.</w:t>
      </w:r>
      <w:r>
        <w:tab/>
      </w:r>
      <w:r>
        <w:rPr>
          <w:b/>
          <w:bCs/>
        </w:rPr>
        <w:t>Комитет рекомендует государству-участнику обеспечить защиту прав мигрантов и членов их семей, в частности права на здоровье, и принять меры для смягчения негативных последствий пандемии COVID-19 с учетом совместной директивной записки о воздействии пандемии COVID-19 на права человека мигрантов, подготовленной Комитетом и Специальным докладчиком по вопросу о правах человека мигрантов</w:t>
      </w:r>
      <w:r w:rsidRPr="00E86F42">
        <w:rPr>
          <w:rStyle w:val="aa"/>
        </w:rPr>
        <w:footnoteReference w:id="5"/>
      </w:r>
      <w:r>
        <w:rPr>
          <w:b/>
          <w:bCs/>
        </w:rPr>
        <w:t>.</w:t>
      </w:r>
    </w:p>
    <w:p w14:paraId="59E41B60" w14:textId="77777777" w:rsidR="00B8304D" w:rsidRPr="007F7AC4" w:rsidRDefault="00B8304D" w:rsidP="00B8304D">
      <w:pPr>
        <w:pStyle w:val="H23G"/>
      </w:pPr>
      <w:r>
        <w:tab/>
      </w:r>
      <w:r>
        <w:tab/>
      </w:r>
      <w:r>
        <w:rPr>
          <w:bCs/>
        </w:rPr>
        <w:t>Законодательство и его применение</w:t>
      </w:r>
    </w:p>
    <w:p w14:paraId="1EFB2052" w14:textId="7875EFE0" w:rsidR="00B8304D" w:rsidRPr="007F7AC4" w:rsidRDefault="00B8304D" w:rsidP="00B8304D">
      <w:pPr>
        <w:pStyle w:val="SingleTxtG"/>
      </w:pPr>
      <w:r>
        <w:t>13.</w:t>
      </w:r>
      <w:r>
        <w:tab/>
        <w:t>Комитет с удовлетворением отмечает публикацию Закона № 370 о миграции, в</w:t>
      </w:r>
      <w:r w:rsidR="00BC55A6">
        <w:rPr>
          <w:lang w:val="en-US"/>
        </w:rPr>
        <w:t> </w:t>
      </w:r>
      <w:r>
        <w:t>соответствии с которым осуществление трудовой деятельности стало одним из оснований для получения вида на жительство в стране, а также такие инициативы, как введение карточек для транзитного перемещения в пограничной зоне. Он также отмечает, что международные договоры по правам человека, ратифицированные государством-участником, являются частью боливийского законодательства. Комитет, однако, обеспокоен:</w:t>
      </w:r>
    </w:p>
    <w:p w14:paraId="2313B997" w14:textId="77777777" w:rsidR="00B8304D" w:rsidRPr="007F7AC4" w:rsidRDefault="00B8304D" w:rsidP="00FA01C1">
      <w:pPr>
        <w:pStyle w:val="SingleTxtG"/>
        <w:ind w:firstLine="567"/>
      </w:pPr>
      <w:r>
        <w:t>a)</w:t>
      </w:r>
      <w:r>
        <w:tab/>
        <w:t>тем, что не были установлены категории трудящихся-мигрантов в соответствии с Конвенцией;</w:t>
      </w:r>
    </w:p>
    <w:p w14:paraId="46C39A7D" w14:textId="77777777" w:rsidR="00B8304D" w:rsidRPr="007F7AC4" w:rsidRDefault="00B8304D" w:rsidP="00FA01C1">
      <w:pPr>
        <w:pStyle w:val="SingleTxtG"/>
        <w:ind w:firstLine="567"/>
      </w:pPr>
      <w:r>
        <w:lastRenderedPageBreak/>
        <w:t>b)</w:t>
      </w:r>
      <w:r>
        <w:tab/>
        <w:t>отсутствием положений, регулирующих применение Закона № 997, вносящего изменения в Закон № 370 о миграции.</w:t>
      </w:r>
    </w:p>
    <w:p w14:paraId="590A95EF" w14:textId="77777777" w:rsidR="00B8304D" w:rsidRPr="007F7AC4" w:rsidRDefault="00B8304D" w:rsidP="00B8304D">
      <w:pPr>
        <w:pStyle w:val="SingleTxtG"/>
        <w:rPr>
          <w:b/>
          <w:bCs/>
        </w:rPr>
      </w:pPr>
      <w:bookmarkStart w:id="2" w:name="_Hlk100230174"/>
      <w:r>
        <w:t>14.</w:t>
      </w:r>
      <w:r>
        <w:tab/>
      </w:r>
      <w:r>
        <w:rPr>
          <w:b/>
          <w:bCs/>
        </w:rPr>
        <w:t>Комитет рекомендует государству-участнику:</w:t>
      </w:r>
      <w:bookmarkEnd w:id="2"/>
    </w:p>
    <w:p w14:paraId="0626DA94" w14:textId="353B1CB9" w:rsidR="00B8304D" w:rsidRPr="00335787" w:rsidRDefault="00B8304D" w:rsidP="006A31AA">
      <w:pPr>
        <w:pStyle w:val="SingleTxtG"/>
        <w:ind w:firstLine="567"/>
        <w:rPr>
          <w:b/>
          <w:bCs/>
        </w:rPr>
      </w:pPr>
      <w:r w:rsidRPr="00335787">
        <w:rPr>
          <w:b/>
          <w:bCs/>
        </w:rPr>
        <w:t>a)</w:t>
      </w:r>
      <w:r w:rsidRPr="00335787">
        <w:rPr>
          <w:b/>
          <w:bCs/>
        </w:rPr>
        <w:tab/>
        <w:t>обеспечить полное соответствие своего законодательства, в</w:t>
      </w:r>
      <w:r w:rsidR="001C1883">
        <w:rPr>
          <w:b/>
          <w:bCs/>
          <w:lang w:val="en-US"/>
        </w:rPr>
        <w:t> </w:t>
      </w:r>
      <w:r w:rsidRPr="00335787">
        <w:rPr>
          <w:b/>
          <w:bCs/>
        </w:rPr>
        <w:t>частности Закона № 370 о миграции, положениям Конвенции, в частности установить категории трудящихся-мигрантов, указанные в пункте 2 статьи 2 Конвенции;</w:t>
      </w:r>
    </w:p>
    <w:p w14:paraId="1B9C10B2" w14:textId="77777777" w:rsidR="00B8304D" w:rsidRPr="00335787" w:rsidRDefault="00B8304D" w:rsidP="006A31AA">
      <w:pPr>
        <w:pStyle w:val="SingleTxtG"/>
        <w:ind w:firstLine="567"/>
        <w:rPr>
          <w:b/>
          <w:bCs/>
        </w:rPr>
      </w:pPr>
      <w:r w:rsidRPr="00335787">
        <w:rPr>
          <w:b/>
          <w:bCs/>
        </w:rPr>
        <w:t>b)</w:t>
      </w:r>
      <w:r w:rsidRPr="00335787">
        <w:rPr>
          <w:b/>
          <w:bCs/>
        </w:rPr>
        <w:tab/>
        <w:t>принять положения, регулирующие применение Закона № 997 об удостоверении личности для иностранцев и отмене платы за миграционные услуги.</w:t>
      </w:r>
      <w:bookmarkStart w:id="3" w:name="_Hlk117614778"/>
      <w:bookmarkEnd w:id="3"/>
    </w:p>
    <w:p w14:paraId="4D394798" w14:textId="30DD42E5" w:rsidR="00B8304D" w:rsidRPr="007F7AC4" w:rsidRDefault="00B8304D" w:rsidP="00B8304D">
      <w:pPr>
        <w:pStyle w:val="SingleTxtG"/>
      </w:pPr>
      <w:r>
        <w:t>15.</w:t>
      </w:r>
      <w:r>
        <w:tab/>
        <w:t xml:space="preserve">Комитет отмечает, что в соответствии с регулирующими положениями </w:t>
      </w:r>
      <w:r w:rsidR="002849B7">
        <w:br/>
      </w:r>
      <w:r>
        <w:t xml:space="preserve">к Закону № 251 о защите беженцев заявления лиц без гражданства будут временно рассматриваться в соответствии с процедурой, предусмотренной вышеупомянутым законом. Комитет, однако, обеспокоен отсутствием закона о </w:t>
      </w:r>
      <w:proofErr w:type="spellStart"/>
      <w:r>
        <w:t>безгражданстве</w:t>
      </w:r>
      <w:proofErr w:type="spellEnd"/>
      <w:r>
        <w:t>.</w:t>
      </w:r>
    </w:p>
    <w:p w14:paraId="297C5E46" w14:textId="77777777" w:rsidR="00B8304D" w:rsidRPr="007F7AC4" w:rsidRDefault="00B8304D" w:rsidP="00B8304D">
      <w:pPr>
        <w:pStyle w:val="SingleTxtG"/>
        <w:rPr>
          <w:b/>
          <w:bCs/>
        </w:rPr>
      </w:pPr>
      <w:r>
        <w:t>16.</w:t>
      </w:r>
      <w:r>
        <w:tab/>
      </w:r>
      <w:r>
        <w:rPr>
          <w:b/>
          <w:bCs/>
        </w:rPr>
        <w:t xml:space="preserve">Комитет рекомендует государству-участнику принять закон о </w:t>
      </w:r>
      <w:proofErr w:type="spellStart"/>
      <w:r>
        <w:rPr>
          <w:b/>
          <w:bCs/>
        </w:rPr>
        <w:t>безгражданстве</w:t>
      </w:r>
      <w:proofErr w:type="spellEnd"/>
      <w:r>
        <w:rPr>
          <w:b/>
          <w:bCs/>
        </w:rPr>
        <w:t>.</w:t>
      </w:r>
    </w:p>
    <w:p w14:paraId="233964EB" w14:textId="77777777" w:rsidR="00B8304D" w:rsidRPr="007F7AC4" w:rsidRDefault="00B8304D" w:rsidP="00B8304D">
      <w:pPr>
        <w:pStyle w:val="H23G"/>
      </w:pPr>
      <w:r>
        <w:tab/>
      </w:r>
      <w:r>
        <w:tab/>
      </w:r>
      <w:r>
        <w:rPr>
          <w:bCs/>
        </w:rPr>
        <w:t>Статьи 76 и 77</w:t>
      </w:r>
    </w:p>
    <w:p w14:paraId="6BE15BC4" w14:textId="77777777" w:rsidR="00B8304D" w:rsidRPr="007F7AC4" w:rsidRDefault="00B8304D" w:rsidP="00B8304D">
      <w:pPr>
        <w:pStyle w:val="SingleTxtG"/>
      </w:pPr>
      <w:r>
        <w:t>17.</w:t>
      </w:r>
      <w:r>
        <w:tab/>
        <w:t>Комитет вновь повторяет, что государство-участник до сих пор не сделало заявлений, предусмотренных статьями 76 и 77 Конвенции.</w:t>
      </w:r>
    </w:p>
    <w:p w14:paraId="3F8A6A96" w14:textId="1E0D48D0" w:rsidR="00B8304D" w:rsidRPr="007F7AC4" w:rsidRDefault="00B8304D" w:rsidP="00B8304D">
      <w:pPr>
        <w:pStyle w:val="SingleTxtG"/>
      </w:pPr>
      <w:r>
        <w:t>18.</w:t>
      </w:r>
      <w:r>
        <w:tab/>
      </w:r>
      <w:r>
        <w:rPr>
          <w:b/>
          <w:bCs/>
        </w:rPr>
        <w:t>Комитет повторяет свои предыдущие рекомендации</w:t>
      </w:r>
      <w:r w:rsidRPr="00E86F42">
        <w:rPr>
          <w:rStyle w:val="aa"/>
        </w:rPr>
        <w:footnoteReference w:id="6"/>
      </w:r>
      <w:r>
        <w:rPr>
          <w:b/>
          <w:bCs/>
        </w:rPr>
        <w:t xml:space="preserve"> и призывает государство-участник как можно скорее сделать предусмотренные статьями 76 и</w:t>
      </w:r>
      <w:r w:rsidR="00AB3239">
        <w:rPr>
          <w:b/>
          <w:bCs/>
        </w:rPr>
        <w:t> </w:t>
      </w:r>
      <w:r>
        <w:rPr>
          <w:b/>
          <w:bCs/>
        </w:rPr>
        <w:t>77 Конвенции заявления и признать компетенцию Комитета получать сообщения от государств-участников и отдельных лиц.</w:t>
      </w:r>
    </w:p>
    <w:p w14:paraId="3C27C40D" w14:textId="77777777" w:rsidR="00B8304D" w:rsidRPr="007F7AC4" w:rsidRDefault="00B8304D" w:rsidP="00B8304D">
      <w:pPr>
        <w:pStyle w:val="H23G"/>
      </w:pPr>
      <w:r>
        <w:tab/>
      </w:r>
      <w:r>
        <w:tab/>
      </w:r>
      <w:r>
        <w:rPr>
          <w:bCs/>
        </w:rPr>
        <w:t>Ратификация соответствующих договоров</w:t>
      </w:r>
    </w:p>
    <w:p w14:paraId="5C98EC1B" w14:textId="1525D99E" w:rsidR="00B8304D" w:rsidRPr="007F7AC4" w:rsidRDefault="00B8304D" w:rsidP="00B8304D">
      <w:pPr>
        <w:pStyle w:val="SingleTxtG"/>
      </w:pPr>
      <w:r>
        <w:t>19.</w:t>
      </w:r>
      <w:r>
        <w:tab/>
        <w:t>Комитет обеспокоен тем, что государство-участник до сих пор не присоединилось к следующим конвенциям МОТ: Конвенции о работниках-мигрантах (пересмотренной в 1949 году) (№ 97); Конвенции о трудящихся-мигрантах (дополнительные положения) 1975 года (№143); Конвенции о частных агентствах занятости 1997 года (№ 181)</w:t>
      </w:r>
      <w:r w:rsidR="005D0CEA" w:rsidRPr="00D73656">
        <w:t>;</w:t>
      </w:r>
      <w:r>
        <w:t xml:space="preserve"> и Конвенции об искоренении насилия и домогательств в сфере труда 2019 года (№ 190).</w:t>
      </w:r>
    </w:p>
    <w:p w14:paraId="71A6A94A" w14:textId="553D393E" w:rsidR="00B8304D" w:rsidRPr="007F7AC4" w:rsidRDefault="00B8304D" w:rsidP="00B8304D">
      <w:pPr>
        <w:pStyle w:val="SingleTxtG"/>
      </w:pPr>
      <w:r>
        <w:t>20.</w:t>
      </w:r>
      <w:r>
        <w:tab/>
      </w:r>
      <w:r>
        <w:rPr>
          <w:b/>
          <w:bCs/>
        </w:rPr>
        <w:t xml:space="preserve">Комитет повторяет свой призыв к государству-участнику рассмотреть вопрос о ратификации Конвенций МОТ № 97 и </w:t>
      </w:r>
      <w:r w:rsidR="007D01D3">
        <w:rPr>
          <w:b/>
          <w:bCs/>
        </w:rPr>
        <w:t>№</w:t>
      </w:r>
      <w:r w:rsidR="007D01D3" w:rsidRPr="007D01D3">
        <w:rPr>
          <w:b/>
          <w:bCs/>
        </w:rPr>
        <w:t xml:space="preserve"> </w:t>
      </w:r>
      <w:r>
        <w:rPr>
          <w:b/>
          <w:bCs/>
        </w:rPr>
        <w:t>143</w:t>
      </w:r>
      <w:r w:rsidRPr="00E86F42">
        <w:rPr>
          <w:rStyle w:val="aa"/>
        </w:rPr>
        <w:footnoteReference w:id="7"/>
      </w:r>
      <w:r>
        <w:rPr>
          <w:b/>
          <w:bCs/>
        </w:rPr>
        <w:t xml:space="preserve"> и призывает его рассмотреть возможность ратификации Конвенций МОТ № 181 и </w:t>
      </w:r>
      <w:r w:rsidR="007D01D3">
        <w:rPr>
          <w:b/>
          <w:bCs/>
        </w:rPr>
        <w:t>№</w:t>
      </w:r>
      <w:r w:rsidR="007D01D3" w:rsidRPr="007D01D3">
        <w:rPr>
          <w:b/>
          <w:bCs/>
        </w:rPr>
        <w:t xml:space="preserve"> </w:t>
      </w:r>
      <w:r>
        <w:rPr>
          <w:b/>
          <w:bCs/>
        </w:rPr>
        <w:t>190.</w:t>
      </w:r>
    </w:p>
    <w:p w14:paraId="21B961CA" w14:textId="77777777" w:rsidR="00B8304D" w:rsidRPr="007F7AC4" w:rsidRDefault="00B8304D" w:rsidP="00B8304D">
      <w:pPr>
        <w:pStyle w:val="H23G"/>
      </w:pPr>
      <w:r>
        <w:tab/>
      </w:r>
      <w:r>
        <w:tab/>
      </w:r>
      <w:r>
        <w:rPr>
          <w:bCs/>
        </w:rPr>
        <w:t>Комплексная политика и стратегия</w:t>
      </w:r>
    </w:p>
    <w:p w14:paraId="5FE9370E" w14:textId="77777777" w:rsidR="00B8304D" w:rsidRPr="007F7AC4" w:rsidRDefault="00B8304D" w:rsidP="00B8304D">
      <w:pPr>
        <w:pStyle w:val="SingleTxtG"/>
      </w:pPr>
      <w:r>
        <w:t>21.</w:t>
      </w:r>
      <w:r>
        <w:tab/>
        <w:t>Комитет с обеспокоенностью отмечает отсутствие комплексной политики и стратегии по выполнению Конвенции.</w:t>
      </w:r>
    </w:p>
    <w:p w14:paraId="10F20887" w14:textId="77777777" w:rsidR="00B8304D" w:rsidRPr="007F7AC4" w:rsidRDefault="00B8304D" w:rsidP="00B8304D">
      <w:pPr>
        <w:pStyle w:val="SingleTxtG"/>
        <w:rPr>
          <w:b/>
          <w:bCs/>
        </w:rPr>
      </w:pPr>
      <w:r>
        <w:t>22.</w:t>
      </w:r>
      <w:r>
        <w:tab/>
      </w:r>
      <w:r>
        <w:rPr>
          <w:b/>
          <w:bCs/>
        </w:rPr>
        <w:t>Комитет рекомендует государству-участнику:</w:t>
      </w:r>
    </w:p>
    <w:p w14:paraId="303DE0DC" w14:textId="77777777" w:rsidR="00B8304D" w:rsidRPr="00CC2CBD" w:rsidRDefault="00B8304D" w:rsidP="006A31AA">
      <w:pPr>
        <w:pStyle w:val="SingleTxtG"/>
        <w:ind w:firstLine="567"/>
        <w:rPr>
          <w:b/>
          <w:bCs/>
        </w:rPr>
      </w:pPr>
      <w:r w:rsidRPr="00CC2CBD">
        <w:rPr>
          <w:b/>
          <w:bCs/>
        </w:rPr>
        <w:t>a)</w:t>
      </w:r>
      <w:r w:rsidRPr="00CC2CBD">
        <w:rPr>
          <w:b/>
          <w:bCs/>
        </w:rPr>
        <w:tab/>
        <w:t xml:space="preserve">разработать комплексную миграционную политику и стратегию, основанные на </w:t>
      </w:r>
      <w:proofErr w:type="spellStart"/>
      <w:r w:rsidRPr="00CC2CBD">
        <w:rPr>
          <w:b/>
          <w:bCs/>
        </w:rPr>
        <w:t>межсекторальном</w:t>
      </w:r>
      <w:proofErr w:type="spellEnd"/>
      <w:r w:rsidRPr="00CC2CBD">
        <w:rPr>
          <w:b/>
          <w:bCs/>
        </w:rPr>
        <w:t xml:space="preserve"> подходе, учитывающие гендерные аспекты и интересы детей и основанные на правах человека, в соответствии с Конвенцией;</w:t>
      </w:r>
    </w:p>
    <w:p w14:paraId="50E82C24" w14:textId="77777777" w:rsidR="00B8304D" w:rsidRPr="00CC2CBD" w:rsidRDefault="00B8304D" w:rsidP="006A31AA">
      <w:pPr>
        <w:pStyle w:val="SingleTxtG"/>
        <w:ind w:firstLine="567"/>
        <w:rPr>
          <w:b/>
          <w:bCs/>
        </w:rPr>
      </w:pPr>
      <w:r w:rsidRPr="00CC2CBD">
        <w:rPr>
          <w:b/>
          <w:bCs/>
        </w:rPr>
        <w:t>b)</w:t>
      </w:r>
      <w:r w:rsidRPr="00CC2CBD">
        <w:rPr>
          <w:b/>
          <w:bCs/>
        </w:rPr>
        <w:tab/>
        <w:t>обеспечить наличие достаточных людских, технических и финансовых ресурсов для эффективного выполнения обязательств, принятых в отношении прав трудящихся-мигрантов и членов их семей, с четкими сроками, показателями и критериями для мониторинга и оценки.</w:t>
      </w:r>
    </w:p>
    <w:p w14:paraId="75F24135" w14:textId="77777777" w:rsidR="00B8304D" w:rsidRPr="007F7AC4" w:rsidRDefault="00B8304D" w:rsidP="00B8304D">
      <w:pPr>
        <w:pStyle w:val="H23G"/>
      </w:pPr>
      <w:r>
        <w:lastRenderedPageBreak/>
        <w:tab/>
      </w:r>
      <w:r>
        <w:tab/>
      </w:r>
      <w:r>
        <w:rPr>
          <w:bCs/>
        </w:rPr>
        <w:t>Координация</w:t>
      </w:r>
    </w:p>
    <w:p w14:paraId="69BC902D" w14:textId="77777777" w:rsidR="00B8304D" w:rsidRPr="007F7AC4" w:rsidRDefault="00B8304D" w:rsidP="00B8304D">
      <w:pPr>
        <w:pStyle w:val="SingleTxtG"/>
      </w:pPr>
      <w:r>
        <w:t>23.</w:t>
      </w:r>
      <w:r>
        <w:tab/>
        <w:t>Комитет обеспокоен тем, что Национальный совет по миграции не располагает необходимыми ресурсами для эффективной координации государственной политики в области миграции, а также недостаточным количеством совещаний, проводимых с целью обеспечения реализации прав, защищаемых Конвенцией.</w:t>
      </w:r>
    </w:p>
    <w:p w14:paraId="01F40D5B" w14:textId="77777777" w:rsidR="00B8304D" w:rsidRPr="007F7AC4" w:rsidRDefault="00B8304D" w:rsidP="00B8304D">
      <w:pPr>
        <w:pStyle w:val="SingleTxtG"/>
      </w:pPr>
      <w:r>
        <w:t>24.</w:t>
      </w:r>
      <w:r>
        <w:tab/>
      </w:r>
      <w:r>
        <w:rPr>
          <w:b/>
          <w:bCs/>
        </w:rPr>
        <w:t>Комитет рекомендует государству-участнику укрепить свои институциональные рамки для координации любой политики, касающейся прав трудящихся-мигрантов, и предоставить Национальному совету по миграции людские, технические и финансовые ресурсы, необходимые для его эффективной работы, обеспечивая межведомственную координацию и поощряя участие департаментских, провинциальных и муниципальных органов власти, а также организаций гражданского общества.</w:t>
      </w:r>
    </w:p>
    <w:p w14:paraId="0AB10AF8" w14:textId="77777777" w:rsidR="00B8304D" w:rsidRPr="007F7AC4" w:rsidRDefault="00B8304D" w:rsidP="00B8304D">
      <w:pPr>
        <w:pStyle w:val="H23G"/>
      </w:pPr>
      <w:bookmarkStart w:id="4" w:name="_Hlk5180366"/>
      <w:r>
        <w:tab/>
      </w:r>
      <w:r>
        <w:tab/>
      </w:r>
      <w:r>
        <w:rPr>
          <w:bCs/>
        </w:rPr>
        <w:t>Сбор данных</w:t>
      </w:r>
    </w:p>
    <w:p w14:paraId="44FE7455" w14:textId="77777777" w:rsidR="00B8304D" w:rsidRPr="007F7AC4" w:rsidRDefault="00B8304D" w:rsidP="00B8304D">
      <w:pPr>
        <w:pStyle w:val="SingleTxtG"/>
        <w:tabs>
          <w:tab w:val="clear" w:pos="1701"/>
          <w:tab w:val="clear" w:pos="2268"/>
          <w:tab w:val="clear" w:pos="2835"/>
        </w:tabs>
        <w:kinsoku w:val="0"/>
        <w:overflowPunct w:val="0"/>
        <w:autoSpaceDE w:val="0"/>
        <w:autoSpaceDN w:val="0"/>
        <w:adjustRightInd w:val="0"/>
        <w:snapToGrid w:val="0"/>
      </w:pPr>
      <w:r>
        <w:t>25.</w:t>
      </w:r>
      <w:r>
        <w:tab/>
        <w:t>Комитет признает усилия, предпринятые государством-участником в целях предоставления статистических данных о миграции, и с обеспокоенностью отмечает:</w:t>
      </w:r>
    </w:p>
    <w:p w14:paraId="70C1C01A" w14:textId="77777777" w:rsidR="00B8304D" w:rsidRPr="007F7AC4" w:rsidRDefault="00B8304D" w:rsidP="006A31AA">
      <w:pPr>
        <w:pStyle w:val="SingleTxtG"/>
        <w:ind w:firstLine="567"/>
      </w:pPr>
      <w:r>
        <w:t>a)</w:t>
      </w:r>
      <w:r>
        <w:tab/>
        <w:t>отсутствие централизованной системы сбора данных, что затрудняет оценку выполнения Конвенции, в частности в отношении трудящихся-мигрантов за рубежом и условий их занятости, репатриантов, транзитных мигрантов, женщин и несопровождаемых детей-мигрантов, а также иностранных трудящихся-мигрантов в государстве-участнике;</w:t>
      </w:r>
    </w:p>
    <w:p w14:paraId="53F39131" w14:textId="77777777" w:rsidR="00B8304D" w:rsidRPr="007F7AC4" w:rsidRDefault="00B8304D" w:rsidP="006A31AA">
      <w:pPr>
        <w:pStyle w:val="SingleTxtG"/>
        <w:ind w:firstLine="567"/>
      </w:pPr>
      <w:r>
        <w:t>b)</w:t>
      </w:r>
      <w:r>
        <w:tab/>
        <w:t>отсутствие в открытом доступе статистических данных о заявлениях на получение вида на жительство, выдаче проездных документов или количестве предписаний об обязательном выезде из страны;</w:t>
      </w:r>
    </w:p>
    <w:p w14:paraId="4215E66F" w14:textId="1BE199FB" w:rsidR="00B8304D" w:rsidRPr="007F7AC4" w:rsidRDefault="00B8304D" w:rsidP="006A31AA">
      <w:pPr>
        <w:pStyle w:val="SingleTxtG"/>
        <w:ind w:firstLine="567"/>
      </w:pPr>
      <w:r>
        <w:t>c)</w:t>
      </w:r>
      <w:r>
        <w:tab/>
        <w:t>неактуальность и недостаточную эффективность Многонациональной системы последующей деятельности, мониторинга и статистического учета хода выполнения рекомендаций по вопросам прав человека в Боливии (СИПЛЮС</w:t>
      </w:r>
      <w:r w:rsidR="00AB3239">
        <w:t> </w:t>
      </w:r>
      <w:r>
        <w:t>Боливия).</w:t>
      </w:r>
    </w:p>
    <w:p w14:paraId="5D35FDCC" w14:textId="72E8DBCD" w:rsidR="00B8304D" w:rsidRPr="007F7AC4" w:rsidRDefault="00B8304D" w:rsidP="00B8304D">
      <w:pPr>
        <w:pStyle w:val="SingleTxtG"/>
        <w:rPr>
          <w:b/>
          <w:bCs/>
        </w:rPr>
      </w:pPr>
      <w:r>
        <w:t>26.</w:t>
      </w:r>
      <w:r>
        <w:tab/>
      </w:r>
      <w:r>
        <w:rPr>
          <w:b/>
          <w:bCs/>
        </w:rPr>
        <w:t xml:space="preserve">Комитет рекомендует государству-участнику в соответствии </w:t>
      </w:r>
      <w:r w:rsidR="00ED29EF">
        <w:rPr>
          <w:b/>
          <w:bCs/>
        </w:rPr>
        <w:br/>
      </w:r>
      <w:r>
        <w:rPr>
          <w:b/>
          <w:bCs/>
        </w:rPr>
        <w:t>с задачей 17.18 Целей в области устойчивого развития:</w:t>
      </w:r>
    </w:p>
    <w:p w14:paraId="7B567444" w14:textId="77777777" w:rsidR="00B8304D" w:rsidRPr="001D5EAC" w:rsidRDefault="00B8304D" w:rsidP="006A31AA">
      <w:pPr>
        <w:pStyle w:val="SingleTxtG"/>
        <w:ind w:firstLine="567"/>
        <w:rPr>
          <w:b/>
          <w:bCs/>
        </w:rPr>
      </w:pPr>
      <w:r w:rsidRPr="001D5EAC">
        <w:rPr>
          <w:b/>
          <w:bCs/>
        </w:rPr>
        <w:t>a)</w:t>
      </w:r>
      <w:r w:rsidRPr="001D5EAC">
        <w:rPr>
          <w:b/>
          <w:bCs/>
        </w:rPr>
        <w:tab/>
        <w:t>обеспечить наличие системы сбора данных в разбивке по полу, возрасту, национальности и/или происхождению о положении трудящихся-мигрантов и членов их семей в государстве-участнике, охватывающей все аспекты Конвенции;</w:t>
      </w:r>
    </w:p>
    <w:p w14:paraId="3EB749E4" w14:textId="4B68BD18" w:rsidR="00B8304D" w:rsidRPr="001D5EAC" w:rsidRDefault="00B8304D" w:rsidP="006A31AA">
      <w:pPr>
        <w:pStyle w:val="SingleTxtG"/>
        <w:ind w:firstLine="567"/>
        <w:rPr>
          <w:b/>
          <w:bCs/>
        </w:rPr>
      </w:pPr>
      <w:r w:rsidRPr="001D5EAC">
        <w:rPr>
          <w:b/>
          <w:bCs/>
        </w:rPr>
        <w:t>b)</w:t>
      </w:r>
      <w:r w:rsidRPr="001D5EAC">
        <w:rPr>
          <w:b/>
          <w:bCs/>
        </w:rPr>
        <w:tab/>
        <w:t>обеспечить доступ общественности к имеющимся статистическим данным о трудящихся-мигрантах как с урегулированным, так и с неурегулированным статусом и членах их семей; и гарантировать неприкосновенность их частной жизни, с тем чтобы их личные данные не использовались в целях миграционного контроля или дискриминации при обращении за государственными и частными услугами;</w:t>
      </w:r>
    </w:p>
    <w:p w14:paraId="189A8CF7" w14:textId="6D928D90" w:rsidR="00B8304D" w:rsidRPr="001D5EAC" w:rsidRDefault="00B8304D" w:rsidP="006A31AA">
      <w:pPr>
        <w:pStyle w:val="SingleTxtG"/>
        <w:ind w:firstLine="567"/>
        <w:rPr>
          <w:b/>
          <w:bCs/>
        </w:rPr>
      </w:pPr>
      <w:r w:rsidRPr="001D5EAC">
        <w:rPr>
          <w:b/>
          <w:bCs/>
        </w:rPr>
        <w:t>c)</w:t>
      </w:r>
      <w:r w:rsidRPr="001D5EAC">
        <w:rPr>
          <w:b/>
          <w:bCs/>
        </w:rPr>
        <w:tab/>
        <w:t>модернизировать и повысить эффективность Многонациональной системы последующей деятельности, мониторинга и статистического учета хода выполнения рекомендаций по вопросам прав человека в Боливии (СИПЛЮС</w:t>
      </w:r>
      <w:r w:rsidR="00AB3239" w:rsidRPr="001D5EAC">
        <w:rPr>
          <w:b/>
          <w:bCs/>
        </w:rPr>
        <w:t> </w:t>
      </w:r>
      <w:r w:rsidRPr="001D5EAC">
        <w:rPr>
          <w:b/>
          <w:bCs/>
        </w:rPr>
        <w:t>Боливия) и системы показателей соблюдения прав человека, обеспечив распространение информации о них.</w:t>
      </w:r>
    </w:p>
    <w:p w14:paraId="7C1EB119" w14:textId="77777777" w:rsidR="00B8304D" w:rsidRPr="007F7AC4" w:rsidRDefault="00B8304D" w:rsidP="00B8304D">
      <w:pPr>
        <w:pStyle w:val="H23G"/>
      </w:pPr>
      <w:r>
        <w:tab/>
      </w:r>
      <w:r>
        <w:tab/>
      </w:r>
      <w:r>
        <w:tab/>
      </w:r>
      <w:r>
        <w:rPr>
          <w:bCs/>
        </w:rPr>
        <w:t>Независимый мониторинг</w:t>
      </w:r>
    </w:p>
    <w:p w14:paraId="407D1653" w14:textId="77777777" w:rsidR="00B8304D" w:rsidRPr="007F7AC4" w:rsidRDefault="00B8304D" w:rsidP="00B8304D">
      <w:pPr>
        <w:pStyle w:val="SingleTxtG"/>
      </w:pPr>
      <w:r>
        <w:t>27.</w:t>
      </w:r>
      <w:r>
        <w:tab/>
        <w:t>Комитет принимает к сведению недавнее избрание Народного защитника и создание отдела по вопросам мобильности населения при его Управлении, а также тот факт, что Управление Народного защитника было назначено в качестве национального механизма по предупреждению пыток в соответствии с Законом № 1397 от 29 сентября 2021 года. Комитет, однако, обеспокоен:</w:t>
      </w:r>
    </w:p>
    <w:p w14:paraId="19CE4CF0" w14:textId="77777777" w:rsidR="00B8304D" w:rsidRPr="007F7AC4" w:rsidRDefault="00B8304D" w:rsidP="006A31AA">
      <w:pPr>
        <w:pStyle w:val="SingleTxtG"/>
        <w:ind w:firstLine="567"/>
      </w:pPr>
      <w:r>
        <w:lastRenderedPageBreak/>
        <w:t>a)</w:t>
      </w:r>
      <w:r>
        <w:tab/>
        <w:t>недостаточностью ресурсов, выделяемых на деятельность Управления Народного защитника, и его институциональной неустойчивостью, обусловленной тем, что предыдущий Народный защитник занимал эту должность на временной основе в течение длительного периода времени, а также задержками с избранием нового главы учреждения;</w:t>
      </w:r>
    </w:p>
    <w:p w14:paraId="1A6A646A" w14:textId="77777777" w:rsidR="00B8304D" w:rsidRPr="007F7AC4" w:rsidRDefault="00B8304D" w:rsidP="006A31AA">
      <w:pPr>
        <w:pStyle w:val="SingleTxtG"/>
        <w:ind w:firstLine="567"/>
      </w:pPr>
      <w:r>
        <w:t>b)</w:t>
      </w:r>
      <w:r>
        <w:tab/>
        <w:t>тем, что национальный механизм по предупреждению пыток не проводит регулярные посещения мест временного содержания мигрантов.</w:t>
      </w:r>
    </w:p>
    <w:p w14:paraId="7E9AE615" w14:textId="77777777" w:rsidR="00B8304D" w:rsidRPr="007F7AC4" w:rsidRDefault="00B8304D" w:rsidP="00B8304D">
      <w:pPr>
        <w:pStyle w:val="SingleTxtG"/>
        <w:rPr>
          <w:b/>
          <w:bCs/>
        </w:rPr>
      </w:pPr>
      <w:r>
        <w:t>28.</w:t>
      </w:r>
      <w:r>
        <w:tab/>
      </w:r>
      <w:r>
        <w:rPr>
          <w:b/>
          <w:bCs/>
        </w:rPr>
        <w:t>Комитет рекомендует государству-участнику:</w:t>
      </w:r>
    </w:p>
    <w:p w14:paraId="1779C0F2" w14:textId="77777777" w:rsidR="00B8304D" w:rsidRPr="002F3509" w:rsidRDefault="00B8304D" w:rsidP="006A31AA">
      <w:pPr>
        <w:pStyle w:val="SingleTxtG"/>
        <w:ind w:firstLine="567"/>
        <w:rPr>
          <w:b/>
          <w:bCs/>
        </w:rPr>
      </w:pPr>
      <w:r w:rsidRPr="002F3509">
        <w:rPr>
          <w:b/>
          <w:bCs/>
        </w:rPr>
        <w:t>a)</w:t>
      </w:r>
      <w:r w:rsidRPr="002F3509">
        <w:rPr>
          <w:b/>
          <w:bCs/>
        </w:rPr>
        <w:tab/>
        <w:t>укрепить институциональную структуру Управления Народного защитника в соответствии с принципами, касающимися статуса национальных учреждений, занимающихся поощрением и защитой прав человека (Парижские принципы), в частности выделить достаточные людские, технические и финансовые ресурсы для защиты прав всех трудящихся-мигрантов и членов их семей в соответствии с Конвенцией, и установить прозрачную и основанную на заслугах процедуру отбора кандидатов на должность Народного защитника, гарантирующую независимость и автономию Управления;</w:t>
      </w:r>
    </w:p>
    <w:p w14:paraId="34EBCD92" w14:textId="77777777" w:rsidR="00B8304D" w:rsidRPr="002F3509" w:rsidRDefault="00B8304D" w:rsidP="006A31AA">
      <w:pPr>
        <w:pStyle w:val="SingleTxtG"/>
        <w:ind w:firstLine="567"/>
        <w:rPr>
          <w:b/>
          <w:bCs/>
        </w:rPr>
      </w:pPr>
      <w:r w:rsidRPr="002F3509">
        <w:rPr>
          <w:b/>
          <w:bCs/>
        </w:rPr>
        <w:t>b)</w:t>
      </w:r>
      <w:r w:rsidRPr="002F3509">
        <w:rPr>
          <w:b/>
          <w:bCs/>
        </w:rPr>
        <w:tab/>
        <w:t>обеспечить проведение независимого и эффективного мониторинга мест лишения свободы, в которые могут помещаться мигранты в рамках операций по контролю над миграцией, со стороны национального механизма по предупреждению пыток.</w:t>
      </w:r>
    </w:p>
    <w:p w14:paraId="553A22B8" w14:textId="77777777" w:rsidR="00B8304D" w:rsidRPr="007F7AC4" w:rsidRDefault="00B8304D" w:rsidP="00B8304D">
      <w:pPr>
        <w:pStyle w:val="H23G"/>
      </w:pPr>
      <w:r>
        <w:tab/>
      </w:r>
      <w:r>
        <w:tab/>
      </w:r>
      <w:r>
        <w:rPr>
          <w:bCs/>
        </w:rPr>
        <w:t>Подготовка по вопросам, касающимся Конвенции, и распространение информации о ней</w:t>
      </w:r>
      <w:r>
        <w:t xml:space="preserve"> </w:t>
      </w:r>
    </w:p>
    <w:p w14:paraId="3252CE07" w14:textId="77777777" w:rsidR="00B8304D" w:rsidRPr="007F7AC4" w:rsidRDefault="00B8304D" w:rsidP="00B8304D">
      <w:pPr>
        <w:pStyle w:val="SingleTxtG"/>
      </w:pPr>
      <w:r>
        <w:t>29.</w:t>
      </w:r>
      <w:r>
        <w:tab/>
        <w:t xml:space="preserve">Комитет обеспокоен отсутствием информации о подготовке по вопросам, касающимся Конвенции, для сотрудников правоохранительных органов, а также недостаточным распространением информации о правах, закрепленных в Конвенции, среди всех заинтересованных сторон. </w:t>
      </w:r>
    </w:p>
    <w:p w14:paraId="2DB6AC93" w14:textId="77777777" w:rsidR="00B8304D" w:rsidRPr="007F7AC4" w:rsidRDefault="00B8304D" w:rsidP="00B8304D">
      <w:pPr>
        <w:pStyle w:val="SingleTxtG"/>
        <w:rPr>
          <w:b/>
          <w:bCs/>
        </w:rPr>
      </w:pPr>
      <w:r>
        <w:t>30.</w:t>
      </w:r>
      <w:r>
        <w:tab/>
      </w:r>
      <w:r>
        <w:rPr>
          <w:b/>
          <w:bCs/>
        </w:rPr>
        <w:t>Комитет повторяет свои предыдущие рекомендации</w:t>
      </w:r>
      <w:r>
        <w:rPr>
          <w:rStyle w:val="aa"/>
          <w:b/>
          <w:bCs/>
        </w:rPr>
        <w:footnoteReference w:id="8"/>
      </w:r>
      <w:r>
        <w:rPr>
          <w:b/>
          <w:bCs/>
        </w:rPr>
        <w:t xml:space="preserve"> и рекомендует государству-участнику:</w:t>
      </w:r>
    </w:p>
    <w:p w14:paraId="5407488F" w14:textId="77777777" w:rsidR="00B8304D" w:rsidRPr="00105F4B" w:rsidRDefault="00B8304D" w:rsidP="006A31AA">
      <w:pPr>
        <w:pStyle w:val="SingleTxtG"/>
        <w:ind w:firstLine="567"/>
        <w:rPr>
          <w:b/>
          <w:bCs/>
        </w:rPr>
      </w:pPr>
      <w:r w:rsidRPr="00105F4B">
        <w:rPr>
          <w:b/>
          <w:bCs/>
        </w:rPr>
        <w:t>a)</w:t>
      </w:r>
      <w:r w:rsidRPr="00105F4B">
        <w:rPr>
          <w:b/>
          <w:bCs/>
        </w:rPr>
        <w:tab/>
        <w:t>организовывать на регулярной основе программы подготовки по правам трудящихся-мигрантов и членов их семей, закрепленным в Конвенции, для должностных лиц, работающих в сфере миграции, в частности для сотрудников полиции и пограничных служб, судей, прокуроров, сотрудников консульств и социальных работников;</w:t>
      </w:r>
    </w:p>
    <w:p w14:paraId="367788E4" w14:textId="77777777" w:rsidR="00B8304D" w:rsidRPr="00105F4B" w:rsidRDefault="00B8304D" w:rsidP="006A31AA">
      <w:pPr>
        <w:pStyle w:val="SingleTxtG"/>
        <w:ind w:firstLine="567"/>
        <w:rPr>
          <w:b/>
          <w:bCs/>
        </w:rPr>
      </w:pPr>
      <w:r w:rsidRPr="00105F4B">
        <w:rPr>
          <w:b/>
          <w:bCs/>
        </w:rPr>
        <w:t>b)</w:t>
      </w:r>
      <w:r w:rsidRPr="00105F4B">
        <w:rPr>
          <w:b/>
          <w:bCs/>
        </w:rPr>
        <w:tab/>
        <w:t>сотрудничать с организациями гражданского общества и средствами массовой информации для распространения информации о Конвенции, особенно в приграничных районах, и обеспечить, чтобы все трудящиеся-мигранты имели доступ к информации об их правах и способах их осуществления.</w:t>
      </w:r>
    </w:p>
    <w:p w14:paraId="22CB5EBC" w14:textId="77777777" w:rsidR="00B8304D" w:rsidRPr="007F7AC4" w:rsidRDefault="00B8304D" w:rsidP="00B8304D">
      <w:pPr>
        <w:pStyle w:val="H23G"/>
      </w:pPr>
      <w:r>
        <w:tab/>
      </w:r>
      <w:r>
        <w:tab/>
      </w:r>
      <w:r>
        <w:rPr>
          <w:bCs/>
        </w:rPr>
        <w:t>Участие гражданского общества</w:t>
      </w:r>
      <w:r>
        <w:t xml:space="preserve"> </w:t>
      </w:r>
    </w:p>
    <w:p w14:paraId="6EFE05D8" w14:textId="77777777" w:rsidR="00B8304D" w:rsidRPr="007F7AC4" w:rsidRDefault="00B8304D" w:rsidP="00B8304D">
      <w:pPr>
        <w:pStyle w:val="SingleTxtG"/>
      </w:pPr>
      <w:r>
        <w:t>31.</w:t>
      </w:r>
      <w:r>
        <w:tab/>
        <w:t>Комитет выражает свою обеспокоенность в связи с ограниченным участием гражданского общества в осуществлении Конвенции, нехваткой информации об их участии в подготовке национального доклада, отсутствием альтернативных источников информации в обзоре государства-участника, а также в связи с ограниченным характером диалога и координации в вопросах законодательства и политики, затрагивающих трудящихся-мигрантов и членов их семей.</w:t>
      </w:r>
      <w:bookmarkStart w:id="5" w:name="_Hlk100230930"/>
      <w:bookmarkEnd w:id="4"/>
      <w:bookmarkEnd w:id="5"/>
    </w:p>
    <w:p w14:paraId="22332E79" w14:textId="77777777" w:rsidR="00B8304D" w:rsidRPr="007F7AC4" w:rsidRDefault="00B8304D" w:rsidP="00B8304D">
      <w:pPr>
        <w:pStyle w:val="SingleTxtG"/>
      </w:pPr>
      <w:r>
        <w:t>32.</w:t>
      </w:r>
      <w:r>
        <w:tab/>
      </w:r>
      <w:r>
        <w:rPr>
          <w:b/>
          <w:bCs/>
        </w:rPr>
        <w:t xml:space="preserve">Комитет рекомендует государству-участнику укрепить диалог с организациями гражданского общества, включая организации, предоставляющие услуги мигрантам, в частности при подготовке национального доклада, и обеспечить эффективное участие гражданского общества в </w:t>
      </w:r>
      <w:r>
        <w:rPr>
          <w:b/>
          <w:bCs/>
        </w:rPr>
        <w:lastRenderedPageBreak/>
        <w:t>осуществлении Конвенции и рекомендаций, содержащихся в настоящих заключительных замечаниях.</w:t>
      </w:r>
    </w:p>
    <w:p w14:paraId="208AAD4D" w14:textId="7863A086" w:rsidR="00B8304D" w:rsidRPr="007F7AC4" w:rsidRDefault="00B8304D" w:rsidP="00B8304D">
      <w:pPr>
        <w:pStyle w:val="H23G"/>
      </w:pPr>
      <w:r>
        <w:rPr>
          <w:bCs/>
        </w:rPr>
        <w:tab/>
        <w:t>2.</w:t>
      </w:r>
      <w:r>
        <w:tab/>
      </w:r>
      <w:r>
        <w:rPr>
          <w:bCs/>
        </w:rPr>
        <w:t>Общие принципы (</w:t>
      </w:r>
      <w:proofErr w:type="spellStart"/>
      <w:r>
        <w:rPr>
          <w:bCs/>
        </w:rPr>
        <w:t>ст</w:t>
      </w:r>
      <w:proofErr w:type="spellEnd"/>
      <w:r w:rsidR="001C5C41" w:rsidRPr="00AA450E">
        <w:rPr>
          <w:bCs/>
        </w:rPr>
        <w:t>.</w:t>
      </w:r>
      <w:r>
        <w:rPr>
          <w:bCs/>
        </w:rPr>
        <w:t xml:space="preserve"> 7 и 83)</w:t>
      </w:r>
    </w:p>
    <w:p w14:paraId="0327388B" w14:textId="77777777" w:rsidR="00B8304D" w:rsidRPr="007F7AC4" w:rsidRDefault="00B8304D" w:rsidP="00B8304D">
      <w:pPr>
        <w:pStyle w:val="H23G"/>
      </w:pPr>
      <w:r>
        <w:tab/>
      </w:r>
      <w:r>
        <w:tab/>
      </w:r>
      <w:r>
        <w:rPr>
          <w:bCs/>
        </w:rPr>
        <w:t>Недискриминация</w:t>
      </w:r>
    </w:p>
    <w:p w14:paraId="12B0F09C" w14:textId="77777777" w:rsidR="00B8304D" w:rsidRPr="007F7AC4" w:rsidRDefault="00B8304D" w:rsidP="00B8304D">
      <w:pPr>
        <w:pStyle w:val="SingleTxtG"/>
        <w:rPr>
          <w:b/>
        </w:rPr>
      </w:pPr>
      <w:r>
        <w:t>33.</w:t>
      </w:r>
      <w:r>
        <w:tab/>
        <w:t>Комитет отмечает существование Национального комитета по борьбе против расизма и всех форм дискриминации и Протокола действий по приему и обработке информации и применению санкций в случаях проявлений расизма и всех форм дискриминации в государственных органах. Вместе с тем Комитет обеспокоен:</w:t>
      </w:r>
    </w:p>
    <w:p w14:paraId="290B486C" w14:textId="77777777" w:rsidR="00B8304D" w:rsidRPr="007F7AC4" w:rsidRDefault="00B8304D" w:rsidP="006A31AA">
      <w:pPr>
        <w:pStyle w:val="SingleTxtG"/>
        <w:ind w:firstLine="567"/>
        <w:rPr>
          <w:b/>
        </w:rPr>
      </w:pPr>
      <w:r>
        <w:t>a)</w:t>
      </w:r>
      <w:r>
        <w:tab/>
        <w:t>недостаточностью ресурсов, выделяемых на осуществление Закона № 45 против расизма и всех форм дискриминации;</w:t>
      </w:r>
    </w:p>
    <w:p w14:paraId="30E6271C" w14:textId="77777777" w:rsidR="00B8304D" w:rsidRPr="007F7AC4" w:rsidRDefault="00B8304D" w:rsidP="006A31AA">
      <w:pPr>
        <w:pStyle w:val="SingleTxtG"/>
        <w:ind w:firstLine="567"/>
        <w:rPr>
          <w:b/>
        </w:rPr>
      </w:pPr>
      <w:r>
        <w:t>b)</w:t>
      </w:r>
      <w:r>
        <w:tab/>
        <w:t>ограниченным количеством обвинительных приговоров по делам о преступлениях, охватываемых вышеупомянутым законом;</w:t>
      </w:r>
    </w:p>
    <w:p w14:paraId="087728C7" w14:textId="77777777" w:rsidR="00B8304D" w:rsidRPr="007F7AC4" w:rsidRDefault="00B8304D" w:rsidP="006A31AA">
      <w:pPr>
        <w:pStyle w:val="SingleTxtG"/>
        <w:ind w:firstLine="567"/>
        <w:rPr>
          <w:b/>
        </w:rPr>
      </w:pPr>
      <w:r>
        <w:t>c)</w:t>
      </w:r>
      <w:r>
        <w:tab/>
        <w:t>социальной стигматизацией и проявлениями ксенофобии в общественном дискурсе в отношении трудящихся-мигрантов, в частности из Венесуэлы, со стороны сотрудников миграционной полиции, должностных лиц, занимающихся трудовыми вопросами и работников СМИ, среди прочих;</w:t>
      </w:r>
    </w:p>
    <w:p w14:paraId="5E641855" w14:textId="5D05731F" w:rsidR="00B8304D" w:rsidRPr="007F7AC4" w:rsidRDefault="00B8304D" w:rsidP="006A31AA">
      <w:pPr>
        <w:pStyle w:val="SingleTxtG"/>
        <w:ind w:firstLine="567"/>
      </w:pPr>
      <w:r>
        <w:t>d)</w:t>
      </w:r>
      <w:r>
        <w:tab/>
        <w:t>ограничением доли иностранных работников до 15</w:t>
      </w:r>
      <w:r w:rsidR="007D116B">
        <w:t> </w:t>
      </w:r>
      <w:r>
        <w:t>% в боливийских компаниях и учреждениях, установленным в Общем законе о труде от 1939 года, на фоне полученной информации о примате договоров по правам человека, которые являются частью свода конституционных законов.</w:t>
      </w:r>
    </w:p>
    <w:p w14:paraId="41065E01" w14:textId="77777777" w:rsidR="00B8304D" w:rsidRPr="007F7AC4" w:rsidRDefault="00B8304D" w:rsidP="00B8304D">
      <w:pPr>
        <w:pStyle w:val="SingleTxtG"/>
        <w:rPr>
          <w:b/>
          <w:bCs/>
        </w:rPr>
      </w:pPr>
      <w:r>
        <w:t>34.</w:t>
      </w:r>
      <w:r>
        <w:tab/>
      </w:r>
      <w:r>
        <w:rPr>
          <w:b/>
          <w:bCs/>
        </w:rPr>
        <w:t>Комитет рекомендует государству-участнику:</w:t>
      </w:r>
    </w:p>
    <w:p w14:paraId="2C512022" w14:textId="4DA7AABE" w:rsidR="00B8304D" w:rsidRPr="00060343" w:rsidRDefault="00B8304D" w:rsidP="00060343">
      <w:pPr>
        <w:pStyle w:val="SingleTxtG"/>
        <w:ind w:firstLine="567"/>
        <w:rPr>
          <w:b/>
          <w:bCs/>
        </w:rPr>
      </w:pPr>
      <w:r w:rsidRPr="00060343">
        <w:rPr>
          <w:b/>
          <w:bCs/>
        </w:rPr>
        <w:t>a)</w:t>
      </w:r>
      <w:r w:rsidRPr="00060343">
        <w:rPr>
          <w:b/>
          <w:bCs/>
        </w:rPr>
        <w:tab/>
        <w:t xml:space="preserve">обеспечить выделение достаточных ресурсов на осуществление </w:t>
      </w:r>
      <w:r w:rsidR="00060343" w:rsidRPr="00060343">
        <w:rPr>
          <w:b/>
          <w:bCs/>
        </w:rPr>
        <w:br/>
      </w:r>
      <w:r w:rsidRPr="00060343">
        <w:rPr>
          <w:b/>
          <w:bCs/>
        </w:rPr>
        <w:t>Закона № 45 против расизма и всех форм дискриминации;</w:t>
      </w:r>
    </w:p>
    <w:p w14:paraId="3F4A950A" w14:textId="77777777" w:rsidR="00B8304D" w:rsidRPr="00060343" w:rsidRDefault="00B8304D" w:rsidP="006A31AA">
      <w:pPr>
        <w:pStyle w:val="SingleTxtG"/>
        <w:ind w:firstLine="567"/>
        <w:rPr>
          <w:b/>
          <w:bCs/>
        </w:rPr>
      </w:pPr>
      <w:r w:rsidRPr="00060343">
        <w:rPr>
          <w:b/>
          <w:bCs/>
        </w:rPr>
        <w:t>b)</w:t>
      </w:r>
      <w:r w:rsidRPr="00060343">
        <w:rPr>
          <w:b/>
          <w:bCs/>
        </w:rPr>
        <w:tab/>
        <w:t>обеспечить надлежащее расследование жалоб на дискриминацию и привлечение виновных к ответственности;</w:t>
      </w:r>
    </w:p>
    <w:p w14:paraId="2B446E8F" w14:textId="574F70F0" w:rsidR="00B8304D" w:rsidRPr="00060343" w:rsidRDefault="00B8304D" w:rsidP="006A31AA">
      <w:pPr>
        <w:pStyle w:val="SingleTxtG"/>
        <w:ind w:firstLine="567"/>
        <w:rPr>
          <w:b/>
          <w:bCs/>
        </w:rPr>
      </w:pPr>
      <w:r w:rsidRPr="00060343">
        <w:rPr>
          <w:b/>
          <w:bCs/>
        </w:rPr>
        <w:t>c)</w:t>
      </w:r>
      <w:r w:rsidRPr="00060343">
        <w:rPr>
          <w:b/>
          <w:bCs/>
        </w:rPr>
        <w:tab/>
        <w:t>активизировать проведение кампаний по информированию общественности и подготовке работников государственного сектора по вопросам, касающимся миграции и прав всех трудящихся-мигрантов и членов их семей, а</w:t>
      </w:r>
      <w:r w:rsidR="00D463F2">
        <w:rPr>
          <w:b/>
          <w:bCs/>
          <w:lang w:val="en-US"/>
        </w:rPr>
        <w:t> </w:t>
      </w:r>
      <w:r w:rsidRPr="00060343">
        <w:rPr>
          <w:b/>
          <w:bCs/>
        </w:rPr>
        <w:t>также важности борьбы с социальной стигматизацией, в том числе в средствах массовой информации;</w:t>
      </w:r>
    </w:p>
    <w:p w14:paraId="7B523A30" w14:textId="03712E9E" w:rsidR="00B8304D" w:rsidRPr="00060343" w:rsidRDefault="00B8304D" w:rsidP="006A31AA">
      <w:pPr>
        <w:pStyle w:val="SingleTxtG"/>
        <w:ind w:firstLine="567"/>
        <w:rPr>
          <w:b/>
          <w:bCs/>
        </w:rPr>
      </w:pPr>
      <w:r w:rsidRPr="00060343">
        <w:rPr>
          <w:b/>
          <w:bCs/>
        </w:rPr>
        <w:t>d)</w:t>
      </w:r>
      <w:r w:rsidRPr="00060343">
        <w:rPr>
          <w:b/>
          <w:bCs/>
        </w:rPr>
        <w:tab/>
        <w:t>внести изменения в Общий закон о труде, в частности отменить 15</w:t>
      </w:r>
      <w:r w:rsidR="00F25498">
        <w:rPr>
          <w:b/>
          <w:bCs/>
        </w:rPr>
        <w:noBreakHyphen/>
      </w:r>
      <w:r w:rsidRPr="00060343">
        <w:rPr>
          <w:b/>
          <w:bCs/>
        </w:rPr>
        <w:t>процентное ограничение на число иностранных работников в боливийских компаниях и учреждениях.</w:t>
      </w:r>
    </w:p>
    <w:p w14:paraId="1C8F4644" w14:textId="77777777" w:rsidR="00B8304D" w:rsidRPr="007F7AC4" w:rsidRDefault="00B8304D" w:rsidP="00B8304D">
      <w:pPr>
        <w:pStyle w:val="H23G"/>
      </w:pPr>
      <w:r>
        <w:tab/>
      </w:r>
      <w:r>
        <w:tab/>
      </w:r>
      <w:r>
        <w:rPr>
          <w:bCs/>
        </w:rPr>
        <w:t>Право на эффективное средство правовой защиты</w:t>
      </w:r>
      <w:r>
        <w:t xml:space="preserve"> </w:t>
      </w:r>
    </w:p>
    <w:p w14:paraId="3F8757E0" w14:textId="77777777" w:rsidR="00B8304D" w:rsidRPr="007F7AC4" w:rsidRDefault="00B8304D" w:rsidP="00B8304D">
      <w:pPr>
        <w:pStyle w:val="SingleTxtG"/>
      </w:pPr>
      <w:r>
        <w:t>35.</w:t>
      </w:r>
      <w:r>
        <w:tab/>
        <w:t>Комитет с обеспокоенностью отмечает:</w:t>
      </w:r>
    </w:p>
    <w:p w14:paraId="4642F68E" w14:textId="77777777" w:rsidR="00B8304D" w:rsidRPr="007F7AC4" w:rsidRDefault="00B8304D" w:rsidP="006A31AA">
      <w:pPr>
        <w:pStyle w:val="SingleTxtG"/>
        <w:ind w:firstLine="567"/>
      </w:pPr>
      <w:r>
        <w:t>a)</w:t>
      </w:r>
      <w:r>
        <w:tab/>
        <w:t>недостаточную осведомленность трудящихся-мигрантов о доступных им средствах правовой защиты для подачи жалоб;</w:t>
      </w:r>
    </w:p>
    <w:p w14:paraId="11F978AF" w14:textId="77777777" w:rsidR="00B8304D" w:rsidRPr="007F7AC4" w:rsidRDefault="00B8304D" w:rsidP="006A31AA">
      <w:pPr>
        <w:pStyle w:val="SingleTxtG"/>
        <w:ind w:firstLine="567"/>
      </w:pPr>
      <w:r>
        <w:t>b)</w:t>
      </w:r>
      <w:r>
        <w:tab/>
        <w:t>ограниченным доступом к юридической помощи для трудящихся-мигрантов;</w:t>
      </w:r>
    </w:p>
    <w:p w14:paraId="2A9795E9" w14:textId="77777777" w:rsidR="00B8304D" w:rsidRPr="007F7AC4" w:rsidRDefault="00B8304D" w:rsidP="006A31AA">
      <w:pPr>
        <w:pStyle w:val="SingleTxtG"/>
        <w:ind w:firstLine="567"/>
      </w:pPr>
      <w:r>
        <w:t>c)</w:t>
      </w:r>
      <w:r>
        <w:tab/>
        <w:t>отсутствием достаточной информации о количестве и типе жалоб, рассмотренных судебными и административными органами, проведенных расследованиях и вынесенных приговорах, в которых применялись положения Конвенции, и приводит в качестве примера решение 2270/2012 Многонационального конституционного суда.</w:t>
      </w:r>
    </w:p>
    <w:p w14:paraId="145ED84D" w14:textId="77777777" w:rsidR="00B8304D" w:rsidRPr="007F7AC4" w:rsidRDefault="00B8304D" w:rsidP="00B8304D">
      <w:pPr>
        <w:pStyle w:val="SingleTxtG"/>
        <w:rPr>
          <w:b/>
          <w:bCs/>
        </w:rPr>
      </w:pPr>
      <w:r>
        <w:t>36.</w:t>
      </w:r>
      <w:r>
        <w:tab/>
      </w:r>
      <w:r>
        <w:rPr>
          <w:b/>
          <w:bCs/>
        </w:rPr>
        <w:t>Комитет рекомендует государству-участнику:</w:t>
      </w:r>
    </w:p>
    <w:p w14:paraId="159CAE7C" w14:textId="2FA6384B" w:rsidR="00B8304D" w:rsidRPr="00ED29EF" w:rsidRDefault="00B8304D" w:rsidP="006A31AA">
      <w:pPr>
        <w:pStyle w:val="SingleTxtG"/>
        <w:ind w:firstLine="567"/>
        <w:rPr>
          <w:b/>
          <w:bCs/>
        </w:rPr>
      </w:pPr>
      <w:r w:rsidRPr="00ED29EF">
        <w:rPr>
          <w:b/>
          <w:bCs/>
        </w:rPr>
        <w:t>a)</w:t>
      </w:r>
      <w:r w:rsidRPr="00ED29EF">
        <w:rPr>
          <w:b/>
          <w:bCs/>
        </w:rPr>
        <w:tab/>
        <w:t>облегчить доступ к правосудию для всех трудящихся-мигрантов, в</w:t>
      </w:r>
      <w:r w:rsidR="00D23B45">
        <w:rPr>
          <w:b/>
          <w:bCs/>
          <w:lang w:val="en-US"/>
        </w:rPr>
        <w:t> </w:t>
      </w:r>
      <w:r w:rsidRPr="00ED29EF">
        <w:rPr>
          <w:b/>
          <w:bCs/>
        </w:rPr>
        <w:t xml:space="preserve">том числе путем устранения препятствий, мешающих им подавать жалобы, проведения информационных кампаний об имеющихся административных и </w:t>
      </w:r>
      <w:r w:rsidRPr="00ED29EF">
        <w:rPr>
          <w:b/>
          <w:bCs/>
        </w:rPr>
        <w:lastRenderedPageBreak/>
        <w:t>судебных средствах защиты для подачи жалоб и получения возмещения, а также расследования злоупотреблений и нарушений и наказания виновных в случае необходимости;</w:t>
      </w:r>
    </w:p>
    <w:p w14:paraId="36DE7A7A" w14:textId="77777777" w:rsidR="00B8304D" w:rsidRPr="00ED29EF" w:rsidRDefault="00B8304D" w:rsidP="006A31AA">
      <w:pPr>
        <w:pStyle w:val="SingleTxtG"/>
        <w:ind w:firstLine="567"/>
        <w:rPr>
          <w:b/>
          <w:bCs/>
        </w:rPr>
      </w:pPr>
      <w:r w:rsidRPr="00ED29EF">
        <w:rPr>
          <w:b/>
          <w:bCs/>
        </w:rPr>
        <w:t>b)</w:t>
      </w:r>
      <w:r w:rsidRPr="00ED29EF">
        <w:rPr>
          <w:b/>
          <w:bCs/>
        </w:rPr>
        <w:tab/>
        <w:t>облегчить доступ трудящихся-мигрантов к Многонациональной службе оказания помощи жертвам и Многонациональной службе государственных защитников;</w:t>
      </w:r>
    </w:p>
    <w:p w14:paraId="100D7357" w14:textId="77777777" w:rsidR="00B8304D" w:rsidRPr="00ED29EF" w:rsidRDefault="00B8304D" w:rsidP="006A31AA">
      <w:pPr>
        <w:pStyle w:val="SingleTxtG"/>
        <w:ind w:firstLine="567"/>
        <w:rPr>
          <w:b/>
          <w:bCs/>
        </w:rPr>
      </w:pPr>
      <w:r w:rsidRPr="00ED29EF">
        <w:rPr>
          <w:b/>
          <w:bCs/>
        </w:rPr>
        <w:t>c)</w:t>
      </w:r>
      <w:r w:rsidRPr="00ED29EF">
        <w:rPr>
          <w:b/>
          <w:bCs/>
        </w:rPr>
        <w:tab/>
        <w:t>обеспечить сбор дезагрегированной информации о количестве и типе жалоб, рассмотренных судебными и административными органами, видах заявленных правонарушений и/или деяний и о результатах разбирательств, включая вынесенные приговоры, в которых применялись положения Конвенции.</w:t>
      </w:r>
    </w:p>
    <w:p w14:paraId="6F0E7BFD" w14:textId="267B9EF0" w:rsidR="00B8304D" w:rsidRPr="007F7AC4" w:rsidRDefault="00B8304D" w:rsidP="00B8304D">
      <w:pPr>
        <w:pStyle w:val="H23G"/>
      </w:pPr>
      <w:r>
        <w:rPr>
          <w:bCs/>
        </w:rPr>
        <w:tab/>
        <w:t>3.</w:t>
      </w:r>
      <w:r>
        <w:tab/>
      </w:r>
      <w:r>
        <w:rPr>
          <w:bCs/>
        </w:rPr>
        <w:t>Права человека всех трудящихся-мигрантов и членов их семей (ст</w:t>
      </w:r>
      <w:r w:rsidR="00BC7905" w:rsidRPr="00BC7905">
        <w:rPr>
          <w:bCs/>
        </w:rPr>
        <w:t>.</w:t>
      </w:r>
      <w:r>
        <w:rPr>
          <w:bCs/>
        </w:rPr>
        <w:t xml:space="preserve"> 8–35)</w:t>
      </w:r>
    </w:p>
    <w:p w14:paraId="19B77945" w14:textId="77777777" w:rsidR="00B8304D" w:rsidRPr="007F7AC4" w:rsidRDefault="00B8304D" w:rsidP="00B8304D">
      <w:pPr>
        <w:pStyle w:val="H23G"/>
      </w:pPr>
      <w:r>
        <w:tab/>
      </w:r>
      <w:r>
        <w:tab/>
      </w:r>
      <w:r>
        <w:rPr>
          <w:bCs/>
        </w:rPr>
        <w:t>Женщины-мигранты</w:t>
      </w:r>
    </w:p>
    <w:p w14:paraId="2EB41652" w14:textId="04988246" w:rsidR="00B8304D" w:rsidRPr="007F7AC4" w:rsidRDefault="00B8304D" w:rsidP="00B8304D">
      <w:pPr>
        <w:pStyle w:val="SingleTxtG"/>
      </w:pPr>
      <w:r>
        <w:t>37.</w:t>
      </w:r>
      <w:r>
        <w:tab/>
        <w:t>Комитет обеспокоен отсутствием информации о мерах, принятых для обеспечения гендерного равенства в миграционной политике, традиционными ролями, которые берут на себя многие женщины-мигранты на рынке труда, например в</w:t>
      </w:r>
      <w:r w:rsidR="002554A3">
        <w:t> </w:t>
      </w:r>
      <w:r>
        <w:t>качестве домашней прислуги, и нарушением их трудовых прав.</w:t>
      </w:r>
    </w:p>
    <w:p w14:paraId="4DC921DA" w14:textId="77777777" w:rsidR="00B8304D" w:rsidRPr="007F7AC4" w:rsidRDefault="00B8304D" w:rsidP="00B8304D">
      <w:pPr>
        <w:pStyle w:val="SingleTxtG"/>
        <w:rPr>
          <w:b/>
          <w:bCs/>
        </w:rPr>
      </w:pPr>
      <w:r>
        <w:t>38.</w:t>
      </w:r>
      <w:r>
        <w:tab/>
      </w:r>
      <w:r>
        <w:rPr>
          <w:b/>
          <w:bCs/>
        </w:rPr>
        <w:t>Комитет рекомендует государству-участнику:</w:t>
      </w:r>
    </w:p>
    <w:p w14:paraId="38248EC6" w14:textId="7476B732" w:rsidR="00B8304D" w:rsidRPr="00690A05" w:rsidRDefault="00B8304D" w:rsidP="006A31AA">
      <w:pPr>
        <w:pStyle w:val="SingleTxtG"/>
        <w:ind w:firstLine="567"/>
        <w:rPr>
          <w:b/>
          <w:bCs/>
        </w:rPr>
      </w:pPr>
      <w:r w:rsidRPr="00690A05">
        <w:rPr>
          <w:b/>
          <w:bCs/>
        </w:rPr>
        <w:t>a)</w:t>
      </w:r>
      <w:r w:rsidRPr="00690A05">
        <w:rPr>
          <w:b/>
          <w:bCs/>
        </w:rPr>
        <w:tab/>
        <w:t>обеспечить гендерное равенство в миграционной политике, в</w:t>
      </w:r>
      <w:r w:rsidR="00A90F34">
        <w:rPr>
          <w:b/>
          <w:bCs/>
        </w:rPr>
        <w:t> </w:t>
      </w:r>
      <w:r w:rsidRPr="00690A05">
        <w:rPr>
          <w:b/>
          <w:bCs/>
        </w:rPr>
        <w:t>частности, принять меры по ликвидации затрагивающей женщин-мигрантов дискриминации, включая гендерное насилие, с тем чтобы они могли пользоваться своими правами на здоровье, образование и занятость;</w:t>
      </w:r>
    </w:p>
    <w:p w14:paraId="6D860EF4" w14:textId="77777777" w:rsidR="00B8304D" w:rsidRPr="00690A05" w:rsidRDefault="00B8304D" w:rsidP="006A31AA">
      <w:pPr>
        <w:pStyle w:val="SingleTxtG"/>
        <w:ind w:firstLine="567"/>
        <w:rPr>
          <w:b/>
          <w:bCs/>
        </w:rPr>
      </w:pPr>
      <w:r w:rsidRPr="00690A05">
        <w:rPr>
          <w:b/>
          <w:bCs/>
        </w:rPr>
        <w:t>b)</w:t>
      </w:r>
      <w:r w:rsidRPr="00690A05">
        <w:rPr>
          <w:b/>
          <w:bCs/>
        </w:rPr>
        <w:tab/>
        <w:t>активизировать проведение трудовых инспекций для обеспечения более тщательного мониторинга условий труда домашних работников-мигрантов, в том числе с неурегулированным статусом, в соответствии с замечанием общего порядка № 1 (2011) Комитета, и обеспечить им доступ к механизмам подачи жалоб.</w:t>
      </w:r>
    </w:p>
    <w:p w14:paraId="4AF89C5A" w14:textId="77777777" w:rsidR="00B8304D" w:rsidRPr="007F7AC4" w:rsidRDefault="00B8304D" w:rsidP="00B8304D">
      <w:pPr>
        <w:pStyle w:val="H23G"/>
      </w:pPr>
      <w:r>
        <w:tab/>
      </w:r>
      <w:r>
        <w:tab/>
      </w:r>
      <w:r>
        <w:rPr>
          <w:bCs/>
        </w:rPr>
        <w:t>Дети-мигранты и подростки-мигранты</w:t>
      </w:r>
    </w:p>
    <w:p w14:paraId="3E931052" w14:textId="77777777" w:rsidR="00B8304D" w:rsidRPr="007F7AC4" w:rsidRDefault="00B8304D" w:rsidP="00B8304D">
      <w:pPr>
        <w:pStyle w:val="SingleTxtG"/>
        <w:keepNext/>
      </w:pPr>
      <w:r>
        <w:t>39.</w:t>
      </w:r>
      <w:r>
        <w:tab/>
        <w:t>Комитет с обеспокоенностью отмечает:</w:t>
      </w:r>
    </w:p>
    <w:p w14:paraId="2AE5FBA6" w14:textId="77777777" w:rsidR="00B8304D" w:rsidRPr="007F7AC4" w:rsidRDefault="00B8304D" w:rsidP="006A31AA">
      <w:pPr>
        <w:pStyle w:val="SingleTxtG"/>
        <w:ind w:firstLine="567"/>
      </w:pPr>
      <w:r>
        <w:t>a)</w:t>
      </w:r>
      <w:r>
        <w:tab/>
        <w:t>отсутствие оперативных протоколов в отношении несопровождаемых детей-мигрантов и подростков-мигрантов, отсутствие отчетов об отказе в предоставлении статуса беженца этой категории населения и непредоставление соответствующих средств правовой защиты со стороны омбудсменов по делам детей и подростков;</w:t>
      </w:r>
    </w:p>
    <w:p w14:paraId="53F3CB52" w14:textId="33E09628" w:rsidR="00B8304D" w:rsidRPr="007F7AC4" w:rsidRDefault="00B8304D" w:rsidP="006A31AA">
      <w:pPr>
        <w:pStyle w:val="SingleTxtG"/>
        <w:ind w:firstLine="567"/>
      </w:pPr>
      <w:r>
        <w:t>b)</w:t>
      </w:r>
      <w:r>
        <w:tab/>
        <w:t>несоответствие минимального возраста для приема на работу, предусмотренного Законом № 1139 от 2018 года и составляющего 14 лет, стандарту, установленному Конвенцией МОТ о минимальном возрасте для приема на работу 1973</w:t>
      </w:r>
      <w:r w:rsidR="00A71C48">
        <w:t> </w:t>
      </w:r>
      <w:r>
        <w:t>года (№ 138), которая предусматривает, что он не должен быть ниже возраста, в</w:t>
      </w:r>
      <w:r w:rsidR="00E9451C">
        <w:rPr>
          <w:lang w:val="en-US"/>
        </w:rPr>
        <w:t> </w:t>
      </w:r>
      <w:r>
        <w:t>котором заканчивается обязательное школьное обучение, или в любом случае не ниже 15 лет;</w:t>
      </w:r>
    </w:p>
    <w:p w14:paraId="4ACBF596" w14:textId="77777777" w:rsidR="00B8304D" w:rsidRPr="007F7AC4" w:rsidRDefault="00B8304D" w:rsidP="006A31AA">
      <w:pPr>
        <w:pStyle w:val="SingleTxtG"/>
        <w:ind w:firstLine="567"/>
      </w:pPr>
      <w:r>
        <w:t>c)</w:t>
      </w:r>
      <w:r>
        <w:tab/>
        <w:t>ограниченный характер информации о мерах, принятых для борьбы с детским трудом детей-мигрантов и подростков-мигрантов, хотя и отмечает наличие временных мобильных офисов в сельской местности;</w:t>
      </w:r>
    </w:p>
    <w:p w14:paraId="0D994B72" w14:textId="49ED4DD4" w:rsidR="00B8304D" w:rsidRPr="007F7AC4" w:rsidRDefault="00B8304D" w:rsidP="006A31AA">
      <w:pPr>
        <w:pStyle w:val="SingleTxtG"/>
        <w:ind w:firstLine="567"/>
      </w:pPr>
      <w:r>
        <w:t>d)</w:t>
      </w:r>
      <w:r>
        <w:tab/>
        <w:t>отсутствие информации о положении боливийских детей и подростков, чьи родители мигрировали в другую страну, в частности о материнстве на расстоянии.</w:t>
      </w:r>
    </w:p>
    <w:p w14:paraId="4CF0009F" w14:textId="5EC39A9B" w:rsidR="00B8304D" w:rsidRPr="007F7AC4" w:rsidRDefault="00B8304D" w:rsidP="00B8304D">
      <w:pPr>
        <w:pStyle w:val="SingleTxtG"/>
        <w:rPr>
          <w:b/>
          <w:bCs/>
        </w:rPr>
      </w:pPr>
      <w:r>
        <w:t>40.</w:t>
      </w:r>
      <w:r>
        <w:tab/>
      </w:r>
      <w:r>
        <w:rPr>
          <w:b/>
          <w:bCs/>
        </w:rPr>
        <w:t xml:space="preserve">С учетом совместных замечаний общего порядка № 3 и </w:t>
      </w:r>
      <w:r w:rsidR="009A6897">
        <w:rPr>
          <w:b/>
          <w:bCs/>
        </w:rPr>
        <w:t>№</w:t>
      </w:r>
      <w:r w:rsidR="009A6897" w:rsidRPr="009A6897">
        <w:rPr>
          <w:b/>
          <w:bCs/>
        </w:rPr>
        <w:t xml:space="preserve"> </w:t>
      </w:r>
      <w:r>
        <w:rPr>
          <w:b/>
          <w:bCs/>
        </w:rPr>
        <w:t xml:space="preserve">4 Комитета по защите прав всех трудящихся-мигрантов и членов их семей/№ 22 и </w:t>
      </w:r>
      <w:r w:rsidR="009A6897">
        <w:rPr>
          <w:b/>
          <w:bCs/>
        </w:rPr>
        <w:t>№</w:t>
      </w:r>
      <w:r w:rsidR="009A6897" w:rsidRPr="009A6897">
        <w:rPr>
          <w:b/>
          <w:bCs/>
        </w:rPr>
        <w:t xml:space="preserve"> </w:t>
      </w:r>
      <w:r>
        <w:rPr>
          <w:b/>
          <w:bCs/>
        </w:rPr>
        <w:t>23 Комитета по правам ребенка (2017) Комитет рекомендует государству-участнику:</w:t>
      </w:r>
    </w:p>
    <w:p w14:paraId="2E54B40C" w14:textId="77777777" w:rsidR="00B8304D" w:rsidRPr="00CF1ACA" w:rsidRDefault="00B8304D" w:rsidP="004D011F">
      <w:pPr>
        <w:pStyle w:val="SingleTxtG"/>
        <w:keepNext/>
        <w:keepLines/>
        <w:ind w:firstLine="567"/>
        <w:rPr>
          <w:b/>
          <w:bCs/>
        </w:rPr>
      </w:pPr>
      <w:r w:rsidRPr="000634ED">
        <w:rPr>
          <w:b/>
          <w:bCs/>
        </w:rPr>
        <w:lastRenderedPageBreak/>
        <w:t>a)</w:t>
      </w:r>
      <w:r w:rsidRPr="000634ED">
        <w:rPr>
          <w:b/>
          <w:bCs/>
        </w:rPr>
        <w:tab/>
        <w:t>обеспечить, чтобы национальные системы защиты детей, включая</w:t>
      </w:r>
      <w:r>
        <w:rPr>
          <w:b/>
          <w:bCs/>
        </w:rPr>
        <w:t xml:space="preserve"> </w:t>
      </w:r>
      <w:r w:rsidRPr="00CF1ACA">
        <w:rPr>
          <w:b/>
          <w:bCs/>
        </w:rPr>
        <w:t>омбудсменов по делам детей и подростков, учитывали потребности и мнения детей-мигрантов и др. в контексте миграции и имели необходимые ресурсы для выполнения своего мандата;</w:t>
      </w:r>
    </w:p>
    <w:p w14:paraId="028BF380" w14:textId="77777777" w:rsidR="00B8304D" w:rsidRPr="00CF1ACA" w:rsidRDefault="00B8304D" w:rsidP="006A31AA">
      <w:pPr>
        <w:pStyle w:val="SingleTxtG"/>
        <w:ind w:firstLine="567"/>
        <w:rPr>
          <w:b/>
          <w:bCs/>
        </w:rPr>
      </w:pPr>
      <w:r w:rsidRPr="00CF1ACA">
        <w:rPr>
          <w:b/>
          <w:bCs/>
        </w:rPr>
        <w:t>b)</w:t>
      </w:r>
      <w:r w:rsidRPr="00CF1ACA">
        <w:rPr>
          <w:b/>
          <w:bCs/>
        </w:rPr>
        <w:tab/>
        <w:t>гарантировать детям-мигрантам и подросткам-мигрантам, включая детей нелегальных трудящихся-мигрантов и несопровождаемых детей, те же права, что и всем остальным детям, включая доступ к образованию, медицинским и социальным услугам и защиту от насилия;</w:t>
      </w:r>
    </w:p>
    <w:p w14:paraId="4E091F62" w14:textId="77777777" w:rsidR="00B8304D" w:rsidRPr="00CF1ACA" w:rsidRDefault="00B8304D" w:rsidP="006A31AA">
      <w:pPr>
        <w:pStyle w:val="SingleTxtG"/>
        <w:ind w:firstLine="567"/>
        <w:rPr>
          <w:b/>
          <w:bCs/>
        </w:rPr>
      </w:pPr>
      <w:r w:rsidRPr="00CF1ACA">
        <w:rPr>
          <w:b/>
          <w:bCs/>
        </w:rPr>
        <w:t>c)</w:t>
      </w:r>
      <w:r w:rsidRPr="00CF1ACA">
        <w:rPr>
          <w:b/>
          <w:bCs/>
        </w:rPr>
        <w:tab/>
        <w:t>рассмотреть возможность повышения минимального возраста для приема на работу до возраста окончания обязательного школьного обучения или, в любом случае, до 15 лет;</w:t>
      </w:r>
    </w:p>
    <w:p w14:paraId="4F05E10C" w14:textId="77777777" w:rsidR="00B8304D" w:rsidRPr="00CF1ACA" w:rsidRDefault="00B8304D" w:rsidP="006A31AA">
      <w:pPr>
        <w:pStyle w:val="SingleTxtG"/>
        <w:ind w:firstLine="567"/>
        <w:rPr>
          <w:b/>
          <w:bCs/>
        </w:rPr>
      </w:pPr>
      <w:r w:rsidRPr="00CF1ACA">
        <w:rPr>
          <w:b/>
          <w:bCs/>
        </w:rPr>
        <w:t>d)</w:t>
      </w:r>
      <w:r w:rsidRPr="00CF1ACA">
        <w:rPr>
          <w:b/>
          <w:bCs/>
        </w:rPr>
        <w:tab/>
        <w:t>удвоить усилия по искоренению детского труда детей-мигрантов и подростков-мигрантов, в частности за счет проведения мероприятий по повышению осведомленности общественности, уделения дополнительного внимания семьям, живущим в условиях крайней нищеты, со стороны общества, укрепления потенциала трудовых инспекций, а также наказания тех, кто эксплуатирует детей-мигрантов или подвергает их принудительному труду и жестокому обращению, особенно в неформальном секторе экономики;</w:t>
      </w:r>
    </w:p>
    <w:p w14:paraId="2F97702A" w14:textId="70C24935" w:rsidR="00B8304D" w:rsidRPr="00CF1ACA" w:rsidRDefault="00B8304D" w:rsidP="006A31AA">
      <w:pPr>
        <w:pStyle w:val="SingleTxtG"/>
        <w:ind w:firstLine="567"/>
        <w:rPr>
          <w:b/>
          <w:bCs/>
        </w:rPr>
      </w:pPr>
      <w:r w:rsidRPr="00CF1ACA">
        <w:rPr>
          <w:b/>
          <w:bCs/>
        </w:rPr>
        <w:t>e)</w:t>
      </w:r>
      <w:r w:rsidRPr="00CF1ACA">
        <w:rPr>
          <w:b/>
          <w:bCs/>
        </w:rPr>
        <w:tab/>
        <w:t>провести исследование, посвященное положению боливийских детей и подростков, чьи родители мигрировали в другую страну, в частности материнству на расстоянии.</w:t>
      </w:r>
    </w:p>
    <w:p w14:paraId="5FB6B6D3" w14:textId="77777777" w:rsidR="00B8304D" w:rsidRPr="007F7AC4" w:rsidRDefault="00B8304D" w:rsidP="00B8304D">
      <w:pPr>
        <w:pStyle w:val="H23G"/>
      </w:pPr>
      <w:r>
        <w:tab/>
      </w:r>
      <w:r>
        <w:tab/>
      </w:r>
      <w:r>
        <w:rPr>
          <w:bCs/>
        </w:rPr>
        <w:t>Пограничный контроль и транзитные мигранты</w:t>
      </w:r>
    </w:p>
    <w:p w14:paraId="7F90A5FF" w14:textId="77777777" w:rsidR="00B8304D" w:rsidRPr="007F7AC4" w:rsidRDefault="00B8304D" w:rsidP="00B8304D">
      <w:pPr>
        <w:pStyle w:val="SingleTxtG"/>
      </w:pPr>
      <w:r>
        <w:t>41.</w:t>
      </w:r>
      <w:r>
        <w:tab/>
        <w:t>Комитет с обеспокоенностью отмечает:</w:t>
      </w:r>
    </w:p>
    <w:p w14:paraId="6B3D36AC" w14:textId="46C68D93" w:rsidR="00B8304D" w:rsidRPr="007F7AC4" w:rsidRDefault="00B8304D" w:rsidP="006A31AA">
      <w:pPr>
        <w:pStyle w:val="SingleTxtG"/>
        <w:ind w:firstLine="567"/>
      </w:pPr>
      <w:r>
        <w:t>a)</w:t>
      </w:r>
      <w:r>
        <w:tab/>
        <w:t xml:space="preserve">операции по контролю над миграцией, которые проводятся Главным управлением по вопросам миграции и изображаются в социальных сетях как процедуры, направленные на защиту безопасности граждан. Речь идет, в частности об операциях в 2021 и 2022 годах, в приграничных районах, городских центрах, на дорогах и границах между департаментами, особенно в </w:t>
      </w:r>
      <w:proofErr w:type="spellStart"/>
      <w:r>
        <w:t>Десагуадеро</w:t>
      </w:r>
      <w:proofErr w:type="spellEnd"/>
      <w:r>
        <w:t>, Эль-Альто и Ла</w:t>
      </w:r>
      <w:r w:rsidR="00664E49">
        <w:noBreakHyphen/>
      </w:r>
      <w:r>
        <w:t>Пасе, направленных на то</w:t>
      </w:r>
      <w:r w:rsidR="007852AA" w:rsidRPr="007852AA">
        <w:t>,</w:t>
      </w:r>
      <w:r>
        <w:t xml:space="preserve"> чтобы выявить лиц с неурегулированным миграционным статусом и вывезти их на границу, сообщить им о мерах, предусмотренных чтобы не допустить их въезда на территорию страны, запретить им въезд или обязать покинуть Боливию или же запугать их и заставить принять меры для урегулирования своего статуса;</w:t>
      </w:r>
    </w:p>
    <w:p w14:paraId="26675B3F" w14:textId="77777777" w:rsidR="00B8304D" w:rsidRPr="007F7AC4" w:rsidRDefault="00B8304D" w:rsidP="006A31AA">
      <w:pPr>
        <w:pStyle w:val="SingleTxtG"/>
        <w:ind w:firstLine="567"/>
      </w:pPr>
      <w:r>
        <w:t>b)</w:t>
      </w:r>
      <w:r>
        <w:tab/>
        <w:t>повышенный риск насилия, торговли людьми или незаконного перевоза, которому подвергаются несопровождаемые дети-мигранты и подростки-мигранты во время транзита;</w:t>
      </w:r>
    </w:p>
    <w:p w14:paraId="662455FA" w14:textId="77777777" w:rsidR="00B8304D" w:rsidRPr="007F7AC4" w:rsidRDefault="00B8304D" w:rsidP="006A31AA">
      <w:pPr>
        <w:pStyle w:val="SingleTxtG"/>
        <w:ind w:firstLine="567"/>
      </w:pPr>
      <w:r>
        <w:t>c)</w:t>
      </w:r>
      <w:r>
        <w:tab/>
        <w:t>отсутствие достаточной инфраструктуры, оборудования и обученного персонал в приграничных государственных учреждениях, включая омбудсменов по делам детей и подростков, недостаточную координацию деятельности и отсутствие приютов.</w:t>
      </w:r>
    </w:p>
    <w:p w14:paraId="1B034CB6" w14:textId="77777777" w:rsidR="00B8304D" w:rsidRPr="007F7AC4" w:rsidRDefault="00B8304D" w:rsidP="00B8304D">
      <w:pPr>
        <w:pStyle w:val="SingleTxtG"/>
        <w:rPr>
          <w:b/>
          <w:bCs/>
        </w:rPr>
      </w:pPr>
      <w:r>
        <w:t>42.</w:t>
      </w:r>
      <w:r>
        <w:tab/>
      </w:r>
      <w:r>
        <w:rPr>
          <w:b/>
          <w:bCs/>
        </w:rPr>
        <w:t>В соответствии с Рекомендуемыми принципами и руководящими положениями по правам человека на международных границах, подготовленными Управлением Верховного комиссара Организации Объединенных Наций по правам человека (УВКПЧ), Комитет рекомендует государству-участнику:</w:t>
      </w:r>
    </w:p>
    <w:p w14:paraId="68A2A361" w14:textId="77777777" w:rsidR="00B8304D" w:rsidRPr="00E04451" w:rsidRDefault="00B8304D" w:rsidP="006A31AA">
      <w:pPr>
        <w:pStyle w:val="SingleTxtG"/>
        <w:ind w:firstLine="567"/>
        <w:rPr>
          <w:b/>
          <w:bCs/>
        </w:rPr>
      </w:pPr>
      <w:r w:rsidRPr="00E04451">
        <w:rPr>
          <w:b/>
          <w:bCs/>
        </w:rPr>
        <w:t>a)</w:t>
      </w:r>
      <w:r w:rsidRPr="00E04451">
        <w:rPr>
          <w:b/>
          <w:bCs/>
        </w:rPr>
        <w:tab/>
        <w:t>в диалоге со всеми заинтересованными сторонами провести оценку влияния операций по контролю над миграцией на повышение риска нарушения права на жизнь и личную неприкосновенность транзитных мигрантов и принять необходимые меры для предотвращения такого риска, защиты этой группы населения и продвижения миграционной политики, ориентированной на права человека и человеческую безопасность, включая создание безопасных и регулярных каналов миграции и постоянных механизмов урегулирования миграционного статуса;</w:t>
      </w:r>
    </w:p>
    <w:p w14:paraId="4262A218" w14:textId="77777777" w:rsidR="00B8304D" w:rsidRPr="00E04451" w:rsidRDefault="00B8304D" w:rsidP="006A31AA">
      <w:pPr>
        <w:pStyle w:val="SingleTxtG"/>
        <w:ind w:firstLine="567"/>
        <w:rPr>
          <w:b/>
          <w:bCs/>
        </w:rPr>
      </w:pPr>
      <w:r w:rsidRPr="00E04451">
        <w:rPr>
          <w:b/>
          <w:bCs/>
        </w:rPr>
        <w:lastRenderedPageBreak/>
        <w:t>b)</w:t>
      </w:r>
      <w:r w:rsidRPr="00E04451">
        <w:rPr>
          <w:b/>
          <w:bCs/>
        </w:rPr>
        <w:tab/>
        <w:t>пересмотреть порядок проведения операций по проверке миграционного статуса и их освещения, с тем чтобы предотвратить стигматизацию мигрантов как якобы представляющих опасность для общества и избежать ассоциирования нелегальных мигрантов с преступностью;</w:t>
      </w:r>
    </w:p>
    <w:p w14:paraId="5CF15519" w14:textId="222B8278" w:rsidR="00B8304D" w:rsidRPr="00E04451" w:rsidRDefault="00B8304D" w:rsidP="006A31AA">
      <w:pPr>
        <w:pStyle w:val="SingleTxtG"/>
        <w:ind w:firstLine="567"/>
        <w:rPr>
          <w:b/>
          <w:bCs/>
        </w:rPr>
      </w:pPr>
      <w:r w:rsidRPr="00E04451">
        <w:rPr>
          <w:b/>
          <w:bCs/>
        </w:rPr>
        <w:t>c)</w:t>
      </w:r>
      <w:r w:rsidRPr="00E04451">
        <w:rPr>
          <w:b/>
          <w:bCs/>
        </w:rPr>
        <w:tab/>
        <w:t>принять протоколы, предусматривающие согласованное реагирование компетентных органов при работе с несопровождаемыми детьми</w:t>
      </w:r>
      <w:r w:rsidR="00116E48">
        <w:rPr>
          <w:b/>
          <w:bCs/>
        </w:rPr>
        <w:noBreakHyphen/>
      </w:r>
      <w:r w:rsidRPr="00E04451">
        <w:rPr>
          <w:b/>
          <w:bCs/>
        </w:rPr>
        <w:t>мигрантами и подростками-мигрантами;</w:t>
      </w:r>
    </w:p>
    <w:p w14:paraId="315A8CE1" w14:textId="77777777" w:rsidR="00B8304D" w:rsidRPr="00E04451" w:rsidRDefault="00B8304D" w:rsidP="006A31AA">
      <w:pPr>
        <w:pStyle w:val="SingleTxtG"/>
        <w:ind w:firstLine="567"/>
        <w:rPr>
          <w:b/>
          <w:bCs/>
        </w:rPr>
      </w:pPr>
      <w:r w:rsidRPr="00E04451">
        <w:rPr>
          <w:b/>
          <w:bCs/>
        </w:rPr>
        <w:t>d)</w:t>
      </w:r>
      <w:r w:rsidRPr="00E04451">
        <w:rPr>
          <w:b/>
          <w:bCs/>
        </w:rPr>
        <w:tab/>
        <w:t>выделить достаточные людские, технические и финансовые ресурсы для укрепления пограничного контроля, обеспечив должное оснащение соответствующих учреждений, включая омбудсменов по делам детей и подростков, а также подготовку сотрудников пограничных служб по вопросам гарантий, которые должны соблюдаться при проведении операций, и оценки рисков в случае необходимости международной защиты.</w:t>
      </w:r>
    </w:p>
    <w:p w14:paraId="79DB63AF" w14:textId="77777777" w:rsidR="00B8304D" w:rsidRPr="007F7AC4" w:rsidRDefault="00B8304D" w:rsidP="00B8304D">
      <w:pPr>
        <w:pStyle w:val="H23G"/>
      </w:pPr>
      <w:r>
        <w:tab/>
      </w:r>
      <w:r>
        <w:tab/>
      </w:r>
      <w:r>
        <w:rPr>
          <w:bCs/>
        </w:rPr>
        <w:t>Содержание под стражей</w:t>
      </w:r>
    </w:p>
    <w:p w14:paraId="708C2981" w14:textId="77777777" w:rsidR="00B8304D" w:rsidRPr="007F7AC4" w:rsidRDefault="00B8304D" w:rsidP="00B8304D">
      <w:pPr>
        <w:pStyle w:val="SingleTxtG"/>
      </w:pPr>
      <w:r>
        <w:t>43.</w:t>
      </w:r>
      <w:r>
        <w:tab/>
        <w:t>Комитет с удовлетворением отмечает представленную государством-участником информацию о том, что миграция не является уголовно наказуемой и что мигранты не лишаются свободы из-за своего неурегулированного статуса. Однако он обеспокоен утверждениями о необоснованном задержании не допущенных в страну мигрантов и отсутствием информации о количестве задержанных таким образом лиц, а также о местах, продолжительности и условиях их содержания под стражей.</w:t>
      </w:r>
    </w:p>
    <w:p w14:paraId="4C2140A9" w14:textId="77777777" w:rsidR="00B8304D" w:rsidRPr="007F7AC4" w:rsidRDefault="00B8304D" w:rsidP="00B8304D">
      <w:pPr>
        <w:pStyle w:val="SingleTxtG"/>
        <w:rPr>
          <w:b/>
          <w:bCs/>
        </w:rPr>
      </w:pPr>
      <w:r>
        <w:t>44.</w:t>
      </w:r>
      <w:r>
        <w:tab/>
      </w:r>
      <w:r>
        <w:rPr>
          <w:b/>
          <w:bCs/>
        </w:rPr>
        <w:t>В свете своего замечания общего порядка № 5 (2021) о правах мигрантов на свободу не подвергаться произвольным задержаниям Комитет призывает государство-участник:</w:t>
      </w:r>
      <w:bookmarkStart w:id="6" w:name="_Hlk100230273"/>
    </w:p>
    <w:p w14:paraId="32BA648B" w14:textId="77777777" w:rsidR="00B8304D" w:rsidRPr="00D37A30" w:rsidRDefault="00B8304D" w:rsidP="006A31AA">
      <w:pPr>
        <w:pStyle w:val="SingleTxtG"/>
        <w:ind w:firstLine="567"/>
        <w:rPr>
          <w:b/>
          <w:bCs/>
        </w:rPr>
      </w:pPr>
      <w:r w:rsidRPr="00D37A30">
        <w:rPr>
          <w:b/>
          <w:bCs/>
        </w:rPr>
        <w:t>a)</w:t>
      </w:r>
      <w:r w:rsidRPr="00D37A30">
        <w:rPr>
          <w:b/>
          <w:bCs/>
        </w:rPr>
        <w:tab/>
        <w:t>обеспечить, чтобы содержание мигрантов под стражей было исключительной и крайней мерой, чтобы в каждом случае приводились основания с указанием причин, по которым не могут быть применены меры, не связанные с заключением под стражу, и чтобы вопрос об обоснованности избрания этой меры рассматривался в течение 24 часов независимым и беспристрастным судебным органом;</w:t>
      </w:r>
    </w:p>
    <w:p w14:paraId="33AFF779" w14:textId="77777777" w:rsidR="00B8304D" w:rsidRPr="00D37A30" w:rsidRDefault="00B8304D" w:rsidP="006A31AA">
      <w:pPr>
        <w:pStyle w:val="SingleTxtG"/>
        <w:ind w:firstLine="567"/>
        <w:rPr>
          <w:b/>
          <w:bCs/>
        </w:rPr>
      </w:pPr>
      <w:r w:rsidRPr="00D37A30">
        <w:rPr>
          <w:b/>
          <w:bCs/>
        </w:rPr>
        <w:t>b)</w:t>
      </w:r>
      <w:r w:rsidRPr="00D37A30">
        <w:rPr>
          <w:b/>
          <w:bCs/>
        </w:rPr>
        <w:tab/>
        <w:t>принимать в отношении трудящихся-мигрантов и членов их семей меры, не связанные с административным задержанием, в рамках процедур, связанных с их въездом в страну или высылкой с территории страны.</w:t>
      </w:r>
    </w:p>
    <w:bookmarkEnd w:id="6"/>
    <w:p w14:paraId="00B5A1AC" w14:textId="77777777" w:rsidR="00B8304D" w:rsidRPr="007F7AC4" w:rsidRDefault="00B8304D" w:rsidP="00B8304D">
      <w:pPr>
        <w:pStyle w:val="H23G"/>
      </w:pPr>
      <w:r>
        <w:tab/>
      </w:r>
      <w:r>
        <w:tab/>
      </w:r>
      <w:r>
        <w:rPr>
          <w:bCs/>
        </w:rPr>
        <w:t>Высылка</w:t>
      </w:r>
      <w:r>
        <w:t xml:space="preserve"> </w:t>
      </w:r>
    </w:p>
    <w:p w14:paraId="5307E640" w14:textId="77777777" w:rsidR="00B8304D" w:rsidRPr="007F7AC4" w:rsidRDefault="00B8304D" w:rsidP="00B8304D">
      <w:pPr>
        <w:pStyle w:val="SingleTxtG"/>
      </w:pPr>
      <w:r>
        <w:t>45.</w:t>
      </w:r>
      <w:r>
        <w:tab/>
        <w:t>Комитет с обеспокоенностью отмечает:</w:t>
      </w:r>
    </w:p>
    <w:p w14:paraId="711909E1" w14:textId="7B4D64A9" w:rsidR="00B8304D" w:rsidRPr="007F7AC4" w:rsidRDefault="00B8304D" w:rsidP="006A31AA">
      <w:pPr>
        <w:pStyle w:val="SingleTxtG"/>
        <w:ind w:firstLine="567"/>
      </w:pPr>
      <w:r>
        <w:t>a)</w:t>
      </w:r>
      <w:r>
        <w:tab/>
        <w:t>большое количество иностранцев, высланных в последние годы, в</w:t>
      </w:r>
      <w:r w:rsidR="00BB20E4">
        <w:rPr>
          <w:lang w:val="en-US"/>
        </w:rPr>
        <w:t> </w:t>
      </w:r>
      <w:r>
        <w:t>частности сообщения о коллективных высылках семейных групп с детьми и подростками, в том числе через границу с Перу (</w:t>
      </w:r>
      <w:proofErr w:type="spellStart"/>
      <w:r>
        <w:t>Десагуадеро</w:t>
      </w:r>
      <w:proofErr w:type="spellEnd"/>
      <w:r>
        <w:t>); случаи высылки без возможности воспользоваться услугами адвоката или обжаловать это решение в рамках операций по контролю над миграцией; а также случаи повторной отправки на границу из места проживания;</w:t>
      </w:r>
    </w:p>
    <w:p w14:paraId="689CDFDE" w14:textId="2E84442D" w:rsidR="00B8304D" w:rsidRPr="007F7AC4" w:rsidRDefault="00B8304D" w:rsidP="006A31AA">
      <w:pPr>
        <w:pStyle w:val="SingleTxtG"/>
        <w:ind w:firstLine="567"/>
      </w:pPr>
      <w:r>
        <w:t>b)</w:t>
      </w:r>
      <w:r>
        <w:tab/>
        <w:t>сообщения о не допущенных на территорию страны иностранных гражданах, не имеющих доступа к услугам переводчика на контрольно-пропускных пунктах или механизмам подачи заявлений о получении международной защиты, а</w:t>
      </w:r>
      <w:r w:rsidR="003059A1">
        <w:t> </w:t>
      </w:r>
      <w:r>
        <w:t>также установленные ограничения на контакты с их консульскими учреждениями и отсутствие документирования таких случаев, когда они происходят в приграничных районах;</w:t>
      </w:r>
    </w:p>
    <w:p w14:paraId="65452D79" w14:textId="77777777" w:rsidR="00B8304D" w:rsidRPr="007F7AC4" w:rsidRDefault="00B8304D" w:rsidP="006A31AA">
      <w:pPr>
        <w:pStyle w:val="SingleTxtG"/>
        <w:ind w:firstLine="567"/>
      </w:pPr>
      <w:r>
        <w:t>c)</w:t>
      </w:r>
      <w:r>
        <w:tab/>
        <w:t>короткий период в 15 дней для того, чтобы оспорить решение об обязательном выезде после того, как такое решение было доведено до сведения соответствующего лица, и чтобы иметь возможность предпринять какие-либо административные или судебные меры;</w:t>
      </w:r>
    </w:p>
    <w:p w14:paraId="29EE7564" w14:textId="77777777" w:rsidR="00B8304D" w:rsidRPr="007F7AC4" w:rsidRDefault="00B8304D" w:rsidP="001B4F04">
      <w:pPr>
        <w:pStyle w:val="SingleTxtG"/>
        <w:keepNext/>
        <w:keepLines/>
        <w:ind w:firstLine="567"/>
      </w:pPr>
      <w:r>
        <w:lastRenderedPageBreak/>
        <w:t>d)</w:t>
      </w:r>
      <w:r>
        <w:tab/>
        <w:t>непроведение оценки потребности в международной защите, включая случаи, когда обладатели удостоверения лица, ходатайствующего о предоставлении статуса беженца, были задержаны Главным управлением по вопросам миграции и освобождены только после вмешательства адвоката.</w:t>
      </w:r>
    </w:p>
    <w:p w14:paraId="3C1A4F86" w14:textId="77777777" w:rsidR="00B8304D" w:rsidRPr="007F7AC4" w:rsidRDefault="00B8304D" w:rsidP="00B8304D">
      <w:pPr>
        <w:pStyle w:val="SingleTxtG"/>
      </w:pPr>
      <w:r>
        <w:t>46.</w:t>
      </w:r>
      <w:r>
        <w:tab/>
      </w:r>
      <w:r>
        <w:rPr>
          <w:b/>
          <w:bCs/>
        </w:rPr>
        <w:t>Комитет рекомендует государству-участнику:</w:t>
      </w:r>
    </w:p>
    <w:p w14:paraId="5869AB7C" w14:textId="13049ABA" w:rsidR="00B8304D" w:rsidRPr="003059A1" w:rsidRDefault="00B8304D" w:rsidP="006A31AA">
      <w:pPr>
        <w:pStyle w:val="SingleTxtG"/>
        <w:ind w:firstLine="567"/>
        <w:rPr>
          <w:b/>
          <w:bCs/>
        </w:rPr>
      </w:pPr>
      <w:r w:rsidRPr="003059A1">
        <w:rPr>
          <w:b/>
          <w:bCs/>
        </w:rPr>
        <w:t>a)</w:t>
      </w:r>
      <w:r w:rsidRPr="003059A1">
        <w:rPr>
          <w:b/>
          <w:bCs/>
        </w:rPr>
        <w:tab/>
        <w:t xml:space="preserve">гарантировать, чтобы любые процедуры, которые могут повлиять на детей и подростков, основывались на принципе наилучшего обеспечения их интересов в качестве основного соображения, следуя руководящим принципам совместных замечаний общего порядка № 3 и </w:t>
      </w:r>
      <w:r w:rsidR="001A63E6">
        <w:rPr>
          <w:b/>
          <w:bCs/>
        </w:rPr>
        <w:t>№</w:t>
      </w:r>
      <w:r w:rsidR="001A63E6" w:rsidRPr="001A63E6">
        <w:rPr>
          <w:b/>
          <w:bCs/>
        </w:rPr>
        <w:t xml:space="preserve"> </w:t>
      </w:r>
      <w:r w:rsidRPr="003059A1">
        <w:rPr>
          <w:b/>
          <w:bCs/>
        </w:rPr>
        <w:t xml:space="preserve">4 Комитета по защите прав всех трудящихся-мигрантов и членов их семей/№ 22 и </w:t>
      </w:r>
      <w:r w:rsidR="001A63E6">
        <w:rPr>
          <w:b/>
          <w:bCs/>
        </w:rPr>
        <w:t>№</w:t>
      </w:r>
      <w:r w:rsidR="001A63E6" w:rsidRPr="001A63E6">
        <w:rPr>
          <w:b/>
          <w:bCs/>
        </w:rPr>
        <w:t xml:space="preserve"> </w:t>
      </w:r>
      <w:r w:rsidRPr="003059A1">
        <w:rPr>
          <w:b/>
          <w:bCs/>
        </w:rPr>
        <w:t>23 Комитета по правам ребенка (2017);</w:t>
      </w:r>
    </w:p>
    <w:p w14:paraId="68E48BC9" w14:textId="093444DA" w:rsidR="00B8304D" w:rsidRPr="003059A1" w:rsidRDefault="00B8304D" w:rsidP="006A31AA">
      <w:pPr>
        <w:pStyle w:val="SingleTxtG"/>
        <w:ind w:firstLine="567"/>
        <w:rPr>
          <w:b/>
          <w:bCs/>
        </w:rPr>
      </w:pPr>
      <w:r w:rsidRPr="003059A1">
        <w:rPr>
          <w:b/>
          <w:bCs/>
        </w:rPr>
        <w:t>b)</w:t>
      </w:r>
      <w:r w:rsidRPr="003059A1">
        <w:rPr>
          <w:b/>
          <w:bCs/>
        </w:rPr>
        <w:tab/>
        <w:t>обеспечить предоставление гарантий надлежащей правовой процедуры для трудящихся-мигрантов и членов их семей, в особенности тех из них, чей статус не урегулирован, в рамках любых административных и судебных процедур и, кроме того, обеспечить, чтобы лица, в отношении которых принято административное решение о высылке, могли воспользоваться помощью и бесплатными услугами адвоката и своим правом на обжалование решения, а</w:t>
      </w:r>
      <w:r w:rsidR="003059A1">
        <w:rPr>
          <w:b/>
          <w:bCs/>
        </w:rPr>
        <w:t> </w:t>
      </w:r>
      <w:r w:rsidRPr="003059A1">
        <w:rPr>
          <w:b/>
          <w:bCs/>
        </w:rPr>
        <w:t>также чтобы административные процедуры высылки соответствовали статьям</w:t>
      </w:r>
      <w:r w:rsidR="003059A1">
        <w:rPr>
          <w:b/>
          <w:bCs/>
        </w:rPr>
        <w:t> </w:t>
      </w:r>
      <w:r w:rsidRPr="003059A1">
        <w:rPr>
          <w:b/>
          <w:bCs/>
        </w:rPr>
        <w:t>22 и 23 Конвенции;</w:t>
      </w:r>
    </w:p>
    <w:p w14:paraId="22D392C3" w14:textId="77777777" w:rsidR="00B8304D" w:rsidRPr="003059A1" w:rsidRDefault="00B8304D" w:rsidP="006A31AA">
      <w:pPr>
        <w:pStyle w:val="SingleTxtG"/>
        <w:ind w:firstLine="567"/>
        <w:rPr>
          <w:b/>
          <w:bCs/>
        </w:rPr>
      </w:pPr>
      <w:r w:rsidRPr="003059A1">
        <w:rPr>
          <w:b/>
          <w:bCs/>
        </w:rPr>
        <w:t>c)</w:t>
      </w:r>
      <w:r w:rsidRPr="003059A1">
        <w:rPr>
          <w:b/>
          <w:bCs/>
        </w:rPr>
        <w:tab/>
        <w:t>внести изменения в процедуру обязательной высылки, предусмотренную Законом № 370, закрепив в качестве одного из ее официальных этапов уведомление о необходимости урегулировании статуса и продлив сроки оспаривания решения о высылке;</w:t>
      </w:r>
    </w:p>
    <w:p w14:paraId="29B1F62B" w14:textId="77777777" w:rsidR="00B8304D" w:rsidRPr="003059A1" w:rsidRDefault="00B8304D" w:rsidP="006A31AA">
      <w:pPr>
        <w:pStyle w:val="SingleTxtG"/>
        <w:ind w:firstLine="567"/>
        <w:rPr>
          <w:b/>
          <w:bCs/>
        </w:rPr>
      </w:pPr>
      <w:r w:rsidRPr="003059A1">
        <w:rPr>
          <w:b/>
          <w:bCs/>
        </w:rPr>
        <w:t>d)</w:t>
      </w:r>
      <w:r w:rsidRPr="003059A1">
        <w:rPr>
          <w:b/>
          <w:bCs/>
        </w:rPr>
        <w:tab/>
        <w:t xml:space="preserve">запретить коллективные и произвольные высылки; проводить объективный анализ индивидуальных обстоятельств каждого мигранта, принимая во внимание возможные потребности в защите; обеспечить соблюдение принципа недопущения принудительного возвращения и предусмотреть альтернативные высылке меры, включая право на убежище, дополнительную защиту и предоставление видов на жительство по гуманитарным и иным причинам. </w:t>
      </w:r>
    </w:p>
    <w:p w14:paraId="2B3D935C" w14:textId="77777777" w:rsidR="00B8304D" w:rsidRPr="007F7AC4" w:rsidRDefault="00B8304D" w:rsidP="00B8304D">
      <w:pPr>
        <w:pStyle w:val="H23G"/>
      </w:pPr>
      <w:r>
        <w:tab/>
      </w:r>
      <w:r>
        <w:tab/>
      </w:r>
      <w:r>
        <w:rPr>
          <w:bCs/>
        </w:rPr>
        <w:t>Убежище</w:t>
      </w:r>
    </w:p>
    <w:p w14:paraId="744AEBB0" w14:textId="1E2A97C0" w:rsidR="00B8304D" w:rsidRPr="00154FE3" w:rsidRDefault="00B8304D" w:rsidP="00B8304D">
      <w:pPr>
        <w:pStyle w:val="SingleTxtG"/>
      </w:pPr>
      <w:r>
        <w:t>47.</w:t>
      </w:r>
      <w:r>
        <w:tab/>
        <w:t xml:space="preserve">Комитет обеспокоен трудностями, возникающими при оформлении ходатайств о предоставлении убежища, получении статуса беженца и попытке избежать риска высылки, в связи с: a) тем, что с 2018 года подача таких ходатайств возможна только в штаб-квартире Технического секретариата Национальной комиссии по делам беженцев в Ла-Пасе и ограниченным числом сотрудников, занимающихся рассмотрением ходатайств; </w:t>
      </w:r>
      <w:r w:rsidR="00154FE3">
        <w:rPr>
          <w:lang w:val="en-US"/>
        </w:rPr>
        <w:t>b</w:t>
      </w:r>
      <w:r>
        <w:t xml:space="preserve">) отсутствием информации для лиц, прибывающих на границы и в аэропорты, о процедуре получения статуса беженца и непредоставлением им достаточной юридической помощи; </w:t>
      </w:r>
      <w:r w:rsidR="00154FE3">
        <w:rPr>
          <w:lang w:val="en-US"/>
        </w:rPr>
        <w:t>c</w:t>
      </w:r>
      <w:r w:rsidR="00154FE3" w:rsidRPr="00154FE3">
        <w:t>)</w:t>
      </w:r>
      <w:r>
        <w:t xml:space="preserve"> </w:t>
      </w:r>
      <w:r w:rsidRPr="00CB62E8">
        <w:t>фактическим</w:t>
      </w:r>
      <w:r>
        <w:t xml:space="preserve"> применением процедур предварительного допуска к тем, кто официально оформил свое заявление</w:t>
      </w:r>
      <w:r w:rsidR="00154FE3" w:rsidRPr="00154FE3">
        <w:t>;</w:t>
      </w:r>
      <w:r>
        <w:t xml:space="preserve"> </w:t>
      </w:r>
      <w:r w:rsidR="00154FE3">
        <w:br/>
      </w:r>
      <w:r>
        <w:t xml:space="preserve">и </w:t>
      </w:r>
      <w:r w:rsidR="00154FE3">
        <w:rPr>
          <w:lang w:val="en-US"/>
        </w:rPr>
        <w:t>d</w:t>
      </w:r>
      <w:r>
        <w:t xml:space="preserve">) неиспользованием </w:t>
      </w:r>
      <w:r w:rsidR="00154FE3">
        <w:t>«</w:t>
      </w:r>
      <w:r>
        <w:t>расширенного</w:t>
      </w:r>
      <w:r w:rsidR="00154FE3">
        <w:t>»</w:t>
      </w:r>
      <w:r>
        <w:t xml:space="preserve"> определения беженца, признанного </w:t>
      </w:r>
      <w:r w:rsidR="00154FE3">
        <w:br/>
      </w:r>
      <w:r>
        <w:t xml:space="preserve">в Законе № 251 и </w:t>
      </w:r>
      <w:proofErr w:type="spellStart"/>
      <w:r>
        <w:t>Картахенской</w:t>
      </w:r>
      <w:proofErr w:type="spellEnd"/>
      <w:r>
        <w:t xml:space="preserve"> декларации о беженцах, что затрагивает лиц, нуждающихся в международной защите, особенно колумбийцев, </w:t>
      </w:r>
      <w:proofErr w:type="spellStart"/>
      <w:r>
        <w:t>эритрейцев</w:t>
      </w:r>
      <w:proofErr w:type="spellEnd"/>
      <w:r>
        <w:t>, эфиопов, палестинцев и венесуэльцев.</w:t>
      </w:r>
    </w:p>
    <w:p w14:paraId="7940B2C6" w14:textId="77777777" w:rsidR="00B8304D" w:rsidRPr="007F7AC4" w:rsidRDefault="00B8304D" w:rsidP="00B8304D">
      <w:pPr>
        <w:pStyle w:val="SingleTxtG"/>
        <w:rPr>
          <w:b/>
          <w:bCs/>
        </w:rPr>
      </w:pPr>
      <w:r>
        <w:t>48.</w:t>
      </w:r>
      <w:r>
        <w:tab/>
      </w:r>
      <w:r>
        <w:rPr>
          <w:b/>
          <w:bCs/>
        </w:rPr>
        <w:t>Комитет рекомендует государству-участнику:</w:t>
      </w:r>
    </w:p>
    <w:p w14:paraId="42174F3D" w14:textId="77777777" w:rsidR="00B8304D" w:rsidRPr="00B21A19" w:rsidRDefault="00B8304D" w:rsidP="006A31AA">
      <w:pPr>
        <w:pStyle w:val="SingleTxtG"/>
        <w:ind w:firstLine="567"/>
        <w:rPr>
          <w:b/>
          <w:bCs/>
        </w:rPr>
      </w:pPr>
      <w:r w:rsidRPr="00B21A19">
        <w:rPr>
          <w:b/>
          <w:bCs/>
        </w:rPr>
        <w:t>a)</w:t>
      </w:r>
      <w:r w:rsidRPr="00B21A19">
        <w:rPr>
          <w:b/>
          <w:bCs/>
        </w:rPr>
        <w:tab/>
        <w:t>гарантировать, чтобы все заявления о предоставлении международной защиты, поданные в любом месте на территории страны, в том числе на границах и в аэропортах, принимались, регистрировались и без промедления направлялись в органы, ответственные за их обработку, обеспечив, чтобы применяемые процедуры и принимаемые решения основывались исключительно на положениях Закона № 251 и применимых договорах, включая настоящую Конвенцию и Конвенцию 1951 года о статусе беженцев и Протокол 1967 года к ней;</w:t>
      </w:r>
    </w:p>
    <w:p w14:paraId="1347B400" w14:textId="77777777" w:rsidR="00B8304D" w:rsidRPr="00B21A19" w:rsidRDefault="00B8304D" w:rsidP="006A31AA">
      <w:pPr>
        <w:pStyle w:val="SingleTxtG"/>
        <w:ind w:firstLine="567"/>
        <w:rPr>
          <w:b/>
          <w:bCs/>
        </w:rPr>
      </w:pPr>
      <w:r w:rsidRPr="00B21A19">
        <w:rPr>
          <w:b/>
          <w:bCs/>
        </w:rPr>
        <w:lastRenderedPageBreak/>
        <w:t>b)</w:t>
      </w:r>
      <w:r w:rsidRPr="00B21A19">
        <w:rPr>
          <w:b/>
          <w:bCs/>
        </w:rPr>
        <w:tab/>
        <w:t>увеличить число сотрудников, занимающихся рассмотрением заявлений беженцев в Национальной комиссии по делам беженцев, и рассмотреть возможность приема заявлений в других городах, помимо Ла-Паса;</w:t>
      </w:r>
    </w:p>
    <w:p w14:paraId="40D11980" w14:textId="0B3AC2F2" w:rsidR="00B8304D" w:rsidRPr="00B21A19" w:rsidRDefault="00B8304D" w:rsidP="006A31AA">
      <w:pPr>
        <w:pStyle w:val="SingleTxtG"/>
        <w:ind w:firstLine="567"/>
        <w:rPr>
          <w:b/>
          <w:bCs/>
        </w:rPr>
      </w:pPr>
      <w:r w:rsidRPr="00B21A19">
        <w:rPr>
          <w:b/>
          <w:bCs/>
        </w:rPr>
        <w:t>c)</w:t>
      </w:r>
      <w:r w:rsidRPr="00B21A19">
        <w:rPr>
          <w:b/>
          <w:bCs/>
        </w:rPr>
        <w:tab/>
        <w:t>усилить постоянную подготовку персонала, участвующего в процедурах предоставления убежища и процедурах пограничного контроля, в</w:t>
      </w:r>
      <w:r w:rsidR="00712CE0">
        <w:rPr>
          <w:b/>
          <w:bCs/>
          <w:lang w:val="en-US"/>
        </w:rPr>
        <w:t> </w:t>
      </w:r>
      <w:r w:rsidRPr="00B21A19">
        <w:rPr>
          <w:b/>
          <w:bCs/>
        </w:rPr>
        <w:t xml:space="preserve">соответствии с решением Межамериканского суда по правам человека по делу </w:t>
      </w:r>
      <w:r w:rsidRPr="00B21A19">
        <w:rPr>
          <w:b/>
          <w:bCs/>
          <w:i/>
          <w:iCs/>
        </w:rPr>
        <w:t xml:space="preserve">Семья </w:t>
      </w:r>
      <w:proofErr w:type="spellStart"/>
      <w:r w:rsidRPr="00B21A19">
        <w:rPr>
          <w:b/>
          <w:bCs/>
          <w:i/>
          <w:iCs/>
        </w:rPr>
        <w:t>Пачеко</w:t>
      </w:r>
      <w:proofErr w:type="spellEnd"/>
      <w:r w:rsidRPr="00B21A19">
        <w:rPr>
          <w:b/>
          <w:bCs/>
          <w:i/>
          <w:iCs/>
        </w:rPr>
        <w:t xml:space="preserve"> </w:t>
      </w:r>
      <w:proofErr w:type="spellStart"/>
      <w:r w:rsidRPr="00B21A19">
        <w:rPr>
          <w:b/>
          <w:bCs/>
          <w:i/>
          <w:iCs/>
        </w:rPr>
        <w:t>Тинео</w:t>
      </w:r>
      <w:proofErr w:type="spellEnd"/>
      <w:r w:rsidRPr="00B21A19">
        <w:rPr>
          <w:b/>
          <w:bCs/>
          <w:i/>
          <w:iCs/>
        </w:rPr>
        <w:t xml:space="preserve"> против Многонационального Государства Боливия</w:t>
      </w:r>
      <w:r w:rsidRPr="00B21A19">
        <w:rPr>
          <w:b/>
          <w:bCs/>
        </w:rPr>
        <w:t xml:space="preserve">, решение от 25 ноября 2013 года, и обеспечить применение </w:t>
      </w:r>
      <w:r w:rsidR="00154FE3" w:rsidRPr="00B21A19">
        <w:rPr>
          <w:b/>
          <w:bCs/>
        </w:rPr>
        <w:t>«</w:t>
      </w:r>
      <w:r w:rsidRPr="00B21A19">
        <w:rPr>
          <w:b/>
          <w:bCs/>
        </w:rPr>
        <w:t>расширенного</w:t>
      </w:r>
      <w:r w:rsidR="00154FE3" w:rsidRPr="00B21A19">
        <w:rPr>
          <w:b/>
          <w:bCs/>
        </w:rPr>
        <w:t>»</w:t>
      </w:r>
      <w:r w:rsidRPr="00B21A19">
        <w:rPr>
          <w:b/>
          <w:bCs/>
        </w:rPr>
        <w:t xml:space="preserve"> определения беженца в соответствии с Законом № 251 и </w:t>
      </w:r>
      <w:proofErr w:type="spellStart"/>
      <w:r w:rsidRPr="00B21A19">
        <w:rPr>
          <w:b/>
          <w:bCs/>
        </w:rPr>
        <w:t>Картахенской</w:t>
      </w:r>
      <w:proofErr w:type="spellEnd"/>
      <w:r w:rsidRPr="00B21A19">
        <w:rPr>
          <w:b/>
          <w:bCs/>
        </w:rPr>
        <w:t xml:space="preserve"> декларацией о беженцах;</w:t>
      </w:r>
    </w:p>
    <w:p w14:paraId="30CC1180" w14:textId="77777777" w:rsidR="00B8304D" w:rsidRPr="00B21A19" w:rsidRDefault="00B8304D" w:rsidP="006A31AA">
      <w:pPr>
        <w:pStyle w:val="SingleTxtG"/>
        <w:ind w:firstLine="567"/>
        <w:rPr>
          <w:b/>
          <w:bCs/>
        </w:rPr>
      </w:pPr>
      <w:r w:rsidRPr="00B21A19">
        <w:rPr>
          <w:b/>
          <w:bCs/>
        </w:rPr>
        <w:t>d)</w:t>
      </w:r>
      <w:r w:rsidRPr="00B21A19">
        <w:rPr>
          <w:b/>
          <w:bCs/>
        </w:rPr>
        <w:tab/>
        <w:t>обеспечить соблюдение принципа недопущения принудительного возвращения, выявление лиц, нуждающихся в международной защите, и информирование заинтересованных иностранных граждан, прибывающих в государство-участник, о процедурах, которым необходимо следовать при подаче ходатайства о получении убежища, и предоставление им правовой помощи.</w:t>
      </w:r>
    </w:p>
    <w:p w14:paraId="1FC838B7" w14:textId="77777777" w:rsidR="00B8304D" w:rsidRPr="007F7AC4" w:rsidRDefault="00B8304D" w:rsidP="00B8304D">
      <w:pPr>
        <w:pStyle w:val="H23G"/>
      </w:pPr>
      <w:r>
        <w:tab/>
      </w:r>
      <w:r>
        <w:tab/>
      </w:r>
      <w:r>
        <w:rPr>
          <w:bCs/>
        </w:rPr>
        <w:t>Консульская помощь</w:t>
      </w:r>
    </w:p>
    <w:p w14:paraId="5F347675" w14:textId="5311A522" w:rsidR="00B8304D" w:rsidRPr="007F7AC4" w:rsidRDefault="00B8304D" w:rsidP="00B8304D">
      <w:pPr>
        <w:pStyle w:val="SingleTxtG"/>
      </w:pPr>
      <w:r>
        <w:t>49.</w:t>
      </w:r>
      <w:r>
        <w:tab/>
        <w:t>Комитет принимает к сведению оперативное руководство Министерства иностранных дел по функциям центрального аппарата и дипломатической службы. Он, однако, обеспокоен отсутствием положений, регулирующих применение Закона</w:t>
      </w:r>
      <w:r w:rsidR="00EF6F70">
        <w:rPr>
          <w:lang w:val="en-US"/>
        </w:rPr>
        <w:t> </w:t>
      </w:r>
      <w:r>
        <w:t>№ 465, ограниченным числом официальных консульских представительств Многонационального Государства Боливия в мире и иностранных дипломатических и консульских представительств в государстве-участнике, особенно стран Океании, Азии и Африки.</w:t>
      </w:r>
    </w:p>
    <w:p w14:paraId="7AB14642" w14:textId="77777777" w:rsidR="00B8304D" w:rsidRPr="007F7AC4" w:rsidRDefault="00B8304D" w:rsidP="00B8304D">
      <w:pPr>
        <w:pStyle w:val="SingleTxtG"/>
      </w:pPr>
      <w:r>
        <w:t>50.</w:t>
      </w:r>
      <w:r>
        <w:tab/>
      </w:r>
      <w:r>
        <w:rPr>
          <w:b/>
          <w:bCs/>
        </w:rPr>
        <w:t>Комитет рекомендует государству-участнику:</w:t>
      </w:r>
    </w:p>
    <w:p w14:paraId="7DE1576C" w14:textId="1A5E81DA" w:rsidR="00B8304D" w:rsidRPr="005335AE" w:rsidRDefault="00B8304D" w:rsidP="006A31AA">
      <w:pPr>
        <w:pStyle w:val="SingleTxtG"/>
        <w:ind w:firstLine="567"/>
        <w:rPr>
          <w:b/>
          <w:bCs/>
        </w:rPr>
      </w:pPr>
      <w:r w:rsidRPr="005335AE">
        <w:rPr>
          <w:b/>
          <w:bCs/>
        </w:rPr>
        <w:t>a)</w:t>
      </w:r>
      <w:r w:rsidRPr="005335AE">
        <w:rPr>
          <w:b/>
          <w:bCs/>
        </w:rPr>
        <w:tab/>
        <w:t>принять положения, регулирующие применение Закона № 465 о</w:t>
      </w:r>
      <w:r w:rsidR="00C468B5">
        <w:rPr>
          <w:b/>
          <w:bCs/>
          <w:lang w:val="en-US"/>
        </w:rPr>
        <w:t> </w:t>
      </w:r>
      <w:r w:rsidRPr="005335AE">
        <w:rPr>
          <w:b/>
          <w:bCs/>
        </w:rPr>
        <w:t>дипломатической службе;</w:t>
      </w:r>
    </w:p>
    <w:p w14:paraId="48E3B768" w14:textId="77777777" w:rsidR="00B8304D" w:rsidRPr="005335AE" w:rsidRDefault="00B8304D" w:rsidP="006A31AA">
      <w:pPr>
        <w:pStyle w:val="SingleTxtG"/>
        <w:ind w:firstLine="567"/>
        <w:rPr>
          <w:b/>
          <w:bCs/>
        </w:rPr>
      </w:pPr>
      <w:r w:rsidRPr="005335AE">
        <w:rPr>
          <w:b/>
          <w:bCs/>
        </w:rPr>
        <w:t>b)</w:t>
      </w:r>
      <w:r w:rsidRPr="005335AE">
        <w:rPr>
          <w:b/>
          <w:bCs/>
        </w:rPr>
        <w:tab/>
        <w:t>постепенно расширять число своих консульских представительств, главным образом в Африке, Азии и Центральной Америке, и укреплять потенциал своих консульств и посольств для оказания эффективной помощи боливийским трудящимся-мигрантам и членам их семей за рубежом и их защиты.</w:t>
      </w:r>
    </w:p>
    <w:p w14:paraId="62FFDD48" w14:textId="77777777" w:rsidR="00B8304D" w:rsidRPr="007F7AC4" w:rsidRDefault="00B8304D" w:rsidP="00B8304D">
      <w:pPr>
        <w:pStyle w:val="H23G"/>
      </w:pPr>
      <w:r>
        <w:tab/>
      </w:r>
      <w:r>
        <w:tab/>
      </w:r>
      <w:r>
        <w:rPr>
          <w:bCs/>
        </w:rPr>
        <w:t>Медицинское обслуживание</w:t>
      </w:r>
    </w:p>
    <w:p w14:paraId="0CD8FE75" w14:textId="77777777" w:rsidR="00B8304D" w:rsidRPr="007F7AC4" w:rsidRDefault="00B8304D" w:rsidP="00B8304D">
      <w:pPr>
        <w:pStyle w:val="SingleTxtG"/>
      </w:pPr>
      <w:r>
        <w:t>51.</w:t>
      </w:r>
      <w:r>
        <w:tab/>
        <w:t>Несмотря на то, что Закон № 370 о миграции признает право иностранцев на здоровье, и с 2021 года иностранцы, относящиеся к определенным уязвимым группам, таким как беременные или кормящие женщины, дети до пяти лет, люди с инвалидностью и пожилые люди, могут зарегистрироваться в Единой системе здравоохранения, Комитет обеспокоен:</w:t>
      </w:r>
    </w:p>
    <w:p w14:paraId="7BA6862C" w14:textId="77777777" w:rsidR="00B8304D" w:rsidRPr="007F7AC4" w:rsidRDefault="00B8304D" w:rsidP="006A31AA">
      <w:pPr>
        <w:pStyle w:val="SingleTxtG"/>
        <w:ind w:firstLine="567"/>
      </w:pPr>
      <w:r>
        <w:t>a)</w:t>
      </w:r>
      <w:r>
        <w:tab/>
        <w:t>непредоставлением медицинской помощи иностранцам, не имеющим документов или с неурегулированным статусом;</w:t>
      </w:r>
    </w:p>
    <w:p w14:paraId="3E76449D" w14:textId="77777777" w:rsidR="00B8304D" w:rsidRPr="007F7AC4" w:rsidRDefault="00B8304D" w:rsidP="006A31AA">
      <w:pPr>
        <w:pStyle w:val="SingleTxtG"/>
        <w:ind w:firstLine="567"/>
      </w:pPr>
      <w:r>
        <w:t>b)</w:t>
      </w:r>
      <w:r>
        <w:tab/>
        <w:t>применением принципа взаимности в Законе № 1152 о единой системе здравоохранения, который представляет собой запрещенный критерий для регулирования осуществления прав человека;</w:t>
      </w:r>
    </w:p>
    <w:p w14:paraId="5A3313F9" w14:textId="77777777" w:rsidR="00B8304D" w:rsidRPr="007F7AC4" w:rsidRDefault="00B8304D" w:rsidP="006A31AA">
      <w:pPr>
        <w:pStyle w:val="SingleTxtG"/>
        <w:ind w:firstLine="567"/>
      </w:pPr>
      <w:r>
        <w:t>c)</w:t>
      </w:r>
      <w:r>
        <w:tab/>
        <w:t>исключением из Единой системы здравоохранения иностранцев, не принадлежащих к уязвимым группам, особенно детей и подростков старше пяти лет, а также трудностями, с которыми сталкиваются люди, имеющие вид на жительство, выданный Главным управлением по вопросам миграции, статус беженца или удостоверение личности иностранца, при регистрации в Единой системе здравоохранения.</w:t>
      </w:r>
    </w:p>
    <w:p w14:paraId="74922899" w14:textId="77777777" w:rsidR="00B8304D" w:rsidRPr="007F7AC4" w:rsidRDefault="00B8304D" w:rsidP="001516BD">
      <w:pPr>
        <w:pStyle w:val="SingleTxtG"/>
        <w:keepNext/>
        <w:keepLines/>
        <w:rPr>
          <w:b/>
          <w:bCs/>
        </w:rPr>
      </w:pPr>
      <w:r>
        <w:lastRenderedPageBreak/>
        <w:t>52.</w:t>
      </w:r>
      <w:r>
        <w:tab/>
      </w:r>
      <w:r>
        <w:rPr>
          <w:b/>
          <w:bCs/>
        </w:rPr>
        <w:t>В соответствии со статьей 28 Конвенции Комитет рекомендует государству-участнику:</w:t>
      </w:r>
    </w:p>
    <w:p w14:paraId="262C5A10" w14:textId="77777777" w:rsidR="00B8304D" w:rsidRPr="009E4880" w:rsidRDefault="00B8304D" w:rsidP="001516BD">
      <w:pPr>
        <w:pStyle w:val="SingleTxtG"/>
        <w:keepNext/>
        <w:keepLines/>
        <w:ind w:firstLine="567"/>
        <w:rPr>
          <w:b/>
          <w:bCs/>
        </w:rPr>
      </w:pPr>
      <w:r w:rsidRPr="009E4880">
        <w:rPr>
          <w:b/>
          <w:bCs/>
        </w:rPr>
        <w:t>a)</w:t>
      </w:r>
      <w:r w:rsidRPr="009E4880">
        <w:rPr>
          <w:b/>
          <w:bCs/>
        </w:rPr>
        <w:tab/>
        <w:t>обеспечить реальный доступ к универсальной системе здравоохранения, включая, в частности, неотложную и срочную медицинскую помощь, услуги по охране сексуального и репродуктивного здоровья и другие услуги первичной медико-санитарной помощи;</w:t>
      </w:r>
    </w:p>
    <w:p w14:paraId="0E87E19F" w14:textId="77777777" w:rsidR="00B8304D" w:rsidRPr="009E4880" w:rsidRDefault="00B8304D" w:rsidP="006A31AA">
      <w:pPr>
        <w:pStyle w:val="SingleTxtG"/>
        <w:ind w:firstLine="567"/>
        <w:rPr>
          <w:b/>
          <w:bCs/>
        </w:rPr>
      </w:pPr>
      <w:r w:rsidRPr="009E4880">
        <w:rPr>
          <w:b/>
          <w:bCs/>
        </w:rPr>
        <w:t>b)</w:t>
      </w:r>
      <w:r w:rsidRPr="009E4880">
        <w:rPr>
          <w:b/>
          <w:bCs/>
        </w:rPr>
        <w:tab/>
        <w:t>гарантировать доступность Единой системы здравоохранения для всех лиц, находящихся под его юрисдикцией, включая трудящихся-мигрантов и членов их семей, в том числе с неурегулированным статусом, с тем чтобы обеспечить равное обращение с ними наравне с гражданами страны, и убрать ссылку на принцип взаимности в Законе № 1152.</w:t>
      </w:r>
    </w:p>
    <w:p w14:paraId="0DE74105" w14:textId="77777777" w:rsidR="00B8304D" w:rsidRPr="007F7AC4" w:rsidRDefault="00B8304D" w:rsidP="00B8304D">
      <w:pPr>
        <w:pStyle w:val="H23G"/>
      </w:pPr>
      <w:r>
        <w:tab/>
      </w:r>
      <w:r>
        <w:tab/>
      </w:r>
      <w:r>
        <w:rPr>
          <w:bCs/>
        </w:rPr>
        <w:t>Регистрация рождений и гражданство</w:t>
      </w:r>
    </w:p>
    <w:p w14:paraId="7BB60F64" w14:textId="77777777" w:rsidR="00B8304D" w:rsidRPr="007F7AC4" w:rsidRDefault="00B8304D" w:rsidP="00B8304D">
      <w:pPr>
        <w:pStyle w:val="SingleTxtG"/>
      </w:pPr>
      <w:r>
        <w:t>53.</w:t>
      </w:r>
      <w:r>
        <w:tab/>
        <w:t>Комитет отмечает, что Закон о регистрации актов гражданского состояния позволяет родителям, не имеющим документов, подтвердить свою личность и родство с помощью свидетельских показаний. Вместе с тем Комитет обеспокоен:</w:t>
      </w:r>
    </w:p>
    <w:p w14:paraId="12796079" w14:textId="7C29BFD6" w:rsidR="00B8304D" w:rsidRPr="007F7AC4" w:rsidRDefault="00B8304D" w:rsidP="006A31AA">
      <w:pPr>
        <w:pStyle w:val="SingleTxtG"/>
        <w:ind w:firstLine="567"/>
      </w:pPr>
      <w:r>
        <w:t>a)</w:t>
      </w:r>
      <w:r>
        <w:tab/>
        <w:t>наличием требования о предварительной регистрации иностранных родителей в Службе регистрации граждан для получения свидетельства о рождении ребенка и удостоверения его личности, что</w:t>
      </w:r>
      <w:r w:rsidR="00FC761C" w:rsidRPr="00FC761C">
        <w:t>,</w:t>
      </w:r>
      <w:r>
        <w:t xml:space="preserve"> по сути</w:t>
      </w:r>
      <w:r w:rsidR="00FC761C" w:rsidRPr="00FC761C">
        <w:t>,</w:t>
      </w:r>
      <w:r>
        <w:t xml:space="preserve"> является препятствием, поскольку лица с неурегулированным статусом часто не имеют документов из страны происхождения, а если и имеют, то эти документы находятся в плохом состоянии;</w:t>
      </w:r>
    </w:p>
    <w:p w14:paraId="5576C039" w14:textId="77777777" w:rsidR="00B8304D" w:rsidRPr="007F7AC4" w:rsidRDefault="00B8304D" w:rsidP="006A31AA">
      <w:pPr>
        <w:pStyle w:val="SingleTxtG"/>
        <w:ind w:firstLine="567"/>
      </w:pPr>
      <w:r>
        <w:t>b)</w:t>
      </w:r>
      <w:r>
        <w:tab/>
        <w:t xml:space="preserve">трудностями при регистрации рождений в консульствах страны происхождения, особенно в случае Боливарианской Республики Венесуэла, что порождает риск </w:t>
      </w:r>
      <w:proofErr w:type="spellStart"/>
      <w:r>
        <w:t>безгражданства</w:t>
      </w:r>
      <w:proofErr w:type="spellEnd"/>
      <w:r>
        <w:t xml:space="preserve">. </w:t>
      </w:r>
    </w:p>
    <w:p w14:paraId="47B9225F" w14:textId="73D18711" w:rsidR="00B8304D" w:rsidRPr="007F7AC4" w:rsidRDefault="00B8304D" w:rsidP="00B8304D">
      <w:pPr>
        <w:pStyle w:val="SingleTxtG"/>
      </w:pPr>
      <w:r>
        <w:t>54.</w:t>
      </w:r>
      <w:r>
        <w:tab/>
      </w:r>
      <w:r>
        <w:rPr>
          <w:b/>
          <w:bCs/>
        </w:rPr>
        <w:t xml:space="preserve">С учетом совместных замечаний общего порядка № 3 и </w:t>
      </w:r>
      <w:r w:rsidR="00283029">
        <w:rPr>
          <w:b/>
          <w:bCs/>
        </w:rPr>
        <w:t>№</w:t>
      </w:r>
      <w:r w:rsidR="00283029" w:rsidRPr="00283029">
        <w:rPr>
          <w:b/>
          <w:bCs/>
        </w:rPr>
        <w:t xml:space="preserve"> </w:t>
      </w:r>
      <w:r>
        <w:rPr>
          <w:b/>
          <w:bCs/>
        </w:rPr>
        <w:t xml:space="preserve">4 Комитета по защите прав всех трудящихся-мигрантов и членов их семей/№ 22 и </w:t>
      </w:r>
      <w:r w:rsidR="00283029">
        <w:rPr>
          <w:b/>
          <w:bCs/>
        </w:rPr>
        <w:t>№</w:t>
      </w:r>
      <w:r w:rsidR="00283029" w:rsidRPr="00283029">
        <w:rPr>
          <w:b/>
          <w:bCs/>
        </w:rPr>
        <w:t xml:space="preserve"> </w:t>
      </w:r>
      <w:r>
        <w:rPr>
          <w:b/>
          <w:bCs/>
        </w:rPr>
        <w:t>23 Комитета по правам ребенка (2017) о правах человека детей в контексте международной миграции и в соответствии с задачей 16.9 Целей в области устойчивого развития Комитет рекомендует государству-участнику обеспечить, чтобы все дети боливийских трудящихся-мигрантов за рубежом и дети, родившиеся на территории государства-участника, в частности дети нелегальных мигрантов и просителей убежища, регистрировались при рождении и получали документы, удостоверяющие личность, и возможность получения гражданства, а также принять меры для повышения осведомленности вышеупомянутых лиц о важности регистрации рождения.</w:t>
      </w:r>
    </w:p>
    <w:p w14:paraId="24688449" w14:textId="77777777" w:rsidR="00B8304D" w:rsidRPr="007F7AC4" w:rsidRDefault="00B8304D" w:rsidP="00B8304D">
      <w:pPr>
        <w:pStyle w:val="H23G"/>
      </w:pPr>
      <w:r>
        <w:tab/>
      </w:r>
      <w:r>
        <w:tab/>
      </w:r>
      <w:r>
        <w:rPr>
          <w:bCs/>
        </w:rPr>
        <w:t>Образование</w:t>
      </w:r>
    </w:p>
    <w:p w14:paraId="58A79BF7" w14:textId="77777777" w:rsidR="00B8304D" w:rsidRPr="007F7AC4" w:rsidRDefault="00B8304D" w:rsidP="00B8304D">
      <w:pPr>
        <w:pStyle w:val="SingleTxtG"/>
      </w:pPr>
      <w:r>
        <w:t>55.</w:t>
      </w:r>
      <w:r>
        <w:tab/>
        <w:t>Хотя министерское постановление № 001/2022 Министерства образования разрешает доступ детей иностранцев к обычной системе образования при предъявлении любого документа, удостоверяющего личность, Комитет обеспокоен:</w:t>
      </w:r>
    </w:p>
    <w:p w14:paraId="31173C75" w14:textId="77777777" w:rsidR="00B8304D" w:rsidRPr="007F7AC4" w:rsidRDefault="00B8304D" w:rsidP="006A31AA">
      <w:pPr>
        <w:pStyle w:val="SingleTxtG"/>
        <w:ind w:firstLine="567"/>
      </w:pPr>
      <w:r>
        <w:t>a)</w:t>
      </w:r>
      <w:r>
        <w:tab/>
        <w:t>препятствиями, затрудняющими доступ к образованию для детей и подростков, являющихся детьми мигрантов, включая отсутствие документов, удостоверяющих личность, и регистрации в реестре записей актов гражданского состояния, а также незнание соответствующих нормативных положений работниками системы образования;</w:t>
      </w:r>
    </w:p>
    <w:p w14:paraId="6377134B" w14:textId="77777777" w:rsidR="00B8304D" w:rsidRPr="007F7AC4" w:rsidRDefault="00B8304D" w:rsidP="006A31AA">
      <w:pPr>
        <w:pStyle w:val="SingleTxtG"/>
        <w:ind w:firstLine="567"/>
      </w:pPr>
      <w:r>
        <w:t>b)</w:t>
      </w:r>
      <w:r>
        <w:tab/>
        <w:t>сообщениями о случаях, когда детям и подросткам из числа беженцев или просителей убежища отказывают в праве зарегистрироваться в учебных заведениях или получить свидетельство о прохождении ими тех или иных курсов;</w:t>
      </w:r>
    </w:p>
    <w:p w14:paraId="6A2C0653" w14:textId="77777777" w:rsidR="00B8304D" w:rsidRPr="007F7AC4" w:rsidRDefault="00B8304D" w:rsidP="006A31AA">
      <w:pPr>
        <w:pStyle w:val="SingleTxtG"/>
        <w:ind w:firstLine="567"/>
      </w:pPr>
      <w:r>
        <w:t>c)</w:t>
      </w:r>
      <w:r>
        <w:tab/>
        <w:t>трудностями с признанием или подтверждением свидетельств и дипломов о начальном, среднем и высшем образовании, а также требованием о постоянном проживании на территории страны для подтверждения профессиональной квалификации, что не позволяет иностранцам, не прожившим в стране два или три года, осуществлять свою профессиональную деятельность.</w:t>
      </w:r>
    </w:p>
    <w:p w14:paraId="35FB9570" w14:textId="3B23D35D" w:rsidR="00B8304D" w:rsidRPr="007F7AC4" w:rsidRDefault="00B8304D" w:rsidP="00B8304D">
      <w:pPr>
        <w:pStyle w:val="SingleTxtG"/>
        <w:rPr>
          <w:b/>
          <w:bCs/>
        </w:rPr>
      </w:pPr>
      <w:r>
        <w:lastRenderedPageBreak/>
        <w:t>56.</w:t>
      </w:r>
      <w:r>
        <w:tab/>
      </w:r>
      <w:r>
        <w:rPr>
          <w:b/>
          <w:bCs/>
        </w:rPr>
        <w:t xml:space="preserve">В соответствии с совместными замечаниями общего порядка № 3 и </w:t>
      </w:r>
      <w:r w:rsidR="00DA11D7">
        <w:rPr>
          <w:b/>
          <w:bCs/>
        </w:rPr>
        <w:t>№</w:t>
      </w:r>
      <w:r w:rsidR="00DA11D7" w:rsidRPr="00DA11D7">
        <w:rPr>
          <w:b/>
          <w:bCs/>
        </w:rPr>
        <w:t xml:space="preserve"> </w:t>
      </w:r>
      <w:r>
        <w:rPr>
          <w:b/>
          <w:bCs/>
        </w:rPr>
        <w:t>4 Комитета по защите прав всех трудящихся-мигрантов и членов их семей/№ 22 и</w:t>
      </w:r>
      <w:r w:rsidR="00F54171">
        <w:rPr>
          <w:b/>
          <w:bCs/>
          <w:lang w:val="en-US"/>
        </w:rPr>
        <w:t> </w:t>
      </w:r>
      <w:r w:rsidR="00DA11D7">
        <w:rPr>
          <w:b/>
          <w:bCs/>
        </w:rPr>
        <w:t>№</w:t>
      </w:r>
      <w:r w:rsidR="00DA11D7" w:rsidRPr="00DA11D7">
        <w:rPr>
          <w:b/>
          <w:bCs/>
        </w:rPr>
        <w:t xml:space="preserve"> </w:t>
      </w:r>
      <w:r>
        <w:rPr>
          <w:b/>
          <w:bCs/>
        </w:rPr>
        <w:t>23 Комитета по правам ребенка (2017) и с учетом задачи 4.1 Целей в области устойчивого развития Комитет рекомендует государству-участнику:</w:t>
      </w:r>
    </w:p>
    <w:p w14:paraId="0FA0CA20" w14:textId="662AF9F5" w:rsidR="00B8304D" w:rsidRPr="007F7AC4" w:rsidRDefault="00B8304D" w:rsidP="006A31AA">
      <w:pPr>
        <w:pStyle w:val="SingleTxtG"/>
        <w:ind w:firstLine="567"/>
        <w:rPr>
          <w:b/>
          <w:bCs/>
        </w:rPr>
      </w:pPr>
      <w:r>
        <w:rPr>
          <w:b/>
          <w:bCs/>
        </w:rPr>
        <w:t>a)</w:t>
      </w:r>
      <w:r>
        <w:tab/>
      </w:r>
      <w:r>
        <w:rPr>
          <w:b/>
          <w:bCs/>
        </w:rPr>
        <w:t>гарантировать, чтобы все дети трудящихся-мигрантов, независимо от их миграционного статуса и наличия документов у них самих и у их родителей, имели доступ к дошкольному, начальному и среднему образованию наравне с гражданами государства-участника в соответствии со статьей 30 Конвенции, в</w:t>
      </w:r>
      <w:r w:rsidR="003957FA">
        <w:rPr>
          <w:b/>
          <w:bCs/>
          <w:lang w:val="en-US"/>
        </w:rPr>
        <w:t> </w:t>
      </w:r>
      <w:r>
        <w:rPr>
          <w:b/>
          <w:bCs/>
        </w:rPr>
        <w:t>том числе могли получить свидетельство об успешном завершении каждого курса и уровня образования;</w:t>
      </w:r>
    </w:p>
    <w:p w14:paraId="2676D856" w14:textId="77777777" w:rsidR="00B8304D" w:rsidRPr="007F7AC4" w:rsidRDefault="00B8304D" w:rsidP="006A31AA">
      <w:pPr>
        <w:pStyle w:val="SingleTxtG"/>
        <w:ind w:firstLine="567"/>
        <w:rPr>
          <w:b/>
          <w:bCs/>
        </w:rPr>
      </w:pPr>
      <w:r>
        <w:rPr>
          <w:b/>
          <w:bCs/>
        </w:rPr>
        <w:t>b)</w:t>
      </w:r>
      <w:r>
        <w:tab/>
      </w:r>
      <w:r>
        <w:rPr>
          <w:b/>
          <w:bCs/>
        </w:rPr>
        <w:t>обеспечить подготовку работников государственных образовательных учреждений по правилам и процедурам, касающимся права всех детей и подростков на зачисление в учебные заведения, включая детей мигрантов, беженцев или просителей убежища, и содействовать проведению информационно-просветительских кампаний по борьбе с предрассудками и социальной стигматизацией.</w:t>
      </w:r>
    </w:p>
    <w:p w14:paraId="38562340" w14:textId="77777777" w:rsidR="00B8304D" w:rsidRPr="007F7AC4" w:rsidRDefault="00B8304D" w:rsidP="00B8304D">
      <w:pPr>
        <w:pStyle w:val="H23G"/>
      </w:pPr>
      <w:r>
        <w:tab/>
      </w:r>
      <w:r>
        <w:tab/>
      </w:r>
      <w:r>
        <w:rPr>
          <w:bCs/>
        </w:rPr>
        <w:t>Перевод заработанных средств и сбережений мигрантами по окончании пребывания в стране</w:t>
      </w:r>
    </w:p>
    <w:p w14:paraId="5B931714" w14:textId="0A2BC225" w:rsidR="00B8304D" w:rsidRPr="007F7AC4" w:rsidRDefault="00B8304D" w:rsidP="00B8304D">
      <w:pPr>
        <w:pStyle w:val="SingleTxtG"/>
      </w:pPr>
      <w:r>
        <w:t>57.</w:t>
      </w:r>
      <w:r>
        <w:tab/>
        <w:t>Комитет отмечает, что в соответствии с Многосторонним соглашением иберо</w:t>
      </w:r>
      <w:r w:rsidR="00342B56">
        <w:noBreakHyphen/>
      </w:r>
      <w:r>
        <w:t>американских государств о социальном обеспечении лица, работавшие в одном или нескольких государствах-участниках и делавшие взносы в систему долгосрочного социального обеспечения, могут подать заявление о признании их вклада и получать пенсию по старости, в связи с потерей кормильца или по инвалидности. Комитет, однако, обеспокоен положением мигрантов из стран, с которыми не было заключено никаких соглашений, и отсутствием информации о мерах, принятых для облегчения перевода заработков, сбережений и имущества трудящихся-мигрантов, а также тем, что банки не открывают счета просителям убежища, имеющим временные документы.</w:t>
      </w:r>
    </w:p>
    <w:p w14:paraId="34E94963" w14:textId="77777777" w:rsidR="00B8304D" w:rsidRPr="007F7AC4" w:rsidRDefault="00B8304D" w:rsidP="00B8304D">
      <w:pPr>
        <w:pStyle w:val="SingleTxtG"/>
      </w:pPr>
      <w:r>
        <w:t>58.</w:t>
      </w:r>
      <w:r>
        <w:tab/>
      </w:r>
      <w:r>
        <w:rPr>
          <w:b/>
          <w:bCs/>
        </w:rPr>
        <w:t>Комитет рекомендует государству-участнику:</w:t>
      </w:r>
    </w:p>
    <w:p w14:paraId="74B11CC0" w14:textId="77777777" w:rsidR="00B8304D" w:rsidRPr="00201968" w:rsidRDefault="00B8304D" w:rsidP="006A31AA">
      <w:pPr>
        <w:pStyle w:val="SingleTxtG"/>
        <w:ind w:firstLine="567"/>
        <w:rPr>
          <w:b/>
          <w:bCs/>
        </w:rPr>
      </w:pPr>
      <w:r w:rsidRPr="00201968">
        <w:rPr>
          <w:b/>
          <w:bCs/>
        </w:rPr>
        <w:t>a)</w:t>
      </w:r>
      <w:r w:rsidRPr="00201968">
        <w:rPr>
          <w:b/>
          <w:bCs/>
        </w:rPr>
        <w:tab/>
        <w:t>предоставлять мигрантам, сделавшим взносы в систему социального обеспечения, возможность снятия их пенсионных средств, независимо от страны назначения;</w:t>
      </w:r>
    </w:p>
    <w:p w14:paraId="49A8DE05" w14:textId="77777777" w:rsidR="00B8304D" w:rsidRPr="00201968" w:rsidRDefault="00B8304D" w:rsidP="006A31AA">
      <w:pPr>
        <w:pStyle w:val="SingleTxtG"/>
        <w:ind w:firstLine="567"/>
        <w:rPr>
          <w:b/>
          <w:bCs/>
        </w:rPr>
      </w:pPr>
      <w:r w:rsidRPr="00201968">
        <w:rPr>
          <w:b/>
          <w:bCs/>
        </w:rPr>
        <w:t>b)</w:t>
      </w:r>
      <w:r w:rsidRPr="00201968">
        <w:rPr>
          <w:b/>
          <w:bCs/>
        </w:rPr>
        <w:tab/>
        <w:t>облегчить осуществление денежных переводов боливийцев за рубеж, а также перевод заработков, сбережений и имущества трудящихся-мигрантов в страну происхождения за счет льготных тарифов на перевод и получение.</w:t>
      </w:r>
    </w:p>
    <w:p w14:paraId="6E5A51C9" w14:textId="77777777" w:rsidR="00B8304D" w:rsidRPr="007F7AC4" w:rsidRDefault="00B8304D" w:rsidP="00B8304D">
      <w:pPr>
        <w:pStyle w:val="H23G"/>
      </w:pPr>
      <w:r>
        <w:rPr>
          <w:bCs/>
        </w:rPr>
        <w:tab/>
        <w:t>4.</w:t>
      </w:r>
      <w:r>
        <w:tab/>
      </w:r>
      <w:r>
        <w:rPr>
          <w:bCs/>
        </w:rPr>
        <w:t>Другие права трудящихся-мигрантов и членов их семей, имеющих документы или урегулированный статус (ст. 36–56)</w:t>
      </w:r>
    </w:p>
    <w:p w14:paraId="1A008269" w14:textId="77777777" w:rsidR="00B8304D" w:rsidRPr="007F7AC4" w:rsidRDefault="00B8304D" w:rsidP="00B8304D">
      <w:pPr>
        <w:pStyle w:val="H23G"/>
      </w:pPr>
      <w:r>
        <w:tab/>
      </w:r>
      <w:r>
        <w:tab/>
      </w:r>
      <w:r>
        <w:rPr>
          <w:bCs/>
        </w:rPr>
        <w:t>Право голосовать и быть избранным в государстве происхождения</w:t>
      </w:r>
      <w:r>
        <w:t xml:space="preserve"> </w:t>
      </w:r>
    </w:p>
    <w:p w14:paraId="2097A953" w14:textId="5072712F" w:rsidR="00B8304D" w:rsidRPr="007F7AC4" w:rsidRDefault="00B8304D" w:rsidP="00B8304D">
      <w:pPr>
        <w:pStyle w:val="SingleTxtG"/>
      </w:pPr>
      <w:r>
        <w:t>59.</w:t>
      </w:r>
      <w:r>
        <w:tab/>
        <w:t xml:space="preserve">Комитет принимает к сведению признание права резидентов за рубежом выбирать президента, принимать участие в голосовании по отзыву мандата избранных должностных лиц, а также в национальных референдумах в соответствии с </w:t>
      </w:r>
      <w:r w:rsidR="00512A27">
        <w:br/>
      </w:r>
      <w:r>
        <w:t xml:space="preserve">Законом № 026 о системе выборов; а также создание 26 новых избирательных участков и разработку образовательно-коммуникационной стратегии </w:t>
      </w:r>
      <w:r w:rsidR="009361E5">
        <w:t>«</w:t>
      </w:r>
      <w:proofErr w:type="spellStart"/>
      <w:r w:rsidRPr="009361E5">
        <w:t>Voto</w:t>
      </w:r>
      <w:proofErr w:type="spellEnd"/>
      <w:r w:rsidRPr="009361E5">
        <w:t xml:space="preserve"> </w:t>
      </w:r>
      <w:proofErr w:type="spellStart"/>
      <w:r w:rsidRPr="009361E5">
        <w:t>en</w:t>
      </w:r>
      <w:proofErr w:type="spellEnd"/>
      <w:r w:rsidRPr="009361E5">
        <w:t xml:space="preserve"> </w:t>
      </w:r>
      <w:proofErr w:type="spellStart"/>
      <w:r w:rsidRPr="009361E5">
        <w:t>el</w:t>
      </w:r>
      <w:proofErr w:type="spellEnd"/>
      <w:r w:rsidRPr="009361E5">
        <w:t xml:space="preserve"> </w:t>
      </w:r>
      <w:proofErr w:type="spellStart"/>
      <w:r w:rsidRPr="009361E5">
        <w:t>Exterior</w:t>
      </w:r>
      <w:proofErr w:type="spellEnd"/>
      <w:r w:rsidR="009361E5" w:rsidRPr="009361E5">
        <w:t xml:space="preserve">» </w:t>
      </w:r>
      <w:r>
        <w:t>(</w:t>
      </w:r>
      <w:r w:rsidR="00154FE3">
        <w:t>«</w:t>
      </w:r>
      <w:r>
        <w:t>Голосование за рубежом</w:t>
      </w:r>
      <w:r w:rsidR="00154FE3">
        <w:t>»</w:t>
      </w:r>
      <w:r>
        <w:t>) в рамках всеобщих выборов 2019 года в странах, где проживает наибольшее число боливийцев. Однако Комитет обеспокоен тем, что:</w:t>
      </w:r>
    </w:p>
    <w:p w14:paraId="75478AF3" w14:textId="77777777" w:rsidR="00B8304D" w:rsidRPr="007F7AC4" w:rsidRDefault="00B8304D" w:rsidP="006A31AA">
      <w:pPr>
        <w:pStyle w:val="SingleTxtG"/>
        <w:ind w:firstLine="567"/>
      </w:pPr>
      <w:r>
        <w:t>a)</w:t>
      </w:r>
      <w:r>
        <w:tab/>
        <w:t>правом голоса могут воспользоваться только боливийцы, проживающие в странах, где государство-участник имеет постоянное дипломатическое и консульское представительства;</w:t>
      </w:r>
    </w:p>
    <w:p w14:paraId="54AA7626" w14:textId="77777777" w:rsidR="00B8304D" w:rsidRPr="007F7AC4" w:rsidRDefault="00B8304D" w:rsidP="006A31AA">
      <w:pPr>
        <w:pStyle w:val="SingleTxtG"/>
        <w:ind w:firstLine="567"/>
      </w:pPr>
      <w:r>
        <w:t>b)</w:t>
      </w:r>
      <w:r>
        <w:tab/>
        <w:t>боливийцы, проживающие за рубежом, не представлены в Многонациональной законодательной ассамблее.</w:t>
      </w:r>
    </w:p>
    <w:p w14:paraId="2A8382F9" w14:textId="77777777" w:rsidR="00B8304D" w:rsidRPr="007F7AC4" w:rsidRDefault="00B8304D" w:rsidP="0017045E">
      <w:pPr>
        <w:pStyle w:val="SingleTxtG"/>
        <w:keepNext/>
        <w:keepLines/>
        <w:rPr>
          <w:b/>
          <w:bCs/>
        </w:rPr>
      </w:pPr>
      <w:r>
        <w:lastRenderedPageBreak/>
        <w:t>60.</w:t>
      </w:r>
      <w:r>
        <w:tab/>
      </w:r>
      <w:r>
        <w:rPr>
          <w:b/>
          <w:bCs/>
        </w:rPr>
        <w:t>Комитет рекомендует государству-участнику:</w:t>
      </w:r>
    </w:p>
    <w:p w14:paraId="124444E7" w14:textId="77777777" w:rsidR="00B8304D" w:rsidRPr="005C4D28" w:rsidRDefault="00B8304D" w:rsidP="0017045E">
      <w:pPr>
        <w:pStyle w:val="SingleTxtG"/>
        <w:keepNext/>
        <w:keepLines/>
        <w:ind w:firstLine="567"/>
        <w:rPr>
          <w:b/>
          <w:bCs/>
        </w:rPr>
      </w:pPr>
      <w:r w:rsidRPr="005C4D28">
        <w:rPr>
          <w:b/>
          <w:bCs/>
        </w:rPr>
        <w:t>a)</w:t>
      </w:r>
      <w:r w:rsidRPr="005C4D28">
        <w:rPr>
          <w:b/>
          <w:bCs/>
        </w:rPr>
        <w:tab/>
        <w:t>принять меры по созданию условий, способствующих осуществлению права всех трудящихся-мигрантов и членов их семей, проживающих за рубежом, голосовать и быть избранными, особенно в тех странах, где отсутствует дипломатическое представительство;</w:t>
      </w:r>
    </w:p>
    <w:p w14:paraId="60141F78" w14:textId="77777777" w:rsidR="00B8304D" w:rsidRPr="005C4D28" w:rsidRDefault="00B8304D" w:rsidP="006A31AA">
      <w:pPr>
        <w:pStyle w:val="SingleTxtG"/>
        <w:ind w:firstLine="567"/>
        <w:rPr>
          <w:b/>
          <w:bCs/>
        </w:rPr>
      </w:pPr>
      <w:r w:rsidRPr="005C4D28">
        <w:rPr>
          <w:b/>
          <w:bCs/>
        </w:rPr>
        <w:t>b)</w:t>
      </w:r>
      <w:r w:rsidRPr="005C4D28">
        <w:rPr>
          <w:b/>
          <w:bCs/>
        </w:rPr>
        <w:tab/>
        <w:t>предоставить боливийцам, проживающим за рубежом, возможность быть представленными в Многонациональной законодательной ассамблее.</w:t>
      </w:r>
    </w:p>
    <w:p w14:paraId="7F08185B" w14:textId="77777777" w:rsidR="00B8304D" w:rsidRPr="007F7AC4" w:rsidRDefault="00B8304D" w:rsidP="00B8304D">
      <w:pPr>
        <w:pStyle w:val="H23G"/>
      </w:pPr>
      <w:r>
        <w:tab/>
      </w:r>
      <w:r>
        <w:tab/>
      </w:r>
      <w:r>
        <w:rPr>
          <w:bCs/>
        </w:rPr>
        <w:t>Разрешения на работу и проживание</w:t>
      </w:r>
      <w:r>
        <w:t xml:space="preserve"> </w:t>
      </w:r>
    </w:p>
    <w:p w14:paraId="749B4C1F" w14:textId="78D1A6AF" w:rsidR="00B8304D" w:rsidRPr="007F7AC4" w:rsidRDefault="00B8304D" w:rsidP="00B8304D">
      <w:pPr>
        <w:pStyle w:val="SingleTxtG"/>
      </w:pPr>
      <w:r>
        <w:t>61.</w:t>
      </w:r>
      <w:r>
        <w:tab/>
        <w:t>Комитет обеспокоен применением необъективных критериев при определении срока, на которое то или иное лицо может покинуть страну, краткостью этого срока, а</w:t>
      </w:r>
      <w:r w:rsidR="009E3444">
        <w:rPr>
          <w:lang w:val="en-US"/>
        </w:rPr>
        <w:t> </w:t>
      </w:r>
      <w:r>
        <w:t>также тем, что эти два фактора используются в качестве основания для аннулирования вида на жительство, согласно статье 17 Верховного указа № 1923.</w:t>
      </w:r>
    </w:p>
    <w:p w14:paraId="04C44537" w14:textId="77777777" w:rsidR="00B8304D" w:rsidRPr="007F7AC4" w:rsidRDefault="00B8304D" w:rsidP="00B8304D">
      <w:pPr>
        <w:pStyle w:val="SingleTxtG"/>
      </w:pPr>
      <w:r>
        <w:t>62.</w:t>
      </w:r>
      <w:r>
        <w:tab/>
      </w:r>
      <w:r>
        <w:rPr>
          <w:b/>
          <w:bCs/>
        </w:rPr>
        <w:t>Комитет рекомендует государству-участнику принять необходимые законодательные меры, включая пересмотр Верховного указа № 1923, с тем чтобы продлить установленный законом срок, на который лица могут выезжать из страны, на основе объективных критериев.</w:t>
      </w:r>
    </w:p>
    <w:p w14:paraId="789FFD82" w14:textId="045ECEF7" w:rsidR="00B8304D" w:rsidRPr="007F7AC4" w:rsidRDefault="00B8304D" w:rsidP="00B8304D">
      <w:pPr>
        <w:pStyle w:val="H23G"/>
      </w:pPr>
      <w:r>
        <w:rPr>
          <w:bCs/>
        </w:rPr>
        <w:tab/>
        <w:t>5.</w:t>
      </w:r>
      <w:r>
        <w:tab/>
      </w:r>
      <w:r>
        <w:rPr>
          <w:bCs/>
        </w:rPr>
        <w:t xml:space="preserve">Содействие созданию нормальных, справедливых, гуманных и законных условий в отношении международной миграции трудящихся </w:t>
      </w:r>
      <w:r w:rsidR="00F67FC3">
        <w:rPr>
          <w:bCs/>
        </w:rPr>
        <w:br/>
      </w:r>
      <w:r>
        <w:rPr>
          <w:bCs/>
        </w:rPr>
        <w:t>и членов их семей (ст</w:t>
      </w:r>
      <w:r w:rsidR="00F67FC3" w:rsidRPr="00F67FC3">
        <w:rPr>
          <w:bCs/>
        </w:rPr>
        <w:t>.</w:t>
      </w:r>
      <w:r>
        <w:rPr>
          <w:bCs/>
        </w:rPr>
        <w:t xml:space="preserve"> 64</w:t>
      </w:r>
      <w:r w:rsidR="00F67FC3" w:rsidRPr="00F67FC3">
        <w:rPr>
          <w:bCs/>
        </w:rPr>
        <w:t>–</w:t>
      </w:r>
      <w:r>
        <w:rPr>
          <w:bCs/>
        </w:rPr>
        <w:t>71)</w:t>
      </w:r>
    </w:p>
    <w:p w14:paraId="2CCD5CB6" w14:textId="77777777" w:rsidR="00B8304D" w:rsidRPr="007F7AC4" w:rsidRDefault="00B8304D" w:rsidP="00B8304D">
      <w:pPr>
        <w:pStyle w:val="H23G"/>
      </w:pPr>
      <w:r>
        <w:tab/>
      </w:r>
      <w:r>
        <w:tab/>
      </w:r>
      <w:r>
        <w:rPr>
          <w:bCs/>
        </w:rPr>
        <w:t>Торговля людьми</w:t>
      </w:r>
    </w:p>
    <w:p w14:paraId="5D6A8EF4" w14:textId="77777777" w:rsidR="00B8304D" w:rsidRPr="007F7AC4" w:rsidRDefault="00B8304D" w:rsidP="00B8304D">
      <w:pPr>
        <w:pStyle w:val="SingleTxtG"/>
      </w:pPr>
      <w:r>
        <w:t>63.</w:t>
      </w:r>
      <w:r>
        <w:tab/>
        <w:t>Комитет принимает к сведению разработку Многонациональной политики по борьбе с торговлей людьми, незаконным провозом мигрантов и связанными с этим преступлениями, на 2021–2025 годы и протоколов по оказанию помощи жертвам. Комитет, однако, обеспокоен:</w:t>
      </w:r>
    </w:p>
    <w:p w14:paraId="5BFB0280" w14:textId="77777777" w:rsidR="00B8304D" w:rsidRPr="007F7AC4" w:rsidRDefault="00B8304D" w:rsidP="006A31AA">
      <w:pPr>
        <w:pStyle w:val="SingleTxtG"/>
        <w:ind w:firstLine="567"/>
      </w:pPr>
      <w:r>
        <w:t>a)</w:t>
      </w:r>
      <w:r>
        <w:tab/>
        <w:t xml:space="preserve">тем, что </w:t>
      </w:r>
      <w:proofErr w:type="spellStart"/>
      <w:r>
        <w:t>межсекторальный</w:t>
      </w:r>
      <w:proofErr w:type="spellEnd"/>
      <w:r>
        <w:t xml:space="preserve"> план по борьбе с торговлей людьми и их незаконным провозом, не обновляется;</w:t>
      </w:r>
    </w:p>
    <w:p w14:paraId="479BDCDD" w14:textId="77777777" w:rsidR="00B8304D" w:rsidRPr="007F7AC4" w:rsidRDefault="00B8304D" w:rsidP="006A31AA">
      <w:pPr>
        <w:pStyle w:val="SingleTxtG"/>
        <w:ind w:firstLine="567"/>
      </w:pPr>
      <w:r>
        <w:t>b)</w:t>
      </w:r>
      <w:r>
        <w:tab/>
        <w:t>особой уязвимостью женщин из числа мигрантов, просителей убежища и беженцев к торговле людьми с целью сексуальной эксплуатации;</w:t>
      </w:r>
    </w:p>
    <w:p w14:paraId="4174E77F" w14:textId="792A28FF" w:rsidR="00B8304D" w:rsidRPr="007F7AC4" w:rsidRDefault="00B8304D" w:rsidP="006A31AA">
      <w:pPr>
        <w:pStyle w:val="SingleTxtG"/>
        <w:ind w:firstLine="567"/>
      </w:pPr>
      <w:r>
        <w:t>c)</w:t>
      </w:r>
      <w:r>
        <w:tab/>
        <w:t>нехваткой процедур для оперативного выявления жертв торговли людьми, в частности неэффективным пограничным контролем;</w:t>
      </w:r>
    </w:p>
    <w:p w14:paraId="3CE1CB7A" w14:textId="77777777" w:rsidR="00B8304D" w:rsidRPr="007F7AC4" w:rsidRDefault="00B8304D" w:rsidP="006A31AA">
      <w:pPr>
        <w:pStyle w:val="SingleTxtG"/>
        <w:ind w:firstLine="567"/>
      </w:pPr>
      <w:r>
        <w:t>d)</w:t>
      </w:r>
      <w:r>
        <w:tab/>
        <w:t>наличием всего лишь трех приютов для жертв торговли людьми на национальном уровне;</w:t>
      </w:r>
    </w:p>
    <w:p w14:paraId="3D47E714" w14:textId="77777777" w:rsidR="00B8304D" w:rsidRPr="007F7AC4" w:rsidRDefault="00B8304D" w:rsidP="006A31AA">
      <w:pPr>
        <w:pStyle w:val="SingleTxtG"/>
        <w:ind w:firstLine="567"/>
        <w:rPr>
          <w:rFonts w:eastAsia="Calibri"/>
          <w:bCs/>
        </w:rPr>
      </w:pPr>
      <w:r>
        <w:t>e)</w:t>
      </w:r>
      <w:r>
        <w:tab/>
        <w:t>ограниченной информацией о мерах, принимаемых для обеспечения доступа жертв к адекватной медицинской и психологической помощи в ходе процедур установления личности и получения информации, а также отсутствием программ по предоставлению надлежащей защиты жертвам торговли людьми, которые не могут вернуться в свои страны происхождения.</w:t>
      </w:r>
    </w:p>
    <w:p w14:paraId="0A78C95A" w14:textId="77777777" w:rsidR="00B8304D" w:rsidRPr="007F7AC4" w:rsidRDefault="00B8304D" w:rsidP="00B8304D">
      <w:pPr>
        <w:pStyle w:val="SingleTxtG"/>
      </w:pPr>
      <w:r>
        <w:t>64.</w:t>
      </w:r>
      <w:r>
        <w:tab/>
      </w:r>
      <w:r>
        <w:rPr>
          <w:b/>
          <w:bCs/>
        </w:rPr>
        <w:t>Ссылаясь на свои предыдущие рекомендации</w:t>
      </w:r>
      <w:r w:rsidRPr="00E86F42">
        <w:rPr>
          <w:rStyle w:val="aa"/>
        </w:rPr>
        <w:footnoteReference w:id="9"/>
      </w:r>
      <w:r>
        <w:rPr>
          <w:b/>
          <w:bCs/>
        </w:rPr>
        <w:t xml:space="preserve"> и в соответствии с Конвенцией и Рекомендуемыми принципами и руководящими положениями УВКПЧ по вопросу о правах человека и торговле людьми, Комитет с учетом задачи 5.2 Целей в области устойчивого развития рекомендует государству-участнику:</w:t>
      </w:r>
    </w:p>
    <w:p w14:paraId="56D1486D" w14:textId="77777777" w:rsidR="00B8304D" w:rsidRPr="009E5BD0" w:rsidRDefault="00B8304D" w:rsidP="006A31AA">
      <w:pPr>
        <w:pStyle w:val="SingleTxtG"/>
        <w:ind w:firstLine="567"/>
        <w:rPr>
          <w:b/>
          <w:bCs/>
        </w:rPr>
      </w:pPr>
      <w:r w:rsidRPr="009E5BD0">
        <w:rPr>
          <w:b/>
          <w:bCs/>
        </w:rPr>
        <w:t>a)</w:t>
      </w:r>
      <w:r w:rsidRPr="009E5BD0">
        <w:rPr>
          <w:b/>
          <w:bCs/>
        </w:rPr>
        <w:tab/>
        <w:t xml:space="preserve">принять новый </w:t>
      </w:r>
      <w:proofErr w:type="spellStart"/>
      <w:r w:rsidRPr="009E5BD0">
        <w:rPr>
          <w:b/>
          <w:bCs/>
        </w:rPr>
        <w:t>межсекторальный</w:t>
      </w:r>
      <w:proofErr w:type="spellEnd"/>
      <w:r w:rsidRPr="009E5BD0">
        <w:rPr>
          <w:b/>
          <w:bCs/>
        </w:rPr>
        <w:t xml:space="preserve"> план по борьбе с торговлей людьми и их незаконным провозом;</w:t>
      </w:r>
    </w:p>
    <w:p w14:paraId="35D4696C" w14:textId="77777777" w:rsidR="00B8304D" w:rsidRPr="004676DA" w:rsidRDefault="00B8304D" w:rsidP="006A31AA">
      <w:pPr>
        <w:pStyle w:val="SingleTxtG"/>
        <w:ind w:firstLine="567"/>
        <w:rPr>
          <w:b/>
          <w:bCs/>
        </w:rPr>
      </w:pPr>
      <w:r w:rsidRPr="004676DA">
        <w:rPr>
          <w:b/>
          <w:bCs/>
        </w:rPr>
        <w:t>b)</w:t>
      </w:r>
      <w:r w:rsidRPr="004676DA">
        <w:rPr>
          <w:b/>
          <w:bCs/>
        </w:rPr>
        <w:tab/>
        <w:t xml:space="preserve">гарантировать, чтобы женщины и девочки не подвергались уголовному преследованию ни во время своих перемещений в странах назначения, ни по возвращении, признавая, что ограничительная и </w:t>
      </w:r>
      <w:r w:rsidRPr="004676DA">
        <w:rPr>
          <w:b/>
          <w:bCs/>
        </w:rPr>
        <w:lastRenderedPageBreak/>
        <w:t>охранительная политика повышает уязвимость женщин и девочек к торговле людьми и сексуальной эксплуатации;</w:t>
      </w:r>
    </w:p>
    <w:p w14:paraId="30DD1653" w14:textId="77777777" w:rsidR="00B8304D" w:rsidRPr="004676DA" w:rsidRDefault="00B8304D" w:rsidP="006A31AA">
      <w:pPr>
        <w:pStyle w:val="SingleTxtG"/>
        <w:ind w:firstLine="567"/>
        <w:rPr>
          <w:b/>
          <w:bCs/>
        </w:rPr>
      </w:pPr>
      <w:r w:rsidRPr="004676DA">
        <w:rPr>
          <w:b/>
          <w:bCs/>
        </w:rPr>
        <w:t>c)</w:t>
      </w:r>
      <w:r w:rsidRPr="004676DA">
        <w:rPr>
          <w:b/>
          <w:bCs/>
        </w:rPr>
        <w:tab/>
        <w:t>создать механизмы воссоединения семьи и установления личности мигрантов, у которых нет документов, удостоверяющих личность, с целью предупреждения торговли людьми и разлучения мигрантов с членами их семьи на неопределенный срок; внедрить эффективные механизмы выявления и направления в надлежащие службы лиц, которые находятся в ситуации смешанных перемещений и могут нуждаться в международной защите, и активизировать кампании по предотвращению торговли людьми, особенно в приграничных районах;</w:t>
      </w:r>
    </w:p>
    <w:p w14:paraId="2CAE2992" w14:textId="77777777" w:rsidR="00B8304D" w:rsidRPr="004676DA" w:rsidRDefault="00B8304D" w:rsidP="006A31AA">
      <w:pPr>
        <w:pStyle w:val="SingleTxtG"/>
        <w:ind w:firstLine="567"/>
        <w:rPr>
          <w:b/>
          <w:bCs/>
        </w:rPr>
      </w:pPr>
      <w:r w:rsidRPr="004676DA">
        <w:rPr>
          <w:b/>
          <w:bCs/>
        </w:rPr>
        <w:t>d)</w:t>
      </w:r>
      <w:r w:rsidRPr="004676DA">
        <w:rPr>
          <w:b/>
          <w:bCs/>
        </w:rPr>
        <w:tab/>
        <w:t>выделить достаточные ресурсы для оказания психологической, юридической и медицинской помощи всем жертвам торговли людьми, а также для создания приютов, в частности для детей, подростков и женщин, переживших торговлю людьми, а также для выполнения Многонациональным советом по борьбе с торговлей людьми своего мандата;</w:t>
      </w:r>
    </w:p>
    <w:p w14:paraId="307DA174" w14:textId="77777777" w:rsidR="00B8304D" w:rsidRPr="004676DA" w:rsidRDefault="00B8304D" w:rsidP="006A31AA">
      <w:pPr>
        <w:pStyle w:val="SingleTxtG"/>
        <w:ind w:firstLine="567"/>
        <w:rPr>
          <w:b/>
          <w:bCs/>
        </w:rPr>
      </w:pPr>
      <w:r w:rsidRPr="004676DA">
        <w:rPr>
          <w:b/>
          <w:bCs/>
        </w:rPr>
        <w:t>e)</w:t>
      </w:r>
      <w:r w:rsidRPr="004676DA">
        <w:rPr>
          <w:b/>
          <w:bCs/>
        </w:rPr>
        <w:tab/>
        <w:t>усилить подготовку должностных лиц, ответственных за исполнение Всеобъемлющего закона о борьбе с торговлей людьми и их незаконной перевозкой (Закон № 263), по вопросам раннего выявления жертв и направления их в соответствующие службы для обеспечения их защиты, а также распространение информации о Едином протоколе оказания специализированной помощи жертвам торговли людьми;</w:t>
      </w:r>
    </w:p>
    <w:p w14:paraId="5EA7A9B1" w14:textId="77777777" w:rsidR="00B8304D" w:rsidRPr="004676DA" w:rsidRDefault="00B8304D" w:rsidP="006A31AA">
      <w:pPr>
        <w:pStyle w:val="SingleTxtG"/>
        <w:ind w:firstLine="567"/>
        <w:rPr>
          <w:b/>
          <w:bCs/>
        </w:rPr>
      </w:pPr>
      <w:r w:rsidRPr="004676DA">
        <w:rPr>
          <w:b/>
          <w:bCs/>
        </w:rPr>
        <w:t>f)</w:t>
      </w:r>
      <w:r w:rsidRPr="004676DA">
        <w:rPr>
          <w:b/>
          <w:bCs/>
        </w:rPr>
        <w:tab/>
        <w:t>обеспечить проведение расследований, судебное преследование и надлежащее наказание лиц, совершивших преступления, связанные с торговлей людьми, гарантировать полное возмещение ущерба жертвам, а также активизировать международное сотрудничество с целью разработки совместных планов действий по предотвращению торговли людьми и выявлению организованных преступных сетей со странами происхождения, транзита и назначения.</w:t>
      </w:r>
    </w:p>
    <w:p w14:paraId="6125E13C" w14:textId="77777777" w:rsidR="00B8304D" w:rsidRPr="007F7AC4" w:rsidRDefault="00B8304D" w:rsidP="00B8304D">
      <w:pPr>
        <w:pStyle w:val="H23G"/>
      </w:pPr>
      <w:r>
        <w:tab/>
      </w:r>
      <w:r>
        <w:tab/>
      </w:r>
      <w:r>
        <w:rPr>
          <w:bCs/>
        </w:rPr>
        <w:t>Урегулирование статуса</w:t>
      </w:r>
    </w:p>
    <w:p w14:paraId="053EB742" w14:textId="77777777" w:rsidR="00B8304D" w:rsidRPr="007F7AC4" w:rsidRDefault="00B8304D" w:rsidP="00B8304D">
      <w:pPr>
        <w:pStyle w:val="SingleTxtG"/>
      </w:pPr>
      <w:r>
        <w:t>65.</w:t>
      </w:r>
      <w:r>
        <w:tab/>
        <w:t>Комитет принимает к сведению четыре специальных процедуры урегулирования миграционного статуса, которые применяются после принятия Закона о миграции № 370. Комитет, однако, обеспокоен:</w:t>
      </w:r>
    </w:p>
    <w:p w14:paraId="52090723" w14:textId="77777777" w:rsidR="00B8304D" w:rsidRPr="007F7AC4" w:rsidRDefault="00B8304D" w:rsidP="006A31AA">
      <w:pPr>
        <w:pStyle w:val="SingleTxtG"/>
        <w:ind w:firstLine="567"/>
      </w:pPr>
      <w:r>
        <w:t>a)</w:t>
      </w:r>
      <w:r>
        <w:tab/>
        <w:t>отсутствием комплексной политики урегулирования миграционного статуса, а также тем, что трудящиеся-мигранты и члены их семей, включая несопровождаемых детей и подростков, не могут воспользоваться предсказуемой процедурой получения постоянного статуса;</w:t>
      </w:r>
    </w:p>
    <w:p w14:paraId="3F63B157" w14:textId="77777777" w:rsidR="00B8304D" w:rsidRPr="007F7AC4" w:rsidRDefault="00B8304D" w:rsidP="006A31AA">
      <w:pPr>
        <w:pStyle w:val="SingleTxtG"/>
        <w:ind w:firstLine="567"/>
      </w:pPr>
      <w:r>
        <w:t>b)</w:t>
      </w:r>
      <w:r>
        <w:tab/>
        <w:t xml:space="preserve">трудностями в урегулировании миграционного статуса детей и подростков, особенно несопровождаемых, из-за препятствий при получении необходимых документов, включая удостоверения личности, требования о наличии заверенного или </w:t>
      </w:r>
      <w:proofErr w:type="spellStart"/>
      <w:r>
        <w:t>апостилированного</w:t>
      </w:r>
      <w:proofErr w:type="spellEnd"/>
      <w:r>
        <w:t xml:space="preserve"> свидетельства о рождении, подтверждающего кровное родство, а также о наличии у сопровождающей ребенка матери заверенного или </w:t>
      </w:r>
      <w:proofErr w:type="spellStart"/>
      <w:r>
        <w:t>апостилированного</w:t>
      </w:r>
      <w:proofErr w:type="spellEnd"/>
      <w:r>
        <w:t xml:space="preserve"> документа, подтверждающего, что он находится на ее попечении;</w:t>
      </w:r>
    </w:p>
    <w:p w14:paraId="6E973876" w14:textId="77777777" w:rsidR="00B8304D" w:rsidRPr="007F7AC4" w:rsidRDefault="00B8304D" w:rsidP="006A31AA">
      <w:pPr>
        <w:pStyle w:val="SingleTxtG"/>
        <w:ind w:firstLine="567"/>
      </w:pPr>
      <w:r>
        <w:t>c)</w:t>
      </w:r>
      <w:r>
        <w:tab/>
        <w:t>высокими расходами и отсутствием гибкости в миграционном законодательстве, препятствующими доступу иностранцев с неурегулированным миграционным статусом к альтернативным вариантам его урегулирования;</w:t>
      </w:r>
    </w:p>
    <w:p w14:paraId="3A5DE940" w14:textId="77777777" w:rsidR="00B8304D" w:rsidRPr="007F7AC4" w:rsidRDefault="00B8304D" w:rsidP="006A31AA">
      <w:pPr>
        <w:pStyle w:val="SingleTxtG"/>
        <w:ind w:firstLine="567"/>
      </w:pPr>
      <w:r>
        <w:t>d)</w:t>
      </w:r>
      <w:r>
        <w:tab/>
        <w:t xml:space="preserve">препятствиями при получении доступа к возможности долгосрочного пребывания, включая требование о наличии документов, которые трудно получить, таких как справка о гражданстве, справки из суда или Международной организации уголовной полиции (Интерпол), требование о заверении или </w:t>
      </w:r>
      <w:proofErr w:type="spellStart"/>
      <w:r>
        <w:t>апостилировании</w:t>
      </w:r>
      <w:proofErr w:type="spellEnd"/>
      <w:r>
        <w:t xml:space="preserve"> документов, а также высокую стоимость как пошлин, так и получения требуемой документации;</w:t>
      </w:r>
    </w:p>
    <w:p w14:paraId="3FCA02C2" w14:textId="77777777" w:rsidR="00B8304D" w:rsidRPr="007F7AC4" w:rsidRDefault="00B8304D" w:rsidP="006A31AA">
      <w:pPr>
        <w:pStyle w:val="SingleTxtG"/>
        <w:ind w:firstLine="567"/>
      </w:pPr>
      <w:r>
        <w:lastRenderedPageBreak/>
        <w:t>e)</w:t>
      </w:r>
      <w:r>
        <w:tab/>
        <w:t>отсутствием информации о наличии дезагрегированных статистических данных о выданных государством-участником видах на жительство.</w:t>
      </w:r>
    </w:p>
    <w:p w14:paraId="43D8A365" w14:textId="77777777" w:rsidR="00B8304D" w:rsidRPr="007F7AC4" w:rsidRDefault="00B8304D" w:rsidP="00B8304D">
      <w:pPr>
        <w:pStyle w:val="SingleTxtG"/>
        <w:rPr>
          <w:b/>
          <w:bCs/>
        </w:rPr>
      </w:pPr>
      <w:r>
        <w:t>66.</w:t>
      </w:r>
      <w:r>
        <w:tab/>
      </w:r>
      <w:r>
        <w:rPr>
          <w:b/>
          <w:bCs/>
        </w:rPr>
        <w:t>Комитет рекомендует государству-участнику:</w:t>
      </w:r>
    </w:p>
    <w:p w14:paraId="69012824" w14:textId="77777777" w:rsidR="00B8304D" w:rsidRPr="00F362A6" w:rsidRDefault="00B8304D" w:rsidP="006A31AA">
      <w:pPr>
        <w:pStyle w:val="SingleTxtG"/>
        <w:ind w:firstLine="567"/>
        <w:rPr>
          <w:b/>
          <w:bCs/>
        </w:rPr>
      </w:pPr>
      <w:r w:rsidRPr="00F362A6">
        <w:rPr>
          <w:b/>
          <w:bCs/>
        </w:rPr>
        <w:t>a)</w:t>
      </w:r>
      <w:r w:rsidRPr="00F362A6">
        <w:rPr>
          <w:b/>
          <w:bCs/>
        </w:rPr>
        <w:tab/>
        <w:t>разработать и проводить комплексную политику по обеспечению доступной и недорогой процедуры получения постоянного статуса трудящимися-мигрантами и членами их семей, включая несопровождаемых детей и подростков, которые этого статуса не имеют, основываясь на принципе наилучшего обеспечения их интересов и рассматривая процедуру урегулирования статуса как механизм по защите их прав;</w:t>
      </w:r>
    </w:p>
    <w:p w14:paraId="6C6DCDBC" w14:textId="77777777" w:rsidR="00B8304D" w:rsidRPr="00F362A6" w:rsidRDefault="00B8304D" w:rsidP="006A31AA">
      <w:pPr>
        <w:pStyle w:val="SingleTxtG"/>
        <w:ind w:firstLine="567"/>
        <w:rPr>
          <w:b/>
          <w:bCs/>
        </w:rPr>
      </w:pPr>
      <w:r w:rsidRPr="00F362A6">
        <w:rPr>
          <w:b/>
          <w:bCs/>
        </w:rPr>
        <w:t>b)</w:t>
      </w:r>
      <w:r w:rsidRPr="00F362A6">
        <w:rPr>
          <w:b/>
          <w:bCs/>
        </w:rPr>
        <w:tab/>
        <w:t>облегчить урегулирование миграционного статуса детей и подростков-мигрантов, независимо от наличия у них и/или их родителей документов, исходя из принципа наилучшего обеспечения интересов ребенка;</w:t>
      </w:r>
    </w:p>
    <w:p w14:paraId="4B7A8B46" w14:textId="1BFE4CF2" w:rsidR="00B8304D" w:rsidRPr="00F362A6" w:rsidRDefault="00B8304D" w:rsidP="006A31AA">
      <w:pPr>
        <w:pStyle w:val="SingleTxtG"/>
        <w:ind w:firstLine="567"/>
        <w:rPr>
          <w:b/>
          <w:bCs/>
        </w:rPr>
      </w:pPr>
      <w:r w:rsidRPr="00F362A6">
        <w:rPr>
          <w:b/>
          <w:bCs/>
        </w:rPr>
        <w:t>c)</w:t>
      </w:r>
      <w:r w:rsidRPr="00F362A6">
        <w:rPr>
          <w:b/>
          <w:bCs/>
        </w:rPr>
        <w:tab/>
        <w:t>укрепить миграционное законодательство и политику на основании правозащитного подхода в целях усовершенствования системы миграционного и пограничного контроля с учетом прав и потребностей трудящихся-мигрантов, а</w:t>
      </w:r>
      <w:r w:rsidR="00A76C68">
        <w:rPr>
          <w:b/>
          <w:bCs/>
          <w:lang w:val="en-US"/>
        </w:rPr>
        <w:t> </w:t>
      </w:r>
      <w:r w:rsidRPr="00F362A6">
        <w:rPr>
          <w:b/>
          <w:bCs/>
        </w:rPr>
        <w:t>также преимуществ организованной мобильности; и поощрять законную, открытую и упрощенную трудовую миграцию;</w:t>
      </w:r>
    </w:p>
    <w:p w14:paraId="373DDE83" w14:textId="77777777" w:rsidR="00B8304D" w:rsidRPr="00F362A6" w:rsidRDefault="00B8304D" w:rsidP="006A31AA">
      <w:pPr>
        <w:pStyle w:val="SingleTxtG"/>
        <w:ind w:firstLine="567"/>
        <w:rPr>
          <w:b/>
          <w:bCs/>
        </w:rPr>
      </w:pPr>
      <w:r w:rsidRPr="00F362A6">
        <w:rPr>
          <w:b/>
          <w:bCs/>
        </w:rPr>
        <w:t>d)</w:t>
      </w:r>
      <w:r w:rsidRPr="00F362A6">
        <w:rPr>
          <w:b/>
          <w:bCs/>
        </w:rPr>
        <w:tab/>
        <w:t>устранить финансовые и другие барьеры, препятствующие доступу трудящихся-мигрантов и членов их семей к возможности долгосрочного пребывания, в том числе за счет большей гибкости в отношении документов;</w:t>
      </w:r>
    </w:p>
    <w:p w14:paraId="5B8E1883" w14:textId="77777777" w:rsidR="00B8304D" w:rsidRPr="00F362A6" w:rsidRDefault="00B8304D" w:rsidP="006A31AA">
      <w:pPr>
        <w:pStyle w:val="SingleTxtG"/>
        <w:ind w:firstLine="567"/>
        <w:rPr>
          <w:b/>
          <w:bCs/>
        </w:rPr>
      </w:pPr>
      <w:r w:rsidRPr="00F362A6">
        <w:rPr>
          <w:b/>
          <w:bCs/>
        </w:rPr>
        <w:t>e)</w:t>
      </w:r>
      <w:r w:rsidRPr="00F362A6">
        <w:rPr>
          <w:b/>
          <w:bCs/>
        </w:rPr>
        <w:tab/>
        <w:t>обеспечить сбор статистических данные о видах на жительство, выданных государством-участником, в разбивке по гражданству, полу, возрасту и миграционному статусу, включая виды на жительство, выданные гражданам Боливарианской Республики Венесуэла.</w:t>
      </w:r>
    </w:p>
    <w:p w14:paraId="754F3A05" w14:textId="77777777" w:rsidR="00B8304D" w:rsidRPr="007F7AC4" w:rsidRDefault="00B8304D" w:rsidP="00B8304D">
      <w:pPr>
        <w:pStyle w:val="H23G"/>
      </w:pPr>
      <w:r>
        <w:rPr>
          <w:bCs/>
        </w:rPr>
        <w:tab/>
        <w:t>6.</w:t>
      </w:r>
      <w:r>
        <w:tab/>
      </w:r>
      <w:r>
        <w:rPr>
          <w:bCs/>
        </w:rPr>
        <w:t>Распространение информации и последующая деятельность</w:t>
      </w:r>
    </w:p>
    <w:p w14:paraId="7B71C940" w14:textId="77777777" w:rsidR="00B8304D" w:rsidRPr="007F7AC4" w:rsidRDefault="00B8304D" w:rsidP="00B8304D">
      <w:pPr>
        <w:pStyle w:val="H23G"/>
      </w:pPr>
      <w:r>
        <w:tab/>
      </w:r>
      <w:r>
        <w:tab/>
      </w:r>
      <w:r>
        <w:rPr>
          <w:bCs/>
        </w:rPr>
        <w:t>Распространение информации</w:t>
      </w:r>
    </w:p>
    <w:p w14:paraId="57428AC5" w14:textId="5397CC61" w:rsidR="00B8304D" w:rsidRPr="007F7AC4" w:rsidRDefault="00B8304D" w:rsidP="00B8304D">
      <w:pPr>
        <w:pStyle w:val="SingleTxtG"/>
      </w:pPr>
      <w:r>
        <w:t>67.</w:t>
      </w:r>
      <w:r>
        <w:tab/>
      </w:r>
      <w:r>
        <w:rPr>
          <w:b/>
          <w:bCs/>
        </w:rPr>
        <w:t xml:space="preserve">Комитет просит государство-участник обеспечить широкое распространение настоящих заключительных замечаний на официальных языках государства-участника среди соответствующих государственных учреждений, в том числе среди государственных министерств, </w:t>
      </w:r>
      <w:r w:rsidR="00505A74">
        <w:rPr>
          <w:b/>
          <w:bCs/>
        </w:rPr>
        <w:br/>
      </w:r>
      <w:r>
        <w:rPr>
          <w:b/>
          <w:bCs/>
        </w:rPr>
        <w:t>в Многонациональной законодательной ассамблее, среди законодательных и судебных органов, а также неправительственных организаций и других субъектов гражданского общества.</w:t>
      </w:r>
    </w:p>
    <w:p w14:paraId="2ED27E69" w14:textId="77777777" w:rsidR="00B8304D" w:rsidRPr="007F7AC4" w:rsidRDefault="00B8304D" w:rsidP="00B8304D">
      <w:pPr>
        <w:pStyle w:val="H23G"/>
      </w:pPr>
      <w:r>
        <w:tab/>
      </w:r>
      <w:r>
        <w:tab/>
      </w:r>
      <w:r>
        <w:rPr>
          <w:bCs/>
        </w:rPr>
        <w:t>Техническая помощь</w:t>
      </w:r>
    </w:p>
    <w:p w14:paraId="5C4849A0" w14:textId="23CD6D0A" w:rsidR="00B8304D" w:rsidRPr="007F7AC4" w:rsidRDefault="00B8304D" w:rsidP="00B8304D">
      <w:pPr>
        <w:pStyle w:val="SingleTxtG"/>
      </w:pPr>
      <w:r>
        <w:t>68.</w:t>
      </w:r>
      <w:r>
        <w:tab/>
      </w:r>
      <w:r>
        <w:rPr>
          <w:b/>
          <w:bCs/>
        </w:rPr>
        <w:t>Комитет рекомендует государству-участнику и впредь пользоваться международной и межправительственной помощью для выполнения рекомендаций, содержащихся в настоящих заключительных замечаниях, в</w:t>
      </w:r>
      <w:r w:rsidR="0099688C">
        <w:rPr>
          <w:b/>
          <w:bCs/>
          <w:lang w:val="en-US"/>
        </w:rPr>
        <w:t> </w:t>
      </w:r>
      <w:r>
        <w:rPr>
          <w:b/>
          <w:bCs/>
        </w:rPr>
        <w:t>соответствии с Повесткой дня в области устойчивого развития на период до 2030 года.</w:t>
      </w:r>
      <w:r>
        <w:t xml:space="preserve"> </w:t>
      </w:r>
      <w:r>
        <w:rPr>
          <w:b/>
          <w:bCs/>
        </w:rPr>
        <w:t>Он также рекомендует государству-участнику продолжать сотрудничество со специализированными учреждениями и программами системы Организации Объединенных Наций.</w:t>
      </w:r>
    </w:p>
    <w:p w14:paraId="5C3D63E7" w14:textId="77777777" w:rsidR="00B8304D" w:rsidRPr="007F7AC4" w:rsidRDefault="00B8304D" w:rsidP="00B8304D">
      <w:pPr>
        <w:pStyle w:val="H23G"/>
      </w:pPr>
      <w:r>
        <w:tab/>
      </w:r>
      <w:r>
        <w:tab/>
      </w:r>
      <w:r>
        <w:rPr>
          <w:bCs/>
        </w:rPr>
        <w:t>Последующая деятельность в связи с заключительными замечаниями</w:t>
      </w:r>
    </w:p>
    <w:p w14:paraId="3A2E7A85" w14:textId="095FF8FA" w:rsidR="00B8304D" w:rsidRPr="007F7AC4" w:rsidRDefault="00B8304D" w:rsidP="00B8304D">
      <w:pPr>
        <w:pStyle w:val="SingleTxtG"/>
      </w:pPr>
      <w:r>
        <w:t>69.</w:t>
      </w:r>
      <w:r>
        <w:tab/>
      </w:r>
      <w:r>
        <w:rPr>
          <w:b/>
          <w:bCs/>
        </w:rPr>
        <w:t xml:space="preserve">Комитет просит государство-участник представить в течение двух лет </w:t>
      </w:r>
      <w:r w:rsidR="00F9170D">
        <w:rPr>
          <w:b/>
          <w:bCs/>
        </w:rPr>
        <w:br/>
      </w:r>
      <w:r>
        <w:rPr>
          <w:b/>
          <w:bCs/>
        </w:rPr>
        <w:t>(т.</w:t>
      </w:r>
      <w:r w:rsidR="00F32694">
        <w:rPr>
          <w:b/>
          <w:bCs/>
          <w:lang w:val="en-US"/>
        </w:rPr>
        <w:t> </w:t>
      </w:r>
      <w:r>
        <w:rPr>
          <w:b/>
          <w:bCs/>
        </w:rPr>
        <w:t>е.</w:t>
      </w:r>
      <w:r w:rsidR="00F32694">
        <w:rPr>
          <w:b/>
          <w:bCs/>
          <w:lang w:val="en-US"/>
        </w:rPr>
        <w:t> </w:t>
      </w:r>
      <w:r>
        <w:rPr>
          <w:b/>
          <w:bCs/>
        </w:rPr>
        <w:t>к 1 октября 2024 года) письменную информацию о выполнении рекомендаций, содержащихся в пунктах 24 (институциональная координация), 42 (миграционный контроль), 46 (высылка) и 66 (урегулирование статуса) выше.</w:t>
      </w:r>
    </w:p>
    <w:p w14:paraId="241F25D9" w14:textId="77777777" w:rsidR="00B8304D" w:rsidRPr="007F7AC4" w:rsidRDefault="00B8304D" w:rsidP="00B8304D">
      <w:pPr>
        <w:pStyle w:val="H23G"/>
      </w:pPr>
      <w:r>
        <w:lastRenderedPageBreak/>
        <w:tab/>
      </w:r>
      <w:r>
        <w:tab/>
      </w:r>
      <w:r>
        <w:rPr>
          <w:bCs/>
        </w:rPr>
        <w:t>Следующий периодический доклад</w:t>
      </w:r>
    </w:p>
    <w:p w14:paraId="59FBAE07" w14:textId="77777777" w:rsidR="00B8304D" w:rsidRPr="007F7AC4" w:rsidRDefault="00B8304D" w:rsidP="007A1F75">
      <w:pPr>
        <w:pStyle w:val="SingleTxtG"/>
        <w:keepNext/>
        <w:keepLines/>
        <w:rPr>
          <w:bCs/>
        </w:rPr>
      </w:pPr>
      <w:bookmarkStart w:id="7" w:name="_Hlk98754877"/>
      <w:r>
        <w:t>70.</w:t>
      </w:r>
      <w:r>
        <w:tab/>
      </w:r>
      <w:r>
        <w:rPr>
          <w:b/>
          <w:bCs/>
        </w:rPr>
        <w:t>Комитет просит государство-участник представить свой четвертый периодический доклад к 1 октября 2027 года.</w:t>
      </w:r>
      <w:r>
        <w:t xml:space="preserve"> </w:t>
      </w:r>
      <w:r>
        <w:rPr>
          <w:b/>
          <w:bCs/>
        </w:rPr>
        <w:t>Комитет утвердит перечень вопросов до представления доклада в соответствии с упрощенной процедурой представления докладов на одной из своих сессий, предшествующих этой дате, если только государство-участник не сделает однозначного выбора в пользу традиционной процедуры представления докладов для своего четвертого периодического доклада.</w:t>
      </w:r>
      <w:r>
        <w:t xml:space="preserve"> </w:t>
      </w:r>
      <w:r>
        <w:rPr>
          <w:b/>
          <w:bCs/>
        </w:rPr>
        <w:t>Комитет обращает внимание государства-участника на свои согласованные руководящие принципы подготовки документов по конкретным договорам</w:t>
      </w:r>
      <w:r w:rsidRPr="00E86F42">
        <w:rPr>
          <w:rStyle w:val="aa"/>
        </w:rPr>
        <w:footnoteReference w:id="10"/>
      </w:r>
      <w:r>
        <w:rPr>
          <w:b/>
          <w:bCs/>
        </w:rPr>
        <w:t>.</w:t>
      </w:r>
      <w:bookmarkEnd w:id="7"/>
    </w:p>
    <w:p w14:paraId="2750253A" w14:textId="77777777" w:rsidR="00B8304D" w:rsidRPr="007F7AC4" w:rsidRDefault="00B8304D" w:rsidP="00B8304D">
      <w:pPr>
        <w:pStyle w:val="SingleTxtG"/>
        <w:spacing w:before="240" w:after="0"/>
        <w:jc w:val="center"/>
        <w:rPr>
          <w:u w:val="single"/>
        </w:rPr>
      </w:pPr>
      <w:r w:rsidRPr="007F7AC4">
        <w:rPr>
          <w:u w:val="single"/>
        </w:rPr>
        <w:tab/>
      </w:r>
      <w:r w:rsidRPr="007F7AC4">
        <w:rPr>
          <w:u w:val="single"/>
        </w:rPr>
        <w:tab/>
      </w:r>
      <w:r w:rsidRPr="007F7AC4">
        <w:rPr>
          <w:u w:val="single"/>
        </w:rPr>
        <w:tab/>
      </w:r>
    </w:p>
    <w:sectPr w:rsidR="00B8304D" w:rsidRPr="007F7AC4" w:rsidSect="00B830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B628" w14:textId="77777777" w:rsidR="00D34749" w:rsidRPr="00A312BC" w:rsidRDefault="00D34749" w:rsidP="00A312BC"/>
  </w:endnote>
  <w:endnote w:type="continuationSeparator" w:id="0">
    <w:p w14:paraId="081CE576" w14:textId="77777777" w:rsidR="00D34749" w:rsidRPr="00A312BC" w:rsidRDefault="00D347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32F" w14:textId="0426EF47" w:rsidR="00B8304D" w:rsidRPr="00B8304D" w:rsidRDefault="00B8304D">
    <w:pPr>
      <w:pStyle w:val="a8"/>
    </w:pPr>
    <w:r w:rsidRPr="00B8304D">
      <w:rPr>
        <w:b/>
        <w:sz w:val="18"/>
      </w:rPr>
      <w:fldChar w:fldCharType="begin"/>
    </w:r>
    <w:r w:rsidRPr="00B8304D">
      <w:rPr>
        <w:b/>
        <w:sz w:val="18"/>
      </w:rPr>
      <w:instrText xml:space="preserve"> PAGE  \* MERGEFORMAT </w:instrText>
    </w:r>
    <w:r w:rsidRPr="00B8304D">
      <w:rPr>
        <w:b/>
        <w:sz w:val="18"/>
      </w:rPr>
      <w:fldChar w:fldCharType="separate"/>
    </w:r>
    <w:r w:rsidRPr="00B8304D">
      <w:rPr>
        <w:b/>
        <w:noProof/>
        <w:sz w:val="18"/>
      </w:rPr>
      <w:t>2</w:t>
    </w:r>
    <w:r w:rsidRPr="00B8304D">
      <w:rPr>
        <w:b/>
        <w:sz w:val="18"/>
      </w:rPr>
      <w:fldChar w:fldCharType="end"/>
    </w:r>
    <w:r>
      <w:rPr>
        <w:b/>
        <w:sz w:val="18"/>
      </w:rPr>
      <w:tab/>
    </w:r>
    <w:r>
      <w:t>GE.22-17705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87E" w14:textId="18BCE3E5" w:rsidR="00B8304D" w:rsidRPr="00B8304D" w:rsidRDefault="00B8304D" w:rsidP="00B8304D">
    <w:pPr>
      <w:pStyle w:val="a8"/>
      <w:tabs>
        <w:tab w:val="clear" w:pos="9639"/>
        <w:tab w:val="right" w:pos="9638"/>
      </w:tabs>
      <w:rPr>
        <w:b/>
        <w:sz w:val="18"/>
      </w:rPr>
    </w:pPr>
    <w:r>
      <w:t>GE.22-17705</w:t>
    </w:r>
    <w:r>
      <w:tab/>
    </w:r>
    <w:r w:rsidRPr="00B8304D">
      <w:rPr>
        <w:b/>
        <w:sz w:val="18"/>
      </w:rPr>
      <w:fldChar w:fldCharType="begin"/>
    </w:r>
    <w:r w:rsidRPr="00B8304D">
      <w:rPr>
        <w:b/>
        <w:sz w:val="18"/>
      </w:rPr>
      <w:instrText xml:space="preserve"> PAGE  \* MERGEFORMAT </w:instrText>
    </w:r>
    <w:r w:rsidRPr="00B8304D">
      <w:rPr>
        <w:b/>
        <w:sz w:val="18"/>
      </w:rPr>
      <w:fldChar w:fldCharType="separate"/>
    </w:r>
    <w:r w:rsidRPr="00B8304D">
      <w:rPr>
        <w:b/>
        <w:noProof/>
        <w:sz w:val="18"/>
      </w:rPr>
      <w:t>3</w:t>
    </w:r>
    <w:r w:rsidRPr="00B830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4DBF" w14:textId="71722A29" w:rsidR="00042B72" w:rsidRPr="00B8304D" w:rsidRDefault="00B8304D" w:rsidP="00B8304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4EFE4A" wp14:editId="35FC49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17705  (</w:t>
    </w:r>
    <w:proofErr w:type="gramEnd"/>
    <w:r>
      <w:t>R)</w:t>
    </w:r>
    <w:r>
      <w:rPr>
        <w:noProof/>
      </w:rPr>
      <w:drawing>
        <wp:anchor distT="0" distB="0" distL="114300" distR="114300" simplePos="0" relativeHeight="251659264" behindDoc="0" locked="0" layoutInCell="1" allowOverlap="1" wp14:anchorId="06B328E3" wp14:editId="6DFDCF9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211222  070323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DB7B" w14:textId="77777777" w:rsidR="00D34749" w:rsidRPr="001075E9" w:rsidRDefault="00D34749" w:rsidP="001075E9">
      <w:pPr>
        <w:tabs>
          <w:tab w:val="right" w:pos="2155"/>
        </w:tabs>
        <w:spacing w:after="80" w:line="240" w:lineRule="auto"/>
        <w:ind w:left="680"/>
        <w:rPr>
          <w:u w:val="single"/>
        </w:rPr>
      </w:pPr>
      <w:r>
        <w:rPr>
          <w:u w:val="single"/>
        </w:rPr>
        <w:tab/>
      </w:r>
    </w:p>
  </w:footnote>
  <w:footnote w:type="continuationSeparator" w:id="0">
    <w:p w14:paraId="13A445A3" w14:textId="77777777" w:rsidR="00D34749" w:rsidRDefault="00D34749" w:rsidP="00407B78">
      <w:pPr>
        <w:tabs>
          <w:tab w:val="right" w:pos="2155"/>
        </w:tabs>
        <w:spacing w:after="80"/>
        <w:ind w:left="680"/>
        <w:rPr>
          <w:u w:val="single"/>
        </w:rPr>
      </w:pPr>
      <w:r>
        <w:rPr>
          <w:u w:val="single"/>
        </w:rPr>
        <w:tab/>
      </w:r>
    </w:p>
  </w:footnote>
  <w:footnote w:id="1">
    <w:p w14:paraId="48B0DE03" w14:textId="15FB6F89" w:rsidR="00B8304D" w:rsidRPr="007F7AC4" w:rsidRDefault="00B8304D" w:rsidP="00B8304D">
      <w:pPr>
        <w:pStyle w:val="ad"/>
      </w:pPr>
      <w:r>
        <w:tab/>
        <w:t>*</w:t>
      </w:r>
      <w:r>
        <w:tab/>
        <w:t>Приняты Комитетом на его тридцать пятой сессии (19</w:t>
      </w:r>
      <w:r w:rsidR="006A31AA" w:rsidRPr="006A31AA">
        <w:t>–</w:t>
      </w:r>
      <w:r>
        <w:t>30 сентября 2022 года).</w:t>
      </w:r>
    </w:p>
  </w:footnote>
  <w:footnote w:id="2">
    <w:p w14:paraId="4441FEEB" w14:textId="36E25EB1" w:rsidR="00B8304D" w:rsidRPr="007F7AC4" w:rsidRDefault="00B8304D" w:rsidP="00B8304D">
      <w:pPr>
        <w:pStyle w:val="ad"/>
        <w:widowControl w:val="0"/>
        <w:rPr>
          <w:lang w:val="de-CH"/>
        </w:rPr>
      </w:pPr>
      <w:r>
        <w:tab/>
      </w:r>
      <w:r>
        <w:rPr>
          <w:rStyle w:val="aa"/>
        </w:rPr>
        <w:footnoteRef/>
      </w:r>
      <w:r w:rsidRPr="007F7AC4">
        <w:rPr>
          <w:lang w:val="de-CH"/>
        </w:rPr>
        <w:tab/>
      </w:r>
      <w:hyperlink r:id="rId1" w:history="1">
        <w:r w:rsidR="003957FA">
          <w:rPr>
            <w:rStyle w:val="af1"/>
            <w:lang w:val="de-CH"/>
          </w:rPr>
          <w:t>CMW/C/BOL/3</w:t>
        </w:r>
      </w:hyperlink>
      <w:r w:rsidRPr="007F7AC4">
        <w:rPr>
          <w:lang w:val="de-CH"/>
        </w:rPr>
        <w:t>.</w:t>
      </w:r>
    </w:p>
  </w:footnote>
  <w:footnote w:id="3">
    <w:p w14:paraId="32DD5171" w14:textId="1C48FCA5" w:rsidR="00B8304D" w:rsidRPr="007F7AC4" w:rsidRDefault="00B8304D" w:rsidP="00B8304D">
      <w:pPr>
        <w:pStyle w:val="ad"/>
        <w:widowControl w:val="0"/>
        <w:rPr>
          <w:lang w:val="de-CH"/>
        </w:rPr>
      </w:pPr>
      <w:r w:rsidRPr="007F7AC4">
        <w:rPr>
          <w:lang w:val="de-CH"/>
        </w:rPr>
        <w:tab/>
      </w:r>
      <w:r>
        <w:rPr>
          <w:rStyle w:val="aa"/>
        </w:rPr>
        <w:footnoteRef/>
      </w:r>
      <w:r w:rsidRPr="007F7AC4">
        <w:rPr>
          <w:lang w:val="de-CH"/>
        </w:rPr>
        <w:tab/>
      </w:r>
      <w:hyperlink r:id="rId2" w:history="1">
        <w:r w:rsidR="003957FA">
          <w:rPr>
            <w:rStyle w:val="af1"/>
            <w:lang w:val="de-CH"/>
          </w:rPr>
          <w:t>CMW/C/SR.500</w:t>
        </w:r>
      </w:hyperlink>
      <w:r w:rsidRPr="007F7AC4">
        <w:rPr>
          <w:lang w:val="de-CH"/>
        </w:rPr>
        <w:t xml:space="preserve"> </w:t>
      </w:r>
      <w:r>
        <w:t>и</w:t>
      </w:r>
      <w:r w:rsidRPr="007F7AC4">
        <w:rPr>
          <w:lang w:val="de-CH"/>
        </w:rPr>
        <w:t xml:space="preserve"> </w:t>
      </w:r>
      <w:hyperlink r:id="rId3" w:history="1">
        <w:r w:rsidR="003957FA">
          <w:rPr>
            <w:rStyle w:val="af1"/>
            <w:lang w:val="de-CH"/>
          </w:rPr>
          <w:t>CMW/C/SR.502</w:t>
        </w:r>
      </w:hyperlink>
      <w:r w:rsidRPr="007F7AC4">
        <w:rPr>
          <w:lang w:val="de-CH"/>
        </w:rPr>
        <w:t>.</w:t>
      </w:r>
    </w:p>
  </w:footnote>
  <w:footnote w:id="4">
    <w:p w14:paraId="6F8A2E3F" w14:textId="72FC3744" w:rsidR="00B8304D" w:rsidRPr="003957FA" w:rsidRDefault="00B8304D" w:rsidP="00B8304D">
      <w:pPr>
        <w:pStyle w:val="ad"/>
        <w:widowControl w:val="0"/>
        <w:rPr>
          <w:lang w:val="de-CH"/>
        </w:rPr>
      </w:pPr>
      <w:r w:rsidRPr="007F7AC4">
        <w:rPr>
          <w:lang w:val="de-CH"/>
        </w:rPr>
        <w:tab/>
      </w:r>
      <w:r>
        <w:rPr>
          <w:rStyle w:val="aa"/>
        </w:rPr>
        <w:footnoteRef/>
      </w:r>
      <w:r w:rsidRPr="003957FA">
        <w:rPr>
          <w:lang w:val="de-CH"/>
        </w:rPr>
        <w:tab/>
      </w:r>
      <w:hyperlink r:id="rId4" w:history="1">
        <w:r w:rsidR="003957FA">
          <w:rPr>
            <w:rStyle w:val="af1"/>
            <w:lang w:val="de-CH"/>
          </w:rPr>
          <w:t>CMW/C/BOL/RQ/3</w:t>
        </w:r>
      </w:hyperlink>
      <w:r w:rsidRPr="003957FA">
        <w:rPr>
          <w:lang w:val="de-CH"/>
        </w:rPr>
        <w:t>.</w:t>
      </w:r>
    </w:p>
  </w:footnote>
  <w:footnote w:id="5">
    <w:p w14:paraId="231D0AB1" w14:textId="49C7F475" w:rsidR="00B8304D" w:rsidRPr="00694220" w:rsidRDefault="00B8304D" w:rsidP="00B8304D">
      <w:pPr>
        <w:pStyle w:val="ad"/>
        <w:widowControl w:val="0"/>
        <w:rPr>
          <w:lang w:val="de-CH"/>
        </w:rPr>
      </w:pPr>
      <w:r w:rsidRPr="003957FA">
        <w:rPr>
          <w:lang w:val="de-CH"/>
        </w:rPr>
        <w:tab/>
      </w:r>
      <w:r>
        <w:rPr>
          <w:rStyle w:val="aa"/>
        </w:rPr>
        <w:footnoteRef/>
      </w:r>
      <w:r w:rsidRPr="00694220">
        <w:rPr>
          <w:lang w:val="de-CH"/>
        </w:rPr>
        <w:tab/>
      </w:r>
      <w:r>
        <w:t>См</w:t>
      </w:r>
      <w:r w:rsidRPr="00694220">
        <w:rPr>
          <w:lang w:val="de-CH"/>
        </w:rPr>
        <w:t xml:space="preserve">. URL: </w:t>
      </w:r>
      <w:hyperlink r:id="rId5" w:history="1">
        <w:r w:rsidR="006725F1" w:rsidRPr="00694220">
          <w:rPr>
            <w:rStyle w:val="af1"/>
            <w:lang w:val="de-CH"/>
          </w:rPr>
          <w:t>https://www.ohchr.org/sites/default/files/Documents/Issues/Migration/CMWSPMJointGuidanceNoteCOVID-19Migrants_SP.pdf</w:t>
        </w:r>
      </w:hyperlink>
      <w:r w:rsidRPr="00694220">
        <w:rPr>
          <w:lang w:val="de-CH"/>
        </w:rPr>
        <w:t>.</w:t>
      </w:r>
    </w:p>
  </w:footnote>
  <w:footnote w:id="6">
    <w:p w14:paraId="2C30000B" w14:textId="4DA4EE0B" w:rsidR="00B8304D" w:rsidRPr="007F7AC4" w:rsidRDefault="00B8304D" w:rsidP="00B8304D">
      <w:pPr>
        <w:pStyle w:val="ad"/>
        <w:widowControl w:val="0"/>
        <w:rPr>
          <w:lang w:val="en-US"/>
        </w:rPr>
      </w:pPr>
      <w:r w:rsidRPr="00694220">
        <w:rPr>
          <w:lang w:val="de-CH"/>
        </w:rPr>
        <w:tab/>
      </w:r>
      <w:r>
        <w:rPr>
          <w:rStyle w:val="aa"/>
        </w:rPr>
        <w:footnoteRef/>
      </w:r>
      <w:r w:rsidRPr="007F7AC4">
        <w:rPr>
          <w:lang w:val="en-US"/>
        </w:rPr>
        <w:tab/>
      </w:r>
      <w:hyperlink r:id="rId6" w:history="1">
        <w:r w:rsidR="003957FA">
          <w:rPr>
            <w:rStyle w:val="af1"/>
            <w:lang w:val="en-US"/>
          </w:rPr>
          <w:t>CMW/C/BOL/CO/1</w:t>
        </w:r>
      </w:hyperlink>
      <w:r w:rsidRPr="007F7AC4">
        <w:rPr>
          <w:lang w:val="en-US"/>
        </w:rPr>
        <w:t xml:space="preserve">, </w:t>
      </w:r>
      <w:r>
        <w:t>п</w:t>
      </w:r>
      <w:r w:rsidRPr="007F7AC4">
        <w:rPr>
          <w:lang w:val="en-US"/>
        </w:rPr>
        <w:t xml:space="preserve">. 12; </w:t>
      </w:r>
      <w:hyperlink r:id="rId7" w:history="1">
        <w:r w:rsidR="003957FA">
          <w:rPr>
            <w:rStyle w:val="af1"/>
            <w:lang w:val="en-US"/>
          </w:rPr>
          <w:t>CMW/C/BOL/CO/2</w:t>
        </w:r>
      </w:hyperlink>
      <w:r w:rsidRPr="007F7AC4">
        <w:rPr>
          <w:lang w:val="en-US"/>
        </w:rPr>
        <w:t xml:space="preserve">, </w:t>
      </w:r>
      <w:r>
        <w:t>п</w:t>
      </w:r>
      <w:r w:rsidRPr="007F7AC4">
        <w:rPr>
          <w:lang w:val="en-US"/>
        </w:rPr>
        <w:t xml:space="preserve">. 15 </w:t>
      </w:r>
      <w:r>
        <w:t>и</w:t>
      </w:r>
      <w:r w:rsidRPr="007F7AC4">
        <w:rPr>
          <w:lang w:val="en-US"/>
        </w:rPr>
        <w:t xml:space="preserve"> </w:t>
      </w:r>
      <w:hyperlink r:id="rId8" w:history="1">
        <w:r w:rsidR="003957FA">
          <w:rPr>
            <w:rStyle w:val="af1"/>
            <w:lang w:val="en-US"/>
          </w:rPr>
          <w:t>CMW/C/BOL/CO/2/Corr.1</w:t>
        </w:r>
      </w:hyperlink>
      <w:r w:rsidRPr="007F7AC4">
        <w:rPr>
          <w:lang w:val="en-US"/>
        </w:rPr>
        <w:t>.</w:t>
      </w:r>
    </w:p>
  </w:footnote>
  <w:footnote w:id="7">
    <w:p w14:paraId="487E745F" w14:textId="612E1E70" w:rsidR="00B8304D" w:rsidRPr="007F7AC4" w:rsidRDefault="00B8304D" w:rsidP="00B8304D">
      <w:pPr>
        <w:pStyle w:val="ad"/>
        <w:widowControl w:val="0"/>
        <w:rPr>
          <w:lang w:val="en-US"/>
        </w:rPr>
      </w:pPr>
      <w:r w:rsidRPr="007F7AC4">
        <w:rPr>
          <w:lang w:val="en-US"/>
        </w:rPr>
        <w:tab/>
      </w:r>
      <w:r>
        <w:rPr>
          <w:rStyle w:val="aa"/>
        </w:rPr>
        <w:footnoteRef/>
      </w:r>
      <w:r w:rsidRPr="007F7AC4">
        <w:rPr>
          <w:lang w:val="en-US"/>
        </w:rPr>
        <w:tab/>
      </w:r>
      <w:hyperlink r:id="rId9" w:history="1">
        <w:r w:rsidR="003957FA">
          <w:rPr>
            <w:rStyle w:val="af1"/>
            <w:lang w:val="en-US"/>
          </w:rPr>
          <w:t>CMW/C/BOL/CO/1</w:t>
        </w:r>
      </w:hyperlink>
      <w:r w:rsidRPr="007F7AC4">
        <w:rPr>
          <w:lang w:val="en-US"/>
        </w:rPr>
        <w:t xml:space="preserve">, </w:t>
      </w:r>
      <w:r>
        <w:t>п</w:t>
      </w:r>
      <w:r w:rsidRPr="007F7AC4">
        <w:rPr>
          <w:lang w:val="en-US"/>
        </w:rPr>
        <w:t xml:space="preserve">. 16; </w:t>
      </w:r>
      <w:hyperlink r:id="rId10" w:history="1">
        <w:r w:rsidR="003957FA">
          <w:rPr>
            <w:rStyle w:val="af1"/>
            <w:lang w:val="en-US"/>
          </w:rPr>
          <w:t>CMW/C/BOL/CO/2</w:t>
        </w:r>
      </w:hyperlink>
      <w:r w:rsidRPr="007F7AC4">
        <w:rPr>
          <w:lang w:val="en-US"/>
        </w:rPr>
        <w:t xml:space="preserve">, </w:t>
      </w:r>
      <w:r>
        <w:t>п</w:t>
      </w:r>
      <w:r w:rsidRPr="007F7AC4">
        <w:rPr>
          <w:lang w:val="en-US"/>
        </w:rPr>
        <w:t xml:space="preserve">. 17 </w:t>
      </w:r>
      <w:r>
        <w:t>и</w:t>
      </w:r>
      <w:r w:rsidRPr="007F7AC4">
        <w:rPr>
          <w:lang w:val="en-US"/>
        </w:rPr>
        <w:t xml:space="preserve"> </w:t>
      </w:r>
      <w:hyperlink r:id="rId11" w:history="1">
        <w:r w:rsidR="003957FA">
          <w:rPr>
            <w:rStyle w:val="af1"/>
            <w:lang w:val="en-US"/>
          </w:rPr>
          <w:t>CMW/C/BOL/CO/2/Corr.1</w:t>
        </w:r>
      </w:hyperlink>
      <w:r w:rsidRPr="007F7AC4">
        <w:rPr>
          <w:lang w:val="en-US"/>
        </w:rPr>
        <w:t>.</w:t>
      </w:r>
    </w:p>
  </w:footnote>
  <w:footnote w:id="8">
    <w:p w14:paraId="36433A34" w14:textId="3B4C706B" w:rsidR="00B8304D" w:rsidRPr="007F7AC4" w:rsidRDefault="00B8304D" w:rsidP="00B8304D">
      <w:pPr>
        <w:pStyle w:val="ad"/>
        <w:widowControl w:val="0"/>
        <w:rPr>
          <w:lang w:val="en-US"/>
        </w:rPr>
      </w:pPr>
      <w:r w:rsidRPr="007F7AC4">
        <w:rPr>
          <w:lang w:val="en-US"/>
        </w:rPr>
        <w:tab/>
      </w:r>
      <w:r>
        <w:rPr>
          <w:rStyle w:val="aa"/>
        </w:rPr>
        <w:footnoteRef/>
      </w:r>
      <w:r w:rsidRPr="007F7AC4">
        <w:rPr>
          <w:lang w:val="en-US"/>
        </w:rPr>
        <w:tab/>
      </w:r>
      <w:hyperlink r:id="rId12" w:history="1">
        <w:r w:rsidR="003957FA">
          <w:rPr>
            <w:rStyle w:val="af1"/>
            <w:lang w:val="en-US"/>
          </w:rPr>
          <w:t>CMW/C/BOL/CO/1</w:t>
        </w:r>
      </w:hyperlink>
      <w:r w:rsidRPr="007F7AC4">
        <w:rPr>
          <w:lang w:val="en-US"/>
        </w:rPr>
        <w:t xml:space="preserve">, </w:t>
      </w:r>
      <w:r>
        <w:t>п</w:t>
      </w:r>
      <w:r w:rsidRPr="007F7AC4">
        <w:rPr>
          <w:lang w:val="en-US"/>
        </w:rPr>
        <w:t xml:space="preserve">. 20; </w:t>
      </w:r>
      <w:hyperlink r:id="rId13" w:history="1">
        <w:r w:rsidR="003957FA">
          <w:rPr>
            <w:rStyle w:val="af1"/>
            <w:lang w:val="en-US"/>
          </w:rPr>
          <w:t>CMW/C/BOL/CO/2</w:t>
        </w:r>
      </w:hyperlink>
      <w:r w:rsidRPr="007F7AC4">
        <w:rPr>
          <w:lang w:val="en-US"/>
        </w:rPr>
        <w:t xml:space="preserve">, </w:t>
      </w:r>
      <w:r>
        <w:t>п</w:t>
      </w:r>
      <w:r w:rsidRPr="007F7AC4">
        <w:rPr>
          <w:lang w:val="en-US"/>
        </w:rPr>
        <w:t xml:space="preserve">. 21 </w:t>
      </w:r>
      <w:r>
        <w:t>и</w:t>
      </w:r>
      <w:r w:rsidRPr="007F7AC4">
        <w:rPr>
          <w:lang w:val="en-US"/>
        </w:rPr>
        <w:t xml:space="preserve"> </w:t>
      </w:r>
      <w:hyperlink r:id="rId14" w:history="1">
        <w:r w:rsidR="003957FA">
          <w:rPr>
            <w:rStyle w:val="af1"/>
            <w:lang w:val="en-US"/>
          </w:rPr>
          <w:t>CMW/C/BOL/CO/2/Corr.1</w:t>
        </w:r>
      </w:hyperlink>
      <w:r w:rsidRPr="007F7AC4">
        <w:rPr>
          <w:lang w:val="en-US"/>
        </w:rPr>
        <w:t>.</w:t>
      </w:r>
    </w:p>
  </w:footnote>
  <w:footnote w:id="9">
    <w:p w14:paraId="4C1CA0A0" w14:textId="37EF8E3E" w:rsidR="00B8304D" w:rsidRPr="007F7AC4" w:rsidRDefault="00B8304D" w:rsidP="00B8304D">
      <w:pPr>
        <w:pStyle w:val="ad"/>
        <w:widowControl w:val="0"/>
        <w:rPr>
          <w:lang w:val="en-US"/>
        </w:rPr>
      </w:pPr>
      <w:r w:rsidRPr="007F7AC4">
        <w:rPr>
          <w:lang w:val="en-US"/>
        </w:rPr>
        <w:tab/>
      </w:r>
      <w:r>
        <w:rPr>
          <w:rStyle w:val="aa"/>
        </w:rPr>
        <w:footnoteRef/>
      </w:r>
      <w:r w:rsidRPr="007F7AC4">
        <w:rPr>
          <w:lang w:val="en-US"/>
        </w:rPr>
        <w:tab/>
      </w:r>
      <w:hyperlink r:id="rId15" w:history="1">
        <w:r w:rsidR="003957FA">
          <w:rPr>
            <w:rStyle w:val="af1"/>
            <w:lang w:val="en-US"/>
          </w:rPr>
          <w:t>CMW/C/BOL/CO/2</w:t>
        </w:r>
      </w:hyperlink>
      <w:r w:rsidRPr="007F7AC4">
        <w:rPr>
          <w:lang w:val="en-US"/>
        </w:rPr>
        <w:t xml:space="preserve">, </w:t>
      </w:r>
      <w:r>
        <w:t>п</w:t>
      </w:r>
      <w:r w:rsidRPr="007F7AC4">
        <w:rPr>
          <w:lang w:val="en-US"/>
        </w:rPr>
        <w:t xml:space="preserve">. 45, </w:t>
      </w:r>
      <w:r>
        <w:t>и</w:t>
      </w:r>
      <w:r w:rsidRPr="007F7AC4">
        <w:rPr>
          <w:lang w:val="en-US"/>
        </w:rPr>
        <w:t xml:space="preserve"> </w:t>
      </w:r>
      <w:hyperlink r:id="rId16" w:history="1">
        <w:r w:rsidR="003957FA">
          <w:rPr>
            <w:rStyle w:val="af1"/>
            <w:lang w:val="en-US"/>
          </w:rPr>
          <w:t>CMW/C/BOL/CO/2/Corr.1</w:t>
        </w:r>
      </w:hyperlink>
      <w:r w:rsidRPr="007F7AC4">
        <w:rPr>
          <w:lang w:val="en-US"/>
        </w:rPr>
        <w:t>.</w:t>
      </w:r>
    </w:p>
  </w:footnote>
  <w:footnote w:id="10">
    <w:p w14:paraId="014AFBC3" w14:textId="2D7DCF64" w:rsidR="00B8304D" w:rsidRDefault="00B8304D" w:rsidP="00B8304D">
      <w:pPr>
        <w:pStyle w:val="ad"/>
        <w:widowControl w:val="0"/>
      </w:pPr>
      <w:r w:rsidRPr="007F7AC4">
        <w:rPr>
          <w:lang w:val="en-US"/>
        </w:rPr>
        <w:tab/>
      </w:r>
      <w:r>
        <w:rPr>
          <w:rStyle w:val="aa"/>
        </w:rPr>
        <w:footnoteRef/>
      </w:r>
      <w:r>
        <w:tab/>
      </w:r>
      <w:hyperlink r:id="rId17" w:history="1">
        <w:r w:rsidR="003957FA">
          <w:rPr>
            <w:rStyle w:val="af1"/>
          </w:rPr>
          <w:t>HRI/GEN/2/Rev.6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695" w14:textId="75148B4D" w:rsidR="00B8304D" w:rsidRPr="00B8304D" w:rsidRDefault="00117E89">
    <w:pPr>
      <w:pStyle w:val="a5"/>
    </w:pPr>
    <w:fldSimple w:instr=" TITLE  \* MERGEFORMAT ">
      <w:r w:rsidR="00BD0B78">
        <w:t>CMW/C/BOL/CO/3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FBDB" w14:textId="6398DC56" w:rsidR="00B8304D" w:rsidRPr="00B8304D" w:rsidRDefault="00117E89" w:rsidP="00B8304D">
    <w:pPr>
      <w:pStyle w:val="a5"/>
      <w:jc w:val="right"/>
    </w:pPr>
    <w:fldSimple w:instr=" TITLE  \* MERGEFORMAT ">
      <w:r w:rsidR="00BD0B78">
        <w:t>CMW/C/BOL/CO/3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DCFA" w14:textId="77777777" w:rsidR="00B8304D" w:rsidRDefault="00B8304D" w:rsidP="00B8304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9243782">
    <w:abstractNumId w:val="16"/>
  </w:num>
  <w:num w:numId="2" w16cid:durableId="824248419">
    <w:abstractNumId w:val="11"/>
  </w:num>
  <w:num w:numId="3" w16cid:durableId="982076485">
    <w:abstractNumId w:val="10"/>
  </w:num>
  <w:num w:numId="4" w16cid:durableId="585387281">
    <w:abstractNumId w:val="17"/>
  </w:num>
  <w:num w:numId="5" w16cid:durableId="1667442398">
    <w:abstractNumId w:val="13"/>
  </w:num>
  <w:num w:numId="6" w16cid:durableId="1104575039">
    <w:abstractNumId w:val="8"/>
  </w:num>
  <w:num w:numId="7" w16cid:durableId="1435587745">
    <w:abstractNumId w:val="3"/>
  </w:num>
  <w:num w:numId="8" w16cid:durableId="1205755029">
    <w:abstractNumId w:val="2"/>
  </w:num>
  <w:num w:numId="9" w16cid:durableId="1947273021">
    <w:abstractNumId w:val="1"/>
  </w:num>
  <w:num w:numId="10" w16cid:durableId="2114203076">
    <w:abstractNumId w:val="0"/>
  </w:num>
  <w:num w:numId="11" w16cid:durableId="1010522103">
    <w:abstractNumId w:val="9"/>
  </w:num>
  <w:num w:numId="12" w16cid:durableId="1674527352">
    <w:abstractNumId w:val="7"/>
  </w:num>
  <w:num w:numId="13" w16cid:durableId="447283828">
    <w:abstractNumId w:val="6"/>
  </w:num>
  <w:num w:numId="14" w16cid:durableId="1002390243">
    <w:abstractNumId w:val="5"/>
  </w:num>
  <w:num w:numId="15" w16cid:durableId="661086912">
    <w:abstractNumId w:val="4"/>
  </w:num>
  <w:num w:numId="16" w16cid:durableId="568542171">
    <w:abstractNumId w:val="15"/>
  </w:num>
  <w:num w:numId="17" w16cid:durableId="2015760082">
    <w:abstractNumId w:val="12"/>
  </w:num>
  <w:num w:numId="18" w16cid:durableId="625938655">
    <w:abstractNumId w:val="14"/>
  </w:num>
  <w:num w:numId="19" w16cid:durableId="2050572749">
    <w:abstractNumId w:val="15"/>
  </w:num>
  <w:num w:numId="20" w16cid:durableId="1689721887">
    <w:abstractNumId w:val="12"/>
  </w:num>
  <w:num w:numId="21" w16cid:durableId="16687506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49"/>
    <w:rsid w:val="00033EE1"/>
    <w:rsid w:val="000424AF"/>
    <w:rsid w:val="00042B72"/>
    <w:rsid w:val="000558BD"/>
    <w:rsid w:val="00060343"/>
    <w:rsid w:val="000634ED"/>
    <w:rsid w:val="000A357A"/>
    <w:rsid w:val="000B57E7"/>
    <w:rsid w:val="000B6373"/>
    <w:rsid w:val="000E0B94"/>
    <w:rsid w:val="000F09DF"/>
    <w:rsid w:val="000F61B2"/>
    <w:rsid w:val="00105F4B"/>
    <w:rsid w:val="001075E9"/>
    <w:rsid w:val="00116E48"/>
    <w:rsid w:val="00117E89"/>
    <w:rsid w:val="001516BD"/>
    <w:rsid w:val="00154FE3"/>
    <w:rsid w:val="0017045E"/>
    <w:rsid w:val="00180183"/>
    <w:rsid w:val="0018024D"/>
    <w:rsid w:val="0018649F"/>
    <w:rsid w:val="00196389"/>
    <w:rsid w:val="001A63E6"/>
    <w:rsid w:val="001B06C7"/>
    <w:rsid w:val="001B3EF6"/>
    <w:rsid w:val="001B4F04"/>
    <w:rsid w:val="001C1883"/>
    <w:rsid w:val="001C5C41"/>
    <w:rsid w:val="001C6847"/>
    <w:rsid w:val="001C7A89"/>
    <w:rsid w:val="001D5EAC"/>
    <w:rsid w:val="00201968"/>
    <w:rsid w:val="002554A3"/>
    <w:rsid w:val="00283029"/>
    <w:rsid w:val="002849B7"/>
    <w:rsid w:val="002A2EFC"/>
    <w:rsid w:val="002B74B1"/>
    <w:rsid w:val="002C0E18"/>
    <w:rsid w:val="002D5AAC"/>
    <w:rsid w:val="002E5067"/>
    <w:rsid w:val="002F3509"/>
    <w:rsid w:val="002F405F"/>
    <w:rsid w:val="002F7EEC"/>
    <w:rsid w:val="00301299"/>
    <w:rsid w:val="003059A1"/>
    <w:rsid w:val="00305C08"/>
    <w:rsid w:val="00307FB6"/>
    <w:rsid w:val="00311A81"/>
    <w:rsid w:val="00317339"/>
    <w:rsid w:val="00322004"/>
    <w:rsid w:val="00335787"/>
    <w:rsid w:val="003402C2"/>
    <w:rsid w:val="003414A1"/>
    <w:rsid w:val="00342B56"/>
    <w:rsid w:val="003600AA"/>
    <w:rsid w:val="00381C24"/>
    <w:rsid w:val="003957FA"/>
    <w:rsid w:val="003958D0"/>
    <w:rsid w:val="003B00E5"/>
    <w:rsid w:val="00407B78"/>
    <w:rsid w:val="004102E9"/>
    <w:rsid w:val="00424203"/>
    <w:rsid w:val="00426634"/>
    <w:rsid w:val="00452493"/>
    <w:rsid w:val="00453318"/>
    <w:rsid w:val="00454E07"/>
    <w:rsid w:val="004676DA"/>
    <w:rsid w:val="00472C5C"/>
    <w:rsid w:val="00477630"/>
    <w:rsid w:val="004B3A26"/>
    <w:rsid w:val="004C4BEA"/>
    <w:rsid w:val="004D011F"/>
    <w:rsid w:val="0050108D"/>
    <w:rsid w:val="00505A74"/>
    <w:rsid w:val="00507F0F"/>
    <w:rsid w:val="00512A27"/>
    <w:rsid w:val="00513081"/>
    <w:rsid w:val="00517901"/>
    <w:rsid w:val="00526683"/>
    <w:rsid w:val="005335AE"/>
    <w:rsid w:val="005709E0"/>
    <w:rsid w:val="00572E19"/>
    <w:rsid w:val="005961C8"/>
    <w:rsid w:val="005966F1"/>
    <w:rsid w:val="005C4D28"/>
    <w:rsid w:val="005D0CEA"/>
    <w:rsid w:val="005D7914"/>
    <w:rsid w:val="005E2B41"/>
    <w:rsid w:val="005F0B42"/>
    <w:rsid w:val="00636A7C"/>
    <w:rsid w:val="00664E49"/>
    <w:rsid w:val="006725F1"/>
    <w:rsid w:val="00677FBB"/>
    <w:rsid w:val="00681A10"/>
    <w:rsid w:val="00690A05"/>
    <w:rsid w:val="00690B89"/>
    <w:rsid w:val="006922FE"/>
    <w:rsid w:val="00694220"/>
    <w:rsid w:val="006A1ED8"/>
    <w:rsid w:val="006A31AA"/>
    <w:rsid w:val="006C2031"/>
    <w:rsid w:val="006C6846"/>
    <w:rsid w:val="006D461A"/>
    <w:rsid w:val="006D479F"/>
    <w:rsid w:val="006E6002"/>
    <w:rsid w:val="006F35EE"/>
    <w:rsid w:val="007021FF"/>
    <w:rsid w:val="00712895"/>
    <w:rsid w:val="00712CE0"/>
    <w:rsid w:val="00734ACB"/>
    <w:rsid w:val="00757357"/>
    <w:rsid w:val="007852AA"/>
    <w:rsid w:val="007A1F75"/>
    <w:rsid w:val="007A2AE0"/>
    <w:rsid w:val="007D01D3"/>
    <w:rsid w:val="007D116B"/>
    <w:rsid w:val="00806737"/>
    <w:rsid w:val="00825F8D"/>
    <w:rsid w:val="00834B71"/>
    <w:rsid w:val="00837F45"/>
    <w:rsid w:val="0086445C"/>
    <w:rsid w:val="00894693"/>
    <w:rsid w:val="008A08D7"/>
    <w:rsid w:val="008B6909"/>
    <w:rsid w:val="00900A96"/>
    <w:rsid w:val="00906890"/>
    <w:rsid w:val="00911BE4"/>
    <w:rsid w:val="0093403D"/>
    <w:rsid w:val="009361E5"/>
    <w:rsid w:val="00951972"/>
    <w:rsid w:val="00953A1C"/>
    <w:rsid w:val="009608F3"/>
    <w:rsid w:val="0098262B"/>
    <w:rsid w:val="0099688C"/>
    <w:rsid w:val="00997CB0"/>
    <w:rsid w:val="009A24AC"/>
    <w:rsid w:val="009A6897"/>
    <w:rsid w:val="009B19EC"/>
    <w:rsid w:val="009D78CB"/>
    <w:rsid w:val="009E3444"/>
    <w:rsid w:val="009E4880"/>
    <w:rsid w:val="009E5BD0"/>
    <w:rsid w:val="00A14DA8"/>
    <w:rsid w:val="00A312BC"/>
    <w:rsid w:val="00A317A5"/>
    <w:rsid w:val="00A543C6"/>
    <w:rsid w:val="00A71C48"/>
    <w:rsid w:val="00A76C68"/>
    <w:rsid w:val="00A81A6E"/>
    <w:rsid w:val="00A84021"/>
    <w:rsid w:val="00A84D35"/>
    <w:rsid w:val="00A90F34"/>
    <w:rsid w:val="00A917B3"/>
    <w:rsid w:val="00AA450E"/>
    <w:rsid w:val="00AB3239"/>
    <w:rsid w:val="00AB4B51"/>
    <w:rsid w:val="00B10CC7"/>
    <w:rsid w:val="00B21A19"/>
    <w:rsid w:val="00B36DF7"/>
    <w:rsid w:val="00B539E7"/>
    <w:rsid w:val="00B62458"/>
    <w:rsid w:val="00B8304D"/>
    <w:rsid w:val="00B941B6"/>
    <w:rsid w:val="00BB20E4"/>
    <w:rsid w:val="00BC18B2"/>
    <w:rsid w:val="00BC55A6"/>
    <w:rsid w:val="00BC7905"/>
    <w:rsid w:val="00BD0B78"/>
    <w:rsid w:val="00BD33EE"/>
    <w:rsid w:val="00BD3AA6"/>
    <w:rsid w:val="00C106D6"/>
    <w:rsid w:val="00C468B5"/>
    <w:rsid w:val="00C60F0C"/>
    <w:rsid w:val="00C805C9"/>
    <w:rsid w:val="00C81D32"/>
    <w:rsid w:val="00C92939"/>
    <w:rsid w:val="00CA1679"/>
    <w:rsid w:val="00CB151C"/>
    <w:rsid w:val="00CC2CBD"/>
    <w:rsid w:val="00CE5A1A"/>
    <w:rsid w:val="00CF1ACA"/>
    <w:rsid w:val="00CF55F6"/>
    <w:rsid w:val="00D23B45"/>
    <w:rsid w:val="00D25848"/>
    <w:rsid w:val="00D334CF"/>
    <w:rsid w:val="00D33D63"/>
    <w:rsid w:val="00D34749"/>
    <w:rsid w:val="00D37A30"/>
    <w:rsid w:val="00D40EFD"/>
    <w:rsid w:val="00D463F2"/>
    <w:rsid w:val="00D73656"/>
    <w:rsid w:val="00D90028"/>
    <w:rsid w:val="00D90138"/>
    <w:rsid w:val="00DA11D7"/>
    <w:rsid w:val="00DA7285"/>
    <w:rsid w:val="00DD78D1"/>
    <w:rsid w:val="00DE32CD"/>
    <w:rsid w:val="00DF49B6"/>
    <w:rsid w:val="00DF71B9"/>
    <w:rsid w:val="00E04451"/>
    <w:rsid w:val="00E73F76"/>
    <w:rsid w:val="00E9451C"/>
    <w:rsid w:val="00EA2C9F"/>
    <w:rsid w:val="00EA420E"/>
    <w:rsid w:val="00EA5E41"/>
    <w:rsid w:val="00ED0BDA"/>
    <w:rsid w:val="00ED29EF"/>
    <w:rsid w:val="00EE7AC6"/>
    <w:rsid w:val="00EF1360"/>
    <w:rsid w:val="00EF3220"/>
    <w:rsid w:val="00EF6F70"/>
    <w:rsid w:val="00F25498"/>
    <w:rsid w:val="00F32694"/>
    <w:rsid w:val="00F362A6"/>
    <w:rsid w:val="00F43903"/>
    <w:rsid w:val="00F54171"/>
    <w:rsid w:val="00F67FC3"/>
    <w:rsid w:val="00F9170D"/>
    <w:rsid w:val="00F93FFB"/>
    <w:rsid w:val="00F94155"/>
    <w:rsid w:val="00F9783F"/>
    <w:rsid w:val="00FA01C1"/>
    <w:rsid w:val="00FA2DA9"/>
    <w:rsid w:val="00FC261C"/>
    <w:rsid w:val="00FC5C5F"/>
    <w:rsid w:val="00FC761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DAB5F"/>
  <w15:docId w15:val="{C56ECA9C-CCCD-4DBD-BC88-43D4AD61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261C"/>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D40EF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F93FFB"/>
    <w:pPr>
      <w:keepNext/>
      <w:outlineLvl w:val="1"/>
    </w:pPr>
    <w:rPr>
      <w:rFonts w:cs="Arial"/>
      <w:bCs/>
      <w:iCs/>
      <w:szCs w:val="28"/>
    </w:rPr>
  </w:style>
  <w:style w:type="paragraph" w:styleId="3">
    <w:name w:val="heading 3"/>
    <w:basedOn w:val="a"/>
    <w:next w:val="a"/>
    <w:semiHidden/>
    <w:rsid w:val="00F93FFB"/>
    <w:pPr>
      <w:keepNext/>
      <w:spacing w:before="240" w:after="60"/>
      <w:outlineLvl w:val="2"/>
    </w:pPr>
    <w:rPr>
      <w:rFonts w:ascii="Arial" w:hAnsi="Arial" w:cs="Arial"/>
      <w:b/>
      <w:bCs/>
      <w:sz w:val="26"/>
      <w:szCs w:val="26"/>
    </w:rPr>
  </w:style>
  <w:style w:type="paragraph" w:styleId="4">
    <w:name w:val="heading 4"/>
    <w:basedOn w:val="a"/>
    <w:next w:val="a"/>
    <w:semiHidden/>
    <w:rsid w:val="00F93FFB"/>
    <w:pPr>
      <w:keepNext/>
      <w:spacing w:before="240" w:after="60"/>
      <w:outlineLvl w:val="3"/>
    </w:pPr>
    <w:rPr>
      <w:b/>
      <w:bCs/>
      <w:sz w:val="28"/>
      <w:szCs w:val="28"/>
    </w:rPr>
  </w:style>
  <w:style w:type="paragraph" w:styleId="5">
    <w:name w:val="heading 5"/>
    <w:basedOn w:val="a"/>
    <w:next w:val="a"/>
    <w:semiHidden/>
    <w:rsid w:val="00F93FFB"/>
    <w:pPr>
      <w:spacing w:before="240" w:after="60"/>
      <w:outlineLvl w:val="4"/>
    </w:pPr>
    <w:rPr>
      <w:b/>
      <w:bCs/>
      <w:i/>
      <w:iCs/>
      <w:sz w:val="26"/>
      <w:szCs w:val="26"/>
    </w:rPr>
  </w:style>
  <w:style w:type="paragraph" w:styleId="6">
    <w:name w:val="heading 6"/>
    <w:basedOn w:val="a"/>
    <w:next w:val="a"/>
    <w:semiHidden/>
    <w:rsid w:val="00F93FFB"/>
    <w:pPr>
      <w:spacing w:before="240" w:after="60"/>
      <w:outlineLvl w:val="5"/>
    </w:pPr>
    <w:rPr>
      <w:b/>
      <w:bCs/>
      <w:sz w:val="22"/>
    </w:rPr>
  </w:style>
  <w:style w:type="paragraph" w:styleId="7">
    <w:name w:val="heading 7"/>
    <w:basedOn w:val="a"/>
    <w:next w:val="a"/>
    <w:semiHidden/>
    <w:rsid w:val="00F93FFB"/>
    <w:pPr>
      <w:spacing w:before="240" w:after="60"/>
      <w:outlineLvl w:val="6"/>
    </w:pPr>
    <w:rPr>
      <w:sz w:val="24"/>
      <w:szCs w:val="24"/>
    </w:rPr>
  </w:style>
  <w:style w:type="paragraph" w:styleId="8">
    <w:name w:val="heading 8"/>
    <w:basedOn w:val="a"/>
    <w:next w:val="a"/>
    <w:semiHidden/>
    <w:rsid w:val="00F93FFB"/>
    <w:pPr>
      <w:spacing w:before="240" w:after="60"/>
      <w:outlineLvl w:val="7"/>
    </w:pPr>
    <w:rPr>
      <w:i/>
      <w:iCs/>
      <w:sz w:val="24"/>
      <w:szCs w:val="24"/>
    </w:rPr>
  </w:style>
  <w:style w:type="paragraph" w:styleId="9">
    <w:name w:val="heading 9"/>
    <w:basedOn w:val="a"/>
    <w:next w:val="a"/>
    <w:semiHidden/>
    <w:rsid w:val="00F93FFB"/>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F93FFB"/>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C6846"/>
    <w:rPr>
      <w:rFonts w:ascii="Tahoma" w:eastAsiaTheme="minorHAnsi" w:hAnsi="Tahoma" w:cs="Tahoma"/>
      <w:sz w:val="16"/>
      <w:szCs w:val="16"/>
      <w:lang w:val="ru-RU" w:eastAsia="en-US"/>
    </w:rPr>
  </w:style>
  <w:style w:type="paragraph" w:customStyle="1" w:styleId="HMG">
    <w:name w:val="_ H __M_G"/>
    <w:basedOn w:val="a"/>
    <w:next w:val="a"/>
    <w:qFormat/>
    <w:rsid w:val="00D40EFD"/>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D40EFD"/>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D40EFD"/>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D40EFD"/>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D40EFD"/>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D40EFD"/>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C6846"/>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D40EFD"/>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D40EFD"/>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D40EFD"/>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D40EFD"/>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D40EFD"/>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C6846"/>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D40EF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D40EF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D40EFD"/>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D40EFD"/>
    <w:rPr>
      <w:b/>
      <w:sz w:val="18"/>
      <w:lang w:val="en-GB" w:eastAsia="ru-RU"/>
    </w:rPr>
  </w:style>
  <w:style w:type="character" w:styleId="a7">
    <w:name w:val="page number"/>
    <w:aliases w:val="7_GR"/>
    <w:basedOn w:val="a0"/>
    <w:qFormat/>
    <w:rsid w:val="00D40EFD"/>
    <w:rPr>
      <w:rFonts w:ascii="Times New Roman" w:hAnsi="Times New Roman"/>
      <w:b/>
      <w:sz w:val="18"/>
    </w:rPr>
  </w:style>
  <w:style w:type="paragraph" w:styleId="a8">
    <w:name w:val="footer"/>
    <w:aliases w:val="3_GR"/>
    <w:basedOn w:val="a"/>
    <w:link w:val="a9"/>
    <w:qFormat/>
    <w:rsid w:val="00D40EFD"/>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D40EFD"/>
    <w:rPr>
      <w:sz w:val="16"/>
      <w:lang w:val="en-GB" w:eastAsia="ru-RU"/>
    </w:rPr>
  </w:style>
  <w:style w:type="character" w:styleId="aa">
    <w:name w:val="footnote reference"/>
    <w:aliases w:val="4_GR,16 Point,4_G,BVI fnr,Footnote,Footnote Refernece,Footnote symbol,Fußnotenzeichen_Raxen,Superscript 6 Point,Texto de nota al pie,ftref,referencia nota al pie,4_Footnote text,Footnote text,callout,f"/>
    <w:basedOn w:val="a0"/>
    <w:link w:val="4GCharChar"/>
    <w:qFormat/>
    <w:rsid w:val="00D40EFD"/>
    <w:rPr>
      <w:rFonts w:ascii="Times New Roman" w:hAnsi="Times New Roman"/>
      <w:dstrike w:val="0"/>
      <w:sz w:val="18"/>
      <w:vertAlign w:val="superscript"/>
    </w:rPr>
  </w:style>
  <w:style w:type="character" w:styleId="ab">
    <w:name w:val="endnote reference"/>
    <w:aliases w:val="1_GR"/>
    <w:basedOn w:val="aa"/>
    <w:qFormat/>
    <w:rsid w:val="00D40EFD"/>
    <w:rPr>
      <w:rFonts w:ascii="Times New Roman" w:hAnsi="Times New Roman"/>
      <w:dstrike w:val="0"/>
      <w:sz w:val="18"/>
      <w:vertAlign w:val="superscript"/>
    </w:rPr>
  </w:style>
  <w:style w:type="table" w:styleId="ac">
    <w:name w:val="Table Grid"/>
    <w:basedOn w:val="a1"/>
    <w:uiPriority w:val="59"/>
    <w:rsid w:val="00FC261C"/>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Char,F1,FOOTNOTES,Footnote Text Char Char,Footnote Text Char Char Char,Fußnote,Geneva,fn,fn Cha,footnote text Char,ft,ft Char,ft Char Char,ft Char Char Char,single space,single space Char,single space Char Char Char"/>
    <w:basedOn w:val="a"/>
    <w:link w:val="ae"/>
    <w:qFormat/>
    <w:rsid w:val="00D40EFD"/>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Char Знак,F1 Знак,FOOTNOTES Знак,Footnote Text Char Char Знак,Footnote Text Char Char Char Знак,Fußnote Знак,Geneva Знак,fn Знак,fn Cha Знак,footnote text Char Знак,ft Знак,ft Char Знак,ft Char Char Знак"/>
    <w:basedOn w:val="a0"/>
    <w:link w:val="ad"/>
    <w:rsid w:val="00D40EFD"/>
    <w:rPr>
      <w:sz w:val="18"/>
      <w:lang w:val="ru-RU" w:eastAsia="ru-RU"/>
    </w:rPr>
  </w:style>
  <w:style w:type="paragraph" w:styleId="af">
    <w:name w:val="endnote text"/>
    <w:aliases w:val="2_GR"/>
    <w:basedOn w:val="ad"/>
    <w:link w:val="af0"/>
    <w:qFormat/>
    <w:rsid w:val="00D40EFD"/>
  </w:style>
  <w:style w:type="character" w:customStyle="1" w:styleId="af0">
    <w:name w:val="Текст концевой сноски Знак"/>
    <w:aliases w:val="2_GR Знак"/>
    <w:basedOn w:val="a0"/>
    <w:link w:val="af"/>
    <w:rsid w:val="00D40EFD"/>
    <w:rPr>
      <w:sz w:val="18"/>
      <w:lang w:val="ru-RU" w:eastAsia="ru-RU"/>
    </w:rPr>
  </w:style>
  <w:style w:type="character" w:customStyle="1" w:styleId="10">
    <w:name w:val="Заголовок 1 Знак"/>
    <w:aliases w:val="Table_GR Знак"/>
    <w:basedOn w:val="a0"/>
    <w:link w:val="1"/>
    <w:rsid w:val="00D40EFD"/>
    <w:rPr>
      <w:rFonts w:cs="Arial"/>
      <w:b/>
      <w:bCs/>
      <w:szCs w:val="32"/>
      <w:lang w:val="ru-RU" w:eastAsia="ru-RU"/>
    </w:rPr>
  </w:style>
  <w:style w:type="character" w:styleId="af1">
    <w:name w:val="Hyperlink"/>
    <w:basedOn w:val="a0"/>
    <w:rsid w:val="00D40EFD"/>
    <w:rPr>
      <w:color w:val="0000FF" w:themeColor="hyperlink"/>
      <w:u w:val="none"/>
    </w:rPr>
  </w:style>
  <w:style w:type="character" w:styleId="af2">
    <w:name w:val="FollowedHyperlink"/>
    <w:basedOn w:val="a0"/>
    <w:rsid w:val="00D40EFD"/>
    <w:rPr>
      <w:color w:val="800080" w:themeColor="followedHyperlink"/>
      <w:u w:val="none"/>
    </w:rPr>
  </w:style>
  <w:style w:type="character" w:customStyle="1" w:styleId="HChGChar">
    <w:name w:val="_ H _Ch_G Char"/>
    <w:link w:val="HChG"/>
    <w:rsid w:val="00B8304D"/>
    <w:rPr>
      <w:b/>
      <w:sz w:val="28"/>
      <w:lang w:val="ru-RU" w:eastAsia="ru-RU"/>
    </w:rPr>
  </w:style>
  <w:style w:type="character" w:customStyle="1" w:styleId="SingleTxtGChar">
    <w:name w:val="_ Single Txt_G Char"/>
    <w:link w:val="SingleTxtG"/>
    <w:rsid w:val="00B8304D"/>
    <w:rPr>
      <w:lang w:val="ru-RU" w:eastAsia="en-US"/>
    </w:rPr>
  </w:style>
  <w:style w:type="character" w:customStyle="1" w:styleId="H23GChar">
    <w:name w:val="_ H_2/3_G Char"/>
    <w:link w:val="H23G"/>
    <w:locked/>
    <w:rsid w:val="00B8304D"/>
    <w:rPr>
      <w:b/>
      <w:lang w:val="ru-RU" w:eastAsia="ru-RU"/>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a"/>
    <w:link w:val="aa"/>
    <w:rsid w:val="00B8304D"/>
    <w:pPr>
      <w:suppressAutoHyphens w:val="0"/>
      <w:spacing w:after="160" w:line="240" w:lineRule="exact"/>
      <w:jc w:val="both"/>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FA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MW/C/BOL/CO/2/Corr.1" TargetMode="External"/><Relationship Id="rId13" Type="http://schemas.openxmlformats.org/officeDocument/2006/relationships/hyperlink" Target="http://undocs.org/ru/CMW/C/BOL/CO/2" TargetMode="External"/><Relationship Id="rId3" Type="http://schemas.openxmlformats.org/officeDocument/2006/relationships/hyperlink" Target="http://undocs.org/en/CMW/C/SR.502" TargetMode="External"/><Relationship Id="rId7" Type="http://schemas.openxmlformats.org/officeDocument/2006/relationships/hyperlink" Target="http://undocs.org/ru/CMW/C/BOL/CO/2" TargetMode="External"/><Relationship Id="rId12" Type="http://schemas.openxmlformats.org/officeDocument/2006/relationships/hyperlink" Target="http://undocs.org/ru/CMW/C/BOL/CO/1" TargetMode="External"/><Relationship Id="rId17" Type="http://schemas.openxmlformats.org/officeDocument/2006/relationships/hyperlink" Target="http://undocs.org/ru/HRI/GEN/2/Rev.6" TargetMode="External"/><Relationship Id="rId2" Type="http://schemas.openxmlformats.org/officeDocument/2006/relationships/hyperlink" Target="http://undocs.org/en/CMW/C/SR.500" TargetMode="External"/><Relationship Id="rId16" Type="http://schemas.openxmlformats.org/officeDocument/2006/relationships/hyperlink" Target="http://undocs.org/ru/CMW/C/BOL/CO/2/Corr.1" TargetMode="External"/><Relationship Id="rId1" Type="http://schemas.openxmlformats.org/officeDocument/2006/relationships/hyperlink" Target="http://undocs.org/en/CMW/C/BOL/3" TargetMode="External"/><Relationship Id="rId6" Type="http://schemas.openxmlformats.org/officeDocument/2006/relationships/hyperlink" Target="http://undocs.org/ru/CMW/C/BOL/CO/1" TargetMode="External"/><Relationship Id="rId11" Type="http://schemas.openxmlformats.org/officeDocument/2006/relationships/hyperlink" Target="http://undocs.org/ru/CMW/C/BOL/CO/2/Corr.1" TargetMode="External"/><Relationship Id="rId5" Type="http://schemas.openxmlformats.org/officeDocument/2006/relationships/hyperlink" Target="https://www.ohchr.org/sites/default/files/Documents/Issues/Migration/CMWSPMJointGuidanceNoteCOVID-19Migrants_SP.pdf" TargetMode="External"/><Relationship Id="rId15" Type="http://schemas.openxmlformats.org/officeDocument/2006/relationships/hyperlink" Target="http://undocs.org/ru/CMW/C/BOL/CO/2" TargetMode="External"/><Relationship Id="rId10" Type="http://schemas.openxmlformats.org/officeDocument/2006/relationships/hyperlink" Target="http://undocs.org/ru/CMW/C/BOL/CO/2" TargetMode="External"/><Relationship Id="rId4" Type="http://schemas.openxmlformats.org/officeDocument/2006/relationships/hyperlink" Target="http://undocs.org/en/CMW/C/BOL/RQ/3" TargetMode="External"/><Relationship Id="rId9" Type="http://schemas.openxmlformats.org/officeDocument/2006/relationships/hyperlink" Target="http://undocs.org/ru/CMW/C/BOL/CO/1" TargetMode="External"/><Relationship Id="rId14" Type="http://schemas.openxmlformats.org/officeDocument/2006/relationships/hyperlink" Target="http://undocs.org/ru/CMW/C/BOL/CO/2/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F008-033E-4557-A4F6-ED09FFE9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18</Pages>
  <Words>6425</Words>
  <Characters>44657</Characters>
  <Application>Microsoft Office Word</Application>
  <DocSecurity>0</DocSecurity>
  <Lines>842</Lines>
  <Paragraphs>276</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A/</vt:lpstr>
      <vt:lpstr>A/</vt:lpstr>
      <vt:lpstr>A/</vt:lpstr>
      <vt:lpstr>A/</vt:lpstr>
    </vt:vector>
  </TitlesOfParts>
  <Company>DCM</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CMW/C/BOL/CO/3</dc:title>
  <dc:subject/>
  <dc:creator>Shuvalova NATALIA</dc:creator>
  <cp:keywords/>
  <cp:lastModifiedBy>Natalia Shuvalova</cp:lastModifiedBy>
  <cp:revision>2</cp:revision>
  <cp:lastPrinted>2008-01-15T07:58:00Z</cp:lastPrinted>
  <dcterms:created xsi:type="dcterms:W3CDTF">2023-03-07T08:06:00Z</dcterms:created>
  <dcterms:modified xsi:type="dcterms:W3CDTF">2023-03-07T08:06:00Z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