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FE363D0" w14:textId="77777777" w:rsidTr="002B7BC7">
        <w:trPr>
          <w:trHeight w:hRule="exact" w:val="851"/>
        </w:trPr>
        <w:tc>
          <w:tcPr>
            <w:tcW w:w="1276" w:type="dxa"/>
            <w:tcBorders>
              <w:bottom w:val="single" w:sz="4" w:space="0" w:color="auto"/>
            </w:tcBorders>
          </w:tcPr>
          <w:p w14:paraId="7A9A1148" w14:textId="77777777" w:rsidR="006F71EA" w:rsidRPr="00DB58B5" w:rsidRDefault="006F71EA" w:rsidP="00A70E07"/>
        </w:tc>
        <w:tc>
          <w:tcPr>
            <w:tcW w:w="2268" w:type="dxa"/>
            <w:tcBorders>
              <w:bottom w:val="single" w:sz="4" w:space="0" w:color="auto"/>
            </w:tcBorders>
            <w:vAlign w:val="bottom"/>
          </w:tcPr>
          <w:p w14:paraId="0395E70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CCB25D" w14:textId="77777777" w:rsidR="006F71EA" w:rsidRPr="00DB58B5" w:rsidRDefault="00A70E07" w:rsidP="00A70E07">
            <w:pPr>
              <w:jc w:val="right"/>
            </w:pPr>
            <w:r w:rsidRPr="00A70E07">
              <w:rPr>
                <w:sz w:val="40"/>
              </w:rPr>
              <w:t>CCPR</w:t>
            </w:r>
            <w:r>
              <w:t>/C/PRT/5</w:t>
            </w:r>
          </w:p>
        </w:tc>
      </w:tr>
      <w:tr w:rsidR="006F71EA" w:rsidRPr="00DB58B5" w14:paraId="1A54EC14" w14:textId="77777777" w:rsidTr="002B7BC7">
        <w:trPr>
          <w:trHeight w:hRule="exact" w:val="2835"/>
        </w:trPr>
        <w:tc>
          <w:tcPr>
            <w:tcW w:w="1276" w:type="dxa"/>
            <w:tcBorders>
              <w:top w:val="single" w:sz="4" w:space="0" w:color="auto"/>
              <w:bottom w:val="single" w:sz="12" w:space="0" w:color="auto"/>
            </w:tcBorders>
          </w:tcPr>
          <w:p w14:paraId="61790E15" w14:textId="77777777" w:rsidR="006F71EA" w:rsidRPr="00DB58B5" w:rsidRDefault="006F71EA" w:rsidP="002B7BC7">
            <w:pPr>
              <w:spacing w:before="120"/>
              <w:jc w:val="center"/>
            </w:pPr>
            <w:r>
              <w:rPr>
                <w:noProof/>
                <w:lang w:eastAsia="fr-CH"/>
              </w:rPr>
              <w:drawing>
                <wp:inline distT="0" distB="0" distL="0" distR="0" wp14:anchorId="372EC790" wp14:editId="18AA9F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1E2E9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CED62F1" w14:textId="77777777" w:rsidR="006F71EA" w:rsidRDefault="00A70E07" w:rsidP="002B7BC7">
            <w:pPr>
              <w:spacing w:before="240"/>
            </w:pPr>
            <w:r>
              <w:t>Distr. générale</w:t>
            </w:r>
          </w:p>
          <w:p w14:paraId="29F9918B" w14:textId="77777777" w:rsidR="00A70E07" w:rsidRDefault="00A70E07" w:rsidP="00A70E07">
            <w:pPr>
              <w:spacing w:line="240" w:lineRule="exact"/>
            </w:pPr>
            <w:r>
              <w:t>18</w:t>
            </w:r>
            <w:r w:rsidR="008435A2">
              <w:t> </w:t>
            </w:r>
            <w:r>
              <w:t>décembre 2018</w:t>
            </w:r>
          </w:p>
          <w:p w14:paraId="66513ABD" w14:textId="77777777" w:rsidR="00A70E07" w:rsidRDefault="00A70E07" w:rsidP="00A70E07">
            <w:pPr>
              <w:spacing w:line="240" w:lineRule="exact"/>
            </w:pPr>
            <w:r>
              <w:t>Français</w:t>
            </w:r>
          </w:p>
          <w:p w14:paraId="55475C2B" w14:textId="77777777" w:rsidR="00A70E07" w:rsidRDefault="00A70E07" w:rsidP="00A70E07">
            <w:pPr>
              <w:spacing w:line="240" w:lineRule="exact"/>
            </w:pPr>
            <w:r>
              <w:t>Original</w:t>
            </w:r>
            <w:r w:rsidR="008435A2">
              <w:t> </w:t>
            </w:r>
            <w:r>
              <w:t>: anglais</w:t>
            </w:r>
          </w:p>
          <w:p w14:paraId="2DA7D2F6" w14:textId="77777777" w:rsidR="00A70E07" w:rsidRPr="00DB58B5" w:rsidRDefault="00A70E07" w:rsidP="00A70E07">
            <w:pPr>
              <w:spacing w:line="240" w:lineRule="exact"/>
            </w:pPr>
            <w:r>
              <w:t>Anglais, espagnol et français seulement</w:t>
            </w:r>
          </w:p>
        </w:tc>
      </w:tr>
    </w:tbl>
    <w:p w14:paraId="46F18465" w14:textId="77777777" w:rsidR="006F71EA" w:rsidRDefault="006F71EA" w:rsidP="006F71EA">
      <w:pPr>
        <w:spacing w:before="120"/>
        <w:rPr>
          <w:b/>
          <w:sz w:val="24"/>
          <w:szCs w:val="24"/>
        </w:rPr>
      </w:pPr>
      <w:r w:rsidRPr="00DF3BF1">
        <w:rPr>
          <w:b/>
          <w:sz w:val="24"/>
          <w:szCs w:val="24"/>
        </w:rPr>
        <w:t>Comité des droits de l’homme</w:t>
      </w:r>
    </w:p>
    <w:p w14:paraId="3A70FB52" w14:textId="77777777" w:rsidR="00BF0619" w:rsidRPr="00AF434B" w:rsidRDefault="00BF0619" w:rsidP="00BF0619">
      <w:pPr>
        <w:pStyle w:val="HMG"/>
        <w:rPr>
          <w:noProof/>
          <w:lang w:val="fr-FR"/>
        </w:rPr>
      </w:pPr>
      <w:r>
        <w:rPr>
          <w:noProof/>
          <w:lang w:val="fr-FR"/>
        </w:rPr>
        <w:tab/>
      </w:r>
      <w:r>
        <w:rPr>
          <w:noProof/>
          <w:lang w:val="fr-FR"/>
        </w:rPr>
        <w:tab/>
        <w:t xml:space="preserve">Cinquième rapport périodique soumis par </w:t>
      </w:r>
      <w:r>
        <w:rPr>
          <w:noProof/>
          <w:lang w:val="fr-FR"/>
        </w:rPr>
        <w:br/>
        <w:t xml:space="preserve">le Portugal en application de l’article 40 </w:t>
      </w:r>
      <w:r>
        <w:rPr>
          <w:noProof/>
          <w:lang w:val="fr-FR"/>
        </w:rPr>
        <w:br/>
        <w:t>du Pacte, attendu en 2018</w:t>
      </w:r>
      <w:r w:rsidRPr="00BF0619">
        <w:rPr>
          <w:rStyle w:val="Appelnotedebasdep"/>
          <w:b w:val="0"/>
          <w:bCs/>
          <w:noProof/>
          <w:sz w:val="20"/>
          <w:vertAlign w:val="baseline"/>
          <w:lang w:val="fr-FR"/>
        </w:rPr>
        <w:footnoteReference w:customMarkFollows="1" w:id="2"/>
        <w:t>*</w:t>
      </w:r>
      <w:r w:rsidRPr="00BF0619">
        <w:rPr>
          <w:b w:val="0"/>
          <w:position w:val="6"/>
          <w:sz w:val="20"/>
        </w:rPr>
        <w:t xml:space="preserve">, </w:t>
      </w:r>
      <w:r w:rsidRPr="00BF0619">
        <w:rPr>
          <w:rStyle w:val="Appelnotedebasdep"/>
          <w:b w:val="0"/>
          <w:bCs/>
          <w:noProof/>
          <w:sz w:val="20"/>
          <w:vertAlign w:val="baseline"/>
          <w:lang w:val="fr-FR"/>
        </w:rPr>
        <w:footnoteReference w:customMarkFollows="1" w:id="3"/>
        <w:t>**</w:t>
      </w:r>
    </w:p>
    <w:p w14:paraId="1B665075" w14:textId="77777777" w:rsidR="00E85C42" w:rsidRDefault="00BF0619" w:rsidP="00BF0619">
      <w:pPr>
        <w:pStyle w:val="SingleTxtG"/>
        <w:jc w:val="right"/>
        <w:rPr>
          <w:noProof/>
          <w:lang w:val="fr-FR"/>
        </w:rPr>
      </w:pPr>
      <w:r w:rsidRPr="00AF434B">
        <w:rPr>
          <w:noProof/>
          <w:lang w:val="fr-FR"/>
        </w:rPr>
        <w:t xml:space="preserve">[Date </w:t>
      </w:r>
      <w:r>
        <w:rPr>
          <w:noProof/>
          <w:lang w:val="fr-FR"/>
        </w:rPr>
        <w:t>de réception </w:t>
      </w:r>
      <w:r w:rsidRPr="00AF434B">
        <w:rPr>
          <w:noProof/>
          <w:lang w:val="fr-FR"/>
        </w:rPr>
        <w:t>: 31</w:t>
      </w:r>
      <w:r>
        <w:rPr>
          <w:noProof/>
          <w:lang w:val="fr-FR"/>
        </w:rPr>
        <w:t xml:space="preserve"> octobre </w:t>
      </w:r>
      <w:r w:rsidRPr="00AF434B">
        <w:rPr>
          <w:noProof/>
          <w:lang w:val="fr-FR"/>
        </w:rPr>
        <w:t>2018]</w:t>
      </w:r>
    </w:p>
    <w:p w14:paraId="3F295FE9" w14:textId="77777777" w:rsidR="00BF0619" w:rsidRPr="00AF434B" w:rsidRDefault="00BF0619" w:rsidP="00BE5017">
      <w:pPr>
        <w:pStyle w:val="SingleTxtG"/>
        <w:rPr>
          <w:noProof/>
          <w:lang w:val="fr-FR"/>
        </w:rPr>
      </w:pPr>
      <w:r>
        <w:br w:type="page"/>
      </w:r>
      <w:r w:rsidRPr="00AF434B">
        <w:rPr>
          <w:noProof/>
          <w:lang w:val="fr-FR"/>
        </w:rPr>
        <w:lastRenderedPageBreak/>
        <w:t>1.</w:t>
      </w:r>
      <w:r w:rsidRPr="00AF434B">
        <w:rPr>
          <w:noProof/>
          <w:lang w:val="fr-FR"/>
        </w:rPr>
        <w:tab/>
      </w:r>
      <w:r>
        <w:rPr>
          <w:noProof/>
          <w:lang w:val="fr-FR"/>
        </w:rPr>
        <w:t xml:space="preserve">Le </w:t>
      </w:r>
      <w:r w:rsidRPr="00AF434B">
        <w:rPr>
          <w:noProof/>
          <w:lang w:val="fr-FR"/>
        </w:rPr>
        <w:t xml:space="preserve">Portugal </w:t>
      </w:r>
      <w:r>
        <w:rPr>
          <w:noProof/>
          <w:lang w:val="fr-FR"/>
        </w:rPr>
        <w:t>a présenté son quatrième rapport périodique sur l’application du Pacte international relatif aux droits civils et politiques e</w:t>
      </w:r>
      <w:r w:rsidRPr="00AF434B">
        <w:rPr>
          <w:noProof/>
          <w:lang w:val="fr-FR"/>
        </w:rPr>
        <w:t xml:space="preserve">n </w:t>
      </w:r>
      <w:r>
        <w:rPr>
          <w:noProof/>
          <w:lang w:val="fr-FR"/>
        </w:rPr>
        <w:t xml:space="preserve">janvier </w:t>
      </w:r>
      <w:r w:rsidRPr="00AF434B">
        <w:rPr>
          <w:noProof/>
          <w:lang w:val="fr-FR"/>
        </w:rPr>
        <w:t xml:space="preserve">2011 (CCPR/C/PRT/4). </w:t>
      </w:r>
      <w:r>
        <w:rPr>
          <w:noProof/>
          <w:lang w:val="fr-FR"/>
        </w:rPr>
        <w:t xml:space="preserve">Dans ses observations finales </w:t>
      </w:r>
      <w:r w:rsidRPr="00AF434B">
        <w:rPr>
          <w:noProof/>
          <w:lang w:val="fr-FR"/>
        </w:rPr>
        <w:t>(CCPR/C/PRT/CO/4)</w:t>
      </w:r>
      <w:r>
        <w:rPr>
          <w:noProof/>
          <w:lang w:val="fr-FR"/>
        </w:rPr>
        <w:t>, publiées en novembre 2012, le Comité des droits de l’homme</w:t>
      </w:r>
      <w:r w:rsidRPr="00AF434B">
        <w:rPr>
          <w:noProof/>
          <w:lang w:val="fr-FR"/>
        </w:rPr>
        <w:t xml:space="preserve"> </w:t>
      </w:r>
      <w:r>
        <w:rPr>
          <w:noProof/>
          <w:lang w:val="fr-FR"/>
        </w:rPr>
        <w:t>lui a demandé de fournir des informations supplémentaires sur la suite donnée aux recommandations énoncées aux paragraphes</w:t>
      </w:r>
      <w:r w:rsidR="00BE5017">
        <w:rPr>
          <w:noProof/>
          <w:lang w:val="fr-FR"/>
        </w:rPr>
        <w:t> </w:t>
      </w:r>
      <w:r w:rsidRPr="00AF434B">
        <w:rPr>
          <w:noProof/>
          <w:lang w:val="fr-FR"/>
        </w:rPr>
        <w:t xml:space="preserve">9, 11 </w:t>
      </w:r>
      <w:r>
        <w:rPr>
          <w:noProof/>
          <w:lang w:val="fr-FR"/>
        </w:rPr>
        <w:t>et</w:t>
      </w:r>
      <w:r w:rsidRPr="00AF434B">
        <w:rPr>
          <w:noProof/>
          <w:lang w:val="fr-FR"/>
        </w:rPr>
        <w:t xml:space="preserve"> 12</w:t>
      </w:r>
      <w:r>
        <w:rPr>
          <w:noProof/>
          <w:lang w:val="fr-FR"/>
        </w:rPr>
        <w:t xml:space="preserve"> de ces observations finales</w:t>
      </w:r>
      <w:r w:rsidRPr="00AF434B">
        <w:rPr>
          <w:noProof/>
          <w:lang w:val="fr-FR"/>
        </w:rPr>
        <w:t xml:space="preserve">, </w:t>
      </w:r>
      <w:r>
        <w:rPr>
          <w:noProof/>
          <w:lang w:val="fr-FR"/>
        </w:rPr>
        <w:t>concernant la détention avant jugement</w:t>
      </w:r>
      <w:r w:rsidRPr="00AF434B">
        <w:rPr>
          <w:noProof/>
          <w:lang w:val="fr-FR"/>
        </w:rPr>
        <w:t xml:space="preserve">, </w:t>
      </w:r>
      <w:r>
        <w:rPr>
          <w:noProof/>
          <w:lang w:val="fr-FR"/>
        </w:rPr>
        <w:t xml:space="preserve">les conditions de détention et les </w:t>
      </w:r>
      <w:r w:rsidRPr="009A6338">
        <w:rPr>
          <w:noProof/>
          <w:spacing w:val="-3"/>
          <w:lang w:val="fr-FR"/>
        </w:rPr>
        <w:t>allégations de mauvais traitements, et la répression des infractions de violence familiale. En 2014 et 2015, le Comité a reçu du Portugal trois rapports concernant la suite donnée à ses observations finales (CCPR/C/PRT/CO/4/Add.1, CCPR/C/PRT/CO/4/Add.2 et CCPR/C/PRT/CO/4/Add.3).</w:t>
      </w:r>
      <w:r w:rsidRPr="00AF434B">
        <w:rPr>
          <w:noProof/>
          <w:lang w:val="fr-FR"/>
        </w:rPr>
        <w:t xml:space="preserve"> </w:t>
      </w:r>
      <w:r>
        <w:rPr>
          <w:noProof/>
          <w:lang w:val="fr-FR"/>
        </w:rPr>
        <w:t xml:space="preserve">Les réponses fournies dans le présent rapport ont trait aux recommandations figurant dans les observations finales concernant le quatrième rapport périodique du Portugal </w:t>
      </w:r>
      <w:r w:rsidRPr="00AF434B">
        <w:rPr>
          <w:noProof/>
          <w:lang w:val="fr-FR"/>
        </w:rPr>
        <w:t xml:space="preserve">(CCPR/C/PRT/CO/4) </w:t>
      </w:r>
      <w:r>
        <w:rPr>
          <w:noProof/>
          <w:lang w:val="fr-FR"/>
        </w:rPr>
        <w:t>que le Comité a publiées en n</w:t>
      </w:r>
      <w:r w:rsidRPr="00AF434B">
        <w:rPr>
          <w:noProof/>
          <w:lang w:val="fr-FR"/>
        </w:rPr>
        <w:t>ovemb</w:t>
      </w:r>
      <w:r>
        <w:rPr>
          <w:noProof/>
          <w:lang w:val="fr-FR"/>
        </w:rPr>
        <w:t>re</w:t>
      </w:r>
      <w:r w:rsidRPr="00AF434B">
        <w:rPr>
          <w:noProof/>
          <w:lang w:val="fr-FR"/>
        </w:rPr>
        <w:t xml:space="preserve"> 2012.</w:t>
      </w:r>
      <w:r w:rsidR="009F1E8A">
        <w:rPr>
          <w:noProof/>
          <w:lang w:val="fr-FR"/>
        </w:rPr>
        <w:t xml:space="preserve"> </w:t>
      </w:r>
    </w:p>
    <w:p w14:paraId="31514B75" w14:textId="77777777" w:rsidR="00BF0619" w:rsidRPr="00AF434B" w:rsidRDefault="00BF0619" w:rsidP="00BF0619">
      <w:pPr>
        <w:pStyle w:val="H1G"/>
        <w:rPr>
          <w:noProof/>
          <w:lang w:val="fr-FR"/>
        </w:rPr>
      </w:pPr>
      <w:r w:rsidRPr="00AF434B">
        <w:rPr>
          <w:noProof/>
          <w:lang w:val="fr-FR"/>
        </w:rPr>
        <w:tab/>
      </w:r>
      <w:r w:rsidRPr="00AF434B">
        <w:rPr>
          <w:noProof/>
          <w:lang w:val="fr-FR"/>
        </w:rPr>
        <w:tab/>
        <w:t>Articles</w:t>
      </w:r>
      <w:r w:rsidR="00BE5017">
        <w:rPr>
          <w:noProof/>
          <w:lang w:val="fr-FR"/>
        </w:rPr>
        <w:t> </w:t>
      </w:r>
      <w:r w:rsidRPr="00AF434B">
        <w:rPr>
          <w:noProof/>
          <w:lang w:val="fr-FR"/>
        </w:rPr>
        <w:t xml:space="preserve">2, 3, 25 </w:t>
      </w:r>
      <w:r>
        <w:rPr>
          <w:noProof/>
          <w:lang w:val="fr-FR"/>
        </w:rPr>
        <w:t>et</w:t>
      </w:r>
      <w:r w:rsidRPr="00AF434B">
        <w:rPr>
          <w:noProof/>
          <w:lang w:val="fr-FR"/>
        </w:rPr>
        <w:t xml:space="preserve"> 26</w:t>
      </w:r>
    </w:p>
    <w:p w14:paraId="16C88ADE" w14:textId="77777777" w:rsidR="00BF0619" w:rsidRPr="00E44D6B" w:rsidRDefault="00BF0619" w:rsidP="00BF0619">
      <w:pPr>
        <w:pStyle w:val="H23G"/>
        <w:rPr>
          <w:noProof/>
          <w:lang w:val="fr-FR"/>
        </w:rPr>
      </w:pPr>
      <w:r w:rsidRPr="00AF434B">
        <w:rPr>
          <w:noProof/>
          <w:lang w:val="fr-FR"/>
        </w:rPr>
        <w:tab/>
      </w:r>
      <w:r w:rsidRPr="00AF434B">
        <w:rPr>
          <w:noProof/>
          <w:lang w:val="fr-FR"/>
        </w:rPr>
        <w:tab/>
      </w:r>
      <w:r w:rsidRPr="00E44D6B">
        <w:rPr>
          <w:noProof/>
          <w:lang w:val="fr-FR"/>
        </w:rPr>
        <w:t>Le Comité est préoccupé par la sous-représentation des femmes aux postes de décision dans le secteur public, notamment dans le corps diplomatique, ainsi que dans les</w:t>
      </w:r>
      <w:r w:rsidR="00820961">
        <w:rPr>
          <w:noProof/>
          <w:lang w:val="fr-FR"/>
        </w:rPr>
        <w:t> </w:t>
      </w:r>
      <w:r w:rsidRPr="00E44D6B">
        <w:rPr>
          <w:noProof/>
          <w:lang w:val="fr-FR"/>
        </w:rPr>
        <w:t xml:space="preserve">assemblées législatives des régions autonomes des Açores et de Madère. </w:t>
      </w:r>
      <w:r w:rsidR="00820961">
        <w:rPr>
          <w:noProof/>
          <w:lang w:val="fr-FR"/>
        </w:rPr>
        <w:br/>
      </w:r>
      <w:r w:rsidRPr="00E44D6B">
        <w:rPr>
          <w:noProof/>
          <w:lang w:val="fr-FR"/>
        </w:rPr>
        <w:t xml:space="preserve">Il est également préoccupé par l’écart important et croissant entre les salaires deshommes et ceux des femmes </w:t>
      </w:r>
    </w:p>
    <w:p w14:paraId="26842571" w14:textId="77777777" w:rsidR="00BF0619" w:rsidRPr="00AF434B" w:rsidRDefault="00BF0619" w:rsidP="00BF0619">
      <w:pPr>
        <w:pStyle w:val="SingleTxtG"/>
        <w:rPr>
          <w:noProof/>
          <w:lang w:val="fr-FR"/>
        </w:rPr>
      </w:pPr>
      <w:r w:rsidRPr="00AF434B">
        <w:rPr>
          <w:noProof/>
          <w:lang w:val="fr-FR"/>
        </w:rPr>
        <w:t>2.</w:t>
      </w:r>
      <w:r w:rsidRPr="00AF434B">
        <w:rPr>
          <w:noProof/>
          <w:lang w:val="fr-FR"/>
        </w:rPr>
        <w:tab/>
      </w:r>
      <w:r>
        <w:rPr>
          <w:noProof/>
          <w:lang w:val="fr-FR"/>
        </w:rPr>
        <w:t xml:space="preserve">Les politiques en matière d’égalité sont consignées, entre autres, dans les plans d’action nationaux, qui sont en cours d’examen dans le cadre de la Stratégie nationale en faveur de l’égalité et de la non-discrimination pour </w:t>
      </w:r>
      <w:r w:rsidRPr="00AF434B">
        <w:rPr>
          <w:noProof/>
          <w:lang w:val="fr-FR"/>
        </w:rPr>
        <w:t>2018</w:t>
      </w:r>
      <w:r>
        <w:rPr>
          <w:noProof/>
          <w:lang w:val="fr-FR"/>
        </w:rPr>
        <w:t>-</w:t>
      </w:r>
      <w:r w:rsidRPr="00AF434B">
        <w:rPr>
          <w:noProof/>
          <w:lang w:val="fr-FR"/>
        </w:rPr>
        <w:t xml:space="preserve">2030. </w:t>
      </w:r>
      <w:r>
        <w:rPr>
          <w:noProof/>
          <w:lang w:val="fr-FR"/>
        </w:rPr>
        <w:t xml:space="preserve">Le Gouvernement met actuellement en œuvre un </w:t>
      </w:r>
      <w:r w:rsidRPr="00D66406">
        <w:rPr>
          <w:noProof/>
          <w:lang w:val="fr-FR"/>
        </w:rPr>
        <w:t>Plan d’action pour l’égalité entre les hommes et les femmes sur le marché du travail et au sein des entreprises</w:t>
      </w:r>
      <w:r>
        <w:rPr>
          <w:noProof/>
          <w:lang w:val="fr-FR"/>
        </w:rPr>
        <w:t>, qui comprend cinq volets principaux, à savoir l’inégalité salariale entre les hommes et les femmes,</w:t>
      </w:r>
      <w:r w:rsidRPr="00AF434B">
        <w:rPr>
          <w:noProof/>
          <w:lang w:val="fr-FR"/>
        </w:rPr>
        <w:t xml:space="preserve"> </w:t>
      </w:r>
      <w:r>
        <w:rPr>
          <w:noProof/>
          <w:lang w:val="fr-FR"/>
        </w:rPr>
        <w:t xml:space="preserve">la ségrégation professionnelle, les droits </w:t>
      </w:r>
      <w:r w:rsidRPr="00AF434B">
        <w:rPr>
          <w:noProof/>
          <w:lang w:val="fr-FR"/>
        </w:rPr>
        <w:t>parenta</w:t>
      </w:r>
      <w:r>
        <w:rPr>
          <w:noProof/>
          <w:lang w:val="fr-FR"/>
        </w:rPr>
        <w:t>ux,</w:t>
      </w:r>
      <w:r w:rsidRPr="00AF434B">
        <w:rPr>
          <w:noProof/>
          <w:lang w:val="fr-FR"/>
        </w:rPr>
        <w:t xml:space="preserve"> </w:t>
      </w:r>
      <w:r w:rsidRPr="008B3DCB">
        <w:rPr>
          <w:noProof/>
          <w:lang w:val="fr-FR"/>
        </w:rPr>
        <w:t>l’équilibre entre la vie professionnelle et la vie privée</w:t>
      </w:r>
      <w:r w:rsidRPr="00AF434B">
        <w:rPr>
          <w:noProof/>
          <w:lang w:val="fr-FR"/>
        </w:rPr>
        <w:t xml:space="preserve"> </w:t>
      </w:r>
      <w:r>
        <w:rPr>
          <w:noProof/>
          <w:lang w:val="fr-FR"/>
        </w:rPr>
        <w:t>et la prise de</w:t>
      </w:r>
      <w:r w:rsidR="00BE5017">
        <w:rPr>
          <w:noProof/>
          <w:lang w:val="fr-FR"/>
        </w:rPr>
        <w:t> </w:t>
      </w:r>
      <w:r w:rsidRPr="00AF434B">
        <w:rPr>
          <w:noProof/>
          <w:lang w:val="fr-FR"/>
        </w:rPr>
        <w:t>d</w:t>
      </w:r>
      <w:r>
        <w:rPr>
          <w:noProof/>
          <w:lang w:val="fr-FR"/>
        </w:rPr>
        <w:t>é</w:t>
      </w:r>
      <w:r w:rsidRPr="00AF434B">
        <w:rPr>
          <w:noProof/>
          <w:lang w:val="fr-FR"/>
        </w:rPr>
        <w:t>cision</w:t>
      </w:r>
      <w:r>
        <w:rPr>
          <w:noProof/>
          <w:lang w:val="fr-FR"/>
        </w:rPr>
        <w:t>s</w:t>
      </w:r>
      <w:r w:rsidRPr="00AF434B">
        <w:rPr>
          <w:noProof/>
          <w:lang w:val="fr-FR"/>
        </w:rPr>
        <w:t xml:space="preserve">. </w:t>
      </w:r>
    </w:p>
    <w:p w14:paraId="369D1BC5" w14:textId="77777777" w:rsidR="00BF0619" w:rsidRPr="00AF434B" w:rsidRDefault="00BF0619" w:rsidP="00BE5017">
      <w:pPr>
        <w:pStyle w:val="SingleTxtG"/>
        <w:keepNext/>
        <w:keepLines/>
        <w:rPr>
          <w:noProof/>
          <w:lang w:val="fr-FR"/>
        </w:rPr>
      </w:pPr>
      <w:r w:rsidRPr="00AF434B">
        <w:rPr>
          <w:noProof/>
          <w:lang w:val="fr-FR"/>
        </w:rPr>
        <w:t>3.</w:t>
      </w:r>
      <w:r w:rsidRPr="00AF434B">
        <w:rPr>
          <w:noProof/>
          <w:lang w:val="fr-FR"/>
        </w:rPr>
        <w:tab/>
      </w:r>
      <w:r>
        <w:rPr>
          <w:noProof/>
          <w:lang w:val="fr-FR"/>
        </w:rPr>
        <w:t xml:space="preserve">Depuis </w:t>
      </w:r>
      <w:r w:rsidRPr="00AF434B">
        <w:rPr>
          <w:noProof/>
          <w:lang w:val="fr-FR"/>
        </w:rPr>
        <w:t>2011</w:t>
      </w:r>
      <w:r>
        <w:rPr>
          <w:noProof/>
          <w:lang w:val="fr-FR"/>
        </w:rPr>
        <w:t>,</w:t>
      </w:r>
      <w:r w:rsidRPr="00AF434B">
        <w:rPr>
          <w:noProof/>
          <w:lang w:val="fr-FR"/>
        </w:rPr>
        <w:t xml:space="preserve"> </w:t>
      </w:r>
      <w:r>
        <w:rPr>
          <w:noProof/>
          <w:lang w:val="fr-FR"/>
        </w:rPr>
        <w:t>six principales initiatives législatives concernant la représentation des femmes aux postes de décision et l’égalité salariale entre les hommes et les femmes ont été approuvées</w:t>
      </w:r>
      <w:r w:rsidR="00BE5017">
        <w:rPr>
          <w:noProof/>
          <w:lang w:val="fr-FR"/>
        </w:rPr>
        <w:t> :</w:t>
      </w:r>
    </w:p>
    <w:p w14:paraId="443F257D" w14:textId="77777777" w:rsidR="00BF0619" w:rsidRPr="00AF434B" w:rsidRDefault="00BF0619" w:rsidP="00BE5017">
      <w:pPr>
        <w:pStyle w:val="SingleTxtG"/>
        <w:ind w:firstLine="567"/>
        <w:rPr>
          <w:noProof/>
          <w:lang w:val="fr-FR"/>
        </w:rPr>
      </w:pPr>
      <w:r w:rsidRPr="00AF434B">
        <w:rPr>
          <w:noProof/>
          <w:lang w:val="fr-FR"/>
        </w:rPr>
        <w:t>a)</w:t>
      </w:r>
      <w:r w:rsidRPr="00AF434B">
        <w:rPr>
          <w:noProof/>
          <w:lang w:val="fr-FR"/>
        </w:rPr>
        <w:tab/>
      </w:r>
      <w:r>
        <w:rPr>
          <w:noProof/>
          <w:lang w:val="fr-FR"/>
        </w:rPr>
        <w:t xml:space="preserve">La loi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Pr>
          <w:noProof/>
          <w:lang w:val="fr-FR"/>
        </w:rPr>
        <w:t>60/2018</w:t>
      </w:r>
      <w:r w:rsidRPr="00AF434B">
        <w:rPr>
          <w:noProof/>
          <w:lang w:val="fr-FR"/>
        </w:rPr>
        <w:t xml:space="preserve"> </w:t>
      </w:r>
      <w:r>
        <w:rPr>
          <w:noProof/>
          <w:lang w:val="fr-FR"/>
        </w:rPr>
        <w:t xml:space="preserve">du </w:t>
      </w:r>
      <w:r w:rsidRPr="00AF434B">
        <w:rPr>
          <w:noProof/>
          <w:lang w:val="fr-FR"/>
        </w:rPr>
        <w:t>21</w:t>
      </w:r>
      <w:r w:rsidR="00BE5017">
        <w:rPr>
          <w:noProof/>
          <w:lang w:val="fr-FR"/>
        </w:rPr>
        <w:t> </w:t>
      </w:r>
      <w:r>
        <w:rPr>
          <w:noProof/>
          <w:lang w:val="fr-FR"/>
        </w:rPr>
        <w:t>août</w:t>
      </w:r>
      <w:r w:rsidRPr="00AF434B">
        <w:rPr>
          <w:noProof/>
          <w:lang w:val="fr-FR"/>
        </w:rPr>
        <w:t xml:space="preserve">, </w:t>
      </w:r>
      <w:r>
        <w:rPr>
          <w:noProof/>
          <w:lang w:val="fr-FR"/>
        </w:rPr>
        <w:t xml:space="preserve">qui prévoit des mesures visant à promouvoir l’égalité de </w:t>
      </w:r>
      <w:r w:rsidRPr="006E517A">
        <w:rPr>
          <w:noProof/>
          <w:lang w:val="fr-FR"/>
        </w:rPr>
        <w:t>rémunération des hommes et des femmes pour un travail égal ou d’égale valeur,</w:t>
      </w:r>
      <w:r w:rsidRPr="00AF434B">
        <w:rPr>
          <w:noProof/>
          <w:lang w:val="fr-FR"/>
        </w:rPr>
        <w:t xml:space="preserve"> cont</w:t>
      </w:r>
      <w:r>
        <w:rPr>
          <w:noProof/>
          <w:lang w:val="fr-FR"/>
        </w:rPr>
        <w:t xml:space="preserve">ient quatre </w:t>
      </w:r>
      <w:r w:rsidRPr="00AF434B">
        <w:rPr>
          <w:noProof/>
          <w:lang w:val="fr-FR"/>
        </w:rPr>
        <w:t xml:space="preserve">types </w:t>
      </w:r>
      <w:r>
        <w:rPr>
          <w:noProof/>
          <w:lang w:val="fr-FR"/>
        </w:rPr>
        <w:t>de mécanismes d’application de ce principe</w:t>
      </w:r>
      <w:r w:rsidR="0064073D">
        <w:rPr>
          <w:noProof/>
          <w:lang w:val="fr-FR"/>
        </w:rPr>
        <w:t> :</w:t>
      </w:r>
    </w:p>
    <w:p w14:paraId="458E0CD8"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La disponibilité de statistiques annuelles sur les écarts entre les salaires des hommes et ceux des femmes</w:t>
      </w:r>
      <w:r w:rsidRPr="00AF434B">
        <w:rPr>
          <w:noProof/>
          <w:lang w:val="fr-FR"/>
        </w:rPr>
        <w:t xml:space="preserve">, </w:t>
      </w:r>
      <w:r>
        <w:rPr>
          <w:noProof/>
          <w:lang w:val="fr-FR"/>
        </w:rPr>
        <w:t>par entreprise (</w:t>
      </w:r>
      <w:r w:rsidRPr="00AF434B">
        <w:rPr>
          <w:noProof/>
          <w:lang w:val="fr-FR"/>
        </w:rPr>
        <w:t>b</w:t>
      </w:r>
      <w:r>
        <w:rPr>
          <w:noProof/>
          <w:lang w:val="fr-FR"/>
        </w:rPr>
        <w:t>ilan</w:t>
      </w:r>
      <w:r w:rsidRPr="00AF434B">
        <w:rPr>
          <w:noProof/>
          <w:lang w:val="fr-FR"/>
        </w:rPr>
        <w:t xml:space="preserve">) </w:t>
      </w:r>
      <w:r>
        <w:rPr>
          <w:noProof/>
          <w:lang w:val="fr-FR"/>
        </w:rPr>
        <w:t xml:space="preserve">et par secteur d’activité </w:t>
      </w:r>
      <w:r w:rsidRPr="00AF434B">
        <w:rPr>
          <w:noProof/>
          <w:lang w:val="fr-FR"/>
        </w:rPr>
        <w:t>(barom</w:t>
      </w:r>
      <w:r>
        <w:rPr>
          <w:noProof/>
          <w:lang w:val="fr-FR"/>
        </w:rPr>
        <w:t>ètre</w:t>
      </w:r>
      <w:r w:rsidRPr="00AF434B">
        <w:rPr>
          <w:noProof/>
          <w:lang w:val="fr-FR"/>
        </w:rPr>
        <w:t>)</w:t>
      </w:r>
      <w:r w:rsidR="00BE5017">
        <w:rPr>
          <w:noProof/>
          <w:lang w:val="fr-FR"/>
        </w:rPr>
        <w:t> ;</w:t>
      </w:r>
    </w:p>
    <w:p w14:paraId="758F8B8A"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Les entreprises sont tenues de mettre en œuvre une politique de rémunération </w:t>
      </w:r>
      <w:r w:rsidRPr="00AF434B">
        <w:rPr>
          <w:noProof/>
          <w:lang w:val="fr-FR"/>
        </w:rPr>
        <w:t>transparent</w:t>
      </w:r>
      <w:r>
        <w:rPr>
          <w:noProof/>
          <w:lang w:val="fr-FR"/>
        </w:rPr>
        <w:t>e</w:t>
      </w:r>
      <w:r w:rsidRPr="00AF434B">
        <w:rPr>
          <w:noProof/>
          <w:lang w:val="fr-FR"/>
        </w:rPr>
        <w:t xml:space="preserve"> </w:t>
      </w:r>
      <w:r>
        <w:rPr>
          <w:noProof/>
          <w:lang w:val="fr-FR"/>
        </w:rPr>
        <w:t>basée sur des critères objectifs et non discriminatoires</w:t>
      </w:r>
      <w:r w:rsidR="00BE5017">
        <w:rPr>
          <w:noProof/>
          <w:lang w:val="fr-FR"/>
        </w:rPr>
        <w:t> ;</w:t>
      </w:r>
    </w:p>
    <w:p w14:paraId="1EE91B81"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Une fois que les écarts de rémunération ont été constatés, les entreprises doivent soumettre à l’</w:t>
      </w:r>
      <w:r w:rsidRPr="005A7152">
        <w:rPr>
          <w:noProof/>
          <w:shd w:val="clear" w:color="auto" w:fill="FFFFFF"/>
          <w:lang w:val="fr-FR"/>
        </w:rPr>
        <w:t>Autorité charg</w:t>
      </w:r>
      <w:r>
        <w:rPr>
          <w:noProof/>
          <w:shd w:val="clear" w:color="auto" w:fill="FFFFFF"/>
          <w:lang w:val="fr-FR"/>
        </w:rPr>
        <w:t>é</w:t>
      </w:r>
      <w:r w:rsidRPr="005A7152">
        <w:rPr>
          <w:noProof/>
          <w:shd w:val="clear" w:color="auto" w:fill="FFFFFF"/>
          <w:lang w:val="fr-FR"/>
        </w:rPr>
        <w:t>e des conditions de travail</w:t>
      </w:r>
      <w:r w:rsidRPr="00BB3DD1">
        <w:rPr>
          <w:shd w:val="clear" w:color="auto" w:fill="FFFFFF"/>
        </w:rPr>
        <w:t xml:space="preserve"> un plan </w:t>
      </w:r>
      <w:r w:rsidRPr="005A7152">
        <w:rPr>
          <w:noProof/>
          <w:shd w:val="clear" w:color="auto" w:fill="FFFFFF"/>
          <w:lang w:val="fr-FR"/>
        </w:rPr>
        <w:t>d’</w:t>
      </w:r>
      <w:r>
        <w:rPr>
          <w:noProof/>
          <w:shd w:val="clear" w:color="auto" w:fill="FFFFFF"/>
          <w:lang w:val="fr-FR"/>
        </w:rPr>
        <w:t xml:space="preserve">évaluation de ces écarts, </w:t>
      </w:r>
      <w:r>
        <w:rPr>
          <w:noProof/>
          <w:lang w:val="fr-FR"/>
        </w:rPr>
        <w:t>à mettre en œuvre dans l’année qui suit</w:t>
      </w:r>
      <w:r w:rsidR="00BE5017">
        <w:rPr>
          <w:noProof/>
          <w:lang w:val="fr-FR"/>
        </w:rPr>
        <w:t> ;</w:t>
      </w:r>
    </w:p>
    <w:p w14:paraId="6FD0ECC4"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Tout travailleur peut demander à la </w:t>
      </w:r>
      <w:r>
        <w:rPr>
          <w:lang w:val="fr-FR"/>
        </w:rPr>
        <w:t>Commission pour l’égalité dans le travail et dans l’emploi</w:t>
      </w:r>
      <w:r w:rsidRPr="00AF434B">
        <w:rPr>
          <w:noProof/>
          <w:lang w:val="fr-FR"/>
        </w:rPr>
        <w:t xml:space="preserve"> </w:t>
      </w:r>
      <w:r>
        <w:rPr>
          <w:noProof/>
          <w:lang w:val="fr-FR"/>
        </w:rPr>
        <w:t>de rendre un avis sur l’</w:t>
      </w:r>
      <w:r w:rsidRPr="00AF434B">
        <w:rPr>
          <w:noProof/>
          <w:lang w:val="fr-FR"/>
        </w:rPr>
        <w:t xml:space="preserve">existence </w:t>
      </w:r>
      <w:r>
        <w:rPr>
          <w:noProof/>
          <w:lang w:val="fr-FR"/>
        </w:rPr>
        <w:t xml:space="preserve">d’une </w:t>
      </w:r>
      <w:r w:rsidRPr="00AF434B">
        <w:rPr>
          <w:noProof/>
          <w:lang w:val="fr-FR"/>
        </w:rPr>
        <w:t xml:space="preserve">discrimination </w:t>
      </w:r>
      <w:r>
        <w:rPr>
          <w:noProof/>
          <w:lang w:val="fr-FR"/>
        </w:rPr>
        <w:t>salariale entre les femmes et les hommes</w:t>
      </w:r>
      <w:r w:rsidR="00BE5017">
        <w:rPr>
          <w:noProof/>
          <w:lang w:val="fr-FR"/>
        </w:rPr>
        <w:t> ;</w:t>
      </w:r>
    </w:p>
    <w:p w14:paraId="3D18114A" w14:textId="77777777" w:rsidR="00BF0619" w:rsidRPr="00AF434B" w:rsidRDefault="00BF0619" w:rsidP="00BE5017">
      <w:pPr>
        <w:pStyle w:val="SingleTxtG"/>
        <w:ind w:firstLine="567"/>
        <w:rPr>
          <w:noProof/>
          <w:lang w:val="fr-FR"/>
        </w:rPr>
      </w:pPr>
      <w:r w:rsidRPr="00AF434B">
        <w:rPr>
          <w:noProof/>
          <w:lang w:val="fr-FR"/>
        </w:rPr>
        <w:t>b)</w:t>
      </w:r>
      <w:r w:rsidRPr="00AF434B">
        <w:rPr>
          <w:noProof/>
          <w:lang w:val="fr-FR"/>
        </w:rPr>
        <w:tab/>
      </w:r>
      <w:r>
        <w:rPr>
          <w:noProof/>
          <w:lang w:val="fr-FR"/>
        </w:rPr>
        <w:t xml:space="preserve">Le </w:t>
      </w:r>
      <w:r w:rsidRPr="00AF434B">
        <w:rPr>
          <w:noProof/>
          <w:lang w:val="fr-FR"/>
        </w:rPr>
        <w:t xml:space="preserve">Portugal </w:t>
      </w:r>
      <w:r>
        <w:rPr>
          <w:noProof/>
          <w:lang w:val="fr-FR"/>
        </w:rPr>
        <w:t xml:space="preserve">a adopté la loi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Pr>
          <w:noProof/>
          <w:lang w:val="fr-FR"/>
        </w:rPr>
        <w:t>62/2017, du 1</w:t>
      </w:r>
      <w:r w:rsidRPr="0031665E">
        <w:rPr>
          <w:noProof/>
          <w:vertAlign w:val="superscript"/>
          <w:lang w:val="fr-FR"/>
        </w:rPr>
        <w:t>er</w:t>
      </w:r>
      <w:r w:rsidR="00BE5017">
        <w:rPr>
          <w:noProof/>
          <w:vertAlign w:val="superscript"/>
          <w:lang w:val="fr-FR"/>
        </w:rPr>
        <w:t> </w:t>
      </w:r>
      <w:r>
        <w:rPr>
          <w:noProof/>
          <w:lang w:val="fr-FR"/>
        </w:rPr>
        <w:t>août 2017</w:t>
      </w:r>
      <w:r w:rsidRPr="00AF434B">
        <w:rPr>
          <w:noProof/>
          <w:lang w:val="fr-FR"/>
        </w:rPr>
        <w:t xml:space="preserve">, </w:t>
      </w:r>
      <w:r>
        <w:rPr>
          <w:noProof/>
          <w:lang w:val="fr-FR"/>
        </w:rPr>
        <w:t>qui établit un régime de représentation équilibrée des femmes et des hommes aux organes administratifs</w:t>
      </w:r>
      <w:r w:rsidRPr="00AF434B">
        <w:rPr>
          <w:noProof/>
          <w:lang w:val="fr-FR"/>
        </w:rPr>
        <w:t xml:space="preserve"> </w:t>
      </w:r>
      <w:r>
        <w:rPr>
          <w:noProof/>
          <w:lang w:val="fr-FR"/>
        </w:rPr>
        <w:t xml:space="preserve">et de surveillance des </w:t>
      </w:r>
      <w:r w:rsidRPr="00AF434B">
        <w:rPr>
          <w:noProof/>
          <w:lang w:val="fr-FR"/>
        </w:rPr>
        <w:t>entit</w:t>
      </w:r>
      <w:r>
        <w:rPr>
          <w:noProof/>
          <w:lang w:val="fr-FR"/>
        </w:rPr>
        <w:t>é</w:t>
      </w:r>
      <w:r w:rsidRPr="00AF434B">
        <w:rPr>
          <w:noProof/>
          <w:lang w:val="fr-FR"/>
        </w:rPr>
        <w:t xml:space="preserve">s </w:t>
      </w:r>
      <w:r>
        <w:rPr>
          <w:noProof/>
          <w:lang w:val="fr-FR"/>
        </w:rPr>
        <w:t>du secteur public et des sociétés cotées en bourse</w:t>
      </w:r>
      <w:r w:rsidRPr="00AF434B">
        <w:rPr>
          <w:noProof/>
          <w:lang w:val="fr-FR"/>
        </w:rPr>
        <w:t>.</w:t>
      </w:r>
    </w:p>
    <w:p w14:paraId="5F5C27E9" w14:textId="77777777" w:rsidR="00BF0619" w:rsidRPr="00AF434B" w:rsidRDefault="00BF0619" w:rsidP="00BF0619">
      <w:pPr>
        <w:pStyle w:val="SingleTxtG"/>
        <w:rPr>
          <w:noProof/>
          <w:lang w:val="fr-FR"/>
        </w:rPr>
      </w:pPr>
      <w:r w:rsidRPr="00AF434B">
        <w:rPr>
          <w:noProof/>
          <w:lang w:val="fr-FR"/>
        </w:rPr>
        <w:t>4.</w:t>
      </w:r>
      <w:r w:rsidRPr="00AF434B">
        <w:rPr>
          <w:noProof/>
          <w:lang w:val="fr-FR"/>
        </w:rPr>
        <w:tab/>
      </w:r>
      <w:r>
        <w:rPr>
          <w:noProof/>
          <w:lang w:val="fr-FR"/>
        </w:rPr>
        <w:t>En vertu de cette loi, il sera obligatoire, à compter de 2018, de faire en sorte que le sexe le moins bien représenté bénéficie d’un nombre minimal de sièges aux conseils d’administration et aux organes de surveillance</w:t>
      </w:r>
      <w:r w:rsidRPr="00AF434B">
        <w:rPr>
          <w:noProof/>
          <w:lang w:val="fr-FR"/>
        </w:rPr>
        <w:t xml:space="preserve"> </w:t>
      </w:r>
      <w:r>
        <w:rPr>
          <w:noProof/>
          <w:lang w:val="fr-FR"/>
        </w:rPr>
        <w:t>des entreprises publiques et des sociétés cotées en bourse</w:t>
      </w:r>
      <w:r w:rsidRPr="00AF434B">
        <w:rPr>
          <w:noProof/>
          <w:lang w:val="fr-FR"/>
        </w:rPr>
        <w:t xml:space="preserve">. </w:t>
      </w:r>
      <w:r>
        <w:rPr>
          <w:noProof/>
          <w:lang w:val="fr-FR"/>
        </w:rPr>
        <w:t>C’est ainsi que, dans les entreprises publiques, au moins</w:t>
      </w:r>
      <w:r w:rsidRPr="00AF434B">
        <w:rPr>
          <w:noProof/>
          <w:lang w:val="fr-FR"/>
        </w:rPr>
        <w:t xml:space="preserve"> 33</w:t>
      </w:r>
      <w:r>
        <w:rPr>
          <w:noProof/>
          <w:lang w:val="fr-FR"/>
        </w:rPr>
        <w:t>,</w:t>
      </w:r>
      <w:r w:rsidRPr="00AF434B">
        <w:rPr>
          <w:noProof/>
          <w:lang w:val="fr-FR"/>
        </w:rPr>
        <w:t>3</w:t>
      </w:r>
      <w:r w:rsidR="00BE5017">
        <w:rPr>
          <w:noProof/>
          <w:lang w:val="fr-FR"/>
        </w:rPr>
        <w:t> </w:t>
      </w:r>
      <w:r w:rsidRPr="00AF434B">
        <w:rPr>
          <w:noProof/>
          <w:lang w:val="fr-FR"/>
        </w:rPr>
        <w:t xml:space="preserve">% </w:t>
      </w:r>
      <w:r>
        <w:rPr>
          <w:noProof/>
          <w:lang w:val="fr-FR"/>
        </w:rPr>
        <w:t>des sièges aux conseils d’administration et aux organes de surveillance</w:t>
      </w:r>
      <w:r w:rsidRPr="00AF434B">
        <w:rPr>
          <w:noProof/>
          <w:lang w:val="fr-FR"/>
        </w:rPr>
        <w:t xml:space="preserve"> </w:t>
      </w:r>
      <w:r>
        <w:rPr>
          <w:noProof/>
          <w:lang w:val="fr-FR"/>
        </w:rPr>
        <w:t>doivent être occupés par des femmes</w:t>
      </w:r>
      <w:r w:rsidRPr="00AF434B">
        <w:rPr>
          <w:noProof/>
          <w:lang w:val="fr-FR"/>
        </w:rPr>
        <w:t xml:space="preserve">. </w:t>
      </w:r>
      <w:r>
        <w:rPr>
          <w:noProof/>
          <w:lang w:val="fr-FR"/>
        </w:rPr>
        <w:t xml:space="preserve">S’agissant des sociétés cotées en bourse, le quota est de </w:t>
      </w:r>
      <w:r w:rsidRPr="00AF434B">
        <w:rPr>
          <w:noProof/>
          <w:lang w:val="fr-FR"/>
        </w:rPr>
        <w:t>20</w:t>
      </w:r>
      <w:r w:rsidR="00BE5017">
        <w:rPr>
          <w:noProof/>
          <w:lang w:val="fr-FR"/>
        </w:rPr>
        <w:t> </w:t>
      </w:r>
      <w:r w:rsidRPr="00AF434B">
        <w:rPr>
          <w:noProof/>
          <w:lang w:val="fr-FR"/>
        </w:rPr>
        <w:t xml:space="preserve">% </w:t>
      </w:r>
      <w:r>
        <w:rPr>
          <w:noProof/>
          <w:lang w:val="fr-FR"/>
        </w:rPr>
        <w:t>e</w:t>
      </w:r>
      <w:r w:rsidRPr="00AF434B">
        <w:rPr>
          <w:noProof/>
          <w:lang w:val="fr-FR"/>
        </w:rPr>
        <w:t xml:space="preserve">n 2018 </w:t>
      </w:r>
      <w:r>
        <w:rPr>
          <w:noProof/>
          <w:lang w:val="fr-FR"/>
        </w:rPr>
        <w:t xml:space="preserve">et doit passer à </w:t>
      </w:r>
      <w:r w:rsidRPr="00AF434B">
        <w:rPr>
          <w:noProof/>
          <w:lang w:val="fr-FR"/>
        </w:rPr>
        <w:t>33</w:t>
      </w:r>
      <w:r>
        <w:rPr>
          <w:noProof/>
          <w:lang w:val="fr-FR"/>
        </w:rPr>
        <w:t>,</w:t>
      </w:r>
      <w:r w:rsidRPr="00AF434B">
        <w:rPr>
          <w:noProof/>
          <w:lang w:val="fr-FR"/>
        </w:rPr>
        <w:t>3</w:t>
      </w:r>
      <w:r w:rsidR="00BE5017">
        <w:rPr>
          <w:noProof/>
          <w:lang w:val="fr-FR"/>
        </w:rPr>
        <w:t> </w:t>
      </w:r>
      <w:r w:rsidRPr="00AF434B">
        <w:rPr>
          <w:noProof/>
          <w:lang w:val="fr-FR"/>
        </w:rPr>
        <w:t xml:space="preserve">% </w:t>
      </w:r>
      <w:r>
        <w:rPr>
          <w:noProof/>
          <w:lang w:val="fr-FR"/>
        </w:rPr>
        <w:t>e</w:t>
      </w:r>
      <w:r w:rsidRPr="00AF434B">
        <w:rPr>
          <w:noProof/>
          <w:lang w:val="fr-FR"/>
        </w:rPr>
        <w:t xml:space="preserve">n </w:t>
      </w:r>
      <w:r>
        <w:rPr>
          <w:noProof/>
          <w:lang w:val="fr-FR"/>
        </w:rPr>
        <w:t xml:space="preserve">janvier </w:t>
      </w:r>
      <w:r w:rsidRPr="00AF434B">
        <w:rPr>
          <w:noProof/>
          <w:lang w:val="fr-FR"/>
        </w:rPr>
        <w:t>2020.</w:t>
      </w:r>
    </w:p>
    <w:p w14:paraId="6D74024A" w14:textId="77777777" w:rsidR="00BF0619" w:rsidRPr="00AF434B" w:rsidRDefault="00BF0619" w:rsidP="00BE5017">
      <w:pPr>
        <w:pStyle w:val="SingleTxtG"/>
        <w:keepNext/>
        <w:keepLines/>
        <w:rPr>
          <w:noProof/>
          <w:lang w:val="fr-FR"/>
        </w:rPr>
      </w:pPr>
      <w:r w:rsidRPr="00AF434B">
        <w:rPr>
          <w:noProof/>
          <w:lang w:val="fr-FR"/>
        </w:rPr>
        <w:t>5.</w:t>
      </w:r>
      <w:r w:rsidRPr="00AF434B">
        <w:rPr>
          <w:noProof/>
          <w:lang w:val="fr-FR"/>
        </w:rPr>
        <w:tab/>
      </w:r>
      <w:r>
        <w:rPr>
          <w:noProof/>
          <w:lang w:val="fr-FR"/>
        </w:rPr>
        <w:t>Si le seuil minimal de femmes et d’hommes au sein des conseils d’administration n’est pas atteint, la loi prévoit des sanctions</w:t>
      </w:r>
      <w:r w:rsidRPr="00AF434B">
        <w:rPr>
          <w:noProof/>
          <w:lang w:val="fr-FR"/>
        </w:rPr>
        <w:t xml:space="preserve">. </w:t>
      </w:r>
      <w:r>
        <w:rPr>
          <w:noProof/>
          <w:lang w:val="fr-FR"/>
        </w:rPr>
        <w:t xml:space="preserve">Ainsi : </w:t>
      </w:r>
    </w:p>
    <w:p w14:paraId="1688B943"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Dans le cas des entité</w:t>
      </w:r>
      <w:r w:rsidRPr="00AF434B">
        <w:rPr>
          <w:noProof/>
          <w:lang w:val="fr-FR"/>
        </w:rPr>
        <w:t>s publi</w:t>
      </w:r>
      <w:r>
        <w:rPr>
          <w:noProof/>
          <w:lang w:val="fr-FR"/>
        </w:rPr>
        <w:t>ques</w:t>
      </w:r>
      <w:r w:rsidRPr="00AF434B">
        <w:rPr>
          <w:noProof/>
          <w:lang w:val="fr-FR"/>
        </w:rPr>
        <w:t xml:space="preserve">, </w:t>
      </w:r>
      <w:r>
        <w:rPr>
          <w:noProof/>
          <w:lang w:val="fr-FR"/>
        </w:rPr>
        <w:t xml:space="preserve">la désignation des membres des organes </w:t>
      </w:r>
      <w:r w:rsidRPr="00AF434B">
        <w:rPr>
          <w:noProof/>
          <w:lang w:val="fr-FR"/>
        </w:rPr>
        <w:t>administrati</w:t>
      </w:r>
      <w:r>
        <w:rPr>
          <w:noProof/>
          <w:lang w:val="fr-FR"/>
        </w:rPr>
        <w:t>fs</w:t>
      </w:r>
      <w:r w:rsidRPr="00AF434B">
        <w:rPr>
          <w:noProof/>
          <w:lang w:val="fr-FR"/>
        </w:rPr>
        <w:t xml:space="preserve"> </w:t>
      </w:r>
      <w:r>
        <w:rPr>
          <w:noProof/>
          <w:lang w:val="fr-FR"/>
        </w:rPr>
        <w:t xml:space="preserve">et de surveillance sera considérée comme nulle et non avenue, et une nouvelle proposition qui respecte le seuil légal devra être présentée dans un délai de </w:t>
      </w:r>
      <w:r w:rsidR="00BE5017">
        <w:rPr>
          <w:noProof/>
          <w:lang w:val="fr-FR"/>
        </w:rPr>
        <w:t>quatre-vingt-dix</w:t>
      </w:r>
      <w:r>
        <w:rPr>
          <w:noProof/>
          <w:lang w:val="fr-FR"/>
        </w:rPr>
        <w:t xml:space="preserve"> jours</w:t>
      </w:r>
      <w:r w:rsidR="00BE5017">
        <w:rPr>
          <w:noProof/>
          <w:lang w:val="fr-FR"/>
        </w:rPr>
        <w:t> ;</w:t>
      </w:r>
    </w:p>
    <w:p w14:paraId="1637F3D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Dans le cas des sociétés cotées en bourse, la désignation des membres des organes </w:t>
      </w:r>
      <w:r w:rsidRPr="00AF434B">
        <w:rPr>
          <w:noProof/>
          <w:lang w:val="fr-FR"/>
        </w:rPr>
        <w:t>administrati</w:t>
      </w:r>
      <w:r>
        <w:rPr>
          <w:noProof/>
          <w:lang w:val="fr-FR"/>
        </w:rPr>
        <w:t>fs</w:t>
      </w:r>
      <w:r w:rsidRPr="00AF434B">
        <w:rPr>
          <w:noProof/>
          <w:lang w:val="fr-FR"/>
        </w:rPr>
        <w:t xml:space="preserve"> </w:t>
      </w:r>
      <w:r>
        <w:rPr>
          <w:noProof/>
          <w:lang w:val="fr-FR"/>
        </w:rPr>
        <w:t>et de surveillance sera considérée comme nulle et non avenue</w:t>
      </w:r>
      <w:r w:rsidRPr="00AF434B">
        <w:rPr>
          <w:noProof/>
          <w:lang w:val="fr-FR"/>
        </w:rPr>
        <w:t xml:space="preserve"> </w:t>
      </w:r>
      <w:r>
        <w:rPr>
          <w:noProof/>
          <w:lang w:val="fr-FR"/>
        </w:rPr>
        <w:t>par la Commission portugaise du marché des valeurs mobilières (</w:t>
      </w:r>
      <w:r w:rsidRPr="00AF434B">
        <w:rPr>
          <w:noProof/>
          <w:lang w:val="fr-FR"/>
        </w:rPr>
        <w:t>CMVM</w:t>
      </w:r>
      <w:r>
        <w:rPr>
          <w:noProof/>
          <w:lang w:val="fr-FR"/>
        </w:rPr>
        <w:t>)</w:t>
      </w:r>
      <w:r w:rsidRPr="00AF434B">
        <w:rPr>
          <w:noProof/>
          <w:lang w:val="fr-FR"/>
        </w:rPr>
        <w:t xml:space="preserve"> </w:t>
      </w:r>
      <w:r>
        <w:rPr>
          <w:noProof/>
          <w:lang w:val="fr-FR"/>
        </w:rPr>
        <w:t xml:space="preserve">et la </w:t>
      </w:r>
      <w:r w:rsidRPr="00AF434B">
        <w:rPr>
          <w:noProof/>
          <w:lang w:val="fr-FR"/>
        </w:rPr>
        <w:t xml:space="preserve">situation </w:t>
      </w:r>
      <w:r>
        <w:rPr>
          <w:noProof/>
          <w:lang w:val="fr-FR"/>
        </w:rPr>
        <w:t xml:space="preserve">devra être régularisée dans un délai de </w:t>
      </w:r>
      <w:r w:rsidR="00BE5017">
        <w:rPr>
          <w:noProof/>
          <w:lang w:val="fr-FR"/>
        </w:rPr>
        <w:t xml:space="preserve">quatre-vingt-dix </w:t>
      </w:r>
      <w:r>
        <w:rPr>
          <w:noProof/>
          <w:lang w:val="fr-FR"/>
        </w:rPr>
        <w:t>jours</w:t>
      </w:r>
      <w:r w:rsidRPr="00AF434B">
        <w:rPr>
          <w:noProof/>
          <w:lang w:val="fr-FR"/>
        </w:rPr>
        <w:t xml:space="preserve">. </w:t>
      </w:r>
      <w:r>
        <w:rPr>
          <w:noProof/>
          <w:lang w:val="fr-FR"/>
        </w:rPr>
        <w:t>Pour ces sociétés</w:t>
      </w:r>
      <w:r w:rsidRPr="00AF434B">
        <w:rPr>
          <w:noProof/>
          <w:lang w:val="fr-FR"/>
        </w:rPr>
        <w:t xml:space="preserve">, </w:t>
      </w:r>
      <w:r>
        <w:rPr>
          <w:noProof/>
          <w:lang w:val="fr-FR"/>
        </w:rPr>
        <w:t xml:space="preserve">le non-respect persistant du seuil minimal donne lieu à une réprimande portée au registre public des sites Web de la </w:t>
      </w:r>
      <w:r>
        <w:rPr>
          <w:lang w:val="fr-FR"/>
        </w:rPr>
        <w:t>Commission pour la citoyenneté et l’égalité des sexes</w:t>
      </w:r>
      <w:r w:rsidRPr="00AF434B">
        <w:rPr>
          <w:noProof/>
          <w:lang w:val="fr-FR"/>
        </w:rPr>
        <w:t xml:space="preserve">, </w:t>
      </w:r>
      <w:r>
        <w:rPr>
          <w:noProof/>
          <w:lang w:val="fr-FR"/>
        </w:rPr>
        <w:t xml:space="preserve">de la </w:t>
      </w:r>
      <w:r>
        <w:rPr>
          <w:lang w:val="fr-FR"/>
        </w:rPr>
        <w:t>Commission pour l’égalité dans le travail et dans l’emploi</w:t>
      </w:r>
      <w:r w:rsidRPr="00AF434B">
        <w:rPr>
          <w:noProof/>
          <w:lang w:val="fr-FR"/>
        </w:rPr>
        <w:t xml:space="preserve"> </w:t>
      </w:r>
      <w:r>
        <w:rPr>
          <w:noProof/>
          <w:lang w:val="fr-FR"/>
        </w:rPr>
        <w:t>et de la</w:t>
      </w:r>
      <w:r w:rsidRPr="00AF434B">
        <w:rPr>
          <w:noProof/>
          <w:lang w:val="fr-FR"/>
        </w:rPr>
        <w:t xml:space="preserve"> CMVM. </w:t>
      </w:r>
      <w:r>
        <w:rPr>
          <w:noProof/>
          <w:lang w:val="fr-FR"/>
        </w:rPr>
        <w:t>Si l’inobservation du seuil minimal se prolonge pendant plus d’un an après la date de la réprimande, la</w:t>
      </w:r>
      <w:r w:rsidRPr="00AF434B">
        <w:rPr>
          <w:noProof/>
          <w:lang w:val="fr-FR"/>
        </w:rPr>
        <w:t xml:space="preserve"> CMVM </w:t>
      </w:r>
      <w:r>
        <w:rPr>
          <w:noProof/>
          <w:lang w:val="fr-FR"/>
        </w:rPr>
        <w:t>applique une amende</w:t>
      </w:r>
      <w:r w:rsidRPr="00AF434B">
        <w:rPr>
          <w:noProof/>
          <w:lang w:val="fr-FR"/>
        </w:rPr>
        <w:t>.</w:t>
      </w:r>
    </w:p>
    <w:p w14:paraId="7B934BC9" w14:textId="77777777" w:rsidR="00BF0619" w:rsidRPr="00AF434B" w:rsidRDefault="00BF0619" w:rsidP="00BF0619">
      <w:pPr>
        <w:pStyle w:val="SingleTxtG"/>
        <w:rPr>
          <w:noProof/>
          <w:lang w:val="fr-FR"/>
        </w:rPr>
      </w:pPr>
      <w:r w:rsidRPr="00AF434B">
        <w:rPr>
          <w:noProof/>
          <w:lang w:val="fr-FR"/>
        </w:rPr>
        <w:t>6.</w:t>
      </w:r>
      <w:r w:rsidRPr="00AF434B">
        <w:rPr>
          <w:noProof/>
          <w:lang w:val="fr-FR"/>
        </w:rPr>
        <w:tab/>
      </w:r>
      <w:r>
        <w:rPr>
          <w:noProof/>
          <w:lang w:val="fr-FR"/>
        </w:rPr>
        <w:t>La loi impose également aux entreprises publiques et aux sociétés cotées en bourse d’élaborer des p</w:t>
      </w:r>
      <w:r w:rsidRPr="00AF434B">
        <w:rPr>
          <w:noProof/>
          <w:lang w:val="fr-FR"/>
        </w:rPr>
        <w:t xml:space="preserve">lans </w:t>
      </w:r>
      <w:r>
        <w:rPr>
          <w:noProof/>
          <w:lang w:val="fr-FR"/>
        </w:rPr>
        <w:t>annuels en faveur de l’égalité et de les publier sur leurs sites Web</w:t>
      </w:r>
      <w:r w:rsidRPr="00AF434B">
        <w:rPr>
          <w:noProof/>
          <w:lang w:val="fr-FR"/>
        </w:rPr>
        <w:t xml:space="preserve">. </w:t>
      </w:r>
      <w:r>
        <w:rPr>
          <w:noProof/>
          <w:lang w:val="fr-FR"/>
        </w:rPr>
        <w:t xml:space="preserve">Elles doivent adresser ces plans à la </w:t>
      </w:r>
      <w:r>
        <w:rPr>
          <w:lang w:val="fr-FR"/>
        </w:rPr>
        <w:t>Commission pour la citoyenneté et l’égalité des sexes</w:t>
      </w:r>
      <w:r>
        <w:rPr>
          <w:noProof/>
          <w:lang w:val="fr-FR"/>
        </w:rPr>
        <w:t xml:space="preserve"> et à la </w:t>
      </w:r>
      <w:r>
        <w:rPr>
          <w:lang w:val="fr-FR"/>
        </w:rPr>
        <w:t>Commission pour l’égalité dans le travail et dans l’emploi</w:t>
      </w:r>
      <w:r>
        <w:rPr>
          <w:noProof/>
          <w:lang w:val="fr-FR"/>
        </w:rPr>
        <w:t>, et cette dernière peut émettre des recommandations relatives à ces plans et les publier sur son site Web</w:t>
      </w:r>
      <w:r w:rsidRPr="00AF434B">
        <w:rPr>
          <w:noProof/>
          <w:lang w:val="fr-FR"/>
        </w:rPr>
        <w:t>.</w:t>
      </w:r>
    </w:p>
    <w:p w14:paraId="5CCF4A70" w14:textId="77777777" w:rsidR="00BF0619" w:rsidRPr="00AF434B" w:rsidRDefault="00BF0619" w:rsidP="00BF0619">
      <w:pPr>
        <w:pStyle w:val="SingleTxtG"/>
        <w:rPr>
          <w:noProof/>
          <w:lang w:val="fr-FR"/>
        </w:rPr>
      </w:pPr>
      <w:r w:rsidRPr="00AF434B">
        <w:rPr>
          <w:noProof/>
          <w:lang w:val="fr-FR"/>
        </w:rPr>
        <w:t>7.</w:t>
      </w:r>
      <w:r w:rsidRPr="00AF434B">
        <w:rPr>
          <w:noProof/>
          <w:lang w:val="fr-FR"/>
        </w:rPr>
        <w:tab/>
      </w:r>
      <w:r>
        <w:rPr>
          <w:noProof/>
          <w:lang w:val="fr-FR"/>
        </w:rPr>
        <w:t xml:space="preserve">En vertu de cette loi, toute modification apportée à la </w:t>
      </w:r>
      <w:r w:rsidRPr="00AF434B">
        <w:rPr>
          <w:noProof/>
          <w:lang w:val="fr-FR"/>
        </w:rPr>
        <w:t xml:space="preserve">composition </w:t>
      </w:r>
      <w:r>
        <w:rPr>
          <w:noProof/>
          <w:lang w:val="fr-FR"/>
        </w:rPr>
        <w:t xml:space="preserve">des organes administratifs et de surveillance des entreprises publiques et des sociétés cotées en bourse doit être communiquée à la </w:t>
      </w:r>
      <w:r>
        <w:rPr>
          <w:lang w:val="fr-FR"/>
        </w:rPr>
        <w:t>Commission pour la citoyenneté et l’égalité des sexes</w:t>
      </w:r>
      <w:r>
        <w:rPr>
          <w:noProof/>
          <w:lang w:val="fr-FR"/>
        </w:rPr>
        <w:t xml:space="preserve"> dans un délai de </w:t>
      </w:r>
      <w:r w:rsidR="00BE5017">
        <w:rPr>
          <w:noProof/>
          <w:lang w:val="fr-FR"/>
        </w:rPr>
        <w:t>dix</w:t>
      </w:r>
      <w:r>
        <w:rPr>
          <w:noProof/>
          <w:lang w:val="fr-FR"/>
        </w:rPr>
        <w:t xml:space="preserve"> jours</w:t>
      </w:r>
      <w:r w:rsidR="00BE5017">
        <w:rPr>
          <w:noProof/>
          <w:lang w:val="fr-FR"/>
        </w:rPr>
        <w:t> :</w:t>
      </w:r>
    </w:p>
    <w:p w14:paraId="1767A499" w14:textId="77777777" w:rsidR="00BF0619" w:rsidRPr="00AF434B" w:rsidRDefault="00BF0619" w:rsidP="00BE5017">
      <w:pPr>
        <w:pStyle w:val="SingleTxtG"/>
        <w:ind w:firstLine="567"/>
        <w:rPr>
          <w:noProof/>
          <w:lang w:val="fr-FR"/>
        </w:rPr>
      </w:pPr>
      <w:r w:rsidRPr="00AF434B">
        <w:rPr>
          <w:noProof/>
          <w:lang w:val="fr-FR"/>
        </w:rPr>
        <w:t>c)</w:t>
      </w:r>
      <w:r w:rsidRPr="00AF434B">
        <w:rPr>
          <w:noProof/>
          <w:lang w:val="fr-FR"/>
        </w:rPr>
        <w:tab/>
      </w:r>
      <w:r>
        <w:rPr>
          <w:noProof/>
          <w:lang w:val="fr-FR"/>
        </w:rPr>
        <w:t xml:space="preserve">La résolution du Conseil des ministres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sidRPr="00AF434B">
        <w:rPr>
          <w:noProof/>
          <w:lang w:val="fr-FR"/>
        </w:rPr>
        <w:t>61/2018</w:t>
      </w:r>
      <w:r>
        <w:rPr>
          <w:noProof/>
          <w:lang w:val="fr-FR"/>
        </w:rPr>
        <w:t xml:space="preserve"> du</w:t>
      </w:r>
      <w:r w:rsidRPr="00AF434B">
        <w:rPr>
          <w:noProof/>
          <w:lang w:val="fr-FR"/>
        </w:rPr>
        <w:t xml:space="preserve"> 21</w:t>
      </w:r>
      <w:r w:rsidR="00BE5017">
        <w:rPr>
          <w:noProof/>
          <w:lang w:val="fr-FR"/>
        </w:rPr>
        <w:t> </w:t>
      </w:r>
      <w:r>
        <w:rPr>
          <w:noProof/>
          <w:lang w:val="fr-FR"/>
        </w:rPr>
        <w:t xml:space="preserve">mai a adopté la Stratégie nationale en faveur de l’égalité et de la non-discrimination pour </w:t>
      </w:r>
      <w:r w:rsidRPr="00AF434B">
        <w:rPr>
          <w:noProof/>
          <w:lang w:val="fr-FR"/>
        </w:rPr>
        <w:t>2018</w:t>
      </w:r>
      <w:r>
        <w:rPr>
          <w:noProof/>
          <w:lang w:val="fr-FR"/>
        </w:rPr>
        <w:t>-</w:t>
      </w:r>
      <w:r w:rsidRPr="00AF434B">
        <w:rPr>
          <w:noProof/>
          <w:lang w:val="fr-FR"/>
        </w:rPr>
        <w:t xml:space="preserve">2030, </w:t>
      </w:r>
      <w:r>
        <w:rPr>
          <w:noProof/>
          <w:lang w:val="fr-FR"/>
        </w:rPr>
        <w:t xml:space="preserve">qui est </w:t>
      </w:r>
      <w:r w:rsidRPr="00AF434B">
        <w:rPr>
          <w:noProof/>
          <w:lang w:val="fr-FR"/>
        </w:rPr>
        <w:t>align</w:t>
      </w:r>
      <w:r>
        <w:rPr>
          <w:noProof/>
          <w:lang w:val="fr-FR"/>
        </w:rPr>
        <w:t>é</w:t>
      </w:r>
      <w:r w:rsidRPr="00AF434B">
        <w:rPr>
          <w:noProof/>
          <w:lang w:val="fr-FR"/>
        </w:rPr>
        <w:t>e</w:t>
      </w:r>
      <w:r>
        <w:rPr>
          <w:noProof/>
          <w:lang w:val="fr-FR"/>
        </w:rPr>
        <w:t xml:space="preserve"> du point de vue tant du cadre </w:t>
      </w:r>
      <w:r w:rsidRPr="00AF434B">
        <w:rPr>
          <w:noProof/>
          <w:lang w:val="fr-FR"/>
        </w:rPr>
        <w:t>tempor</w:t>
      </w:r>
      <w:r>
        <w:rPr>
          <w:noProof/>
          <w:lang w:val="fr-FR"/>
        </w:rPr>
        <w:t>el que des lignes de force</w:t>
      </w:r>
      <w:r w:rsidRPr="00AF434B">
        <w:rPr>
          <w:noProof/>
          <w:lang w:val="fr-FR"/>
        </w:rPr>
        <w:t xml:space="preserve"> </w:t>
      </w:r>
      <w:r>
        <w:rPr>
          <w:noProof/>
          <w:lang w:val="fr-FR"/>
        </w:rPr>
        <w:t xml:space="preserve">sur le Programme de développement durable à l’horizon </w:t>
      </w:r>
      <w:r w:rsidRPr="00AF434B">
        <w:rPr>
          <w:noProof/>
          <w:lang w:val="fr-FR"/>
        </w:rPr>
        <w:t xml:space="preserve">2030 </w:t>
      </w:r>
      <w:r>
        <w:rPr>
          <w:noProof/>
          <w:lang w:val="fr-FR"/>
        </w:rPr>
        <w:t>et qui s’appuie sur trois plans d’action</w:t>
      </w:r>
      <w:r w:rsidRPr="00AF434B">
        <w:rPr>
          <w:noProof/>
          <w:lang w:val="fr-FR"/>
        </w:rPr>
        <w:t xml:space="preserve">. </w:t>
      </w:r>
      <w:r>
        <w:rPr>
          <w:noProof/>
          <w:lang w:val="fr-FR"/>
        </w:rPr>
        <w:t>Le</w:t>
      </w:r>
      <w:r w:rsidR="00BE5017">
        <w:rPr>
          <w:noProof/>
          <w:lang w:val="fr-FR"/>
        </w:rPr>
        <w:t> </w:t>
      </w:r>
      <w:r>
        <w:rPr>
          <w:noProof/>
          <w:lang w:val="fr-FR"/>
        </w:rPr>
        <w:t>premier plan d’action en faveur de l’égalité entre les femmes et les hommes</w:t>
      </w:r>
      <w:r w:rsidR="00BE5017">
        <w:rPr>
          <w:noProof/>
          <w:lang w:val="fr-FR"/>
        </w:rPr>
        <w:t> :</w:t>
      </w:r>
    </w:p>
    <w:p w14:paraId="7E22495C"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Garantit un mode de gestion qui intègre la lutte contre la </w:t>
      </w:r>
      <w:r w:rsidRPr="00AF434B">
        <w:rPr>
          <w:noProof/>
          <w:lang w:val="fr-FR"/>
        </w:rPr>
        <w:t xml:space="preserve">discrimination </w:t>
      </w:r>
      <w:r>
        <w:rPr>
          <w:noProof/>
          <w:lang w:val="fr-FR"/>
        </w:rPr>
        <w:t xml:space="preserve">fondée sur le sexe et la </w:t>
      </w:r>
      <w:r w:rsidRPr="00AF434B">
        <w:rPr>
          <w:noProof/>
          <w:lang w:val="fr-FR"/>
        </w:rPr>
        <w:t xml:space="preserve">promotion </w:t>
      </w:r>
      <w:r>
        <w:rPr>
          <w:noProof/>
          <w:lang w:val="fr-FR"/>
        </w:rPr>
        <w:t>de l’égalité entre les femmes et les hommes dans les politiques élaborées et les mesures adoptées, ce à tous les échelons de l’administration publique</w:t>
      </w:r>
      <w:r w:rsidR="00BE5017">
        <w:rPr>
          <w:noProof/>
          <w:lang w:val="fr-FR"/>
        </w:rPr>
        <w:t> ;</w:t>
      </w:r>
    </w:p>
    <w:p w14:paraId="04654F14"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Assure les </w:t>
      </w:r>
      <w:r w:rsidRPr="00AF434B">
        <w:rPr>
          <w:noProof/>
          <w:lang w:val="fr-FR"/>
        </w:rPr>
        <w:t xml:space="preserve">conditions </w:t>
      </w:r>
      <w:r>
        <w:rPr>
          <w:noProof/>
          <w:lang w:val="fr-FR"/>
        </w:rPr>
        <w:t>permettant aux femmes et aux hommes de participer au marché du travail et d’exercer une activité professionnelle à part entière et en toute égalité</w:t>
      </w:r>
      <w:r w:rsidR="00BE5017">
        <w:rPr>
          <w:noProof/>
          <w:lang w:val="fr-FR"/>
        </w:rPr>
        <w:t> ;</w:t>
      </w:r>
    </w:p>
    <w:p w14:paraId="3D976119"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G</w:t>
      </w:r>
      <w:r w:rsidRPr="00AF434B">
        <w:rPr>
          <w:noProof/>
          <w:lang w:val="fr-FR"/>
        </w:rPr>
        <w:t>arant</w:t>
      </w:r>
      <w:r>
        <w:rPr>
          <w:noProof/>
          <w:lang w:val="fr-FR"/>
        </w:rPr>
        <w:t>it les conditions d’une é</w:t>
      </w:r>
      <w:r w:rsidRPr="00AF434B">
        <w:rPr>
          <w:noProof/>
          <w:lang w:val="fr-FR"/>
        </w:rPr>
        <w:t xml:space="preserve">ducation </w:t>
      </w:r>
      <w:r>
        <w:rPr>
          <w:noProof/>
          <w:lang w:val="fr-FR"/>
        </w:rPr>
        <w:t>et d’une formation sans stéréotypes sexistes</w:t>
      </w:r>
      <w:r w:rsidR="00BE5017">
        <w:rPr>
          <w:noProof/>
          <w:lang w:val="fr-FR"/>
        </w:rPr>
        <w:t> ;</w:t>
      </w:r>
    </w:p>
    <w:p w14:paraId="7374C3B6"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Promeut l’égalité entre les femmes et les hommes dans l’enseignement supérieur et dans le développement </w:t>
      </w:r>
      <w:r w:rsidRPr="00AF434B">
        <w:rPr>
          <w:noProof/>
          <w:lang w:val="fr-FR"/>
        </w:rPr>
        <w:t>scientifi</w:t>
      </w:r>
      <w:r>
        <w:rPr>
          <w:noProof/>
          <w:lang w:val="fr-FR"/>
        </w:rPr>
        <w:t>que et technologique</w:t>
      </w:r>
      <w:r w:rsidR="00BE5017">
        <w:rPr>
          <w:noProof/>
          <w:lang w:val="fr-FR"/>
        </w:rPr>
        <w:t> ;</w:t>
      </w:r>
    </w:p>
    <w:p w14:paraId="61850FD5"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Promeut l’égalité entre les femmes et les hommes dans le domaine de la santé tout au long du cycle de vie des hommes et des femmes</w:t>
      </w:r>
      <w:r w:rsidR="00BE5017">
        <w:rPr>
          <w:noProof/>
          <w:lang w:val="fr-FR"/>
        </w:rPr>
        <w:t> ;</w:t>
      </w:r>
    </w:p>
    <w:p w14:paraId="48BD3BD0"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t>Prom</w:t>
      </w:r>
      <w:r>
        <w:rPr>
          <w:noProof/>
          <w:lang w:val="fr-FR"/>
        </w:rPr>
        <w:t xml:space="preserve">eut une </w:t>
      </w:r>
      <w:r w:rsidRPr="00AF434B">
        <w:rPr>
          <w:noProof/>
          <w:lang w:val="fr-FR"/>
        </w:rPr>
        <w:t xml:space="preserve">culture </w:t>
      </w:r>
      <w:r>
        <w:rPr>
          <w:noProof/>
          <w:lang w:val="fr-FR"/>
        </w:rPr>
        <w:t xml:space="preserve">et une </w:t>
      </w:r>
      <w:r w:rsidRPr="00AF434B">
        <w:rPr>
          <w:noProof/>
          <w:lang w:val="fr-FR"/>
        </w:rPr>
        <w:t xml:space="preserve">communication </w:t>
      </w:r>
      <w:r>
        <w:rPr>
          <w:noProof/>
          <w:lang w:val="fr-FR"/>
        </w:rPr>
        <w:t>sociale sans stéréotypes sexistes</w:t>
      </w:r>
      <w:r w:rsidRPr="00AF434B">
        <w:rPr>
          <w:noProof/>
          <w:lang w:val="fr-FR"/>
        </w:rPr>
        <w:t xml:space="preserve"> </w:t>
      </w:r>
      <w:r>
        <w:rPr>
          <w:noProof/>
          <w:lang w:val="fr-FR"/>
        </w:rPr>
        <w:t>et appuie les artisans de l’égalité entre les femmes et les hommes</w:t>
      </w:r>
      <w:r w:rsidR="00BE5017">
        <w:rPr>
          <w:noProof/>
          <w:lang w:val="fr-FR"/>
        </w:rPr>
        <w:t> ;</w:t>
      </w:r>
    </w:p>
    <w:p w14:paraId="1EAC87CF"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t>Int</w:t>
      </w:r>
      <w:r>
        <w:rPr>
          <w:noProof/>
          <w:lang w:val="fr-FR"/>
        </w:rPr>
        <w:t xml:space="preserve">ègre la </w:t>
      </w:r>
      <w:r w:rsidRPr="00AF434B">
        <w:rPr>
          <w:noProof/>
          <w:lang w:val="fr-FR"/>
        </w:rPr>
        <w:t xml:space="preserve">promotion </w:t>
      </w:r>
      <w:r>
        <w:rPr>
          <w:noProof/>
          <w:lang w:val="fr-FR"/>
        </w:rPr>
        <w:t xml:space="preserve">de l’égalité entre les femmes et les hommes dans la lutte contre la pauvreté et l’exclusion </w:t>
      </w:r>
      <w:r w:rsidRPr="00AF434B">
        <w:rPr>
          <w:noProof/>
          <w:lang w:val="fr-FR"/>
        </w:rPr>
        <w:t>social</w:t>
      </w:r>
      <w:r>
        <w:rPr>
          <w:noProof/>
          <w:lang w:val="fr-FR"/>
        </w:rPr>
        <w:t>e</w:t>
      </w:r>
      <w:r w:rsidR="00BE5017">
        <w:rPr>
          <w:noProof/>
          <w:lang w:val="fr-FR"/>
        </w:rPr>
        <w:t> ;</w:t>
      </w:r>
    </w:p>
    <w:p w14:paraId="5BE2E398" w14:textId="77777777" w:rsidR="00BF0619" w:rsidRPr="00AF434B" w:rsidRDefault="00BF0619" w:rsidP="00BE5017">
      <w:pPr>
        <w:pStyle w:val="SingleTxtG"/>
        <w:ind w:firstLine="567"/>
        <w:rPr>
          <w:noProof/>
          <w:lang w:val="fr-FR"/>
        </w:rPr>
      </w:pPr>
      <w:r w:rsidRPr="00AF434B">
        <w:rPr>
          <w:noProof/>
          <w:lang w:val="fr-FR"/>
        </w:rPr>
        <w:t>d)</w:t>
      </w:r>
      <w:r w:rsidRPr="00AF434B">
        <w:rPr>
          <w:noProof/>
          <w:lang w:val="fr-FR"/>
        </w:rPr>
        <w:tab/>
      </w:r>
      <w:r>
        <w:rPr>
          <w:noProof/>
          <w:lang w:val="fr-FR"/>
        </w:rPr>
        <w:t xml:space="preserve">La résolution du Conseil des ministres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sidRPr="00AF434B">
        <w:rPr>
          <w:noProof/>
          <w:lang w:val="fr-FR"/>
        </w:rPr>
        <w:t>11-A/2015</w:t>
      </w:r>
      <w:r>
        <w:rPr>
          <w:noProof/>
          <w:lang w:val="fr-FR"/>
        </w:rPr>
        <w:t xml:space="preserve"> du</w:t>
      </w:r>
      <w:r w:rsidRPr="00AF434B">
        <w:rPr>
          <w:noProof/>
          <w:lang w:val="fr-FR"/>
        </w:rPr>
        <w:t xml:space="preserve"> 6</w:t>
      </w:r>
      <w:r w:rsidR="00BE5017">
        <w:rPr>
          <w:noProof/>
          <w:lang w:val="fr-FR"/>
        </w:rPr>
        <w:t> </w:t>
      </w:r>
      <w:r>
        <w:rPr>
          <w:noProof/>
          <w:lang w:val="fr-FR"/>
        </w:rPr>
        <w:t>mars</w:t>
      </w:r>
      <w:r w:rsidRPr="00AF434B">
        <w:rPr>
          <w:noProof/>
          <w:lang w:val="fr-FR"/>
        </w:rPr>
        <w:t xml:space="preserve"> </w:t>
      </w:r>
      <w:r>
        <w:rPr>
          <w:noProof/>
          <w:lang w:val="fr-FR"/>
        </w:rPr>
        <w:t>met en place des mécanismes de promotion de l’égalité de rémunération et œuvre en faveur d’une représentation plus équilibrée des femmes et des hommes aux organes décisionnels des sociétés cotées en bourse</w:t>
      </w:r>
      <w:r w:rsidR="00BE5017">
        <w:rPr>
          <w:noProof/>
          <w:lang w:val="fr-FR"/>
        </w:rPr>
        <w:t> ;</w:t>
      </w:r>
    </w:p>
    <w:p w14:paraId="2A421E6E" w14:textId="77777777" w:rsidR="00BF0619" w:rsidRPr="00AF434B" w:rsidRDefault="00BF0619" w:rsidP="00BE5017">
      <w:pPr>
        <w:pStyle w:val="SingleTxtG"/>
        <w:ind w:firstLine="567"/>
        <w:rPr>
          <w:noProof/>
          <w:lang w:val="fr-FR"/>
        </w:rPr>
      </w:pPr>
      <w:r w:rsidRPr="00AF434B">
        <w:rPr>
          <w:noProof/>
          <w:lang w:val="fr-FR"/>
        </w:rPr>
        <w:t>e)</w:t>
      </w:r>
      <w:r w:rsidRPr="00AF434B">
        <w:rPr>
          <w:noProof/>
          <w:lang w:val="fr-FR"/>
        </w:rPr>
        <w:tab/>
      </w:r>
      <w:r>
        <w:rPr>
          <w:noProof/>
          <w:lang w:val="fr-FR"/>
        </w:rPr>
        <w:t xml:space="preserve">La résolution du Conseil des ministres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sidRPr="00AF434B">
        <w:rPr>
          <w:noProof/>
          <w:lang w:val="fr-FR"/>
        </w:rPr>
        <w:t>18/2014</w:t>
      </w:r>
      <w:r>
        <w:rPr>
          <w:noProof/>
          <w:lang w:val="fr-FR"/>
        </w:rPr>
        <w:t xml:space="preserve"> du</w:t>
      </w:r>
      <w:r w:rsidRPr="00AF434B">
        <w:rPr>
          <w:noProof/>
          <w:lang w:val="fr-FR"/>
        </w:rPr>
        <w:t xml:space="preserve"> 7 </w:t>
      </w:r>
      <w:r>
        <w:rPr>
          <w:noProof/>
          <w:lang w:val="fr-FR"/>
        </w:rPr>
        <w:t>mars</w:t>
      </w:r>
      <w:r w:rsidRPr="00AF434B">
        <w:rPr>
          <w:noProof/>
          <w:lang w:val="fr-FR"/>
        </w:rPr>
        <w:t xml:space="preserve"> </w:t>
      </w:r>
      <w:r>
        <w:rPr>
          <w:noProof/>
          <w:lang w:val="fr-FR"/>
        </w:rPr>
        <w:t xml:space="preserve">prévoit une série de mesures visant spécifiquement à combattre les écarts de rémunération entre les sexes afin de </w:t>
      </w:r>
      <w:r w:rsidRPr="00855B1E">
        <w:rPr>
          <w:noProof/>
          <w:lang w:val="fr-FR"/>
        </w:rPr>
        <w:t>parvenir à un traitement véritablement équitable des deux sexes</w:t>
      </w:r>
      <w:r w:rsidR="00BE5017">
        <w:rPr>
          <w:noProof/>
          <w:lang w:val="fr-FR"/>
        </w:rPr>
        <w:t> :</w:t>
      </w:r>
    </w:p>
    <w:p w14:paraId="45961E21"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Les entreprises publiques doivent établir tous les trois ans un rapport sur les salaires versés aux femmes et aux hommes dans le but de repérer et de prévenir tout écart de rémunération injustifié</w:t>
      </w:r>
      <w:r w:rsidRPr="00AF434B">
        <w:rPr>
          <w:noProof/>
          <w:lang w:val="fr-FR"/>
        </w:rPr>
        <w:t xml:space="preserve">. </w:t>
      </w:r>
      <w:r>
        <w:rPr>
          <w:noProof/>
          <w:lang w:val="fr-FR"/>
        </w:rPr>
        <w:t>Ce rapport doit être diffusé et mis à disposition sur le site Web de ces entreprises</w:t>
      </w:r>
      <w:r w:rsidR="00BE5017">
        <w:rPr>
          <w:noProof/>
          <w:lang w:val="fr-FR"/>
        </w:rPr>
        <w:t> ;</w:t>
      </w:r>
    </w:p>
    <w:p w14:paraId="2B0EAC5C"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À la suite de ce rapport, ces entreprises doivent élaborer des mesures concrètes, à incorporer dans leurs plans en faveur de l’égalité, pour répondre à des situations d’inégalité salariale entre les femmes et les hommes</w:t>
      </w:r>
      <w:r w:rsidRPr="00AF434B">
        <w:rPr>
          <w:noProof/>
          <w:lang w:val="fr-FR"/>
        </w:rPr>
        <w:t>.</w:t>
      </w:r>
    </w:p>
    <w:p w14:paraId="6CF70D20" w14:textId="77777777" w:rsidR="00BF0619" w:rsidRPr="00AF434B" w:rsidRDefault="00BF0619" w:rsidP="00BF0619">
      <w:pPr>
        <w:pStyle w:val="SingleTxtG"/>
        <w:rPr>
          <w:noProof/>
          <w:lang w:val="fr-FR"/>
        </w:rPr>
      </w:pPr>
      <w:r w:rsidRPr="00AF434B">
        <w:rPr>
          <w:noProof/>
          <w:lang w:val="fr-FR"/>
        </w:rPr>
        <w:t>8.</w:t>
      </w:r>
      <w:r w:rsidRPr="00AF434B">
        <w:rPr>
          <w:noProof/>
          <w:lang w:val="fr-FR"/>
        </w:rPr>
        <w:tab/>
      </w:r>
      <w:r>
        <w:rPr>
          <w:noProof/>
          <w:lang w:val="fr-FR"/>
        </w:rPr>
        <w:t>De plus, cette résolution recommande aux entreprises privées de plus de 25</w:t>
      </w:r>
      <w:r w:rsidR="00BE5017">
        <w:rPr>
          <w:noProof/>
          <w:lang w:val="fr-FR"/>
        </w:rPr>
        <w:t> </w:t>
      </w:r>
      <w:r>
        <w:rPr>
          <w:noProof/>
          <w:lang w:val="fr-FR"/>
        </w:rPr>
        <w:t xml:space="preserve">employés de procéder à une analyse </w:t>
      </w:r>
      <w:r w:rsidRPr="00AF434B">
        <w:rPr>
          <w:noProof/>
          <w:lang w:val="fr-FR"/>
        </w:rPr>
        <w:t xml:space="preserve">quantitative </w:t>
      </w:r>
      <w:r>
        <w:rPr>
          <w:noProof/>
          <w:lang w:val="fr-FR"/>
        </w:rPr>
        <w:t>et</w:t>
      </w:r>
      <w:r w:rsidRPr="00AF434B">
        <w:rPr>
          <w:noProof/>
          <w:lang w:val="fr-FR"/>
        </w:rPr>
        <w:t xml:space="preserve"> qualitative </w:t>
      </w:r>
      <w:r>
        <w:rPr>
          <w:noProof/>
          <w:lang w:val="fr-FR"/>
        </w:rPr>
        <w:t>de l’écart de rémunération entre les sexes et, à la suite de ce diagnostic, de formuler une stratégie visant à combler tout écart de rémunération injustifié</w:t>
      </w:r>
      <w:r w:rsidRPr="00AF434B">
        <w:rPr>
          <w:noProof/>
          <w:lang w:val="fr-FR"/>
        </w:rPr>
        <w:t>.</w:t>
      </w:r>
    </w:p>
    <w:p w14:paraId="5CBF7E4F" w14:textId="77777777" w:rsidR="00BF0619" w:rsidRPr="00AF434B" w:rsidRDefault="00BF0619" w:rsidP="00BE5017">
      <w:pPr>
        <w:pStyle w:val="SingleTxtG"/>
        <w:ind w:firstLine="567"/>
        <w:rPr>
          <w:noProof/>
          <w:lang w:val="fr-FR"/>
        </w:rPr>
      </w:pPr>
      <w:r w:rsidRPr="00AF434B">
        <w:rPr>
          <w:noProof/>
          <w:lang w:val="fr-FR"/>
        </w:rPr>
        <w:t>f)</w:t>
      </w:r>
      <w:r w:rsidRPr="00AF434B">
        <w:rPr>
          <w:noProof/>
          <w:lang w:val="fr-FR"/>
        </w:rPr>
        <w:tab/>
      </w:r>
      <w:r>
        <w:rPr>
          <w:noProof/>
          <w:lang w:val="fr-FR"/>
        </w:rPr>
        <w:t xml:space="preserve">La résolution du Conseil des ministres </w:t>
      </w:r>
      <w:r w:rsidR="00BE5017" w:rsidRPr="00BE5017">
        <w:rPr>
          <w:rFonts w:eastAsia="MS Mincho"/>
          <w:noProof/>
          <w:szCs w:val="22"/>
          <w:lang w:val="fr-FR"/>
        </w:rPr>
        <w:t>n</w:t>
      </w:r>
      <w:r w:rsidR="00BE5017" w:rsidRPr="00BE5017">
        <w:rPr>
          <w:rFonts w:eastAsia="MS Mincho"/>
          <w:noProof/>
          <w:szCs w:val="22"/>
          <w:vertAlign w:val="superscript"/>
          <w:lang w:val="fr-FR"/>
        </w:rPr>
        <w:t>o</w:t>
      </w:r>
      <w:r w:rsidR="00BE5017">
        <w:rPr>
          <w:noProof/>
          <w:lang w:val="fr-FR"/>
        </w:rPr>
        <w:t> </w:t>
      </w:r>
      <w:r w:rsidRPr="00AF434B">
        <w:rPr>
          <w:noProof/>
          <w:lang w:val="fr-FR"/>
        </w:rPr>
        <w:t>13/2013</w:t>
      </w:r>
      <w:r>
        <w:rPr>
          <w:noProof/>
          <w:lang w:val="fr-FR"/>
        </w:rPr>
        <w:t xml:space="preserve"> du</w:t>
      </w:r>
      <w:r w:rsidRPr="00AF434B">
        <w:rPr>
          <w:noProof/>
          <w:lang w:val="fr-FR"/>
        </w:rPr>
        <w:t xml:space="preserve"> 8 </w:t>
      </w:r>
      <w:r>
        <w:rPr>
          <w:noProof/>
          <w:lang w:val="fr-FR"/>
        </w:rPr>
        <w:t>mars</w:t>
      </w:r>
      <w:r w:rsidRPr="00AF434B">
        <w:rPr>
          <w:noProof/>
          <w:lang w:val="fr-FR"/>
        </w:rPr>
        <w:t xml:space="preserve"> pr</w:t>
      </w:r>
      <w:r>
        <w:rPr>
          <w:noProof/>
          <w:lang w:val="fr-FR"/>
        </w:rPr>
        <w:t>évoit une série de mesures allant dans le sens de l’égalité des chances et des résultats entre les femmes et les hommes sur le marché du travail, en particulier de l’élimination de l’écart salarial, et notamment l’élaboration d’un rapport sur les écarts de rémunération par branche d’activité</w:t>
      </w:r>
      <w:r w:rsidRPr="00AF434B">
        <w:rPr>
          <w:noProof/>
          <w:lang w:val="fr-FR"/>
        </w:rPr>
        <w:t>.</w:t>
      </w:r>
    </w:p>
    <w:p w14:paraId="395D75F1" w14:textId="77777777" w:rsidR="00BF0619" w:rsidRPr="00AF434B" w:rsidRDefault="00BF0619" w:rsidP="00BF0619">
      <w:pPr>
        <w:pStyle w:val="SingleTxtG"/>
        <w:rPr>
          <w:noProof/>
          <w:lang w:val="fr-FR"/>
        </w:rPr>
      </w:pPr>
      <w:r w:rsidRPr="00AF434B">
        <w:rPr>
          <w:noProof/>
          <w:lang w:val="fr-FR"/>
        </w:rPr>
        <w:t>9.</w:t>
      </w:r>
      <w:r w:rsidRPr="00AF434B">
        <w:rPr>
          <w:noProof/>
          <w:lang w:val="fr-FR"/>
        </w:rPr>
        <w:tab/>
      </w:r>
      <w:r>
        <w:rPr>
          <w:noProof/>
          <w:lang w:val="fr-FR"/>
        </w:rPr>
        <w:t xml:space="preserve">À l’heure actuelle, le </w:t>
      </w:r>
      <w:r w:rsidRPr="00AF434B">
        <w:rPr>
          <w:noProof/>
          <w:lang w:val="fr-FR"/>
        </w:rPr>
        <w:t>Parl</w:t>
      </w:r>
      <w:r>
        <w:rPr>
          <w:noProof/>
          <w:lang w:val="fr-FR"/>
        </w:rPr>
        <w:t>e</w:t>
      </w:r>
      <w:r w:rsidRPr="00AF434B">
        <w:rPr>
          <w:noProof/>
          <w:lang w:val="fr-FR"/>
        </w:rPr>
        <w:t xml:space="preserve">ment </w:t>
      </w:r>
      <w:r>
        <w:rPr>
          <w:noProof/>
          <w:lang w:val="fr-FR"/>
        </w:rPr>
        <w:t>examine deux projets de loi présentés par le Gouvernement</w:t>
      </w:r>
      <w:r w:rsidRPr="00AF434B">
        <w:rPr>
          <w:noProof/>
          <w:lang w:val="fr-FR"/>
        </w:rPr>
        <w:t xml:space="preserve">, </w:t>
      </w:r>
      <w:r>
        <w:rPr>
          <w:noProof/>
          <w:lang w:val="fr-FR"/>
        </w:rPr>
        <w:t xml:space="preserve">dont l’un concerne la </w:t>
      </w:r>
      <w:r w:rsidRPr="00AF434B">
        <w:rPr>
          <w:noProof/>
          <w:lang w:val="fr-FR"/>
        </w:rPr>
        <w:t>d</w:t>
      </w:r>
      <w:r>
        <w:rPr>
          <w:noProof/>
          <w:lang w:val="fr-FR"/>
        </w:rPr>
        <w:t>é</w:t>
      </w:r>
      <w:r w:rsidRPr="00AF434B">
        <w:rPr>
          <w:noProof/>
          <w:lang w:val="fr-FR"/>
        </w:rPr>
        <w:t xml:space="preserve">finition </w:t>
      </w:r>
      <w:r>
        <w:rPr>
          <w:noProof/>
          <w:lang w:val="fr-FR"/>
        </w:rPr>
        <w:t>d’un régime de représentation équilibrée entre les hommes et les femmes membres du personnel d’encadrement et des instances dirigeantes de l’administration publique, et l’autre vise à réexaminer la loi sur la parité au sein des organes politiques</w:t>
      </w:r>
      <w:r w:rsidRPr="00AF434B">
        <w:rPr>
          <w:noProof/>
          <w:lang w:val="fr-FR"/>
        </w:rPr>
        <w:t>.</w:t>
      </w:r>
    </w:p>
    <w:p w14:paraId="51825ED7" w14:textId="77777777" w:rsidR="00BF0619" w:rsidRPr="00AF434B" w:rsidRDefault="00BF0619" w:rsidP="00BF0619">
      <w:pPr>
        <w:pStyle w:val="SingleTxtG"/>
        <w:rPr>
          <w:noProof/>
          <w:lang w:val="fr-FR"/>
        </w:rPr>
      </w:pPr>
      <w:r w:rsidRPr="00AF434B">
        <w:rPr>
          <w:noProof/>
          <w:lang w:val="fr-FR"/>
        </w:rPr>
        <w:t>10.</w:t>
      </w:r>
      <w:r w:rsidRPr="00AF434B">
        <w:rPr>
          <w:noProof/>
          <w:lang w:val="fr-FR"/>
        </w:rPr>
        <w:tab/>
      </w:r>
      <w:r>
        <w:rPr>
          <w:noProof/>
          <w:lang w:val="fr-FR"/>
        </w:rPr>
        <w:t>Afin de remédier à la sous-</w:t>
      </w:r>
      <w:r w:rsidRPr="00AF434B">
        <w:rPr>
          <w:noProof/>
          <w:lang w:val="fr-FR"/>
        </w:rPr>
        <w:t>repr</w:t>
      </w:r>
      <w:r>
        <w:rPr>
          <w:noProof/>
          <w:lang w:val="fr-FR"/>
        </w:rPr>
        <w:t>é</w:t>
      </w:r>
      <w:r w:rsidRPr="00AF434B">
        <w:rPr>
          <w:noProof/>
          <w:lang w:val="fr-FR"/>
        </w:rPr>
        <w:t xml:space="preserve">sentation </w:t>
      </w:r>
      <w:r>
        <w:rPr>
          <w:noProof/>
          <w:lang w:val="fr-FR"/>
        </w:rPr>
        <w:t xml:space="preserve">des femmes aux postes de prise de décisions économiques et à l’écart salarial entre les femmes et les hommes, la </w:t>
      </w:r>
      <w:r>
        <w:rPr>
          <w:lang w:val="fr-FR"/>
        </w:rPr>
        <w:t>Commission pour l’égalité dans le travail et dans l’emploi</w:t>
      </w:r>
      <w:r w:rsidRPr="00AF434B">
        <w:rPr>
          <w:noProof/>
          <w:lang w:val="fr-FR"/>
        </w:rPr>
        <w:t xml:space="preserve"> </w:t>
      </w:r>
      <w:r>
        <w:rPr>
          <w:noProof/>
          <w:lang w:val="fr-FR"/>
        </w:rPr>
        <w:t>exécutera le projet intitulé Plateforme et norme relatives à l’égalité des sexes</w:t>
      </w:r>
      <w:r w:rsidRPr="00AF434B">
        <w:rPr>
          <w:noProof/>
          <w:lang w:val="fr-FR"/>
        </w:rPr>
        <w:t>, f</w:t>
      </w:r>
      <w:r>
        <w:rPr>
          <w:noProof/>
          <w:lang w:val="fr-FR"/>
        </w:rPr>
        <w:t xml:space="preserve">inancé par le </w:t>
      </w:r>
      <w:r w:rsidRPr="00AF434B">
        <w:rPr>
          <w:noProof/>
          <w:lang w:val="fr-FR"/>
        </w:rPr>
        <w:t xml:space="preserve">Programme </w:t>
      </w:r>
      <w:r>
        <w:rPr>
          <w:noProof/>
          <w:lang w:val="fr-FR"/>
        </w:rPr>
        <w:t xml:space="preserve">de conciliation de la vie professionnelle et de la vie de famille et de l’égalité des sexes au titre des subventions de l’Espace économique européen (EEE) </w:t>
      </w:r>
      <w:r w:rsidRPr="00AF434B">
        <w:rPr>
          <w:noProof/>
          <w:lang w:val="fr-FR"/>
        </w:rPr>
        <w:t>2014</w:t>
      </w:r>
      <w:r>
        <w:rPr>
          <w:noProof/>
          <w:lang w:val="fr-FR"/>
        </w:rPr>
        <w:t>-</w:t>
      </w:r>
      <w:r w:rsidRPr="00AF434B">
        <w:rPr>
          <w:noProof/>
          <w:lang w:val="fr-FR"/>
        </w:rPr>
        <w:t>2021.</w:t>
      </w:r>
    </w:p>
    <w:p w14:paraId="117D321A" w14:textId="77777777" w:rsidR="00BF0619" w:rsidRPr="00AF434B" w:rsidRDefault="00BF0619" w:rsidP="00BF0619">
      <w:pPr>
        <w:pStyle w:val="SingleTxtG"/>
        <w:rPr>
          <w:noProof/>
          <w:lang w:val="fr-FR"/>
        </w:rPr>
      </w:pPr>
      <w:r w:rsidRPr="00AF434B">
        <w:rPr>
          <w:noProof/>
          <w:lang w:val="fr-FR"/>
        </w:rPr>
        <w:t>11.</w:t>
      </w:r>
      <w:r w:rsidRPr="00AF434B">
        <w:rPr>
          <w:noProof/>
          <w:lang w:val="fr-FR"/>
        </w:rPr>
        <w:tab/>
      </w:r>
      <w:r>
        <w:rPr>
          <w:noProof/>
          <w:lang w:val="fr-FR"/>
        </w:rPr>
        <w:t xml:space="preserve">Entre 2014 et 2016, la </w:t>
      </w:r>
      <w:r>
        <w:rPr>
          <w:lang w:val="fr-FR"/>
        </w:rPr>
        <w:t>Commission pour l’égalité dans le travail et dans l’emploi</w:t>
      </w:r>
      <w:r w:rsidRPr="00AF434B">
        <w:rPr>
          <w:noProof/>
          <w:lang w:val="fr-FR"/>
        </w:rPr>
        <w:t xml:space="preserve"> </w:t>
      </w:r>
      <w:r>
        <w:rPr>
          <w:noProof/>
          <w:lang w:val="fr-FR"/>
        </w:rPr>
        <w:t>a pris l’initiative et participé à l’exécution de différents projets, à savoir</w:t>
      </w:r>
      <w:r w:rsidR="00BE5017">
        <w:rPr>
          <w:noProof/>
          <w:lang w:val="fr-FR"/>
        </w:rPr>
        <w:t> :</w:t>
      </w:r>
    </w:p>
    <w:p w14:paraId="0AF7DAAD" w14:textId="77777777" w:rsidR="00BF0619" w:rsidRPr="00AF434B" w:rsidRDefault="00BF0619" w:rsidP="00BE5017">
      <w:pPr>
        <w:pStyle w:val="SingleTxtG"/>
        <w:ind w:firstLine="567"/>
        <w:rPr>
          <w:noProof/>
          <w:lang w:val="fr-FR"/>
        </w:rPr>
      </w:pPr>
      <w:r w:rsidRPr="00AF434B">
        <w:rPr>
          <w:noProof/>
          <w:lang w:val="fr-FR"/>
        </w:rPr>
        <w:t>a)</w:t>
      </w:r>
      <w:r w:rsidRPr="00AF434B">
        <w:rPr>
          <w:noProof/>
          <w:lang w:val="fr-FR"/>
        </w:rPr>
        <w:tab/>
      </w:r>
      <w:r>
        <w:rPr>
          <w:noProof/>
          <w:lang w:val="fr-FR"/>
        </w:rPr>
        <w:t xml:space="preserve">Le projet relatif au harcèlement sexuel et moral sur le lieu de travail visait principalement à évaluer et caractériser le harcèlement sexuel et moral sur le lieu de travail au </w:t>
      </w:r>
      <w:r w:rsidRPr="00AF434B">
        <w:rPr>
          <w:noProof/>
          <w:lang w:val="fr-FR"/>
        </w:rPr>
        <w:t xml:space="preserve">Portugal </w:t>
      </w:r>
      <w:r>
        <w:rPr>
          <w:noProof/>
          <w:lang w:val="fr-FR"/>
        </w:rPr>
        <w:t>et à sensibiliser l’opinion au harcèlement sur le lieu de travail</w:t>
      </w:r>
      <w:r w:rsidR="00BE5017">
        <w:rPr>
          <w:noProof/>
          <w:lang w:val="fr-FR"/>
        </w:rPr>
        <w:t> ;</w:t>
      </w:r>
    </w:p>
    <w:p w14:paraId="618CE068"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Les connaissances dans ce domaine ont été mises à jour, la contribution la plus pertinente étant l’enquête sur le harcèlement sexuel et moral sur le lieu de travail qui a été réalisée auprès un échantillon de </w:t>
      </w:r>
      <w:r w:rsidRPr="00AF434B">
        <w:rPr>
          <w:noProof/>
          <w:lang w:val="fr-FR"/>
        </w:rPr>
        <w:t>1</w:t>
      </w:r>
      <w:r w:rsidR="0064073D">
        <w:rPr>
          <w:noProof/>
          <w:lang w:val="fr-FR"/>
        </w:rPr>
        <w:t> </w:t>
      </w:r>
      <w:r w:rsidRPr="00AF434B">
        <w:rPr>
          <w:noProof/>
          <w:lang w:val="fr-FR"/>
        </w:rPr>
        <w:t xml:space="preserve">801 </w:t>
      </w:r>
      <w:r>
        <w:rPr>
          <w:noProof/>
          <w:lang w:val="fr-FR"/>
        </w:rPr>
        <w:t xml:space="preserve">personnes </w:t>
      </w:r>
      <w:r w:rsidRPr="00AF434B">
        <w:rPr>
          <w:noProof/>
          <w:lang w:val="fr-FR"/>
        </w:rPr>
        <w:t>(558</w:t>
      </w:r>
      <w:r w:rsidR="0064073D">
        <w:rPr>
          <w:noProof/>
          <w:lang w:val="fr-FR"/>
        </w:rPr>
        <w:t> </w:t>
      </w:r>
      <w:r>
        <w:rPr>
          <w:noProof/>
          <w:lang w:val="fr-FR"/>
        </w:rPr>
        <w:t xml:space="preserve">hommes et </w:t>
      </w:r>
      <w:r w:rsidRPr="00AF434B">
        <w:rPr>
          <w:noProof/>
          <w:lang w:val="fr-FR"/>
        </w:rPr>
        <w:t>1</w:t>
      </w:r>
      <w:r w:rsidR="00BE5017">
        <w:rPr>
          <w:noProof/>
          <w:lang w:val="fr-FR"/>
        </w:rPr>
        <w:t> </w:t>
      </w:r>
      <w:r w:rsidRPr="00AF434B">
        <w:rPr>
          <w:noProof/>
          <w:lang w:val="fr-FR"/>
        </w:rPr>
        <w:t xml:space="preserve">243 </w:t>
      </w:r>
      <w:r>
        <w:rPr>
          <w:noProof/>
          <w:lang w:val="fr-FR"/>
        </w:rPr>
        <w:t>femmes</w:t>
      </w:r>
      <w:r w:rsidRPr="00AF434B">
        <w:rPr>
          <w:noProof/>
          <w:lang w:val="fr-FR"/>
        </w:rPr>
        <w:t xml:space="preserve">) </w:t>
      </w:r>
      <w:r>
        <w:rPr>
          <w:noProof/>
          <w:lang w:val="fr-FR"/>
        </w:rPr>
        <w:t xml:space="preserve">représentatif de la </w:t>
      </w:r>
      <w:r w:rsidRPr="00AF434B">
        <w:rPr>
          <w:noProof/>
          <w:lang w:val="fr-FR"/>
        </w:rPr>
        <w:t xml:space="preserve">population </w:t>
      </w:r>
      <w:r>
        <w:rPr>
          <w:noProof/>
          <w:lang w:val="fr-FR"/>
        </w:rPr>
        <w:t>active du Portugal continental</w:t>
      </w:r>
      <w:r w:rsidRPr="00AF434B">
        <w:rPr>
          <w:noProof/>
          <w:lang w:val="fr-FR"/>
        </w:rPr>
        <w:t xml:space="preserve">, </w:t>
      </w:r>
      <w:r>
        <w:rPr>
          <w:noProof/>
          <w:lang w:val="fr-FR"/>
        </w:rPr>
        <w:t>à l’exclusion du secteur primaire</w:t>
      </w:r>
      <w:r w:rsidRPr="00AF434B">
        <w:rPr>
          <w:noProof/>
          <w:lang w:val="fr-FR"/>
        </w:rPr>
        <w:t>.</w:t>
      </w:r>
    </w:p>
    <w:p w14:paraId="7489F382" w14:textId="77777777" w:rsidR="00BF0619" w:rsidRPr="00AF434B" w:rsidRDefault="00BF0619" w:rsidP="00BE5017">
      <w:pPr>
        <w:pStyle w:val="SingleTxtG"/>
        <w:ind w:firstLine="567"/>
        <w:rPr>
          <w:noProof/>
          <w:lang w:val="fr-FR"/>
        </w:rPr>
      </w:pPr>
      <w:r w:rsidRPr="00AF434B">
        <w:rPr>
          <w:noProof/>
          <w:lang w:val="fr-FR"/>
        </w:rPr>
        <w:t>b)</w:t>
      </w:r>
      <w:r w:rsidRPr="00AF434B">
        <w:rPr>
          <w:noProof/>
          <w:lang w:val="fr-FR"/>
        </w:rPr>
        <w:tab/>
      </w:r>
      <w:r>
        <w:rPr>
          <w:noProof/>
          <w:lang w:val="fr-FR"/>
        </w:rPr>
        <w:t xml:space="preserve">Le projet relatif aux rôles des hommes </w:t>
      </w:r>
      <w:r w:rsidRPr="0059545D">
        <w:rPr>
          <w:noProof/>
          <w:lang w:val="fr-FR"/>
        </w:rPr>
        <w:t>dans une perspective tenant compte de l’égalité des sexes</w:t>
      </w:r>
      <w:r w:rsidRPr="00AF434B">
        <w:rPr>
          <w:noProof/>
          <w:lang w:val="fr-FR"/>
        </w:rPr>
        <w:t xml:space="preserve"> </w:t>
      </w:r>
      <w:r>
        <w:rPr>
          <w:noProof/>
          <w:lang w:val="fr-FR"/>
        </w:rPr>
        <w:t xml:space="preserve">se proposait d’élaborer un « Livre blanc » sur les hommes, les rôles masculins et l’égalité des sexes au </w:t>
      </w:r>
      <w:r w:rsidRPr="00AF434B">
        <w:rPr>
          <w:noProof/>
          <w:lang w:val="fr-FR"/>
        </w:rPr>
        <w:t xml:space="preserve">Portugal, </w:t>
      </w:r>
      <w:r>
        <w:rPr>
          <w:noProof/>
          <w:lang w:val="fr-FR"/>
        </w:rPr>
        <w:t>qui pourrait donner lieu à un débat public, à la diffusion d’informations et à des activités de sensibilisation</w:t>
      </w:r>
      <w:r w:rsidRPr="00AF434B">
        <w:rPr>
          <w:noProof/>
          <w:lang w:val="fr-FR"/>
        </w:rPr>
        <w:t xml:space="preserve">. </w:t>
      </w:r>
      <w:r>
        <w:rPr>
          <w:noProof/>
          <w:lang w:val="fr-FR"/>
        </w:rPr>
        <w:t>Le Livre blanc présente une série de recomma</w:t>
      </w:r>
      <w:r w:rsidRPr="00AF434B">
        <w:rPr>
          <w:noProof/>
          <w:lang w:val="fr-FR"/>
        </w:rPr>
        <w:t xml:space="preserve">ndations </w:t>
      </w:r>
      <w:r>
        <w:rPr>
          <w:noProof/>
          <w:lang w:val="fr-FR"/>
        </w:rPr>
        <w:t>et les défis à venir en matière de politiques et de recherche dont pourront débattre toutes les entités et tous les acteurs sociaux s’occupant de promouvoir l’égalité des sexes dans la société portugaise</w:t>
      </w:r>
      <w:r w:rsidR="00BE5017">
        <w:rPr>
          <w:noProof/>
          <w:lang w:val="fr-FR"/>
        </w:rPr>
        <w:t> ;</w:t>
      </w:r>
    </w:p>
    <w:p w14:paraId="6B4FBA7C" w14:textId="77777777" w:rsidR="00BF0619" w:rsidRPr="00AF434B" w:rsidRDefault="00BF0619" w:rsidP="00BE5017">
      <w:pPr>
        <w:pStyle w:val="SingleTxtG"/>
        <w:ind w:firstLine="567"/>
        <w:rPr>
          <w:noProof/>
          <w:lang w:val="fr-FR"/>
        </w:rPr>
      </w:pPr>
      <w:r w:rsidRPr="00AF434B">
        <w:rPr>
          <w:noProof/>
          <w:lang w:val="fr-FR"/>
        </w:rPr>
        <w:t>c)</w:t>
      </w:r>
      <w:r w:rsidRPr="00AF434B">
        <w:rPr>
          <w:noProof/>
          <w:lang w:val="fr-FR"/>
        </w:rPr>
        <w:tab/>
      </w:r>
      <w:r>
        <w:rPr>
          <w:noProof/>
          <w:lang w:val="fr-FR"/>
        </w:rPr>
        <w:t>Le p</w:t>
      </w:r>
      <w:r w:rsidRPr="00AF434B">
        <w:rPr>
          <w:noProof/>
          <w:lang w:val="fr-FR"/>
        </w:rPr>
        <w:t xml:space="preserve">rojet </w:t>
      </w:r>
      <w:r>
        <w:rPr>
          <w:noProof/>
          <w:lang w:val="fr-FR"/>
        </w:rPr>
        <w:t xml:space="preserve">relatif à l’enquête nationale </w:t>
      </w:r>
      <w:r w:rsidRPr="00AD3682">
        <w:rPr>
          <w:noProof/>
          <w:lang w:val="fr-FR"/>
        </w:rPr>
        <w:t xml:space="preserve">sur l’emploi du temps des femmes et des hommes </w:t>
      </w:r>
      <w:r>
        <w:rPr>
          <w:noProof/>
          <w:lang w:val="fr-FR"/>
        </w:rPr>
        <w:t xml:space="preserve">visait principalement à actualiser l’évaluation et la caractérisation du temps employé par les hommes et les femmes au Portugal, s’agissant en particulier du </w:t>
      </w:r>
      <w:r w:rsidRPr="00AD3682">
        <w:rPr>
          <w:noProof/>
          <w:lang w:val="fr-FR"/>
        </w:rPr>
        <w:t xml:space="preserve">travail </w:t>
      </w:r>
      <w:r>
        <w:rPr>
          <w:noProof/>
          <w:lang w:val="fr-FR"/>
        </w:rPr>
        <w:t xml:space="preserve">domestique rémunéré et </w:t>
      </w:r>
      <w:r w:rsidRPr="00AD3682">
        <w:rPr>
          <w:noProof/>
          <w:lang w:val="fr-FR"/>
        </w:rPr>
        <w:t>non rémunéré</w:t>
      </w:r>
      <w:r>
        <w:rPr>
          <w:noProof/>
          <w:lang w:val="fr-FR"/>
        </w:rPr>
        <w:t xml:space="preserve">. On a ainsi obtenu tout un ensemble de connaissances et de données </w:t>
      </w:r>
      <w:r w:rsidRPr="00AD3682">
        <w:rPr>
          <w:noProof/>
          <w:lang w:val="fr-FR"/>
        </w:rPr>
        <w:t>sur l’emploi du temps des femmes et des hommes</w:t>
      </w:r>
      <w:r>
        <w:rPr>
          <w:noProof/>
          <w:lang w:val="fr-FR"/>
        </w:rPr>
        <w:t xml:space="preserve">, ce qui </w:t>
      </w:r>
      <w:r w:rsidRPr="00AD3682">
        <w:rPr>
          <w:noProof/>
          <w:lang w:val="fr-FR"/>
        </w:rPr>
        <w:t xml:space="preserve">a permis </w:t>
      </w:r>
      <w:r>
        <w:rPr>
          <w:noProof/>
          <w:lang w:val="fr-FR"/>
        </w:rPr>
        <w:t>d</w:t>
      </w:r>
      <w:r w:rsidRPr="00AD3682">
        <w:rPr>
          <w:noProof/>
          <w:lang w:val="fr-FR"/>
        </w:rPr>
        <w:t>’élab</w:t>
      </w:r>
      <w:r>
        <w:rPr>
          <w:noProof/>
          <w:lang w:val="fr-FR"/>
        </w:rPr>
        <w:t xml:space="preserve">orer des </w:t>
      </w:r>
      <w:r w:rsidRPr="00AD3682">
        <w:rPr>
          <w:noProof/>
          <w:lang w:val="fr-FR"/>
        </w:rPr>
        <w:t xml:space="preserve">politiques </w:t>
      </w:r>
      <w:r>
        <w:rPr>
          <w:noProof/>
          <w:lang w:val="fr-FR"/>
        </w:rPr>
        <w:t>reposant sur des observations factuelles</w:t>
      </w:r>
      <w:r w:rsidRPr="00AD3682">
        <w:rPr>
          <w:noProof/>
          <w:lang w:val="fr-FR"/>
        </w:rPr>
        <w:t xml:space="preserve"> dans les domaines de l’égalité des </w:t>
      </w:r>
      <w:r>
        <w:rPr>
          <w:noProof/>
          <w:lang w:val="fr-FR"/>
        </w:rPr>
        <w:t>sex</w:t>
      </w:r>
      <w:r w:rsidRPr="00AD3682">
        <w:rPr>
          <w:noProof/>
          <w:lang w:val="fr-FR"/>
        </w:rPr>
        <w:t>es et de l’équilibre entre vie professionnelle et vie privée</w:t>
      </w:r>
      <w:r w:rsidRPr="00AF434B">
        <w:rPr>
          <w:noProof/>
          <w:lang w:val="fr-FR"/>
        </w:rPr>
        <w:t>.</w:t>
      </w:r>
    </w:p>
    <w:p w14:paraId="6CB2156A" w14:textId="77777777" w:rsidR="00BF0619" w:rsidRPr="00AF434B" w:rsidRDefault="00BF0619" w:rsidP="00BF0619">
      <w:pPr>
        <w:pStyle w:val="SingleTxtG"/>
        <w:rPr>
          <w:noProof/>
          <w:lang w:val="fr-FR"/>
        </w:rPr>
      </w:pPr>
      <w:r w:rsidRPr="00AF434B">
        <w:rPr>
          <w:noProof/>
          <w:lang w:val="fr-FR"/>
        </w:rPr>
        <w:t>12.</w:t>
      </w:r>
      <w:r w:rsidRPr="00AF434B">
        <w:rPr>
          <w:noProof/>
          <w:lang w:val="fr-FR"/>
        </w:rPr>
        <w:tab/>
      </w:r>
      <w:r>
        <w:rPr>
          <w:noProof/>
          <w:lang w:val="fr-FR"/>
        </w:rPr>
        <w:t xml:space="preserve">La </w:t>
      </w:r>
      <w:r>
        <w:rPr>
          <w:lang w:val="fr-FR"/>
        </w:rPr>
        <w:t>Commission pour l’égalité dans le travail et dans l’emploi favorise depuis de nombreuses années l’organisation d’ateliers et d’activités de sensibilisation et de formation à l’intention de publics cibles stratégiques</w:t>
      </w:r>
      <w:r w:rsidRPr="00AF434B">
        <w:rPr>
          <w:noProof/>
          <w:lang w:val="fr-FR"/>
        </w:rPr>
        <w:t xml:space="preserve">. </w:t>
      </w:r>
      <w:r>
        <w:rPr>
          <w:noProof/>
          <w:lang w:val="fr-FR"/>
        </w:rPr>
        <w:t xml:space="preserve">En </w:t>
      </w:r>
      <w:r w:rsidRPr="00AF434B">
        <w:rPr>
          <w:noProof/>
          <w:lang w:val="fr-FR"/>
        </w:rPr>
        <w:t xml:space="preserve">2018 </w:t>
      </w:r>
      <w:r>
        <w:rPr>
          <w:noProof/>
          <w:lang w:val="fr-FR"/>
        </w:rPr>
        <w:t xml:space="preserve">et </w:t>
      </w:r>
      <w:r w:rsidRPr="00AF434B">
        <w:rPr>
          <w:noProof/>
          <w:lang w:val="fr-FR"/>
        </w:rPr>
        <w:t xml:space="preserve">2019, </w:t>
      </w:r>
      <w:r>
        <w:rPr>
          <w:noProof/>
          <w:lang w:val="fr-FR"/>
        </w:rPr>
        <w:t>l’</w:t>
      </w:r>
      <w:r w:rsidRPr="005A7152">
        <w:rPr>
          <w:noProof/>
          <w:shd w:val="clear" w:color="auto" w:fill="FFFFFF"/>
          <w:lang w:val="fr-FR"/>
        </w:rPr>
        <w:t>Autorité charg</w:t>
      </w:r>
      <w:r>
        <w:rPr>
          <w:noProof/>
          <w:shd w:val="clear" w:color="auto" w:fill="FFFFFF"/>
          <w:lang w:val="fr-FR"/>
        </w:rPr>
        <w:t>é</w:t>
      </w:r>
      <w:r w:rsidRPr="005A7152">
        <w:rPr>
          <w:noProof/>
          <w:shd w:val="clear" w:color="auto" w:fill="FFFFFF"/>
          <w:lang w:val="fr-FR"/>
        </w:rPr>
        <w:t>e des conditions de travail</w:t>
      </w:r>
      <w:r w:rsidRPr="00BB3DD1">
        <w:rPr>
          <w:shd w:val="clear" w:color="auto" w:fill="FFFFFF"/>
        </w:rPr>
        <w:t xml:space="preserve"> </w:t>
      </w:r>
      <w:r>
        <w:rPr>
          <w:noProof/>
          <w:lang w:val="fr-FR"/>
        </w:rPr>
        <w:t xml:space="preserve">et la Commission </w:t>
      </w:r>
      <w:r w:rsidRPr="00AF434B">
        <w:rPr>
          <w:noProof/>
          <w:lang w:val="fr-FR"/>
        </w:rPr>
        <w:t>continue</w:t>
      </w:r>
      <w:r>
        <w:rPr>
          <w:noProof/>
          <w:lang w:val="fr-FR"/>
        </w:rPr>
        <w:t>ront de collaborer à l’amélioration des compétences</w:t>
      </w:r>
      <w:r w:rsidRPr="00AF434B">
        <w:rPr>
          <w:noProof/>
          <w:lang w:val="fr-FR"/>
        </w:rPr>
        <w:t xml:space="preserve"> </w:t>
      </w:r>
      <w:r>
        <w:rPr>
          <w:noProof/>
          <w:lang w:val="fr-FR"/>
        </w:rPr>
        <w:t xml:space="preserve">des inspecteurs du travail </w:t>
      </w:r>
      <w:r w:rsidRPr="00AF434B">
        <w:rPr>
          <w:noProof/>
          <w:lang w:val="fr-FR"/>
        </w:rPr>
        <w:t>(</w:t>
      </w:r>
      <w:r>
        <w:rPr>
          <w:noProof/>
          <w:lang w:val="fr-FR"/>
        </w:rPr>
        <w:t xml:space="preserve">qui sont actuellement </w:t>
      </w:r>
      <w:r w:rsidRPr="00AF434B">
        <w:rPr>
          <w:noProof/>
          <w:lang w:val="fr-FR"/>
        </w:rPr>
        <w:t xml:space="preserve">308) </w:t>
      </w:r>
      <w:r>
        <w:rPr>
          <w:noProof/>
          <w:lang w:val="fr-FR"/>
        </w:rPr>
        <w:t>à l’aide d’un module de formation portant spécifiquement sur l’égalité des sexes</w:t>
      </w:r>
      <w:r w:rsidRPr="00AF434B">
        <w:rPr>
          <w:noProof/>
          <w:lang w:val="fr-FR"/>
        </w:rPr>
        <w:t>. I</w:t>
      </w:r>
      <w:r>
        <w:rPr>
          <w:noProof/>
          <w:lang w:val="fr-FR"/>
        </w:rPr>
        <w:t xml:space="preserve">l est également prévu d’incorporer ce module dans la formation initiale des nouveaux inspecteurs du travail </w:t>
      </w:r>
      <w:r w:rsidR="00BE5017">
        <w:rPr>
          <w:noProof/>
          <w:lang w:val="fr-FR"/>
        </w:rPr>
        <w:t>− </w:t>
      </w:r>
      <w:r>
        <w:rPr>
          <w:noProof/>
          <w:lang w:val="fr-FR"/>
        </w:rPr>
        <w:t xml:space="preserve">les </w:t>
      </w:r>
      <w:r w:rsidRPr="00AF434B">
        <w:rPr>
          <w:noProof/>
          <w:lang w:val="fr-FR"/>
        </w:rPr>
        <w:t>122</w:t>
      </w:r>
      <w:r w:rsidR="00BE5017">
        <w:rPr>
          <w:noProof/>
          <w:lang w:val="fr-FR"/>
        </w:rPr>
        <w:t> </w:t>
      </w:r>
      <w:r w:rsidRPr="00AF434B">
        <w:rPr>
          <w:noProof/>
          <w:lang w:val="fr-FR"/>
        </w:rPr>
        <w:t>n</w:t>
      </w:r>
      <w:r>
        <w:rPr>
          <w:noProof/>
          <w:lang w:val="fr-FR"/>
        </w:rPr>
        <w:t xml:space="preserve">ouveaux inspecteurs qui viendront renforcer l’Autorité susvisée en </w:t>
      </w:r>
      <w:r w:rsidRPr="00AF434B">
        <w:rPr>
          <w:noProof/>
          <w:lang w:val="fr-FR"/>
        </w:rPr>
        <w:t xml:space="preserve">2018 </w:t>
      </w:r>
      <w:r>
        <w:rPr>
          <w:noProof/>
          <w:lang w:val="fr-FR"/>
        </w:rPr>
        <w:t>et</w:t>
      </w:r>
      <w:r w:rsidRPr="00AF434B">
        <w:rPr>
          <w:noProof/>
          <w:lang w:val="fr-FR"/>
        </w:rPr>
        <w:t xml:space="preserve"> 2019 </w:t>
      </w:r>
      <w:r>
        <w:rPr>
          <w:noProof/>
          <w:lang w:val="fr-FR"/>
        </w:rPr>
        <w:t>bénéficieront déjà de cette formation</w:t>
      </w:r>
      <w:r w:rsidRPr="00AF434B">
        <w:rPr>
          <w:noProof/>
          <w:lang w:val="fr-FR"/>
        </w:rPr>
        <w:t>.</w:t>
      </w:r>
    </w:p>
    <w:p w14:paraId="06EC72C8" w14:textId="77777777" w:rsidR="00BF0619" w:rsidRPr="00AF434B" w:rsidRDefault="00BF0619" w:rsidP="00BF0619">
      <w:pPr>
        <w:pStyle w:val="SingleTxtG"/>
        <w:rPr>
          <w:noProof/>
          <w:lang w:val="fr-FR"/>
        </w:rPr>
      </w:pPr>
      <w:r>
        <w:rPr>
          <w:noProof/>
          <w:lang w:val="fr-FR"/>
        </w:rPr>
        <w:t>13.</w:t>
      </w:r>
      <w:r>
        <w:rPr>
          <w:noProof/>
          <w:lang w:val="fr-FR"/>
        </w:rPr>
        <w:tab/>
        <w:t>E</w:t>
      </w:r>
      <w:r w:rsidRPr="00AF434B">
        <w:rPr>
          <w:noProof/>
          <w:lang w:val="fr-FR"/>
        </w:rPr>
        <w:t xml:space="preserve">n </w:t>
      </w:r>
      <w:r>
        <w:rPr>
          <w:noProof/>
          <w:lang w:val="fr-FR"/>
        </w:rPr>
        <w:t xml:space="preserve">juin </w:t>
      </w:r>
      <w:r w:rsidRPr="00AF434B">
        <w:rPr>
          <w:noProof/>
          <w:lang w:val="fr-FR"/>
        </w:rPr>
        <w:t>2017</w:t>
      </w:r>
      <w:r>
        <w:rPr>
          <w:noProof/>
          <w:lang w:val="fr-FR"/>
        </w:rPr>
        <w:t>, on a inauguré un programme</w:t>
      </w:r>
      <w:r w:rsidRPr="00AF434B">
        <w:rPr>
          <w:noProof/>
          <w:lang w:val="fr-FR"/>
        </w:rPr>
        <w:t xml:space="preserve"> </w:t>
      </w:r>
      <w:r>
        <w:rPr>
          <w:noProof/>
          <w:lang w:val="fr-FR"/>
        </w:rPr>
        <w:t xml:space="preserve">de formation intitulé « Ateliers pour l’égalité des sexes » pour analyser les écarts entre les sexes au niveau des indicateurs du marché de l’emploi, combattre la </w:t>
      </w:r>
      <w:r w:rsidRPr="00AF434B">
        <w:rPr>
          <w:noProof/>
          <w:lang w:val="fr-FR"/>
        </w:rPr>
        <w:t>s</w:t>
      </w:r>
      <w:r>
        <w:rPr>
          <w:noProof/>
          <w:lang w:val="fr-FR"/>
        </w:rPr>
        <w:t>é</w:t>
      </w:r>
      <w:r w:rsidRPr="00AF434B">
        <w:rPr>
          <w:noProof/>
          <w:lang w:val="fr-FR"/>
        </w:rPr>
        <w:t>gr</w:t>
      </w:r>
      <w:r>
        <w:rPr>
          <w:noProof/>
          <w:lang w:val="fr-FR"/>
        </w:rPr>
        <w:t>é</w:t>
      </w:r>
      <w:r w:rsidRPr="00AF434B">
        <w:rPr>
          <w:noProof/>
          <w:lang w:val="fr-FR"/>
        </w:rPr>
        <w:t xml:space="preserve">gation </w:t>
      </w:r>
      <w:r>
        <w:rPr>
          <w:noProof/>
          <w:lang w:val="fr-FR"/>
        </w:rPr>
        <w:t xml:space="preserve">professionnelle et la </w:t>
      </w:r>
      <w:r w:rsidRPr="00AF434B">
        <w:rPr>
          <w:noProof/>
          <w:lang w:val="fr-FR"/>
        </w:rPr>
        <w:t xml:space="preserve">discrimination </w:t>
      </w:r>
      <w:r>
        <w:rPr>
          <w:noProof/>
          <w:lang w:val="fr-FR"/>
        </w:rPr>
        <w:t>en matière d’emploi, et promouvoir l’égalité des sexes en</w:t>
      </w:r>
      <w:r w:rsidRPr="00AF434B">
        <w:rPr>
          <w:noProof/>
          <w:lang w:val="fr-FR"/>
        </w:rPr>
        <w:t xml:space="preserve"> d</w:t>
      </w:r>
      <w:r>
        <w:rPr>
          <w:noProof/>
          <w:lang w:val="fr-FR"/>
        </w:rPr>
        <w:t>é</w:t>
      </w:r>
      <w:r w:rsidRPr="00AF434B">
        <w:rPr>
          <w:noProof/>
          <w:lang w:val="fr-FR"/>
        </w:rPr>
        <w:t>constru</w:t>
      </w:r>
      <w:r>
        <w:rPr>
          <w:noProof/>
          <w:lang w:val="fr-FR"/>
        </w:rPr>
        <w:t xml:space="preserve">isant les </w:t>
      </w:r>
      <w:r w:rsidRPr="00AF434B">
        <w:rPr>
          <w:noProof/>
          <w:lang w:val="fr-FR"/>
        </w:rPr>
        <w:t>st</w:t>
      </w:r>
      <w:r>
        <w:rPr>
          <w:noProof/>
          <w:lang w:val="fr-FR"/>
        </w:rPr>
        <w:t>é</w:t>
      </w:r>
      <w:r w:rsidRPr="00AF434B">
        <w:rPr>
          <w:noProof/>
          <w:lang w:val="fr-FR"/>
        </w:rPr>
        <w:t>r</w:t>
      </w:r>
      <w:r>
        <w:rPr>
          <w:noProof/>
          <w:lang w:val="fr-FR"/>
        </w:rPr>
        <w:t>é</w:t>
      </w:r>
      <w:r w:rsidRPr="00AF434B">
        <w:rPr>
          <w:noProof/>
          <w:lang w:val="fr-FR"/>
        </w:rPr>
        <w:t xml:space="preserve">otypes </w:t>
      </w:r>
      <w:r>
        <w:rPr>
          <w:noProof/>
          <w:lang w:val="fr-FR"/>
        </w:rPr>
        <w:t>et les idées reçues sexistes</w:t>
      </w:r>
      <w:r w:rsidRPr="00AF434B">
        <w:rPr>
          <w:noProof/>
          <w:lang w:val="fr-FR"/>
        </w:rPr>
        <w:t xml:space="preserve">. </w:t>
      </w:r>
      <w:r>
        <w:rPr>
          <w:noProof/>
          <w:lang w:val="fr-FR"/>
        </w:rPr>
        <w:t xml:space="preserve">Cette formation a consisté en quatre </w:t>
      </w:r>
      <w:r w:rsidRPr="00AF434B">
        <w:rPr>
          <w:noProof/>
          <w:lang w:val="fr-FR"/>
        </w:rPr>
        <w:t>sessions co</w:t>
      </w:r>
      <w:r>
        <w:rPr>
          <w:noProof/>
          <w:lang w:val="fr-FR"/>
        </w:rPr>
        <w:t xml:space="preserve">nsacrées aux thèmes suivants : </w:t>
      </w:r>
      <w:r w:rsidRPr="00AF434B">
        <w:rPr>
          <w:noProof/>
          <w:lang w:val="fr-FR"/>
        </w:rPr>
        <w:t xml:space="preserve">situation </w:t>
      </w:r>
      <w:r>
        <w:rPr>
          <w:noProof/>
          <w:lang w:val="fr-FR"/>
        </w:rPr>
        <w:t>des femmes et des hommes sur le marché de l’emploi</w:t>
      </w:r>
      <w:r w:rsidR="0064073D">
        <w:rPr>
          <w:noProof/>
          <w:lang w:val="fr-FR"/>
        </w:rPr>
        <w:t> </w:t>
      </w:r>
      <w:r w:rsidRPr="00AF434B">
        <w:rPr>
          <w:noProof/>
          <w:lang w:val="fr-FR"/>
        </w:rPr>
        <w:t xml:space="preserve">; concepts </w:t>
      </w:r>
      <w:r>
        <w:rPr>
          <w:noProof/>
          <w:lang w:val="fr-FR"/>
        </w:rPr>
        <w:t>et princip</w:t>
      </w:r>
      <w:r w:rsidRPr="00AF434B">
        <w:rPr>
          <w:noProof/>
          <w:lang w:val="fr-FR"/>
        </w:rPr>
        <w:t>es</w:t>
      </w:r>
      <w:r>
        <w:rPr>
          <w:noProof/>
          <w:lang w:val="fr-FR"/>
        </w:rPr>
        <w:t xml:space="preserve"> liés au genre</w:t>
      </w:r>
      <w:r w:rsidR="0064073D">
        <w:rPr>
          <w:noProof/>
          <w:lang w:val="fr-FR"/>
        </w:rPr>
        <w:t> </w:t>
      </w:r>
      <w:r w:rsidRPr="00AF434B">
        <w:rPr>
          <w:noProof/>
          <w:lang w:val="fr-FR"/>
        </w:rPr>
        <w:t>; strat</w:t>
      </w:r>
      <w:r>
        <w:rPr>
          <w:noProof/>
          <w:lang w:val="fr-FR"/>
        </w:rPr>
        <w:t>é</w:t>
      </w:r>
      <w:r w:rsidRPr="00AF434B">
        <w:rPr>
          <w:noProof/>
          <w:lang w:val="fr-FR"/>
        </w:rPr>
        <w:t xml:space="preserve">gies </w:t>
      </w:r>
      <w:r>
        <w:rPr>
          <w:noProof/>
          <w:lang w:val="fr-FR"/>
        </w:rPr>
        <w:t>et outils en faveur de l’égalité des sexes</w:t>
      </w:r>
      <w:r w:rsidR="0064073D">
        <w:rPr>
          <w:noProof/>
          <w:lang w:val="fr-FR"/>
        </w:rPr>
        <w:t> </w:t>
      </w:r>
      <w:r w:rsidRPr="00AF434B">
        <w:rPr>
          <w:noProof/>
          <w:lang w:val="fr-FR"/>
        </w:rPr>
        <w:t xml:space="preserve">; </w:t>
      </w:r>
      <w:r>
        <w:rPr>
          <w:noProof/>
          <w:lang w:val="fr-FR"/>
        </w:rPr>
        <w:t>é</w:t>
      </w:r>
      <w:r w:rsidRPr="00AF434B">
        <w:rPr>
          <w:noProof/>
          <w:lang w:val="fr-FR"/>
        </w:rPr>
        <w:t xml:space="preserve">laboration </w:t>
      </w:r>
      <w:r>
        <w:rPr>
          <w:noProof/>
          <w:lang w:val="fr-FR"/>
        </w:rPr>
        <w:t xml:space="preserve">de plans d’action par les </w:t>
      </w:r>
      <w:r w:rsidRPr="00AF434B">
        <w:rPr>
          <w:noProof/>
          <w:lang w:val="fr-FR"/>
        </w:rPr>
        <w:t>participants.</w:t>
      </w:r>
    </w:p>
    <w:p w14:paraId="37FC0C18" w14:textId="77777777" w:rsidR="00BF0619" w:rsidRPr="00AF434B" w:rsidRDefault="00BF0619" w:rsidP="00BF0619">
      <w:pPr>
        <w:pStyle w:val="SingleTxtG"/>
        <w:rPr>
          <w:noProof/>
          <w:lang w:val="fr-FR"/>
        </w:rPr>
      </w:pPr>
      <w:r w:rsidRPr="00AF434B">
        <w:rPr>
          <w:noProof/>
          <w:lang w:val="fr-FR"/>
        </w:rPr>
        <w:t>14.</w:t>
      </w:r>
      <w:r w:rsidRPr="00AF434B">
        <w:rPr>
          <w:noProof/>
          <w:lang w:val="fr-FR"/>
        </w:rPr>
        <w:tab/>
      </w:r>
      <w:r>
        <w:rPr>
          <w:noProof/>
          <w:lang w:val="fr-FR"/>
        </w:rPr>
        <w:t xml:space="preserve">À ce jour, cinq cycles de formation ont été suivis par </w:t>
      </w:r>
      <w:r w:rsidRPr="00AF434B">
        <w:rPr>
          <w:noProof/>
          <w:lang w:val="fr-FR"/>
        </w:rPr>
        <w:t>141</w:t>
      </w:r>
      <w:r w:rsidR="00BE5017">
        <w:rPr>
          <w:noProof/>
          <w:lang w:val="fr-FR"/>
        </w:rPr>
        <w:t> </w:t>
      </w:r>
      <w:r>
        <w:rPr>
          <w:noProof/>
          <w:lang w:val="fr-FR"/>
        </w:rPr>
        <w:t xml:space="preserve">stagiaires </w:t>
      </w:r>
      <w:r w:rsidRPr="00AF434B">
        <w:rPr>
          <w:noProof/>
          <w:lang w:val="fr-FR"/>
        </w:rPr>
        <w:t>(136</w:t>
      </w:r>
      <w:r w:rsidR="00BE5017">
        <w:rPr>
          <w:noProof/>
          <w:lang w:val="fr-FR"/>
        </w:rPr>
        <w:t> </w:t>
      </w:r>
      <w:r>
        <w:rPr>
          <w:noProof/>
          <w:lang w:val="fr-FR"/>
        </w:rPr>
        <w:t xml:space="preserve">femmes et </w:t>
      </w:r>
      <w:r w:rsidR="0064073D">
        <w:rPr>
          <w:noProof/>
          <w:lang w:val="fr-FR"/>
        </w:rPr>
        <w:t>5 </w:t>
      </w:r>
      <w:r>
        <w:rPr>
          <w:noProof/>
          <w:lang w:val="fr-FR"/>
        </w:rPr>
        <w:t>hommes</w:t>
      </w:r>
      <w:r w:rsidRPr="00AF434B">
        <w:rPr>
          <w:noProof/>
          <w:lang w:val="fr-FR"/>
        </w:rPr>
        <w:t xml:space="preserve">) </w:t>
      </w:r>
      <w:r>
        <w:rPr>
          <w:noProof/>
          <w:lang w:val="fr-FR"/>
        </w:rPr>
        <w:t xml:space="preserve">fonctionnaires de l’administration publique </w:t>
      </w:r>
      <w:r w:rsidRPr="00AF434B">
        <w:rPr>
          <w:noProof/>
          <w:lang w:val="fr-FR"/>
        </w:rPr>
        <w:t>central</w:t>
      </w:r>
      <w:r>
        <w:rPr>
          <w:noProof/>
          <w:lang w:val="fr-FR"/>
        </w:rPr>
        <w:t>e</w:t>
      </w:r>
      <w:r w:rsidRPr="00AF434B">
        <w:rPr>
          <w:noProof/>
          <w:lang w:val="fr-FR"/>
        </w:rPr>
        <w:t xml:space="preserve"> </w:t>
      </w:r>
      <w:r>
        <w:rPr>
          <w:noProof/>
          <w:lang w:val="fr-FR"/>
        </w:rPr>
        <w:t>et</w:t>
      </w:r>
      <w:r w:rsidRPr="00AF434B">
        <w:rPr>
          <w:noProof/>
          <w:lang w:val="fr-FR"/>
        </w:rPr>
        <w:t xml:space="preserve"> local</w:t>
      </w:r>
      <w:r>
        <w:rPr>
          <w:noProof/>
          <w:lang w:val="fr-FR"/>
        </w:rPr>
        <w:t>e ou cadres et agents d’organisations non gouvernementales (ONG), de syndicats et d’entreprises</w:t>
      </w:r>
      <w:r w:rsidRPr="00AF434B">
        <w:rPr>
          <w:noProof/>
          <w:lang w:val="fr-FR"/>
        </w:rPr>
        <w:t xml:space="preserve">. </w:t>
      </w:r>
      <w:r>
        <w:rPr>
          <w:noProof/>
          <w:lang w:val="fr-FR"/>
        </w:rPr>
        <w:t>Un nouveau cycle du programme de formation sera organisé à l’automne 2018.</w:t>
      </w:r>
      <w:r w:rsidRPr="00AF434B">
        <w:rPr>
          <w:noProof/>
          <w:lang w:val="fr-FR"/>
        </w:rPr>
        <w:t xml:space="preserve"> </w:t>
      </w:r>
    </w:p>
    <w:p w14:paraId="5B68B95A" w14:textId="77777777" w:rsidR="00BF0619" w:rsidRPr="00AF434B" w:rsidRDefault="00BF0619" w:rsidP="00BF0619">
      <w:pPr>
        <w:pStyle w:val="SingleTxtG"/>
        <w:rPr>
          <w:noProof/>
          <w:lang w:val="fr-FR"/>
        </w:rPr>
      </w:pPr>
      <w:r w:rsidRPr="00AF434B">
        <w:rPr>
          <w:noProof/>
          <w:lang w:val="fr-FR"/>
        </w:rPr>
        <w:t>15.</w:t>
      </w:r>
      <w:r w:rsidRPr="00AF434B">
        <w:rPr>
          <w:noProof/>
          <w:lang w:val="fr-FR"/>
        </w:rPr>
        <w:tab/>
      </w:r>
      <w:r>
        <w:rPr>
          <w:noProof/>
          <w:lang w:val="fr-FR"/>
        </w:rPr>
        <w:t xml:space="preserve">De même, la </w:t>
      </w:r>
      <w:r>
        <w:rPr>
          <w:lang w:val="fr-FR"/>
        </w:rPr>
        <w:t>Commission pour l’égalité dans le travail et dans l’emploi</w:t>
      </w:r>
      <w:r w:rsidRPr="00AF434B">
        <w:rPr>
          <w:noProof/>
          <w:lang w:val="fr-FR"/>
        </w:rPr>
        <w:t xml:space="preserve"> </w:t>
      </w:r>
      <w:r>
        <w:rPr>
          <w:noProof/>
          <w:lang w:val="fr-FR"/>
        </w:rPr>
        <w:t xml:space="preserve">a élaboré à cette fin quatre programmes de formation en </w:t>
      </w:r>
      <w:r w:rsidRPr="00AF434B">
        <w:rPr>
          <w:noProof/>
          <w:lang w:val="fr-FR"/>
        </w:rPr>
        <w:t>2013</w:t>
      </w:r>
      <w:r w:rsidR="00BE5017">
        <w:rPr>
          <w:noProof/>
          <w:lang w:val="fr-FR"/>
        </w:rPr>
        <w:t> :</w:t>
      </w:r>
    </w:p>
    <w:p w14:paraId="5B9B9A38"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RFIG_1 (21</w:t>
      </w:r>
      <w:r w:rsidR="00BE5017">
        <w:rPr>
          <w:noProof/>
          <w:lang w:val="fr-FR"/>
        </w:rPr>
        <w:t> </w:t>
      </w:r>
      <w:r w:rsidRPr="00AF434B">
        <w:rPr>
          <w:noProof/>
          <w:lang w:val="fr-FR"/>
        </w:rPr>
        <w:t>h</w:t>
      </w:r>
      <w:r>
        <w:rPr>
          <w:noProof/>
          <w:lang w:val="fr-FR"/>
        </w:rPr>
        <w:t>eure</w:t>
      </w:r>
      <w:r w:rsidRPr="00AF434B">
        <w:rPr>
          <w:noProof/>
          <w:lang w:val="fr-FR"/>
        </w:rPr>
        <w:t xml:space="preserve">s) </w:t>
      </w:r>
      <w:r w:rsidR="00BE5017">
        <w:rPr>
          <w:noProof/>
          <w:lang w:val="fr-FR"/>
        </w:rPr>
        <w:t>− </w:t>
      </w:r>
      <w:r w:rsidRPr="00AF434B">
        <w:rPr>
          <w:noProof/>
          <w:lang w:val="fr-FR"/>
        </w:rPr>
        <w:t xml:space="preserve">Programme </w:t>
      </w:r>
      <w:r>
        <w:rPr>
          <w:noProof/>
          <w:lang w:val="fr-FR"/>
        </w:rPr>
        <w:t>de base relatif à l’égalité des sexes dans le travail et dans l’emploi et à son intégration dans les organisations</w:t>
      </w:r>
      <w:r w:rsidRPr="00AF434B">
        <w:rPr>
          <w:noProof/>
          <w:lang w:val="fr-FR"/>
        </w:rPr>
        <w:t xml:space="preserve">, </w:t>
      </w:r>
      <w:r>
        <w:rPr>
          <w:noProof/>
          <w:lang w:val="fr-FR"/>
        </w:rPr>
        <w:t>s’adressant aux cadres,</w:t>
      </w:r>
      <w:r w:rsidRPr="00AF434B">
        <w:rPr>
          <w:noProof/>
          <w:lang w:val="fr-FR"/>
        </w:rPr>
        <w:t xml:space="preserve"> </w:t>
      </w:r>
      <w:r>
        <w:rPr>
          <w:noProof/>
          <w:lang w:val="fr-FR"/>
        </w:rPr>
        <w:t>responsables de la gestion des ressources humaines,</w:t>
      </w:r>
      <w:r w:rsidRPr="00AF434B">
        <w:rPr>
          <w:noProof/>
          <w:lang w:val="fr-FR"/>
        </w:rPr>
        <w:t xml:space="preserve"> consultants</w:t>
      </w:r>
      <w:r>
        <w:rPr>
          <w:noProof/>
          <w:lang w:val="fr-FR"/>
        </w:rPr>
        <w:t>,</w:t>
      </w:r>
      <w:r w:rsidRPr="00AF434B">
        <w:rPr>
          <w:noProof/>
          <w:lang w:val="fr-FR"/>
        </w:rPr>
        <w:t xml:space="preserve"> jurist</w:t>
      </w:r>
      <w:r>
        <w:rPr>
          <w:noProof/>
          <w:lang w:val="fr-FR"/>
        </w:rPr>
        <w:t>e</w:t>
      </w:r>
      <w:r w:rsidRPr="00AF434B">
        <w:rPr>
          <w:noProof/>
          <w:lang w:val="fr-FR"/>
        </w:rPr>
        <w:t>s</w:t>
      </w:r>
      <w:r>
        <w:rPr>
          <w:noProof/>
          <w:lang w:val="fr-FR"/>
        </w:rPr>
        <w:t>,</w:t>
      </w:r>
      <w:r w:rsidRPr="00AF434B">
        <w:rPr>
          <w:noProof/>
          <w:lang w:val="fr-FR"/>
        </w:rPr>
        <w:t xml:space="preserve"> journalist</w:t>
      </w:r>
      <w:r>
        <w:rPr>
          <w:noProof/>
          <w:lang w:val="fr-FR"/>
        </w:rPr>
        <w:t>e</w:t>
      </w:r>
      <w:r w:rsidRPr="00AF434B">
        <w:rPr>
          <w:noProof/>
          <w:lang w:val="fr-FR"/>
        </w:rPr>
        <w:t>s</w:t>
      </w:r>
      <w:r>
        <w:rPr>
          <w:noProof/>
          <w:lang w:val="fr-FR"/>
        </w:rPr>
        <w:t>,</w:t>
      </w:r>
      <w:r w:rsidRPr="00AF434B">
        <w:rPr>
          <w:noProof/>
          <w:lang w:val="fr-FR"/>
        </w:rPr>
        <w:t xml:space="preserve"> </w:t>
      </w:r>
      <w:r>
        <w:rPr>
          <w:noProof/>
          <w:lang w:val="fr-FR"/>
        </w:rPr>
        <w:t>employés et autres agents travaillant dans les secteurs public et privé</w:t>
      </w:r>
      <w:r w:rsidR="00BE5017">
        <w:rPr>
          <w:noProof/>
          <w:lang w:val="fr-FR"/>
        </w:rPr>
        <w:t> ;</w:t>
      </w:r>
    </w:p>
    <w:p w14:paraId="7B783F17"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RFIG_2 (14 h</w:t>
      </w:r>
      <w:r>
        <w:rPr>
          <w:noProof/>
          <w:lang w:val="fr-FR"/>
        </w:rPr>
        <w:t>eure</w:t>
      </w:r>
      <w:r w:rsidRPr="00AF434B">
        <w:rPr>
          <w:noProof/>
          <w:lang w:val="fr-FR"/>
        </w:rPr>
        <w:t xml:space="preserve">s) </w:t>
      </w:r>
      <w:r w:rsidR="00BE5017">
        <w:rPr>
          <w:noProof/>
          <w:lang w:val="fr-FR"/>
        </w:rPr>
        <w:t>− </w:t>
      </w:r>
      <w:r w:rsidRPr="00AF434B">
        <w:rPr>
          <w:noProof/>
          <w:lang w:val="fr-FR"/>
        </w:rPr>
        <w:t xml:space="preserve">Programme </w:t>
      </w:r>
      <w:r>
        <w:rPr>
          <w:noProof/>
          <w:lang w:val="fr-FR"/>
        </w:rPr>
        <w:t>de base relatif à l’égalité des sexes dans le travail et dans l’emploi</w:t>
      </w:r>
      <w:r w:rsidRPr="00AF434B">
        <w:rPr>
          <w:noProof/>
          <w:lang w:val="fr-FR"/>
        </w:rPr>
        <w:t xml:space="preserve"> </w:t>
      </w:r>
      <w:r>
        <w:rPr>
          <w:noProof/>
          <w:lang w:val="fr-FR"/>
        </w:rPr>
        <w:t>– Le droit</w:t>
      </w:r>
      <w:r w:rsidRPr="00AF434B">
        <w:rPr>
          <w:noProof/>
          <w:lang w:val="fr-FR"/>
        </w:rPr>
        <w:t xml:space="preserve"> </w:t>
      </w:r>
      <w:r>
        <w:rPr>
          <w:noProof/>
          <w:lang w:val="fr-FR"/>
        </w:rPr>
        <w:t>comme moteur du changement, s’adressant aux avocats, cadres, responsables et autres spécialistes de la gestion des ressources humaines, et employés</w:t>
      </w:r>
      <w:r w:rsidR="00BE5017">
        <w:rPr>
          <w:noProof/>
          <w:lang w:val="fr-FR"/>
        </w:rPr>
        <w:t> ;</w:t>
      </w:r>
    </w:p>
    <w:p w14:paraId="4F195302"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RFIG_3 (21 h</w:t>
      </w:r>
      <w:r>
        <w:rPr>
          <w:noProof/>
          <w:lang w:val="fr-FR"/>
        </w:rPr>
        <w:t>eure</w:t>
      </w:r>
      <w:r w:rsidRPr="00AF434B">
        <w:rPr>
          <w:noProof/>
          <w:lang w:val="fr-FR"/>
        </w:rPr>
        <w:t xml:space="preserve">s) </w:t>
      </w:r>
      <w:r w:rsidR="00BE5017">
        <w:rPr>
          <w:noProof/>
          <w:lang w:val="fr-FR"/>
        </w:rPr>
        <w:t>− </w:t>
      </w:r>
      <w:r w:rsidRPr="00AF434B">
        <w:rPr>
          <w:noProof/>
          <w:lang w:val="fr-FR"/>
        </w:rPr>
        <w:t xml:space="preserve">Programme </w:t>
      </w:r>
      <w:r>
        <w:rPr>
          <w:noProof/>
          <w:lang w:val="fr-FR"/>
        </w:rPr>
        <w:t>de base relatif à l’égalité des sexes dans le travail et dans l’emploi</w:t>
      </w:r>
      <w:r w:rsidRPr="00AF434B">
        <w:rPr>
          <w:noProof/>
          <w:lang w:val="fr-FR"/>
        </w:rPr>
        <w:t xml:space="preserve"> </w:t>
      </w:r>
      <w:r>
        <w:rPr>
          <w:noProof/>
          <w:lang w:val="fr-FR"/>
        </w:rPr>
        <w:t>dans le domaine de la négociation collective</w:t>
      </w:r>
      <w:r w:rsidRPr="00AF434B">
        <w:rPr>
          <w:noProof/>
          <w:lang w:val="fr-FR"/>
        </w:rPr>
        <w:t xml:space="preserve">, </w:t>
      </w:r>
      <w:r>
        <w:rPr>
          <w:noProof/>
          <w:lang w:val="fr-FR"/>
        </w:rPr>
        <w:t>s’adressant aux personnes mandatées pour conduire la négociation collective</w:t>
      </w:r>
      <w:r w:rsidRPr="00AF434B">
        <w:rPr>
          <w:noProof/>
          <w:lang w:val="fr-FR"/>
        </w:rPr>
        <w:t xml:space="preserve"> </w:t>
      </w:r>
      <w:r>
        <w:rPr>
          <w:noProof/>
          <w:lang w:val="fr-FR"/>
        </w:rPr>
        <w:t>et, d’une façon générale, aux partenaires sociaux</w:t>
      </w:r>
      <w:r w:rsidR="00BE5017">
        <w:rPr>
          <w:noProof/>
          <w:lang w:val="fr-FR"/>
        </w:rPr>
        <w:t> ;</w:t>
      </w:r>
    </w:p>
    <w:p w14:paraId="1992651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RFIG_4 (14 h</w:t>
      </w:r>
      <w:r>
        <w:rPr>
          <w:noProof/>
          <w:lang w:val="fr-FR"/>
        </w:rPr>
        <w:t>eure</w:t>
      </w:r>
      <w:r w:rsidRPr="00AF434B">
        <w:rPr>
          <w:noProof/>
          <w:lang w:val="fr-FR"/>
        </w:rPr>
        <w:t xml:space="preserve">s) </w:t>
      </w:r>
      <w:r w:rsidR="00BE5017">
        <w:rPr>
          <w:noProof/>
          <w:lang w:val="fr-FR"/>
        </w:rPr>
        <w:t>− </w:t>
      </w:r>
      <w:r w:rsidRPr="00AF434B">
        <w:rPr>
          <w:noProof/>
          <w:lang w:val="fr-FR"/>
        </w:rPr>
        <w:t xml:space="preserve">Programme </w:t>
      </w:r>
      <w:r>
        <w:rPr>
          <w:noProof/>
          <w:lang w:val="fr-FR"/>
        </w:rPr>
        <w:t>de base relatif à l’égalité des sexes dans le travail et dans l’emploi</w:t>
      </w:r>
      <w:r w:rsidRPr="00AF434B">
        <w:rPr>
          <w:noProof/>
          <w:lang w:val="fr-FR"/>
        </w:rPr>
        <w:t xml:space="preserve"> </w:t>
      </w:r>
      <w:r>
        <w:rPr>
          <w:noProof/>
          <w:lang w:val="fr-FR"/>
        </w:rPr>
        <w:t>destiné aux inspecteurs du travail</w:t>
      </w:r>
      <w:r w:rsidRPr="00AF434B">
        <w:rPr>
          <w:noProof/>
          <w:lang w:val="fr-FR"/>
        </w:rPr>
        <w:t xml:space="preserve">. </w:t>
      </w:r>
    </w:p>
    <w:p w14:paraId="203D1CBE" w14:textId="77777777" w:rsidR="00BF0619" w:rsidRPr="00AF434B" w:rsidRDefault="00BF0619" w:rsidP="00BF0619">
      <w:pPr>
        <w:pStyle w:val="SingleTxtG"/>
        <w:rPr>
          <w:noProof/>
          <w:lang w:val="fr-FR"/>
        </w:rPr>
      </w:pPr>
      <w:r w:rsidRPr="00AF434B">
        <w:rPr>
          <w:noProof/>
          <w:lang w:val="fr-FR"/>
        </w:rPr>
        <w:t>16.</w:t>
      </w:r>
      <w:r w:rsidRPr="00AF434B">
        <w:rPr>
          <w:noProof/>
          <w:lang w:val="fr-FR"/>
        </w:rPr>
        <w:tab/>
      </w:r>
      <w:r>
        <w:rPr>
          <w:noProof/>
          <w:lang w:val="fr-FR"/>
        </w:rPr>
        <w:t>Dans le but d’</w:t>
      </w:r>
      <w:r w:rsidRPr="00AF434B">
        <w:rPr>
          <w:noProof/>
          <w:lang w:val="fr-FR"/>
        </w:rPr>
        <w:t>encourage</w:t>
      </w:r>
      <w:r>
        <w:rPr>
          <w:noProof/>
          <w:lang w:val="fr-FR"/>
        </w:rPr>
        <w:t>r les</w:t>
      </w:r>
      <w:r w:rsidRPr="00AF434B">
        <w:rPr>
          <w:noProof/>
          <w:lang w:val="fr-FR"/>
        </w:rPr>
        <w:t xml:space="preserve"> employe</w:t>
      </w:r>
      <w:r>
        <w:rPr>
          <w:noProof/>
          <w:lang w:val="fr-FR"/>
        </w:rPr>
        <w:t>u</w:t>
      </w:r>
      <w:r w:rsidRPr="00AF434B">
        <w:rPr>
          <w:noProof/>
          <w:lang w:val="fr-FR"/>
        </w:rPr>
        <w:t xml:space="preserve">rs </w:t>
      </w:r>
      <w:r>
        <w:rPr>
          <w:noProof/>
          <w:lang w:val="fr-FR"/>
        </w:rPr>
        <w:t>à parvenir à l’égalité des sexes</w:t>
      </w:r>
      <w:r w:rsidRPr="00AF434B">
        <w:rPr>
          <w:noProof/>
          <w:lang w:val="fr-FR"/>
        </w:rPr>
        <w:t xml:space="preserve">, </w:t>
      </w:r>
      <w:r>
        <w:rPr>
          <w:noProof/>
          <w:lang w:val="fr-FR"/>
        </w:rPr>
        <w:t xml:space="preserve">la Commission susvisée attribue depuis 2000 </w:t>
      </w:r>
      <w:r w:rsidR="00BE5017">
        <w:rPr>
          <w:noProof/>
          <w:lang w:val="fr-FR"/>
        </w:rPr>
        <w:t>− </w:t>
      </w:r>
      <w:r>
        <w:rPr>
          <w:noProof/>
          <w:lang w:val="fr-FR"/>
        </w:rPr>
        <w:t xml:space="preserve">et en partenariat avec la Commission pour la citoyenneté et l’égalité des sexes depuis </w:t>
      </w:r>
      <w:r w:rsidRPr="00AF434B">
        <w:rPr>
          <w:noProof/>
          <w:lang w:val="fr-FR"/>
        </w:rPr>
        <w:t>2009</w:t>
      </w:r>
      <w:r w:rsidR="00BE5017">
        <w:rPr>
          <w:noProof/>
          <w:lang w:val="fr-FR"/>
        </w:rPr>
        <w:t> −</w:t>
      </w:r>
      <w:r>
        <w:rPr>
          <w:noProof/>
          <w:lang w:val="fr-FR"/>
        </w:rPr>
        <w:t xml:space="preserve"> le prix « Equality is Quality », qui distingue les entreprises et les employeurs qui se sont dotés de politiques d’égalité des sexes et d’équilibre </w:t>
      </w:r>
      <w:r w:rsidRPr="008B3DCB">
        <w:rPr>
          <w:noProof/>
          <w:lang w:val="fr-FR"/>
        </w:rPr>
        <w:t>entre la vie professionnelle et la vie privée</w:t>
      </w:r>
      <w:r>
        <w:rPr>
          <w:noProof/>
          <w:lang w:val="fr-FR"/>
        </w:rPr>
        <w:t>, et mettent en œuvre de bonnes pratiques en matière de prévention de la violence familiale et de la violence sexiste et de lutte contre ces formes de violence</w:t>
      </w:r>
      <w:r w:rsidRPr="00AF434B">
        <w:rPr>
          <w:noProof/>
          <w:lang w:val="fr-FR"/>
        </w:rPr>
        <w:t xml:space="preserve">. </w:t>
      </w:r>
    </w:p>
    <w:p w14:paraId="63846263" w14:textId="77777777" w:rsidR="00BF0619" w:rsidRPr="00AF434B" w:rsidRDefault="00BF0619" w:rsidP="00BF0619">
      <w:pPr>
        <w:pStyle w:val="SingleTxtG"/>
        <w:rPr>
          <w:noProof/>
          <w:lang w:val="fr-FR"/>
        </w:rPr>
      </w:pPr>
      <w:r w:rsidRPr="00AF434B">
        <w:rPr>
          <w:noProof/>
          <w:lang w:val="fr-FR"/>
        </w:rPr>
        <w:t>17.</w:t>
      </w:r>
      <w:r w:rsidRPr="00AF434B">
        <w:rPr>
          <w:noProof/>
          <w:lang w:val="fr-FR"/>
        </w:rPr>
        <w:tab/>
      </w:r>
      <w:r>
        <w:rPr>
          <w:noProof/>
          <w:lang w:val="fr-FR"/>
        </w:rPr>
        <w:t xml:space="preserve">Soucieuse de rendre le prix « Equality is Quality » encore plus attrayant, la </w:t>
      </w:r>
      <w:r>
        <w:rPr>
          <w:lang w:val="fr-FR"/>
        </w:rPr>
        <w:t>Commission pour l’égalité dans le travail et dans l’emploi</w:t>
      </w:r>
      <w:r w:rsidRPr="00AF434B">
        <w:rPr>
          <w:noProof/>
          <w:lang w:val="fr-FR"/>
        </w:rPr>
        <w:t xml:space="preserve"> </w:t>
      </w:r>
      <w:r>
        <w:rPr>
          <w:noProof/>
          <w:lang w:val="fr-FR"/>
        </w:rPr>
        <w:t>a entrepris de le renouveler en prévision de sa nouvelle édition, dont le lancement est prévu en 2019.</w:t>
      </w:r>
      <w:r w:rsidRPr="00AF434B">
        <w:rPr>
          <w:noProof/>
          <w:lang w:val="fr-FR"/>
        </w:rPr>
        <w:t xml:space="preserve"> </w:t>
      </w:r>
    </w:p>
    <w:p w14:paraId="68BF6719" w14:textId="77777777" w:rsidR="00BF0619" w:rsidRPr="00AF434B" w:rsidRDefault="00BF0619" w:rsidP="00BF0619">
      <w:pPr>
        <w:pStyle w:val="SingleTxtG"/>
        <w:rPr>
          <w:noProof/>
          <w:lang w:val="fr-FR"/>
        </w:rPr>
      </w:pPr>
      <w:r w:rsidRPr="00AF434B">
        <w:rPr>
          <w:noProof/>
          <w:lang w:val="fr-FR"/>
        </w:rPr>
        <w:t>18.</w:t>
      </w:r>
      <w:r w:rsidRPr="00AF434B">
        <w:rPr>
          <w:noProof/>
          <w:lang w:val="fr-FR"/>
        </w:rPr>
        <w:tab/>
      </w:r>
      <w:r>
        <w:rPr>
          <w:noProof/>
          <w:lang w:val="fr-FR"/>
        </w:rPr>
        <w:t xml:space="preserve">La </w:t>
      </w:r>
      <w:r w:rsidRPr="006A1B9B">
        <w:rPr>
          <w:noProof/>
          <w:lang w:val="fr-FR"/>
        </w:rPr>
        <w:t>Journée nationale de l’égalité de rémunération</w:t>
      </w:r>
      <w:r w:rsidRPr="00AF434B">
        <w:rPr>
          <w:noProof/>
          <w:lang w:val="fr-FR"/>
        </w:rPr>
        <w:t xml:space="preserve"> </w:t>
      </w:r>
      <w:r>
        <w:rPr>
          <w:noProof/>
          <w:lang w:val="fr-FR"/>
        </w:rPr>
        <w:t xml:space="preserve">est célébrée depuis </w:t>
      </w:r>
      <w:r w:rsidRPr="00AF434B">
        <w:rPr>
          <w:noProof/>
          <w:lang w:val="fr-FR"/>
        </w:rPr>
        <w:t xml:space="preserve">2013 </w:t>
      </w:r>
      <w:r>
        <w:rPr>
          <w:noProof/>
          <w:lang w:val="fr-FR"/>
        </w:rPr>
        <w:t xml:space="preserve">pour sensibiliser le public à la nécessité d’inverser la persistance de l’écart entre les salaires des femmes et ceux des hommes, en diffusant des </w:t>
      </w:r>
      <w:r w:rsidRPr="00AF434B">
        <w:rPr>
          <w:noProof/>
          <w:lang w:val="fr-FR"/>
        </w:rPr>
        <w:t>information</w:t>
      </w:r>
      <w:r>
        <w:rPr>
          <w:noProof/>
          <w:lang w:val="fr-FR"/>
        </w:rPr>
        <w:t>s</w:t>
      </w:r>
      <w:r w:rsidRPr="00AF434B">
        <w:rPr>
          <w:noProof/>
          <w:lang w:val="fr-FR"/>
        </w:rPr>
        <w:t xml:space="preserve"> </w:t>
      </w:r>
      <w:r>
        <w:rPr>
          <w:noProof/>
          <w:lang w:val="fr-FR"/>
        </w:rPr>
        <w:t>sur les inégalités auprès des principaux agents sur le marché du travail, des entreprises et des associations d’employeurs des principaux secteurs de l’économie, ainsi que des partenaires sociaux</w:t>
      </w:r>
      <w:r w:rsidRPr="00AF434B">
        <w:rPr>
          <w:noProof/>
          <w:lang w:val="fr-FR"/>
        </w:rPr>
        <w:t>.</w:t>
      </w:r>
    </w:p>
    <w:p w14:paraId="11E322F2" w14:textId="77777777" w:rsidR="00BF0619" w:rsidRPr="00AF434B" w:rsidRDefault="00BF0619" w:rsidP="00BF0619">
      <w:pPr>
        <w:pStyle w:val="SingleTxtG"/>
        <w:rPr>
          <w:noProof/>
          <w:lang w:val="fr-FR"/>
        </w:rPr>
      </w:pPr>
      <w:r w:rsidRPr="00AF434B">
        <w:rPr>
          <w:noProof/>
          <w:lang w:val="fr-FR"/>
        </w:rPr>
        <w:t>19.</w:t>
      </w:r>
      <w:r w:rsidRPr="00AF434B">
        <w:rPr>
          <w:noProof/>
          <w:lang w:val="fr-FR"/>
        </w:rPr>
        <w:tab/>
      </w:r>
      <w:r>
        <w:rPr>
          <w:noProof/>
          <w:lang w:val="fr-FR"/>
        </w:rPr>
        <w:t xml:space="preserve">En </w:t>
      </w:r>
      <w:r w:rsidRPr="00AF434B">
        <w:rPr>
          <w:noProof/>
          <w:lang w:val="fr-FR"/>
        </w:rPr>
        <w:t>2016</w:t>
      </w:r>
      <w:r>
        <w:rPr>
          <w:noProof/>
          <w:lang w:val="fr-FR"/>
        </w:rPr>
        <w:t xml:space="preserve"> et </w:t>
      </w:r>
      <w:r w:rsidRPr="00AF434B">
        <w:rPr>
          <w:noProof/>
          <w:lang w:val="fr-FR"/>
        </w:rPr>
        <w:t xml:space="preserve">2017, </w:t>
      </w:r>
      <w:r>
        <w:rPr>
          <w:noProof/>
          <w:lang w:val="fr-FR"/>
        </w:rPr>
        <w:t xml:space="preserve">la </w:t>
      </w:r>
      <w:r>
        <w:rPr>
          <w:lang w:val="fr-FR"/>
        </w:rPr>
        <w:t>Commission pour l’égalité dans le travail et dans l’emploi</w:t>
      </w:r>
      <w:r w:rsidRPr="00AF434B">
        <w:rPr>
          <w:noProof/>
          <w:lang w:val="fr-FR"/>
        </w:rPr>
        <w:t xml:space="preserve"> </w:t>
      </w:r>
      <w:r>
        <w:rPr>
          <w:noProof/>
          <w:lang w:val="fr-FR"/>
        </w:rPr>
        <w:t>et l’Autorité chargée des conditions de travail ont mis en place des actions conjointes destinées à sensibiliser les employeurs et à fluidifier la coopération entre les travaux juridiques de la première et les activités d’inspection de la seconde</w:t>
      </w:r>
      <w:r w:rsidRPr="00AF434B">
        <w:rPr>
          <w:noProof/>
          <w:lang w:val="fr-FR"/>
        </w:rPr>
        <w:t xml:space="preserve">. </w:t>
      </w:r>
      <w:r>
        <w:rPr>
          <w:noProof/>
          <w:lang w:val="fr-FR"/>
        </w:rPr>
        <w:t>Les deux entités ont lancé en commun l’Action nationale de promotion de l’égalité entre les sexes au travail</w:t>
      </w:r>
      <w:r w:rsidRPr="00AF434B">
        <w:rPr>
          <w:noProof/>
          <w:lang w:val="fr-FR"/>
        </w:rPr>
        <w:t xml:space="preserve">. </w:t>
      </w:r>
    </w:p>
    <w:p w14:paraId="51C050DD" w14:textId="77777777" w:rsidR="00BF0619" w:rsidRPr="00AF434B" w:rsidRDefault="00BF0619" w:rsidP="00BF0619">
      <w:pPr>
        <w:pStyle w:val="SingleTxtG"/>
        <w:rPr>
          <w:noProof/>
          <w:lang w:val="fr-FR"/>
        </w:rPr>
      </w:pPr>
      <w:r w:rsidRPr="00AF434B">
        <w:rPr>
          <w:noProof/>
          <w:lang w:val="fr-FR"/>
        </w:rPr>
        <w:t>20.</w:t>
      </w:r>
      <w:r w:rsidRPr="00AF434B">
        <w:rPr>
          <w:noProof/>
          <w:lang w:val="fr-FR"/>
        </w:rPr>
        <w:tab/>
      </w:r>
      <w:r>
        <w:rPr>
          <w:noProof/>
          <w:lang w:val="fr-FR"/>
        </w:rPr>
        <w:t>E</w:t>
      </w:r>
      <w:r w:rsidRPr="00AF434B">
        <w:rPr>
          <w:noProof/>
          <w:lang w:val="fr-FR"/>
        </w:rPr>
        <w:t>n 2015, 59</w:t>
      </w:r>
      <w:r w:rsidR="00BE5017">
        <w:rPr>
          <w:noProof/>
          <w:lang w:val="fr-FR"/>
        </w:rPr>
        <w:t> </w:t>
      </w:r>
      <w:r w:rsidRPr="00AF434B">
        <w:rPr>
          <w:noProof/>
          <w:lang w:val="fr-FR"/>
        </w:rPr>
        <w:t xml:space="preserve">% </w:t>
      </w:r>
      <w:r>
        <w:rPr>
          <w:noProof/>
          <w:lang w:val="fr-FR"/>
        </w:rPr>
        <w:t xml:space="preserve">des Portugais ont obtenu un diplôme dans l’enseignement supérieur et </w:t>
      </w:r>
      <w:r w:rsidRPr="00AF434B">
        <w:rPr>
          <w:noProof/>
          <w:lang w:val="fr-FR"/>
        </w:rPr>
        <w:t>54</w:t>
      </w:r>
      <w:r>
        <w:rPr>
          <w:noProof/>
          <w:lang w:val="fr-FR"/>
        </w:rPr>
        <w:t>,</w:t>
      </w:r>
      <w:r w:rsidRPr="00AF434B">
        <w:rPr>
          <w:noProof/>
          <w:lang w:val="fr-FR"/>
        </w:rPr>
        <w:t>8</w:t>
      </w:r>
      <w:r w:rsidR="00BE5017">
        <w:rPr>
          <w:noProof/>
          <w:lang w:val="fr-FR"/>
        </w:rPr>
        <w:t> </w:t>
      </w:r>
      <w:r w:rsidRPr="00AF434B">
        <w:rPr>
          <w:noProof/>
          <w:lang w:val="fr-FR"/>
        </w:rPr>
        <w:t xml:space="preserve">% </w:t>
      </w:r>
      <w:r>
        <w:rPr>
          <w:noProof/>
          <w:lang w:val="fr-FR"/>
        </w:rPr>
        <w:t>des personnes titulaires d’un doctorat étaient des femmes</w:t>
      </w:r>
      <w:r w:rsidRPr="00AF434B">
        <w:rPr>
          <w:noProof/>
          <w:lang w:val="fr-FR"/>
        </w:rPr>
        <w:t xml:space="preserve">. </w:t>
      </w:r>
      <w:r>
        <w:rPr>
          <w:noProof/>
          <w:lang w:val="fr-FR"/>
        </w:rPr>
        <w:t xml:space="preserve">Toutefois, les hommes occupaient </w:t>
      </w:r>
      <w:r w:rsidRPr="00AF434B">
        <w:rPr>
          <w:noProof/>
          <w:lang w:val="fr-FR"/>
        </w:rPr>
        <w:t>91</w:t>
      </w:r>
      <w:r w:rsidR="00BE5017">
        <w:rPr>
          <w:noProof/>
          <w:lang w:val="fr-FR"/>
        </w:rPr>
        <w:t> </w:t>
      </w:r>
      <w:r w:rsidRPr="00AF434B">
        <w:rPr>
          <w:noProof/>
          <w:lang w:val="fr-FR"/>
        </w:rPr>
        <w:t xml:space="preserve">% </w:t>
      </w:r>
      <w:r>
        <w:rPr>
          <w:noProof/>
          <w:lang w:val="fr-FR"/>
        </w:rPr>
        <w:t>des sièges des conseils d’administration des 17</w:t>
      </w:r>
      <w:r w:rsidR="00BE5017">
        <w:rPr>
          <w:noProof/>
          <w:lang w:val="fr-FR"/>
        </w:rPr>
        <w:t> </w:t>
      </w:r>
      <w:r>
        <w:rPr>
          <w:noProof/>
          <w:lang w:val="fr-FR"/>
        </w:rPr>
        <w:t>sociétés cotées en bourse</w:t>
      </w:r>
      <w:r w:rsidRPr="00AF434B">
        <w:rPr>
          <w:noProof/>
          <w:lang w:val="fr-FR"/>
        </w:rPr>
        <w:t xml:space="preserve">. </w:t>
      </w:r>
      <w:r>
        <w:rPr>
          <w:noProof/>
          <w:lang w:val="fr-FR"/>
        </w:rPr>
        <w:t>E</w:t>
      </w:r>
      <w:r w:rsidRPr="00AF434B">
        <w:rPr>
          <w:noProof/>
          <w:lang w:val="fr-FR"/>
        </w:rPr>
        <w:t xml:space="preserve">n </w:t>
      </w:r>
      <w:r>
        <w:rPr>
          <w:noProof/>
          <w:lang w:val="fr-FR"/>
        </w:rPr>
        <w:t>l’</w:t>
      </w:r>
      <w:r w:rsidRPr="00AF434B">
        <w:rPr>
          <w:noProof/>
          <w:lang w:val="fr-FR"/>
        </w:rPr>
        <w:t xml:space="preserve">absence </w:t>
      </w:r>
      <w:r>
        <w:rPr>
          <w:noProof/>
          <w:lang w:val="fr-FR"/>
        </w:rPr>
        <w:t xml:space="preserve">d’une raison </w:t>
      </w:r>
      <w:r w:rsidRPr="00AF434B">
        <w:rPr>
          <w:noProof/>
          <w:lang w:val="fr-FR"/>
        </w:rPr>
        <w:t xml:space="preserve">objective </w:t>
      </w:r>
      <w:r>
        <w:rPr>
          <w:noProof/>
          <w:lang w:val="fr-FR"/>
        </w:rPr>
        <w:t>pouvant expliquer cette disproportion</w:t>
      </w:r>
      <w:r w:rsidRPr="00AF434B">
        <w:rPr>
          <w:noProof/>
          <w:lang w:val="fr-FR"/>
        </w:rPr>
        <w:t xml:space="preserve">, </w:t>
      </w:r>
      <w:r>
        <w:rPr>
          <w:noProof/>
          <w:lang w:val="fr-FR"/>
        </w:rPr>
        <w:t xml:space="preserve">la </w:t>
      </w:r>
      <w:r>
        <w:rPr>
          <w:lang w:val="fr-FR"/>
        </w:rPr>
        <w:t>Commission pour l’égalité dans le travail et dans l’emploi a lancé</w:t>
      </w:r>
      <w:r w:rsidRPr="00AF434B">
        <w:rPr>
          <w:noProof/>
          <w:lang w:val="fr-FR"/>
        </w:rPr>
        <w:t xml:space="preserve"> l</w:t>
      </w:r>
      <w:r>
        <w:rPr>
          <w:noProof/>
          <w:lang w:val="fr-FR"/>
        </w:rPr>
        <w:t>a Campagne nationale de promotion de la présence des femmes aux conseils d’administration, pour sensibiliser les parties prenantes en vue d’inverser cette tendance</w:t>
      </w:r>
      <w:r w:rsidRPr="00BB3DD1">
        <w:rPr>
          <w:rStyle w:val="Appelnotedebasdep"/>
        </w:rPr>
        <w:footnoteReference w:id="4"/>
      </w:r>
      <w:r>
        <w:rPr>
          <w:noProof/>
          <w:lang w:val="fr-FR"/>
        </w:rPr>
        <w:t>.</w:t>
      </w:r>
    </w:p>
    <w:p w14:paraId="59EB1BE7" w14:textId="77777777" w:rsidR="00BF0619" w:rsidRPr="00AF434B" w:rsidRDefault="00BF0619" w:rsidP="00BF0619">
      <w:pPr>
        <w:pStyle w:val="SingleTxtG"/>
        <w:rPr>
          <w:noProof/>
          <w:lang w:val="fr-FR"/>
        </w:rPr>
      </w:pPr>
      <w:r w:rsidRPr="00AF434B">
        <w:rPr>
          <w:noProof/>
          <w:lang w:val="fr-FR"/>
        </w:rPr>
        <w:t>21.</w:t>
      </w:r>
      <w:r w:rsidRPr="00AF434B">
        <w:rPr>
          <w:noProof/>
          <w:lang w:val="fr-FR"/>
        </w:rPr>
        <w:tab/>
      </w:r>
      <w:r>
        <w:rPr>
          <w:noProof/>
          <w:lang w:val="fr-FR"/>
        </w:rPr>
        <w:t xml:space="preserve">Depuis </w:t>
      </w:r>
      <w:r w:rsidRPr="00AF434B">
        <w:rPr>
          <w:noProof/>
          <w:lang w:val="fr-FR"/>
        </w:rPr>
        <w:t xml:space="preserve">2013, </w:t>
      </w:r>
      <w:r>
        <w:rPr>
          <w:noProof/>
          <w:lang w:val="fr-FR"/>
        </w:rPr>
        <w:t xml:space="preserve">la Commission a organisé une collaboration avec les entreprises privées et publiques en vue de mettre en œuvre, suivre et diffuser des actions concrètes en matière d’égalité des sexes, portant notamment sur la conciliation de la vie professionnelle et de la vie de famille, le recrutement, la déségrégation </w:t>
      </w:r>
      <w:r w:rsidRPr="00AF434B">
        <w:rPr>
          <w:noProof/>
          <w:lang w:val="fr-FR"/>
        </w:rPr>
        <w:t>horizontal</w:t>
      </w:r>
      <w:r>
        <w:rPr>
          <w:noProof/>
          <w:lang w:val="fr-FR"/>
        </w:rPr>
        <w:t>e et</w:t>
      </w:r>
      <w:r w:rsidRPr="00AF434B">
        <w:rPr>
          <w:noProof/>
          <w:lang w:val="fr-FR"/>
        </w:rPr>
        <w:t xml:space="preserve"> vertical</w:t>
      </w:r>
      <w:r>
        <w:rPr>
          <w:noProof/>
          <w:lang w:val="fr-FR"/>
        </w:rPr>
        <w:t>e, et la lutte contre l’inégalité salariale</w:t>
      </w:r>
      <w:r w:rsidRPr="00AF434B">
        <w:rPr>
          <w:noProof/>
          <w:lang w:val="fr-FR"/>
        </w:rPr>
        <w:t xml:space="preserve">. </w:t>
      </w:r>
      <w:r>
        <w:rPr>
          <w:noProof/>
          <w:lang w:val="fr-FR"/>
        </w:rPr>
        <w:t xml:space="preserve">Cette collaboration a débouché sur le projet intitulé Forum iGEN </w:t>
      </w:r>
      <w:r w:rsidR="00BE5017">
        <w:rPr>
          <w:noProof/>
          <w:lang w:val="fr-FR"/>
        </w:rPr>
        <w:t>− </w:t>
      </w:r>
      <w:r w:rsidRPr="00AF434B">
        <w:rPr>
          <w:noProof/>
          <w:lang w:val="fr-FR"/>
        </w:rPr>
        <w:t xml:space="preserve">Forum </w:t>
      </w:r>
      <w:r>
        <w:rPr>
          <w:noProof/>
          <w:lang w:val="fr-FR"/>
        </w:rPr>
        <w:t>d’entreprises pour l’égalité des sexes</w:t>
      </w:r>
      <w:r w:rsidR="00BE5017">
        <w:rPr>
          <w:noProof/>
          <w:lang w:val="fr-FR"/>
        </w:rPr>
        <w:t> −</w:t>
      </w:r>
      <w:r>
        <w:rPr>
          <w:noProof/>
          <w:lang w:val="fr-FR"/>
        </w:rPr>
        <w:t>, qui regroupe 60</w:t>
      </w:r>
      <w:r w:rsidR="00BE5017">
        <w:rPr>
          <w:noProof/>
          <w:lang w:val="fr-FR"/>
        </w:rPr>
        <w:t> </w:t>
      </w:r>
      <w:r>
        <w:rPr>
          <w:noProof/>
          <w:lang w:val="fr-FR"/>
        </w:rPr>
        <w:t>entreprises</w:t>
      </w:r>
      <w:r w:rsidRPr="00AF434B">
        <w:rPr>
          <w:noProof/>
          <w:lang w:val="fr-FR"/>
        </w:rPr>
        <w:t>.</w:t>
      </w:r>
    </w:p>
    <w:p w14:paraId="2B9A6328" w14:textId="77777777" w:rsidR="00BF0619" w:rsidRPr="00AF434B" w:rsidRDefault="00BF0619" w:rsidP="00BE5017">
      <w:pPr>
        <w:pStyle w:val="SingleTxtG"/>
        <w:keepNext/>
        <w:keepLines/>
        <w:rPr>
          <w:noProof/>
          <w:lang w:val="fr-FR"/>
        </w:rPr>
      </w:pPr>
      <w:r w:rsidRPr="00AF434B">
        <w:rPr>
          <w:noProof/>
          <w:lang w:val="fr-FR"/>
        </w:rPr>
        <w:t>22.</w:t>
      </w:r>
      <w:r w:rsidRPr="00AF434B">
        <w:rPr>
          <w:noProof/>
          <w:lang w:val="fr-FR"/>
        </w:rPr>
        <w:tab/>
      </w:r>
      <w:r>
        <w:rPr>
          <w:noProof/>
          <w:lang w:val="fr-FR"/>
        </w:rPr>
        <w:t>E</w:t>
      </w:r>
      <w:r w:rsidRPr="00AF434B">
        <w:rPr>
          <w:noProof/>
          <w:lang w:val="fr-FR"/>
        </w:rPr>
        <w:t>n 2014</w:t>
      </w:r>
      <w:r>
        <w:rPr>
          <w:noProof/>
          <w:lang w:val="fr-FR"/>
        </w:rPr>
        <w:t>, deux outils W</w:t>
      </w:r>
      <w:r w:rsidRPr="00AF434B">
        <w:rPr>
          <w:noProof/>
          <w:lang w:val="fr-FR"/>
        </w:rPr>
        <w:t xml:space="preserve">eb </w:t>
      </w:r>
      <w:r>
        <w:rPr>
          <w:noProof/>
          <w:lang w:val="fr-FR"/>
        </w:rPr>
        <w:t>qui permettent aux entreprises d’analyser la structure de leur personnel et leurs barèmes de rémunération ont été mis au point. Ce sont</w:t>
      </w:r>
      <w:r w:rsidR="00BE5017">
        <w:rPr>
          <w:noProof/>
          <w:lang w:val="fr-FR"/>
        </w:rPr>
        <w:t> :</w:t>
      </w:r>
    </w:p>
    <w:p w14:paraId="5CDAC122" w14:textId="77777777" w:rsidR="00BF0619" w:rsidRPr="00AF434B" w:rsidRDefault="00BF0619" w:rsidP="00BE5017">
      <w:pPr>
        <w:pStyle w:val="SingleTxtG"/>
        <w:ind w:firstLine="567"/>
        <w:rPr>
          <w:noProof/>
          <w:lang w:val="fr-FR"/>
        </w:rPr>
      </w:pPr>
      <w:r w:rsidRPr="00AF434B">
        <w:rPr>
          <w:noProof/>
          <w:lang w:val="fr-FR"/>
        </w:rPr>
        <w:t>a)</w:t>
      </w:r>
      <w:r w:rsidRPr="00AF434B">
        <w:rPr>
          <w:noProof/>
          <w:lang w:val="fr-FR"/>
        </w:rPr>
        <w:tab/>
      </w:r>
      <w:r>
        <w:rPr>
          <w:noProof/>
          <w:lang w:val="fr-FR"/>
        </w:rPr>
        <w:t>L’enquête d’autoévaluation sur l’égalité de rémunération entre hommes et femmes dans les entreprises, qui examine certaines pratiques suivies par celle-ci en matière d’évaluation du travail de leurs employés et de paiement des salaires et autres avantages</w:t>
      </w:r>
      <w:r w:rsidRPr="00AF434B">
        <w:rPr>
          <w:noProof/>
          <w:lang w:val="fr-FR"/>
        </w:rPr>
        <w:t xml:space="preserve">. </w:t>
      </w:r>
      <w:r>
        <w:rPr>
          <w:noProof/>
          <w:lang w:val="fr-FR"/>
        </w:rPr>
        <w:t xml:space="preserve">À mesure qu’il étudie les différentes questions qui composent ce </w:t>
      </w:r>
      <w:r w:rsidRPr="00AF434B">
        <w:rPr>
          <w:noProof/>
          <w:lang w:val="fr-FR"/>
        </w:rPr>
        <w:t xml:space="preserve">questionnaire, </w:t>
      </w:r>
      <w:r>
        <w:rPr>
          <w:noProof/>
          <w:lang w:val="fr-FR"/>
        </w:rPr>
        <w:t xml:space="preserve">l’employeur est amené à réfléchir sur certaines pratiques ou </w:t>
      </w:r>
      <w:r w:rsidRPr="00AF434B">
        <w:rPr>
          <w:noProof/>
          <w:lang w:val="fr-FR"/>
        </w:rPr>
        <w:t>proc</w:t>
      </w:r>
      <w:r>
        <w:rPr>
          <w:noProof/>
          <w:lang w:val="fr-FR"/>
        </w:rPr>
        <w:t>é</w:t>
      </w:r>
      <w:r w:rsidRPr="00AF434B">
        <w:rPr>
          <w:noProof/>
          <w:lang w:val="fr-FR"/>
        </w:rPr>
        <w:t xml:space="preserve">dures </w:t>
      </w:r>
      <w:r>
        <w:rPr>
          <w:noProof/>
          <w:lang w:val="fr-FR"/>
        </w:rPr>
        <w:t xml:space="preserve">et, ce faisant, à repérer les </w:t>
      </w:r>
      <w:r w:rsidRPr="00AF434B">
        <w:rPr>
          <w:noProof/>
          <w:lang w:val="fr-FR"/>
        </w:rPr>
        <w:t xml:space="preserve">situations </w:t>
      </w:r>
      <w:r>
        <w:rPr>
          <w:noProof/>
          <w:lang w:val="fr-FR"/>
        </w:rPr>
        <w:t>susceptibles de déterminer une inégalité de traitement entre hommes et femmes</w:t>
      </w:r>
      <w:r w:rsidRPr="00AF434B">
        <w:rPr>
          <w:noProof/>
          <w:lang w:val="fr-FR"/>
        </w:rPr>
        <w:t xml:space="preserve">, </w:t>
      </w:r>
      <w:r>
        <w:rPr>
          <w:noProof/>
          <w:lang w:val="fr-FR"/>
        </w:rPr>
        <w:t>avec des incidences sur le niveau de rémunération</w:t>
      </w:r>
      <w:r w:rsidR="00BE5017">
        <w:rPr>
          <w:noProof/>
          <w:lang w:val="fr-FR"/>
        </w:rPr>
        <w:t> ;</w:t>
      </w:r>
    </w:p>
    <w:p w14:paraId="4F3019C1" w14:textId="77777777" w:rsidR="00BF0619" w:rsidRPr="00AF434B" w:rsidRDefault="00BF0619" w:rsidP="00BE5017">
      <w:pPr>
        <w:pStyle w:val="SingleTxtG"/>
        <w:ind w:firstLine="567"/>
        <w:rPr>
          <w:noProof/>
          <w:lang w:val="fr-FR"/>
        </w:rPr>
      </w:pPr>
      <w:r w:rsidRPr="00AF434B">
        <w:rPr>
          <w:noProof/>
          <w:lang w:val="fr-FR"/>
        </w:rPr>
        <w:t>b)</w:t>
      </w:r>
      <w:r w:rsidRPr="00AF434B">
        <w:rPr>
          <w:noProof/>
          <w:lang w:val="fr-FR"/>
        </w:rPr>
        <w:tab/>
      </w:r>
      <w:r>
        <w:rPr>
          <w:noProof/>
          <w:lang w:val="fr-FR"/>
        </w:rPr>
        <w:t>Le calculateur d’écarts de rémunération entre les sexes, qui permet aux entreprises de procéder à une autoévaluation sur l’égalité de rémunération entre hommes et femmes.</w:t>
      </w:r>
      <w:r w:rsidRPr="00AF434B">
        <w:rPr>
          <w:noProof/>
          <w:lang w:val="fr-FR"/>
        </w:rPr>
        <w:t xml:space="preserve"> </w:t>
      </w:r>
    </w:p>
    <w:p w14:paraId="0358EA3E" w14:textId="77777777" w:rsidR="00BF0619" w:rsidRPr="00AF434B" w:rsidRDefault="00BF0619" w:rsidP="00BF0619">
      <w:pPr>
        <w:pStyle w:val="SingleTxtG"/>
        <w:rPr>
          <w:noProof/>
          <w:lang w:val="fr-FR"/>
        </w:rPr>
      </w:pPr>
      <w:r w:rsidRPr="00AF434B">
        <w:rPr>
          <w:noProof/>
          <w:lang w:val="fr-FR"/>
        </w:rPr>
        <w:t>23.</w:t>
      </w:r>
      <w:r w:rsidRPr="00AF434B">
        <w:rPr>
          <w:noProof/>
          <w:lang w:val="fr-FR"/>
        </w:rPr>
        <w:tab/>
      </w:r>
      <w:r>
        <w:rPr>
          <w:noProof/>
          <w:lang w:val="fr-FR"/>
        </w:rPr>
        <w:t xml:space="preserve">Depuis le début de </w:t>
      </w:r>
      <w:r w:rsidRPr="00AF434B">
        <w:rPr>
          <w:noProof/>
          <w:lang w:val="fr-FR"/>
        </w:rPr>
        <w:t>2015</w:t>
      </w:r>
      <w:r>
        <w:rPr>
          <w:noProof/>
          <w:lang w:val="fr-FR"/>
        </w:rPr>
        <w:t xml:space="preserve">, ces outils sont disponibles sur le site Web de la </w:t>
      </w:r>
      <w:r>
        <w:rPr>
          <w:lang w:val="fr-FR"/>
        </w:rPr>
        <w:t>Commission pour l’égalité dans le travail et dans l’emploi</w:t>
      </w:r>
      <w:r w:rsidRPr="00BB3DD1">
        <w:rPr>
          <w:rStyle w:val="Appelnotedebasdep"/>
        </w:rPr>
        <w:footnoteReference w:id="5"/>
      </w:r>
      <w:r>
        <w:rPr>
          <w:noProof/>
          <w:lang w:val="fr-FR"/>
        </w:rPr>
        <w:t>.</w:t>
      </w:r>
      <w:r w:rsidRPr="00AF434B">
        <w:rPr>
          <w:noProof/>
          <w:lang w:val="fr-FR"/>
        </w:rPr>
        <w:t xml:space="preserve"> </w:t>
      </w:r>
      <w:r>
        <w:rPr>
          <w:noProof/>
          <w:lang w:val="fr-FR"/>
        </w:rPr>
        <w:t xml:space="preserve">Au cours de l’année écoulée, </w:t>
      </w:r>
      <w:r w:rsidRPr="00AF434B">
        <w:rPr>
          <w:noProof/>
          <w:lang w:val="fr-FR"/>
        </w:rPr>
        <w:t>860 u</w:t>
      </w:r>
      <w:r>
        <w:rPr>
          <w:noProof/>
          <w:lang w:val="fr-FR"/>
        </w:rPr>
        <w:t xml:space="preserve">tilisateurs </w:t>
      </w:r>
      <w:r w:rsidRPr="00AF434B">
        <w:rPr>
          <w:noProof/>
          <w:lang w:val="fr-FR"/>
        </w:rPr>
        <w:t>se</w:t>
      </w:r>
      <w:r>
        <w:rPr>
          <w:noProof/>
          <w:lang w:val="fr-FR"/>
        </w:rPr>
        <w:t xml:space="preserve"> sont connectés</w:t>
      </w:r>
      <w:r w:rsidRPr="00AF434B">
        <w:rPr>
          <w:noProof/>
          <w:lang w:val="fr-FR"/>
        </w:rPr>
        <w:t xml:space="preserve"> 1</w:t>
      </w:r>
      <w:r w:rsidR="00BE5017">
        <w:rPr>
          <w:noProof/>
          <w:lang w:val="fr-FR"/>
        </w:rPr>
        <w:t> </w:t>
      </w:r>
      <w:r w:rsidRPr="00AF434B">
        <w:rPr>
          <w:noProof/>
          <w:lang w:val="fr-FR"/>
        </w:rPr>
        <w:t>004</w:t>
      </w:r>
      <w:r w:rsidR="00BE5017">
        <w:rPr>
          <w:noProof/>
          <w:lang w:val="fr-FR"/>
        </w:rPr>
        <w:t> </w:t>
      </w:r>
      <w:r>
        <w:rPr>
          <w:noProof/>
          <w:lang w:val="fr-FR"/>
        </w:rPr>
        <w:t xml:space="preserve">fois au calculateur d’écarts de rémunération entre les sexes et </w:t>
      </w:r>
      <w:r w:rsidRPr="00AF434B">
        <w:rPr>
          <w:noProof/>
          <w:lang w:val="fr-FR"/>
        </w:rPr>
        <w:t xml:space="preserve">159 </w:t>
      </w:r>
      <w:r>
        <w:rPr>
          <w:noProof/>
          <w:lang w:val="fr-FR"/>
        </w:rPr>
        <w:t>à l’enquête d’autoévaluation</w:t>
      </w:r>
      <w:r w:rsidRPr="00AF434B">
        <w:rPr>
          <w:noProof/>
          <w:lang w:val="fr-FR"/>
        </w:rPr>
        <w:t>.</w:t>
      </w:r>
    </w:p>
    <w:p w14:paraId="051EF9EF" w14:textId="77777777" w:rsidR="00BF0619" w:rsidRPr="00AF434B" w:rsidRDefault="00BF0619" w:rsidP="00BF0619">
      <w:pPr>
        <w:pStyle w:val="SingleTxtG"/>
        <w:rPr>
          <w:noProof/>
          <w:lang w:val="fr-FR"/>
        </w:rPr>
      </w:pPr>
      <w:r>
        <w:rPr>
          <w:noProof/>
          <w:lang w:val="fr-FR"/>
        </w:rPr>
        <w:t>24.</w:t>
      </w:r>
      <w:r>
        <w:rPr>
          <w:noProof/>
          <w:lang w:val="fr-FR"/>
        </w:rPr>
        <w:tab/>
        <w:t>E</w:t>
      </w:r>
      <w:r w:rsidRPr="00AF434B">
        <w:rPr>
          <w:noProof/>
          <w:lang w:val="fr-FR"/>
        </w:rPr>
        <w:t>n 2013</w:t>
      </w:r>
      <w:r>
        <w:rPr>
          <w:noProof/>
          <w:lang w:val="fr-FR"/>
        </w:rPr>
        <w:t>,</w:t>
      </w:r>
      <w:r w:rsidRPr="00AF434B">
        <w:rPr>
          <w:noProof/>
          <w:lang w:val="fr-FR"/>
        </w:rPr>
        <w:t xml:space="preserve"> </w:t>
      </w:r>
      <w:r>
        <w:rPr>
          <w:noProof/>
          <w:lang w:val="fr-FR"/>
        </w:rPr>
        <w:t xml:space="preserve">un groupe de travail composé de représentants de la </w:t>
      </w:r>
      <w:r>
        <w:rPr>
          <w:lang w:val="fr-FR"/>
        </w:rPr>
        <w:t>Commission pour l’égalité dans le travail et dans l’emploi</w:t>
      </w:r>
      <w:r w:rsidRPr="00AF434B">
        <w:rPr>
          <w:noProof/>
          <w:lang w:val="fr-FR"/>
        </w:rPr>
        <w:t xml:space="preserve">, </w:t>
      </w:r>
      <w:r>
        <w:rPr>
          <w:noProof/>
          <w:lang w:val="fr-FR"/>
        </w:rPr>
        <w:t xml:space="preserve">de la </w:t>
      </w:r>
      <w:r>
        <w:rPr>
          <w:lang w:val="fr-FR"/>
        </w:rPr>
        <w:t>Commission pour la citoyenneté et l’égalité des sexes</w:t>
      </w:r>
      <w:r w:rsidRPr="00AF434B">
        <w:rPr>
          <w:noProof/>
          <w:lang w:val="fr-FR"/>
        </w:rPr>
        <w:t xml:space="preserve">, </w:t>
      </w:r>
      <w:r>
        <w:rPr>
          <w:noProof/>
          <w:lang w:val="fr-FR"/>
        </w:rPr>
        <w:t xml:space="preserve">du </w:t>
      </w:r>
      <w:r w:rsidRPr="00BB3DD1">
        <w:t xml:space="preserve">bureau </w:t>
      </w:r>
      <w:r w:rsidRPr="00577E8D">
        <w:rPr>
          <w:noProof/>
          <w:lang w:val="fr-FR"/>
        </w:rPr>
        <w:t>du Secrétaire d’État à l’emploi et du bureau du Secrétaire d’État aux affaires parlementaires et à l’égalité</w:t>
      </w:r>
      <w:r>
        <w:rPr>
          <w:noProof/>
          <w:lang w:val="fr-FR"/>
        </w:rPr>
        <w:t xml:space="preserve"> a établi le premier rapport sur les écarts de rémunération selon l’activité économique</w:t>
      </w:r>
      <w:r w:rsidRPr="00BB3DD1">
        <w:rPr>
          <w:rStyle w:val="Appelnotedebasdep"/>
        </w:rPr>
        <w:footnoteReference w:id="6"/>
      </w:r>
      <w:r>
        <w:rPr>
          <w:noProof/>
          <w:lang w:val="fr-FR"/>
        </w:rPr>
        <w:t>.</w:t>
      </w:r>
      <w:r w:rsidRPr="00AF434B">
        <w:rPr>
          <w:noProof/>
          <w:lang w:val="fr-FR"/>
        </w:rPr>
        <w:t xml:space="preserve"> </w:t>
      </w:r>
      <w:r>
        <w:rPr>
          <w:noProof/>
          <w:lang w:val="fr-FR"/>
        </w:rPr>
        <w:t>E</w:t>
      </w:r>
      <w:r w:rsidRPr="00AF434B">
        <w:rPr>
          <w:noProof/>
          <w:lang w:val="fr-FR"/>
        </w:rPr>
        <w:t xml:space="preserve">n 2014, </w:t>
      </w:r>
      <w:r>
        <w:rPr>
          <w:noProof/>
          <w:lang w:val="fr-FR"/>
        </w:rPr>
        <w:t>ce rapport a été examiné par le Comité permanent du dialogue social</w:t>
      </w:r>
      <w:r w:rsidRPr="00AF434B">
        <w:rPr>
          <w:noProof/>
          <w:lang w:val="fr-FR"/>
        </w:rPr>
        <w:t xml:space="preserve">, </w:t>
      </w:r>
      <w:r>
        <w:rPr>
          <w:noProof/>
          <w:lang w:val="fr-FR"/>
        </w:rPr>
        <w:t>ce qui a débouché sur la rédaction de recommandations proposées par le Gouvernement afin d’éliminer les écarts de rémunération qui ne sont justifiés par aucune raison objective</w:t>
      </w:r>
      <w:r w:rsidRPr="00AF434B">
        <w:rPr>
          <w:noProof/>
          <w:lang w:val="fr-FR"/>
        </w:rPr>
        <w:t>.</w:t>
      </w:r>
    </w:p>
    <w:p w14:paraId="1066FC27" w14:textId="77777777" w:rsidR="00BF0619" w:rsidRPr="00AF434B" w:rsidRDefault="00BF0619" w:rsidP="00BF0619">
      <w:pPr>
        <w:pStyle w:val="SingleTxtG"/>
        <w:rPr>
          <w:noProof/>
          <w:lang w:val="fr-FR"/>
        </w:rPr>
      </w:pPr>
      <w:r w:rsidRPr="00AF434B">
        <w:rPr>
          <w:noProof/>
          <w:lang w:val="fr-FR"/>
        </w:rPr>
        <w:t>25.</w:t>
      </w:r>
      <w:r w:rsidRPr="00AF434B">
        <w:rPr>
          <w:noProof/>
          <w:lang w:val="fr-FR"/>
        </w:rPr>
        <w:tab/>
      </w:r>
      <w:r>
        <w:rPr>
          <w:noProof/>
          <w:lang w:val="fr-FR"/>
        </w:rPr>
        <w:t xml:space="preserve">Le principe de la </w:t>
      </w:r>
      <w:r w:rsidRPr="00AF434B">
        <w:rPr>
          <w:noProof/>
          <w:lang w:val="fr-FR"/>
        </w:rPr>
        <w:t xml:space="preserve">non-discrimination </w:t>
      </w:r>
      <w:r>
        <w:rPr>
          <w:noProof/>
          <w:lang w:val="fr-FR"/>
        </w:rPr>
        <w:t>fondée sur le sexe est pleinement respecté par le service diplomatique portugais</w:t>
      </w:r>
      <w:r w:rsidR="00BE5017">
        <w:rPr>
          <w:noProof/>
          <w:lang w:val="fr-FR"/>
        </w:rPr>
        <w:t> </w:t>
      </w:r>
      <w:r w:rsidRPr="00AF434B">
        <w:rPr>
          <w:noProof/>
          <w:lang w:val="fr-FR"/>
        </w:rPr>
        <w:t xml:space="preserve">: </w:t>
      </w:r>
      <w:r>
        <w:rPr>
          <w:noProof/>
          <w:lang w:val="fr-FR"/>
        </w:rPr>
        <w:t>l’</w:t>
      </w:r>
      <w:r w:rsidRPr="00AF434B">
        <w:rPr>
          <w:noProof/>
          <w:lang w:val="fr-FR"/>
        </w:rPr>
        <w:t xml:space="preserve">admission </w:t>
      </w:r>
      <w:r>
        <w:rPr>
          <w:noProof/>
          <w:lang w:val="fr-FR"/>
        </w:rPr>
        <w:t xml:space="preserve">et la </w:t>
      </w:r>
      <w:r w:rsidRPr="00AF434B">
        <w:rPr>
          <w:noProof/>
          <w:lang w:val="fr-FR"/>
        </w:rPr>
        <w:t xml:space="preserve">promotion </w:t>
      </w:r>
      <w:r>
        <w:rPr>
          <w:noProof/>
          <w:lang w:val="fr-FR"/>
        </w:rPr>
        <w:t>sont fondées sur le mérite. Aucun quota n’est prévu pour les femmes.</w:t>
      </w:r>
      <w:r w:rsidRPr="00AF434B">
        <w:rPr>
          <w:noProof/>
          <w:lang w:val="fr-FR"/>
        </w:rPr>
        <w:t xml:space="preserve"> </w:t>
      </w:r>
    </w:p>
    <w:p w14:paraId="59E40BBB" w14:textId="77777777" w:rsidR="00BF0619" w:rsidRPr="00AF434B" w:rsidRDefault="00BF0619" w:rsidP="00BF0619">
      <w:pPr>
        <w:pStyle w:val="SingleTxtG"/>
        <w:spacing w:after="240"/>
        <w:rPr>
          <w:noProof/>
          <w:lang w:val="fr-FR"/>
        </w:rPr>
      </w:pPr>
      <w:r w:rsidRPr="00AF434B">
        <w:rPr>
          <w:noProof/>
          <w:lang w:val="fr-FR"/>
        </w:rPr>
        <w:t>26.</w:t>
      </w:r>
      <w:r w:rsidRPr="00AF434B">
        <w:rPr>
          <w:noProof/>
          <w:lang w:val="fr-FR"/>
        </w:rPr>
        <w:tab/>
      </w:r>
      <w:r>
        <w:rPr>
          <w:noProof/>
          <w:lang w:val="fr-FR"/>
        </w:rPr>
        <w:t xml:space="preserve">Les femmes n’ont été autorisées à entrer dans le service diplomatique portugais qu’après </w:t>
      </w:r>
      <w:r w:rsidRPr="00AF434B">
        <w:rPr>
          <w:noProof/>
          <w:lang w:val="fr-FR"/>
        </w:rPr>
        <w:t xml:space="preserve">1976. </w:t>
      </w:r>
      <w:r>
        <w:rPr>
          <w:noProof/>
          <w:lang w:val="fr-FR"/>
        </w:rPr>
        <w:t>Les postes de décision occupés par des femmes se répartissent comme suit</w:t>
      </w:r>
      <w:r w:rsidR="00BE5017">
        <w:rPr>
          <w:noProof/>
          <w:lang w:val="fr-FR"/>
        </w:rPr>
        <w: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gridCol w:w="1134"/>
        <w:gridCol w:w="1134"/>
        <w:gridCol w:w="849"/>
      </w:tblGrid>
      <w:tr w:rsidR="00BF0619" w:rsidRPr="00AF434B" w14:paraId="6A493BBB" w14:textId="77777777" w:rsidTr="005A4D3A">
        <w:trPr>
          <w:cantSplit/>
        </w:trPr>
        <w:tc>
          <w:tcPr>
            <w:tcW w:w="3402" w:type="dxa"/>
            <w:vMerge w:val="restart"/>
            <w:tcBorders>
              <w:top w:val="single" w:sz="4" w:space="0" w:color="auto"/>
            </w:tcBorders>
            <w:shd w:val="clear" w:color="auto" w:fill="auto"/>
            <w:vAlign w:val="bottom"/>
          </w:tcPr>
          <w:p w14:paraId="1CA2DB2E" w14:textId="77777777" w:rsidR="00BF0619" w:rsidRPr="00AF434B" w:rsidRDefault="00BF0619" w:rsidP="00BE5017">
            <w:pPr>
              <w:keepNext/>
              <w:keepLines/>
              <w:spacing w:before="80" w:after="80" w:line="200" w:lineRule="exact"/>
              <w:ind w:right="113"/>
              <w:rPr>
                <w:i/>
                <w:noProof/>
                <w:sz w:val="16"/>
                <w:lang w:val="fr-FR"/>
              </w:rPr>
            </w:pPr>
            <w:r>
              <w:rPr>
                <w:i/>
                <w:noProof/>
                <w:sz w:val="16"/>
                <w:lang w:val="fr-FR"/>
              </w:rPr>
              <w:t xml:space="preserve">Femmes occupant des postes de </w:t>
            </w:r>
            <w:r w:rsidRPr="00AF434B">
              <w:rPr>
                <w:i/>
                <w:noProof/>
                <w:sz w:val="16"/>
                <w:lang w:val="fr-FR"/>
              </w:rPr>
              <w:t>d</w:t>
            </w:r>
            <w:r>
              <w:rPr>
                <w:i/>
                <w:noProof/>
                <w:sz w:val="16"/>
                <w:lang w:val="fr-FR"/>
              </w:rPr>
              <w:t>écision</w:t>
            </w:r>
            <w:r w:rsidRPr="00AF434B">
              <w:rPr>
                <w:i/>
                <w:noProof/>
                <w:sz w:val="16"/>
                <w:lang w:val="fr-FR"/>
              </w:rPr>
              <w:t xml:space="preserve"> </w:t>
            </w:r>
          </w:p>
        </w:tc>
        <w:tc>
          <w:tcPr>
            <w:tcW w:w="1985" w:type="dxa"/>
            <w:gridSpan w:val="2"/>
            <w:tcBorders>
              <w:top w:val="single" w:sz="4" w:space="0" w:color="auto"/>
              <w:bottom w:val="single" w:sz="4" w:space="0" w:color="auto"/>
              <w:right w:val="single" w:sz="24" w:space="0" w:color="FFFFFF" w:themeColor="background1"/>
            </w:tcBorders>
            <w:shd w:val="clear" w:color="auto" w:fill="auto"/>
            <w:vAlign w:val="bottom"/>
          </w:tcPr>
          <w:p w14:paraId="2EBF29D0" w14:textId="77777777" w:rsidR="00BF0619" w:rsidRPr="00AF434B" w:rsidRDefault="00BF0619" w:rsidP="00BE5017">
            <w:pPr>
              <w:keepNext/>
              <w:keepLines/>
              <w:spacing w:before="80" w:after="80" w:line="200" w:lineRule="exact"/>
              <w:ind w:right="113"/>
              <w:jc w:val="center"/>
              <w:rPr>
                <w:i/>
                <w:noProof/>
                <w:sz w:val="16"/>
                <w:lang w:val="fr-FR"/>
              </w:rPr>
            </w:pPr>
            <w:r w:rsidRPr="00AF434B">
              <w:rPr>
                <w:i/>
                <w:noProof/>
                <w:sz w:val="16"/>
                <w:lang w:val="fr-FR"/>
              </w:rPr>
              <w:t>2017</w:t>
            </w:r>
          </w:p>
        </w:tc>
        <w:tc>
          <w:tcPr>
            <w:tcW w:w="1983" w:type="dxa"/>
            <w:gridSpan w:val="2"/>
            <w:tcBorders>
              <w:top w:val="single" w:sz="4" w:space="0" w:color="auto"/>
              <w:left w:val="single" w:sz="24" w:space="0" w:color="FFFFFF" w:themeColor="background1"/>
              <w:bottom w:val="single" w:sz="4" w:space="0" w:color="auto"/>
            </w:tcBorders>
            <w:shd w:val="clear" w:color="auto" w:fill="auto"/>
            <w:vAlign w:val="bottom"/>
          </w:tcPr>
          <w:p w14:paraId="76B3C994" w14:textId="77777777" w:rsidR="00BF0619" w:rsidRPr="00AF434B" w:rsidRDefault="00BF0619" w:rsidP="00BE5017">
            <w:pPr>
              <w:keepNext/>
              <w:keepLines/>
              <w:spacing w:before="80" w:after="80" w:line="200" w:lineRule="exact"/>
              <w:ind w:right="113"/>
              <w:jc w:val="center"/>
              <w:rPr>
                <w:i/>
                <w:noProof/>
                <w:sz w:val="16"/>
                <w:lang w:val="fr-FR"/>
              </w:rPr>
            </w:pPr>
            <w:r w:rsidRPr="00AF434B">
              <w:rPr>
                <w:i/>
                <w:noProof/>
                <w:sz w:val="16"/>
                <w:lang w:val="fr-FR"/>
              </w:rPr>
              <w:t>2018</w:t>
            </w:r>
          </w:p>
        </w:tc>
      </w:tr>
      <w:tr w:rsidR="00BF0619" w:rsidRPr="00AF434B" w14:paraId="61B6549C" w14:textId="77777777" w:rsidTr="005A4D3A">
        <w:trPr>
          <w:cantSplit/>
        </w:trPr>
        <w:tc>
          <w:tcPr>
            <w:tcW w:w="3402" w:type="dxa"/>
            <w:vMerge/>
            <w:tcBorders>
              <w:bottom w:val="single" w:sz="12" w:space="0" w:color="auto"/>
            </w:tcBorders>
            <w:shd w:val="clear" w:color="auto" w:fill="auto"/>
            <w:vAlign w:val="bottom"/>
          </w:tcPr>
          <w:p w14:paraId="168576A3" w14:textId="77777777" w:rsidR="00BF0619" w:rsidRPr="00AF434B" w:rsidRDefault="00BF0619" w:rsidP="00BE5017">
            <w:pPr>
              <w:keepNext/>
              <w:keepLines/>
              <w:spacing w:before="80" w:after="80" w:line="200" w:lineRule="exact"/>
              <w:ind w:right="113"/>
              <w:rPr>
                <w:i/>
                <w:noProof/>
                <w:sz w:val="16"/>
                <w:lang w:val="fr-FR"/>
              </w:rPr>
            </w:pPr>
          </w:p>
        </w:tc>
        <w:tc>
          <w:tcPr>
            <w:tcW w:w="851" w:type="dxa"/>
            <w:tcBorders>
              <w:top w:val="single" w:sz="4" w:space="0" w:color="auto"/>
              <w:bottom w:val="single" w:sz="12" w:space="0" w:color="auto"/>
            </w:tcBorders>
            <w:shd w:val="clear" w:color="auto" w:fill="auto"/>
            <w:vAlign w:val="bottom"/>
          </w:tcPr>
          <w:p w14:paraId="19250ECE" w14:textId="77777777" w:rsidR="00BF0619" w:rsidRPr="00AF434B" w:rsidRDefault="00BF0619" w:rsidP="00BE5017">
            <w:pPr>
              <w:keepNext/>
              <w:keepLines/>
              <w:spacing w:before="80" w:after="80" w:line="200" w:lineRule="exact"/>
              <w:ind w:right="113"/>
              <w:jc w:val="right"/>
              <w:rPr>
                <w:i/>
                <w:noProof/>
                <w:sz w:val="16"/>
                <w:lang w:val="fr-FR"/>
              </w:rPr>
            </w:pPr>
            <w:r>
              <w:rPr>
                <w:i/>
                <w:noProof/>
                <w:sz w:val="16"/>
                <w:lang w:val="fr-FR"/>
              </w:rPr>
              <w:t>Femmes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14:paraId="3DB5A22B" w14:textId="77777777" w:rsidR="00BF0619" w:rsidRPr="00AF434B" w:rsidRDefault="00BF0619" w:rsidP="00BE5017">
            <w:pPr>
              <w:keepNext/>
              <w:keepLines/>
              <w:spacing w:before="80" w:after="80" w:line="200" w:lineRule="exact"/>
              <w:ind w:right="113"/>
              <w:jc w:val="right"/>
              <w:rPr>
                <w:i/>
                <w:noProof/>
                <w:sz w:val="16"/>
                <w:lang w:val="fr-FR"/>
              </w:rPr>
            </w:pPr>
            <w:r w:rsidRPr="00AF434B">
              <w:rPr>
                <w:i/>
                <w:noProof/>
                <w:sz w:val="16"/>
                <w:lang w:val="fr-FR"/>
              </w:rPr>
              <w:t>Total</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14:paraId="7C1B2156" w14:textId="77777777" w:rsidR="00BF0619" w:rsidRPr="00AF434B" w:rsidRDefault="00BF0619" w:rsidP="00BE5017">
            <w:pPr>
              <w:keepNext/>
              <w:keepLines/>
              <w:spacing w:before="80" w:after="80" w:line="200" w:lineRule="exact"/>
              <w:ind w:right="113"/>
              <w:jc w:val="right"/>
              <w:rPr>
                <w:i/>
                <w:noProof/>
                <w:sz w:val="16"/>
                <w:lang w:val="fr-FR"/>
              </w:rPr>
            </w:pPr>
            <w:r>
              <w:rPr>
                <w:i/>
                <w:noProof/>
                <w:sz w:val="16"/>
                <w:lang w:val="fr-FR"/>
              </w:rPr>
              <w:t>Femmes</w:t>
            </w:r>
          </w:p>
        </w:tc>
        <w:tc>
          <w:tcPr>
            <w:tcW w:w="849" w:type="dxa"/>
            <w:tcBorders>
              <w:top w:val="single" w:sz="4" w:space="0" w:color="auto"/>
              <w:bottom w:val="single" w:sz="12" w:space="0" w:color="auto"/>
            </w:tcBorders>
            <w:shd w:val="clear" w:color="auto" w:fill="auto"/>
            <w:vAlign w:val="bottom"/>
          </w:tcPr>
          <w:p w14:paraId="37DAD8A7" w14:textId="77777777" w:rsidR="00BF0619" w:rsidRPr="00AF434B" w:rsidRDefault="00BF0619" w:rsidP="00BE5017">
            <w:pPr>
              <w:keepNext/>
              <w:keepLines/>
              <w:spacing w:before="80" w:after="80" w:line="200" w:lineRule="exact"/>
              <w:ind w:right="113"/>
              <w:jc w:val="right"/>
              <w:rPr>
                <w:i/>
                <w:noProof/>
                <w:sz w:val="16"/>
                <w:lang w:val="fr-FR"/>
              </w:rPr>
            </w:pPr>
            <w:r w:rsidRPr="00AF434B">
              <w:rPr>
                <w:i/>
                <w:noProof/>
                <w:sz w:val="16"/>
                <w:lang w:val="fr-FR"/>
              </w:rPr>
              <w:t>Total</w:t>
            </w:r>
          </w:p>
        </w:tc>
      </w:tr>
      <w:tr w:rsidR="00BF0619" w:rsidRPr="00AF434B" w14:paraId="71DE450E" w14:textId="77777777" w:rsidTr="005A4D3A">
        <w:trPr>
          <w:cantSplit/>
        </w:trPr>
        <w:tc>
          <w:tcPr>
            <w:tcW w:w="3402" w:type="dxa"/>
            <w:tcBorders>
              <w:top w:val="single" w:sz="12" w:space="0" w:color="auto"/>
            </w:tcBorders>
            <w:shd w:val="clear" w:color="auto" w:fill="auto"/>
          </w:tcPr>
          <w:p w14:paraId="2AD8CBA0" w14:textId="77777777" w:rsidR="00BF0619" w:rsidRPr="00AF434B" w:rsidRDefault="00BF0619" w:rsidP="00BE5017">
            <w:pPr>
              <w:keepNext/>
              <w:keepLines/>
              <w:suppressAutoHyphens w:val="0"/>
              <w:spacing w:before="40" w:after="40" w:line="220" w:lineRule="exact"/>
              <w:ind w:right="113"/>
              <w:rPr>
                <w:noProof/>
                <w:sz w:val="18"/>
                <w:lang w:val="fr-FR"/>
              </w:rPr>
            </w:pPr>
            <w:r>
              <w:rPr>
                <w:noProof/>
                <w:sz w:val="18"/>
                <w:lang w:val="fr-FR"/>
              </w:rPr>
              <w:t>Postes d’a</w:t>
            </w:r>
            <w:r w:rsidRPr="00AF434B">
              <w:rPr>
                <w:noProof/>
                <w:sz w:val="18"/>
                <w:lang w:val="fr-FR"/>
              </w:rPr>
              <w:t>mbassad</w:t>
            </w:r>
            <w:r>
              <w:rPr>
                <w:noProof/>
                <w:sz w:val="18"/>
                <w:lang w:val="fr-FR"/>
              </w:rPr>
              <w:t>eur</w:t>
            </w:r>
            <w:r w:rsidRPr="00AF434B">
              <w:rPr>
                <w:noProof/>
                <w:sz w:val="18"/>
                <w:lang w:val="fr-FR"/>
              </w:rPr>
              <w:t>/</w:t>
            </w:r>
            <w:r>
              <w:rPr>
                <w:noProof/>
                <w:sz w:val="18"/>
                <w:lang w:val="fr-FR"/>
              </w:rPr>
              <w:t>c</w:t>
            </w:r>
            <w:r w:rsidRPr="00AF434B">
              <w:rPr>
                <w:noProof/>
                <w:sz w:val="18"/>
                <w:lang w:val="fr-FR"/>
              </w:rPr>
              <w:t xml:space="preserve">hargé </w:t>
            </w:r>
            <w:r>
              <w:rPr>
                <w:noProof/>
                <w:sz w:val="18"/>
                <w:lang w:val="fr-FR"/>
              </w:rPr>
              <w:t>d</w:t>
            </w:r>
            <w:r w:rsidRPr="00AF434B">
              <w:rPr>
                <w:noProof/>
                <w:sz w:val="18"/>
                <w:lang w:val="fr-FR"/>
              </w:rPr>
              <w:t>’</w:t>
            </w:r>
            <w:r>
              <w:rPr>
                <w:noProof/>
                <w:sz w:val="18"/>
                <w:lang w:val="fr-FR"/>
              </w:rPr>
              <w:t>a</w:t>
            </w:r>
            <w:r w:rsidRPr="00AF434B">
              <w:rPr>
                <w:noProof/>
                <w:sz w:val="18"/>
                <w:lang w:val="fr-FR"/>
              </w:rPr>
              <w:t xml:space="preserve">ffaires </w:t>
            </w:r>
          </w:p>
        </w:tc>
        <w:tc>
          <w:tcPr>
            <w:tcW w:w="851" w:type="dxa"/>
            <w:tcBorders>
              <w:top w:val="single" w:sz="12" w:space="0" w:color="auto"/>
            </w:tcBorders>
            <w:shd w:val="clear" w:color="auto" w:fill="auto"/>
            <w:vAlign w:val="bottom"/>
          </w:tcPr>
          <w:p w14:paraId="5A0882A1"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13</w:t>
            </w:r>
          </w:p>
        </w:tc>
        <w:tc>
          <w:tcPr>
            <w:tcW w:w="1134" w:type="dxa"/>
            <w:tcBorders>
              <w:top w:val="single" w:sz="12" w:space="0" w:color="auto"/>
            </w:tcBorders>
            <w:shd w:val="clear" w:color="auto" w:fill="auto"/>
            <w:vAlign w:val="bottom"/>
          </w:tcPr>
          <w:p w14:paraId="13883B99"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71</w:t>
            </w:r>
          </w:p>
        </w:tc>
        <w:tc>
          <w:tcPr>
            <w:tcW w:w="1134" w:type="dxa"/>
            <w:tcBorders>
              <w:top w:val="single" w:sz="12" w:space="0" w:color="auto"/>
            </w:tcBorders>
            <w:shd w:val="clear" w:color="auto" w:fill="auto"/>
            <w:vAlign w:val="bottom"/>
          </w:tcPr>
          <w:p w14:paraId="6C631FA4"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15</w:t>
            </w:r>
          </w:p>
        </w:tc>
        <w:tc>
          <w:tcPr>
            <w:tcW w:w="849" w:type="dxa"/>
            <w:tcBorders>
              <w:top w:val="single" w:sz="12" w:space="0" w:color="auto"/>
            </w:tcBorders>
            <w:shd w:val="clear" w:color="auto" w:fill="auto"/>
            <w:vAlign w:val="bottom"/>
          </w:tcPr>
          <w:p w14:paraId="31C1C639"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74</w:t>
            </w:r>
          </w:p>
        </w:tc>
      </w:tr>
      <w:tr w:rsidR="00BF0619" w:rsidRPr="00AF434B" w14:paraId="664DBB21" w14:textId="77777777" w:rsidTr="005A4D3A">
        <w:trPr>
          <w:cantSplit/>
        </w:trPr>
        <w:tc>
          <w:tcPr>
            <w:tcW w:w="3402" w:type="dxa"/>
            <w:shd w:val="clear" w:color="auto" w:fill="auto"/>
          </w:tcPr>
          <w:p w14:paraId="770C2DCF" w14:textId="77777777" w:rsidR="00BF0619" w:rsidRPr="00AF434B" w:rsidRDefault="00BF0619" w:rsidP="00BE5017">
            <w:pPr>
              <w:keepNext/>
              <w:keepLines/>
              <w:suppressAutoHyphens w:val="0"/>
              <w:spacing w:before="40" w:after="40" w:line="220" w:lineRule="exact"/>
              <w:ind w:right="113"/>
              <w:rPr>
                <w:noProof/>
                <w:sz w:val="18"/>
                <w:lang w:val="fr-FR"/>
              </w:rPr>
            </w:pPr>
            <w:r>
              <w:rPr>
                <w:noProof/>
                <w:sz w:val="18"/>
                <w:lang w:val="fr-FR"/>
              </w:rPr>
              <w:t>Postes de c</w:t>
            </w:r>
            <w:r w:rsidRPr="00AF434B">
              <w:rPr>
                <w:noProof/>
                <w:sz w:val="18"/>
                <w:lang w:val="fr-FR"/>
              </w:rPr>
              <w:t>onsul/</w:t>
            </w:r>
            <w:r>
              <w:rPr>
                <w:noProof/>
                <w:sz w:val="18"/>
                <w:lang w:val="fr-FR"/>
              </w:rPr>
              <w:t>c</w:t>
            </w:r>
            <w:r w:rsidRPr="00AF434B">
              <w:rPr>
                <w:noProof/>
                <w:sz w:val="18"/>
                <w:lang w:val="fr-FR"/>
              </w:rPr>
              <w:t>onsul</w:t>
            </w:r>
            <w:r>
              <w:rPr>
                <w:noProof/>
                <w:sz w:val="18"/>
                <w:lang w:val="fr-FR"/>
              </w:rPr>
              <w:t xml:space="preserve"> géné</w:t>
            </w:r>
            <w:r w:rsidRPr="00AF434B">
              <w:rPr>
                <w:noProof/>
                <w:sz w:val="18"/>
                <w:lang w:val="fr-FR"/>
              </w:rPr>
              <w:t>ral/</w:t>
            </w:r>
            <w:r>
              <w:rPr>
                <w:noProof/>
                <w:sz w:val="18"/>
                <w:lang w:val="fr-FR"/>
              </w:rPr>
              <w:t>vice-c</w:t>
            </w:r>
            <w:r w:rsidRPr="00AF434B">
              <w:rPr>
                <w:noProof/>
                <w:sz w:val="18"/>
                <w:lang w:val="fr-FR"/>
              </w:rPr>
              <w:t>onsul</w:t>
            </w:r>
          </w:p>
        </w:tc>
        <w:tc>
          <w:tcPr>
            <w:tcW w:w="851" w:type="dxa"/>
            <w:shd w:val="clear" w:color="auto" w:fill="auto"/>
            <w:vAlign w:val="bottom"/>
          </w:tcPr>
          <w:p w14:paraId="294644A1"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11</w:t>
            </w:r>
          </w:p>
        </w:tc>
        <w:tc>
          <w:tcPr>
            <w:tcW w:w="1134" w:type="dxa"/>
            <w:shd w:val="clear" w:color="auto" w:fill="auto"/>
            <w:vAlign w:val="bottom"/>
          </w:tcPr>
          <w:p w14:paraId="07C393A8"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48</w:t>
            </w:r>
          </w:p>
        </w:tc>
        <w:tc>
          <w:tcPr>
            <w:tcW w:w="1134" w:type="dxa"/>
            <w:shd w:val="clear" w:color="auto" w:fill="auto"/>
            <w:vAlign w:val="bottom"/>
          </w:tcPr>
          <w:p w14:paraId="75044C39"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13</w:t>
            </w:r>
          </w:p>
        </w:tc>
        <w:tc>
          <w:tcPr>
            <w:tcW w:w="849" w:type="dxa"/>
            <w:shd w:val="clear" w:color="auto" w:fill="auto"/>
            <w:vAlign w:val="bottom"/>
          </w:tcPr>
          <w:p w14:paraId="40ED2FC0"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48</w:t>
            </w:r>
          </w:p>
        </w:tc>
      </w:tr>
      <w:tr w:rsidR="00BF0619" w:rsidRPr="00AF434B" w14:paraId="3634BA9A" w14:textId="77777777" w:rsidTr="005A4D3A">
        <w:trPr>
          <w:cantSplit/>
        </w:trPr>
        <w:tc>
          <w:tcPr>
            <w:tcW w:w="3402" w:type="dxa"/>
            <w:tcBorders>
              <w:bottom w:val="single" w:sz="4" w:space="0" w:color="auto"/>
            </w:tcBorders>
            <w:shd w:val="clear" w:color="auto" w:fill="auto"/>
          </w:tcPr>
          <w:p w14:paraId="4F10CDC9" w14:textId="77777777" w:rsidR="00BF0619" w:rsidRPr="00AF434B" w:rsidRDefault="00BF0619" w:rsidP="00BE5017">
            <w:pPr>
              <w:keepNext/>
              <w:keepLines/>
              <w:suppressAutoHyphens w:val="0"/>
              <w:spacing w:before="40" w:after="40" w:line="220" w:lineRule="exact"/>
              <w:ind w:right="113"/>
              <w:rPr>
                <w:noProof/>
                <w:sz w:val="18"/>
                <w:lang w:val="fr-FR"/>
              </w:rPr>
            </w:pPr>
            <w:r>
              <w:rPr>
                <w:noProof/>
                <w:sz w:val="18"/>
                <w:lang w:val="fr-FR"/>
              </w:rPr>
              <w:t>Poste de décision dans le service interne</w:t>
            </w:r>
            <w:r w:rsidRPr="00AF434B">
              <w:rPr>
                <w:noProof/>
                <w:sz w:val="18"/>
                <w:lang w:val="fr-FR"/>
              </w:rPr>
              <w:t xml:space="preserve"> </w:t>
            </w:r>
          </w:p>
        </w:tc>
        <w:tc>
          <w:tcPr>
            <w:tcW w:w="851" w:type="dxa"/>
            <w:tcBorders>
              <w:bottom w:val="single" w:sz="4" w:space="0" w:color="auto"/>
            </w:tcBorders>
            <w:shd w:val="clear" w:color="auto" w:fill="auto"/>
            <w:vAlign w:val="bottom"/>
          </w:tcPr>
          <w:p w14:paraId="52B367F8"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83</w:t>
            </w:r>
          </w:p>
        </w:tc>
        <w:tc>
          <w:tcPr>
            <w:tcW w:w="1134" w:type="dxa"/>
            <w:tcBorders>
              <w:bottom w:val="single" w:sz="4" w:space="0" w:color="auto"/>
            </w:tcBorders>
            <w:shd w:val="clear" w:color="auto" w:fill="auto"/>
            <w:vAlign w:val="bottom"/>
          </w:tcPr>
          <w:p w14:paraId="47A867AA"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159</w:t>
            </w:r>
          </w:p>
        </w:tc>
        <w:tc>
          <w:tcPr>
            <w:tcW w:w="1134" w:type="dxa"/>
            <w:tcBorders>
              <w:bottom w:val="single" w:sz="4" w:space="0" w:color="auto"/>
            </w:tcBorders>
            <w:shd w:val="clear" w:color="auto" w:fill="auto"/>
            <w:vAlign w:val="bottom"/>
          </w:tcPr>
          <w:p w14:paraId="229DC50B"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80</w:t>
            </w:r>
          </w:p>
        </w:tc>
        <w:tc>
          <w:tcPr>
            <w:tcW w:w="849" w:type="dxa"/>
            <w:tcBorders>
              <w:bottom w:val="single" w:sz="4" w:space="0" w:color="auto"/>
            </w:tcBorders>
            <w:shd w:val="clear" w:color="auto" w:fill="auto"/>
            <w:vAlign w:val="bottom"/>
          </w:tcPr>
          <w:p w14:paraId="199CFA22" w14:textId="77777777" w:rsidR="00BF0619" w:rsidRPr="00AF434B" w:rsidRDefault="00BF0619" w:rsidP="00BE5017">
            <w:pPr>
              <w:keepNext/>
              <w:keepLines/>
              <w:suppressAutoHyphens w:val="0"/>
              <w:spacing w:before="40" w:after="40" w:line="220" w:lineRule="exact"/>
              <w:ind w:right="113"/>
              <w:jc w:val="right"/>
              <w:rPr>
                <w:noProof/>
                <w:sz w:val="18"/>
                <w:lang w:val="fr-FR"/>
              </w:rPr>
            </w:pPr>
            <w:r w:rsidRPr="00AF434B">
              <w:rPr>
                <w:noProof/>
                <w:sz w:val="18"/>
                <w:lang w:val="fr-FR"/>
              </w:rPr>
              <w:t>159</w:t>
            </w:r>
          </w:p>
        </w:tc>
      </w:tr>
      <w:tr w:rsidR="00BF0619" w:rsidRPr="005A4D3A" w14:paraId="4579CD22" w14:textId="77777777" w:rsidTr="005A4D3A">
        <w:trPr>
          <w:cantSplit/>
        </w:trPr>
        <w:tc>
          <w:tcPr>
            <w:tcW w:w="3402" w:type="dxa"/>
            <w:tcBorders>
              <w:top w:val="single" w:sz="4" w:space="0" w:color="auto"/>
              <w:bottom w:val="single" w:sz="12" w:space="0" w:color="auto"/>
            </w:tcBorders>
            <w:shd w:val="clear" w:color="auto" w:fill="auto"/>
          </w:tcPr>
          <w:p w14:paraId="1FE76E07" w14:textId="77777777" w:rsidR="00BF0619" w:rsidRPr="005A4D3A" w:rsidRDefault="00BF0619" w:rsidP="005A4D3A">
            <w:pPr>
              <w:keepNext/>
              <w:keepLines/>
              <w:suppressAutoHyphens w:val="0"/>
              <w:spacing w:before="80" w:after="80" w:line="220" w:lineRule="exact"/>
              <w:ind w:left="283"/>
              <w:rPr>
                <w:b/>
                <w:noProof/>
                <w:sz w:val="18"/>
                <w:lang w:val="fr-FR"/>
              </w:rPr>
            </w:pPr>
            <w:r w:rsidRPr="005A4D3A">
              <w:rPr>
                <w:b/>
                <w:noProof/>
                <w:sz w:val="18"/>
                <w:lang w:val="fr-FR"/>
              </w:rPr>
              <w:t>Total</w:t>
            </w:r>
          </w:p>
        </w:tc>
        <w:tc>
          <w:tcPr>
            <w:tcW w:w="851" w:type="dxa"/>
            <w:tcBorders>
              <w:top w:val="single" w:sz="4" w:space="0" w:color="auto"/>
              <w:bottom w:val="single" w:sz="12" w:space="0" w:color="auto"/>
            </w:tcBorders>
            <w:shd w:val="clear" w:color="auto" w:fill="auto"/>
            <w:vAlign w:val="bottom"/>
          </w:tcPr>
          <w:p w14:paraId="0C74D258" w14:textId="77777777" w:rsidR="00BF0619" w:rsidRPr="005A4D3A" w:rsidRDefault="00BF0619" w:rsidP="005A4D3A">
            <w:pPr>
              <w:keepNext/>
              <w:keepLines/>
              <w:suppressAutoHyphens w:val="0"/>
              <w:spacing w:before="80" w:after="80" w:line="220" w:lineRule="exact"/>
              <w:jc w:val="right"/>
              <w:rPr>
                <w:b/>
                <w:noProof/>
                <w:sz w:val="18"/>
                <w:lang w:val="fr-FR"/>
              </w:rPr>
            </w:pPr>
            <w:r w:rsidRPr="005A4D3A">
              <w:rPr>
                <w:b/>
                <w:noProof/>
                <w:sz w:val="18"/>
                <w:lang w:val="fr-FR"/>
              </w:rPr>
              <w:t>107</w:t>
            </w:r>
          </w:p>
        </w:tc>
        <w:tc>
          <w:tcPr>
            <w:tcW w:w="1134" w:type="dxa"/>
            <w:tcBorders>
              <w:top w:val="single" w:sz="4" w:space="0" w:color="auto"/>
              <w:bottom w:val="single" w:sz="12" w:space="0" w:color="auto"/>
            </w:tcBorders>
            <w:shd w:val="clear" w:color="auto" w:fill="auto"/>
            <w:vAlign w:val="bottom"/>
          </w:tcPr>
          <w:p w14:paraId="78B63E9A" w14:textId="77777777" w:rsidR="00BF0619" w:rsidRPr="005A4D3A" w:rsidRDefault="00BF0619" w:rsidP="005A4D3A">
            <w:pPr>
              <w:keepNext/>
              <w:keepLines/>
              <w:suppressAutoHyphens w:val="0"/>
              <w:spacing w:before="80" w:after="80" w:line="220" w:lineRule="exact"/>
              <w:jc w:val="right"/>
              <w:rPr>
                <w:b/>
                <w:noProof/>
                <w:sz w:val="18"/>
                <w:lang w:val="fr-FR"/>
              </w:rPr>
            </w:pPr>
            <w:r w:rsidRPr="005A4D3A">
              <w:rPr>
                <w:b/>
                <w:noProof/>
                <w:sz w:val="18"/>
                <w:lang w:val="fr-FR"/>
              </w:rPr>
              <w:t>278</w:t>
            </w:r>
          </w:p>
        </w:tc>
        <w:tc>
          <w:tcPr>
            <w:tcW w:w="1134" w:type="dxa"/>
            <w:tcBorders>
              <w:top w:val="single" w:sz="4" w:space="0" w:color="auto"/>
              <w:bottom w:val="single" w:sz="12" w:space="0" w:color="auto"/>
            </w:tcBorders>
            <w:shd w:val="clear" w:color="auto" w:fill="auto"/>
            <w:vAlign w:val="bottom"/>
          </w:tcPr>
          <w:p w14:paraId="028C8279" w14:textId="77777777" w:rsidR="00BF0619" w:rsidRPr="005A4D3A" w:rsidRDefault="00BF0619" w:rsidP="005A4D3A">
            <w:pPr>
              <w:keepNext/>
              <w:keepLines/>
              <w:suppressAutoHyphens w:val="0"/>
              <w:spacing w:before="80" w:after="80" w:line="220" w:lineRule="exact"/>
              <w:jc w:val="right"/>
              <w:rPr>
                <w:b/>
                <w:noProof/>
                <w:sz w:val="18"/>
                <w:lang w:val="fr-FR"/>
              </w:rPr>
            </w:pPr>
            <w:r w:rsidRPr="005A4D3A">
              <w:rPr>
                <w:b/>
                <w:noProof/>
                <w:sz w:val="18"/>
                <w:lang w:val="fr-FR"/>
              </w:rPr>
              <w:t>108</w:t>
            </w:r>
          </w:p>
        </w:tc>
        <w:tc>
          <w:tcPr>
            <w:tcW w:w="849" w:type="dxa"/>
            <w:tcBorders>
              <w:top w:val="single" w:sz="4" w:space="0" w:color="auto"/>
              <w:bottom w:val="single" w:sz="12" w:space="0" w:color="auto"/>
            </w:tcBorders>
            <w:shd w:val="clear" w:color="auto" w:fill="auto"/>
            <w:vAlign w:val="bottom"/>
          </w:tcPr>
          <w:p w14:paraId="63761E6B" w14:textId="77777777" w:rsidR="00BF0619" w:rsidRPr="005A4D3A" w:rsidRDefault="00BF0619" w:rsidP="005A4D3A">
            <w:pPr>
              <w:keepNext/>
              <w:keepLines/>
              <w:suppressAutoHyphens w:val="0"/>
              <w:spacing w:before="80" w:after="80" w:line="220" w:lineRule="exact"/>
              <w:jc w:val="right"/>
              <w:rPr>
                <w:b/>
                <w:noProof/>
                <w:sz w:val="18"/>
                <w:lang w:val="fr-FR"/>
              </w:rPr>
            </w:pPr>
            <w:r w:rsidRPr="005A4D3A">
              <w:rPr>
                <w:b/>
                <w:noProof/>
                <w:sz w:val="18"/>
                <w:lang w:val="fr-FR"/>
              </w:rPr>
              <w:t>281</w:t>
            </w:r>
          </w:p>
        </w:tc>
      </w:tr>
    </w:tbl>
    <w:p w14:paraId="6CBF6F29" w14:textId="77777777" w:rsidR="00BF0619" w:rsidRPr="00AF434B" w:rsidRDefault="00BF0619" w:rsidP="005A4D3A">
      <w:pPr>
        <w:spacing w:before="120" w:after="240"/>
        <w:ind w:left="1134" w:right="1134" w:firstLine="170"/>
        <w:rPr>
          <w:noProof/>
          <w:sz w:val="18"/>
          <w:lang w:val="fr-FR"/>
        </w:rPr>
      </w:pPr>
      <w:r w:rsidRPr="00AF434B">
        <w:rPr>
          <w:i/>
          <w:iCs/>
          <w:noProof/>
          <w:sz w:val="18"/>
          <w:lang w:val="fr-FR"/>
        </w:rPr>
        <w:t>Source</w:t>
      </w:r>
      <w:r w:rsidR="005A4D3A">
        <w:rPr>
          <w:i/>
          <w:iCs/>
          <w:noProof/>
          <w:sz w:val="18"/>
          <w:lang w:val="fr-FR"/>
        </w:rPr>
        <w:t> </w:t>
      </w:r>
      <w:r w:rsidRPr="00AF434B">
        <w:rPr>
          <w:noProof/>
          <w:sz w:val="18"/>
          <w:lang w:val="fr-FR"/>
        </w:rPr>
        <w:t>: M</w:t>
      </w:r>
      <w:r>
        <w:rPr>
          <w:noProof/>
          <w:sz w:val="18"/>
          <w:lang w:val="fr-FR"/>
        </w:rPr>
        <w:t>inistère des affaires étrangères</w:t>
      </w:r>
      <w:r w:rsidRPr="00AF434B">
        <w:rPr>
          <w:noProof/>
          <w:sz w:val="18"/>
          <w:lang w:val="fr-FR"/>
        </w:rPr>
        <w:t>.</w:t>
      </w:r>
    </w:p>
    <w:p w14:paraId="0718619F" w14:textId="77777777" w:rsidR="00BF0619" w:rsidRPr="00AF434B" w:rsidRDefault="00BF0619" w:rsidP="00BF0619">
      <w:pPr>
        <w:pStyle w:val="SingleTxtG"/>
        <w:spacing w:after="240"/>
        <w:rPr>
          <w:noProof/>
          <w:lang w:val="fr-FR"/>
        </w:rPr>
      </w:pPr>
      <w:r w:rsidRPr="00AF434B">
        <w:rPr>
          <w:noProof/>
          <w:lang w:val="fr-FR"/>
        </w:rPr>
        <w:t>27.</w:t>
      </w:r>
      <w:r w:rsidRPr="00AF434B">
        <w:rPr>
          <w:noProof/>
          <w:lang w:val="fr-FR"/>
        </w:rPr>
        <w:tab/>
      </w:r>
      <w:r>
        <w:rPr>
          <w:noProof/>
          <w:lang w:val="fr-FR"/>
        </w:rPr>
        <w:t>Trois concours d’entrée au service diplomatique portugais ont été organisés pendant la période considérée</w:t>
      </w:r>
      <w:r w:rsidRPr="00AF434B">
        <w:rPr>
          <w:noProof/>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4"/>
        <w:gridCol w:w="2378"/>
        <w:gridCol w:w="2069"/>
        <w:gridCol w:w="2069"/>
      </w:tblGrid>
      <w:tr w:rsidR="00BF0619" w:rsidRPr="00BB3DD1" w14:paraId="55DB162C" w14:textId="77777777" w:rsidTr="005A4D3A">
        <w:trPr>
          <w:cantSplit/>
          <w:tblHeader/>
        </w:trPr>
        <w:tc>
          <w:tcPr>
            <w:tcW w:w="7370" w:type="dxa"/>
            <w:gridSpan w:val="4"/>
            <w:tcBorders>
              <w:top w:val="single" w:sz="4" w:space="0" w:color="auto"/>
              <w:bottom w:val="single" w:sz="12" w:space="0" w:color="auto"/>
            </w:tcBorders>
            <w:shd w:val="clear" w:color="auto" w:fill="auto"/>
            <w:vAlign w:val="bottom"/>
          </w:tcPr>
          <w:p w14:paraId="4D65CFA0" w14:textId="77777777" w:rsidR="00BF0619" w:rsidRPr="00AF434B" w:rsidRDefault="00BF0619" w:rsidP="005A4D3A">
            <w:pPr>
              <w:pStyle w:val="SingleTxtG"/>
              <w:spacing w:before="80" w:after="80" w:line="200" w:lineRule="exact"/>
              <w:ind w:left="0" w:right="113"/>
              <w:jc w:val="center"/>
              <w:rPr>
                <w:i/>
                <w:noProof/>
                <w:sz w:val="16"/>
                <w:lang w:val="fr-FR"/>
              </w:rPr>
            </w:pPr>
            <w:r w:rsidRPr="00AF434B">
              <w:rPr>
                <w:i/>
                <w:noProof/>
                <w:sz w:val="16"/>
                <w:lang w:val="fr-FR"/>
              </w:rPr>
              <w:t>Co</w:t>
            </w:r>
            <w:r>
              <w:rPr>
                <w:i/>
                <w:noProof/>
                <w:sz w:val="16"/>
                <w:lang w:val="fr-FR"/>
              </w:rPr>
              <w:t xml:space="preserve">ncours d’entrée au service diplomatique portugais </w:t>
            </w:r>
          </w:p>
        </w:tc>
      </w:tr>
      <w:tr w:rsidR="00BF0619" w:rsidRPr="00AF434B" w14:paraId="0E37D9AF" w14:textId="77777777" w:rsidTr="005A4D3A">
        <w:trPr>
          <w:cantSplit/>
        </w:trPr>
        <w:tc>
          <w:tcPr>
            <w:tcW w:w="854" w:type="dxa"/>
            <w:tcBorders>
              <w:top w:val="single" w:sz="12" w:space="0" w:color="auto"/>
              <w:bottom w:val="single" w:sz="4" w:space="0" w:color="auto"/>
            </w:tcBorders>
            <w:shd w:val="clear" w:color="auto" w:fill="auto"/>
          </w:tcPr>
          <w:p w14:paraId="50EE8926" w14:textId="77777777" w:rsidR="00BF0619" w:rsidRPr="00AF434B" w:rsidRDefault="00BF0619" w:rsidP="005A4D3A">
            <w:pPr>
              <w:pStyle w:val="SingleTxtG"/>
              <w:spacing w:before="80" w:after="80" w:line="200" w:lineRule="exact"/>
              <w:ind w:left="0" w:right="113"/>
              <w:jc w:val="left"/>
              <w:rPr>
                <w:i/>
                <w:noProof/>
                <w:sz w:val="16"/>
                <w:lang w:val="fr-FR"/>
              </w:rPr>
            </w:pPr>
            <w:r>
              <w:rPr>
                <w:i/>
                <w:noProof/>
                <w:sz w:val="16"/>
                <w:lang w:val="fr-FR"/>
              </w:rPr>
              <w:t>Année</w:t>
            </w:r>
          </w:p>
        </w:tc>
        <w:tc>
          <w:tcPr>
            <w:tcW w:w="2378" w:type="dxa"/>
            <w:tcBorders>
              <w:top w:val="single" w:sz="12" w:space="0" w:color="auto"/>
              <w:bottom w:val="single" w:sz="4" w:space="0" w:color="auto"/>
            </w:tcBorders>
            <w:shd w:val="clear" w:color="auto" w:fill="auto"/>
          </w:tcPr>
          <w:p w14:paraId="6A10579C"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N</w:t>
            </w:r>
            <w:r>
              <w:rPr>
                <w:i/>
                <w:noProof/>
                <w:sz w:val="16"/>
                <w:lang w:val="fr-FR"/>
              </w:rPr>
              <w:t>ombre de postes vacants</w:t>
            </w:r>
          </w:p>
        </w:tc>
        <w:tc>
          <w:tcPr>
            <w:tcW w:w="2069" w:type="dxa"/>
            <w:tcBorders>
              <w:top w:val="single" w:sz="12" w:space="0" w:color="auto"/>
              <w:bottom w:val="single" w:sz="4" w:space="0" w:color="auto"/>
            </w:tcBorders>
            <w:shd w:val="clear" w:color="auto" w:fill="auto"/>
          </w:tcPr>
          <w:p w14:paraId="0FFDEF97" w14:textId="77777777" w:rsidR="00BF0619" w:rsidRPr="00AF434B" w:rsidRDefault="00BF0619" w:rsidP="005A4D3A">
            <w:pPr>
              <w:pStyle w:val="SingleTxtG"/>
              <w:spacing w:before="80" w:after="80" w:line="200" w:lineRule="exact"/>
              <w:ind w:left="0" w:right="113"/>
              <w:jc w:val="right"/>
              <w:rPr>
                <w:i/>
                <w:noProof/>
                <w:sz w:val="16"/>
                <w:lang w:val="fr-FR"/>
              </w:rPr>
            </w:pPr>
            <w:r>
              <w:rPr>
                <w:i/>
                <w:noProof/>
                <w:sz w:val="16"/>
                <w:lang w:val="fr-FR"/>
              </w:rPr>
              <w:t>Hommes admis</w:t>
            </w:r>
          </w:p>
        </w:tc>
        <w:tc>
          <w:tcPr>
            <w:tcW w:w="2069" w:type="dxa"/>
            <w:tcBorders>
              <w:top w:val="single" w:sz="12" w:space="0" w:color="auto"/>
              <w:bottom w:val="single" w:sz="4" w:space="0" w:color="auto"/>
            </w:tcBorders>
            <w:shd w:val="clear" w:color="auto" w:fill="auto"/>
          </w:tcPr>
          <w:p w14:paraId="1BDD2742" w14:textId="77777777" w:rsidR="00BF0619" w:rsidRPr="00AF434B" w:rsidRDefault="00BF0619" w:rsidP="005A4D3A">
            <w:pPr>
              <w:pStyle w:val="SingleTxtG"/>
              <w:spacing w:before="80" w:after="80" w:line="200" w:lineRule="exact"/>
              <w:ind w:left="0" w:right="113"/>
              <w:jc w:val="right"/>
              <w:rPr>
                <w:i/>
                <w:noProof/>
                <w:sz w:val="16"/>
                <w:lang w:val="fr-FR"/>
              </w:rPr>
            </w:pPr>
            <w:r>
              <w:rPr>
                <w:i/>
                <w:noProof/>
                <w:sz w:val="16"/>
                <w:lang w:val="fr-FR"/>
              </w:rPr>
              <w:t>Femmes admises</w:t>
            </w:r>
          </w:p>
        </w:tc>
      </w:tr>
      <w:tr w:rsidR="00BF0619" w:rsidRPr="00AF434B" w14:paraId="44752F64" w14:textId="77777777" w:rsidTr="005A4D3A">
        <w:trPr>
          <w:cantSplit/>
        </w:trPr>
        <w:tc>
          <w:tcPr>
            <w:tcW w:w="854" w:type="dxa"/>
            <w:tcBorders>
              <w:top w:val="single" w:sz="4" w:space="0" w:color="auto"/>
            </w:tcBorders>
            <w:shd w:val="clear" w:color="auto" w:fill="auto"/>
          </w:tcPr>
          <w:p w14:paraId="0FA6C5BA"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2013</w:t>
            </w:r>
          </w:p>
        </w:tc>
        <w:tc>
          <w:tcPr>
            <w:tcW w:w="2378" w:type="dxa"/>
            <w:tcBorders>
              <w:top w:val="single" w:sz="4" w:space="0" w:color="auto"/>
            </w:tcBorders>
            <w:shd w:val="clear" w:color="auto" w:fill="auto"/>
          </w:tcPr>
          <w:p w14:paraId="0BFC181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20</w:t>
            </w:r>
          </w:p>
        </w:tc>
        <w:tc>
          <w:tcPr>
            <w:tcW w:w="2069" w:type="dxa"/>
            <w:tcBorders>
              <w:top w:val="single" w:sz="4" w:space="0" w:color="auto"/>
            </w:tcBorders>
            <w:shd w:val="clear" w:color="auto" w:fill="auto"/>
          </w:tcPr>
          <w:p w14:paraId="6133C6B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19</w:t>
            </w:r>
          </w:p>
        </w:tc>
        <w:tc>
          <w:tcPr>
            <w:tcW w:w="2069" w:type="dxa"/>
            <w:tcBorders>
              <w:top w:val="single" w:sz="4" w:space="0" w:color="auto"/>
            </w:tcBorders>
            <w:shd w:val="clear" w:color="auto" w:fill="auto"/>
          </w:tcPr>
          <w:p w14:paraId="1A5B87C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w:t>
            </w:r>
          </w:p>
        </w:tc>
      </w:tr>
      <w:tr w:rsidR="00BF0619" w:rsidRPr="00AF434B" w14:paraId="7826D030" w14:textId="77777777" w:rsidTr="005A4D3A">
        <w:trPr>
          <w:cantSplit/>
        </w:trPr>
        <w:tc>
          <w:tcPr>
            <w:tcW w:w="854" w:type="dxa"/>
            <w:shd w:val="clear" w:color="auto" w:fill="auto"/>
          </w:tcPr>
          <w:p w14:paraId="5EA7F574"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2015</w:t>
            </w:r>
          </w:p>
        </w:tc>
        <w:tc>
          <w:tcPr>
            <w:tcW w:w="2378" w:type="dxa"/>
            <w:shd w:val="clear" w:color="auto" w:fill="auto"/>
          </w:tcPr>
          <w:p w14:paraId="6C80531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25</w:t>
            </w:r>
          </w:p>
        </w:tc>
        <w:tc>
          <w:tcPr>
            <w:tcW w:w="2069" w:type="dxa"/>
            <w:shd w:val="clear" w:color="auto" w:fill="auto"/>
          </w:tcPr>
          <w:p w14:paraId="120034B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22</w:t>
            </w:r>
          </w:p>
        </w:tc>
        <w:tc>
          <w:tcPr>
            <w:tcW w:w="2069" w:type="dxa"/>
            <w:shd w:val="clear" w:color="auto" w:fill="auto"/>
          </w:tcPr>
          <w:p w14:paraId="2CF2C2C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w:t>
            </w:r>
          </w:p>
        </w:tc>
      </w:tr>
      <w:tr w:rsidR="00BF0619" w:rsidRPr="00AF434B" w14:paraId="07D5C500" w14:textId="77777777" w:rsidTr="005A4D3A">
        <w:trPr>
          <w:cantSplit/>
        </w:trPr>
        <w:tc>
          <w:tcPr>
            <w:tcW w:w="854" w:type="dxa"/>
            <w:shd w:val="clear" w:color="auto" w:fill="auto"/>
          </w:tcPr>
          <w:p w14:paraId="040DAC5D"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2017</w:t>
            </w:r>
          </w:p>
        </w:tc>
        <w:tc>
          <w:tcPr>
            <w:tcW w:w="2378" w:type="dxa"/>
            <w:shd w:val="clear" w:color="auto" w:fill="auto"/>
          </w:tcPr>
          <w:p w14:paraId="1B9A270E"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30</w:t>
            </w:r>
          </w:p>
        </w:tc>
        <w:tc>
          <w:tcPr>
            <w:tcW w:w="2069" w:type="dxa"/>
            <w:shd w:val="clear" w:color="auto" w:fill="auto"/>
          </w:tcPr>
          <w:p w14:paraId="03D9119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21</w:t>
            </w:r>
          </w:p>
        </w:tc>
        <w:tc>
          <w:tcPr>
            <w:tcW w:w="2069" w:type="dxa"/>
            <w:shd w:val="clear" w:color="auto" w:fill="auto"/>
          </w:tcPr>
          <w:p w14:paraId="3983941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9</w:t>
            </w:r>
          </w:p>
        </w:tc>
      </w:tr>
    </w:tbl>
    <w:p w14:paraId="2EF347C6" w14:textId="77777777" w:rsidR="00BF0619" w:rsidRPr="00AF434B" w:rsidRDefault="00BF0619" w:rsidP="00BF0619">
      <w:pPr>
        <w:spacing w:before="120" w:after="240"/>
        <w:ind w:left="1134" w:right="1134" w:firstLine="170"/>
        <w:rPr>
          <w:noProof/>
          <w:sz w:val="18"/>
          <w:lang w:val="fr-FR"/>
        </w:rPr>
      </w:pPr>
      <w:r w:rsidRPr="00AF434B">
        <w:rPr>
          <w:i/>
          <w:iCs/>
          <w:noProof/>
          <w:sz w:val="18"/>
          <w:lang w:val="fr-FR"/>
        </w:rPr>
        <w:t>Source</w:t>
      </w:r>
      <w:r w:rsidR="005A4D3A">
        <w:rPr>
          <w:i/>
          <w:iCs/>
          <w:noProof/>
          <w:sz w:val="18"/>
          <w:lang w:val="fr-FR"/>
        </w:rPr>
        <w:t> </w:t>
      </w:r>
      <w:r w:rsidRPr="00AF434B">
        <w:rPr>
          <w:noProof/>
          <w:sz w:val="18"/>
          <w:lang w:val="fr-FR"/>
        </w:rPr>
        <w:t>: M</w:t>
      </w:r>
      <w:r>
        <w:rPr>
          <w:noProof/>
          <w:sz w:val="18"/>
          <w:lang w:val="fr-FR"/>
        </w:rPr>
        <w:t>inistère des affaires étrangères</w:t>
      </w:r>
      <w:r w:rsidRPr="00AF434B">
        <w:rPr>
          <w:noProof/>
          <w:sz w:val="18"/>
          <w:lang w:val="fr-FR"/>
        </w:rPr>
        <w:t>.</w:t>
      </w:r>
    </w:p>
    <w:p w14:paraId="4615484D" w14:textId="77777777" w:rsidR="00BF0619" w:rsidRPr="00AF434B" w:rsidRDefault="00BF0619" w:rsidP="00BF0619">
      <w:pPr>
        <w:pStyle w:val="SingleTxtG"/>
        <w:spacing w:after="240"/>
        <w:rPr>
          <w:noProof/>
          <w:lang w:val="fr-FR"/>
        </w:rPr>
      </w:pPr>
      <w:r w:rsidRPr="00AF434B">
        <w:rPr>
          <w:noProof/>
          <w:lang w:val="fr-FR"/>
        </w:rPr>
        <w:t>28.</w:t>
      </w:r>
      <w:r w:rsidRPr="00AF434B">
        <w:rPr>
          <w:noProof/>
          <w:lang w:val="fr-FR"/>
        </w:rPr>
        <w:tab/>
      </w:r>
      <w:r>
        <w:rPr>
          <w:noProof/>
          <w:lang w:val="fr-FR"/>
        </w:rPr>
        <w:t xml:space="preserve">Cinq concours d’entrée dans la magistrature ont été organisés </w:t>
      </w:r>
      <w:r w:rsidRPr="00AF434B">
        <w:rPr>
          <w:noProof/>
          <w:lang w:val="fr-FR"/>
        </w:rPr>
        <w:t>(</w:t>
      </w:r>
      <w:r>
        <w:rPr>
          <w:noProof/>
          <w:lang w:val="fr-FR"/>
        </w:rPr>
        <w:t>futurs juges et procureurs</w:t>
      </w:r>
      <w:r w:rsidRPr="00AF434B">
        <w:rPr>
          <w:noProof/>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9"/>
        <w:gridCol w:w="1199"/>
        <w:gridCol w:w="1198"/>
        <w:gridCol w:w="1198"/>
        <w:gridCol w:w="1198"/>
        <w:gridCol w:w="1198"/>
      </w:tblGrid>
      <w:tr w:rsidR="00BF0619" w:rsidRPr="00BB3DD1" w14:paraId="0818AAE9" w14:textId="77777777" w:rsidTr="005A4D3A">
        <w:trPr>
          <w:cantSplit/>
          <w:tblHeader/>
        </w:trPr>
        <w:tc>
          <w:tcPr>
            <w:tcW w:w="7644" w:type="dxa"/>
            <w:gridSpan w:val="6"/>
            <w:tcBorders>
              <w:top w:val="single" w:sz="12" w:space="0" w:color="auto"/>
              <w:bottom w:val="single" w:sz="4" w:space="0" w:color="auto"/>
            </w:tcBorders>
            <w:shd w:val="clear" w:color="auto" w:fill="auto"/>
          </w:tcPr>
          <w:p w14:paraId="398395DA" w14:textId="77777777" w:rsidR="00BF0619" w:rsidRPr="00AF434B" w:rsidRDefault="00BF0619" w:rsidP="005A4D3A">
            <w:pPr>
              <w:pStyle w:val="SingleTxtG"/>
              <w:spacing w:before="80" w:after="80" w:line="200" w:lineRule="exact"/>
              <w:ind w:left="0" w:right="113"/>
              <w:jc w:val="center"/>
              <w:rPr>
                <w:i/>
                <w:noProof/>
                <w:sz w:val="16"/>
                <w:lang w:val="fr-FR"/>
              </w:rPr>
            </w:pPr>
            <w:r>
              <w:rPr>
                <w:i/>
                <w:noProof/>
                <w:sz w:val="16"/>
                <w:lang w:val="fr-FR"/>
              </w:rPr>
              <w:t>Concours d’entrée dans la magistrature</w:t>
            </w:r>
          </w:p>
        </w:tc>
      </w:tr>
      <w:tr w:rsidR="00BF0619" w:rsidRPr="00AF434B" w14:paraId="26F9CB6D" w14:textId="77777777" w:rsidTr="005A4D3A">
        <w:trPr>
          <w:cantSplit/>
        </w:trPr>
        <w:tc>
          <w:tcPr>
            <w:tcW w:w="1429" w:type="dxa"/>
            <w:tcBorders>
              <w:top w:val="single" w:sz="4" w:space="0" w:color="auto"/>
              <w:bottom w:val="single" w:sz="12" w:space="0" w:color="auto"/>
            </w:tcBorders>
            <w:shd w:val="clear" w:color="auto" w:fill="auto"/>
          </w:tcPr>
          <w:p w14:paraId="35615089" w14:textId="77777777" w:rsidR="00BF0619" w:rsidRPr="00AF434B" w:rsidRDefault="00BF0619" w:rsidP="005A4D3A">
            <w:pPr>
              <w:pStyle w:val="SingleTxtG"/>
              <w:spacing w:before="40" w:after="40" w:line="220" w:lineRule="exact"/>
              <w:ind w:left="0" w:right="113"/>
              <w:jc w:val="left"/>
              <w:rPr>
                <w:noProof/>
                <w:sz w:val="18"/>
                <w:lang w:val="fr-FR"/>
              </w:rPr>
            </w:pPr>
          </w:p>
        </w:tc>
        <w:tc>
          <w:tcPr>
            <w:tcW w:w="1243" w:type="dxa"/>
            <w:tcBorders>
              <w:top w:val="single" w:sz="4" w:space="0" w:color="auto"/>
              <w:bottom w:val="single" w:sz="12" w:space="0" w:color="auto"/>
            </w:tcBorders>
            <w:shd w:val="clear" w:color="auto" w:fill="auto"/>
          </w:tcPr>
          <w:p w14:paraId="715B71D5"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2012/2013</w:t>
            </w:r>
          </w:p>
        </w:tc>
        <w:tc>
          <w:tcPr>
            <w:tcW w:w="1243" w:type="dxa"/>
            <w:tcBorders>
              <w:top w:val="single" w:sz="4" w:space="0" w:color="auto"/>
              <w:bottom w:val="single" w:sz="12" w:space="0" w:color="auto"/>
            </w:tcBorders>
            <w:shd w:val="clear" w:color="auto" w:fill="auto"/>
          </w:tcPr>
          <w:p w14:paraId="5C2ADEF4"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2013/2014</w:t>
            </w:r>
          </w:p>
        </w:tc>
        <w:tc>
          <w:tcPr>
            <w:tcW w:w="1243" w:type="dxa"/>
            <w:tcBorders>
              <w:top w:val="single" w:sz="4" w:space="0" w:color="auto"/>
              <w:bottom w:val="single" w:sz="12" w:space="0" w:color="auto"/>
            </w:tcBorders>
            <w:shd w:val="clear" w:color="auto" w:fill="auto"/>
          </w:tcPr>
          <w:p w14:paraId="73B82A1A"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2014/2015</w:t>
            </w:r>
          </w:p>
        </w:tc>
        <w:tc>
          <w:tcPr>
            <w:tcW w:w="1243" w:type="dxa"/>
            <w:tcBorders>
              <w:top w:val="single" w:sz="4" w:space="0" w:color="auto"/>
              <w:bottom w:val="single" w:sz="12" w:space="0" w:color="auto"/>
            </w:tcBorders>
            <w:shd w:val="clear" w:color="auto" w:fill="auto"/>
          </w:tcPr>
          <w:p w14:paraId="7B34241F"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2015/2016</w:t>
            </w:r>
          </w:p>
        </w:tc>
        <w:tc>
          <w:tcPr>
            <w:tcW w:w="1243" w:type="dxa"/>
            <w:tcBorders>
              <w:top w:val="single" w:sz="4" w:space="0" w:color="auto"/>
              <w:bottom w:val="single" w:sz="12" w:space="0" w:color="auto"/>
            </w:tcBorders>
            <w:shd w:val="clear" w:color="auto" w:fill="auto"/>
          </w:tcPr>
          <w:p w14:paraId="1A5AC30F"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2016/2017</w:t>
            </w:r>
          </w:p>
        </w:tc>
      </w:tr>
      <w:tr w:rsidR="00BF0619" w:rsidRPr="00AF434B" w14:paraId="6A776362" w14:textId="77777777" w:rsidTr="005A4D3A">
        <w:trPr>
          <w:cantSplit/>
        </w:trPr>
        <w:tc>
          <w:tcPr>
            <w:tcW w:w="1429" w:type="dxa"/>
            <w:tcBorders>
              <w:top w:val="single" w:sz="12" w:space="0" w:color="auto"/>
              <w:bottom w:val="single" w:sz="4" w:space="0" w:color="auto"/>
            </w:tcBorders>
            <w:shd w:val="clear" w:color="auto" w:fill="auto"/>
          </w:tcPr>
          <w:p w14:paraId="57FDD82F" w14:textId="77777777" w:rsidR="00BF0619" w:rsidRPr="00AF434B" w:rsidRDefault="00BF0619" w:rsidP="005A4D3A">
            <w:pPr>
              <w:pStyle w:val="SingleTxtG"/>
              <w:spacing w:before="80" w:after="80" w:line="220" w:lineRule="exact"/>
              <w:ind w:left="283" w:right="0"/>
              <w:jc w:val="left"/>
              <w:rPr>
                <w:b/>
                <w:noProof/>
                <w:sz w:val="18"/>
                <w:lang w:val="fr-FR"/>
              </w:rPr>
            </w:pPr>
            <w:r w:rsidRPr="00AF434B">
              <w:rPr>
                <w:b/>
                <w:noProof/>
                <w:sz w:val="18"/>
                <w:lang w:val="fr-FR"/>
              </w:rPr>
              <w:t>Total</w:t>
            </w:r>
          </w:p>
        </w:tc>
        <w:tc>
          <w:tcPr>
            <w:tcW w:w="1243" w:type="dxa"/>
            <w:tcBorders>
              <w:top w:val="single" w:sz="12" w:space="0" w:color="auto"/>
              <w:bottom w:val="single" w:sz="4" w:space="0" w:color="auto"/>
            </w:tcBorders>
            <w:shd w:val="clear" w:color="auto" w:fill="auto"/>
          </w:tcPr>
          <w:p w14:paraId="405B56C5" w14:textId="77777777" w:rsidR="00BF0619" w:rsidRPr="00AF434B" w:rsidRDefault="00BF0619" w:rsidP="005A4D3A">
            <w:pPr>
              <w:pStyle w:val="SingleTxtG"/>
              <w:spacing w:before="80" w:after="80" w:line="220" w:lineRule="exact"/>
              <w:ind w:left="0" w:right="113"/>
              <w:jc w:val="right"/>
              <w:rPr>
                <w:b/>
                <w:bCs/>
                <w:noProof/>
                <w:sz w:val="18"/>
                <w:lang w:val="fr-FR"/>
              </w:rPr>
            </w:pPr>
            <w:r w:rsidRPr="00AF434B">
              <w:rPr>
                <w:b/>
                <w:bCs/>
                <w:noProof/>
                <w:sz w:val="18"/>
                <w:lang w:val="fr-FR"/>
              </w:rPr>
              <w:t>80</w:t>
            </w:r>
          </w:p>
        </w:tc>
        <w:tc>
          <w:tcPr>
            <w:tcW w:w="1243" w:type="dxa"/>
            <w:tcBorders>
              <w:top w:val="single" w:sz="12" w:space="0" w:color="auto"/>
              <w:bottom w:val="single" w:sz="4" w:space="0" w:color="auto"/>
            </w:tcBorders>
            <w:shd w:val="clear" w:color="auto" w:fill="auto"/>
          </w:tcPr>
          <w:p w14:paraId="0B1C994A" w14:textId="77777777" w:rsidR="00BF0619" w:rsidRPr="00AF434B" w:rsidRDefault="00BF0619" w:rsidP="005A4D3A">
            <w:pPr>
              <w:pStyle w:val="SingleTxtG"/>
              <w:spacing w:before="80" w:after="80" w:line="220" w:lineRule="exact"/>
              <w:ind w:left="0" w:right="113"/>
              <w:jc w:val="right"/>
              <w:rPr>
                <w:b/>
                <w:bCs/>
                <w:noProof/>
                <w:sz w:val="18"/>
                <w:lang w:val="fr-FR"/>
              </w:rPr>
            </w:pPr>
            <w:r w:rsidRPr="00AF434B">
              <w:rPr>
                <w:b/>
                <w:bCs/>
                <w:noProof/>
                <w:sz w:val="18"/>
                <w:lang w:val="fr-FR"/>
              </w:rPr>
              <w:t>159</w:t>
            </w:r>
          </w:p>
        </w:tc>
        <w:tc>
          <w:tcPr>
            <w:tcW w:w="1243" w:type="dxa"/>
            <w:tcBorders>
              <w:top w:val="single" w:sz="12" w:space="0" w:color="auto"/>
              <w:bottom w:val="single" w:sz="4" w:space="0" w:color="auto"/>
            </w:tcBorders>
            <w:shd w:val="clear" w:color="auto" w:fill="auto"/>
          </w:tcPr>
          <w:p w14:paraId="63315790" w14:textId="77777777" w:rsidR="00BF0619" w:rsidRPr="00AF434B" w:rsidRDefault="00BF0619" w:rsidP="005A4D3A">
            <w:pPr>
              <w:pStyle w:val="SingleTxtG"/>
              <w:spacing w:before="80" w:after="80" w:line="220" w:lineRule="exact"/>
              <w:ind w:left="0" w:right="113"/>
              <w:jc w:val="right"/>
              <w:rPr>
                <w:b/>
                <w:bCs/>
                <w:noProof/>
                <w:sz w:val="18"/>
                <w:lang w:val="fr-FR"/>
              </w:rPr>
            </w:pPr>
            <w:r w:rsidRPr="00AF434B">
              <w:rPr>
                <w:b/>
                <w:bCs/>
                <w:noProof/>
                <w:sz w:val="18"/>
                <w:lang w:val="fr-FR"/>
              </w:rPr>
              <w:t>158</w:t>
            </w:r>
          </w:p>
        </w:tc>
        <w:tc>
          <w:tcPr>
            <w:tcW w:w="1243" w:type="dxa"/>
            <w:tcBorders>
              <w:top w:val="single" w:sz="12" w:space="0" w:color="auto"/>
              <w:bottom w:val="single" w:sz="4" w:space="0" w:color="auto"/>
            </w:tcBorders>
            <w:shd w:val="clear" w:color="auto" w:fill="auto"/>
          </w:tcPr>
          <w:p w14:paraId="76F92B8A" w14:textId="77777777" w:rsidR="00BF0619" w:rsidRPr="00AF434B" w:rsidRDefault="00BF0619" w:rsidP="005A4D3A">
            <w:pPr>
              <w:pStyle w:val="SingleTxtG"/>
              <w:spacing w:before="80" w:after="80" w:line="220" w:lineRule="exact"/>
              <w:ind w:left="0" w:right="113"/>
              <w:jc w:val="right"/>
              <w:rPr>
                <w:b/>
                <w:bCs/>
                <w:noProof/>
                <w:sz w:val="18"/>
                <w:lang w:val="fr-FR"/>
              </w:rPr>
            </w:pPr>
            <w:r w:rsidRPr="00AF434B">
              <w:rPr>
                <w:b/>
                <w:bCs/>
                <w:noProof/>
                <w:sz w:val="18"/>
                <w:lang w:val="fr-FR"/>
              </w:rPr>
              <w:t>203</w:t>
            </w:r>
          </w:p>
        </w:tc>
        <w:tc>
          <w:tcPr>
            <w:tcW w:w="1243" w:type="dxa"/>
            <w:tcBorders>
              <w:top w:val="single" w:sz="12" w:space="0" w:color="auto"/>
              <w:bottom w:val="single" w:sz="4" w:space="0" w:color="auto"/>
            </w:tcBorders>
            <w:shd w:val="clear" w:color="auto" w:fill="auto"/>
          </w:tcPr>
          <w:p w14:paraId="5008537B" w14:textId="77777777" w:rsidR="00BF0619" w:rsidRPr="00AF434B" w:rsidRDefault="00BF0619" w:rsidP="005A4D3A">
            <w:pPr>
              <w:pStyle w:val="SingleTxtG"/>
              <w:spacing w:before="80" w:after="80" w:line="220" w:lineRule="exact"/>
              <w:ind w:left="0" w:right="113"/>
              <w:jc w:val="right"/>
              <w:rPr>
                <w:b/>
                <w:bCs/>
                <w:noProof/>
                <w:sz w:val="18"/>
                <w:lang w:val="fr-FR"/>
              </w:rPr>
            </w:pPr>
            <w:r w:rsidRPr="00AF434B">
              <w:rPr>
                <w:b/>
                <w:bCs/>
                <w:noProof/>
                <w:sz w:val="18"/>
                <w:lang w:val="fr-FR"/>
              </w:rPr>
              <w:t>200</w:t>
            </w:r>
          </w:p>
        </w:tc>
      </w:tr>
      <w:tr w:rsidR="00BF0619" w:rsidRPr="00AF434B" w14:paraId="1BA08BEE" w14:textId="77777777" w:rsidTr="005A4D3A">
        <w:trPr>
          <w:cantSplit/>
        </w:trPr>
        <w:tc>
          <w:tcPr>
            <w:tcW w:w="1429" w:type="dxa"/>
            <w:tcBorders>
              <w:top w:val="single" w:sz="4" w:space="0" w:color="auto"/>
            </w:tcBorders>
            <w:shd w:val="clear" w:color="auto" w:fill="auto"/>
          </w:tcPr>
          <w:p w14:paraId="012C8E4E"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Hommes</w:t>
            </w:r>
          </w:p>
        </w:tc>
        <w:tc>
          <w:tcPr>
            <w:tcW w:w="1243" w:type="dxa"/>
            <w:tcBorders>
              <w:top w:val="single" w:sz="4" w:space="0" w:color="auto"/>
            </w:tcBorders>
            <w:shd w:val="clear" w:color="auto" w:fill="auto"/>
          </w:tcPr>
          <w:p w14:paraId="255C08C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24</w:t>
            </w:r>
          </w:p>
        </w:tc>
        <w:tc>
          <w:tcPr>
            <w:tcW w:w="1243" w:type="dxa"/>
            <w:tcBorders>
              <w:top w:val="single" w:sz="4" w:space="0" w:color="auto"/>
            </w:tcBorders>
            <w:shd w:val="clear" w:color="auto" w:fill="auto"/>
          </w:tcPr>
          <w:p w14:paraId="56CA585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51</w:t>
            </w:r>
          </w:p>
        </w:tc>
        <w:tc>
          <w:tcPr>
            <w:tcW w:w="1243" w:type="dxa"/>
            <w:tcBorders>
              <w:top w:val="single" w:sz="4" w:space="0" w:color="auto"/>
            </w:tcBorders>
            <w:shd w:val="clear" w:color="auto" w:fill="auto"/>
          </w:tcPr>
          <w:p w14:paraId="2BAD06D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50</w:t>
            </w:r>
          </w:p>
        </w:tc>
        <w:tc>
          <w:tcPr>
            <w:tcW w:w="1243" w:type="dxa"/>
            <w:tcBorders>
              <w:top w:val="single" w:sz="4" w:space="0" w:color="auto"/>
            </w:tcBorders>
            <w:shd w:val="clear" w:color="auto" w:fill="auto"/>
          </w:tcPr>
          <w:p w14:paraId="27EB816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68</w:t>
            </w:r>
          </w:p>
        </w:tc>
        <w:tc>
          <w:tcPr>
            <w:tcW w:w="1243" w:type="dxa"/>
            <w:tcBorders>
              <w:top w:val="single" w:sz="4" w:space="0" w:color="auto"/>
            </w:tcBorders>
            <w:shd w:val="clear" w:color="auto" w:fill="auto"/>
          </w:tcPr>
          <w:p w14:paraId="10D0217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67</w:t>
            </w:r>
          </w:p>
        </w:tc>
      </w:tr>
      <w:tr w:rsidR="00BF0619" w:rsidRPr="00AF434B" w14:paraId="54F5F0BE" w14:textId="77777777" w:rsidTr="005A4D3A">
        <w:trPr>
          <w:cantSplit/>
        </w:trPr>
        <w:tc>
          <w:tcPr>
            <w:tcW w:w="1429" w:type="dxa"/>
            <w:shd w:val="clear" w:color="auto" w:fill="auto"/>
          </w:tcPr>
          <w:p w14:paraId="7924D7B0"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Femmes</w:t>
            </w:r>
          </w:p>
        </w:tc>
        <w:tc>
          <w:tcPr>
            <w:tcW w:w="1243" w:type="dxa"/>
            <w:shd w:val="clear" w:color="auto" w:fill="auto"/>
          </w:tcPr>
          <w:p w14:paraId="15737DEA"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56</w:t>
            </w:r>
          </w:p>
        </w:tc>
        <w:tc>
          <w:tcPr>
            <w:tcW w:w="1243" w:type="dxa"/>
            <w:shd w:val="clear" w:color="auto" w:fill="auto"/>
          </w:tcPr>
          <w:p w14:paraId="0AB240F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108</w:t>
            </w:r>
          </w:p>
        </w:tc>
        <w:tc>
          <w:tcPr>
            <w:tcW w:w="1243" w:type="dxa"/>
            <w:shd w:val="clear" w:color="auto" w:fill="auto"/>
          </w:tcPr>
          <w:p w14:paraId="73731E1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108</w:t>
            </w:r>
          </w:p>
        </w:tc>
        <w:tc>
          <w:tcPr>
            <w:tcW w:w="1243" w:type="dxa"/>
            <w:shd w:val="clear" w:color="auto" w:fill="auto"/>
          </w:tcPr>
          <w:p w14:paraId="22565AC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135</w:t>
            </w:r>
          </w:p>
        </w:tc>
        <w:tc>
          <w:tcPr>
            <w:tcW w:w="1243" w:type="dxa"/>
            <w:shd w:val="clear" w:color="auto" w:fill="auto"/>
          </w:tcPr>
          <w:p w14:paraId="65E673D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133</w:t>
            </w:r>
          </w:p>
        </w:tc>
      </w:tr>
      <w:tr w:rsidR="00BF0619" w:rsidRPr="00AF434B" w14:paraId="23EE5581" w14:textId="77777777" w:rsidTr="005A4D3A">
        <w:trPr>
          <w:cantSplit/>
        </w:trPr>
        <w:tc>
          <w:tcPr>
            <w:tcW w:w="1429" w:type="dxa"/>
            <w:shd w:val="clear" w:color="auto" w:fill="auto"/>
          </w:tcPr>
          <w:p w14:paraId="7A217E5D"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Ju</w:t>
            </w:r>
            <w:r w:rsidRPr="00AF434B">
              <w:rPr>
                <w:noProof/>
                <w:sz w:val="18"/>
                <w:lang w:val="fr-FR"/>
              </w:rPr>
              <w:t>ges</w:t>
            </w:r>
          </w:p>
        </w:tc>
        <w:tc>
          <w:tcPr>
            <w:tcW w:w="1243" w:type="dxa"/>
            <w:shd w:val="clear" w:color="auto" w:fill="auto"/>
          </w:tcPr>
          <w:p w14:paraId="71F9B1B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1323A41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595B659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225449A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127</w:t>
            </w:r>
          </w:p>
        </w:tc>
        <w:tc>
          <w:tcPr>
            <w:tcW w:w="1243" w:type="dxa"/>
            <w:shd w:val="clear" w:color="auto" w:fill="auto"/>
          </w:tcPr>
          <w:p w14:paraId="1699C384"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125</w:t>
            </w:r>
          </w:p>
        </w:tc>
      </w:tr>
      <w:tr w:rsidR="00BF0619" w:rsidRPr="00AF434B" w14:paraId="326F9447" w14:textId="77777777" w:rsidTr="005A4D3A">
        <w:trPr>
          <w:cantSplit/>
        </w:trPr>
        <w:tc>
          <w:tcPr>
            <w:tcW w:w="1429" w:type="dxa"/>
            <w:shd w:val="clear" w:color="auto" w:fill="auto"/>
          </w:tcPr>
          <w:p w14:paraId="0952F256"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Hommes</w:t>
            </w:r>
          </w:p>
        </w:tc>
        <w:tc>
          <w:tcPr>
            <w:tcW w:w="1243" w:type="dxa"/>
            <w:shd w:val="clear" w:color="auto" w:fill="auto"/>
          </w:tcPr>
          <w:p w14:paraId="4E2770C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5A1DA01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3D925AA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32ABC40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43</w:t>
            </w:r>
          </w:p>
        </w:tc>
        <w:tc>
          <w:tcPr>
            <w:tcW w:w="1243" w:type="dxa"/>
            <w:shd w:val="clear" w:color="auto" w:fill="auto"/>
          </w:tcPr>
          <w:p w14:paraId="028B3B5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42</w:t>
            </w:r>
          </w:p>
        </w:tc>
      </w:tr>
      <w:tr w:rsidR="00BF0619" w:rsidRPr="00AF434B" w14:paraId="5813AAEF" w14:textId="77777777" w:rsidTr="005A4D3A">
        <w:trPr>
          <w:cantSplit/>
        </w:trPr>
        <w:tc>
          <w:tcPr>
            <w:tcW w:w="1429" w:type="dxa"/>
            <w:shd w:val="clear" w:color="auto" w:fill="auto"/>
          </w:tcPr>
          <w:p w14:paraId="7D983950"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Femmes</w:t>
            </w:r>
          </w:p>
        </w:tc>
        <w:tc>
          <w:tcPr>
            <w:tcW w:w="1243" w:type="dxa"/>
            <w:shd w:val="clear" w:color="auto" w:fill="auto"/>
          </w:tcPr>
          <w:p w14:paraId="53DBBAE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2F9D3DA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3E53096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129DB20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84</w:t>
            </w:r>
          </w:p>
        </w:tc>
        <w:tc>
          <w:tcPr>
            <w:tcW w:w="1243" w:type="dxa"/>
            <w:shd w:val="clear" w:color="auto" w:fill="auto"/>
          </w:tcPr>
          <w:p w14:paraId="46C3940E"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83</w:t>
            </w:r>
          </w:p>
        </w:tc>
      </w:tr>
      <w:tr w:rsidR="00BF0619" w:rsidRPr="00AF434B" w14:paraId="2AB53E27" w14:textId="77777777" w:rsidTr="005A4D3A">
        <w:trPr>
          <w:cantSplit/>
        </w:trPr>
        <w:tc>
          <w:tcPr>
            <w:tcW w:w="1429" w:type="dxa"/>
            <w:shd w:val="clear" w:color="auto" w:fill="auto"/>
          </w:tcPr>
          <w:p w14:paraId="05918877"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Pro</w:t>
            </w:r>
            <w:r>
              <w:rPr>
                <w:noProof/>
                <w:sz w:val="18"/>
                <w:lang w:val="fr-FR"/>
              </w:rPr>
              <w:t>cureurs</w:t>
            </w:r>
          </w:p>
        </w:tc>
        <w:tc>
          <w:tcPr>
            <w:tcW w:w="1243" w:type="dxa"/>
            <w:shd w:val="clear" w:color="auto" w:fill="auto"/>
          </w:tcPr>
          <w:p w14:paraId="3B2CF77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471DD5C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5E9F662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241E896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76</w:t>
            </w:r>
          </w:p>
        </w:tc>
        <w:tc>
          <w:tcPr>
            <w:tcW w:w="1243" w:type="dxa"/>
            <w:shd w:val="clear" w:color="auto" w:fill="auto"/>
          </w:tcPr>
          <w:p w14:paraId="42895CA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75</w:t>
            </w:r>
          </w:p>
        </w:tc>
      </w:tr>
      <w:tr w:rsidR="00BF0619" w:rsidRPr="00AF434B" w14:paraId="29CFFF14" w14:textId="77777777" w:rsidTr="005A4D3A">
        <w:trPr>
          <w:cantSplit/>
        </w:trPr>
        <w:tc>
          <w:tcPr>
            <w:tcW w:w="1429" w:type="dxa"/>
            <w:shd w:val="clear" w:color="auto" w:fill="auto"/>
          </w:tcPr>
          <w:p w14:paraId="061E27D4"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Hommes</w:t>
            </w:r>
          </w:p>
        </w:tc>
        <w:tc>
          <w:tcPr>
            <w:tcW w:w="1243" w:type="dxa"/>
            <w:shd w:val="clear" w:color="auto" w:fill="auto"/>
          </w:tcPr>
          <w:p w14:paraId="4DEA925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3AFCA81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09C837D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61131EA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25</w:t>
            </w:r>
          </w:p>
        </w:tc>
        <w:tc>
          <w:tcPr>
            <w:tcW w:w="1243" w:type="dxa"/>
            <w:shd w:val="clear" w:color="auto" w:fill="auto"/>
          </w:tcPr>
          <w:p w14:paraId="358AD31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25</w:t>
            </w:r>
          </w:p>
        </w:tc>
      </w:tr>
      <w:tr w:rsidR="00BF0619" w:rsidRPr="00AF434B" w14:paraId="1F3A7772" w14:textId="77777777" w:rsidTr="005A4D3A">
        <w:trPr>
          <w:cantSplit/>
        </w:trPr>
        <w:tc>
          <w:tcPr>
            <w:tcW w:w="1429" w:type="dxa"/>
            <w:shd w:val="clear" w:color="auto" w:fill="auto"/>
          </w:tcPr>
          <w:p w14:paraId="2B797C2E" w14:textId="77777777" w:rsidR="00BF0619" w:rsidRPr="00AF434B" w:rsidRDefault="00BF0619" w:rsidP="005A4D3A">
            <w:pPr>
              <w:pStyle w:val="SingleTxtG"/>
              <w:spacing w:before="40" w:after="40" w:line="220" w:lineRule="exact"/>
              <w:ind w:left="0" w:right="113"/>
              <w:jc w:val="left"/>
              <w:rPr>
                <w:noProof/>
                <w:sz w:val="18"/>
                <w:lang w:val="fr-FR"/>
              </w:rPr>
            </w:pPr>
            <w:r>
              <w:rPr>
                <w:noProof/>
                <w:sz w:val="18"/>
                <w:lang w:val="fr-FR"/>
              </w:rPr>
              <w:t>Femmes</w:t>
            </w:r>
          </w:p>
        </w:tc>
        <w:tc>
          <w:tcPr>
            <w:tcW w:w="1243" w:type="dxa"/>
            <w:shd w:val="clear" w:color="auto" w:fill="auto"/>
          </w:tcPr>
          <w:p w14:paraId="6E9DC95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364256F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2A0F107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(n)</w:t>
            </w:r>
          </w:p>
        </w:tc>
        <w:tc>
          <w:tcPr>
            <w:tcW w:w="1243" w:type="dxa"/>
            <w:shd w:val="clear" w:color="auto" w:fill="auto"/>
          </w:tcPr>
          <w:p w14:paraId="1EF814DA"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51</w:t>
            </w:r>
          </w:p>
        </w:tc>
        <w:tc>
          <w:tcPr>
            <w:tcW w:w="1243" w:type="dxa"/>
            <w:shd w:val="clear" w:color="auto" w:fill="auto"/>
          </w:tcPr>
          <w:p w14:paraId="2E44C4B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50</w:t>
            </w:r>
          </w:p>
        </w:tc>
      </w:tr>
    </w:tbl>
    <w:p w14:paraId="21050C49" w14:textId="77777777" w:rsidR="00BF0619" w:rsidRPr="00AF434B" w:rsidRDefault="00BF0619" w:rsidP="00BF0619">
      <w:pPr>
        <w:spacing w:before="120" w:after="240"/>
        <w:ind w:left="1134" w:right="1134" w:firstLine="170"/>
        <w:rPr>
          <w:noProof/>
          <w:sz w:val="18"/>
          <w:lang w:val="fr-FR"/>
        </w:rPr>
      </w:pPr>
      <w:r w:rsidRPr="00AF434B">
        <w:rPr>
          <w:noProof/>
          <w:sz w:val="18"/>
          <w:lang w:val="fr-FR"/>
        </w:rPr>
        <w:t>(n) d</w:t>
      </w:r>
      <w:r>
        <w:rPr>
          <w:noProof/>
          <w:sz w:val="18"/>
          <w:lang w:val="fr-FR"/>
        </w:rPr>
        <w:t>onnées non disponibles</w:t>
      </w:r>
      <w:r w:rsidRPr="00AF434B">
        <w:rPr>
          <w:noProof/>
          <w:sz w:val="18"/>
          <w:lang w:val="fr-FR"/>
        </w:rPr>
        <w:t>/</w:t>
      </w:r>
      <w:r w:rsidRPr="00AF434B">
        <w:rPr>
          <w:i/>
          <w:iCs/>
          <w:noProof/>
          <w:sz w:val="18"/>
          <w:lang w:val="fr-FR"/>
        </w:rPr>
        <w:t>Source</w:t>
      </w:r>
      <w:r w:rsidR="005A4D3A">
        <w:rPr>
          <w:i/>
          <w:iCs/>
          <w:noProof/>
          <w:sz w:val="18"/>
          <w:lang w:val="fr-FR"/>
        </w:rPr>
        <w:t> </w:t>
      </w:r>
      <w:r w:rsidRPr="00AF434B">
        <w:rPr>
          <w:noProof/>
          <w:sz w:val="18"/>
          <w:lang w:val="fr-FR"/>
        </w:rPr>
        <w:t>: Minist</w:t>
      </w:r>
      <w:r>
        <w:rPr>
          <w:noProof/>
          <w:sz w:val="18"/>
          <w:lang w:val="fr-FR"/>
        </w:rPr>
        <w:t>ère de la j</w:t>
      </w:r>
      <w:r w:rsidRPr="00AF434B">
        <w:rPr>
          <w:noProof/>
          <w:sz w:val="18"/>
          <w:lang w:val="fr-FR"/>
        </w:rPr>
        <w:t>ustice.</w:t>
      </w:r>
    </w:p>
    <w:p w14:paraId="59B50504" w14:textId="77777777" w:rsidR="00BF0619" w:rsidRPr="00AF434B" w:rsidRDefault="00BF0619" w:rsidP="00BF0619">
      <w:pPr>
        <w:pStyle w:val="SingleTxtG"/>
        <w:rPr>
          <w:noProof/>
          <w:lang w:val="fr-FR"/>
        </w:rPr>
      </w:pPr>
      <w:r w:rsidRPr="00AF434B">
        <w:rPr>
          <w:noProof/>
          <w:lang w:val="fr-FR"/>
        </w:rPr>
        <w:t>29.</w:t>
      </w:r>
      <w:r w:rsidRPr="00AF434B">
        <w:rPr>
          <w:noProof/>
          <w:lang w:val="fr-FR"/>
        </w:rPr>
        <w:tab/>
      </w:r>
      <w:r>
        <w:rPr>
          <w:noProof/>
          <w:lang w:val="fr-FR"/>
        </w:rPr>
        <w:t xml:space="preserve">En ce qui concerne la représentation des sexes à l’Assemblée législative des </w:t>
      </w:r>
      <w:r w:rsidRPr="00AF434B">
        <w:rPr>
          <w:noProof/>
          <w:lang w:val="fr-FR"/>
        </w:rPr>
        <w:t>A</w:t>
      </w:r>
      <w:r>
        <w:rPr>
          <w:noProof/>
          <w:lang w:val="fr-FR"/>
        </w:rPr>
        <w:t>ç</w:t>
      </w:r>
      <w:r w:rsidRPr="00AF434B">
        <w:rPr>
          <w:noProof/>
          <w:lang w:val="fr-FR"/>
        </w:rPr>
        <w:t xml:space="preserve">ores, </w:t>
      </w:r>
      <w:r>
        <w:rPr>
          <w:noProof/>
          <w:lang w:val="fr-FR"/>
        </w:rPr>
        <w:t xml:space="preserve">on a adopté le </w:t>
      </w:r>
      <w:r w:rsidR="005A4D3A">
        <w:rPr>
          <w:noProof/>
          <w:lang w:val="fr-FR"/>
        </w:rPr>
        <w:t xml:space="preserve">huitième </w:t>
      </w:r>
      <w:r w:rsidRPr="00AF434B">
        <w:rPr>
          <w:noProof/>
          <w:lang w:val="fr-FR"/>
        </w:rPr>
        <w:t>amend</w:t>
      </w:r>
      <w:r>
        <w:rPr>
          <w:noProof/>
          <w:lang w:val="fr-FR"/>
        </w:rPr>
        <w:t>e</w:t>
      </w:r>
      <w:r w:rsidRPr="00AF434B">
        <w:rPr>
          <w:noProof/>
          <w:lang w:val="fr-FR"/>
        </w:rPr>
        <w:t xml:space="preserve">ment </w:t>
      </w:r>
      <w:r>
        <w:rPr>
          <w:noProof/>
          <w:lang w:val="fr-FR"/>
        </w:rPr>
        <w:t xml:space="preserve">à la loi électorale applicable à l’Assemblée législative de la région autonome des </w:t>
      </w:r>
      <w:r w:rsidRPr="00AF434B">
        <w:rPr>
          <w:noProof/>
          <w:lang w:val="fr-FR"/>
        </w:rPr>
        <w:t>A</w:t>
      </w:r>
      <w:r>
        <w:rPr>
          <w:noProof/>
          <w:lang w:val="fr-FR"/>
        </w:rPr>
        <w:t>ç</w:t>
      </w:r>
      <w:r w:rsidRPr="00AF434B">
        <w:rPr>
          <w:noProof/>
          <w:lang w:val="fr-FR"/>
        </w:rPr>
        <w:t>ores (</w:t>
      </w:r>
      <w:r>
        <w:rPr>
          <w:noProof/>
          <w:lang w:val="fr-FR"/>
        </w:rPr>
        <w:t xml:space="preserve">décret-loi </w:t>
      </w:r>
      <w:r w:rsidR="005A4D3A" w:rsidRPr="005A4D3A">
        <w:rPr>
          <w:rFonts w:eastAsia="MS Mincho"/>
          <w:noProof/>
          <w:szCs w:val="22"/>
          <w:lang w:val="fr-FR"/>
        </w:rPr>
        <w:t>n</w:t>
      </w:r>
      <w:r w:rsidR="005A4D3A" w:rsidRPr="005A4D3A">
        <w:rPr>
          <w:rFonts w:eastAsia="MS Mincho"/>
          <w:noProof/>
          <w:szCs w:val="22"/>
          <w:vertAlign w:val="superscript"/>
          <w:lang w:val="fr-FR"/>
        </w:rPr>
        <w:t>o</w:t>
      </w:r>
      <w:r w:rsidR="005A4D3A">
        <w:rPr>
          <w:noProof/>
          <w:lang w:val="fr-FR"/>
        </w:rPr>
        <w:t> </w:t>
      </w:r>
      <w:r w:rsidRPr="00AF434B">
        <w:rPr>
          <w:noProof/>
          <w:lang w:val="fr-FR"/>
        </w:rPr>
        <w:t xml:space="preserve">267/80 </w:t>
      </w:r>
      <w:r>
        <w:rPr>
          <w:noProof/>
          <w:lang w:val="fr-FR"/>
        </w:rPr>
        <w:t xml:space="preserve">du </w:t>
      </w:r>
      <w:r w:rsidRPr="00AF434B">
        <w:rPr>
          <w:noProof/>
          <w:lang w:val="fr-FR"/>
        </w:rPr>
        <w:t xml:space="preserve">8 </w:t>
      </w:r>
      <w:r>
        <w:rPr>
          <w:noProof/>
          <w:lang w:val="fr-FR"/>
        </w:rPr>
        <w:t>août</w:t>
      </w:r>
      <w:r w:rsidRPr="00AF434B">
        <w:rPr>
          <w:noProof/>
          <w:lang w:val="fr-FR"/>
        </w:rPr>
        <w:t>)</w:t>
      </w:r>
      <w:r>
        <w:rPr>
          <w:noProof/>
          <w:lang w:val="fr-FR"/>
        </w:rPr>
        <w:t xml:space="preserve">, qui dispose que les listes </w:t>
      </w:r>
      <w:r w:rsidRPr="00AF434B">
        <w:rPr>
          <w:noProof/>
          <w:lang w:val="fr-FR"/>
        </w:rPr>
        <w:t xml:space="preserve"> </w:t>
      </w:r>
      <w:r>
        <w:rPr>
          <w:noProof/>
          <w:lang w:val="fr-FR"/>
        </w:rPr>
        <w:t>de l’</w:t>
      </w:r>
      <w:r w:rsidRPr="00AF434B">
        <w:rPr>
          <w:noProof/>
          <w:lang w:val="fr-FR"/>
        </w:rPr>
        <w:t>Assembl</w:t>
      </w:r>
      <w:r>
        <w:rPr>
          <w:noProof/>
          <w:lang w:val="fr-FR"/>
        </w:rPr>
        <w:t>ée doivent promouvoir la parité entre les hommes et les femmes (les listes doivent comporter au moins 33,3</w:t>
      </w:r>
      <w:r w:rsidR="005A4D3A">
        <w:rPr>
          <w:noProof/>
          <w:lang w:val="fr-FR"/>
        </w:rPr>
        <w:t> </w:t>
      </w:r>
      <w:r>
        <w:rPr>
          <w:noProof/>
          <w:lang w:val="fr-FR"/>
        </w:rPr>
        <w:t>% de représentants de chacun des deux sexes</w:t>
      </w:r>
      <w:r w:rsidRPr="00AF434B">
        <w:rPr>
          <w:noProof/>
          <w:lang w:val="fr-FR"/>
        </w:rPr>
        <w:t xml:space="preserve">). </w:t>
      </w:r>
      <w:r>
        <w:rPr>
          <w:noProof/>
          <w:lang w:val="fr-FR"/>
        </w:rPr>
        <w:t>Les</w:t>
      </w:r>
      <w:r w:rsidR="005A4D3A">
        <w:rPr>
          <w:noProof/>
          <w:lang w:val="fr-FR"/>
        </w:rPr>
        <w:t> </w:t>
      </w:r>
      <w:r>
        <w:rPr>
          <w:noProof/>
          <w:lang w:val="fr-FR"/>
        </w:rPr>
        <w:t>dispositions de cette loi ont été pleinement respectées lors des élections législatives de</w:t>
      </w:r>
      <w:r w:rsidR="005A4D3A">
        <w:rPr>
          <w:noProof/>
          <w:lang w:val="fr-FR"/>
        </w:rPr>
        <w:t> </w:t>
      </w:r>
      <w:r w:rsidRPr="00AF434B">
        <w:rPr>
          <w:noProof/>
          <w:lang w:val="fr-FR"/>
        </w:rPr>
        <w:t>2016.</w:t>
      </w:r>
    </w:p>
    <w:p w14:paraId="108E42A6" w14:textId="77777777" w:rsidR="00BF0619" w:rsidRPr="00AF434B" w:rsidRDefault="00BF0619" w:rsidP="00BF0619">
      <w:pPr>
        <w:pStyle w:val="H23G"/>
        <w:rPr>
          <w:noProof/>
          <w:lang w:val="fr-FR"/>
        </w:rPr>
      </w:pPr>
      <w:r w:rsidRPr="00AF434B">
        <w:rPr>
          <w:noProof/>
          <w:lang w:val="fr-FR"/>
        </w:rPr>
        <w:tab/>
      </w:r>
      <w:r w:rsidRPr="00AF434B">
        <w:rPr>
          <w:noProof/>
          <w:lang w:val="fr-FR"/>
        </w:rPr>
        <w:tab/>
      </w:r>
      <w:r w:rsidRPr="00477F7D">
        <w:rPr>
          <w:noProof/>
          <w:lang w:val="fr-FR"/>
        </w:rPr>
        <w:t>Le Comité note avec préoccupation que malgré les efforts considérables de l’État partie, les immigrants, les étrangers et les membres des minorités ethniques, notamment la minorité rom, continuent d’être victimes d’une discrimination dans l’accès au logement, à l’emploi, à l’éducation, aux soins de santé et aux services publics ainsi qu’en ce qui concerne l’égalité de salaire et la participation à la vie publique. Le Comité est également préoccupé par les informations faisant état de comportements racistes et discriminatoires de la part d’agents de la force publique</w:t>
      </w:r>
      <w:r w:rsidRPr="00AF434B">
        <w:rPr>
          <w:noProof/>
          <w:lang w:val="fr-FR"/>
        </w:rPr>
        <w:t xml:space="preserve"> </w:t>
      </w:r>
    </w:p>
    <w:p w14:paraId="3C9F85C3" w14:textId="77777777" w:rsidR="00BF0619" w:rsidRPr="00AF434B" w:rsidRDefault="00BF0619" w:rsidP="00BF0619">
      <w:pPr>
        <w:pStyle w:val="H4G"/>
        <w:rPr>
          <w:noProof/>
          <w:lang w:val="fr-FR"/>
        </w:rPr>
      </w:pPr>
      <w:r w:rsidRPr="00AF434B">
        <w:rPr>
          <w:noProof/>
          <w:lang w:val="fr-FR"/>
        </w:rPr>
        <w:tab/>
      </w:r>
      <w:r w:rsidRPr="00AF434B">
        <w:rPr>
          <w:noProof/>
          <w:lang w:val="fr-FR"/>
        </w:rPr>
        <w:tab/>
        <w:t>Migration</w:t>
      </w:r>
    </w:p>
    <w:p w14:paraId="4EDB712A" w14:textId="77777777" w:rsidR="00BF0619" w:rsidRPr="00AF434B" w:rsidRDefault="00BF0619" w:rsidP="00BF0619">
      <w:pPr>
        <w:pStyle w:val="SingleTxtG"/>
        <w:rPr>
          <w:noProof/>
          <w:lang w:val="fr-FR"/>
        </w:rPr>
      </w:pPr>
      <w:r w:rsidRPr="00AF434B">
        <w:rPr>
          <w:noProof/>
          <w:lang w:val="fr-FR"/>
        </w:rPr>
        <w:t>30.</w:t>
      </w:r>
      <w:r w:rsidRPr="00AF434B">
        <w:rPr>
          <w:noProof/>
          <w:lang w:val="fr-FR"/>
        </w:rPr>
        <w:tab/>
      </w:r>
      <w:r>
        <w:rPr>
          <w:noProof/>
          <w:lang w:val="fr-FR"/>
        </w:rPr>
        <w:t xml:space="preserve">La loi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noProof/>
          <w:lang w:val="fr-FR"/>
        </w:rPr>
        <w:t> </w:t>
      </w:r>
      <w:r>
        <w:rPr>
          <w:noProof/>
          <w:lang w:val="fr-FR"/>
        </w:rPr>
        <w:t>102/2017</w:t>
      </w:r>
      <w:r w:rsidRPr="00AF434B">
        <w:rPr>
          <w:noProof/>
          <w:lang w:val="fr-FR"/>
        </w:rPr>
        <w:t xml:space="preserve"> </w:t>
      </w:r>
      <w:r>
        <w:rPr>
          <w:noProof/>
          <w:lang w:val="fr-FR"/>
        </w:rPr>
        <w:t xml:space="preserve">du </w:t>
      </w:r>
      <w:r w:rsidRPr="00AF434B">
        <w:rPr>
          <w:noProof/>
          <w:lang w:val="fr-FR"/>
        </w:rPr>
        <w:t>28</w:t>
      </w:r>
      <w:r w:rsidR="00DE0409">
        <w:rPr>
          <w:noProof/>
          <w:lang w:val="fr-FR"/>
        </w:rPr>
        <w:t> </w:t>
      </w:r>
      <w:r>
        <w:rPr>
          <w:noProof/>
          <w:lang w:val="fr-FR"/>
        </w:rPr>
        <w:t>août</w:t>
      </w:r>
      <w:r w:rsidRPr="00AF434B">
        <w:rPr>
          <w:noProof/>
          <w:lang w:val="fr-FR"/>
        </w:rPr>
        <w:t xml:space="preserve"> </w:t>
      </w:r>
      <w:r>
        <w:rPr>
          <w:noProof/>
          <w:lang w:val="fr-FR"/>
        </w:rPr>
        <w:t xml:space="preserve">a </w:t>
      </w:r>
      <w:r w:rsidRPr="00AF434B">
        <w:rPr>
          <w:noProof/>
          <w:lang w:val="fr-FR"/>
        </w:rPr>
        <w:t>introdu</w:t>
      </w:r>
      <w:r>
        <w:rPr>
          <w:noProof/>
          <w:lang w:val="fr-FR"/>
        </w:rPr>
        <w:t xml:space="preserve">it la </w:t>
      </w:r>
      <w:r w:rsidR="00DE0409">
        <w:rPr>
          <w:noProof/>
          <w:lang w:val="fr-FR"/>
        </w:rPr>
        <w:t xml:space="preserve">cinquième </w:t>
      </w:r>
      <w:r>
        <w:rPr>
          <w:noProof/>
          <w:lang w:val="fr-FR"/>
        </w:rPr>
        <w:t xml:space="preserve">modification à la loi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noProof/>
          <w:lang w:val="fr-FR"/>
        </w:rPr>
        <w:t> </w:t>
      </w:r>
      <w:r>
        <w:rPr>
          <w:noProof/>
          <w:lang w:val="fr-FR"/>
        </w:rPr>
        <w:t>23/2007</w:t>
      </w:r>
      <w:r w:rsidRPr="00AF434B">
        <w:rPr>
          <w:noProof/>
          <w:lang w:val="fr-FR"/>
        </w:rPr>
        <w:t xml:space="preserve"> </w:t>
      </w:r>
      <w:r>
        <w:rPr>
          <w:noProof/>
          <w:lang w:val="fr-FR"/>
        </w:rPr>
        <w:t xml:space="preserve">du </w:t>
      </w:r>
      <w:r w:rsidRPr="00AF434B">
        <w:rPr>
          <w:noProof/>
          <w:lang w:val="fr-FR"/>
        </w:rPr>
        <w:t>4</w:t>
      </w:r>
      <w:r w:rsidR="00DE0409">
        <w:rPr>
          <w:noProof/>
          <w:lang w:val="fr-FR"/>
        </w:rPr>
        <w:t> </w:t>
      </w:r>
      <w:r>
        <w:rPr>
          <w:noProof/>
          <w:lang w:val="fr-FR"/>
        </w:rPr>
        <w:t>juillet</w:t>
      </w:r>
      <w:r w:rsidRPr="00AF434B">
        <w:rPr>
          <w:noProof/>
          <w:lang w:val="fr-FR"/>
        </w:rPr>
        <w:t xml:space="preserve">, </w:t>
      </w:r>
      <w:r>
        <w:rPr>
          <w:noProof/>
          <w:lang w:val="fr-FR"/>
        </w:rPr>
        <w:t>en établissant les procé</w:t>
      </w:r>
      <w:r w:rsidRPr="00AF434B">
        <w:rPr>
          <w:noProof/>
          <w:lang w:val="fr-FR"/>
        </w:rPr>
        <w:t xml:space="preserve">dures </w:t>
      </w:r>
      <w:r>
        <w:rPr>
          <w:noProof/>
          <w:lang w:val="fr-FR"/>
        </w:rPr>
        <w:t xml:space="preserve">juridiques et les </w:t>
      </w:r>
      <w:r w:rsidRPr="00AF434B">
        <w:rPr>
          <w:noProof/>
          <w:lang w:val="fr-FR"/>
        </w:rPr>
        <w:t xml:space="preserve">conditions </w:t>
      </w:r>
      <w:r>
        <w:rPr>
          <w:noProof/>
          <w:lang w:val="fr-FR"/>
        </w:rPr>
        <w:t>d’entrée, de séjour, de sortie et de renvoi des ressortissants de pays tiers</w:t>
      </w:r>
      <w:r w:rsidRPr="00AF434B">
        <w:rPr>
          <w:noProof/>
          <w:lang w:val="fr-FR"/>
        </w:rPr>
        <w:t xml:space="preserve">. </w:t>
      </w:r>
      <w:r>
        <w:rPr>
          <w:noProof/>
          <w:lang w:val="fr-FR"/>
        </w:rPr>
        <w:t>Cette modification a transposé les directives ci-après</w:t>
      </w:r>
      <w:r w:rsidR="00DE0409">
        <w:rPr>
          <w:noProof/>
          <w:lang w:val="fr-FR"/>
        </w:rPr>
        <w:t> :</w:t>
      </w:r>
    </w:p>
    <w:p w14:paraId="5391449A"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Directive 2014/36/</w:t>
      </w:r>
      <w:r>
        <w:rPr>
          <w:noProof/>
          <w:lang w:val="fr-FR"/>
        </w:rPr>
        <w:t>UE</w:t>
      </w:r>
      <w:r w:rsidRPr="00AF434B">
        <w:rPr>
          <w:noProof/>
          <w:lang w:val="fr-FR"/>
        </w:rPr>
        <w:t xml:space="preserve"> </w:t>
      </w:r>
      <w:r>
        <w:rPr>
          <w:noProof/>
          <w:lang w:val="fr-FR"/>
        </w:rPr>
        <w:t xml:space="preserve">du Parlement européen et du Conseil du </w:t>
      </w:r>
      <w:r w:rsidRPr="00AF434B">
        <w:rPr>
          <w:noProof/>
          <w:lang w:val="fr-FR"/>
        </w:rPr>
        <w:t>26</w:t>
      </w:r>
      <w:r w:rsidR="00DE0409">
        <w:rPr>
          <w:noProof/>
          <w:lang w:val="fr-FR"/>
        </w:rPr>
        <w:t> </w:t>
      </w:r>
      <w:r>
        <w:rPr>
          <w:noProof/>
          <w:lang w:val="fr-FR"/>
        </w:rPr>
        <w:t xml:space="preserve">février </w:t>
      </w:r>
      <w:r w:rsidRPr="00AF434B">
        <w:rPr>
          <w:noProof/>
          <w:lang w:val="fr-FR"/>
        </w:rPr>
        <w:t xml:space="preserve">2014 </w:t>
      </w:r>
      <w:r>
        <w:rPr>
          <w:noProof/>
          <w:lang w:val="fr-FR"/>
        </w:rPr>
        <w:t xml:space="preserve">établissant les </w:t>
      </w:r>
      <w:r w:rsidRPr="00AF434B">
        <w:rPr>
          <w:noProof/>
          <w:lang w:val="fr-FR"/>
        </w:rPr>
        <w:t xml:space="preserve">conditions </w:t>
      </w:r>
      <w:r>
        <w:rPr>
          <w:noProof/>
          <w:lang w:val="fr-FR"/>
        </w:rPr>
        <w:t>d’entrée et de séjour des ressortissants de pays tiers aux fins d’un emploi en tant que travailleur saisonnier</w:t>
      </w:r>
      <w:r w:rsidR="00DE0409">
        <w:rPr>
          <w:noProof/>
          <w:lang w:val="fr-FR"/>
        </w:rPr>
        <w:t> ;</w:t>
      </w:r>
    </w:p>
    <w:p w14:paraId="0701BAD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Directive 2014/66/</w:t>
      </w:r>
      <w:r>
        <w:rPr>
          <w:noProof/>
          <w:lang w:val="fr-FR"/>
        </w:rPr>
        <w:t>U</w:t>
      </w:r>
      <w:r w:rsidRPr="00AF434B">
        <w:rPr>
          <w:noProof/>
          <w:lang w:val="fr-FR"/>
        </w:rPr>
        <w:t xml:space="preserve">E </w:t>
      </w:r>
      <w:r>
        <w:rPr>
          <w:noProof/>
          <w:lang w:val="fr-FR"/>
        </w:rPr>
        <w:t xml:space="preserve">du Parlement européen et du Conseil du </w:t>
      </w:r>
      <w:r w:rsidRPr="00AF434B">
        <w:rPr>
          <w:noProof/>
          <w:lang w:val="fr-FR"/>
        </w:rPr>
        <w:t>15</w:t>
      </w:r>
      <w:r w:rsidR="00DE0409">
        <w:rPr>
          <w:noProof/>
          <w:lang w:val="fr-FR"/>
        </w:rPr>
        <w:t> </w:t>
      </w:r>
      <w:r>
        <w:rPr>
          <w:noProof/>
          <w:lang w:val="fr-FR"/>
        </w:rPr>
        <w:t>mai</w:t>
      </w:r>
      <w:r w:rsidRPr="00AF434B">
        <w:rPr>
          <w:noProof/>
          <w:lang w:val="fr-FR"/>
        </w:rPr>
        <w:t xml:space="preserve"> 2014 </w:t>
      </w:r>
      <w:r>
        <w:rPr>
          <w:noProof/>
          <w:lang w:val="fr-FR"/>
        </w:rPr>
        <w:t xml:space="preserve">établissant les </w:t>
      </w:r>
      <w:r w:rsidRPr="00AF434B">
        <w:rPr>
          <w:noProof/>
          <w:lang w:val="fr-FR"/>
        </w:rPr>
        <w:t xml:space="preserve">conditions </w:t>
      </w:r>
      <w:r>
        <w:rPr>
          <w:noProof/>
          <w:lang w:val="fr-FR"/>
        </w:rPr>
        <w:t xml:space="preserve">d’entrée et de séjour des ressortissants de pays tiers dans le cadre d’un transfert temporaire </w:t>
      </w:r>
      <w:r w:rsidRPr="00AF434B">
        <w:rPr>
          <w:noProof/>
          <w:lang w:val="fr-FR"/>
        </w:rPr>
        <w:t>in</w:t>
      </w:r>
      <w:r>
        <w:rPr>
          <w:noProof/>
          <w:lang w:val="fr-FR"/>
        </w:rPr>
        <w:t>tragroupe</w:t>
      </w:r>
      <w:r w:rsidR="00DE0409">
        <w:rPr>
          <w:noProof/>
          <w:lang w:val="fr-FR"/>
        </w:rPr>
        <w:t> ;</w:t>
      </w:r>
    </w:p>
    <w:p w14:paraId="6868827F"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 xml:space="preserve">Directive </w:t>
      </w:r>
      <w:r>
        <w:rPr>
          <w:noProof/>
          <w:lang w:val="fr-FR"/>
        </w:rPr>
        <w:t xml:space="preserve">(UE) </w:t>
      </w:r>
      <w:r w:rsidRPr="00AF434B">
        <w:rPr>
          <w:noProof/>
          <w:lang w:val="fr-FR"/>
        </w:rPr>
        <w:t>2016/801</w:t>
      </w:r>
      <w:r>
        <w:rPr>
          <w:noProof/>
          <w:lang w:val="fr-FR"/>
        </w:rPr>
        <w:t xml:space="preserve"> du Parlement européen et du Conseil du </w:t>
      </w:r>
      <w:r w:rsidRPr="00AF434B">
        <w:rPr>
          <w:noProof/>
          <w:lang w:val="fr-FR"/>
        </w:rPr>
        <w:t>11</w:t>
      </w:r>
      <w:r w:rsidR="00DE0409">
        <w:rPr>
          <w:noProof/>
          <w:lang w:val="fr-FR"/>
        </w:rPr>
        <w:t> </w:t>
      </w:r>
      <w:r>
        <w:rPr>
          <w:noProof/>
          <w:lang w:val="fr-FR"/>
        </w:rPr>
        <w:t>mai</w:t>
      </w:r>
      <w:r w:rsidRPr="00AF434B">
        <w:rPr>
          <w:noProof/>
          <w:lang w:val="fr-FR"/>
        </w:rPr>
        <w:t xml:space="preserve"> 2016 </w:t>
      </w:r>
      <w:r>
        <w:rPr>
          <w:noProof/>
          <w:lang w:val="fr-FR"/>
        </w:rPr>
        <w:t xml:space="preserve">établissant les </w:t>
      </w:r>
      <w:r w:rsidRPr="00AF434B">
        <w:rPr>
          <w:noProof/>
          <w:lang w:val="fr-FR"/>
        </w:rPr>
        <w:t xml:space="preserve">conditions </w:t>
      </w:r>
      <w:r>
        <w:rPr>
          <w:noProof/>
          <w:lang w:val="fr-FR"/>
        </w:rPr>
        <w:t>d’entrée et de séjour des ressortissants de pays tiers à des fins de recherche, d’études, de formation, de volontariat et de programmes d’échange d’élèves ou</w:t>
      </w:r>
      <w:r w:rsidRPr="00AF434B">
        <w:rPr>
          <w:noProof/>
          <w:lang w:val="fr-FR"/>
        </w:rPr>
        <w:t xml:space="preserve"> </w:t>
      </w:r>
      <w:r>
        <w:rPr>
          <w:noProof/>
          <w:lang w:val="fr-FR"/>
        </w:rPr>
        <w:t>de projets éducatifs et de travail au pair</w:t>
      </w:r>
      <w:r w:rsidRPr="00AF434B">
        <w:rPr>
          <w:noProof/>
          <w:lang w:val="fr-FR"/>
        </w:rPr>
        <w:t>.</w:t>
      </w:r>
    </w:p>
    <w:p w14:paraId="0C63202D" w14:textId="77777777" w:rsidR="00BF0619" w:rsidRPr="00AF434B" w:rsidRDefault="00BF0619" w:rsidP="00BF0619">
      <w:pPr>
        <w:pStyle w:val="SingleTxtG"/>
        <w:rPr>
          <w:noProof/>
          <w:lang w:val="fr-FR"/>
        </w:rPr>
      </w:pPr>
      <w:r w:rsidRPr="00AF434B">
        <w:rPr>
          <w:noProof/>
          <w:lang w:val="fr-FR"/>
        </w:rPr>
        <w:t>31.</w:t>
      </w:r>
      <w:r w:rsidRPr="00AF434B">
        <w:rPr>
          <w:noProof/>
          <w:lang w:val="fr-FR"/>
        </w:rPr>
        <w:tab/>
      </w:r>
      <w:r>
        <w:rPr>
          <w:noProof/>
          <w:lang w:val="fr-FR"/>
        </w:rPr>
        <w:t xml:space="preserve">Le Haut-Commissariat pour les migrations est chargé du plan national pour l’intégration des </w:t>
      </w:r>
      <w:r w:rsidRPr="00AF434B">
        <w:rPr>
          <w:noProof/>
          <w:lang w:val="fr-FR"/>
        </w:rPr>
        <w:t xml:space="preserve">migrants, </w:t>
      </w:r>
      <w:r>
        <w:rPr>
          <w:noProof/>
          <w:lang w:val="fr-FR"/>
        </w:rPr>
        <w:t xml:space="preserve">qui en est à sa troisième édition </w:t>
      </w:r>
      <w:r w:rsidRPr="00AF434B">
        <w:rPr>
          <w:noProof/>
          <w:lang w:val="fr-FR"/>
        </w:rPr>
        <w:t>(2015</w:t>
      </w:r>
      <w:r>
        <w:rPr>
          <w:noProof/>
          <w:lang w:val="fr-FR"/>
        </w:rPr>
        <w:t>-</w:t>
      </w:r>
      <w:r w:rsidRPr="00AF434B">
        <w:rPr>
          <w:noProof/>
          <w:lang w:val="fr-FR"/>
        </w:rPr>
        <w:t>2020)</w:t>
      </w:r>
      <w:r w:rsidRPr="00BB3DD1">
        <w:rPr>
          <w:rStyle w:val="Appelnotedebasdep"/>
        </w:rPr>
        <w:footnoteReference w:id="7"/>
      </w:r>
      <w:r>
        <w:rPr>
          <w:noProof/>
          <w:lang w:val="fr-FR"/>
        </w:rPr>
        <w:t>.</w:t>
      </w:r>
      <w:r w:rsidRPr="00AF434B">
        <w:rPr>
          <w:noProof/>
          <w:lang w:val="fr-FR"/>
        </w:rPr>
        <w:t xml:space="preserve"> </w:t>
      </w:r>
      <w:r>
        <w:rPr>
          <w:noProof/>
          <w:lang w:val="fr-FR"/>
        </w:rPr>
        <w:t>Compte tenu de l’évolution des flux migratoires constatée ces dernières années et de la nécessité de définir une politique nationale intégrée relative aux migrations en adoptant une démarche à l’échelle de l’ensemble de l’administration</w:t>
      </w:r>
      <w:r w:rsidRPr="00AF434B">
        <w:rPr>
          <w:noProof/>
          <w:lang w:val="fr-FR"/>
        </w:rPr>
        <w:t xml:space="preserve">, </w:t>
      </w:r>
      <w:r>
        <w:rPr>
          <w:noProof/>
          <w:lang w:val="fr-FR"/>
        </w:rPr>
        <w:t>on a élaboré en 2014 la Stratégie n</w:t>
      </w:r>
      <w:r w:rsidRPr="00AF434B">
        <w:rPr>
          <w:noProof/>
          <w:lang w:val="fr-FR"/>
        </w:rPr>
        <w:t>ational</w:t>
      </w:r>
      <w:r>
        <w:rPr>
          <w:noProof/>
          <w:lang w:val="fr-FR"/>
        </w:rPr>
        <w:t>e</w:t>
      </w:r>
      <w:r w:rsidRPr="00AF434B">
        <w:rPr>
          <w:noProof/>
          <w:lang w:val="fr-FR"/>
        </w:rPr>
        <w:t xml:space="preserve"> </w:t>
      </w:r>
      <w:r>
        <w:rPr>
          <w:noProof/>
          <w:lang w:val="fr-FR"/>
        </w:rPr>
        <w:t xml:space="preserve">relative aux flux migratoires dans le monde pour la période </w:t>
      </w:r>
      <w:r w:rsidRPr="00AF434B">
        <w:rPr>
          <w:noProof/>
          <w:lang w:val="fr-FR"/>
        </w:rPr>
        <w:t>2015</w:t>
      </w:r>
      <w:r>
        <w:rPr>
          <w:noProof/>
          <w:lang w:val="fr-FR"/>
        </w:rPr>
        <w:t>-</w:t>
      </w:r>
      <w:r w:rsidRPr="00AF434B">
        <w:rPr>
          <w:noProof/>
          <w:lang w:val="fr-FR"/>
        </w:rPr>
        <w:t xml:space="preserve">2020, </w:t>
      </w:r>
      <w:r>
        <w:rPr>
          <w:noProof/>
          <w:lang w:val="fr-FR"/>
        </w:rPr>
        <w:t xml:space="preserve">qui comprend notamment des mesures visant non seulement les </w:t>
      </w:r>
      <w:r w:rsidRPr="00AF434B">
        <w:rPr>
          <w:noProof/>
          <w:lang w:val="fr-FR"/>
        </w:rPr>
        <w:t xml:space="preserve">immigrants, </w:t>
      </w:r>
      <w:r>
        <w:rPr>
          <w:noProof/>
          <w:lang w:val="fr-FR"/>
        </w:rPr>
        <w:t>mais aussi les émigrants portugais et les réfugiés</w:t>
      </w:r>
      <w:r w:rsidRPr="00AF434B">
        <w:rPr>
          <w:noProof/>
          <w:lang w:val="fr-FR"/>
        </w:rPr>
        <w:t>.</w:t>
      </w:r>
    </w:p>
    <w:p w14:paraId="51D61040" w14:textId="77777777" w:rsidR="00BF0619" w:rsidRPr="00AF434B" w:rsidRDefault="00BF0619" w:rsidP="00BF0619">
      <w:pPr>
        <w:pStyle w:val="SingleTxtG"/>
        <w:rPr>
          <w:noProof/>
          <w:lang w:val="fr-FR"/>
        </w:rPr>
      </w:pPr>
      <w:r w:rsidRPr="00AF434B">
        <w:rPr>
          <w:noProof/>
          <w:lang w:val="fr-FR"/>
        </w:rPr>
        <w:t>32.</w:t>
      </w:r>
      <w:r w:rsidRPr="00AF434B">
        <w:rPr>
          <w:noProof/>
          <w:lang w:val="fr-FR"/>
        </w:rPr>
        <w:tab/>
      </w:r>
      <w:r>
        <w:rPr>
          <w:noProof/>
          <w:lang w:val="fr-FR"/>
        </w:rPr>
        <w:t xml:space="preserve">Cette </w:t>
      </w:r>
      <w:r w:rsidRPr="00AF434B">
        <w:rPr>
          <w:noProof/>
          <w:lang w:val="fr-FR"/>
        </w:rPr>
        <w:t>Strat</w:t>
      </w:r>
      <w:r>
        <w:rPr>
          <w:noProof/>
          <w:lang w:val="fr-FR"/>
        </w:rPr>
        <w:t>é</w:t>
      </w:r>
      <w:r w:rsidRPr="00AF434B">
        <w:rPr>
          <w:noProof/>
          <w:lang w:val="fr-FR"/>
        </w:rPr>
        <w:t>g</w:t>
      </w:r>
      <w:r>
        <w:rPr>
          <w:noProof/>
          <w:lang w:val="fr-FR"/>
        </w:rPr>
        <w:t xml:space="preserve">ie repose sur une approche globale et fait intervenir </w:t>
      </w:r>
      <w:r w:rsidRPr="00AF434B">
        <w:rPr>
          <w:noProof/>
          <w:lang w:val="fr-FR"/>
        </w:rPr>
        <w:t>13 minist</w:t>
      </w:r>
      <w:r>
        <w:rPr>
          <w:noProof/>
          <w:lang w:val="fr-FR"/>
        </w:rPr>
        <w:t>ères. Elle s’articule autour de mesures concrètes et est organisée en sections thématiques, telles que la santé, l’emploi et l’é</w:t>
      </w:r>
      <w:r w:rsidRPr="00AF434B">
        <w:rPr>
          <w:noProof/>
          <w:lang w:val="fr-FR"/>
        </w:rPr>
        <w:t xml:space="preserve">ducation. </w:t>
      </w:r>
      <w:r>
        <w:rPr>
          <w:noProof/>
          <w:lang w:val="fr-FR"/>
        </w:rPr>
        <w:t xml:space="preserve">Un débat public lui a été consacré, et la société civile </w:t>
      </w:r>
      <w:r w:rsidR="00DE0409">
        <w:rPr>
          <w:noProof/>
          <w:lang w:val="fr-FR"/>
        </w:rPr>
        <w:t>− </w:t>
      </w:r>
      <w:r>
        <w:rPr>
          <w:noProof/>
          <w:lang w:val="fr-FR"/>
        </w:rPr>
        <w:t>notamment les associations d’immigrants</w:t>
      </w:r>
      <w:r w:rsidR="00DE0409">
        <w:rPr>
          <w:noProof/>
          <w:lang w:val="fr-FR"/>
        </w:rPr>
        <w:t> −</w:t>
      </w:r>
      <w:r>
        <w:rPr>
          <w:noProof/>
          <w:lang w:val="fr-FR"/>
        </w:rPr>
        <w:t xml:space="preserve"> a été fortement mobilisée afin qu’elle contribue à la mise en œuvre de la Stratégie</w:t>
      </w:r>
      <w:r w:rsidRPr="00AF434B">
        <w:rPr>
          <w:noProof/>
          <w:lang w:val="fr-FR"/>
        </w:rPr>
        <w:t xml:space="preserve">. </w:t>
      </w:r>
    </w:p>
    <w:p w14:paraId="1C3A400B" w14:textId="77777777" w:rsidR="00BF0619" w:rsidRPr="00AF434B" w:rsidRDefault="00BF0619" w:rsidP="00BF0619">
      <w:pPr>
        <w:pStyle w:val="SingleTxtG"/>
        <w:rPr>
          <w:noProof/>
          <w:lang w:val="fr-FR"/>
        </w:rPr>
      </w:pPr>
      <w:r w:rsidRPr="00AF434B">
        <w:rPr>
          <w:noProof/>
          <w:lang w:val="fr-FR"/>
        </w:rPr>
        <w:t>33.</w:t>
      </w:r>
      <w:r w:rsidRPr="00AF434B">
        <w:rPr>
          <w:noProof/>
          <w:lang w:val="fr-FR"/>
        </w:rPr>
        <w:tab/>
      </w:r>
      <w:r>
        <w:rPr>
          <w:noProof/>
          <w:lang w:val="fr-FR"/>
        </w:rPr>
        <w:t xml:space="preserve">En 2003, le </w:t>
      </w:r>
      <w:r w:rsidRPr="00AF434B">
        <w:rPr>
          <w:noProof/>
          <w:lang w:val="fr-FR"/>
        </w:rPr>
        <w:t xml:space="preserve">Portugal </w:t>
      </w:r>
      <w:r>
        <w:rPr>
          <w:noProof/>
          <w:lang w:val="fr-FR"/>
        </w:rPr>
        <w:t xml:space="preserve">a joué un rôle de </w:t>
      </w:r>
      <w:r w:rsidRPr="00AF434B">
        <w:rPr>
          <w:noProof/>
          <w:lang w:val="fr-FR"/>
        </w:rPr>
        <w:t>pion</w:t>
      </w:r>
      <w:r>
        <w:rPr>
          <w:noProof/>
          <w:lang w:val="fr-FR"/>
        </w:rPr>
        <w:t xml:space="preserve">nier en </w:t>
      </w:r>
      <w:r w:rsidRPr="00AF434B">
        <w:rPr>
          <w:noProof/>
          <w:lang w:val="fr-FR"/>
        </w:rPr>
        <w:t>Europe</w:t>
      </w:r>
      <w:r>
        <w:rPr>
          <w:noProof/>
          <w:lang w:val="fr-FR"/>
        </w:rPr>
        <w:t xml:space="preserve"> en créant le Réseau national d’appui à l’i</w:t>
      </w:r>
      <w:r w:rsidRPr="00AF434B">
        <w:rPr>
          <w:noProof/>
          <w:lang w:val="fr-FR"/>
        </w:rPr>
        <w:t>nt</w:t>
      </w:r>
      <w:r>
        <w:rPr>
          <w:noProof/>
          <w:lang w:val="fr-FR"/>
        </w:rPr>
        <w:t>é</w:t>
      </w:r>
      <w:r w:rsidRPr="00AF434B">
        <w:rPr>
          <w:noProof/>
          <w:lang w:val="fr-FR"/>
        </w:rPr>
        <w:t xml:space="preserve">gration </w:t>
      </w:r>
      <w:r>
        <w:rPr>
          <w:noProof/>
          <w:lang w:val="fr-FR"/>
        </w:rPr>
        <w:t>des</w:t>
      </w:r>
      <w:r w:rsidRPr="00AF434B">
        <w:rPr>
          <w:noProof/>
          <w:lang w:val="fr-FR"/>
        </w:rPr>
        <w:t xml:space="preserve"> </w:t>
      </w:r>
      <w:r>
        <w:rPr>
          <w:noProof/>
          <w:lang w:val="fr-FR"/>
        </w:rPr>
        <w:t>m</w:t>
      </w:r>
      <w:r w:rsidRPr="00AF434B">
        <w:rPr>
          <w:noProof/>
          <w:lang w:val="fr-FR"/>
        </w:rPr>
        <w:t xml:space="preserve">igrants </w:t>
      </w:r>
      <w:r>
        <w:rPr>
          <w:noProof/>
          <w:lang w:val="fr-FR"/>
        </w:rPr>
        <w:t>pour se mettre à l’écoute des communautés d’</w:t>
      </w:r>
      <w:r w:rsidRPr="00AF434B">
        <w:rPr>
          <w:noProof/>
          <w:lang w:val="fr-FR"/>
        </w:rPr>
        <w:t>immigrant</w:t>
      </w:r>
      <w:r>
        <w:rPr>
          <w:noProof/>
          <w:lang w:val="fr-FR"/>
        </w:rPr>
        <w:t>s</w:t>
      </w:r>
      <w:r w:rsidRPr="00AF434B">
        <w:rPr>
          <w:noProof/>
          <w:lang w:val="fr-FR"/>
        </w:rPr>
        <w:t xml:space="preserve"> </w:t>
      </w:r>
      <w:r>
        <w:rPr>
          <w:noProof/>
          <w:lang w:val="fr-FR"/>
        </w:rPr>
        <w:t>éparpillées dans le pays</w:t>
      </w:r>
      <w:r w:rsidRPr="00AF434B">
        <w:rPr>
          <w:noProof/>
          <w:lang w:val="fr-FR"/>
        </w:rPr>
        <w:t xml:space="preserve">. </w:t>
      </w:r>
      <w:r>
        <w:rPr>
          <w:noProof/>
          <w:lang w:val="fr-FR"/>
        </w:rPr>
        <w:t>E</w:t>
      </w:r>
      <w:r w:rsidRPr="00AF434B">
        <w:rPr>
          <w:noProof/>
          <w:lang w:val="fr-FR"/>
        </w:rPr>
        <w:t xml:space="preserve">n </w:t>
      </w:r>
      <w:r>
        <w:rPr>
          <w:noProof/>
          <w:lang w:val="fr-FR"/>
        </w:rPr>
        <w:t xml:space="preserve">juillet </w:t>
      </w:r>
      <w:r w:rsidRPr="00AF434B">
        <w:rPr>
          <w:noProof/>
          <w:lang w:val="fr-FR"/>
        </w:rPr>
        <w:t xml:space="preserve">2016, </w:t>
      </w:r>
      <w:r>
        <w:rPr>
          <w:noProof/>
          <w:lang w:val="fr-FR"/>
        </w:rPr>
        <w:t xml:space="preserve">le Gouvernement a redéfini, par l’ordonnance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noProof/>
          <w:lang w:val="fr-FR"/>
        </w:rPr>
        <w:t> </w:t>
      </w:r>
      <w:r w:rsidRPr="00AF434B">
        <w:rPr>
          <w:noProof/>
          <w:lang w:val="fr-FR"/>
        </w:rPr>
        <w:t xml:space="preserve">203/2016, </w:t>
      </w:r>
      <w:r>
        <w:rPr>
          <w:noProof/>
          <w:lang w:val="fr-FR"/>
        </w:rPr>
        <w:t>ce Réseau composé de trois Centres nationaux d’appui à l’intégration des migrants (</w:t>
      </w:r>
      <w:r w:rsidRPr="00AF434B">
        <w:rPr>
          <w:noProof/>
          <w:lang w:val="fr-FR"/>
        </w:rPr>
        <w:t>CNAIM</w:t>
      </w:r>
      <w:r>
        <w:rPr>
          <w:noProof/>
          <w:lang w:val="fr-FR"/>
        </w:rPr>
        <w:t>)</w:t>
      </w:r>
      <w:r w:rsidRPr="00AF434B">
        <w:rPr>
          <w:noProof/>
          <w:lang w:val="fr-FR"/>
        </w:rPr>
        <w:t xml:space="preserve"> </w:t>
      </w:r>
      <w:r>
        <w:rPr>
          <w:noProof/>
          <w:lang w:val="fr-FR"/>
        </w:rPr>
        <w:t xml:space="preserve">et de </w:t>
      </w:r>
      <w:r w:rsidRPr="00AF434B">
        <w:rPr>
          <w:noProof/>
          <w:lang w:val="fr-FR"/>
        </w:rPr>
        <w:t>98</w:t>
      </w:r>
      <w:r w:rsidR="00DE0409">
        <w:rPr>
          <w:noProof/>
          <w:lang w:val="fr-FR"/>
        </w:rPr>
        <w:t> </w:t>
      </w:r>
      <w:r>
        <w:rPr>
          <w:noProof/>
          <w:lang w:val="fr-FR"/>
        </w:rPr>
        <w:t>Centres locaux d’appui à l’intégration des migrants (</w:t>
      </w:r>
      <w:r w:rsidRPr="00AF434B">
        <w:rPr>
          <w:noProof/>
          <w:lang w:val="fr-FR"/>
        </w:rPr>
        <w:t>CLAIM</w:t>
      </w:r>
      <w:r>
        <w:rPr>
          <w:noProof/>
          <w:lang w:val="fr-FR"/>
        </w:rPr>
        <w:t xml:space="preserve">), dans le but de formuler une politique migratoire moderne et intégrée, qu’il s’agit de mieux adapter à la dynamique des migrations contemporaines et aux besoins actuels et de rendre plus inclusive en l’élargissant aux </w:t>
      </w:r>
      <w:r w:rsidRPr="00AF434B">
        <w:rPr>
          <w:noProof/>
          <w:lang w:val="fr-FR"/>
        </w:rPr>
        <w:t xml:space="preserve">immigrants </w:t>
      </w:r>
      <w:r>
        <w:rPr>
          <w:noProof/>
          <w:lang w:val="fr-FR"/>
        </w:rPr>
        <w:t>et aux réfugiés</w:t>
      </w:r>
      <w:r w:rsidRPr="00AF434B">
        <w:rPr>
          <w:noProof/>
          <w:lang w:val="fr-FR"/>
        </w:rPr>
        <w:t xml:space="preserve">. </w:t>
      </w:r>
      <w:r>
        <w:rPr>
          <w:noProof/>
          <w:lang w:val="fr-FR"/>
        </w:rPr>
        <w:t>Les médiateurs interculturels issus des différent</w:t>
      </w:r>
      <w:r w:rsidR="0064073D">
        <w:rPr>
          <w:noProof/>
          <w:lang w:val="fr-FR"/>
        </w:rPr>
        <w:t>e</w:t>
      </w:r>
      <w:r>
        <w:rPr>
          <w:noProof/>
          <w:lang w:val="fr-FR"/>
        </w:rPr>
        <w:t>s communautés d’</w:t>
      </w:r>
      <w:r w:rsidRPr="00AF434B">
        <w:rPr>
          <w:noProof/>
          <w:lang w:val="fr-FR"/>
        </w:rPr>
        <w:t>immigrant</w:t>
      </w:r>
      <w:r>
        <w:rPr>
          <w:noProof/>
          <w:lang w:val="fr-FR"/>
        </w:rPr>
        <w:t>s</w:t>
      </w:r>
      <w:r w:rsidRPr="00AF434B">
        <w:rPr>
          <w:noProof/>
          <w:lang w:val="fr-FR"/>
        </w:rPr>
        <w:t xml:space="preserve"> </w:t>
      </w:r>
      <w:r>
        <w:rPr>
          <w:noProof/>
          <w:lang w:val="fr-FR"/>
        </w:rPr>
        <w:t>jouent un rôle essentiel dans tous les services des CNAIM</w:t>
      </w:r>
      <w:r w:rsidRPr="00BB3DD1">
        <w:rPr>
          <w:rStyle w:val="Appelnotedebasdep"/>
        </w:rPr>
        <w:footnoteReference w:id="8"/>
      </w:r>
      <w:r>
        <w:rPr>
          <w:noProof/>
          <w:lang w:val="fr-FR"/>
        </w:rPr>
        <w:t>.</w:t>
      </w:r>
    </w:p>
    <w:p w14:paraId="01B7A2D8" w14:textId="77777777" w:rsidR="00BF0619" w:rsidRPr="00AF434B" w:rsidRDefault="00BF0619" w:rsidP="00BF0619">
      <w:pPr>
        <w:pStyle w:val="SingleTxtG"/>
        <w:rPr>
          <w:noProof/>
          <w:lang w:val="fr-FR"/>
        </w:rPr>
      </w:pPr>
      <w:r w:rsidRPr="00AF434B">
        <w:rPr>
          <w:noProof/>
          <w:lang w:val="fr-FR"/>
        </w:rPr>
        <w:t>34.</w:t>
      </w:r>
      <w:r w:rsidRPr="00AF434B">
        <w:rPr>
          <w:noProof/>
          <w:lang w:val="fr-FR"/>
        </w:rPr>
        <w:tab/>
      </w:r>
      <w:r>
        <w:rPr>
          <w:noProof/>
          <w:lang w:val="fr-FR"/>
        </w:rPr>
        <w:t xml:space="preserve">Chaque </w:t>
      </w:r>
      <w:r w:rsidRPr="00AF434B">
        <w:rPr>
          <w:noProof/>
          <w:lang w:val="fr-FR"/>
        </w:rPr>
        <w:t xml:space="preserve">CNAIM </w:t>
      </w:r>
      <w:r>
        <w:rPr>
          <w:noProof/>
          <w:lang w:val="fr-FR"/>
        </w:rPr>
        <w:t xml:space="preserve">regroupe sous une même enseigne divers services publics et privés fournis en plusieurs langues </w:t>
      </w:r>
      <w:r w:rsidRPr="00AF434B">
        <w:rPr>
          <w:noProof/>
          <w:lang w:val="fr-FR"/>
        </w:rPr>
        <w:t>(</w:t>
      </w:r>
      <w:r>
        <w:rPr>
          <w:noProof/>
          <w:lang w:val="fr-FR"/>
        </w:rPr>
        <w:t>anglais, a</w:t>
      </w:r>
      <w:r w:rsidRPr="00AF434B">
        <w:rPr>
          <w:noProof/>
          <w:lang w:val="fr-FR"/>
        </w:rPr>
        <w:t>rab</w:t>
      </w:r>
      <w:r>
        <w:rPr>
          <w:noProof/>
          <w:lang w:val="fr-FR"/>
        </w:rPr>
        <w:t>e</w:t>
      </w:r>
      <w:r w:rsidRPr="00AF434B">
        <w:rPr>
          <w:noProof/>
          <w:lang w:val="fr-FR"/>
        </w:rPr>
        <w:t xml:space="preserve">, </w:t>
      </w:r>
      <w:r>
        <w:rPr>
          <w:noProof/>
          <w:lang w:val="fr-FR"/>
        </w:rPr>
        <w:t>créole cap-verdien</w:t>
      </w:r>
      <w:r w:rsidRPr="00AF434B">
        <w:rPr>
          <w:noProof/>
          <w:lang w:val="fr-FR"/>
        </w:rPr>
        <w:t xml:space="preserve">, </w:t>
      </w:r>
      <w:r>
        <w:rPr>
          <w:noProof/>
          <w:lang w:val="fr-FR"/>
        </w:rPr>
        <w:t>créole de Guinée-Bissau</w:t>
      </w:r>
      <w:r w:rsidRPr="00AF434B">
        <w:rPr>
          <w:noProof/>
          <w:lang w:val="fr-FR"/>
        </w:rPr>
        <w:t xml:space="preserve">, </w:t>
      </w:r>
      <w:r>
        <w:rPr>
          <w:noProof/>
          <w:lang w:val="fr-FR"/>
        </w:rPr>
        <w:t>m</w:t>
      </w:r>
      <w:r w:rsidRPr="00AF434B">
        <w:rPr>
          <w:noProof/>
          <w:lang w:val="fr-FR"/>
        </w:rPr>
        <w:t xml:space="preserve">andarin, </w:t>
      </w:r>
      <w:r>
        <w:rPr>
          <w:noProof/>
          <w:lang w:val="fr-FR"/>
        </w:rPr>
        <w:t>p</w:t>
      </w:r>
      <w:r w:rsidRPr="00AF434B">
        <w:rPr>
          <w:noProof/>
          <w:lang w:val="fr-FR"/>
        </w:rPr>
        <w:t>ortug</w:t>
      </w:r>
      <w:r>
        <w:rPr>
          <w:noProof/>
          <w:lang w:val="fr-FR"/>
        </w:rPr>
        <w:t>ais</w:t>
      </w:r>
      <w:r w:rsidRPr="00AF434B">
        <w:rPr>
          <w:noProof/>
          <w:lang w:val="fr-FR"/>
        </w:rPr>
        <w:t xml:space="preserve">, </w:t>
      </w:r>
      <w:r>
        <w:rPr>
          <w:noProof/>
          <w:lang w:val="fr-FR"/>
        </w:rPr>
        <w:t>roumain et russe</w:t>
      </w:r>
      <w:r w:rsidRPr="00AF434B">
        <w:rPr>
          <w:noProof/>
          <w:lang w:val="fr-FR"/>
        </w:rPr>
        <w:t>)</w:t>
      </w:r>
      <w:r>
        <w:rPr>
          <w:noProof/>
          <w:lang w:val="fr-FR"/>
        </w:rPr>
        <w:t>. Ces services sont notamment les suivants</w:t>
      </w:r>
      <w:r w:rsidR="00DE0409">
        <w:rPr>
          <w:noProof/>
          <w:lang w:val="fr-FR"/>
        </w:rPr>
        <w:t> </w:t>
      </w:r>
      <w:r w:rsidRPr="00AF434B">
        <w:rPr>
          <w:noProof/>
          <w:lang w:val="fr-FR"/>
        </w:rPr>
        <w:t xml:space="preserve">: </w:t>
      </w:r>
      <w:r>
        <w:rPr>
          <w:noProof/>
          <w:lang w:val="fr-FR"/>
        </w:rPr>
        <w:t>fourniture d’</w:t>
      </w:r>
      <w:r w:rsidRPr="00AF434B">
        <w:rPr>
          <w:noProof/>
          <w:lang w:val="fr-FR"/>
        </w:rPr>
        <w:t>information</w:t>
      </w:r>
      <w:r>
        <w:rPr>
          <w:noProof/>
          <w:lang w:val="fr-FR"/>
        </w:rPr>
        <w:t>s</w:t>
      </w:r>
      <w:r w:rsidRPr="00AF434B">
        <w:rPr>
          <w:noProof/>
          <w:lang w:val="fr-FR"/>
        </w:rPr>
        <w:t xml:space="preserve"> </w:t>
      </w:r>
      <w:r>
        <w:rPr>
          <w:noProof/>
          <w:lang w:val="fr-FR"/>
        </w:rPr>
        <w:t>et d’une assistance directe pour les questions d’ordre juridique ou concernant les visas</w:t>
      </w:r>
      <w:r w:rsidRPr="00AF434B">
        <w:rPr>
          <w:noProof/>
          <w:lang w:val="fr-FR"/>
        </w:rPr>
        <w:t xml:space="preserve">, </w:t>
      </w:r>
      <w:r>
        <w:rPr>
          <w:noProof/>
          <w:lang w:val="fr-FR"/>
        </w:rPr>
        <w:t>regroupement familial</w:t>
      </w:r>
      <w:r w:rsidRPr="00AF434B">
        <w:rPr>
          <w:noProof/>
          <w:lang w:val="fr-FR"/>
        </w:rPr>
        <w:t xml:space="preserve">, </w:t>
      </w:r>
      <w:r>
        <w:rPr>
          <w:noProof/>
          <w:lang w:val="fr-FR"/>
        </w:rPr>
        <w:t>système éducatif</w:t>
      </w:r>
      <w:r w:rsidRPr="00AF434B">
        <w:rPr>
          <w:noProof/>
          <w:lang w:val="fr-FR"/>
        </w:rPr>
        <w:t>, acc</w:t>
      </w:r>
      <w:r>
        <w:rPr>
          <w:noProof/>
          <w:lang w:val="fr-FR"/>
        </w:rPr>
        <w:t>ès aux soins de santé</w:t>
      </w:r>
      <w:r w:rsidRPr="00AF434B">
        <w:rPr>
          <w:noProof/>
          <w:lang w:val="fr-FR"/>
        </w:rPr>
        <w:t xml:space="preserve">, </w:t>
      </w:r>
      <w:r>
        <w:rPr>
          <w:noProof/>
          <w:lang w:val="fr-FR"/>
        </w:rPr>
        <w:t>reconnaissance des compétences professionnelles et du niveau d’instruction</w:t>
      </w:r>
      <w:r w:rsidRPr="00AF434B">
        <w:rPr>
          <w:noProof/>
          <w:lang w:val="fr-FR"/>
        </w:rPr>
        <w:t xml:space="preserve">, </w:t>
      </w:r>
      <w:r>
        <w:rPr>
          <w:noProof/>
          <w:lang w:val="fr-FR"/>
        </w:rPr>
        <w:t>et questions relatives à la sécurité sociale et à l’aide sociale</w:t>
      </w:r>
      <w:r w:rsidRPr="00AF434B">
        <w:rPr>
          <w:noProof/>
          <w:lang w:val="fr-FR"/>
        </w:rPr>
        <w:t xml:space="preserve">. </w:t>
      </w:r>
      <w:r>
        <w:rPr>
          <w:noProof/>
          <w:lang w:val="fr-FR"/>
        </w:rPr>
        <w:t xml:space="preserve">Tous ces </w:t>
      </w:r>
      <w:r w:rsidRPr="00AF434B">
        <w:rPr>
          <w:noProof/>
          <w:lang w:val="fr-FR"/>
        </w:rPr>
        <w:t xml:space="preserve">services </w:t>
      </w:r>
      <w:r>
        <w:rPr>
          <w:noProof/>
          <w:lang w:val="fr-FR"/>
        </w:rPr>
        <w:t>sont gratuits</w:t>
      </w:r>
      <w:r w:rsidRPr="00AF434B">
        <w:rPr>
          <w:noProof/>
          <w:lang w:val="fr-FR"/>
        </w:rPr>
        <w:t xml:space="preserve">. </w:t>
      </w:r>
      <w:r>
        <w:rPr>
          <w:noProof/>
          <w:lang w:val="fr-FR"/>
        </w:rPr>
        <w:t xml:space="preserve">Depuis mars </w:t>
      </w:r>
      <w:r w:rsidRPr="00AF434B">
        <w:rPr>
          <w:noProof/>
          <w:lang w:val="fr-FR"/>
        </w:rPr>
        <w:t xml:space="preserve">2004, </w:t>
      </w:r>
      <w:r>
        <w:rPr>
          <w:noProof/>
          <w:lang w:val="fr-FR"/>
        </w:rPr>
        <w:t xml:space="preserve">ces centres ont géré plus de </w:t>
      </w:r>
      <w:r w:rsidRPr="00AF434B">
        <w:rPr>
          <w:noProof/>
          <w:lang w:val="fr-FR"/>
        </w:rPr>
        <w:t>4</w:t>
      </w:r>
      <w:r>
        <w:rPr>
          <w:noProof/>
          <w:lang w:val="fr-FR"/>
        </w:rPr>
        <w:t>,</w:t>
      </w:r>
      <w:r w:rsidRPr="00AF434B">
        <w:rPr>
          <w:noProof/>
          <w:lang w:val="fr-FR"/>
        </w:rPr>
        <w:t>5</w:t>
      </w:r>
      <w:r w:rsidR="00DE0409">
        <w:rPr>
          <w:noProof/>
          <w:lang w:val="fr-FR"/>
        </w:rPr>
        <w:t> </w:t>
      </w:r>
      <w:r>
        <w:rPr>
          <w:noProof/>
          <w:lang w:val="fr-FR"/>
        </w:rPr>
        <w:t>m</w:t>
      </w:r>
      <w:r w:rsidRPr="00AF434B">
        <w:rPr>
          <w:noProof/>
          <w:lang w:val="fr-FR"/>
        </w:rPr>
        <w:t>illion</w:t>
      </w:r>
      <w:r>
        <w:rPr>
          <w:noProof/>
          <w:lang w:val="fr-FR"/>
        </w:rPr>
        <w:t>s de dossiers</w:t>
      </w:r>
      <w:r w:rsidRPr="00BB3DD1">
        <w:rPr>
          <w:rStyle w:val="Appelnotedebasdep"/>
        </w:rPr>
        <w:footnoteReference w:id="9"/>
      </w:r>
      <w:r>
        <w:rPr>
          <w:noProof/>
          <w:lang w:val="fr-FR"/>
        </w:rPr>
        <w:t>.</w:t>
      </w:r>
      <w:r w:rsidRPr="00AF434B">
        <w:rPr>
          <w:noProof/>
          <w:lang w:val="fr-FR"/>
        </w:rPr>
        <w:t xml:space="preserve"> </w:t>
      </w:r>
      <w:r>
        <w:rPr>
          <w:noProof/>
          <w:lang w:val="fr-FR"/>
        </w:rPr>
        <w:t xml:space="preserve">Le réseau des </w:t>
      </w:r>
      <w:r w:rsidRPr="00AF434B">
        <w:rPr>
          <w:noProof/>
          <w:lang w:val="fr-FR"/>
        </w:rPr>
        <w:t>CNAIM (Lisbon</w:t>
      </w:r>
      <w:r>
        <w:rPr>
          <w:noProof/>
          <w:lang w:val="fr-FR"/>
        </w:rPr>
        <w:t>ne</w:t>
      </w:r>
      <w:r w:rsidRPr="00AF434B">
        <w:rPr>
          <w:noProof/>
          <w:lang w:val="fr-FR"/>
        </w:rPr>
        <w:t xml:space="preserve">, </w:t>
      </w:r>
      <w:r>
        <w:rPr>
          <w:noProof/>
          <w:lang w:val="fr-FR"/>
        </w:rPr>
        <w:t>P</w:t>
      </w:r>
      <w:r w:rsidRPr="00AF434B">
        <w:rPr>
          <w:noProof/>
          <w:lang w:val="fr-FR"/>
        </w:rPr>
        <w:t xml:space="preserve">orto </w:t>
      </w:r>
      <w:r>
        <w:rPr>
          <w:noProof/>
          <w:lang w:val="fr-FR"/>
        </w:rPr>
        <w:t>et</w:t>
      </w:r>
      <w:r w:rsidRPr="00AF434B">
        <w:rPr>
          <w:noProof/>
          <w:lang w:val="fr-FR"/>
        </w:rPr>
        <w:t xml:space="preserve"> Faro) </w:t>
      </w:r>
      <w:r>
        <w:rPr>
          <w:noProof/>
          <w:lang w:val="fr-FR"/>
        </w:rPr>
        <w:t>est fréquenté en moyenne par 1 100 personnes par jour</w:t>
      </w:r>
      <w:r w:rsidRPr="00AF434B">
        <w:rPr>
          <w:noProof/>
          <w:lang w:val="fr-FR"/>
        </w:rPr>
        <w:t>.</w:t>
      </w:r>
    </w:p>
    <w:p w14:paraId="7CEED876" w14:textId="77777777" w:rsidR="00BF0619" w:rsidRPr="00AF434B" w:rsidRDefault="00BF0619" w:rsidP="00BF0619">
      <w:pPr>
        <w:pStyle w:val="SingleTxtG"/>
        <w:rPr>
          <w:noProof/>
          <w:lang w:val="fr-FR"/>
        </w:rPr>
      </w:pPr>
      <w:r w:rsidRPr="00AF434B">
        <w:rPr>
          <w:noProof/>
          <w:lang w:val="fr-FR"/>
        </w:rPr>
        <w:t>35.</w:t>
      </w:r>
      <w:r w:rsidRPr="00AF434B">
        <w:rPr>
          <w:noProof/>
          <w:lang w:val="fr-FR"/>
        </w:rPr>
        <w:tab/>
      </w:r>
      <w:r>
        <w:rPr>
          <w:noProof/>
          <w:lang w:val="fr-FR"/>
        </w:rPr>
        <w:t xml:space="preserve">Les </w:t>
      </w:r>
      <w:r w:rsidRPr="00AF434B">
        <w:rPr>
          <w:noProof/>
          <w:lang w:val="fr-FR"/>
        </w:rPr>
        <w:t>98</w:t>
      </w:r>
      <w:r w:rsidR="00DE0409">
        <w:rPr>
          <w:noProof/>
          <w:lang w:val="fr-FR"/>
        </w:rPr>
        <w:t> </w:t>
      </w:r>
      <w:r w:rsidRPr="00AF434B">
        <w:rPr>
          <w:noProof/>
          <w:lang w:val="fr-FR"/>
        </w:rPr>
        <w:t xml:space="preserve">CLAIM </w:t>
      </w:r>
      <w:r>
        <w:rPr>
          <w:noProof/>
          <w:lang w:val="fr-FR"/>
        </w:rPr>
        <w:t>œuvrent en collaboration avec les municipalité</w:t>
      </w:r>
      <w:r w:rsidRPr="00AF434B">
        <w:rPr>
          <w:noProof/>
          <w:lang w:val="fr-FR"/>
        </w:rPr>
        <w:t xml:space="preserve">s </w:t>
      </w:r>
      <w:r>
        <w:rPr>
          <w:noProof/>
          <w:lang w:val="fr-FR"/>
        </w:rPr>
        <w:t>et les organisations de la société civile. Répartis sur la quasi-totalité du territoire portugais, ils constituent des sources décentralisées d’informations et d’appui desquelles les migrants peuvent obtenir des réponses à leurs questions et problèmes</w:t>
      </w:r>
      <w:r w:rsidRPr="00BB3DD1">
        <w:rPr>
          <w:rStyle w:val="Appelnotedebasdep"/>
        </w:rPr>
        <w:footnoteReference w:id="10"/>
      </w:r>
      <w:r w:rsidRPr="00AF434B">
        <w:rPr>
          <w:noProof/>
          <w:lang w:val="fr-FR"/>
        </w:rPr>
        <w:t>.</w:t>
      </w:r>
    </w:p>
    <w:p w14:paraId="71F31636" w14:textId="77777777" w:rsidR="00BF0619" w:rsidRPr="00AF434B" w:rsidRDefault="00BF0619" w:rsidP="00BF0619">
      <w:pPr>
        <w:pStyle w:val="SingleTxtG"/>
        <w:rPr>
          <w:noProof/>
          <w:lang w:val="fr-FR"/>
        </w:rPr>
      </w:pPr>
      <w:r w:rsidRPr="00AF434B">
        <w:rPr>
          <w:noProof/>
          <w:lang w:val="fr-FR"/>
        </w:rPr>
        <w:t>36.</w:t>
      </w:r>
      <w:r w:rsidRPr="00AF434B">
        <w:rPr>
          <w:noProof/>
          <w:lang w:val="fr-FR"/>
        </w:rPr>
        <w:tab/>
      </w:r>
      <w:r>
        <w:rPr>
          <w:noProof/>
          <w:lang w:val="fr-FR"/>
        </w:rPr>
        <w:t xml:space="preserve">En 2014, le </w:t>
      </w:r>
      <w:r w:rsidRPr="00AF434B">
        <w:rPr>
          <w:noProof/>
          <w:lang w:val="fr-FR"/>
        </w:rPr>
        <w:t xml:space="preserve">Portugal </w:t>
      </w:r>
      <w:r>
        <w:rPr>
          <w:noProof/>
          <w:lang w:val="fr-FR"/>
        </w:rPr>
        <w:t xml:space="preserve">a exhorté les municipalités à élaborer, sur le modèle des plans nationaux, des plans municipaux partant de la base et reposant sur une forte </w:t>
      </w:r>
      <w:r w:rsidRPr="00AF434B">
        <w:rPr>
          <w:noProof/>
          <w:lang w:val="fr-FR"/>
        </w:rPr>
        <w:t xml:space="preserve">participation </w:t>
      </w:r>
      <w:r>
        <w:rPr>
          <w:noProof/>
          <w:lang w:val="fr-FR"/>
        </w:rPr>
        <w:t xml:space="preserve">des communautés de migrants et d’entités privées compétentes en matière de migrations </w:t>
      </w:r>
      <w:r w:rsidRPr="00AF434B">
        <w:rPr>
          <w:noProof/>
          <w:lang w:val="fr-FR"/>
        </w:rPr>
        <w:t>(</w:t>
      </w:r>
      <w:r>
        <w:rPr>
          <w:noProof/>
          <w:lang w:val="fr-FR"/>
        </w:rPr>
        <w:t>première géné</w:t>
      </w:r>
      <w:r w:rsidRPr="00AF434B">
        <w:rPr>
          <w:noProof/>
          <w:lang w:val="fr-FR"/>
        </w:rPr>
        <w:t xml:space="preserve">ration </w:t>
      </w:r>
      <w:r>
        <w:rPr>
          <w:noProof/>
          <w:lang w:val="fr-FR"/>
        </w:rPr>
        <w:t>de</w:t>
      </w:r>
      <w:r w:rsidRPr="00AF434B">
        <w:rPr>
          <w:noProof/>
          <w:lang w:val="fr-FR"/>
        </w:rPr>
        <w:t xml:space="preserve"> </w:t>
      </w:r>
      <w:r>
        <w:rPr>
          <w:noProof/>
          <w:lang w:val="fr-FR"/>
        </w:rPr>
        <w:t>p</w:t>
      </w:r>
      <w:r w:rsidRPr="00AF434B">
        <w:rPr>
          <w:noProof/>
          <w:lang w:val="fr-FR"/>
        </w:rPr>
        <w:t>lans 2015</w:t>
      </w:r>
      <w:r>
        <w:rPr>
          <w:noProof/>
          <w:lang w:val="fr-FR"/>
        </w:rPr>
        <w:t>-</w:t>
      </w:r>
      <w:r w:rsidRPr="00AF434B">
        <w:rPr>
          <w:noProof/>
          <w:lang w:val="fr-FR"/>
        </w:rPr>
        <w:t>2017/</w:t>
      </w:r>
      <w:r>
        <w:rPr>
          <w:noProof/>
          <w:lang w:val="fr-FR"/>
        </w:rPr>
        <w:t xml:space="preserve">deuxième génération </w:t>
      </w:r>
      <w:r w:rsidRPr="00AF434B">
        <w:rPr>
          <w:noProof/>
          <w:lang w:val="fr-FR"/>
        </w:rPr>
        <w:t>2018</w:t>
      </w:r>
      <w:r>
        <w:rPr>
          <w:noProof/>
          <w:lang w:val="fr-FR"/>
        </w:rPr>
        <w:t>-</w:t>
      </w:r>
      <w:r w:rsidRPr="00AF434B">
        <w:rPr>
          <w:noProof/>
          <w:lang w:val="fr-FR"/>
        </w:rPr>
        <w:t>2020</w:t>
      </w:r>
      <w:r>
        <w:rPr>
          <w:noProof/>
          <w:lang w:val="fr-FR"/>
        </w:rPr>
        <w:t>, pour un t</w:t>
      </w:r>
      <w:r w:rsidRPr="00AF434B">
        <w:rPr>
          <w:noProof/>
          <w:lang w:val="fr-FR"/>
        </w:rPr>
        <w:t xml:space="preserve">otal </w:t>
      </w:r>
      <w:r>
        <w:rPr>
          <w:noProof/>
          <w:lang w:val="fr-FR"/>
        </w:rPr>
        <w:t>de 38 municipalités</w:t>
      </w:r>
      <w:r w:rsidRPr="00AF434B">
        <w:rPr>
          <w:noProof/>
          <w:lang w:val="fr-FR"/>
        </w:rPr>
        <w:t>).</w:t>
      </w:r>
    </w:p>
    <w:p w14:paraId="15A80364" w14:textId="77777777" w:rsidR="00BF0619" w:rsidRPr="00AF434B" w:rsidRDefault="00BF0619" w:rsidP="00BF0619">
      <w:pPr>
        <w:pStyle w:val="SingleTxtG"/>
        <w:rPr>
          <w:noProof/>
          <w:lang w:val="fr-FR"/>
        </w:rPr>
      </w:pPr>
      <w:r w:rsidRPr="00AF434B">
        <w:rPr>
          <w:noProof/>
          <w:lang w:val="fr-FR"/>
        </w:rPr>
        <w:t>37.</w:t>
      </w:r>
      <w:r w:rsidRPr="00AF434B">
        <w:rPr>
          <w:noProof/>
          <w:lang w:val="fr-FR"/>
        </w:rPr>
        <w:tab/>
      </w:r>
      <w:r>
        <w:rPr>
          <w:noProof/>
          <w:lang w:val="fr-FR"/>
        </w:rPr>
        <w:t xml:space="preserve">Dans le </w:t>
      </w:r>
      <w:r w:rsidRPr="00AF434B">
        <w:rPr>
          <w:noProof/>
          <w:lang w:val="fr-FR"/>
        </w:rPr>
        <w:t>context</w:t>
      </w:r>
      <w:r>
        <w:rPr>
          <w:noProof/>
          <w:lang w:val="fr-FR"/>
        </w:rPr>
        <w:t xml:space="preserve">e des arrivées en </w:t>
      </w:r>
      <w:r w:rsidRPr="00AF434B">
        <w:rPr>
          <w:noProof/>
          <w:lang w:val="fr-FR"/>
        </w:rPr>
        <w:t>mass</w:t>
      </w:r>
      <w:r>
        <w:rPr>
          <w:noProof/>
          <w:lang w:val="fr-FR"/>
        </w:rPr>
        <w:t xml:space="preserve">e de </w:t>
      </w:r>
      <w:r w:rsidRPr="00AF434B">
        <w:rPr>
          <w:noProof/>
          <w:lang w:val="fr-FR"/>
        </w:rPr>
        <w:t>r</w:t>
      </w:r>
      <w:r>
        <w:rPr>
          <w:noProof/>
          <w:lang w:val="fr-FR"/>
        </w:rPr>
        <w:t>é</w:t>
      </w:r>
      <w:r w:rsidRPr="00AF434B">
        <w:rPr>
          <w:noProof/>
          <w:lang w:val="fr-FR"/>
        </w:rPr>
        <w:t>fug</w:t>
      </w:r>
      <w:r>
        <w:rPr>
          <w:noProof/>
          <w:lang w:val="fr-FR"/>
        </w:rPr>
        <w:t>ié</w:t>
      </w:r>
      <w:r w:rsidRPr="00AF434B">
        <w:rPr>
          <w:noProof/>
          <w:lang w:val="fr-FR"/>
        </w:rPr>
        <w:t xml:space="preserve">s </w:t>
      </w:r>
      <w:r>
        <w:rPr>
          <w:noProof/>
          <w:lang w:val="fr-FR"/>
        </w:rPr>
        <w:t>e</w:t>
      </w:r>
      <w:r w:rsidRPr="00AF434B">
        <w:rPr>
          <w:noProof/>
          <w:lang w:val="fr-FR"/>
        </w:rPr>
        <w:t xml:space="preserve">n Europe, </w:t>
      </w:r>
      <w:r>
        <w:rPr>
          <w:noProof/>
          <w:lang w:val="fr-FR"/>
        </w:rPr>
        <w:t xml:space="preserve">le </w:t>
      </w:r>
      <w:r w:rsidRPr="00AF434B">
        <w:rPr>
          <w:noProof/>
          <w:lang w:val="fr-FR"/>
        </w:rPr>
        <w:t xml:space="preserve">Portugal </w:t>
      </w:r>
      <w:r>
        <w:rPr>
          <w:noProof/>
          <w:lang w:val="fr-FR"/>
        </w:rPr>
        <w:t xml:space="preserve">s’est mobilisé pour faire face à cette crise </w:t>
      </w:r>
      <w:r w:rsidRPr="00AF434B">
        <w:rPr>
          <w:noProof/>
          <w:lang w:val="fr-FR"/>
        </w:rPr>
        <w:t>humanita</w:t>
      </w:r>
      <w:r>
        <w:rPr>
          <w:noProof/>
          <w:lang w:val="fr-FR"/>
        </w:rPr>
        <w:t xml:space="preserve">ire en s’engageant à accueillir un nombre élevé de réfugiés eu égard à l’effectif total de sa </w:t>
      </w:r>
      <w:r w:rsidRPr="00AF434B">
        <w:rPr>
          <w:noProof/>
          <w:lang w:val="fr-FR"/>
        </w:rPr>
        <w:t>population (10,5</w:t>
      </w:r>
      <w:r w:rsidR="00DE0409">
        <w:rPr>
          <w:noProof/>
          <w:lang w:val="fr-FR"/>
        </w:rPr>
        <w:t> </w:t>
      </w:r>
      <w:r w:rsidRPr="00AF434B">
        <w:rPr>
          <w:noProof/>
          <w:lang w:val="fr-FR"/>
        </w:rPr>
        <w:t>million</w:t>
      </w:r>
      <w:r>
        <w:rPr>
          <w:noProof/>
          <w:lang w:val="fr-FR"/>
        </w:rPr>
        <w:t>s</w:t>
      </w:r>
      <w:r w:rsidRPr="00AF434B">
        <w:rPr>
          <w:noProof/>
          <w:lang w:val="fr-FR"/>
        </w:rPr>
        <w:t xml:space="preserve"> </w:t>
      </w:r>
      <w:r>
        <w:rPr>
          <w:noProof/>
          <w:lang w:val="fr-FR"/>
        </w:rPr>
        <w:t xml:space="preserve">selon le recensement de </w:t>
      </w:r>
      <w:r w:rsidRPr="00AF434B">
        <w:rPr>
          <w:noProof/>
          <w:lang w:val="fr-FR"/>
        </w:rPr>
        <w:t xml:space="preserve">2011). </w:t>
      </w:r>
      <w:r>
        <w:rPr>
          <w:noProof/>
          <w:lang w:val="fr-FR"/>
        </w:rPr>
        <w:t xml:space="preserve">Entre décembre </w:t>
      </w:r>
      <w:r w:rsidRPr="00AF434B">
        <w:rPr>
          <w:noProof/>
          <w:lang w:val="fr-FR"/>
        </w:rPr>
        <w:t xml:space="preserve">2015 </w:t>
      </w:r>
      <w:r>
        <w:rPr>
          <w:noProof/>
          <w:lang w:val="fr-FR"/>
        </w:rPr>
        <w:t>et la fin de septembre</w:t>
      </w:r>
      <w:r w:rsidRPr="00AF434B">
        <w:rPr>
          <w:noProof/>
          <w:lang w:val="fr-FR"/>
        </w:rPr>
        <w:t xml:space="preserve"> 2018, </w:t>
      </w:r>
      <w:r>
        <w:rPr>
          <w:noProof/>
          <w:lang w:val="fr-FR"/>
        </w:rPr>
        <w:t xml:space="preserve">il a accueilli </w:t>
      </w:r>
      <w:r w:rsidRPr="00AF434B">
        <w:rPr>
          <w:noProof/>
          <w:lang w:val="fr-FR"/>
        </w:rPr>
        <w:t>1</w:t>
      </w:r>
      <w:r w:rsidR="0064073D">
        <w:rPr>
          <w:noProof/>
          <w:lang w:val="fr-FR"/>
        </w:rPr>
        <w:t> </w:t>
      </w:r>
      <w:r w:rsidRPr="00AF434B">
        <w:rPr>
          <w:noProof/>
          <w:lang w:val="fr-FR"/>
        </w:rPr>
        <w:t>697</w:t>
      </w:r>
      <w:r w:rsidR="0064073D">
        <w:rPr>
          <w:noProof/>
          <w:lang w:val="fr-FR"/>
        </w:rPr>
        <w:t> </w:t>
      </w:r>
      <w:r w:rsidRPr="00AF434B">
        <w:rPr>
          <w:noProof/>
          <w:lang w:val="fr-FR"/>
        </w:rPr>
        <w:t>r</w:t>
      </w:r>
      <w:r>
        <w:rPr>
          <w:noProof/>
          <w:lang w:val="fr-FR"/>
        </w:rPr>
        <w:t>é</w:t>
      </w:r>
      <w:r w:rsidRPr="00AF434B">
        <w:rPr>
          <w:noProof/>
          <w:lang w:val="fr-FR"/>
        </w:rPr>
        <w:t>fug</w:t>
      </w:r>
      <w:r>
        <w:rPr>
          <w:noProof/>
          <w:lang w:val="fr-FR"/>
        </w:rPr>
        <w:t xml:space="preserve">iés </w:t>
      </w:r>
      <w:r w:rsidRPr="00AF434B">
        <w:rPr>
          <w:noProof/>
          <w:lang w:val="fr-FR"/>
        </w:rPr>
        <w:t>(1</w:t>
      </w:r>
      <w:r w:rsidR="00DE0409">
        <w:rPr>
          <w:noProof/>
          <w:lang w:val="fr-FR"/>
        </w:rPr>
        <w:t> </w:t>
      </w:r>
      <w:r w:rsidRPr="00AF434B">
        <w:rPr>
          <w:noProof/>
          <w:lang w:val="fr-FR"/>
        </w:rPr>
        <w:t xml:space="preserve">066 </w:t>
      </w:r>
      <w:r>
        <w:rPr>
          <w:noProof/>
          <w:lang w:val="fr-FR"/>
        </w:rPr>
        <w:t xml:space="preserve">hommes et </w:t>
      </w:r>
      <w:r w:rsidRPr="00AF434B">
        <w:rPr>
          <w:noProof/>
          <w:lang w:val="fr-FR"/>
        </w:rPr>
        <w:t>631</w:t>
      </w:r>
      <w:r w:rsidR="00DE0409">
        <w:rPr>
          <w:noProof/>
          <w:lang w:val="fr-FR"/>
        </w:rPr>
        <w:t> </w:t>
      </w:r>
      <w:r>
        <w:rPr>
          <w:noProof/>
          <w:lang w:val="fr-FR"/>
        </w:rPr>
        <w:t xml:space="preserve">femmes, venus principalement de </w:t>
      </w:r>
      <w:r w:rsidRPr="00AF434B">
        <w:rPr>
          <w:noProof/>
          <w:lang w:val="fr-FR"/>
        </w:rPr>
        <w:t>Syri</w:t>
      </w:r>
      <w:r>
        <w:rPr>
          <w:noProof/>
          <w:lang w:val="fr-FR"/>
        </w:rPr>
        <w:t>e</w:t>
      </w:r>
      <w:r w:rsidRPr="00AF434B">
        <w:rPr>
          <w:noProof/>
          <w:lang w:val="fr-FR"/>
        </w:rPr>
        <w:t xml:space="preserve">, </w:t>
      </w:r>
      <w:r>
        <w:rPr>
          <w:noProof/>
          <w:lang w:val="fr-FR"/>
        </w:rPr>
        <w:t>d’</w:t>
      </w:r>
      <w:r w:rsidRPr="00AF434B">
        <w:rPr>
          <w:noProof/>
          <w:lang w:val="fr-FR"/>
        </w:rPr>
        <w:t xml:space="preserve">Iraq </w:t>
      </w:r>
      <w:r>
        <w:rPr>
          <w:noProof/>
          <w:lang w:val="fr-FR"/>
        </w:rPr>
        <w:t>et</w:t>
      </w:r>
      <w:r w:rsidRPr="00AF434B">
        <w:rPr>
          <w:noProof/>
          <w:lang w:val="fr-FR"/>
        </w:rPr>
        <w:t xml:space="preserve"> </w:t>
      </w:r>
      <w:r>
        <w:rPr>
          <w:noProof/>
          <w:lang w:val="fr-FR"/>
        </w:rPr>
        <w:t>d’Érythrée</w:t>
      </w:r>
      <w:r w:rsidRPr="00AF434B">
        <w:rPr>
          <w:noProof/>
          <w:lang w:val="fr-FR"/>
        </w:rPr>
        <w:t>).</w:t>
      </w:r>
    </w:p>
    <w:p w14:paraId="6996CAD9" w14:textId="77777777" w:rsidR="00BF0619" w:rsidRPr="00AF434B" w:rsidRDefault="00BF0619" w:rsidP="00BF0619">
      <w:pPr>
        <w:pStyle w:val="SingleTxtG"/>
        <w:rPr>
          <w:noProof/>
          <w:lang w:val="fr-FR"/>
        </w:rPr>
      </w:pPr>
      <w:r w:rsidRPr="00AF434B">
        <w:rPr>
          <w:noProof/>
          <w:lang w:val="fr-FR"/>
        </w:rPr>
        <w:t>38.</w:t>
      </w:r>
      <w:r w:rsidRPr="00AF434B">
        <w:rPr>
          <w:noProof/>
          <w:lang w:val="fr-FR"/>
        </w:rPr>
        <w:tab/>
      </w:r>
      <w:r>
        <w:rPr>
          <w:noProof/>
          <w:lang w:val="fr-FR"/>
        </w:rPr>
        <w:t>Le Haut-Commissariat pour les migrations a été investi en septembre 2015, conformément à l’Agenda européen en matière de migration, de la responsabilité de l’accueil des réfugiés dans le cadre d’un groupe de travail national pluri-institutionnel créé à cette fin</w:t>
      </w:r>
      <w:r w:rsidRPr="00AF434B">
        <w:rPr>
          <w:noProof/>
          <w:lang w:val="fr-FR"/>
        </w:rPr>
        <w:t xml:space="preserve">. </w:t>
      </w:r>
    </w:p>
    <w:p w14:paraId="58F0D786" w14:textId="77777777" w:rsidR="00BF0619" w:rsidRPr="00AF434B" w:rsidRDefault="00BF0619" w:rsidP="00BF0619">
      <w:pPr>
        <w:pStyle w:val="SingleTxtG"/>
        <w:rPr>
          <w:noProof/>
          <w:lang w:val="fr-FR"/>
        </w:rPr>
      </w:pPr>
      <w:r w:rsidRPr="00AF434B">
        <w:rPr>
          <w:noProof/>
          <w:lang w:val="fr-FR"/>
        </w:rPr>
        <w:t>39.</w:t>
      </w:r>
      <w:r w:rsidRPr="00AF434B">
        <w:rPr>
          <w:noProof/>
          <w:lang w:val="fr-FR"/>
        </w:rPr>
        <w:tab/>
      </w:r>
      <w:r>
        <w:rPr>
          <w:noProof/>
          <w:lang w:val="fr-FR"/>
        </w:rPr>
        <w:t xml:space="preserve">Au sein de ce groupe de travail, le Haut-Commissariat a entrepris de mobiliser l’opinion publique en la sensibilisant à la situation des réfugiés et de coopérer avec la société civile et les municipalités pour rassembler des propositions concernant l’accueil des réfugiés et d’autres aspects importants à l’appui de l’intégration des réfugiés, notamment les réfugiés transférés, réinstallés et </w:t>
      </w:r>
      <w:r w:rsidRPr="00AF434B">
        <w:rPr>
          <w:noProof/>
          <w:lang w:val="fr-FR"/>
        </w:rPr>
        <w:t>spontan</w:t>
      </w:r>
      <w:r>
        <w:rPr>
          <w:noProof/>
          <w:lang w:val="fr-FR"/>
        </w:rPr>
        <w:t>é</w:t>
      </w:r>
      <w:r w:rsidRPr="00AF434B">
        <w:rPr>
          <w:noProof/>
          <w:lang w:val="fr-FR"/>
        </w:rPr>
        <w:t xml:space="preserve">s </w:t>
      </w:r>
      <w:r>
        <w:rPr>
          <w:noProof/>
          <w:lang w:val="fr-FR"/>
        </w:rPr>
        <w:t xml:space="preserve">ayant besoin d’une protection </w:t>
      </w:r>
      <w:r w:rsidRPr="00AF434B">
        <w:rPr>
          <w:noProof/>
          <w:lang w:val="fr-FR"/>
        </w:rPr>
        <w:t>international</w:t>
      </w:r>
      <w:r>
        <w:rPr>
          <w:noProof/>
          <w:lang w:val="fr-FR"/>
        </w:rPr>
        <w:t>e</w:t>
      </w:r>
      <w:r w:rsidRPr="00AF434B">
        <w:rPr>
          <w:noProof/>
          <w:lang w:val="fr-FR"/>
        </w:rPr>
        <w:t xml:space="preserve">. </w:t>
      </w:r>
    </w:p>
    <w:p w14:paraId="2A8910B7" w14:textId="77777777" w:rsidR="00BF0619" w:rsidRPr="00AF434B" w:rsidRDefault="00BF0619" w:rsidP="00BF0619">
      <w:pPr>
        <w:pStyle w:val="SingleTxtG"/>
        <w:rPr>
          <w:noProof/>
          <w:lang w:val="fr-FR"/>
        </w:rPr>
      </w:pPr>
      <w:r w:rsidRPr="00AF434B">
        <w:rPr>
          <w:noProof/>
          <w:lang w:val="fr-FR"/>
        </w:rPr>
        <w:t>40.</w:t>
      </w:r>
      <w:r w:rsidRPr="00AF434B">
        <w:rPr>
          <w:noProof/>
          <w:lang w:val="fr-FR"/>
        </w:rPr>
        <w:tab/>
      </w:r>
      <w:r>
        <w:rPr>
          <w:noProof/>
          <w:lang w:val="fr-FR"/>
        </w:rPr>
        <w:t>Conformément à la règle a</w:t>
      </w:r>
      <w:r w:rsidRPr="00AF434B">
        <w:rPr>
          <w:noProof/>
          <w:lang w:val="fr-FR"/>
        </w:rPr>
        <w:t xml:space="preserve">dministrative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rFonts w:eastAsia="MS Mincho"/>
          <w:noProof/>
          <w:szCs w:val="22"/>
          <w:vertAlign w:val="superscript"/>
          <w:lang w:val="fr-FR"/>
        </w:rPr>
        <w:t> </w:t>
      </w:r>
      <w:r w:rsidRPr="00AF434B">
        <w:rPr>
          <w:noProof/>
          <w:lang w:val="fr-FR"/>
        </w:rPr>
        <w:t xml:space="preserve">203/2016 </w:t>
      </w:r>
      <w:r>
        <w:rPr>
          <w:noProof/>
          <w:lang w:val="fr-FR"/>
        </w:rPr>
        <w:t xml:space="preserve">du </w:t>
      </w:r>
      <w:r w:rsidRPr="00AF434B">
        <w:rPr>
          <w:noProof/>
          <w:lang w:val="fr-FR"/>
        </w:rPr>
        <w:t>25</w:t>
      </w:r>
      <w:r w:rsidR="00DE0409">
        <w:rPr>
          <w:noProof/>
          <w:lang w:val="fr-FR"/>
        </w:rPr>
        <w:t> </w:t>
      </w:r>
      <w:r>
        <w:rPr>
          <w:noProof/>
          <w:lang w:val="fr-FR"/>
        </w:rPr>
        <w:t>juillet</w:t>
      </w:r>
      <w:r w:rsidRPr="00AF434B">
        <w:rPr>
          <w:noProof/>
          <w:lang w:val="fr-FR"/>
        </w:rPr>
        <w:t xml:space="preserve">, </w:t>
      </w:r>
      <w:r>
        <w:rPr>
          <w:noProof/>
          <w:lang w:val="fr-FR"/>
        </w:rPr>
        <w:t xml:space="preserve">les </w:t>
      </w:r>
      <w:r w:rsidRPr="00AF434B">
        <w:rPr>
          <w:noProof/>
          <w:lang w:val="fr-FR"/>
        </w:rPr>
        <w:t xml:space="preserve">services </w:t>
      </w:r>
      <w:r>
        <w:rPr>
          <w:noProof/>
          <w:lang w:val="fr-FR"/>
        </w:rPr>
        <w:t>du Haut-Commissariat</w:t>
      </w:r>
      <w:r w:rsidRPr="00AF434B">
        <w:rPr>
          <w:noProof/>
          <w:lang w:val="fr-FR"/>
        </w:rPr>
        <w:t xml:space="preserve">, </w:t>
      </w:r>
      <w:r>
        <w:rPr>
          <w:noProof/>
          <w:lang w:val="fr-FR"/>
        </w:rPr>
        <w:t>e</w:t>
      </w:r>
      <w:r w:rsidRPr="00AF434B">
        <w:rPr>
          <w:noProof/>
          <w:lang w:val="fr-FR"/>
        </w:rPr>
        <w:t>n particul</w:t>
      </w:r>
      <w:r>
        <w:rPr>
          <w:noProof/>
          <w:lang w:val="fr-FR"/>
        </w:rPr>
        <w:t>ier les centres nationaux et locaux d’appui à l’intégration des migrants</w:t>
      </w:r>
      <w:r w:rsidRPr="00AF434B">
        <w:rPr>
          <w:noProof/>
          <w:lang w:val="fr-FR"/>
        </w:rPr>
        <w:t xml:space="preserve"> (</w:t>
      </w:r>
      <w:r>
        <w:rPr>
          <w:noProof/>
          <w:lang w:val="fr-FR"/>
        </w:rPr>
        <w:t xml:space="preserve">les </w:t>
      </w:r>
      <w:r w:rsidRPr="00AF434B">
        <w:rPr>
          <w:noProof/>
          <w:lang w:val="fr-FR"/>
        </w:rPr>
        <w:t xml:space="preserve">CNAIM </w:t>
      </w:r>
      <w:r>
        <w:rPr>
          <w:noProof/>
          <w:lang w:val="fr-FR"/>
        </w:rPr>
        <w:t xml:space="preserve">et les </w:t>
      </w:r>
      <w:r w:rsidRPr="00AF434B">
        <w:rPr>
          <w:noProof/>
          <w:lang w:val="fr-FR"/>
        </w:rPr>
        <w:t>CLAIM)</w:t>
      </w:r>
      <w:r>
        <w:rPr>
          <w:noProof/>
          <w:lang w:val="fr-FR"/>
        </w:rPr>
        <w:t>,</w:t>
      </w:r>
      <w:r w:rsidRPr="00AF434B">
        <w:rPr>
          <w:noProof/>
          <w:lang w:val="fr-FR"/>
        </w:rPr>
        <w:t xml:space="preserve"> </w:t>
      </w:r>
      <w:r>
        <w:rPr>
          <w:noProof/>
          <w:lang w:val="fr-FR"/>
        </w:rPr>
        <w:t>ont été réorganisés et adaptés de manière à pouvoir fournir aux réfugiés transférés, réinstallés et spontanés des services correspondant à leurs besoins</w:t>
      </w:r>
      <w:r w:rsidRPr="00AF434B">
        <w:rPr>
          <w:noProof/>
          <w:lang w:val="fr-FR"/>
        </w:rPr>
        <w:t xml:space="preserve">. </w:t>
      </w:r>
      <w:r>
        <w:rPr>
          <w:noProof/>
          <w:lang w:val="fr-FR"/>
        </w:rPr>
        <w:t>On a créé une Unité d’appui à l’i</w:t>
      </w:r>
      <w:r w:rsidRPr="00AF434B">
        <w:rPr>
          <w:noProof/>
          <w:lang w:val="fr-FR"/>
        </w:rPr>
        <w:t>nt</w:t>
      </w:r>
      <w:r>
        <w:rPr>
          <w:noProof/>
          <w:lang w:val="fr-FR"/>
        </w:rPr>
        <w:t>é</w:t>
      </w:r>
      <w:r w:rsidRPr="00AF434B">
        <w:rPr>
          <w:noProof/>
          <w:lang w:val="fr-FR"/>
        </w:rPr>
        <w:t xml:space="preserve">gration </w:t>
      </w:r>
      <w:r>
        <w:rPr>
          <w:noProof/>
          <w:lang w:val="fr-FR"/>
        </w:rPr>
        <w:t>des réfugiés chargée de mettre en œuvre les politiques d’accueil et d’intégration des réfugiés et des bénéficiaires de la protection internationale</w:t>
      </w:r>
      <w:r w:rsidRPr="00AF434B">
        <w:rPr>
          <w:noProof/>
          <w:lang w:val="fr-FR"/>
        </w:rPr>
        <w:t xml:space="preserve">. </w:t>
      </w:r>
    </w:p>
    <w:p w14:paraId="6752F892" w14:textId="77777777" w:rsidR="00BF0619" w:rsidRPr="00AF434B" w:rsidRDefault="00BF0619" w:rsidP="00BF0619">
      <w:pPr>
        <w:pStyle w:val="SingleTxtG"/>
        <w:rPr>
          <w:noProof/>
          <w:lang w:val="fr-FR"/>
        </w:rPr>
      </w:pPr>
      <w:r w:rsidRPr="00AF434B">
        <w:rPr>
          <w:noProof/>
          <w:lang w:val="fr-FR"/>
        </w:rPr>
        <w:t>41.</w:t>
      </w:r>
      <w:r w:rsidRPr="00AF434B">
        <w:rPr>
          <w:noProof/>
          <w:lang w:val="fr-FR"/>
        </w:rPr>
        <w:tab/>
      </w:r>
      <w:r>
        <w:rPr>
          <w:noProof/>
          <w:lang w:val="fr-FR"/>
        </w:rPr>
        <w:t>Le Haut-Commissariat</w:t>
      </w:r>
      <w:r w:rsidRPr="00AF434B">
        <w:rPr>
          <w:noProof/>
          <w:lang w:val="fr-FR"/>
        </w:rPr>
        <w:t xml:space="preserve"> </w:t>
      </w:r>
      <w:r>
        <w:rPr>
          <w:noProof/>
          <w:lang w:val="fr-FR"/>
        </w:rPr>
        <w:t>a élaboré un kit de bienvenue pour les réfugiés</w:t>
      </w:r>
      <w:r w:rsidRPr="00BB3DD1">
        <w:rPr>
          <w:rStyle w:val="Appelnotedebasdep"/>
        </w:rPr>
        <w:footnoteReference w:id="11"/>
      </w:r>
      <w:r>
        <w:rPr>
          <w:noProof/>
          <w:lang w:val="fr-FR"/>
        </w:rPr>
        <w:t xml:space="preserve">, qui contient des </w:t>
      </w:r>
      <w:r w:rsidRPr="00AF434B">
        <w:rPr>
          <w:noProof/>
          <w:lang w:val="fr-FR"/>
        </w:rPr>
        <w:t>information</w:t>
      </w:r>
      <w:r>
        <w:rPr>
          <w:noProof/>
          <w:lang w:val="fr-FR"/>
        </w:rPr>
        <w:t>s sur le</w:t>
      </w:r>
      <w:r w:rsidRPr="00AF434B">
        <w:rPr>
          <w:noProof/>
          <w:lang w:val="fr-FR"/>
        </w:rPr>
        <w:t xml:space="preserve"> Portugal, a</w:t>
      </w:r>
      <w:r>
        <w:rPr>
          <w:noProof/>
          <w:lang w:val="fr-FR"/>
        </w:rPr>
        <w:t>insi que des renseignements propres à améliorer l’accueil fait aux réfugiés</w:t>
      </w:r>
      <w:r w:rsidRPr="00AF434B">
        <w:rPr>
          <w:noProof/>
          <w:lang w:val="fr-FR"/>
        </w:rPr>
        <w:t>.</w:t>
      </w:r>
    </w:p>
    <w:p w14:paraId="7516ECCD" w14:textId="77777777" w:rsidR="00BF0619" w:rsidRPr="00AF434B" w:rsidRDefault="00BF0619" w:rsidP="00BF0619">
      <w:pPr>
        <w:pStyle w:val="SingleTxtG"/>
        <w:rPr>
          <w:noProof/>
          <w:lang w:val="fr-FR"/>
        </w:rPr>
      </w:pPr>
      <w:r w:rsidRPr="00AF434B">
        <w:rPr>
          <w:noProof/>
          <w:lang w:val="fr-FR"/>
        </w:rPr>
        <w:t>42.</w:t>
      </w:r>
      <w:r w:rsidRPr="00AF434B">
        <w:rPr>
          <w:noProof/>
          <w:lang w:val="fr-FR"/>
        </w:rPr>
        <w:tab/>
      </w:r>
      <w:r>
        <w:rPr>
          <w:noProof/>
          <w:lang w:val="fr-FR"/>
        </w:rPr>
        <w:t>Le kit de bienvenue est remis directement aux réfugiés nouvellement arrivés par le Haut-Commissariat</w:t>
      </w:r>
      <w:r w:rsidRPr="00AF434B">
        <w:rPr>
          <w:noProof/>
          <w:lang w:val="fr-FR"/>
        </w:rPr>
        <w:t xml:space="preserve">. </w:t>
      </w:r>
      <w:r>
        <w:rPr>
          <w:noProof/>
          <w:lang w:val="fr-FR"/>
        </w:rPr>
        <w:t xml:space="preserve">Il contient une carte du </w:t>
      </w:r>
      <w:r w:rsidRPr="00AF434B">
        <w:rPr>
          <w:noProof/>
          <w:lang w:val="fr-FR"/>
        </w:rPr>
        <w:t xml:space="preserve">Portugal, </w:t>
      </w:r>
      <w:r>
        <w:rPr>
          <w:noProof/>
          <w:lang w:val="fr-FR"/>
        </w:rPr>
        <w:t>un dictionnaire</w:t>
      </w:r>
      <w:r w:rsidRPr="00AF434B">
        <w:rPr>
          <w:noProof/>
          <w:lang w:val="fr-FR"/>
        </w:rPr>
        <w:t xml:space="preserve">, </w:t>
      </w:r>
      <w:r>
        <w:rPr>
          <w:noProof/>
          <w:lang w:val="fr-FR"/>
        </w:rPr>
        <w:t>un T</w:t>
      </w:r>
      <w:r w:rsidRPr="00AF434B">
        <w:rPr>
          <w:noProof/>
          <w:lang w:val="fr-FR"/>
        </w:rPr>
        <w:t xml:space="preserve">-shirt </w:t>
      </w:r>
      <w:r>
        <w:rPr>
          <w:noProof/>
          <w:lang w:val="fr-FR"/>
        </w:rPr>
        <w:t>à symboles imprimés indiquant des besoins immédiats, une carte SIM avec 15</w:t>
      </w:r>
      <w:r w:rsidR="00DE0409">
        <w:rPr>
          <w:noProof/>
          <w:lang w:val="fr-FR"/>
        </w:rPr>
        <w:t> </w:t>
      </w:r>
      <w:r>
        <w:rPr>
          <w:noProof/>
          <w:lang w:val="fr-FR"/>
        </w:rPr>
        <w:t xml:space="preserve">euros de crédit, les coordonnées de personnes à contacter et une foire aux questions en cinq langues </w:t>
      </w:r>
      <w:r w:rsidRPr="00AF434B">
        <w:rPr>
          <w:noProof/>
          <w:lang w:val="fr-FR"/>
        </w:rPr>
        <w:t>(</w:t>
      </w:r>
      <w:r>
        <w:rPr>
          <w:noProof/>
          <w:lang w:val="fr-FR"/>
        </w:rPr>
        <w:t>p</w:t>
      </w:r>
      <w:r w:rsidRPr="00AF434B">
        <w:rPr>
          <w:noProof/>
          <w:lang w:val="fr-FR"/>
        </w:rPr>
        <w:t>ortug</w:t>
      </w:r>
      <w:r>
        <w:rPr>
          <w:noProof/>
          <w:lang w:val="fr-FR"/>
        </w:rPr>
        <w:t>ais</w:t>
      </w:r>
      <w:r w:rsidRPr="00AF434B">
        <w:rPr>
          <w:noProof/>
          <w:lang w:val="fr-FR"/>
        </w:rPr>
        <w:t xml:space="preserve">, </w:t>
      </w:r>
      <w:r>
        <w:rPr>
          <w:noProof/>
          <w:lang w:val="fr-FR"/>
        </w:rPr>
        <w:t>anglais</w:t>
      </w:r>
      <w:r w:rsidRPr="00AF434B">
        <w:rPr>
          <w:noProof/>
          <w:lang w:val="fr-FR"/>
        </w:rPr>
        <w:t xml:space="preserve">, </w:t>
      </w:r>
      <w:r>
        <w:rPr>
          <w:noProof/>
          <w:lang w:val="fr-FR"/>
        </w:rPr>
        <w:t>français</w:t>
      </w:r>
      <w:r w:rsidRPr="00AF434B">
        <w:rPr>
          <w:noProof/>
          <w:lang w:val="fr-FR"/>
        </w:rPr>
        <w:t xml:space="preserve">, </w:t>
      </w:r>
      <w:r>
        <w:rPr>
          <w:noProof/>
          <w:lang w:val="fr-FR"/>
        </w:rPr>
        <w:t>arabe et</w:t>
      </w:r>
      <w:r w:rsidRPr="00AF434B">
        <w:rPr>
          <w:noProof/>
          <w:lang w:val="fr-FR"/>
        </w:rPr>
        <w:t xml:space="preserve"> </w:t>
      </w:r>
      <w:r>
        <w:rPr>
          <w:noProof/>
          <w:lang w:val="fr-FR"/>
        </w:rPr>
        <w:t xml:space="preserve">tigrinya), ainsi qu’un dessin original de bienvenue fait par un élève d’une école portugaise. Le contenu de ce kit a été élaboré en </w:t>
      </w:r>
      <w:r w:rsidRPr="00AF434B">
        <w:rPr>
          <w:noProof/>
          <w:lang w:val="fr-FR"/>
        </w:rPr>
        <w:t xml:space="preserve">consultation </w:t>
      </w:r>
      <w:r>
        <w:rPr>
          <w:noProof/>
          <w:lang w:val="fr-FR"/>
        </w:rPr>
        <w:t xml:space="preserve">avec les réfugiés et les </w:t>
      </w:r>
      <w:r w:rsidRPr="00AF434B">
        <w:rPr>
          <w:noProof/>
          <w:lang w:val="fr-FR"/>
        </w:rPr>
        <w:t xml:space="preserve">organisations </w:t>
      </w:r>
      <w:r>
        <w:rPr>
          <w:noProof/>
          <w:lang w:val="fr-FR"/>
        </w:rPr>
        <w:t>qui travaillent avec les réfugiés dans le cadre de réunions et de groupes de discussion</w:t>
      </w:r>
      <w:r w:rsidRPr="00AF434B">
        <w:rPr>
          <w:noProof/>
          <w:lang w:val="fr-FR"/>
        </w:rPr>
        <w:t>.</w:t>
      </w:r>
    </w:p>
    <w:p w14:paraId="0B8766AB" w14:textId="77777777" w:rsidR="00BF0619" w:rsidRPr="00AF434B" w:rsidRDefault="00BF0619" w:rsidP="00BF0619">
      <w:pPr>
        <w:pStyle w:val="SingleTxtG"/>
        <w:rPr>
          <w:noProof/>
          <w:lang w:val="fr-FR"/>
        </w:rPr>
      </w:pPr>
      <w:r w:rsidRPr="00AF434B">
        <w:rPr>
          <w:noProof/>
          <w:lang w:val="fr-FR"/>
        </w:rPr>
        <w:t>43.</w:t>
      </w:r>
      <w:r w:rsidRPr="00AF434B">
        <w:rPr>
          <w:noProof/>
          <w:lang w:val="fr-FR"/>
        </w:rPr>
        <w:tab/>
      </w:r>
      <w:r>
        <w:rPr>
          <w:noProof/>
          <w:lang w:val="fr-FR"/>
        </w:rPr>
        <w:t xml:space="preserve">Afin d’améliorer les résultats scolaires des enfants migrants récemment intégrés au système éducatif portugais, le </w:t>
      </w:r>
      <w:r w:rsidRPr="00AF434B">
        <w:rPr>
          <w:noProof/>
          <w:lang w:val="fr-FR"/>
        </w:rPr>
        <w:t>Minist</w:t>
      </w:r>
      <w:r>
        <w:rPr>
          <w:noProof/>
          <w:lang w:val="fr-FR"/>
        </w:rPr>
        <w:t>ère de l’éd</w:t>
      </w:r>
      <w:r w:rsidRPr="00AF434B">
        <w:rPr>
          <w:noProof/>
          <w:lang w:val="fr-FR"/>
        </w:rPr>
        <w:t xml:space="preserve">ucation </w:t>
      </w:r>
      <w:r>
        <w:rPr>
          <w:noProof/>
          <w:lang w:val="fr-FR"/>
        </w:rPr>
        <w:t>met en œuvre des politiques de soutien éducatif à l’acquisition du portugais, à la fois matière et langue d’enseignement, en proposant le portugais comme deuxième langue (portugais comme langue non maternelle (</w:t>
      </w:r>
      <w:r w:rsidRPr="001D553C">
        <w:rPr>
          <w:i/>
          <w:noProof/>
          <w:lang w:val="fr-FR"/>
        </w:rPr>
        <w:t>Português Língua Não Materna</w:t>
      </w:r>
      <w:r>
        <w:rPr>
          <w:noProof/>
          <w:lang w:val="fr-FR"/>
        </w:rPr>
        <w:t>))</w:t>
      </w:r>
      <w:r w:rsidRPr="00AF434B">
        <w:rPr>
          <w:noProof/>
          <w:lang w:val="fr-FR"/>
        </w:rPr>
        <w:t xml:space="preserve">, </w:t>
      </w:r>
      <w:r>
        <w:rPr>
          <w:noProof/>
          <w:lang w:val="fr-FR"/>
        </w:rPr>
        <w:t xml:space="preserve">dans l’enseignement primaire et secondaire </w:t>
      </w:r>
      <w:r w:rsidRPr="00AF434B">
        <w:rPr>
          <w:noProof/>
          <w:lang w:val="fr-FR"/>
        </w:rPr>
        <w:t>(</w:t>
      </w:r>
      <w:r>
        <w:rPr>
          <w:noProof/>
          <w:lang w:val="fr-FR"/>
        </w:rPr>
        <w:t>niveaux</w:t>
      </w:r>
      <w:r w:rsidR="00DE0409">
        <w:rPr>
          <w:noProof/>
          <w:lang w:val="fr-FR"/>
        </w:rPr>
        <w:t> </w:t>
      </w:r>
      <w:r>
        <w:rPr>
          <w:noProof/>
          <w:lang w:val="fr-FR"/>
        </w:rPr>
        <w:t>1 à</w:t>
      </w:r>
      <w:r w:rsidR="00DE0409">
        <w:rPr>
          <w:noProof/>
          <w:lang w:val="fr-FR"/>
        </w:rPr>
        <w:t> </w:t>
      </w:r>
      <w:r>
        <w:rPr>
          <w:noProof/>
          <w:lang w:val="fr-FR"/>
        </w:rPr>
        <w:t>3 de la Classification internationale type de l’éducation</w:t>
      </w:r>
      <w:r w:rsidRPr="00AF434B">
        <w:rPr>
          <w:noProof/>
          <w:lang w:val="fr-FR"/>
        </w:rPr>
        <w:t xml:space="preserve">). </w:t>
      </w:r>
      <w:r>
        <w:rPr>
          <w:noProof/>
          <w:lang w:val="fr-FR"/>
        </w:rPr>
        <w:t>Il s’agit de permettre aux élèves dont la langue maternelle n’est pas le portugais d’étudier en conditions d’égalité et avec les mêmes chances de réussite que les autres enfants, ce</w:t>
      </w:r>
      <w:r w:rsidR="0064073D">
        <w:rPr>
          <w:noProof/>
          <w:lang w:val="fr-FR"/>
        </w:rPr>
        <w:t>,</w:t>
      </w:r>
      <w:r>
        <w:rPr>
          <w:noProof/>
          <w:lang w:val="fr-FR"/>
        </w:rPr>
        <w:t xml:space="preserve"> quels que soient leur langue maternelle, leur milieu socioculturel et leur âge</w:t>
      </w:r>
      <w:r w:rsidRPr="00AF434B">
        <w:rPr>
          <w:noProof/>
          <w:lang w:val="fr-FR"/>
        </w:rPr>
        <w:t xml:space="preserve">. </w:t>
      </w:r>
      <w:r>
        <w:rPr>
          <w:noProof/>
          <w:lang w:val="fr-FR"/>
        </w:rPr>
        <w:t xml:space="preserve">Les élèves migrants étudiant la langue aux niveaux </w:t>
      </w:r>
      <w:r w:rsidRPr="00AF434B">
        <w:rPr>
          <w:noProof/>
          <w:lang w:val="fr-FR"/>
        </w:rPr>
        <w:t xml:space="preserve">A1, A2 </w:t>
      </w:r>
      <w:r>
        <w:rPr>
          <w:noProof/>
          <w:lang w:val="fr-FR"/>
        </w:rPr>
        <w:t>et</w:t>
      </w:r>
      <w:r w:rsidRPr="00AF434B">
        <w:rPr>
          <w:noProof/>
          <w:lang w:val="fr-FR"/>
        </w:rPr>
        <w:t xml:space="preserve"> B1 </w:t>
      </w:r>
      <w:r>
        <w:rPr>
          <w:noProof/>
          <w:lang w:val="fr-FR"/>
        </w:rPr>
        <w:t xml:space="preserve">du </w:t>
      </w:r>
      <w:r w:rsidRPr="00AE4413">
        <w:rPr>
          <w:noProof/>
          <w:lang w:val="fr-FR"/>
        </w:rPr>
        <w:t>Cadre européen commun de référence pour les langues</w:t>
      </w:r>
      <w:r w:rsidRPr="00AF434B">
        <w:rPr>
          <w:noProof/>
          <w:lang w:val="fr-FR"/>
        </w:rPr>
        <w:t xml:space="preserve"> </w:t>
      </w:r>
      <w:r>
        <w:rPr>
          <w:noProof/>
          <w:lang w:val="fr-FR"/>
        </w:rPr>
        <w:t>peuvent bénéficier des classes de portugais comme langue non maternelle pour l’acquisition du portugais et suivre un programme spécifique de portugais comme deuxième langue</w:t>
      </w:r>
      <w:r w:rsidRPr="00AF434B">
        <w:rPr>
          <w:noProof/>
          <w:lang w:val="fr-FR"/>
        </w:rPr>
        <w:t xml:space="preserve">. </w:t>
      </w:r>
      <w:r>
        <w:rPr>
          <w:noProof/>
          <w:lang w:val="fr-FR"/>
        </w:rPr>
        <w:t xml:space="preserve">Ceux qui étudient aux niveaux </w:t>
      </w:r>
      <w:r w:rsidRPr="00AF434B">
        <w:rPr>
          <w:noProof/>
          <w:lang w:val="fr-FR"/>
        </w:rPr>
        <w:t xml:space="preserve">B2 </w:t>
      </w:r>
      <w:r>
        <w:rPr>
          <w:noProof/>
          <w:lang w:val="fr-FR"/>
        </w:rPr>
        <w:t>et</w:t>
      </w:r>
      <w:r w:rsidRPr="00AF434B">
        <w:rPr>
          <w:noProof/>
          <w:lang w:val="fr-FR"/>
        </w:rPr>
        <w:t xml:space="preserve"> C1 </w:t>
      </w:r>
      <w:r>
        <w:rPr>
          <w:noProof/>
          <w:lang w:val="fr-FR"/>
        </w:rPr>
        <w:t xml:space="preserve">du Cadre susvisé suivent le programme </w:t>
      </w:r>
      <w:r w:rsidRPr="00AF434B">
        <w:rPr>
          <w:noProof/>
          <w:lang w:val="fr-FR"/>
        </w:rPr>
        <w:t xml:space="preserve">national </w:t>
      </w:r>
      <w:r>
        <w:rPr>
          <w:noProof/>
          <w:lang w:val="fr-FR"/>
        </w:rPr>
        <w:t>de portugais et peuvent bénéficier de classes de soutien linguistique</w:t>
      </w:r>
      <w:r w:rsidRPr="00AF434B">
        <w:rPr>
          <w:noProof/>
          <w:lang w:val="fr-FR"/>
        </w:rPr>
        <w:t xml:space="preserve">. </w:t>
      </w:r>
      <w:r>
        <w:rPr>
          <w:noProof/>
          <w:lang w:val="fr-FR"/>
        </w:rPr>
        <w:t>De plus, ces élèves peuvent utiliser des dictionnaires pendant les examens d’autres matières.</w:t>
      </w:r>
      <w:r w:rsidRPr="00AF434B">
        <w:rPr>
          <w:noProof/>
          <w:lang w:val="fr-FR"/>
        </w:rPr>
        <w:t xml:space="preserve"> </w:t>
      </w:r>
      <w:r>
        <w:rPr>
          <w:noProof/>
          <w:lang w:val="fr-FR"/>
        </w:rPr>
        <w:t>Ces mesures sont offertes dans tous les établissements d’enseignement primaire et secondaire du système éducatif</w:t>
      </w:r>
      <w:r w:rsidRPr="00AF434B">
        <w:rPr>
          <w:noProof/>
          <w:lang w:val="fr-FR"/>
        </w:rPr>
        <w:t xml:space="preserve">. </w:t>
      </w:r>
      <w:r>
        <w:rPr>
          <w:noProof/>
          <w:lang w:val="fr-FR"/>
        </w:rPr>
        <w:t xml:space="preserve">Les élèves récemment arrivés au </w:t>
      </w:r>
      <w:r w:rsidRPr="00AF434B">
        <w:rPr>
          <w:noProof/>
          <w:lang w:val="fr-FR"/>
        </w:rPr>
        <w:t xml:space="preserve">Portugal </w:t>
      </w:r>
      <w:r>
        <w:rPr>
          <w:noProof/>
          <w:lang w:val="fr-FR"/>
        </w:rPr>
        <w:t>doivent dans un premier temps se prêter à une évaluation sociolinguistique et passer des tests de niveau, ce qui permet de s’assurer que ces élèves ont besoin de bénéficier de ces mesures.</w:t>
      </w:r>
    </w:p>
    <w:p w14:paraId="647A5AB4" w14:textId="77777777" w:rsidR="00BF0619" w:rsidRPr="00AF434B" w:rsidRDefault="00BF0619" w:rsidP="00BF0619">
      <w:pPr>
        <w:pStyle w:val="SingleTxtG"/>
        <w:rPr>
          <w:noProof/>
          <w:lang w:val="fr-FR"/>
        </w:rPr>
      </w:pPr>
      <w:r w:rsidRPr="00AF434B">
        <w:rPr>
          <w:noProof/>
          <w:lang w:val="fr-FR"/>
        </w:rPr>
        <w:t>44.</w:t>
      </w:r>
      <w:r w:rsidRPr="00AF434B">
        <w:rPr>
          <w:noProof/>
          <w:lang w:val="fr-FR"/>
        </w:rPr>
        <w:tab/>
      </w:r>
      <w:r>
        <w:rPr>
          <w:noProof/>
          <w:lang w:val="fr-FR"/>
        </w:rPr>
        <w:t>Dans le cadre de l’</w:t>
      </w:r>
      <w:r w:rsidRPr="00AF434B">
        <w:rPr>
          <w:noProof/>
          <w:lang w:val="fr-FR"/>
        </w:rPr>
        <w:t xml:space="preserve">Agenda </w:t>
      </w:r>
      <w:r>
        <w:rPr>
          <w:noProof/>
          <w:lang w:val="fr-FR"/>
        </w:rPr>
        <w:t>européen en matière de migration</w:t>
      </w:r>
      <w:r w:rsidRPr="00AF434B">
        <w:rPr>
          <w:noProof/>
          <w:lang w:val="fr-FR"/>
        </w:rPr>
        <w:t xml:space="preserve">, </w:t>
      </w:r>
      <w:r>
        <w:rPr>
          <w:noProof/>
          <w:lang w:val="fr-FR"/>
        </w:rPr>
        <w:t xml:space="preserve">le </w:t>
      </w:r>
      <w:r w:rsidRPr="00AF434B">
        <w:rPr>
          <w:noProof/>
          <w:lang w:val="fr-FR"/>
        </w:rPr>
        <w:t>Minist</w:t>
      </w:r>
      <w:r>
        <w:rPr>
          <w:noProof/>
          <w:lang w:val="fr-FR"/>
        </w:rPr>
        <w:t>ère de l’éducation a conçu des mesures d’éducation extraordinaires concernant l’accueil et l’inclusion dans les écoles portugaises des enfants réfugiés</w:t>
      </w:r>
      <w:r w:rsidRPr="00AF434B">
        <w:rPr>
          <w:noProof/>
          <w:lang w:val="fr-FR"/>
        </w:rPr>
        <w:t xml:space="preserve">. </w:t>
      </w:r>
      <w:r>
        <w:rPr>
          <w:noProof/>
          <w:lang w:val="fr-FR"/>
        </w:rPr>
        <w:t>E</w:t>
      </w:r>
      <w:r w:rsidRPr="00AF434B">
        <w:rPr>
          <w:noProof/>
          <w:lang w:val="fr-FR"/>
        </w:rPr>
        <w:t xml:space="preserve">n </w:t>
      </w:r>
      <w:r>
        <w:rPr>
          <w:noProof/>
          <w:lang w:val="fr-FR"/>
        </w:rPr>
        <w:t>o</w:t>
      </w:r>
      <w:r w:rsidRPr="00AF434B">
        <w:rPr>
          <w:noProof/>
          <w:lang w:val="fr-FR"/>
        </w:rPr>
        <w:t>ctob</w:t>
      </w:r>
      <w:r>
        <w:rPr>
          <w:noProof/>
          <w:lang w:val="fr-FR"/>
        </w:rPr>
        <w:t>re</w:t>
      </w:r>
      <w:r w:rsidRPr="00AF434B">
        <w:rPr>
          <w:noProof/>
          <w:lang w:val="fr-FR"/>
        </w:rPr>
        <w:t xml:space="preserve"> 2016, </w:t>
      </w:r>
      <w:r>
        <w:rPr>
          <w:noProof/>
          <w:lang w:val="fr-FR"/>
        </w:rPr>
        <w:t>les mesures susmentionnées ont été étendues à tous les enfants et jeunes ayant fait une demande d’asile ou de protection internationale</w:t>
      </w:r>
      <w:r w:rsidRPr="00AF434B">
        <w:rPr>
          <w:noProof/>
          <w:lang w:val="fr-FR"/>
        </w:rPr>
        <w:t xml:space="preserve">. </w:t>
      </w:r>
      <w:r>
        <w:rPr>
          <w:noProof/>
          <w:lang w:val="fr-FR"/>
        </w:rPr>
        <w:t>Au cours de la première phase de leur intégration, les élèves ne participent qu’aux activités éducatives que l’école juge appropriées au cas de chacun d’entre eux</w:t>
      </w:r>
      <w:r w:rsidRPr="00AF434B">
        <w:rPr>
          <w:noProof/>
          <w:lang w:val="fr-FR"/>
        </w:rPr>
        <w:t xml:space="preserve">, </w:t>
      </w:r>
      <w:r>
        <w:rPr>
          <w:noProof/>
          <w:lang w:val="fr-FR"/>
        </w:rPr>
        <w:t>sans toutefois qu’ils soient séparés complètement du groupe ou de la classe</w:t>
      </w:r>
      <w:r w:rsidRPr="00AF434B">
        <w:rPr>
          <w:noProof/>
          <w:lang w:val="fr-FR"/>
        </w:rPr>
        <w:t xml:space="preserve">. </w:t>
      </w:r>
    </w:p>
    <w:p w14:paraId="44F68827" w14:textId="77777777" w:rsidR="00BF0619" w:rsidRPr="00AF434B" w:rsidRDefault="00BF0619" w:rsidP="00BF0619">
      <w:pPr>
        <w:pStyle w:val="SingleTxtG"/>
        <w:rPr>
          <w:noProof/>
          <w:lang w:val="fr-FR"/>
        </w:rPr>
      </w:pPr>
      <w:r w:rsidRPr="00AF434B">
        <w:rPr>
          <w:noProof/>
          <w:lang w:val="fr-FR"/>
        </w:rPr>
        <w:t>45.</w:t>
      </w:r>
      <w:r w:rsidRPr="00AF434B">
        <w:rPr>
          <w:noProof/>
          <w:lang w:val="fr-FR"/>
        </w:rPr>
        <w:tab/>
      </w:r>
      <w:r>
        <w:rPr>
          <w:noProof/>
          <w:lang w:val="fr-FR"/>
        </w:rPr>
        <w:t>Les écoles peuvent aussi, avec l’agrément de la Direction générale de l’enseignement, mettre en place d’autres projets ou modalités d’éducation en fonction des ressources disponibles et de la connaissance de chaque contexte.</w:t>
      </w:r>
      <w:r w:rsidRPr="00AF434B">
        <w:rPr>
          <w:noProof/>
          <w:lang w:val="fr-FR"/>
        </w:rPr>
        <w:t xml:space="preserve"> </w:t>
      </w:r>
      <w:r>
        <w:rPr>
          <w:noProof/>
          <w:lang w:val="fr-FR"/>
        </w:rPr>
        <w:t>En ce qui concerne la mise en œuvre de ces mesures, l’accent est mis sur la rapidité de l’inclusion de ces enfants dans le programme national au niveau d’étude où ils ont été placés</w:t>
      </w:r>
      <w:r w:rsidRPr="00AF434B">
        <w:rPr>
          <w:noProof/>
          <w:lang w:val="fr-FR"/>
        </w:rPr>
        <w:t xml:space="preserve">. </w:t>
      </w:r>
      <w:r>
        <w:rPr>
          <w:noProof/>
          <w:lang w:val="fr-FR"/>
        </w:rPr>
        <w:t>E</w:t>
      </w:r>
      <w:r w:rsidRPr="00AF434B">
        <w:rPr>
          <w:noProof/>
          <w:lang w:val="fr-FR"/>
        </w:rPr>
        <w:t xml:space="preserve">n </w:t>
      </w:r>
      <w:r>
        <w:rPr>
          <w:noProof/>
          <w:lang w:val="fr-FR"/>
        </w:rPr>
        <w:t>outre, ces élèves ont droit à un soutien complémentaire</w:t>
      </w:r>
      <w:r w:rsidRPr="00AF434B">
        <w:rPr>
          <w:noProof/>
          <w:lang w:val="fr-FR"/>
        </w:rPr>
        <w:t xml:space="preserve">, </w:t>
      </w:r>
      <w:r>
        <w:rPr>
          <w:noProof/>
          <w:lang w:val="fr-FR"/>
        </w:rPr>
        <w:t>qui est fonction de leur situation spécifique</w:t>
      </w:r>
      <w:r w:rsidRPr="00AF434B">
        <w:rPr>
          <w:noProof/>
          <w:lang w:val="fr-FR"/>
        </w:rPr>
        <w:t xml:space="preserve">. </w:t>
      </w:r>
      <w:r>
        <w:rPr>
          <w:noProof/>
          <w:lang w:val="fr-FR"/>
        </w:rPr>
        <w:t>À cette fin, le</w:t>
      </w:r>
      <w:r w:rsidR="00DE0409">
        <w:rPr>
          <w:noProof/>
          <w:lang w:val="fr-FR"/>
        </w:rPr>
        <w:t> </w:t>
      </w:r>
      <w:r w:rsidRPr="00AF434B">
        <w:rPr>
          <w:noProof/>
          <w:lang w:val="fr-FR"/>
        </w:rPr>
        <w:t>Minist</w:t>
      </w:r>
      <w:r>
        <w:rPr>
          <w:noProof/>
          <w:lang w:val="fr-FR"/>
        </w:rPr>
        <w:t>ère de l’éducation</w:t>
      </w:r>
      <w:r w:rsidRPr="00AF434B">
        <w:rPr>
          <w:noProof/>
          <w:lang w:val="fr-FR"/>
        </w:rPr>
        <w:t xml:space="preserve">, </w:t>
      </w:r>
      <w:r>
        <w:rPr>
          <w:noProof/>
          <w:lang w:val="fr-FR"/>
        </w:rPr>
        <w:t>les</w:t>
      </w:r>
      <w:r w:rsidRPr="00AF434B">
        <w:rPr>
          <w:noProof/>
          <w:lang w:val="fr-FR"/>
        </w:rPr>
        <w:t xml:space="preserve"> municipalit</w:t>
      </w:r>
      <w:r>
        <w:rPr>
          <w:noProof/>
          <w:lang w:val="fr-FR"/>
        </w:rPr>
        <w:t>é</w:t>
      </w:r>
      <w:r w:rsidRPr="00AF434B">
        <w:rPr>
          <w:noProof/>
          <w:lang w:val="fr-FR"/>
        </w:rPr>
        <w:t xml:space="preserve">s </w:t>
      </w:r>
      <w:r>
        <w:rPr>
          <w:noProof/>
          <w:lang w:val="fr-FR"/>
        </w:rPr>
        <w:t>et des institutions non gouvernementales fournissent une aide sociale en matière de logement et d’alimentation, ainsi qu’une aide financière et des outils éducatifs</w:t>
      </w:r>
      <w:r w:rsidRPr="00AF434B">
        <w:rPr>
          <w:noProof/>
          <w:lang w:val="fr-FR"/>
        </w:rPr>
        <w:t>.</w:t>
      </w:r>
    </w:p>
    <w:p w14:paraId="40D21510" w14:textId="77777777" w:rsidR="00BF0619" w:rsidRPr="00AF434B" w:rsidRDefault="00BF0619" w:rsidP="00BF0619">
      <w:pPr>
        <w:pStyle w:val="SingleTxtG"/>
        <w:rPr>
          <w:noProof/>
          <w:lang w:val="fr-FR"/>
        </w:rPr>
      </w:pPr>
      <w:r w:rsidRPr="00AF434B">
        <w:rPr>
          <w:noProof/>
          <w:lang w:val="fr-FR"/>
        </w:rPr>
        <w:t>46.</w:t>
      </w:r>
      <w:r w:rsidRPr="00AF434B">
        <w:rPr>
          <w:noProof/>
          <w:lang w:val="fr-FR"/>
        </w:rPr>
        <w:tab/>
      </w:r>
      <w:r>
        <w:rPr>
          <w:noProof/>
          <w:lang w:val="fr-FR"/>
        </w:rPr>
        <w:t>Afin d’aider les écoles et les enseignants à mettre en œuvre les mesures susvisées, la Direction générale de l’enseignement</w:t>
      </w:r>
      <w:r w:rsidRPr="00AF434B">
        <w:rPr>
          <w:noProof/>
          <w:lang w:val="fr-FR"/>
        </w:rPr>
        <w:t xml:space="preserve"> </w:t>
      </w:r>
      <w:r>
        <w:rPr>
          <w:noProof/>
          <w:lang w:val="fr-FR"/>
        </w:rPr>
        <w:t>a publié sur son site Web</w:t>
      </w:r>
      <w:r w:rsidRPr="00BB3DD1">
        <w:rPr>
          <w:rStyle w:val="Appelnotedebasdep"/>
        </w:rPr>
        <w:footnoteReference w:id="12"/>
      </w:r>
      <w:r w:rsidRPr="00AF434B">
        <w:rPr>
          <w:noProof/>
          <w:lang w:val="fr-FR"/>
        </w:rPr>
        <w:t xml:space="preserve"> </w:t>
      </w:r>
      <w:r>
        <w:rPr>
          <w:noProof/>
          <w:lang w:val="fr-FR"/>
        </w:rPr>
        <w:t>un</w:t>
      </w:r>
      <w:r w:rsidRPr="00AF434B">
        <w:rPr>
          <w:noProof/>
          <w:lang w:val="fr-FR"/>
        </w:rPr>
        <w:t xml:space="preserve"> </w:t>
      </w:r>
      <w:r>
        <w:rPr>
          <w:noProof/>
          <w:lang w:val="fr-FR"/>
        </w:rPr>
        <w:t xml:space="preserve">Guide de l’accueil </w:t>
      </w:r>
      <w:r w:rsidRPr="005B5615">
        <w:rPr>
          <w:noProof/>
          <w:lang w:val="fr-FR"/>
        </w:rPr>
        <w:t>à l’école primaire, au collège et au lycée</w:t>
      </w:r>
      <w:r w:rsidRPr="00AF434B">
        <w:rPr>
          <w:noProof/>
          <w:lang w:val="fr-FR"/>
        </w:rPr>
        <w:t xml:space="preserve">. </w:t>
      </w:r>
    </w:p>
    <w:p w14:paraId="567ED8EF" w14:textId="77777777" w:rsidR="00BF0619" w:rsidRPr="00AF434B" w:rsidRDefault="00BF0619" w:rsidP="00BF0619">
      <w:pPr>
        <w:pStyle w:val="SingleTxtG"/>
        <w:rPr>
          <w:noProof/>
          <w:lang w:val="fr-FR"/>
        </w:rPr>
      </w:pPr>
      <w:r w:rsidRPr="00AF434B">
        <w:rPr>
          <w:noProof/>
          <w:lang w:val="fr-FR"/>
        </w:rPr>
        <w:t>47.</w:t>
      </w:r>
      <w:r w:rsidRPr="00AF434B">
        <w:rPr>
          <w:noProof/>
          <w:lang w:val="fr-FR"/>
        </w:rPr>
        <w:tab/>
      </w:r>
      <w:r>
        <w:rPr>
          <w:noProof/>
          <w:lang w:val="fr-FR"/>
        </w:rPr>
        <w:t xml:space="preserve">En matière d’emploi, les </w:t>
      </w:r>
      <w:r w:rsidRPr="00AF434B">
        <w:rPr>
          <w:noProof/>
          <w:lang w:val="fr-FR"/>
        </w:rPr>
        <w:t xml:space="preserve">immigrants </w:t>
      </w:r>
      <w:r>
        <w:rPr>
          <w:noProof/>
          <w:lang w:val="fr-FR"/>
        </w:rPr>
        <w:t>en possession d’un permis de séjour valide ont accès à l’emploi et aux mesures en faveur de l’emploi, sous la forme de politiques du marché du travail agissantes, de possibilités de formation et de</w:t>
      </w:r>
      <w:r w:rsidRPr="00AF434B">
        <w:rPr>
          <w:noProof/>
          <w:lang w:val="fr-FR"/>
        </w:rPr>
        <w:t xml:space="preserve"> </w:t>
      </w:r>
      <w:r>
        <w:rPr>
          <w:noProof/>
          <w:lang w:val="fr-FR"/>
        </w:rPr>
        <w:t>prestations de chômage</w:t>
      </w:r>
      <w:r w:rsidRPr="00AF434B">
        <w:rPr>
          <w:noProof/>
          <w:lang w:val="fr-FR"/>
        </w:rPr>
        <w:t xml:space="preserve"> (</w:t>
      </w:r>
      <w:r>
        <w:rPr>
          <w:noProof/>
          <w:lang w:val="fr-FR"/>
        </w:rPr>
        <w:t>sous réserve de remplir les conditions légales</w:t>
      </w:r>
      <w:r w:rsidRPr="00AF434B">
        <w:rPr>
          <w:noProof/>
          <w:lang w:val="fr-FR"/>
        </w:rPr>
        <w:t>).</w:t>
      </w:r>
    </w:p>
    <w:p w14:paraId="5B5525A9" w14:textId="77777777" w:rsidR="00BF0619" w:rsidRPr="00AF434B" w:rsidRDefault="00BF0619" w:rsidP="00BF0619">
      <w:pPr>
        <w:pStyle w:val="SingleTxtG"/>
        <w:rPr>
          <w:noProof/>
          <w:lang w:val="fr-FR"/>
        </w:rPr>
      </w:pPr>
      <w:r w:rsidRPr="00AF434B">
        <w:rPr>
          <w:noProof/>
          <w:lang w:val="fr-FR"/>
        </w:rPr>
        <w:t>48.</w:t>
      </w:r>
      <w:r w:rsidRPr="00AF434B">
        <w:rPr>
          <w:noProof/>
          <w:lang w:val="fr-FR"/>
        </w:rPr>
        <w:tab/>
      </w:r>
      <w:r>
        <w:rPr>
          <w:noProof/>
          <w:lang w:val="fr-FR"/>
        </w:rPr>
        <w:t xml:space="preserve">Conformément à l’ordonnance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noProof/>
          <w:lang w:val="fr-FR"/>
        </w:rPr>
        <w:t> </w:t>
      </w:r>
      <w:r w:rsidRPr="00AF434B">
        <w:rPr>
          <w:noProof/>
          <w:lang w:val="fr-FR"/>
        </w:rPr>
        <w:t>1262/2009</w:t>
      </w:r>
      <w:r>
        <w:rPr>
          <w:noProof/>
          <w:lang w:val="fr-FR"/>
        </w:rPr>
        <w:t xml:space="preserve"> du 15</w:t>
      </w:r>
      <w:r w:rsidR="00DE0409">
        <w:rPr>
          <w:noProof/>
          <w:lang w:val="fr-FR"/>
        </w:rPr>
        <w:t> </w:t>
      </w:r>
      <w:r>
        <w:rPr>
          <w:noProof/>
          <w:lang w:val="fr-FR"/>
        </w:rPr>
        <w:t>o</w:t>
      </w:r>
      <w:r w:rsidRPr="00AF434B">
        <w:rPr>
          <w:noProof/>
          <w:lang w:val="fr-FR"/>
        </w:rPr>
        <w:t>ctob</w:t>
      </w:r>
      <w:r>
        <w:rPr>
          <w:noProof/>
          <w:lang w:val="fr-FR"/>
        </w:rPr>
        <w:t>re</w:t>
      </w:r>
      <w:r w:rsidRPr="00AF434B">
        <w:rPr>
          <w:noProof/>
          <w:lang w:val="fr-FR"/>
        </w:rPr>
        <w:t xml:space="preserve">, </w:t>
      </w:r>
      <w:r w:rsidRPr="0080061A">
        <w:rPr>
          <w:rFonts w:ascii="TimesNewRomanPSMT" w:hAnsi="TimesNewRomanPSMT" w:cs="TimesNewRomanPSMT"/>
          <w:lang w:val="fr-FR"/>
        </w:rPr>
        <w:t xml:space="preserve">l’Institut pour l’emploi et la formation professionnelle </w:t>
      </w:r>
      <w:r>
        <w:rPr>
          <w:noProof/>
          <w:lang w:val="fr-FR"/>
        </w:rPr>
        <w:t>dispense depuis plusieurs années des cours de portugais aux allophones</w:t>
      </w:r>
      <w:r w:rsidRPr="00AF434B">
        <w:rPr>
          <w:noProof/>
          <w:lang w:val="fr-FR"/>
        </w:rPr>
        <w:t xml:space="preserve">. </w:t>
      </w:r>
      <w:r>
        <w:rPr>
          <w:noProof/>
          <w:lang w:val="fr-FR"/>
        </w:rPr>
        <w:t xml:space="preserve">Le Programme « Le portugais pour tous » </w:t>
      </w:r>
      <w:r w:rsidRPr="00AF434B">
        <w:rPr>
          <w:noProof/>
          <w:lang w:val="fr-FR"/>
        </w:rPr>
        <w:t xml:space="preserve">(PPT) </w:t>
      </w:r>
      <w:r>
        <w:rPr>
          <w:noProof/>
          <w:lang w:val="fr-FR"/>
        </w:rPr>
        <w:t>vise à améliorer la maîtrise et la compréhension du portugais et, dans le même temps, la connaissance des droits fondamentaux en matière de citoyenneté</w:t>
      </w:r>
      <w:r w:rsidRPr="00AF434B">
        <w:rPr>
          <w:noProof/>
          <w:lang w:val="fr-FR"/>
        </w:rPr>
        <w:t xml:space="preserve">, </w:t>
      </w:r>
      <w:r>
        <w:rPr>
          <w:noProof/>
          <w:lang w:val="fr-FR"/>
        </w:rPr>
        <w:t>connaissance des plus nécessaires aux ressortissants de pays tiers pour une bonne intégration dans la société portugaise</w:t>
      </w:r>
      <w:r w:rsidRPr="00AF434B">
        <w:rPr>
          <w:noProof/>
          <w:lang w:val="fr-FR"/>
        </w:rPr>
        <w:t xml:space="preserve">. </w:t>
      </w:r>
      <w:r>
        <w:rPr>
          <w:noProof/>
          <w:lang w:val="fr-FR"/>
        </w:rPr>
        <w:t>Ce Programme</w:t>
      </w:r>
      <w:r w:rsidRPr="00AF434B">
        <w:rPr>
          <w:noProof/>
          <w:lang w:val="fr-FR"/>
        </w:rPr>
        <w:t xml:space="preserve"> </w:t>
      </w:r>
      <w:r>
        <w:rPr>
          <w:noProof/>
          <w:lang w:val="fr-FR"/>
        </w:rPr>
        <w:t>s’adresse aux ressortissants étrangers âgés d’au moins 18</w:t>
      </w:r>
      <w:r w:rsidR="00DE0409">
        <w:rPr>
          <w:noProof/>
          <w:lang w:val="fr-FR"/>
        </w:rPr>
        <w:t> </w:t>
      </w:r>
      <w:r>
        <w:rPr>
          <w:noProof/>
          <w:lang w:val="fr-FR"/>
        </w:rPr>
        <w:t>ans, exerçant un emploi ou se trouvant au chômage, et en possession d’un permis de séjour valide.</w:t>
      </w:r>
    </w:p>
    <w:p w14:paraId="6C92A041" w14:textId="77777777" w:rsidR="00BF0619" w:rsidRPr="00AF434B" w:rsidRDefault="00BF0619" w:rsidP="00BF0619">
      <w:pPr>
        <w:pStyle w:val="SingleTxtG"/>
        <w:rPr>
          <w:noProof/>
          <w:lang w:val="fr-FR"/>
        </w:rPr>
      </w:pPr>
      <w:r w:rsidRPr="00AF434B">
        <w:rPr>
          <w:noProof/>
          <w:lang w:val="fr-FR"/>
        </w:rPr>
        <w:t>49.</w:t>
      </w:r>
      <w:r w:rsidRPr="00AF434B">
        <w:rPr>
          <w:noProof/>
          <w:lang w:val="fr-FR"/>
        </w:rPr>
        <w:tab/>
      </w:r>
      <w:r>
        <w:rPr>
          <w:noProof/>
          <w:lang w:val="fr-FR"/>
        </w:rPr>
        <w:t xml:space="preserve">Les cours dispensés dans le cadre du </w:t>
      </w:r>
      <w:r w:rsidRPr="00AF434B">
        <w:rPr>
          <w:noProof/>
          <w:lang w:val="fr-FR"/>
        </w:rPr>
        <w:t xml:space="preserve">PPT </w:t>
      </w:r>
      <w:r>
        <w:rPr>
          <w:noProof/>
          <w:lang w:val="fr-FR"/>
        </w:rPr>
        <w:t>à l’intention de personnes âgées de moins de 18</w:t>
      </w:r>
      <w:r w:rsidR="00DE0409">
        <w:rPr>
          <w:noProof/>
          <w:lang w:val="fr-FR"/>
        </w:rPr>
        <w:t> </w:t>
      </w:r>
      <w:r>
        <w:rPr>
          <w:noProof/>
          <w:lang w:val="fr-FR"/>
        </w:rPr>
        <w:t xml:space="preserve">ans relèvent de la compétence du </w:t>
      </w:r>
      <w:r w:rsidRPr="00AF434B">
        <w:rPr>
          <w:noProof/>
          <w:lang w:val="fr-FR"/>
        </w:rPr>
        <w:t>Minist</w:t>
      </w:r>
      <w:r>
        <w:rPr>
          <w:noProof/>
          <w:lang w:val="fr-FR"/>
        </w:rPr>
        <w:t>ère de l’é</w:t>
      </w:r>
      <w:r w:rsidRPr="00AF434B">
        <w:rPr>
          <w:noProof/>
          <w:lang w:val="fr-FR"/>
        </w:rPr>
        <w:t>ducation.</w:t>
      </w:r>
    </w:p>
    <w:p w14:paraId="501AD1FA" w14:textId="77777777" w:rsidR="00BF0619" w:rsidRPr="00AF434B" w:rsidRDefault="00BF0619" w:rsidP="00BF0619">
      <w:pPr>
        <w:pStyle w:val="SingleTxtG"/>
        <w:rPr>
          <w:noProof/>
          <w:lang w:val="fr-FR"/>
        </w:rPr>
      </w:pPr>
      <w:r w:rsidRPr="00AF434B">
        <w:rPr>
          <w:noProof/>
          <w:lang w:val="fr-FR"/>
        </w:rPr>
        <w:t>50.</w:t>
      </w:r>
      <w:r w:rsidRPr="00AF434B">
        <w:rPr>
          <w:noProof/>
          <w:lang w:val="fr-FR"/>
        </w:rPr>
        <w:tab/>
      </w:r>
      <w:r>
        <w:rPr>
          <w:noProof/>
          <w:lang w:val="fr-FR"/>
        </w:rPr>
        <w:t xml:space="preserve">L’ordonnance gouvernementale </w:t>
      </w:r>
      <w:r w:rsidR="00DE0409" w:rsidRPr="00DE0409">
        <w:rPr>
          <w:rFonts w:eastAsia="MS Mincho"/>
          <w:noProof/>
          <w:szCs w:val="22"/>
          <w:lang w:val="fr-FR"/>
        </w:rPr>
        <w:t>n</w:t>
      </w:r>
      <w:r w:rsidR="00DE0409" w:rsidRPr="00DE0409">
        <w:rPr>
          <w:rFonts w:eastAsia="MS Mincho"/>
          <w:noProof/>
          <w:szCs w:val="22"/>
          <w:vertAlign w:val="superscript"/>
          <w:lang w:val="fr-FR"/>
        </w:rPr>
        <w:t>o</w:t>
      </w:r>
      <w:r w:rsidR="00DE0409">
        <w:rPr>
          <w:noProof/>
          <w:lang w:val="fr-FR"/>
        </w:rPr>
        <w:t> </w:t>
      </w:r>
      <w:r>
        <w:rPr>
          <w:noProof/>
          <w:lang w:val="fr-FR"/>
        </w:rPr>
        <w:t>10041-A/2015 du</w:t>
      </w:r>
      <w:r w:rsidRPr="00AF434B">
        <w:rPr>
          <w:noProof/>
          <w:lang w:val="fr-FR"/>
        </w:rPr>
        <w:t xml:space="preserve"> 3</w:t>
      </w:r>
      <w:r w:rsidR="00DE0409">
        <w:rPr>
          <w:noProof/>
          <w:lang w:val="fr-FR"/>
        </w:rPr>
        <w:t> </w:t>
      </w:r>
      <w:r>
        <w:rPr>
          <w:noProof/>
          <w:lang w:val="fr-FR"/>
        </w:rPr>
        <w:t>s</w:t>
      </w:r>
      <w:r w:rsidRPr="00AF434B">
        <w:rPr>
          <w:noProof/>
          <w:lang w:val="fr-FR"/>
        </w:rPr>
        <w:t>eptemb</w:t>
      </w:r>
      <w:r>
        <w:rPr>
          <w:noProof/>
          <w:lang w:val="fr-FR"/>
        </w:rPr>
        <w:t>re</w:t>
      </w:r>
      <w:r w:rsidRPr="00AF434B">
        <w:rPr>
          <w:noProof/>
          <w:lang w:val="fr-FR"/>
        </w:rPr>
        <w:t xml:space="preserve"> </w:t>
      </w:r>
      <w:r>
        <w:rPr>
          <w:noProof/>
          <w:lang w:val="fr-FR"/>
        </w:rPr>
        <w:t>a créé un groupe de travail sur l’Agenda européen en matière de migration, chargé d’évaluer les capacités, d’établir un plan d’action et de mettre en place les mesures nécessaires au transfert, à la réinstallation et à l’intégration des ressortissants de pays tiers. Ce groupe de travail dispose d’une équipe pluridisciplinaire</w:t>
      </w:r>
      <w:r w:rsidRPr="00AF434B">
        <w:rPr>
          <w:noProof/>
          <w:lang w:val="fr-FR"/>
        </w:rPr>
        <w:t xml:space="preserve">, </w:t>
      </w:r>
      <w:r>
        <w:rPr>
          <w:noProof/>
          <w:lang w:val="fr-FR"/>
        </w:rPr>
        <w:t>où sont représentés plusieurs organismes publics intervenant dans différents domaines, comme l’emploi, la sécurité sociale et la solidarité, la santé, l’éducation et les affaires intérieures</w:t>
      </w:r>
      <w:r w:rsidRPr="00AF434B">
        <w:rPr>
          <w:noProof/>
          <w:lang w:val="fr-FR"/>
        </w:rPr>
        <w:t>.</w:t>
      </w:r>
    </w:p>
    <w:p w14:paraId="2FF6411B" w14:textId="77777777" w:rsidR="00BF0619" w:rsidRPr="00AF434B" w:rsidRDefault="00BF0619" w:rsidP="00BF0619">
      <w:pPr>
        <w:pStyle w:val="SingleTxtG"/>
        <w:rPr>
          <w:noProof/>
          <w:lang w:val="fr-FR"/>
        </w:rPr>
      </w:pPr>
      <w:r w:rsidRPr="00B90119">
        <w:rPr>
          <w:noProof/>
          <w:lang w:val="fr-FR"/>
        </w:rPr>
        <w:t>51.</w:t>
      </w:r>
      <w:r w:rsidRPr="00B90119">
        <w:rPr>
          <w:noProof/>
          <w:lang w:val="fr-FR"/>
        </w:rPr>
        <w:tab/>
        <w:t xml:space="preserve">En ce qui concerne les réfugiés et les demandeurs d’asile, </w:t>
      </w:r>
      <w:r w:rsidRPr="00B90119">
        <w:rPr>
          <w:rFonts w:ascii="TimesNewRomanPSMT" w:hAnsi="TimesNewRomanPSMT" w:cs="TimesNewRomanPSMT"/>
          <w:lang w:val="fr-FR"/>
        </w:rPr>
        <w:t>l’Institut pour l’emploi et la formation professionnelle</w:t>
      </w:r>
      <w:r w:rsidRPr="00B90119">
        <w:rPr>
          <w:noProof/>
          <w:lang w:val="fr-FR"/>
        </w:rPr>
        <w:t xml:space="preserve"> intervient de la façon suivante</w:t>
      </w:r>
      <w:r w:rsidR="00B90119">
        <w:rPr>
          <w:noProof/>
          <w:lang w:val="fr-FR"/>
        </w:rPr>
        <w:t> :</w:t>
      </w:r>
    </w:p>
    <w:p w14:paraId="152C881F"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Entretiens de face à face préparés à l’avance </w:t>
      </w:r>
      <w:r w:rsidR="00B90119">
        <w:rPr>
          <w:noProof/>
          <w:lang w:val="fr-FR"/>
        </w:rPr>
        <w:t>− </w:t>
      </w:r>
      <w:r>
        <w:rPr>
          <w:noProof/>
          <w:lang w:val="fr-FR"/>
        </w:rPr>
        <w:t>en cas de besoin, un service d’interprétation par téléphone est planifié avec le Haut-Commissariat pour les migrations</w:t>
      </w:r>
      <w:r w:rsidR="00B90119">
        <w:rPr>
          <w:noProof/>
          <w:lang w:val="fr-FR"/>
        </w:rPr>
        <w:t> ;</w:t>
      </w:r>
    </w:p>
    <w:p w14:paraId="686EC28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Établissement d’un plan personnalisé d’accès à l’emploi sur la base des résultats de l’évaluation des compétences, des centres d’intérêt et des besoins</w:t>
      </w:r>
      <w:r w:rsidRPr="00AF434B">
        <w:rPr>
          <w:noProof/>
          <w:lang w:val="fr-FR"/>
        </w:rPr>
        <w:t xml:space="preserve">. </w:t>
      </w:r>
      <w:r>
        <w:rPr>
          <w:noProof/>
          <w:lang w:val="fr-FR"/>
        </w:rPr>
        <w:t xml:space="preserve">Le Programme </w:t>
      </w:r>
      <w:r w:rsidRPr="00AF434B">
        <w:rPr>
          <w:noProof/>
          <w:lang w:val="fr-FR"/>
        </w:rPr>
        <w:t xml:space="preserve">PPT </w:t>
      </w:r>
      <w:r>
        <w:rPr>
          <w:noProof/>
          <w:lang w:val="fr-FR"/>
        </w:rPr>
        <w:t>constitue généralement la première phase de ce plan, car il joue un rôle essentiel dans l’acquisition du portugais et des autres compétences facilitant l’intégration dans la société portugaise</w:t>
      </w:r>
      <w:r w:rsidR="00B90119">
        <w:rPr>
          <w:noProof/>
          <w:lang w:val="fr-FR"/>
        </w:rPr>
        <w:t> ;</w:t>
      </w:r>
    </w:p>
    <w:p w14:paraId="7C29E13A"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Orientation vers des programmes de formation et/ou pour l’emploi dans le cadre du plan personnalisé d’accès à l’emploi</w:t>
      </w:r>
      <w:r w:rsidRPr="00AF434B">
        <w:rPr>
          <w:noProof/>
          <w:lang w:val="fr-FR"/>
        </w:rPr>
        <w:t>.</w:t>
      </w:r>
    </w:p>
    <w:p w14:paraId="6DB257A4" w14:textId="77777777" w:rsidR="00BF0619" w:rsidRPr="00AF434B" w:rsidRDefault="00BF0619" w:rsidP="00BF0619">
      <w:pPr>
        <w:pStyle w:val="SingleTxtG"/>
        <w:rPr>
          <w:noProof/>
          <w:lang w:val="fr-FR"/>
        </w:rPr>
      </w:pPr>
      <w:r w:rsidRPr="00AF434B">
        <w:rPr>
          <w:noProof/>
          <w:lang w:val="fr-FR"/>
        </w:rPr>
        <w:t>52.</w:t>
      </w:r>
      <w:r w:rsidRPr="00AF434B">
        <w:rPr>
          <w:noProof/>
          <w:lang w:val="fr-FR"/>
        </w:rPr>
        <w:tab/>
      </w:r>
      <w:r>
        <w:rPr>
          <w:noProof/>
          <w:lang w:val="fr-FR"/>
        </w:rPr>
        <w:t>Soucieux de favoriser une rapide intégration des réfugiés sur le marché du travail</w:t>
      </w:r>
      <w:r w:rsidRPr="00AF434B">
        <w:rPr>
          <w:noProof/>
          <w:lang w:val="fr-FR"/>
        </w:rPr>
        <w:t xml:space="preserve">, </w:t>
      </w:r>
      <w:r w:rsidRPr="0080061A">
        <w:rPr>
          <w:rFonts w:ascii="TimesNewRomanPSMT" w:hAnsi="TimesNewRomanPSMT" w:cs="TimesNewRomanPSMT"/>
          <w:lang w:val="fr-FR"/>
        </w:rPr>
        <w:t>l’Institut pour l’emploi et la formation professionnelle</w:t>
      </w:r>
      <w:r w:rsidRPr="00AF434B">
        <w:rPr>
          <w:noProof/>
          <w:lang w:val="fr-FR"/>
        </w:rPr>
        <w:t xml:space="preserve"> </w:t>
      </w:r>
      <w:r>
        <w:rPr>
          <w:noProof/>
          <w:lang w:val="fr-FR"/>
        </w:rPr>
        <w:t xml:space="preserve">a </w:t>
      </w:r>
      <w:r w:rsidRPr="00AF434B">
        <w:rPr>
          <w:noProof/>
          <w:lang w:val="fr-FR"/>
        </w:rPr>
        <w:t>sign</w:t>
      </w:r>
      <w:r>
        <w:rPr>
          <w:noProof/>
          <w:lang w:val="fr-FR"/>
        </w:rPr>
        <w:t>é, e</w:t>
      </w:r>
      <w:r w:rsidRPr="00AF434B">
        <w:rPr>
          <w:noProof/>
          <w:lang w:val="fr-FR"/>
        </w:rPr>
        <w:t xml:space="preserve">n </w:t>
      </w:r>
      <w:r>
        <w:rPr>
          <w:noProof/>
          <w:lang w:val="fr-FR"/>
        </w:rPr>
        <w:t>n</w:t>
      </w:r>
      <w:r w:rsidRPr="00AF434B">
        <w:rPr>
          <w:noProof/>
          <w:lang w:val="fr-FR"/>
        </w:rPr>
        <w:t>ovemb</w:t>
      </w:r>
      <w:r>
        <w:rPr>
          <w:noProof/>
          <w:lang w:val="fr-FR"/>
        </w:rPr>
        <w:t>re</w:t>
      </w:r>
      <w:r w:rsidR="00B90119">
        <w:rPr>
          <w:noProof/>
          <w:lang w:val="fr-FR"/>
        </w:rPr>
        <w:t> </w:t>
      </w:r>
      <w:r w:rsidRPr="00AF434B">
        <w:rPr>
          <w:noProof/>
          <w:lang w:val="fr-FR"/>
        </w:rPr>
        <w:t xml:space="preserve">2017, </w:t>
      </w:r>
      <w:r>
        <w:rPr>
          <w:noProof/>
          <w:lang w:val="fr-FR"/>
        </w:rPr>
        <w:t xml:space="preserve">un protocole de </w:t>
      </w:r>
      <w:r w:rsidRPr="00AF434B">
        <w:rPr>
          <w:noProof/>
          <w:lang w:val="fr-FR"/>
        </w:rPr>
        <w:t>coop</w:t>
      </w:r>
      <w:r>
        <w:rPr>
          <w:noProof/>
          <w:lang w:val="fr-FR"/>
        </w:rPr>
        <w:t>é</w:t>
      </w:r>
      <w:r w:rsidRPr="00AF434B">
        <w:rPr>
          <w:noProof/>
          <w:lang w:val="fr-FR"/>
        </w:rPr>
        <w:t xml:space="preserve">ration </w:t>
      </w:r>
      <w:r>
        <w:rPr>
          <w:noProof/>
          <w:lang w:val="fr-FR"/>
        </w:rPr>
        <w:t xml:space="preserve">avec la Plateforme pour le soutien aux réfugiés et avec le </w:t>
      </w:r>
      <w:r w:rsidRPr="00AF434B">
        <w:rPr>
          <w:noProof/>
          <w:lang w:val="fr-FR"/>
        </w:rPr>
        <w:t>Group</w:t>
      </w:r>
      <w:r>
        <w:rPr>
          <w:noProof/>
          <w:lang w:val="fr-FR"/>
        </w:rPr>
        <w:t>e de réflexion et d’appui pour l’entreprise citoyenne, aux termes duquel ces trois entités sont convenues de contribuer de concert à promouvoir une stratégie de réalisation de cet objectif</w:t>
      </w:r>
      <w:r w:rsidRPr="00AF434B">
        <w:rPr>
          <w:noProof/>
          <w:lang w:val="fr-FR"/>
        </w:rPr>
        <w:t xml:space="preserve">. </w:t>
      </w:r>
      <w:r>
        <w:rPr>
          <w:noProof/>
          <w:lang w:val="fr-FR"/>
        </w:rPr>
        <w:t xml:space="preserve">On trouve notamment dans ce </w:t>
      </w:r>
      <w:r w:rsidRPr="00AF434B">
        <w:rPr>
          <w:noProof/>
          <w:lang w:val="fr-FR"/>
        </w:rPr>
        <w:t>Protocol</w:t>
      </w:r>
      <w:r>
        <w:rPr>
          <w:noProof/>
          <w:lang w:val="fr-FR"/>
        </w:rPr>
        <w:t>e un ferme engagement à l’égard de l’apprentissage du portugais dans différents contextes, lequel s’affirme comme l’un des moyens les plus privilégiés d’intégrer les quelque 4</w:t>
      </w:r>
      <w:r w:rsidR="00B90119">
        <w:rPr>
          <w:noProof/>
          <w:lang w:val="fr-FR"/>
        </w:rPr>
        <w:t> </w:t>
      </w:r>
      <w:r w:rsidRPr="00AF434B">
        <w:rPr>
          <w:noProof/>
          <w:lang w:val="fr-FR"/>
        </w:rPr>
        <w:t xml:space="preserve">500 </w:t>
      </w:r>
      <w:r>
        <w:rPr>
          <w:noProof/>
          <w:lang w:val="fr-FR"/>
        </w:rPr>
        <w:t>réfugiés que le Portugal s’attend à accueillir au cours des deux années à venir.</w:t>
      </w:r>
    </w:p>
    <w:p w14:paraId="6DD92C3B" w14:textId="77777777" w:rsidR="00BF0619" w:rsidRDefault="00BF0619" w:rsidP="00BF0619">
      <w:pPr>
        <w:pStyle w:val="SingleTxtG"/>
        <w:spacing w:after="240"/>
        <w:rPr>
          <w:noProof/>
          <w:lang w:val="fr-FR"/>
        </w:rPr>
      </w:pPr>
      <w:r w:rsidRPr="00AF434B">
        <w:rPr>
          <w:noProof/>
          <w:lang w:val="fr-FR"/>
        </w:rPr>
        <w:t>53.</w:t>
      </w:r>
      <w:r w:rsidRPr="00AF434B">
        <w:rPr>
          <w:noProof/>
          <w:lang w:val="fr-FR"/>
        </w:rPr>
        <w:tab/>
      </w:r>
      <w:r>
        <w:rPr>
          <w:noProof/>
          <w:lang w:val="fr-FR"/>
        </w:rPr>
        <w:t>S’agissant des c</w:t>
      </w:r>
      <w:r w:rsidRPr="00AF434B">
        <w:rPr>
          <w:noProof/>
          <w:lang w:val="fr-FR"/>
        </w:rPr>
        <w:t>onditions</w:t>
      </w:r>
      <w:r>
        <w:rPr>
          <w:noProof/>
          <w:lang w:val="fr-FR"/>
        </w:rPr>
        <w:t xml:space="preserve"> de travail</w:t>
      </w:r>
      <w:r w:rsidRPr="00AF434B">
        <w:rPr>
          <w:noProof/>
          <w:lang w:val="fr-FR"/>
        </w:rPr>
        <w:t xml:space="preserve">, </w:t>
      </w:r>
      <w:r>
        <w:rPr>
          <w:noProof/>
          <w:lang w:val="fr-FR"/>
        </w:rPr>
        <w:t>l’a</w:t>
      </w:r>
      <w:r w:rsidRPr="00AF434B">
        <w:rPr>
          <w:noProof/>
          <w:lang w:val="fr-FR"/>
        </w:rPr>
        <w:t xml:space="preserve">rticle 4 </w:t>
      </w:r>
      <w:r>
        <w:rPr>
          <w:noProof/>
          <w:lang w:val="fr-FR"/>
        </w:rPr>
        <w:t>du Code du travail confère à</w:t>
      </w:r>
      <w:r w:rsidRPr="00AF434B">
        <w:rPr>
          <w:noProof/>
          <w:lang w:val="fr-FR"/>
        </w:rPr>
        <w:t xml:space="preserve"> </w:t>
      </w:r>
      <w:r>
        <w:rPr>
          <w:noProof/>
          <w:lang w:val="fr-FR"/>
        </w:rPr>
        <w:t>un travailleur étranger ou apatride qui est autorisé à exercer une activité professionnelle salariée sur le territoire national les mêmes droits qu’à tout travailleur de nationalité portugaise</w:t>
      </w:r>
      <w:r w:rsidRPr="00AF434B">
        <w:rPr>
          <w:noProof/>
          <w:lang w:val="fr-FR"/>
        </w:rPr>
        <w:t xml:space="preserve">. </w:t>
      </w:r>
      <w:r>
        <w:rPr>
          <w:noProof/>
          <w:lang w:val="fr-FR"/>
        </w:rPr>
        <w:t>Les contrats de travail passés avec des travailleurs étrangers ou apatrides doivent être établis par écrit et communiqués à l’Autorité chargée des conditions de travail à l’aide d’un formulaire</w:t>
      </w:r>
      <w:r w:rsidRPr="00AF434B">
        <w:rPr>
          <w:noProof/>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506"/>
        <w:gridCol w:w="996"/>
        <w:gridCol w:w="876"/>
        <w:gridCol w:w="876"/>
        <w:gridCol w:w="1116"/>
      </w:tblGrid>
      <w:tr w:rsidR="00BF0619" w:rsidRPr="00B90119" w14:paraId="0038AECE" w14:textId="77777777" w:rsidTr="00B90119">
        <w:trPr>
          <w:cantSplit/>
          <w:tblHeader/>
        </w:trPr>
        <w:tc>
          <w:tcPr>
            <w:tcW w:w="3506" w:type="dxa"/>
            <w:vMerge w:val="restart"/>
            <w:shd w:val="clear" w:color="auto" w:fill="auto"/>
            <w:vAlign w:val="bottom"/>
            <w:hideMark/>
          </w:tcPr>
          <w:p w14:paraId="3F82C4CD" w14:textId="77777777" w:rsidR="00BF0619" w:rsidRPr="00B90119" w:rsidRDefault="00BF0619" w:rsidP="00B90119">
            <w:pPr>
              <w:suppressAutoHyphens w:val="0"/>
              <w:spacing w:before="80" w:after="80" w:line="200" w:lineRule="exact"/>
              <w:rPr>
                <w:i/>
                <w:noProof/>
                <w:sz w:val="16"/>
                <w:szCs w:val="16"/>
                <w:lang w:val="fr-FR"/>
              </w:rPr>
            </w:pPr>
            <w:r w:rsidRPr="00B90119">
              <w:rPr>
                <w:i/>
                <w:noProof/>
                <w:sz w:val="16"/>
                <w:szCs w:val="16"/>
                <w:lang w:val="fr-FR"/>
              </w:rPr>
              <w:t>Contrats de travail de travailleurs étrangers communiqués à l’Autorité chargé</w:t>
            </w:r>
            <w:r w:rsidR="00980D26">
              <w:rPr>
                <w:i/>
                <w:noProof/>
                <w:sz w:val="16"/>
                <w:szCs w:val="16"/>
                <w:lang w:val="fr-FR"/>
              </w:rPr>
              <w:t>e</w:t>
            </w:r>
            <w:r w:rsidRPr="00B90119">
              <w:rPr>
                <w:i/>
                <w:noProof/>
                <w:sz w:val="16"/>
                <w:szCs w:val="16"/>
                <w:lang w:val="fr-FR"/>
              </w:rPr>
              <w:t xml:space="preserve"> des conditions de</w:t>
            </w:r>
            <w:r w:rsidR="00B90119">
              <w:rPr>
                <w:i/>
                <w:noProof/>
                <w:sz w:val="16"/>
                <w:szCs w:val="16"/>
                <w:lang w:val="fr-FR"/>
              </w:rPr>
              <w:t> </w:t>
            </w:r>
            <w:r w:rsidRPr="00B90119">
              <w:rPr>
                <w:i/>
                <w:noProof/>
                <w:sz w:val="16"/>
                <w:szCs w:val="16"/>
                <w:lang w:val="fr-FR"/>
              </w:rPr>
              <w:t>travail (conclusion et expiration)</w:t>
            </w:r>
          </w:p>
        </w:tc>
        <w:tc>
          <w:tcPr>
            <w:tcW w:w="996" w:type="dxa"/>
            <w:shd w:val="clear" w:color="auto" w:fill="auto"/>
            <w:vAlign w:val="bottom"/>
            <w:hideMark/>
          </w:tcPr>
          <w:p w14:paraId="16C4BF92" w14:textId="77777777" w:rsidR="00BF0619" w:rsidRPr="00B90119" w:rsidRDefault="00BF0619" w:rsidP="00B90119">
            <w:pPr>
              <w:suppressAutoHyphens w:val="0"/>
              <w:spacing w:before="40" w:after="40" w:line="220" w:lineRule="exact"/>
              <w:jc w:val="right"/>
              <w:rPr>
                <w:i/>
                <w:noProof/>
                <w:sz w:val="16"/>
                <w:szCs w:val="16"/>
                <w:lang w:val="fr-FR"/>
              </w:rPr>
            </w:pPr>
            <w:r w:rsidRPr="00B90119">
              <w:rPr>
                <w:i/>
                <w:noProof/>
                <w:sz w:val="16"/>
                <w:szCs w:val="16"/>
                <w:lang w:val="fr-FR"/>
              </w:rPr>
              <w:t>2014</w:t>
            </w:r>
          </w:p>
        </w:tc>
        <w:tc>
          <w:tcPr>
            <w:tcW w:w="876" w:type="dxa"/>
            <w:shd w:val="clear" w:color="auto" w:fill="auto"/>
            <w:vAlign w:val="bottom"/>
            <w:hideMark/>
          </w:tcPr>
          <w:p w14:paraId="14F60860" w14:textId="77777777" w:rsidR="00BF0619" w:rsidRPr="00B90119" w:rsidRDefault="00BF0619" w:rsidP="00B90119">
            <w:pPr>
              <w:suppressAutoHyphens w:val="0"/>
              <w:spacing w:before="40" w:after="40" w:line="220" w:lineRule="exact"/>
              <w:jc w:val="right"/>
              <w:rPr>
                <w:i/>
                <w:noProof/>
                <w:sz w:val="16"/>
                <w:szCs w:val="16"/>
                <w:lang w:val="fr-FR"/>
              </w:rPr>
            </w:pPr>
            <w:r w:rsidRPr="00B90119">
              <w:rPr>
                <w:i/>
                <w:noProof/>
                <w:sz w:val="16"/>
                <w:szCs w:val="16"/>
                <w:lang w:val="fr-FR"/>
              </w:rPr>
              <w:t>2015</w:t>
            </w:r>
          </w:p>
        </w:tc>
        <w:tc>
          <w:tcPr>
            <w:tcW w:w="876" w:type="dxa"/>
            <w:shd w:val="clear" w:color="auto" w:fill="auto"/>
            <w:vAlign w:val="bottom"/>
            <w:hideMark/>
          </w:tcPr>
          <w:p w14:paraId="3DAC1787" w14:textId="77777777" w:rsidR="00BF0619" w:rsidRPr="00B90119" w:rsidRDefault="00BF0619" w:rsidP="00B90119">
            <w:pPr>
              <w:suppressAutoHyphens w:val="0"/>
              <w:spacing w:before="40" w:after="40" w:line="220" w:lineRule="exact"/>
              <w:jc w:val="right"/>
              <w:rPr>
                <w:i/>
                <w:noProof/>
                <w:sz w:val="16"/>
                <w:szCs w:val="16"/>
                <w:lang w:val="fr-FR"/>
              </w:rPr>
            </w:pPr>
            <w:r w:rsidRPr="00B90119">
              <w:rPr>
                <w:i/>
                <w:noProof/>
                <w:sz w:val="16"/>
                <w:szCs w:val="16"/>
                <w:lang w:val="fr-FR"/>
              </w:rPr>
              <w:t>2016</w:t>
            </w:r>
          </w:p>
        </w:tc>
        <w:tc>
          <w:tcPr>
            <w:tcW w:w="1116" w:type="dxa"/>
            <w:shd w:val="clear" w:color="auto" w:fill="auto"/>
            <w:vAlign w:val="bottom"/>
          </w:tcPr>
          <w:p w14:paraId="0E0F68EB" w14:textId="77777777" w:rsidR="00BF0619" w:rsidRPr="00B90119" w:rsidRDefault="00BF0619" w:rsidP="00B90119">
            <w:pPr>
              <w:suppressAutoHyphens w:val="0"/>
              <w:spacing w:before="40" w:after="40" w:line="220" w:lineRule="exact"/>
              <w:jc w:val="right"/>
              <w:rPr>
                <w:i/>
                <w:noProof/>
                <w:sz w:val="16"/>
                <w:szCs w:val="16"/>
                <w:lang w:val="fr-FR"/>
              </w:rPr>
            </w:pPr>
            <w:r w:rsidRPr="00B90119">
              <w:rPr>
                <w:i/>
                <w:noProof/>
                <w:sz w:val="16"/>
                <w:szCs w:val="16"/>
                <w:lang w:val="fr-FR"/>
              </w:rPr>
              <w:t>2017</w:t>
            </w:r>
          </w:p>
        </w:tc>
      </w:tr>
      <w:tr w:rsidR="00BF0619" w:rsidRPr="00B90119" w14:paraId="1703F474" w14:textId="77777777" w:rsidTr="00B90119">
        <w:trPr>
          <w:cantSplit/>
          <w:tblHeader/>
        </w:trPr>
        <w:tc>
          <w:tcPr>
            <w:tcW w:w="3506" w:type="dxa"/>
            <w:vMerge/>
            <w:shd w:val="clear" w:color="auto" w:fill="auto"/>
            <w:hideMark/>
          </w:tcPr>
          <w:p w14:paraId="1996C77D" w14:textId="77777777" w:rsidR="00BF0619" w:rsidRPr="00B90119" w:rsidRDefault="00BF0619" w:rsidP="00B90119">
            <w:pPr>
              <w:suppressAutoHyphens w:val="0"/>
              <w:spacing w:before="40" w:after="40" w:line="220" w:lineRule="exact"/>
              <w:rPr>
                <w:noProof/>
                <w:sz w:val="18"/>
                <w:lang w:val="fr-FR"/>
              </w:rPr>
            </w:pPr>
          </w:p>
        </w:tc>
        <w:tc>
          <w:tcPr>
            <w:tcW w:w="996" w:type="dxa"/>
            <w:shd w:val="clear" w:color="auto" w:fill="auto"/>
            <w:vAlign w:val="bottom"/>
            <w:hideMark/>
          </w:tcPr>
          <w:p w14:paraId="486FD828"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17 960*</w:t>
            </w:r>
          </w:p>
        </w:tc>
        <w:tc>
          <w:tcPr>
            <w:tcW w:w="876" w:type="dxa"/>
            <w:shd w:val="clear" w:color="auto" w:fill="auto"/>
            <w:vAlign w:val="bottom"/>
            <w:hideMark/>
          </w:tcPr>
          <w:p w14:paraId="05C46543"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6 160*</w:t>
            </w:r>
          </w:p>
        </w:tc>
        <w:tc>
          <w:tcPr>
            <w:tcW w:w="876" w:type="dxa"/>
            <w:shd w:val="clear" w:color="auto" w:fill="auto"/>
            <w:vAlign w:val="bottom"/>
            <w:hideMark/>
          </w:tcPr>
          <w:p w14:paraId="5A6D6227"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2 507</w:t>
            </w:r>
            <w:r w:rsidRPr="00B90119">
              <w:rPr>
                <w:noProof/>
                <w:sz w:val="18"/>
                <w:szCs w:val="22"/>
                <w:lang w:val="fr-FR"/>
              </w:rPr>
              <w:t>*</w:t>
            </w:r>
          </w:p>
        </w:tc>
        <w:tc>
          <w:tcPr>
            <w:tcW w:w="1116" w:type="dxa"/>
            <w:shd w:val="clear" w:color="auto" w:fill="auto"/>
            <w:vAlign w:val="bottom"/>
          </w:tcPr>
          <w:p w14:paraId="315B4F74"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54 412</w:t>
            </w:r>
            <w:r w:rsidRPr="00B90119">
              <w:rPr>
                <w:noProof/>
                <w:sz w:val="18"/>
                <w:szCs w:val="22"/>
                <w:lang w:val="fr-FR"/>
              </w:rPr>
              <w:t>**</w:t>
            </w:r>
          </w:p>
        </w:tc>
      </w:tr>
    </w:tbl>
    <w:p w14:paraId="0DC5BB6B" w14:textId="77777777" w:rsidR="00BF0619" w:rsidRPr="00B90119" w:rsidRDefault="00BF0619" w:rsidP="00BF0619">
      <w:pPr>
        <w:spacing w:before="120"/>
        <w:ind w:left="1134" w:right="1134" w:firstLine="170"/>
        <w:rPr>
          <w:noProof/>
          <w:sz w:val="18"/>
          <w:szCs w:val="18"/>
          <w:lang w:val="fr-FR"/>
        </w:rPr>
      </w:pPr>
      <w:r w:rsidRPr="00B90119">
        <w:rPr>
          <w:noProof/>
          <w:sz w:val="18"/>
          <w:szCs w:val="18"/>
          <w:lang w:val="fr-FR"/>
        </w:rPr>
        <w:t xml:space="preserve">* </w:t>
      </w:r>
      <w:r w:rsidRPr="00B90119">
        <w:rPr>
          <w:i/>
          <w:iCs/>
          <w:noProof/>
          <w:sz w:val="18"/>
          <w:szCs w:val="18"/>
          <w:lang w:val="fr-FR"/>
        </w:rPr>
        <w:t>Source</w:t>
      </w:r>
      <w:r w:rsidR="00B90119">
        <w:rPr>
          <w:i/>
          <w:iCs/>
          <w:noProof/>
          <w:sz w:val="18"/>
          <w:szCs w:val="18"/>
          <w:lang w:val="fr-FR"/>
        </w:rPr>
        <w:t> </w:t>
      </w:r>
      <w:r w:rsidRPr="00B90119">
        <w:rPr>
          <w:noProof/>
          <w:sz w:val="18"/>
          <w:szCs w:val="18"/>
          <w:lang w:val="fr-FR"/>
        </w:rPr>
        <w:t xml:space="preserve">: </w:t>
      </w:r>
      <w:r w:rsidR="00980D26" w:rsidRPr="00B90119">
        <w:rPr>
          <w:noProof/>
          <w:sz w:val="18"/>
          <w:szCs w:val="18"/>
          <w:lang w:val="fr-FR"/>
        </w:rPr>
        <w:t>E</w:t>
      </w:r>
      <w:r w:rsidRPr="00B90119">
        <w:rPr>
          <w:noProof/>
          <w:sz w:val="18"/>
          <w:szCs w:val="18"/>
          <w:lang w:val="fr-FR"/>
        </w:rPr>
        <w:t>nregistrement des communications dans le système informatique de l’Autorité.</w:t>
      </w:r>
    </w:p>
    <w:p w14:paraId="75B3B0F7" w14:textId="77777777" w:rsidR="00BF0619" w:rsidRPr="00B90119" w:rsidRDefault="00BF0619" w:rsidP="00BF0619">
      <w:pPr>
        <w:spacing w:after="240"/>
        <w:ind w:left="1134" w:right="1134" w:firstLine="170"/>
        <w:rPr>
          <w:noProof/>
          <w:sz w:val="18"/>
          <w:szCs w:val="18"/>
          <w:lang w:val="fr-FR"/>
        </w:rPr>
      </w:pPr>
      <w:r w:rsidRPr="00B90119">
        <w:rPr>
          <w:noProof/>
          <w:sz w:val="18"/>
          <w:szCs w:val="18"/>
          <w:lang w:val="fr-FR"/>
        </w:rPr>
        <w:t xml:space="preserve">** </w:t>
      </w:r>
      <w:r w:rsidRPr="00B90119">
        <w:rPr>
          <w:i/>
          <w:iCs/>
          <w:noProof/>
          <w:sz w:val="18"/>
          <w:szCs w:val="18"/>
          <w:lang w:val="fr-FR"/>
        </w:rPr>
        <w:t>Source</w:t>
      </w:r>
      <w:r w:rsidR="00B90119">
        <w:rPr>
          <w:i/>
          <w:iCs/>
          <w:noProof/>
          <w:sz w:val="18"/>
          <w:szCs w:val="18"/>
          <w:lang w:val="fr-FR"/>
        </w:rPr>
        <w:t> </w:t>
      </w:r>
      <w:r w:rsidRPr="00B90119">
        <w:rPr>
          <w:noProof/>
          <w:sz w:val="18"/>
          <w:szCs w:val="18"/>
          <w:lang w:val="fr-FR"/>
        </w:rPr>
        <w:t xml:space="preserve">: </w:t>
      </w:r>
      <w:r w:rsidR="00980D26" w:rsidRPr="00B90119">
        <w:rPr>
          <w:noProof/>
          <w:sz w:val="18"/>
          <w:szCs w:val="18"/>
          <w:lang w:val="fr-FR"/>
        </w:rPr>
        <w:t>S</w:t>
      </w:r>
      <w:r w:rsidRPr="00B90119">
        <w:rPr>
          <w:noProof/>
          <w:sz w:val="18"/>
          <w:szCs w:val="18"/>
          <w:lang w:val="fr-FR"/>
        </w:rPr>
        <w:t>ite Web de l’Autorité. En 2017, un formulaire de communication des contrats de</w:t>
      </w:r>
      <w:r w:rsidR="00B90119">
        <w:rPr>
          <w:noProof/>
          <w:sz w:val="18"/>
          <w:szCs w:val="18"/>
          <w:lang w:val="fr-FR"/>
        </w:rPr>
        <w:t> </w:t>
      </w:r>
      <w:r w:rsidRPr="00B90119">
        <w:rPr>
          <w:noProof/>
          <w:sz w:val="18"/>
          <w:szCs w:val="18"/>
          <w:lang w:val="fr-FR"/>
        </w:rPr>
        <w:t>travail des travailleurs étrangers a fait son apparition et l’information correspondante a été automatisée.</w:t>
      </w:r>
    </w:p>
    <w:p w14:paraId="0998DD4F" w14:textId="77777777" w:rsidR="00BF0619" w:rsidRPr="00AF434B" w:rsidRDefault="00BF0619" w:rsidP="00BF0619">
      <w:pPr>
        <w:pStyle w:val="SingleTxtG"/>
        <w:rPr>
          <w:noProof/>
          <w:lang w:val="fr-FR"/>
        </w:rPr>
      </w:pPr>
      <w:r w:rsidRPr="00AF434B">
        <w:rPr>
          <w:noProof/>
          <w:lang w:val="fr-FR"/>
        </w:rPr>
        <w:t>54.</w:t>
      </w:r>
      <w:r w:rsidRPr="00AF434B">
        <w:rPr>
          <w:noProof/>
          <w:lang w:val="fr-FR"/>
        </w:rPr>
        <w:tab/>
      </w:r>
      <w:r>
        <w:rPr>
          <w:noProof/>
          <w:lang w:val="fr-FR"/>
        </w:rPr>
        <w:t xml:space="preserve">Au vu de la </w:t>
      </w:r>
      <w:r w:rsidRPr="00AF434B">
        <w:rPr>
          <w:noProof/>
          <w:lang w:val="fr-FR"/>
        </w:rPr>
        <w:t>repr</w:t>
      </w:r>
      <w:r>
        <w:rPr>
          <w:noProof/>
          <w:lang w:val="fr-FR"/>
        </w:rPr>
        <w:t>é</w:t>
      </w:r>
      <w:r w:rsidRPr="00AF434B">
        <w:rPr>
          <w:noProof/>
          <w:lang w:val="fr-FR"/>
        </w:rPr>
        <w:t>sentativ</w:t>
      </w:r>
      <w:r>
        <w:rPr>
          <w:noProof/>
          <w:lang w:val="fr-FR"/>
        </w:rPr>
        <w:t xml:space="preserve">ité des travailleurs </w:t>
      </w:r>
      <w:r w:rsidRPr="00AF434B">
        <w:rPr>
          <w:noProof/>
          <w:lang w:val="fr-FR"/>
        </w:rPr>
        <w:t>immigr</w:t>
      </w:r>
      <w:r>
        <w:rPr>
          <w:noProof/>
          <w:lang w:val="fr-FR"/>
        </w:rPr>
        <w:t xml:space="preserve">és au </w:t>
      </w:r>
      <w:r w:rsidRPr="00AF434B">
        <w:rPr>
          <w:noProof/>
          <w:lang w:val="fr-FR"/>
        </w:rPr>
        <w:t xml:space="preserve">Portugal, </w:t>
      </w:r>
      <w:r>
        <w:rPr>
          <w:noProof/>
          <w:lang w:val="fr-FR"/>
        </w:rPr>
        <w:t xml:space="preserve">on a jugé nécessaire et prioritaire d’adopter une série de politiques et de mesures concrètes devant permettre d’améliorer leur accueil et leur intégration, dans une optique sectorielle, en attirant l’attention sur le domaine d’activité, ainsi que sur le </w:t>
      </w:r>
      <w:r w:rsidRPr="00AF434B">
        <w:rPr>
          <w:noProof/>
          <w:lang w:val="fr-FR"/>
        </w:rPr>
        <w:t>racism</w:t>
      </w:r>
      <w:r>
        <w:rPr>
          <w:noProof/>
          <w:lang w:val="fr-FR"/>
        </w:rPr>
        <w:t>e</w:t>
      </w:r>
      <w:r w:rsidRPr="00AF434B">
        <w:rPr>
          <w:noProof/>
          <w:lang w:val="fr-FR"/>
        </w:rPr>
        <w:t xml:space="preserve"> </w:t>
      </w:r>
      <w:r>
        <w:rPr>
          <w:noProof/>
          <w:lang w:val="fr-FR"/>
        </w:rPr>
        <w:t xml:space="preserve">et la </w:t>
      </w:r>
      <w:r w:rsidRPr="00AF434B">
        <w:rPr>
          <w:noProof/>
          <w:lang w:val="fr-FR"/>
        </w:rPr>
        <w:t xml:space="preserve">discrimination, </w:t>
      </w:r>
      <w:r>
        <w:rPr>
          <w:noProof/>
          <w:lang w:val="fr-FR"/>
        </w:rPr>
        <w:t xml:space="preserve">l’égalité des sexes et les </w:t>
      </w:r>
      <w:r w:rsidRPr="00AF434B">
        <w:rPr>
          <w:noProof/>
          <w:lang w:val="fr-FR"/>
        </w:rPr>
        <w:t>perspectives</w:t>
      </w:r>
      <w:r>
        <w:rPr>
          <w:noProof/>
          <w:lang w:val="fr-FR"/>
        </w:rPr>
        <w:t xml:space="preserve"> d’accession à la citoyenneté</w:t>
      </w:r>
      <w:r w:rsidRPr="00AF434B">
        <w:rPr>
          <w:noProof/>
          <w:lang w:val="fr-FR"/>
        </w:rPr>
        <w:t>.</w:t>
      </w:r>
    </w:p>
    <w:p w14:paraId="486ED0A1" w14:textId="77777777" w:rsidR="00BF0619" w:rsidRPr="00AF434B" w:rsidRDefault="00BF0619" w:rsidP="00BF0619">
      <w:pPr>
        <w:pStyle w:val="SingleTxtG"/>
        <w:rPr>
          <w:noProof/>
          <w:lang w:val="fr-FR"/>
        </w:rPr>
      </w:pPr>
      <w:r w:rsidRPr="00AF434B">
        <w:rPr>
          <w:noProof/>
          <w:lang w:val="fr-FR"/>
        </w:rPr>
        <w:t>55.</w:t>
      </w:r>
      <w:r w:rsidRPr="00AF434B">
        <w:rPr>
          <w:noProof/>
          <w:lang w:val="fr-FR"/>
        </w:rPr>
        <w:tab/>
      </w:r>
      <w:r>
        <w:rPr>
          <w:noProof/>
          <w:lang w:val="fr-FR"/>
        </w:rPr>
        <w:t>Le deuxième Plan n</w:t>
      </w:r>
      <w:r w:rsidRPr="00AF434B">
        <w:rPr>
          <w:noProof/>
          <w:lang w:val="fr-FR"/>
        </w:rPr>
        <w:t xml:space="preserve">ational </w:t>
      </w:r>
      <w:r>
        <w:rPr>
          <w:noProof/>
          <w:lang w:val="fr-FR"/>
        </w:rPr>
        <w:t>d’intégration des i</w:t>
      </w:r>
      <w:r w:rsidRPr="00AF434B">
        <w:rPr>
          <w:noProof/>
          <w:lang w:val="fr-FR"/>
        </w:rPr>
        <w:t xml:space="preserve">mmigrants </w:t>
      </w:r>
      <w:r>
        <w:rPr>
          <w:noProof/>
          <w:lang w:val="fr-FR"/>
        </w:rPr>
        <w:t xml:space="preserve">pour </w:t>
      </w:r>
      <w:r w:rsidRPr="00AF434B">
        <w:rPr>
          <w:noProof/>
          <w:lang w:val="fr-FR"/>
        </w:rPr>
        <w:t>2010</w:t>
      </w:r>
      <w:r>
        <w:rPr>
          <w:noProof/>
          <w:lang w:val="fr-FR"/>
        </w:rPr>
        <w:t>-</w:t>
      </w:r>
      <w:r w:rsidRPr="00AF434B">
        <w:rPr>
          <w:noProof/>
          <w:lang w:val="fr-FR"/>
        </w:rPr>
        <w:t>2013 (</w:t>
      </w:r>
      <w:r>
        <w:rPr>
          <w:noProof/>
          <w:lang w:val="fr-FR"/>
        </w:rPr>
        <w:t>adopté par la ré</w:t>
      </w:r>
      <w:r w:rsidRPr="00AF434B">
        <w:rPr>
          <w:noProof/>
          <w:lang w:val="fr-FR"/>
        </w:rPr>
        <w:t xml:space="preserve">solution </w:t>
      </w:r>
      <w:r>
        <w:rPr>
          <w:noProof/>
          <w:lang w:val="fr-FR"/>
        </w:rPr>
        <w:t xml:space="preserve">du Conseil des ministres </w:t>
      </w:r>
      <w:r w:rsidR="00B90119" w:rsidRPr="00B90119">
        <w:rPr>
          <w:rFonts w:eastAsia="MS Mincho"/>
          <w:noProof/>
          <w:szCs w:val="22"/>
          <w:lang w:val="fr-FR"/>
        </w:rPr>
        <w:t>n</w:t>
      </w:r>
      <w:r w:rsidR="00B90119" w:rsidRPr="00B90119">
        <w:rPr>
          <w:rFonts w:eastAsia="MS Mincho"/>
          <w:noProof/>
          <w:szCs w:val="22"/>
          <w:vertAlign w:val="superscript"/>
          <w:lang w:val="fr-FR"/>
        </w:rPr>
        <w:t>o</w:t>
      </w:r>
      <w:r w:rsidR="00B90119">
        <w:rPr>
          <w:noProof/>
          <w:lang w:val="fr-FR"/>
        </w:rPr>
        <w:t> </w:t>
      </w:r>
      <w:r w:rsidRPr="00AF434B">
        <w:rPr>
          <w:noProof/>
          <w:lang w:val="fr-FR"/>
        </w:rPr>
        <w:t>74/2010</w:t>
      </w:r>
      <w:r>
        <w:rPr>
          <w:noProof/>
          <w:lang w:val="fr-FR"/>
        </w:rPr>
        <w:t xml:space="preserve"> du</w:t>
      </w:r>
      <w:r w:rsidRPr="00AF434B">
        <w:rPr>
          <w:noProof/>
          <w:lang w:val="fr-FR"/>
        </w:rPr>
        <w:t xml:space="preserve"> 12</w:t>
      </w:r>
      <w:r w:rsidR="00980D26">
        <w:rPr>
          <w:noProof/>
          <w:lang w:val="fr-FR"/>
        </w:rPr>
        <w:t> </w:t>
      </w:r>
      <w:r>
        <w:rPr>
          <w:noProof/>
          <w:lang w:val="fr-FR"/>
        </w:rPr>
        <w:t>août</w:t>
      </w:r>
      <w:r w:rsidRPr="00AF434B">
        <w:rPr>
          <w:noProof/>
          <w:lang w:val="fr-FR"/>
        </w:rPr>
        <w:t xml:space="preserve">) </w:t>
      </w:r>
      <w:r>
        <w:rPr>
          <w:noProof/>
          <w:lang w:val="fr-FR"/>
        </w:rPr>
        <w:t>est l’un des outils de référence dans le domaine de l’inspection du travail</w:t>
      </w:r>
      <w:r w:rsidR="00980D26">
        <w:rPr>
          <w:noProof/>
          <w:lang w:val="fr-FR"/>
        </w:rPr>
        <w:t> </w:t>
      </w:r>
      <w:r>
        <w:rPr>
          <w:noProof/>
          <w:lang w:val="fr-FR"/>
        </w:rPr>
        <w:t>; il énonce les principes directeurs ci</w:t>
      </w:r>
      <w:r w:rsidR="00B90119">
        <w:rPr>
          <w:noProof/>
          <w:lang w:val="fr-FR"/>
        </w:rPr>
        <w:noBreakHyphen/>
      </w:r>
      <w:r>
        <w:rPr>
          <w:noProof/>
          <w:lang w:val="fr-FR"/>
        </w:rPr>
        <w:t>après</w:t>
      </w:r>
      <w:r w:rsidR="00B90119">
        <w:rPr>
          <w:noProof/>
          <w:lang w:val="fr-FR"/>
        </w:rPr>
        <w:t> :</w:t>
      </w:r>
    </w:p>
    <w:p w14:paraId="5E467B6A" w14:textId="77777777" w:rsidR="00BF0619" w:rsidRPr="00AF434B" w:rsidRDefault="00BF0619" w:rsidP="00B90119">
      <w:pPr>
        <w:pStyle w:val="SingleTxtG"/>
        <w:ind w:firstLine="567"/>
        <w:rPr>
          <w:noProof/>
          <w:lang w:val="fr-FR"/>
        </w:rPr>
      </w:pPr>
      <w:r w:rsidRPr="00AF434B">
        <w:rPr>
          <w:noProof/>
          <w:lang w:val="fr-FR"/>
        </w:rPr>
        <w:t>a)</w:t>
      </w:r>
      <w:r w:rsidRPr="00AF434B">
        <w:rPr>
          <w:noProof/>
          <w:lang w:val="fr-FR"/>
        </w:rPr>
        <w:tab/>
      </w:r>
      <w:r>
        <w:rPr>
          <w:noProof/>
          <w:lang w:val="fr-FR"/>
        </w:rPr>
        <w:t xml:space="preserve">Égalité des chances pour tous, s’agissant en particulier de réduire les obstacles à l’accès à l’emploi, de rejeter toute </w:t>
      </w:r>
      <w:r w:rsidRPr="00AF434B">
        <w:rPr>
          <w:noProof/>
          <w:lang w:val="fr-FR"/>
        </w:rPr>
        <w:t xml:space="preserve">discrimination </w:t>
      </w:r>
      <w:r>
        <w:rPr>
          <w:noProof/>
          <w:lang w:val="fr-FR"/>
        </w:rPr>
        <w:t xml:space="preserve">fondée par l’origine ethnique, la </w:t>
      </w:r>
      <w:r w:rsidRPr="00AF434B">
        <w:rPr>
          <w:noProof/>
          <w:lang w:val="fr-FR"/>
        </w:rPr>
        <w:t>nationalit</w:t>
      </w:r>
      <w:r>
        <w:rPr>
          <w:noProof/>
          <w:lang w:val="fr-FR"/>
        </w:rPr>
        <w:t>é</w:t>
      </w:r>
      <w:r w:rsidRPr="00AF434B">
        <w:rPr>
          <w:noProof/>
          <w:lang w:val="fr-FR"/>
        </w:rPr>
        <w:t xml:space="preserve">, </w:t>
      </w:r>
      <w:r>
        <w:rPr>
          <w:noProof/>
          <w:lang w:val="fr-FR"/>
        </w:rPr>
        <w:t>la langu</w:t>
      </w:r>
      <w:r w:rsidRPr="00AF434B">
        <w:rPr>
          <w:noProof/>
          <w:lang w:val="fr-FR"/>
        </w:rPr>
        <w:t xml:space="preserve">e, </w:t>
      </w:r>
      <w:r>
        <w:rPr>
          <w:noProof/>
          <w:lang w:val="fr-FR"/>
        </w:rPr>
        <w:t xml:space="preserve">la </w:t>
      </w:r>
      <w:r w:rsidRPr="00AF434B">
        <w:rPr>
          <w:noProof/>
          <w:lang w:val="fr-FR"/>
        </w:rPr>
        <w:t xml:space="preserve">religion </w:t>
      </w:r>
      <w:r>
        <w:rPr>
          <w:noProof/>
          <w:lang w:val="fr-FR"/>
        </w:rPr>
        <w:t>ou le sexe, et de lutter contre tout dysfonctionnment juridique ou administratif</w:t>
      </w:r>
      <w:r w:rsidR="00B90119">
        <w:rPr>
          <w:noProof/>
          <w:lang w:val="fr-FR"/>
        </w:rPr>
        <w:t> ;</w:t>
      </w:r>
    </w:p>
    <w:p w14:paraId="50F983EC" w14:textId="77777777" w:rsidR="00BF0619" w:rsidRPr="00AF434B" w:rsidRDefault="00BF0619" w:rsidP="00B90119">
      <w:pPr>
        <w:pStyle w:val="SingleTxtG"/>
        <w:ind w:firstLine="567"/>
        <w:rPr>
          <w:noProof/>
          <w:lang w:val="fr-FR"/>
        </w:rPr>
      </w:pPr>
      <w:r w:rsidRPr="00AF434B">
        <w:rPr>
          <w:noProof/>
          <w:lang w:val="fr-FR"/>
        </w:rPr>
        <w:t>b)</w:t>
      </w:r>
      <w:r w:rsidRPr="00AF434B">
        <w:rPr>
          <w:noProof/>
          <w:lang w:val="fr-FR"/>
        </w:rPr>
        <w:tab/>
      </w:r>
      <w:r>
        <w:rPr>
          <w:noProof/>
          <w:lang w:val="fr-FR"/>
        </w:rPr>
        <w:t>Attention spéciale accordée à l’égalité des sexes</w:t>
      </w:r>
      <w:r w:rsidRPr="00AF434B">
        <w:rPr>
          <w:noProof/>
          <w:lang w:val="fr-FR"/>
        </w:rPr>
        <w:t xml:space="preserve">, </w:t>
      </w:r>
      <w:r>
        <w:rPr>
          <w:noProof/>
          <w:lang w:val="fr-FR"/>
        </w:rPr>
        <w:t>en prenant conscience de la double vulnérabilité des femmes migrantes</w:t>
      </w:r>
      <w:r w:rsidR="00B90119">
        <w:rPr>
          <w:noProof/>
          <w:lang w:val="fr-FR"/>
        </w:rPr>
        <w:t> ;</w:t>
      </w:r>
    </w:p>
    <w:p w14:paraId="0F46DC97" w14:textId="77777777" w:rsidR="00BF0619" w:rsidRPr="00AF434B" w:rsidRDefault="00BF0619" w:rsidP="00B90119">
      <w:pPr>
        <w:pStyle w:val="SingleTxtG"/>
        <w:ind w:firstLine="567"/>
        <w:rPr>
          <w:noProof/>
          <w:lang w:val="fr-FR"/>
        </w:rPr>
      </w:pPr>
      <w:r w:rsidRPr="00AF434B">
        <w:rPr>
          <w:noProof/>
          <w:lang w:val="fr-FR"/>
        </w:rPr>
        <w:t>c)</w:t>
      </w:r>
      <w:r w:rsidRPr="00AF434B">
        <w:rPr>
          <w:noProof/>
          <w:lang w:val="fr-FR"/>
        </w:rPr>
        <w:tab/>
      </w:r>
      <w:r>
        <w:rPr>
          <w:noProof/>
          <w:lang w:val="fr-FR"/>
        </w:rPr>
        <w:t>Proclamation s</w:t>
      </w:r>
      <w:r w:rsidRPr="00AF434B">
        <w:rPr>
          <w:noProof/>
          <w:lang w:val="fr-FR"/>
        </w:rPr>
        <w:t>imultan</w:t>
      </w:r>
      <w:r>
        <w:rPr>
          <w:noProof/>
          <w:lang w:val="fr-FR"/>
        </w:rPr>
        <w:t>é</w:t>
      </w:r>
      <w:r w:rsidRPr="00AF434B">
        <w:rPr>
          <w:noProof/>
          <w:lang w:val="fr-FR"/>
        </w:rPr>
        <w:t>e</w:t>
      </w:r>
      <w:r>
        <w:rPr>
          <w:noProof/>
          <w:lang w:val="fr-FR"/>
        </w:rPr>
        <w:t xml:space="preserve"> et indissociable des droits et des obligations des </w:t>
      </w:r>
      <w:r w:rsidRPr="00AF434B">
        <w:rPr>
          <w:noProof/>
          <w:lang w:val="fr-FR"/>
        </w:rPr>
        <w:t>immigrants.</w:t>
      </w:r>
    </w:p>
    <w:p w14:paraId="2C8936E4" w14:textId="77777777" w:rsidR="00BF0619" w:rsidRPr="00AF434B" w:rsidRDefault="00BF0619" w:rsidP="00BF0619">
      <w:pPr>
        <w:pStyle w:val="SingleTxtG"/>
        <w:rPr>
          <w:noProof/>
          <w:lang w:val="fr-FR"/>
        </w:rPr>
      </w:pPr>
      <w:r w:rsidRPr="00AF434B">
        <w:rPr>
          <w:noProof/>
          <w:lang w:val="fr-FR"/>
        </w:rPr>
        <w:t>56.</w:t>
      </w:r>
      <w:r w:rsidRPr="00AF434B">
        <w:rPr>
          <w:noProof/>
          <w:lang w:val="fr-FR"/>
        </w:rPr>
        <w:tab/>
      </w:r>
      <w:r>
        <w:rPr>
          <w:noProof/>
          <w:lang w:val="fr-FR"/>
        </w:rPr>
        <w:t>Dans le cadre du Plan stratégique en faveur de la m</w:t>
      </w:r>
      <w:r w:rsidRPr="00AF434B">
        <w:rPr>
          <w:noProof/>
          <w:lang w:val="fr-FR"/>
        </w:rPr>
        <w:t xml:space="preserve">igration </w:t>
      </w:r>
      <w:r>
        <w:rPr>
          <w:noProof/>
          <w:lang w:val="fr-FR"/>
        </w:rPr>
        <w:t xml:space="preserve">pour </w:t>
      </w:r>
      <w:r w:rsidRPr="00AF434B">
        <w:rPr>
          <w:noProof/>
          <w:lang w:val="fr-FR"/>
        </w:rPr>
        <w:t>2015</w:t>
      </w:r>
      <w:r>
        <w:rPr>
          <w:noProof/>
          <w:lang w:val="fr-FR"/>
        </w:rPr>
        <w:t>-</w:t>
      </w:r>
      <w:r w:rsidRPr="00AF434B">
        <w:rPr>
          <w:noProof/>
          <w:lang w:val="fr-FR"/>
        </w:rPr>
        <w:t>2020</w:t>
      </w:r>
      <w:r>
        <w:rPr>
          <w:noProof/>
          <w:lang w:val="fr-FR"/>
        </w:rPr>
        <w:t>, l’Autorité chargée des conditions de travail a mené les interventions suivantes</w:t>
      </w:r>
      <w:r w:rsidR="00B90119">
        <w:rPr>
          <w:noProof/>
          <w:lang w:val="fr-FR"/>
        </w:rPr>
        <w:t> :</w:t>
      </w:r>
    </w:p>
    <w:p w14:paraId="270B9ED9" w14:textId="77777777" w:rsidR="00BF0619" w:rsidRPr="00AF434B" w:rsidRDefault="00BF0619" w:rsidP="00B90119">
      <w:pPr>
        <w:pStyle w:val="SingleTxtG"/>
        <w:ind w:firstLine="567"/>
        <w:rPr>
          <w:noProof/>
          <w:lang w:val="fr-FR"/>
        </w:rPr>
      </w:pPr>
      <w:r w:rsidRPr="00AF434B">
        <w:rPr>
          <w:noProof/>
          <w:lang w:val="fr-FR"/>
        </w:rPr>
        <w:t>a)</w:t>
      </w:r>
      <w:r w:rsidRPr="00AF434B">
        <w:rPr>
          <w:noProof/>
          <w:lang w:val="fr-FR"/>
        </w:rPr>
        <w:tab/>
        <w:t xml:space="preserve">Intensification </w:t>
      </w:r>
      <w:r>
        <w:rPr>
          <w:noProof/>
          <w:lang w:val="fr-FR"/>
        </w:rPr>
        <w:t>de la lutte contre l’utilisation de travailleurs clandestins au moyen du renforcement de l’activité d’inspection menée auprès des employeurs</w:t>
      </w:r>
      <w:r w:rsidR="00B90119">
        <w:rPr>
          <w:noProof/>
          <w:lang w:val="fr-FR"/>
        </w:rPr>
        <w:t> ;</w:t>
      </w:r>
    </w:p>
    <w:p w14:paraId="03D9B264" w14:textId="77777777" w:rsidR="00BF0619" w:rsidRPr="00AF434B" w:rsidRDefault="00BF0619" w:rsidP="00B90119">
      <w:pPr>
        <w:pStyle w:val="SingleTxtG"/>
        <w:ind w:firstLine="567"/>
        <w:rPr>
          <w:noProof/>
          <w:lang w:val="fr-FR"/>
        </w:rPr>
      </w:pPr>
      <w:r w:rsidRPr="00AF434B">
        <w:rPr>
          <w:noProof/>
          <w:lang w:val="fr-FR"/>
        </w:rPr>
        <w:t>b)</w:t>
      </w:r>
      <w:r w:rsidRPr="00AF434B">
        <w:rPr>
          <w:noProof/>
          <w:lang w:val="fr-FR"/>
        </w:rPr>
        <w:tab/>
      </w:r>
      <w:r>
        <w:rPr>
          <w:noProof/>
          <w:lang w:val="fr-FR"/>
        </w:rPr>
        <w:t>Rationalisation des activités de sensibilisation et d’information conduites auprès des associations d’employeurs et de travailleurs</w:t>
      </w:r>
      <w:r w:rsidR="00B90119">
        <w:rPr>
          <w:noProof/>
          <w:lang w:val="fr-FR"/>
        </w:rPr>
        <w:t> ;</w:t>
      </w:r>
    </w:p>
    <w:p w14:paraId="519D6BB6" w14:textId="77777777" w:rsidR="00BF0619" w:rsidRPr="00AF434B" w:rsidRDefault="00BF0619" w:rsidP="00B90119">
      <w:pPr>
        <w:pStyle w:val="SingleTxtG"/>
        <w:ind w:firstLine="567"/>
        <w:rPr>
          <w:noProof/>
          <w:lang w:val="fr-FR"/>
        </w:rPr>
      </w:pPr>
      <w:r w:rsidRPr="00AF434B">
        <w:rPr>
          <w:noProof/>
          <w:lang w:val="fr-FR"/>
        </w:rPr>
        <w:t>c)</w:t>
      </w:r>
      <w:r w:rsidRPr="00AF434B">
        <w:rPr>
          <w:noProof/>
          <w:lang w:val="fr-FR"/>
        </w:rPr>
        <w:tab/>
      </w:r>
      <w:r>
        <w:rPr>
          <w:noProof/>
          <w:lang w:val="fr-FR"/>
        </w:rPr>
        <w:t xml:space="preserve">Adoption de mesures sur le lieu de travail, promotion de la citoyenneté et de l’égalité des sexes par l’intégration des immigrants, et lutte contre l’utilisation de travailleurs clandestins </w:t>
      </w:r>
      <w:r w:rsidRPr="00AF434B">
        <w:rPr>
          <w:noProof/>
          <w:lang w:val="fr-FR"/>
        </w:rPr>
        <w:t>(</w:t>
      </w:r>
      <w:r>
        <w:rPr>
          <w:noProof/>
          <w:lang w:val="fr-FR"/>
        </w:rPr>
        <w:t>notamment le travail non déclaré</w:t>
      </w:r>
      <w:r w:rsidRPr="00AF434B">
        <w:rPr>
          <w:noProof/>
          <w:lang w:val="fr-FR"/>
        </w:rPr>
        <w:t xml:space="preserve">), </w:t>
      </w:r>
      <w:r>
        <w:rPr>
          <w:noProof/>
          <w:lang w:val="fr-FR"/>
        </w:rPr>
        <w:t xml:space="preserve">la </w:t>
      </w:r>
      <w:r w:rsidRPr="00AF434B">
        <w:rPr>
          <w:noProof/>
          <w:lang w:val="fr-FR"/>
        </w:rPr>
        <w:t xml:space="preserve">discrimination </w:t>
      </w:r>
      <w:r>
        <w:rPr>
          <w:noProof/>
          <w:lang w:val="fr-FR"/>
        </w:rPr>
        <w:t>raciale et la traite des personnes</w:t>
      </w:r>
      <w:r w:rsidRPr="00AF434B">
        <w:rPr>
          <w:noProof/>
          <w:lang w:val="fr-FR"/>
        </w:rPr>
        <w:t>.</w:t>
      </w:r>
    </w:p>
    <w:p w14:paraId="1F3A069A" w14:textId="77777777" w:rsidR="00BF0619" w:rsidRPr="00AF434B" w:rsidRDefault="00BF0619" w:rsidP="00BF0619">
      <w:pPr>
        <w:pStyle w:val="SingleTxtG"/>
        <w:rPr>
          <w:noProof/>
          <w:lang w:val="fr-FR"/>
        </w:rPr>
      </w:pPr>
      <w:r w:rsidRPr="00AF434B">
        <w:rPr>
          <w:noProof/>
          <w:lang w:val="fr-FR"/>
        </w:rPr>
        <w:t>57.</w:t>
      </w:r>
      <w:r w:rsidRPr="00AF434B">
        <w:rPr>
          <w:noProof/>
          <w:lang w:val="fr-FR"/>
        </w:rPr>
        <w:tab/>
      </w:r>
      <w:r>
        <w:rPr>
          <w:noProof/>
          <w:lang w:val="fr-FR"/>
        </w:rPr>
        <w:t>L’Autorité chargée des conditions de travail a participé à la mise en œuvre de différents plans nationaux de lutte contre la traite des personnes, dans la mesure où l’infraction de traite peut être commise aux fin de l’exploitation du travail</w:t>
      </w:r>
      <w:r w:rsidRPr="00AF434B">
        <w:rPr>
          <w:noProof/>
          <w:lang w:val="fr-FR"/>
        </w:rPr>
        <w:t xml:space="preserve">. </w:t>
      </w:r>
      <w:r>
        <w:rPr>
          <w:noProof/>
          <w:lang w:val="fr-FR"/>
        </w:rPr>
        <w:t>Les inspecteurs du travail jouent un rôle spécial en matière de signalement au pouvoir judiciaire de toutes les situations qu’ils peuvent détecter au sein des entreprises et parmi les agents économiques</w:t>
      </w:r>
      <w:r w:rsidRPr="00AF434B">
        <w:rPr>
          <w:noProof/>
          <w:lang w:val="fr-FR"/>
        </w:rPr>
        <w:t>.</w:t>
      </w:r>
    </w:p>
    <w:p w14:paraId="101C017D" w14:textId="77777777" w:rsidR="00BF0619" w:rsidRPr="00AF434B" w:rsidRDefault="00BF0619" w:rsidP="00BF0619">
      <w:pPr>
        <w:pStyle w:val="SingleTxtG"/>
        <w:rPr>
          <w:noProof/>
          <w:lang w:val="fr-FR"/>
        </w:rPr>
      </w:pPr>
      <w:r w:rsidRPr="00AF434B">
        <w:rPr>
          <w:noProof/>
          <w:lang w:val="fr-FR"/>
        </w:rPr>
        <w:t>58.</w:t>
      </w:r>
      <w:r w:rsidRPr="00AF434B">
        <w:rPr>
          <w:noProof/>
          <w:lang w:val="fr-FR"/>
        </w:rPr>
        <w:tab/>
      </w:r>
      <w:r>
        <w:rPr>
          <w:noProof/>
          <w:lang w:val="fr-FR"/>
        </w:rPr>
        <w:t>E</w:t>
      </w:r>
      <w:r w:rsidRPr="00AF434B">
        <w:rPr>
          <w:noProof/>
          <w:lang w:val="fr-FR"/>
        </w:rPr>
        <w:t>n 2014</w:t>
      </w:r>
      <w:r>
        <w:rPr>
          <w:noProof/>
          <w:lang w:val="fr-FR"/>
        </w:rPr>
        <w:t xml:space="preserve"> et 20</w:t>
      </w:r>
      <w:r w:rsidRPr="00AF434B">
        <w:rPr>
          <w:noProof/>
          <w:lang w:val="fr-FR"/>
        </w:rPr>
        <w:t xml:space="preserve">15, </w:t>
      </w:r>
      <w:r>
        <w:rPr>
          <w:noProof/>
          <w:lang w:val="fr-FR"/>
        </w:rPr>
        <w:t xml:space="preserve">l’Autorité, le Haut-Commissariat pour les migrations, </w:t>
      </w:r>
      <w:r w:rsidRPr="0080061A">
        <w:rPr>
          <w:rFonts w:ascii="TimesNewRomanPSMT" w:hAnsi="TimesNewRomanPSMT" w:cs="TimesNewRomanPSMT"/>
          <w:lang w:val="fr-FR"/>
        </w:rPr>
        <w:t>l’Institut pour l’emploi et la formation professionnelle</w:t>
      </w:r>
      <w:r w:rsidRPr="00AF434B">
        <w:rPr>
          <w:noProof/>
          <w:lang w:val="fr-FR"/>
        </w:rPr>
        <w:t xml:space="preserve"> e</w:t>
      </w:r>
      <w:r>
        <w:rPr>
          <w:noProof/>
          <w:lang w:val="fr-FR"/>
        </w:rPr>
        <w:t>t</w:t>
      </w:r>
      <w:r w:rsidRPr="00AF434B">
        <w:rPr>
          <w:noProof/>
          <w:lang w:val="fr-FR"/>
        </w:rPr>
        <w:t xml:space="preserve"> </w:t>
      </w:r>
      <w:r>
        <w:rPr>
          <w:noProof/>
          <w:lang w:val="fr-FR"/>
        </w:rPr>
        <w:t>le S</w:t>
      </w:r>
      <w:r>
        <w:rPr>
          <w:rFonts w:ascii="TimesNewRomanPSMT" w:hAnsi="TimesNewRomanPSMT" w:cs="TimesNewRomanPSMT"/>
          <w:lang w:val="fr-FR"/>
        </w:rPr>
        <w:t>ervice de l’immigration et des frontières</w:t>
      </w:r>
      <w:r w:rsidRPr="00AF434B">
        <w:rPr>
          <w:noProof/>
          <w:lang w:val="fr-FR"/>
        </w:rPr>
        <w:t xml:space="preserve"> </w:t>
      </w:r>
      <w:r>
        <w:rPr>
          <w:noProof/>
          <w:lang w:val="fr-FR"/>
        </w:rPr>
        <w:t>ont mené une campagne nationale contre le travail non déclaré qui visait à détecter et à combattre le travail non déclaré partout où il existait</w:t>
      </w:r>
      <w:r w:rsidRPr="00AF434B">
        <w:rPr>
          <w:noProof/>
          <w:lang w:val="fr-FR"/>
        </w:rPr>
        <w:t xml:space="preserve">, </w:t>
      </w:r>
      <w:r>
        <w:rPr>
          <w:noProof/>
          <w:lang w:val="fr-FR"/>
        </w:rPr>
        <w:t>à encourager</w:t>
      </w:r>
      <w:r w:rsidRPr="00AF434B">
        <w:rPr>
          <w:noProof/>
          <w:lang w:val="fr-FR"/>
        </w:rPr>
        <w:t xml:space="preserve"> </w:t>
      </w:r>
      <w:r>
        <w:rPr>
          <w:noProof/>
          <w:lang w:val="fr-FR"/>
        </w:rPr>
        <w:t>sa</w:t>
      </w:r>
      <w:r w:rsidRPr="00AF434B">
        <w:rPr>
          <w:noProof/>
          <w:lang w:val="fr-FR"/>
        </w:rPr>
        <w:t xml:space="preserve"> transformation </w:t>
      </w:r>
      <w:r>
        <w:rPr>
          <w:noProof/>
          <w:lang w:val="fr-FR"/>
        </w:rPr>
        <w:t>en emploi ré</w:t>
      </w:r>
      <w:r w:rsidRPr="00AF434B">
        <w:rPr>
          <w:noProof/>
          <w:lang w:val="fr-FR"/>
        </w:rPr>
        <w:t>gul</w:t>
      </w:r>
      <w:r>
        <w:rPr>
          <w:noProof/>
          <w:lang w:val="fr-FR"/>
        </w:rPr>
        <w:t>ie</w:t>
      </w:r>
      <w:r w:rsidRPr="00AF434B">
        <w:rPr>
          <w:noProof/>
          <w:lang w:val="fr-FR"/>
        </w:rPr>
        <w:t xml:space="preserve">r, </w:t>
      </w:r>
      <w:r>
        <w:rPr>
          <w:noProof/>
          <w:lang w:val="fr-FR"/>
        </w:rPr>
        <w:t xml:space="preserve">à </w:t>
      </w:r>
      <w:r w:rsidRPr="00AF434B">
        <w:rPr>
          <w:noProof/>
          <w:lang w:val="fr-FR"/>
        </w:rPr>
        <w:t>promo</w:t>
      </w:r>
      <w:r>
        <w:rPr>
          <w:noProof/>
          <w:lang w:val="fr-FR"/>
        </w:rPr>
        <w:t xml:space="preserve">uvoir une </w:t>
      </w:r>
      <w:r w:rsidRPr="00AF434B">
        <w:rPr>
          <w:noProof/>
          <w:lang w:val="fr-FR"/>
        </w:rPr>
        <w:t xml:space="preserve">culture </w:t>
      </w:r>
      <w:r>
        <w:rPr>
          <w:noProof/>
          <w:lang w:val="fr-FR"/>
        </w:rPr>
        <w:t>du respect de l’obligation de signalement d’emploi</w:t>
      </w:r>
      <w:r w:rsidRPr="00AF434B">
        <w:rPr>
          <w:noProof/>
          <w:lang w:val="fr-FR"/>
        </w:rPr>
        <w:t xml:space="preserve"> </w:t>
      </w:r>
      <w:r>
        <w:rPr>
          <w:noProof/>
          <w:lang w:val="fr-FR"/>
        </w:rPr>
        <w:t>et à enrichir le cadre réglementaire afin d’améliorer l’organisation et l’efficacité de la lutte contre le travail non déclaré. Cette campagne a ciblé principalement les travailleurs vulnérables, notamment les travailleurs migrants. Elle a donné lieu à plusieurs activités</w:t>
      </w:r>
      <w:r w:rsidR="00B90119">
        <w:rPr>
          <w:noProof/>
          <w:lang w:val="fr-FR"/>
        </w:rPr>
        <w:t> :</w:t>
      </w:r>
    </w:p>
    <w:p w14:paraId="1D71CD16" w14:textId="77777777" w:rsidR="00BF0619" w:rsidRPr="00AF434B" w:rsidRDefault="00BF0619" w:rsidP="00B90119">
      <w:pPr>
        <w:pStyle w:val="SingleTxtG"/>
        <w:ind w:firstLine="567"/>
        <w:rPr>
          <w:noProof/>
          <w:lang w:val="fr-FR"/>
        </w:rPr>
      </w:pPr>
      <w:r w:rsidRPr="00AF434B">
        <w:rPr>
          <w:noProof/>
          <w:lang w:val="fr-FR"/>
        </w:rPr>
        <w:t>a)</w:t>
      </w:r>
      <w:r w:rsidRPr="00AF434B">
        <w:rPr>
          <w:noProof/>
          <w:lang w:val="fr-FR"/>
        </w:rPr>
        <w:tab/>
      </w:r>
      <w:r>
        <w:rPr>
          <w:noProof/>
          <w:lang w:val="fr-FR"/>
        </w:rPr>
        <w:t xml:space="preserve">Sensibilisation et </w:t>
      </w:r>
      <w:r w:rsidRPr="00AF434B">
        <w:rPr>
          <w:noProof/>
          <w:lang w:val="fr-FR"/>
        </w:rPr>
        <w:t xml:space="preserve">information </w:t>
      </w:r>
      <w:r w:rsidR="00B90119">
        <w:rPr>
          <w:noProof/>
          <w:lang w:val="fr-FR"/>
        </w:rPr>
        <w:t>− </w:t>
      </w:r>
      <w:r w:rsidRPr="00AF434B">
        <w:rPr>
          <w:noProof/>
          <w:lang w:val="fr-FR"/>
        </w:rPr>
        <w:t>129</w:t>
      </w:r>
      <w:r w:rsidR="00B90119">
        <w:rPr>
          <w:noProof/>
          <w:lang w:val="fr-FR"/>
        </w:rPr>
        <w:t> </w:t>
      </w:r>
      <w:r w:rsidRPr="00AF434B">
        <w:rPr>
          <w:noProof/>
          <w:lang w:val="fr-FR"/>
        </w:rPr>
        <w:t xml:space="preserve">actions </w:t>
      </w:r>
      <w:r>
        <w:rPr>
          <w:noProof/>
          <w:lang w:val="fr-FR"/>
        </w:rPr>
        <w:t xml:space="preserve">ont visé l’opinion publique ou différents publics </w:t>
      </w:r>
      <w:r w:rsidRPr="00AF434B">
        <w:rPr>
          <w:noProof/>
          <w:lang w:val="fr-FR"/>
        </w:rPr>
        <w:t xml:space="preserve">: </w:t>
      </w:r>
      <w:r>
        <w:rPr>
          <w:noProof/>
          <w:lang w:val="fr-FR"/>
        </w:rPr>
        <w:t xml:space="preserve">une campagne de publicité </w:t>
      </w:r>
      <w:r w:rsidRPr="00AF434B">
        <w:rPr>
          <w:noProof/>
          <w:lang w:val="fr-FR"/>
        </w:rPr>
        <w:t>(</w:t>
      </w:r>
      <w:r>
        <w:rPr>
          <w:noProof/>
          <w:lang w:val="fr-FR"/>
        </w:rPr>
        <w:t>télévision</w:t>
      </w:r>
      <w:r w:rsidRPr="00AF434B">
        <w:rPr>
          <w:noProof/>
          <w:lang w:val="fr-FR"/>
        </w:rPr>
        <w:t xml:space="preserve">, </w:t>
      </w:r>
      <w:r>
        <w:rPr>
          <w:noProof/>
          <w:lang w:val="fr-FR"/>
        </w:rPr>
        <w:t>presse écrite et parlée</w:t>
      </w:r>
      <w:r w:rsidRPr="00AF434B">
        <w:rPr>
          <w:noProof/>
          <w:lang w:val="fr-FR"/>
        </w:rPr>
        <w:t xml:space="preserve">, </w:t>
      </w:r>
      <w:r>
        <w:rPr>
          <w:noProof/>
          <w:lang w:val="fr-FR"/>
        </w:rPr>
        <w:t>affiches</w:t>
      </w:r>
      <w:r w:rsidRPr="00AF434B">
        <w:rPr>
          <w:noProof/>
          <w:lang w:val="fr-FR"/>
        </w:rPr>
        <w:t xml:space="preserve">, </w:t>
      </w:r>
      <w:r>
        <w:rPr>
          <w:noProof/>
          <w:lang w:val="fr-FR"/>
        </w:rPr>
        <w:t>affichages multibanques</w:t>
      </w:r>
      <w:r w:rsidRPr="00AF434B">
        <w:rPr>
          <w:noProof/>
          <w:lang w:val="fr-FR"/>
        </w:rPr>
        <w:t xml:space="preserve">) </w:t>
      </w:r>
      <w:r>
        <w:rPr>
          <w:noProof/>
          <w:lang w:val="fr-FR"/>
        </w:rPr>
        <w:t>et la diffusion de l’information auprès de groupes cibles spécifiques à l’aide de dépliants et d’affiches, des bulletins et de la foire aux questions du site Web de l’Autorité chargée des conditions de travail</w:t>
      </w:r>
      <w:r w:rsidRPr="00AF434B">
        <w:rPr>
          <w:noProof/>
          <w:lang w:val="fr-FR"/>
        </w:rPr>
        <w:t xml:space="preserve">, </w:t>
      </w:r>
      <w:r>
        <w:rPr>
          <w:noProof/>
          <w:lang w:val="fr-FR"/>
        </w:rPr>
        <w:t>et du site Web de la campagne</w:t>
      </w:r>
      <w:r w:rsidR="00980D26">
        <w:rPr>
          <w:noProof/>
          <w:lang w:val="fr-FR"/>
        </w:rPr>
        <w:t> </w:t>
      </w:r>
      <w:r w:rsidRPr="00AF434B">
        <w:rPr>
          <w:noProof/>
          <w:lang w:val="fr-FR"/>
        </w:rPr>
        <w:t>;</w:t>
      </w:r>
    </w:p>
    <w:p w14:paraId="31D59312" w14:textId="77777777" w:rsidR="00BF0619" w:rsidRPr="00AF434B" w:rsidRDefault="00BF0619" w:rsidP="00B90119">
      <w:pPr>
        <w:pStyle w:val="SingleTxtG"/>
        <w:ind w:firstLine="567"/>
        <w:rPr>
          <w:noProof/>
          <w:lang w:val="fr-FR"/>
        </w:rPr>
      </w:pPr>
      <w:r w:rsidRPr="00AF434B">
        <w:rPr>
          <w:noProof/>
          <w:lang w:val="fr-FR"/>
        </w:rPr>
        <w:t>b)</w:t>
      </w:r>
      <w:r w:rsidRPr="00AF434B">
        <w:rPr>
          <w:noProof/>
          <w:lang w:val="fr-FR"/>
        </w:rPr>
        <w:tab/>
      </w:r>
      <w:r>
        <w:rPr>
          <w:noProof/>
          <w:lang w:val="fr-FR"/>
        </w:rPr>
        <w:t>É</w:t>
      </w:r>
      <w:r w:rsidRPr="00AF434B">
        <w:rPr>
          <w:noProof/>
          <w:lang w:val="fr-FR"/>
        </w:rPr>
        <w:t xml:space="preserve">ducation </w:t>
      </w:r>
      <w:r w:rsidR="00B90119">
        <w:rPr>
          <w:noProof/>
          <w:lang w:val="fr-FR"/>
        </w:rPr>
        <w:t>− </w:t>
      </w:r>
      <w:r>
        <w:rPr>
          <w:noProof/>
          <w:lang w:val="fr-FR"/>
        </w:rPr>
        <w:t>une campa</w:t>
      </w:r>
      <w:r w:rsidRPr="00AF434B">
        <w:rPr>
          <w:noProof/>
          <w:lang w:val="fr-FR"/>
        </w:rPr>
        <w:t>gn</w:t>
      </w:r>
      <w:r>
        <w:rPr>
          <w:noProof/>
          <w:lang w:val="fr-FR"/>
        </w:rPr>
        <w:t>e a été lancée dans les écoles primaires et secondaires : elle utilise un langage et des images attrayants et des séances explicatives</w:t>
      </w:r>
      <w:r w:rsidR="00980D26">
        <w:rPr>
          <w:noProof/>
          <w:lang w:val="fr-FR"/>
        </w:rPr>
        <w:t> </w:t>
      </w:r>
      <w:r w:rsidRPr="00AF434B">
        <w:rPr>
          <w:noProof/>
          <w:lang w:val="fr-FR"/>
        </w:rPr>
        <w:t>;</w:t>
      </w:r>
    </w:p>
    <w:p w14:paraId="6977D75A" w14:textId="77777777" w:rsidR="00BF0619" w:rsidRPr="00AF434B" w:rsidRDefault="00BF0619" w:rsidP="00B90119">
      <w:pPr>
        <w:pStyle w:val="SingleTxtG"/>
        <w:ind w:firstLine="567"/>
        <w:rPr>
          <w:noProof/>
          <w:lang w:val="fr-FR"/>
        </w:rPr>
      </w:pPr>
      <w:r w:rsidRPr="00AF434B">
        <w:rPr>
          <w:noProof/>
          <w:lang w:val="fr-FR"/>
        </w:rPr>
        <w:t>c)</w:t>
      </w:r>
      <w:r w:rsidRPr="00AF434B">
        <w:rPr>
          <w:noProof/>
          <w:lang w:val="fr-FR"/>
        </w:rPr>
        <w:tab/>
      </w:r>
      <w:r>
        <w:rPr>
          <w:noProof/>
          <w:lang w:val="fr-FR"/>
        </w:rPr>
        <w:t xml:space="preserve">Cadre normatif </w:t>
      </w:r>
      <w:r w:rsidR="00B90119">
        <w:rPr>
          <w:noProof/>
          <w:lang w:val="fr-FR"/>
        </w:rPr>
        <w:t>− </w:t>
      </w:r>
      <w:r>
        <w:rPr>
          <w:noProof/>
          <w:lang w:val="fr-FR"/>
        </w:rPr>
        <w:t>des propositions d’amélioration de la législation du travail ont été présentées afin d’optimiser l’organisation rationnelle et l’efficacité de la lutte contre le travail non déclaré</w:t>
      </w:r>
      <w:r w:rsidR="00980D26">
        <w:rPr>
          <w:noProof/>
          <w:lang w:val="fr-FR"/>
        </w:rPr>
        <w:t> </w:t>
      </w:r>
      <w:r w:rsidRPr="00AF434B">
        <w:rPr>
          <w:noProof/>
          <w:lang w:val="fr-FR"/>
        </w:rPr>
        <w:t>;</w:t>
      </w:r>
    </w:p>
    <w:p w14:paraId="358D9247" w14:textId="77777777" w:rsidR="00BF0619" w:rsidRPr="00AF434B" w:rsidRDefault="00BF0619" w:rsidP="00B90119">
      <w:pPr>
        <w:pStyle w:val="SingleTxtG"/>
        <w:ind w:firstLine="567"/>
        <w:rPr>
          <w:noProof/>
          <w:lang w:val="fr-FR"/>
        </w:rPr>
      </w:pPr>
      <w:r>
        <w:rPr>
          <w:noProof/>
          <w:lang w:val="fr-FR"/>
        </w:rPr>
        <w:t>d)</w:t>
      </w:r>
      <w:r>
        <w:rPr>
          <w:noProof/>
          <w:lang w:val="fr-FR"/>
        </w:rPr>
        <w:tab/>
        <w:t>Inté</w:t>
      </w:r>
      <w:r w:rsidRPr="00AF434B">
        <w:rPr>
          <w:noProof/>
          <w:lang w:val="fr-FR"/>
        </w:rPr>
        <w:t xml:space="preserve">gration </w:t>
      </w:r>
      <w:r>
        <w:rPr>
          <w:noProof/>
          <w:lang w:val="fr-FR"/>
        </w:rPr>
        <w:t>et</w:t>
      </w:r>
      <w:r w:rsidRPr="00AF434B">
        <w:rPr>
          <w:noProof/>
          <w:lang w:val="fr-FR"/>
        </w:rPr>
        <w:t xml:space="preserve"> inspection </w:t>
      </w:r>
      <w:r w:rsidR="00B90119">
        <w:rPr>
          <w:noProof/>
          <w:lang w:val="fr-FR"/>
        </w:rPr>
        <w:t>− </w:t>
      </w:r>
      <w:r w:rsidRPr="00AF434B">
        <w:rPr>
          <w:noProof/>
          <w:lang w:val="fr-FR"/>
        </w:rPr>
        <w:t>8</w:t>
      </w:r>
      <w:r w:rsidR="00B90119">
        <w:rPr>
          <w:noProof/>
          <w:lang w:val="fr-FR"/>
        </w:rPr>
        <w:t> </w:t>
      </w:r>
      <w:r w:rsidRPr="00AF434B">
        <w:rPr>
          <w:noProof/>
          <w:lang w:val="fr-FR"/>
        </w:rPr>
        <w:t xml:space="preserve">324 </w:t>
      </w:r>
      <w:r>
        <w:rPr>
          <w:noProof/>
          <w:lang w:val="fr-FR"/>
        </w:rPr>
        <w:t>visites d’inspection ont été réalisées sur les lieux de travail</w:t>
      </w:r>
      <w:r w:rsidRPr="00AF434B">
        <w:rPr>
          <w:noProof/>
          <w:lang w:val="fr-FR"/>
        </w:rPr>
        <w:t>.</w:t>
      </w:r>
    </w:p>
    <w:p w14:paraId="13318DEE"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Travailleurs étrangers bénéficiant des mesures préventives</w:t>
      </w:r>
    </w:p>
    <w:tbl>
      <w:tblPr>
        <w:tblW w:w="7370" w:type="dxa"/>
        <w:tblInd w:w="1134" w:type="dxa"/>
        <w:tblLayout w:type="fixed"/>
        <w:tblCellMar>
          <w:left w:w="0" w:type="dxa"/>
          <w:right w:w="0" w:type="dxa"/>
        </w:tblCellMar>
        <w:tblLook w:val="04A0" w:firstRow="1" w:lastRow="0" w:firstColumn="1" w:lastColumn="0" w:noHBand="0" w:noVBand="1"/>
      </w:tblPr>
      <w:tblGrid>
        <w:gridCol w:w="4903"/>
        <w:gridCol w:w="1354"/>
        <w:gridCol w:w="1113"/>
      </w:tblGrid>
      <w:tr w:rsidR="00BF0619" w:rsidRPr="00B90119" w14:paraId="5B5FC2D2" w14:textId="77777777" w:rsidTr="00B90119">
        <w:trPr>
          <w:cantSplit/>
          <w:tblHeader/>
        </w:trPr>
        <w:tc>
          <w:tcPr>
            <w:tcW w:w="4903" w:type="dxa"/>
            <w:tcBorders>
              <w:top w:val="single" w:sz="4" w:space="0" w:color="auto"/>
              <w:bottom w:val="single" w:sz="12" w:space="0" w:color="auto"/>
            </w:tcBorders>
            <w:shd w:val="clear" w:color="auto" w:fill="auto"/>
            <w:vAlign w:val="bottom"/>
            <w:hideMark/>
          </w:tcPr>
          <w:p w14:paraId="6F1E98A8" w14:textId="77777777" w:rsidR="00BF0619" w:rsidRPr="00B90119" w:rsidRDefault="00BF0619" w:rsidP="00B90119">
            <w:pPr>
              <w:suppressAutoHyphens w:val="0"/>
              <w:spacing w:before="80" w:after="80" w:line="200" w:lineRule="exact"/>
              <w:rPr>
                <w:i/>
                <w:noProof/>
                <w:sz w:val="16"/>
                <w:lang w:val="fr-FR"/>
              </w:rPr>
            </w:pPr>
            <w:r w:rsidRPr="00B90119">
              <w:rPr>
                <w:i/>
                <w:noProof/>
                <w:sz w:val="16"/>
                <w:lang w:val="fr-FR"/>
              </w:rPr>
              <w:t>Type de relation d’emploi</w:t>
            </w:r>
          </w:p>
        </w:tc>
        <w:tc>
          <w:tcPr>
            <w:tcW w:w="1354" w:type="dxa"/>
            <w:tcBorders>
              <w:top w:val="single" w:sz="4" w:space="0" w:color="auto"/>
              <w:bottom w:val="single" w:sz="12" w:space="0" w:color="auto"/>
            </w:tcBorders>
            <w:shd w:val="clear" w:color="auto" w:fill="auto"/>
            <w:vAlign w:val="bottom"/>
          </w:tcPr>
          <w:p w14:paraId="03D363E4" w14:textId="77777777" w:rsidR="00BF0619" w:rsidRPr="00B90119" w:rsidRDefault="00BF0619" w:rsidP="00B90119">
            <w:pPr>
              <w:suppressAutoHyphens w:val="0"/>
              <w:spacing w:before="80" w:after="80" w:line="200" w:lineRule="exact"/>
              <w:jc w:val="right"/>
              <w:rPr>
                <w:i/>
                <w:noProof/>
                <w:sz w:val="16"/>
                <w:lang w:val="fr-FR"/>
              </w:rPr>
            </w:pPr>
            <w:r w:rsidRPr="00B90119">
              <w:rPr>
                <w:i/>
                <w:noProof/>
                <w:sz w:val="16"/>
                <w:lang w:val="fr-FR"/>
              </w:rPr>
              <w:t>Année</w:t>
            </w:r>
          </w:p>
        </w:tc>
        <w:tc>
          <w:tcPr>
            <w:tcW w:w="1113" w:type="dxa"/>
            <w:tcBorders>
              <w:top w:val="single" w:sz="4" w:space="0" w:color="auto"/>
              <w:bottom w:val="single" w:sz="12" w:space="0" w:color="auto"/>
            </w:tcBorders>
            <w:shd w:val="clear" w:color="auto" w:fill="auto"/>
            <w:vAlign w:val="bottom"/>
            <w:hideMark/>
          </w:tcPr>
          <w:p w14:paraId="5FABC2DF" w14:textId="77777777" w:rsidR="00BF0619" w:rsidRPr="00B90119" w:rsidRDefault="00BF0619" w:rsidP="00B90119">
            <w:pPr>
              <w:suppressAutoHyphens w:val="0"/>
              <w:spacing w:before="80" w:after="80" w:line="200" w:lineRule="exact"/>
              <w:jc w:val="right"/>
              <w:rPr>
                <w:i/>
                <w:noProof/>
                <w:sz w:val="16"/>
                <w:lang w:val="fr-FR"/>
              </w:rPr>
            </w:pPr>
            <w:r w:rsidRPr="00B90119">
              <w:rPr>
                <w:i/>
                <w:noProof/>
                <w:sz w:val="16"/>
                <w:lang w:val="fr-FR"/>
              </w:rPr>
              <w:t>Total</w:t>
            </w:r>
          </w:p>
        </w:tc>
      </w:tr>
      <w:tr w:rsidR="00BF0619" w:rsidRPr="00B90119" w14:paraId="56D56B3B" w14:textId="77777777" w:rsidTr="00B90119">
        <w:trPr>
          <w:cantSplit/>
        </w:trPr>
        <w:tc>
          <w:tcPr>
            <w:tcW w:w="4903" w:type="dxa"/>
            <w:vMerge w:val="restart"/>
            <w:tcBorders>
              <w:top w:val="single" w:sz="12" w:space="0" w:color="auto"/>
            </w:tcBorders>
            <w:shd w:val="clear" w:color="auto" w:fill="auto"/>
          </w:tcPr>
          <w:p w14:paraId="03C1DC04" w14:textId="77777777" w:rsidR="00BF0619" w:rsidRPr="00B90119" w:rsidRDefault="00BF0619" w:rsidP="00B90119">
            <w:pPr>
              <w:suppressAutoHyphens w:val="0"/>
              <w:spacing w:before="40" w:after="40" w:line="220" w:lineRule="exact"/>
              <w:rPr>
                <w:noProof/>
                <w:sz w:val="18"/>
                <w:lang w:val="fr-FR"/>
              </w:rPr>
            </w:pPr>
            <w:r w:rsidRPr="00B90119">
              <w:rPr>
                <w:noProof/>
                <w:sz w:val="18"/>
                <w:lang w:val="fr-FR"/>
              </w:rPr>
              <w:t>Contrats de travail des travailleurs étrangers</w:t>
            </w:r>
          </w:p>
        </w:tc>
        <w:tc>
          <w:tcPr>
            <w:tcW w:w="1354" w:type="dxa"/>
            <w:tcBorders>
              <w:top w:val="single" w:sz="12" w:space="0" w:color="auto"/>
            </w:tcBorders>
            <w:shd w:val="clear" w:color="auto" w:fill="auto"/>
            <w:vAlign w:val="bottom"/>
          </w:tcPr>
          <w:p w14:paraId="3F22443E"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2014</w:t>
            </w:r>
          </w:p>
        </w:tc>
        <w:tc>
          <w:tcPr>
            <w:tcW w:w="1113" w:type="dxa"/>
            <w:tcBorders>
              <w:top w:val="single" w:sz="12" w:space="0" w:color="auto"/>
            </w:tcBorders>
            <w:shd w:val="clear" w:color="auto" w:fill="auto"/>
            <w:vAlign w:val="bottom"/>
          </w:tcPr>
          <w:p w14:paraId="20A0E09B"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3</w:t>
            </w:r>
            <w:r w:rsidR="00980D26">
              <w:rPr>
                <w:noProof/>
                <w:sz w:val="18"/>
                <w:lang w:val="fr-FR"/>
              </w:rPr>
              <w:t> </w:t>
            </w:r>
            <w:r w:rsidRPr="00B90119">
              <w:rPr>
                <w:noProof/>
                <w:sz w:val="18"/>
                <w:lang w:val="fr-FR"/>
              </w:rPr>
              <w:t>604</w:t>
            </w:r>
          </w:p>
        </w:tc>
      </w:tr>
      <w:tr w:rsidR="00BF0619" w:rsidRPr="00B90119" w14:paraId="794F4ECF" w14:textId="77777777" w:rsidTr="00B90119">
        <w:trPr>
          <w:cantSplit/>
        </w:trPr>
        <w:tc>
          <w:tcPr>
            <w:tcW w:w="4903" w:type="dxa"/>
            <w:vMerge/>
            <w:shd w:val="clear" w:color="auto" w:fill="auto"/>
            <w:hideMark/>
          </w:tcPr>
          <w:p w14:paraId="547F96DE" w14:textId="77777777" w:rsidR="00BF0619" w:rsidRPr="00B90119" w:rsidRDefault="00BF0619" w:rsidP="00B90119">
            <w:pPr>
              <w:suppressAutoHyphens w:val="0"/>
              <w:spacing w:before="40" w:after="40" w:line="220" w:lineRule="exact"/>
              <w:rPr>
                <w:noProof/>
                <w:sz w:val="18"/>
                <w:lang w:val="fr-FR"/>
              </w:rPr>
            </w:pPr>
          </w:p>
        </w:tc>
        <w:tc>
          <w:tcPr>
            <w:tcW w:w="1354" w:type="dxa"/>
            <w:shd w:val="clear" w:color="auto" w:fill="auto"/>
            <w:vAlign w:val="bottom"/>
          </w:tcPr>
          <w:p w14:paraId="3DCB93B9"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2015</w:t>
            </w:r>
          </w:p>
        </w:tc>
        <w:tc>
          <w:tcPr>
            <w:tcW w:w="1113" w:type="dxa"/>
            <w:shd w:val="clear" w:color="auto" w:fill="auto"/>
            <w:vAlign w:val="bottom"/>
          </w:tcPr>
          <w:p w14:paraId="45EEE837"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w:t>
            </w:r>
            <w:r w:rsidR="00980D26">
              <w:rPr>
                <w:noProof/>
                <w:sz w:val="18"/>
                <w:lang w:val="fr-FR"/>
              </w:rPr>
              <w:t> </w:t>
            </w:r>
            <w:r w:rsidRPr="00B90119">
              <w:rPr>
                <w:noProof/>
                <w:sz w:val="18"/>
                <w:lang w:val="fr-FR"/>
              </w:rPr>
              <w:t>915</w:t>
            </w:r>
          </w:p>
        </w:tc>
      </w:tr>
      <w:tr w:rsidR="00BF0619" w:rsidRPr="00B90119" w14:paraId="3A995838" w14:textId="77777777" w:rsidTr="00B90119">
        <w:trPr>
          <w:cantSplit/>
        </w:trPr>
        <w:tc>
          <w:tcPr>
            <w:tcW w:w="4903" w:type="dxa"/>
            <w:vMerge/>
            <w:shd w:val="clear" w:color="auto" w:fill="auto"/>
            <w:hideMark/>
          </w:tcPr>
          <w:p w14:paraId="728F4A51" w14:textId="77777777" w:rsidR="00BF0619" w:rsidRPr="00B90119" w:rsidRDefault="00BF0619" w:rsidP="00B90119">
            <w:pPr>
              <w:suppressAutoHyphens w:val="0"/>
              <w:spacing w:before="40" w:after="40" w:line="220" w:lineRule="exact"/>
              <w:rPr>
                <w:noProof/>
                <w:sz w:val="18"/>
                <w:lang w:val="fr-FR"/>
              </w:rPr>
            </w:pPr>
          </w:p>
        </w:tc>
        <w:tc>
          <w:tcPr>
            <w:tcW w:w="1354" w:type="dxa"/>
            <w:shd w:val="clear" w:color="auto" w:fill="auto"/>
            <w:vAlign w:val="bottom"/>
          </w:tcPr>
          <w:p w14:paraId="7E22EDA6"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2016</w:t>
            </w:r>
          </w:p>
        </w:tc>
        <w:tc>
          <w:tcPr>
            <w:tcW w:w="1113" w:type="dxa"/>
            <w:shd w:val="clear" w:color="auto" w:fill="auto"/>
            <w:vAlign w:val="bottom"/>
          </w:tcPr>
          <w:p w14:paraId="1D03EC9F"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3</w:t>
            </w:r>
            <w:r w:rsidR="00980D26">
              <w:rPr>
                <w:noProof/>
                <w:sz w:val="18"/>
                <w:lang w:val="fr-FR"/>
              </w:rPr>
              <w:t> </w:t>
            </w:r>
            <w:r w:rsidRPr="00B90119">
              <w:rPr>
                <w:noProof/>
                <w:sz w:val="18"/>
                <w:lang w:val="fr-FR"/>
              </w:rPr>
              <w:t>195</w:t>
            </w:r>
          </w:p>
        </w:tc>
      </w:tr>
      <w:tr w:rsidR="00BF0619" w:rsidRPr="00B90119" w14:paraId="1F8D4DD2" w14:textId="77777777" w:rsidTr="00B90119">
        <w:trPr>
          <w:cantSplit/>
        </w:trPr>
        <w:tc>
          <w:tcPr>
            <w:tcW w:w="4903" w:type="dxa"/>
            <w:vMerge/>
            <w:tcBorders>
              <w:bottom w:val="single" w:sz="12" w:space="0" w:color="auto"/>
            </w:tcBorders>
            <w:shd w:val="clear" w:color="auto" w:fill="auto"/>
          </w:tcPr>
          <w:p w14:paraId="27DA289F" w14:textId="77777777" w:rsidR="00BF0619" w:rsidRPr="00B90119" w:rsidRDefault="00BF0619" w:rsidP="00B90119">
            <w:pPr>
              <w:suppressAutoHyphens w:val="0"/>
              <w:spacing w:before="40" w:after="40" w:line="220" w:lineRule="exact"/>
              <w:rPr>
                <w:noProof/>
                <w:sz w:val="18"/>
                <w:lang w:val="fr-FR"/>
              </w:rPr>
            </w:pPr>
          </w:p>
        </w:tc>
        <w:tc>
          <w:tcPr>
            <w:tcW w:w="1354" w:type="dxa"/>
            <w:tcBorders>
              <w:bottom w:val="single" w:sz="12" w:space="0" w:color="auto"/>
            </w:tcBorders>
            <w:shd w:val="clear" w:color="auto" w:fill="auto"/>
            <w:vAlign w:val="bottom"/>
          </w:tcPr>
          <w:p w14:paraId="77553227"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2017</w:t>
            </w:r>
          </w:p>
        </w:tc>
        <w:tc>
          <w:tcPr>
            <w:tcW w:w="1113" w:type="dxa"/>
            <w:tcBorders>
              <w:bottom w:val="single" w:sz="12" w:space="0" w:color="auto"/>
            </w:tcBorders>
            <w:shd w:val="clear" w:color="auto" w:fill="auto"/>
            <w:vAlign w:val="bottom"/>
          </w:tcPr>
          <w:p w14:paraId="1A71EC92" w14:textId="77777777" w:rsidR="00BF0619" w:rsidRPr="00B90119" w:rsidRDefault="00BF0619" w:rsidP="00B90119">
            <w:pPr>
              <w:suppressAutoHyphens w:val="0"/>
              <w:spacing w:before="40" w:after="40" w:line="220" w:lineRule="exact"/>
              <w:jc w:val="right"/>
              <w:rPr>
                <w:noProof/>
                <w:sz w:val="18"/>
                <w:lang w:val="fr-FR"/>
              </w:rPr>
            </w:pPr>
            <w:r w:rsidRPr="00B90119">
              <w:rPr>
                <w:noProof/>
                <w:sz w:val="18"/>
                <w:lang w:val="fr-FR"/>
              </w:rPr>
              <w:t>2</w:t>
            </w:r>
            <w:r w:rsidR="00980D26">
              <w:rPr>
                <w:noProof/>
                <w:sz w:val="18"/>
                <w:lang w:val="fr-FR"/>
              </w:rPr>
              <w:t> </w:t>
            </w:r>
            <w:r w:rsidRPr="00B90119">
              <w:rPr>
                <w:noProof/>
                <w:sz w:val="18"/>
                <w:lang w:val="fr-FR"/>
              </w:rPr>
              <w:t>097</w:t>
            </w:r>
          </w:p>
        </w:tc>
      </w:tr>
    </w:tbl>
    <w:p w14:paraId="0AEF2E49" w14:textId="77777777" w:rsidR="00BF0619" w:rsidRPr="00AF434B" w:rsidRDefault="00BF0619" w:rsidP="00BF0619">
      <w:pPr>
        <w:pStyle w:val="H4G"/>
        <w:rPr>
          <w:noProof/>
          <w:lang w:val="fr-FR"/>
        </w:rPr>
      </w:pPr>
      <w:r w:rsidRPr="00AF434B">
        <w:rPr>
          <w:noProof/>
          <w:lang w:val="fr-FR"/>
        </w:rPr>
        <w:tab/>
      </w:r>
      <w:r w:rsidRPr="00AF434B">
        <w:rPr>
          <w:noProof/>
          <w:lang w:val="fr-FR"/>
        </w:rPr>
        <w:tab/>
      </w:r>
      <w:r>
        <w:rPr>
          <w:noProof/>
          <w:lang w:val="fr-FR"/>
        </w:rPr>
        <w:t xml:space="preserve">Communautés roms </w:t>
      </w:r>
    </w:p>
    <w:p w14:paraId="14CF5474" w14:textId="77777777" w:rsidR="00BF0619" w:rsidRPr="00AF434B" w:rsidRDefault="00BF0619" w:rsidP="00BF0619">
      <w:pPr>
        <w:pStyle w:val="SingleTxtG"/>
        <w:rPr>
          <w:noProof/>
          <w:lang w:val="fr-FR"/>
        </w:rPr>
      </w:pPr>
      <w:r w:rsidRPr="00AF434B">
        <w:rPr>
          <w:noProof/>
          <w:lang w:val="fr-FR"/>
        </w:rPr>
        <w:t>59.</w:t>
      </w:r>
      <w:r w:rsidRPr="00AF434B">
        <w:rPr>
          <w:noProof/>
          <w:lang w:val="fr-FR"/>
        </w:rPr>
        <w:tab/>
      </w:r>
      <w:r>
        <w:rPr>
          <w:noProof/>
          <w:lang w:val="fr-FR"/>
        </w:rPr>
        <w:t>Portugaises depuis cinq siècles, les communautés roms</w:t>
      </w:r>
      <w:r w:rsidRPr="00AF434B">
        <w:rPr>
          <w:noProof/>
          <w:lang w:val="fr-FR"/>
        </w:rPr>
        <w:t xml:space="preserve"> </w:t>
      </w:r>
      <w:r>
        <w:rPr>
          <w:noProof/>
          <w:lang w:val="fr-FR"/>
        </w:rPr>
        <w:t xml:space="preserve">bénéficient sans </w:t>
      </w:r>
      <w:r w:rsidRPr="00AF434B">
        <w:rPr>
          <w:noProof/>
          <w:lang w:val="fr-FR"/>
        </w:rPr>
        <w:t xml:space="preserve">discrimination </w:t>
      </w:r>
      <w:r>
        <w:rPr>
          <w:noProof/>
          <w:lang w:val="fr-FR"/>
        </w:rPr>
        <w:t>de toutes les mesures mises en place pour la population générale, notamment la protection sociale</w:t>
      </w:r>
      <w:r w:rsidRPr="00AF434B">
        <w:rPr>
          <w:noProof/>
          <w:lang w:val="fr-FR"/>
        </w:rPr>
        <w:t>.</w:t>
      </w:r>
    </w:p>
    <w:p w14:paraId="70E7A6E0" w14:textId="77777777" w:rsidR="00BF0619" w:rsidRPr="00AF434B" w:rsidRDefault="00BF0619" w:rsidP="00BF0619">
      <w:pPr>
        <w:pStyle w:val="SingleTxtG"/>
        <w:jc w:val="lowKashida"/>
        <w:rPr>
          <w:noProof/>
          <w:lang w:val="fr-FR"/>
        </w:rPr>
      </w:pPr>
      <w:r w:rsidRPr="00AF434B">
        <w:rPr>
          <w:noProof/>
          <w:lang w:val="fr-FR"/>
        </w:rPr>
        <w:t>60.</w:t>
      </w:r>
      <w:r w:rsidRPr="00AF434B">
        <w:rPr>
          <w:noProof/>
          <w:lang w:val="fr-FR"/>
        </w:rPr>
        <w:tab/>
      </w:r>
      <w:r>
        <w:rPr>
          <w:noProof/>
          <w:lang w:val="fr-FR"/>
        </w:rPr>
        <w:t>Le Haut-Commissariat pour les migrations est chargé de mettre en œuvre la S</w:t>
      </w:r>
      <w:r w:rsidRPr="00001282">
        <w:rPr>
          <w:noProof/>
          <w:lang w:val="fr-FR"/>
        </w:rPr>
        <w:t xml:space="preserve">tratégie nationale pour l’intégration des communautés roms </w:t>
      </w:r>
      <w:r>
        <w:rPr>
          <w:noProof/>
          <w:lang w:val="fr-FR"/>
        </w:rPr>
        <w:t xml:space="preserve">pour </w:t>
      </w:r>
      <w:r w:rsidRPr="00AF434B">
        <w:rPr>
          <w:noProof/>
          <w:lang w:val="fr-FR"/>
        </w:rPr>
        <w:t>2013</w:t>
      </w:r>
      <w:r>
        <w:rPr>
          <w:noProof/>
          <w:lang w:val="fr-FR"/>
        </w:rPr>
        <w:t>-</w:t>
      </w:r>
      <w:r w:rsidRPr="00AF434B">
        <w:rPr>
          <w:noProof/>
          <w:lang w:val="fr-FR"/>
        </w:rPr>
        <w:t>2020</w:t>
      </w:r>
      <w:r w:rsidRPr="00BB3DD1">
        <w:rPr>
          <w:rStyle w:val="Appelnotedebasdep"/>
        </w:rPr>
        <w:footnoteReference w:id="13"/>
      </w:r>
      <w:r>
        <w:rPr>
          <w:noProof/>
          <w:lang w:val="fr-FR"/>
        </w:rPr>
        <w:t>.</w:t>
      </w:r>
      <w:r w:rsidRPr="00AF434B">
        <w:rPr>
          <w:noProof/>
          <w:lang w:val="fr-FR"/>
        </w:rPr>
        <w:t xml:space="preserve"> </w:t>
      </w:r>
      <w:r>
        <w:rPr>
          <w:noProof/>
          <w:lang w:val="fr-FR"/>
        </w:rPr>
        <w:t xml:space="preserve">Cette stratégie comprend </w:t>
      </w:r>
      <w:r w:rsidRPr="00AF434B">
        <w:rPr>
          <w:noProof/>
          <w:lang w:val="fr-FR"/>
        </w:rPr>
        <w:t xml:space="preserve">105 mesures </w:t>
      </w:r>
      <w:r>
        <w:rPr>
          <w:noProof/>
          <w:lang w:val="fr-FR"/>
        </w:rPr>
        <w:t>adoptées dans les domaines de l’é</w:t>
      </w:r>
      <w:r w:rsidRPr="00AF434B">
        <w:rPr>
          <w:noProof/>
          <w:lang w:val="fr-FR"/>
        </w:rPr>
        <w:t xml:space="preserve">ducation, </w:t>
      </w:r>
      <w:r>
        <w:rPr>
          <w:noProof/>
          <w:lang w:val="fr-FR"/>
        </w:rPr>
        <w:t xml:space="preserve">de la santé, du logement et de l’emploi, ainsi qu’un pilier transversal centré sur la </w:t>
      </w:r>
      <w:r w:rsidRPr="00AF434B">
        <w:rPr>
          <w:noProof/>
          <w:lang w:val="fr-FR"/>
        </w:rPr>
        <w:t xml:space="preserve">discrimination, </w:t>
      </w:r>
      <w:r>
        <w:rPr>
          <w:noProof/>
          <w:lang w:val="fr-FR"/>
        </w:rPr>
        <w:t xml:space="preserve">la </w:t>
      </w:r>
      <w:r w:rsidRPr="00AF434B">
        <w:rPr>
          <w:noProof/>
          <w:lang w:val="fr-FR"/>
        </w:rPr>
        <w:t>m</w:t>
      </w:r>
      <w:r>
        <w:rPr>
          <w:noProof/>
          <w:lang w:val="fr-FR"/>
        </w:rPr>
        <w:t>é</w:t>
      </w:r>
      <w:r w:rsidRPr="00AF434B">
        <w:rPr>
          <w:noProof/>
          <w:lang w:val="fr-FR"/>
        </w:rPr>
        <w:t xml:space="preserve">diation, </w:t>
      </w:r>
      <w:r>
        <w:rPr>
          <w:noProof/>
          <w:lang w:val="fr-FR"/>
        </w:rPr>
        <w:t>l’é</w:t>
      </w:r>
      <w:r w:rsidRPr="00AF434B">
        <w:rPr>
          <w:noProof/>
          <w:lang w:val="fr-FR"/>
        </w:rPr>
        <w:t xml:space="preserve">ducation </w:t>
      </w:r>
      <w:r>
        <w:rPr>
          <w:noProof/>
          <w:lang w:val="fr-FR"/>
        </w:rPr>
        <w:t>civique</w:t>
      </w:r>
      <w:r w:rsidRPr="00AF434B">
        <w:rPr>
          <w:noProof/>
          <w:lang w:val="fr-FR"/>
        </w:rPr>
        <w:t xml:space="preserve">, </w:t>
      </w:r>
      <w:r>
        <w:rPr>
          <w:noProof/>
          <w:lang w:val="fr-FR"/>
        </w:rPr>
        <w:t xml:space="preserve">la sécurité </w:t>
      </w:r>
      <w:r w:rsidRPr="00AF434B">
        <w:rPr>
          <w:noProof/>
          <w:lang w:val="fr-FR"/>
        </w:rPr>
        <w:t>social</w:t>
      </w:r>
      <w:r>
        <w:rPr>
          <w:noProof/>
          <w:lang w:val="fr-FR"/>
        </w:rPr>
        <w:t>e</w:t>
      </w:r>
      <w:r w:rsidRPr="00AF434B">
        <w:rPr>
          <w:noProof/>
          <w:lang w:val="fr-FR"/>
        </w:rPr>
        <w:t xml:space="preserve">, </w:t>
      </w:r>
      <w:r>
        <w:rPr>
          <w:noProof/>
          <w:lang w:val="fr-FR"/>
        </w:rPr>
        <w:t xml:space="preserve">la </w:t>
      </w:r>
      <w:r w:rsidRPr="00AF434B">
        <w:rPr>
          <w:noProof/>
          <w:lang w:val="fr-FR"/>
        </w:rPr>
        <w:t xml:space="preserve">promotion </w:t>
      </w:r>
      <w:r>
        <w:rPr>
          <w:noProof/>
          <w:lang w:val="fr-FR"/>
        </w:rPr>
        <w:t>de l’histoire et de la culture roms, et l’égalité des sexes</w:t>
      </w:r>
      <w:r w:rsidRPr="00AF434B">
        <w:rPr>
          <w:noProof/>
          <w:lang w:val="fr-FR"/>
        </w:rPr>
        <w:t xml:space="preserve">. </w:t>
      </w:r>
      <w:r>
        <w:rPr>
          <w:noProof/>
          <w:lang w:val="fr-FR"/>
        </w:rPr>
        <w:t>Elle est l’aboutissement d’un intense processus de participation auquel ont été associées toutes les administrations, ainsi que les organisations de la société civile, les milieux universitaires, les experts et les représentants des communautés roms</w:t>
      </w:r>
      <w:r w:rsidRPr="00AF434B">
        <w:rPr>
          <w:noProof/>
          <w:lang w:val="fr-FR"/>
        </w:rPr>
        <w:t xml:space="preserve">. </w:t>
      </w:r>
      <w:r>
        <w:rPr>
          <w:noProof/>
          <w:lang w:val="fr-FR"/>
        </w:rPr>
        <w:t xml:space="preserve">Sa mise en œuvre est </w:t>
      </w:r>
      <w:r w:rsidRPr="00AF434B">
        <w:rPr>
          <w:noProof/>
          <w:lang w:val="fr-FR"/>
        </w:rPr>
        <w:t>financ</w:t>
      </w:r>
      <w:r>
        <w:rPr>
          <w:noProof/>
          <w:lang w:val="fr-FR"/>
        </w:rPr>
        <w:t>é</w:t>
      </w:r>
      <w:r w:rsidRPr="00AF434B">
        <w:rPr>
          <w:noProof/>
          <w:lang w:val="fr-FR"/>
        </w:rPr>
        <w:t>e</w:t>
      </w:r>
      <w:r>
        <w:rPr>
          <w:noProof/>
          <w:lang w:val="fr-FR"/>
        </w:rPr>
        <w:t xml:space="preserve"> par les </w:t>
      </w:r>
      <w:r w:rsidRPr="00AF434B">
        <w:rPr>
          <w:noProof/>
          <w:lang w:val="fr-FR"/>
        </w:rPr>
        <w:t xml:space="preserve">budgets </w:t>
      </w:r>
      <w:r>
        <w:rPr>
          <w:noProof/>
          <w:lang w:val="fr-FR"/>
        </w:rPr>
        <w:t>des partenaires chargés de chaque mesure</w:t>
      </w:r>
      <w:r w:rsidRPr="00AF434B">
        <w:rPr>
          <w:noProof/>
          <w:lang w:val="fr-FR"/>
        </w:rPr>
        <w:t xml:space="preserve">. </w:t>
      </w:r>
      <w:r>
        <w:rPr>
          <w:noProof/>
          <w:lang w:val="fr-FR"/>
        </w:rPr>
        <w:t xml:space="preserve">Les données globales concernant cette mise en œuvre font apparaître un taux d’exécution de </w:t>
      </w:r>
      <w:r w:rsidRPr="00AF434B">
        <w:rPr>
          <w:noProof/>
          <w:lang w:val="fr-FR"/>
        </w:rPr>
        <w:t>94,1</w:t>
      </w:r>
      <w:r>
        <w:rPr>
          <w:noProof/>
          <w:lang w:val="fr-FR"/>
        </w:rPr>
        <w:t xml:space="preserve"> </w:t>
      </w:r>
      <w:r w:rsidRPr="00AF434B">
        <w:rPr>
          <w:noProof/>
          <w:lang w:val="fr-FR"/>
        </w:rPr>
        <w:t xml:space="preserve">% </w:t>
      </w:r>
      <w:r>
        <w:rPr>
          <w:noProof/>
          <w:lang w:val="fr-FR"/>
        </w:rPr>
        <w:t xml:space="preserve">entre </w:t>
      </w:r>
      <w:r w:rsidRPr="00AF434B">
        <w:rPr>
          <w:noProof/>
          <w:lang w:val="fr-FR"/>
        </w:rPr>
        <w:t>2013</w:t>
      </w:r>
      <w:r>
        <w:rPr>
          <w:noProof/>
          <w:lang w:val="fr-FR"/>
        </w:rPr>
        <w:t xml:space="preserve"> et </w:t>
      </w:r>
      <w:r w:rsidRPr="00AF434B">
        <w:rPr>
          <w:noProof/>
          <w:lang w:val="fr-FR"/>
        </w:rPr>
        <w:t xml:space="preserve">2016. </w:t>
      </w:r>
      <w:r>
        <w:rPr>
          <w:noProof/>
          <w:lang w:val="fr-FR"/>
        </w:rPr>
        <w:t xml:space="preserve">Une révision de cette stratégie est à l’étude, la version révisée étant attendue en </w:t>
      </w:r>
      <w:r w:rsidRPr="00AF434B">
        <w:rPr>
          <w:noProof/>
          <w:lang w:val="fr-FR"/>
        </w:rPr>
        <w:t>2018.</w:t>
      </w:r>
    </w:p>
    <w:p w14:paraId="01F9DD2F" w14:textId="77777777" w:rsidR="00BF0619" w:rsidRPr="00AF434B" w:rsidRDefault="00BF0619" w:rsidP="00BF0619">
      <w:pPr>
        <w:pStyle w:val="SingleTxtG"/>
        <w:rPr>
          <w:noProof/>
          <w:lang w:val="fr-FR"/>
        </w:rPr>
      </w:pPr>
      <w:r w:rsidRPr="00AF434B">
        <w:rPr>
          <w:noProof/>
          <w:lang w:val="fr-FR"/>
        </w:rPr>
        <w:t>61.</w:t>
      </w:r>
      <w:r w:rsidRPr="00AF434B">
        <w:rPr>
          <w:noProof/>
          <w:lang w:val="fr-FR"/>
        </w:rPr>
        <w:tab/>
      </w:r>
      <w:r>
        <w:rPr>
          <w:noProof/>
          <w:lang w:val="fr-FR"/>
        </w:rPr>
        <w:t>La création d’un fonds d’appui à cette Stratégie a été déterminante pour l’obtention des résultats susmentionnés en permettant de soutenir financièrement des projets expérimentaux et innovants, avec la participation obligatoire des communautés roms</w:t>
      </w:r>
      <w:r w:rsidRPr="00AF434B">
        <w:rPr>
          <w:noProof/>
          <w:lang w:val="fr-FR"/>
        </w:rPr>
        <w:t xml:space="preserve">. </w:t>
      </w:r>
    </w:p>
    <w:p w14:paraId="69A706A6" w14:textId="77777777" w:rsidR="00BF0619" w:rsidRPr="00AF434B" w:rsidRDefault="00BF0619" w:rsidP="00BF0619">
      <w:pPr>
        <w:pStyle w:val="SingleTxtG"/>
        <w:rPr>
          <w:noProof/>
          <w:lang w:val="fr-FR"/>
        </w:rPr>
      </w:pPr>
      <w:r w:rsidRPr="00AF434B">
        <w:rPr>
          <w:noProof/>
          <w:lang w:val="fr-FR"/>
        </w:rPr>
        <w:t>62.</w:t>
      </w:r>
      <w:r w:rsidRPr="00AF434B">
        <w:rPr>
          <w:noProof/>
          <w:lang w:val="fr-FR"/>
        </w:rPr>
        <w:tab/>
      </w:r>
      <w:r>
        <w:rPr>
          <w:noProof/>
          <w:lang w:val="fr-FR"/>
        </w:rPr>
        <w:t>L’approche portugaise des politiques d’</w:t>
      </w:r>
      <w:r w:rsidRPr="00AF434B">
        <w:rPr>
          <w:noProof/>
          <w:lang w:val="fr-FR"/>
        </w:rPr>
        <w:t>int</w:t>
      </w:r>
      <w:r>
        <w:rPr>
          <w:noProof/>
          <w:lang w:val="fr-FR"/>
        </w:rPr>
        <w:t>é</w:t>
      </w:r>
      <w:r w:rsidRPr="00AF434B">
        <w:rPr>
          <w:noProof/>
          <w:lang w:val="fr-FR"/>
        </w:rPr>
        <w:t xml:space="preserve">gration </w:t>
      </w:r>
      <w:r>
        <w:rPr>
          <w:noProof/>
          <w:lang w:val="fr-FR"/>
        </w:rPr>
        <w:t xml:space="preserve">repose sur la participation </w:t>
      </w:r>
      <w:r w:rsidRPr="00AF434B">
        <w:rPr>
          <w:noProof/>
          <w:lang w:val="fr-FR"/>
        </w:rPr>
        <w:t xml:space="preserve">active </w:t>
      </w:r>
      <w:r>
        <w:rPr>
          <w:noProof/>
          <w:lang w:val="fr-FR"/>
        </w:rPr>
        <w:t>des communautés</w:t>
      </w:r>
      <w:bookmarkStart w:id="0" w:name="_Toc513479514"/>
      <w:bookmarkStart w:id="1" w:name="_Toc513541274"/>
      <w:r w:rsidRPr="00AF434B">
        <w:rPr>
          <w:noProof/>
          <w:lang w:val="fr-FR"/>
        </w:rPr>
        <w:t xml:space="preserve">. </w:t>
      </w:r>
      <w:r>
        <w:rPr>
          <w:noProof/>
          <w:lang w:val="fr-FR"/>
        </w:rPr>
        <w:t xml:space="preserve">La </w:t>
      </w:r>
      <w:r>
        <w:rPr>
          <w:lang w:val="fr-FR"/>
        </w:rPr>
        <w:t>Commission pour l’égalité et la lutte contre la discrimination raciale</w:t>
      </w:r>
      <w:r w:rsidRPr="00AF434B">
        <w:rPr>
          <w:noProof/>
          <w:lang w:val="fr-FR"/>
        </w:rPr>
        <w:t xml:space="preserve">, </w:t>
      </w:r>
      <w:r>
        <w:rPr>
          <w:noProof/>
          <w:lang w:val="fr-FR"/>
        </w:rPr>
        <w:t xml:space="preserve">créée par la loi </w:t>
      </w:r>
      <w:r w:rsidR="00B90119" w:rsidRPr="00B90119">
        <w:rPr>
          <w:rFonts w:eastAsia="MS Mincho"/>
          <w:noProof/>
          <w:szCs w:val="22"/>
          <w:lang w:val="fr-FR"/>
        </w:rPr>
        <w:t>n</w:t>
      </w:r>
      <w:r w:rsidR="00B90119" w:rsidRPr="00B90119">
        <w:rPr>
          <w:rFonts w:eastAsia="MS Mincho"/>
          <w:noProof/>
          <w:szCs w:val="22"/>
          <w:vertAlign w:val="superscript"/>
          <w:lang w:val="fr-FR"/>
        </w:rPr>
        <w:t>o</w:t>
      </w:r>
      <w:r w:rsidR="00B90119">
        <w:rPr>
          <w:noProof/>
          <w:lang w:val="fr-FR"/>
        </w:rPr>
        <w:t> </w:t>
      </w:r>
      <w:r w:rsidRPr="00AF434B">
        <w:rPr>
          <w:noProof/>
          <w:lang w:val="fr-FR"/>
        </w:rPr>
        <w:t>134/99</w:t>
      </w:r>
      <w:r>
        <w:rPr>
          <w:noProof/>
          <w:lang w:val="fr-FR"/>
        </w:rPr>
        <w:t xml:space="preserve"> du</w:t>
      </w:r>
      <w:r w:rsidRPr="00AF434B">
        <w:rPr>
          <w:noProof/>
          <w:lang w:val="fr-FR"/>
        </w:rPr>
        <w:t xml:space="preserve"> 28</w:t>
      </w:r>
      <w:r w:rsidR="00B90119">
        <w:rPr>
          <w:noProof/>
          <w:lang w:val="fr-FR"/>
        </w:rPr>
        <w:t> </w:t>
      </w:r>
      <w:r>
        <w:rPr>
          <w:noProof/>
          <w:lang w:val="fr-FR"/>
        </w:rPr>
        <w:t>août, est présidée par le Haut-Commisaire pour les migrations. Ses autres membres sont des représentants de communautés roms, d’organisations d’</w:t>
      </w:r>
      <w:r w:rsidRPr="00AF434B">
        <w:rPr>
          <w:noProof/>
          <w:lang w:val="fr-FR"/>
        </w:rPr>
        <w:t>immigr</w:t>
      </w:r>
      <w:r>
        <w:rPr>
          <w:noProof/>
          <w:lang w:val="fr-FR"/>
        </w:rPr>
        <w:t>és,</w:t>
      </w:r>
      <w:r w:rsidRPr="00AF434B">
        <w:rPr>
          <w:noProof/>
          <w:lang w:val="fr-FR"/>
        </w:rPr>
        <w:t xml:space="preserve"> </w:t>
      </w:r>
      <w:r>
        <w:rPr>
          <w:noProof/>
          <w:lang w:val="fr-FR"/>
        </w:rPr>
        <w:t>d’associations antiracistes</w:t>
      </w:r>
      <w:r w:rsidRPr="00AF434B">
        <w:rPr>
          <w:noProof/>
          <w:lang w:val="fr-FR"/>
        </w:rPr>
        <w:t xml:space="preserve">, </w:t>
      </w:r>
      <w:r>
        <w:rPr>
          <w:noProof/>
          <w:lang w:val="fr-FR"/>
        </w:rPr>
        <w:t xml:space="preserve">d’ONG de défense des droits de l’homme, du Parlement, du </w:t>
      </w:r>
      <w:r w:rsidRPr="00AF434B">
        <w:rPr>
          <w:noProof/>
          <w:lang w:val="fr-FR"/>
        </w:rPr>
        <w:t>Go</w:t>
      </w:r>
      <w:r>
        <w:rPr>
          <w:noProof/>
          <w:lang w:val="fr-FR"/>
        </w:rPr>
        <w:t>u</w:t>
      </w:r>
      <w:r w:rsidRPr="00AF434B">
        <w:rPr>
          <w:noProof/>
          <w:lang w:val="fr-FR"/>
        </w:rPr>
        <w:t>vern</w:t>
      </w:r>
      <w:r>
        <w:rPr>
          <w:noProof/>
          <w:lang w:val="fr-FR"/>
        </w:rPr>
        <w:t>e</w:t>
      </w:r>
      <w:r w:rsidRPr="00AF434B">
        <w:rPr>
          <w:noProof/>
          <w:lang w:val="fr-FR"/>
        </w:rPr>
        <w:t xml:space="preserve">ment, </w:t>
      </w:r>
      <w:r>
        <w:rPr>
          <w:noProof/>
          <w:lang w:val="fr-FR"/>
        </w:rPr>
        <w:t>des syndicats et des employeurs</w:t>
      </w:r>
      <w:r w:rsidRPr="00AF434B">
        <w:rPr>
          <w:noProof/>
          <w:lang w:val="fr-FR"/>
        </w:rPr>
        <w:t xml:space="preserve">. </w:t>
      </w:r>
      <w:r>
        <w:rPr>
          <w:noProof/>
          <w:lang w:val="fr-FR"/>
        </w:rPr>
        <w:t>Cette Commission se réunit tous les trois mois</w:t>
      </w:r>
      <w:r w:rsidRPr="00AF434B">
        <w:rPr>
          <w:noProof/>
          <w:lang w:val="fr-FR"/>
        </w:rPr>
        <w:t>.</w:t>
      </w:r>
      <w:bookmarkEnd w:id="0"/>
      <w:bookmarkEnd w:id="1"/>
    </w:p>
    <w:p w14:paraId="47B6FF73" w14:textId="77777777" w:rsidR="00BF0619" w:rsidRPr="00AF434B" w:rsidRDefault="00BF0619" w:rsidP="00BF0619">
      <w:pPr>
        <w:pStyle w:val="SingleTxtG"/>
        <w:rPr>
          <w:noProof/>
          <w:lang w:val="fr-FR"/>
        </w:rPr>
      </w:pPr>
      <w:r w:rsidRPr="00AF434B">
        <w:rPr>
          <w:noProof/>
          <w:lang w:val="fr-FR"/>
        </w:rPr>
        <w:t>63.</w:t>
      </w:r>
      <w:r w:rsidRPr="00AF434B">
        <w:rPr>
          <w:noProof/>
          <w:lang w:val="fr-FR"/>
        </w:rPr>
        <w:tab/>
      </w:r>
      <w:r>
        <w:rPr>
          <w:noProof/>
          <w:lang w:val="fr-FR"/>
        </w:rPr>
        <w:t>Première priorité de la S</w:t>
      </w:r>
      <w:r w:rsidRPr="00001282">
        <w:rPr>
          <w:noProof/>
          <w:lang w:val="fr-FR"/>
        </w:rPr>
        <w:t>tratégie nationale pour l’intégration des communautés roms</w:t>
      </w:r>
      <w:r>
        <w:rPr>
          <w:noProof/>
          <w:lang w:val="fr-FR"/>
        </w:rPr>
        <w:t xml:space="preserve">, le </w:t>
      </w:r>
      <w:r w:rsidRPr="008B2FC9">
        <w:rPr>
          <w:noProof/>
          <w:lang w:val="fr-FR"/>
        </w:rPr>
        <w:t>Groupe consultatif pour l’intégration des communautés roms</w:t>
      </w:r>
      <w:r w:rsidRPr="00AF434B">
        <w:rPr>
          <w:noProof/>
          <w:lang w:val="fr-FR"/>
        </w:rPr>
        <w:t xml:space="preserve"> </w:t>
      </w:r>
      <w:r>
        <w:rPr>
          <w:noProof/>
          <w:lang w:val="fr-FR"/>
        </w:rPr>
        <w:t>a été créé pour assurer le suivi de la mise en œuvre de la Stratégie et pour évaluer la situation socioéconomique des communautés roms</w:t>
      </w:r>
      <w:r w:rsidRPr="00AF434B">
        <w:rPr>
          <w:noProof/>
          <w:lang w:val="fr-FR"/>
        </w:rPr>
        <w:t xml:space="preserve">. </w:t>
      </w:r>
      <w:r>
        <w:rPr>
          <w:noProof/>
          <w:lang w:val="fr-FR"/>
        </w:rPr>
        <w:t>Il relève du Haut-Commissariat pour les migrations, est présidé par le Haut-Commissaire et se compose de représentants des entités et secteurs suivants : administration interne</w:t>
      </w:r>
      <w:r w:rsidRPr="00AF434B">
        <w:rPr>
          <w:noProof/>
          <w:lang w:val="fr-FR"/>
        </w:rPr>
        <w:t xml:space="preserve">, </w:t>
      </w:r>
      <w:r>
        <w:rPr>
          <w:noProof/>
          <w:lang w:val="fr-FR"/>
        </w:rPr>
        <w:t>é</w:t>
      </w:r>
      <w:r w:rsidRPr="00AF434B">
        <w:rPr>
          <w:noProof/>
          <w:lang w:val="fr-FR"/>
        </w:rPr>
        <w:t>conom</w:t>
      </w:r>
      <w:r>
        <w:rPr>
          <w:noProof/>
          <w:lang w:val="fr-FR"/>
        </w:rPr>
        <w:t>ie et emploi</w:t>
      </w:r>
      <w:r w:rsidRPr="00AF434B">
        <w:rPr>
          <w:noProof/>
          <w:lang w:val="fr-FR"/>
        </w:rPr>
        <w:t xml:space="preserve">, </w:t>
      </w:r>
      <w:r>
        <w:rPr>
          <w:noProof/>
          <w:lang w:val="fr-FR"/>
        </w:rPr>
        <w:t>logement</w:t>
      </w:r>
      <w:r w:rsidRPr="00AF434B">
        <w:rPr>
          <w:noProof/>
          <w:lang w:val="fr-FR"/>
        </w:rPr>
        <w:t xml:space="preserve">, </w:t>
      </w:r>
      <w:r>
        <w:rPr>
          <w:noProof/>
          <w:lang w:val="fr-FR"/>
        </w:rPr>
        <w:t>santé</w:t>
      </w:r>
      <w:r w:rsidRPr="00AF434B">
        <w:rPr>
          <w:noProof/>
          <w:lang w:val="fr-FR"/>
        </w:rPr>
        <w:t xml:space="preserve">, </w:t>
      </w:r>
      <w:r>
        <w:rPr>
          <w:noProof/>
          <w:lang w:val="fr-FR"/>
        </w:rPr>
        <w:t>é</w:t>
      </w:r>
      <w:r w:rsidRPr="00AF434B">
        <w:rPr>
          <w:noProof/>
          <w:lang w:val="fr-FR"/>
        </w:rPr>
        <w:t xml:space="preserve">ducation, </w:t>
      </w:r>
      <w:r>
        <w:rPr>
          <w:noProof/>
          <w:lang w:val="fr-FR"/>
        </w:rPr>
        <w:t xml:space="preserve">travail, solidarité et sécurité </w:t>
      </w:r>
      <w:r w:rsidRPr="00AF434B">
        <w:rPr>
          <w:noProof/>
          <w:lang w:val="fr-FR"/>
        </w:rPr>
        <w:t>social</w:t>
      </w:r>
      <w:r>
        <w:rPr>
          <w:noProof/>
          <w:lang w:val="fr-FR"/>
        </w:rPr>
        <w:t>e</w:t>
      </w:r>
      <w:r w:rsidRPr="00AF434B">
        <w:rPr>
          <w:noProof/>
          <w:lang w:val="fr-FR"/>
        </w:rPr>
        <w:t>, go</w:t>
      </w:r>
      <w:r>
        <w:rPr>
          <w:noProof/>
          <w:lang w:val="fr-FR"/>
        </w:rPr>
        <w:t>u</w:t>
      </w:r>
      <w:r w:rsidRPr="00AF434B">
        <w:rPr>
          <w:noProof/>
          <w:lang w:val="fr-FR"/>
        </w:rPr>
        <w:t>vern</w:t>
      </w:r>
      <w:r>
        <w:rPr>
          <w:noProof/>
          <w:lang w:val="fr-FR"/>
        </w:rPr>
        <w:t>e</w:t>
      </w:r>
      <w:r w:rsidRPr="00AF434B">
        <w:rPr>
          <w:noProof/>
          <w:lang w:val="fr-FR"/>
        </w:rPr>
        <w:t>ment</w:t>
      </w:r>
      <w:r>
        <w:rPr>
          <w:noProof/>
          <w:lang w:val="fr-FR"/>
        </w:rPr>
        <w:t>s</w:t>
      </w:r>
      <w:r w:rsidRPr="00AF434B">
        <w:rPr>
          <w:noProof/>
          <w:lang w:val="fr-FR"/>
        </w:rPr>
        <w:t xml:space="preserve"> </w:t>
      </w:r>
      <w:r>
        <w:rPr>
          <w:noProof/>
          <w:lang w:val="fr-FR"/>
        </w:rPr>
        <w:t xml:space="preserve">régionaux des </w:t>
      </w:r>
      <w:r w:rsidRPr="00AF434B">
        <w:rPr>
          <w:noProof/>
          <w:lang w:val="fr-FR"/>
        </w:rPr>
        <w:t>A</w:t>
      </w:r>
      <w:r>
        <w:rPr>
          <w:noProof/>
          <w:lang w:val="fr-FR"/>
        </w:rPr>
        <w:t>ç</w:t>
      </w:r>
      <w:r w:rsidRPr="00AF434B">
        <w:rPr>
          <w:noProof/>
          <w:lang w:val="fr-FR"/>
        </w:rPr>
        <w:t xml:space="preserve">ores </w:t>
      </w:r>
      <w:r>
        <w:rPr>
          <w:noProof/>
          <w:lang w:val="fr-FR"/>
        </w:rPr>
        <w:t>et de Madère</w:t>
      </w:r>
      <w:r w:rsidRPr="00AF434B">
        <w:rPr>
          <w:noProof/>
          <w:lang w:val="fr-FR"/>
        </w:rPr>
        <w:t xml:space="preserve">, </w:t>
      </w:r>
      <w:r>
        <w:rPr>
          <w:noProof/>
          <w:lang w:val="fr-FR"/>
        </w:rPr>
        <w:t xml:space="preserve">Association </w:t>
      </w:r>
      <w:r w:rsidRPr="00AF434B">
        <w:rPr>
          <w:noProof/>
          <w:lang w:val="fr-FR"/>
        </w:rPr>
        <w:t>national</w:t>
      </w:r>
      <w:r>
        <w:rPr>
          <w:noProof/>
          <w:lang w:val="fr-FR"/>
        </w:rPr>
        <w:t>e</w:t>
      </w:r>
      <w:r w:rsidRPr="00AF434B">
        <w:rPr>
          <w:noProof/>
          <w:lang w:val="fr-FR"/>
        </w:rPr>
        <w:t xml:space="preserve"> </w:t>
      </w:r>
      <w:r>
        <w:rPr>
          <w:noProof/>
          <w:lang w:val="fr-FR"/>
        </w:rPr>
        <w:t>des municipalités portugaises</w:t>
      </w:r>
      <w:r w:rsidRPr="00AF434B">
        <w:rPr>
          <w:noProof/>
          <w:lang w:val="fr-FR"/>
        </w:rPr>
        <w:t xml:space="preserve">, </w:t>
      </w:r>
      <w:r w:rsidRPr="00A5049D">
        <w:rPr>
          <w:noProof/>
          <w:lang w:val="fr-FR"/>
        </w:rPr>
        <w:t xml:space="preserve">Association nationale des </w:t>
      </w:r>
      <w:r w:rsidRPr="00A5049D">
        <w:rPr>
          <w:i/>
          <w:noProof/>
          <w:lang w:val="fr-FR"/>
        </w:rPr>
        <w:t>freguesias</w:t>
      </w:r>
      <w:r>
        <w:rPr>
          <w:i/>
          <w:noProof/>
          <w:lang w:val="fr-FR"/>
        </w:rPr>
        <w:t xml:space="preserve"> </w:t>
      </w:r>
      <w:r w:rsidRPr="00BB3DD1">
        <w:t xml:space="preserve">(subdivisions </w:t>
      </w:r>
      <w:r w:rsidRPr="00F80F85">
        <w:rPr>
          <w:noProof/>
          <w:lang w:val="fr-FR"/>
        </w:rPr>
        <w:t>administratives des municipalités</w:t>
      </w:r>
      <w:r w:rsidRPr="00BB3DD1">
        <w:t>)</w:t>
      </w:r>
      <w:r w:rsidRPr="00AF434B">
        <w:rPr>
          <w:noProof/>
          <w:lang w:val="fr-FR"/>
        </w:rPr>
        <w:t xml:space="preserve">, </w:t>
      </w:r>
      <w:r w:rsidRPr="00A5049D">
        <w:rPr>
          <w:noProof/>
          <w:lang w:val="fr-FR"/>
        </w:rPr>
        <w:t>institutions qui travaillent avec les communautés roms, associations des communautés roms, citoyens reconnus pour leur mérite et représentants du monde universitaire et des institutions de recherche effectuant des travaux sur les communautés roms</w:t>
      </w:r>
      <w:r w:rsidRPr="00AF434B">
        <w:rPr>
          <w:noProof/>
          <w:lang w:val="fr-FR"/>
        </w:rPr>
        <w:t>.</w:t>
      </w:r>
    </w:p>
    <w:p w14:paraId="5272B3E5" w14:textId="77777777" w:rsidR="00BF0619" w:rsidRPr="00AF434B" w:rsidRDefault="00BF0619" w:rsidP="00BF0619">
      <w:pPr>
        <w:pStyle w:val="SingleTxtG"/>
        <w:rPr>
          <w:noProof/>
          <w:lang w:val="fr-FR"/>
        </w:rPr>
      </w:pPr>
      <w:r w:rsidRPr="00AF434B">
        <w:rPr>
          <w:noProof/>
          <w:lang w:val="fr-FR"/>
        </w:rPr>
        <w:t>64.</w:t>
      </w:r>
      <w:r w:rsidRPr="00AF434B">
        <w:rPr>
          <w:noProof/>
          <w:lang w:val="fr-FR"/>
        </w:rPr>
        <w:tab/>
      </w:r>
      <w:r>
        <w:rPr>
          <w:noProof/>
          <w:lang w:val="fr-FR"/>
        </w:rPr>
        <w:t xml:space="preserve">Lancé en 2016, le </w:t>
      </w:r>
      <w:r w:rsidRPr="00AF434B">
        <w:rPr>
          <w:noProof/>
          <w:lang w:val="fr-FR"/>
        </w:rPr>
        <w:t xml:space="preserve">Programme </w:t>
      </w:r>
      <w:r>
        <w:rPr>
          <w:noProof/>
          <w:lang w:val="fr-FR"/>
        </w:rPr>
        <w:t xml:space="preserve">« Davantage de leaders » à l’intention des jeunes Roms encourage ces derniers à s’impliquer dans des activités de planification citoyenne et </w:t>
      </w:r>
      <w:r w:rsidRPr="00AF434B">
        <w:rPr>
          <w:noProof/>
          <w:lang w:val="fr-FR"/>
        </w:rPr>
        <w:t>associative</w:t>
      </w:r>
      <w:r>
        <w:rPr>
          <w:noProof/>
          <w:lang w:val="fr-FR"/>
        </w:rPr>
        <w:t xml:space="preserve">. Il utilise à cette fin des méthodes </w:t>
      </w:r>
      <w:r w:rsidRPr="00AF434B">
        <w:rPr>
          <w:noProof/>
          <w:lang w:val="fr-FR"/>
        </w:rPr>
        <w:t>participat</w:t>
      </w:r>
      <w:r>
        <w:rPr>
          <w:noProof/>
          <w:lang w:val="fr-FR"/>
        </w:rPr>
        <w:t>ives à l’occasion de réunions, de formations, de séances d’information/sensibilisation et de l’élaboration de projets</w:t>
      </w:r>
      <w:r w:rsidRPr="00AF434B">
        <w:rPr>
          <w:noProof/>
          <w:lang w:val="fr-FR"/>
        </w:rPr>
        <w:t xml:space="preserve">. </w:t>
      </w:r>
      <w:r>
        <w:rPr>
          <w:noProof/>
          <w:lang w:val="fr-FR"/>
        </w:rPr>
        <w:t xml:space="preserve">Vingt-quatre jeunes Roms </w:t>
      </w:r>
      <w:r w:rsidRPr="00AF434B">
        <w:rPr>
          <w:noProof/>
          <w:lang w:val="fr-FR"/>
        </w:rPr>
        <w:t>(17</w:t>
      </w:r>
      <w:r w:rsidR="00980D26">
        <w:rPr>
          <w:noProof/>
          <w:lang w:val="fr-FR"/>
        </w:rPr>
        <w:t> </w:t>
      </w:r>
      <w:r>
        <w:rPr>
          <w:noProof/>
          <w:lang w:val="fr-FR"/>
        </w:rPr>
        <w:t xml:space="preserve">hommes et </w:t>
      </w:r>
      <w:r w:rsidR="00980D26">
        <w:rPr>
          <w:noProof/>
          <w:lang w:val="fr-FR"/>
        </w:rPr>
        <w:t>7 </w:t>
      </w:r>
      <w:r>
        <w:rPr>
          <w:noProof/>
          <w:lang w:val="fr-FR"/>
        </w:rPr>
        <w:t>femmes âgés de</w:t>
      </w:r>
      <w:r w:rsidR="00980D26">
        <w:rPr>
          <w:noProof/>
          <w:lang w:val="fr-FR"/>
        </w:rPr>
        <w:t> </w:t>
      </w:r>
      <w:r w:rsidRPr="00AF434B">
        <w:rPr>
          <w:noProof/>
          <w:lang w:val="fr-FR"/>
        </w:rPr>
        <w:t xml:space="preserve">18 </w:t>
      </w:r>
      <w:r>
        <w:rPr>
          <w:noProof/>
          <w:lang w:val="fr-FR"/>
        </w:rPr>
        <w:t>à</w:t>
      </w:r>
      <w:r w:rsidRPr="00AF434B">
        <w:rPr>
          <w:noProof/>
          <w:lang w:val="fr-FR"/>
        </w:rPr>
        <w:t xml:space="preserve"> 35</w:t>
      </w:r>
      <w:r w:rsidR="00980D26">
        <w:rPr>
          <w:noProof/>
          <w:lang w:val="fr-FR"/>
        </w:rPr>
        <w:t> </w:t>
      </w:r>
      <w:r>
        <w:rPr>
          <w:noProof/>
          <w:lang w:val="fr-FR"/>
        </w:rPr>
        <w:t>ans</w:t>
      </w:r>
      <w:r w:rsidRPr="00AF434B">
        <w:rPr>
          <w:noProof/>
          <w:lang w:val="fr-FR"/>
        </w:rPr>
        <w:t>)</w:t>
      </w:r>
      <w:r>
        <w:rPr>
          <w:noProof/>
          <w:lang w:val="fr-FR"/>
        </w:rPr>
        <w:t xml:space="preserve"> ont suivi ce Programme. </w:t>
      </w:r>
    </w:p>
    <w:p w14:paraId="156C3F39" w14:textId="5418618B" w:rsidR="00BF0619" w:rsidRPr="00AF434B" w:rsidRDefault="00BF0619" w:rsidP="00BF0619">
      <w:pPr>
        <w:pStyle w:val="SingleTxtG"/>
        <w:rPr>
          <w:noProof/>
          <w:lang w:val="fr-FR"/>
        </w:rPr>
      </w:pPr>
      <w:r w:rsidRPr="00AF434B">
        <w:rPr>
          <w:noProof/>
          <w:lang w:val="fr-FR"/>
        </w:rPr>
        <w:t>65.</w:t>
      </w:r>
      <w:r w:rsidRPr="00AF434B">
        <w:rPr>
          <w:noProof/>
          <w:lang w:val="fr-FR"/>
        </w:rPr>
        <w:tab/>
      </w:r>
      <w:r>
        <w:rPr>
          <w:noProof/>
          <w:lang w:val="fr-FR"/>
        </w:rPr>
        <w:t xml:space="preserve">Le </w:t>
      </w:r>
      <w:r w:rsidRPr="009E331F">
        <w:rPr>
          <w:noProof/>
          <w:lang w:val="fr-FR"/>
        </w:rPr>
        <w:t xml:space="preserve">programme </w:t>
      </w:r>
      <w:r w:rsidRPr="009E331F">
        <w:rPr>
          <w:i/>
          <w:noProof/>
          <w:lang w:val="fr-FR"/>
        </w:rPr>
        <w:t>Escolhas</w:t>
      </w:r>
      <w:r w:rsidRPr="009E331F">
        <w:rPr>
          <w:noProof/>
          <w:lang w:val="fr-FR"/>
        </w:rPr>
        <w:t xml:space="preserve"> (Choix)</w:t>
      </w:r>
      <w:r w:rsidRPr="00BB3DD1">
        <w:rPr>
          <w:rStyle w:val="Appelnotedebasdep"/>
        </w:rPr>
        <w:footnoteReference w:id="14"/>
      </w:r>
      <w:r w:rsidRPr="00AF434B">
        <w:rPr>
          <w:noProof/>
          <w:lang w:val="fr-FR"/>
        </w:rPr>
        <w:t xml:space="preserve"> prom</w:t>
      </w:r>
      <w:r>
        <w:rPr>
          <w:noProof/>
          <w:lang w:val="fr-FR"/>
        </w:rPr>
        <w:t>eut l’inclusion sociale d’enfants et de jeunes (âgés de</w:t>
      </w:r>
      <w:r w:rsidR="004F188D">
        <w:rPr>
          <w:noProof/>
          <w:lang w:val="fr-FR"/>
        </w:rPr>
        <w:t> 6</w:t>
      </w:r>
      <w:r>
        <w:rPr>
          <w:noProof/>
          <w:lang w:val="fr-FR"/>
        </w:rPr>
        <w:t xml:space="preserve"> à 30</w:t>
      </w:r>
      <w:r w:rsidR="004F188D">
        <w:rPr>
          <w:noProof/>
          <w:lang w:val="fr-FR"/>
        </w:rPr>
        <w:t> </w:t>
      </w:r>
      <w:r>
        <w:rPr>
          <w:noProof/>
          <w:lang w:val="fr-FR"/>
        </w:rPr>
        <w:t xml:space="preserve">ans) venus de milieux socioéconomiques </w:t>
      </w:r>
      <w:r w:rsidRPr="00AF434B">
        <w:rPr>
          <w:noProof/>
          <w:lang w:val="fr-FR"/>
        </w:rPr>
        <w:t>vuln</w:t>
      </w:r>
      <w:r>
        <w:rPr>
          <w:noProof/>
          <w:lang w:val="fr-FR"/>
        </w:rPr>
        <w:t>é</w:t>
      </w:r>
      <w:r w:rsidRPr="00AF434B">
        <w:rPr>
          <w:noProof/>
          <w:lang w:val="fr-FR"/>
        </w:rPr>
        <w:t>rable</w:t>
      </w:r>
      <w:r>
        <w:rPr>
          <w:noProof/>
          <w:lang w:val="fr-FR"/>
        </w:rPr>
        <w:t xml:space="preserve">s, en particulier de </w:t>
      </w:r>
      <w:r w:rsidRPr="00AF434B">
        <w:rPr>
          <w:noProof/>
          <w:lang w:val="fr-FR"/>
        </w:rPr>
        <w:t xml:space="preserve">descendants </w:t>
      </w:r>
      <w:r>
        <w:rPr>
          <w:noProof/>
          <w:lang w:val="fr-FR"/>
        </w:rPr>
        <w:t>d’</w:t>
      </w:r>
      <w:r w:rsidRPr="00AF434B">
        <w:rPr>
          <w:noProof/>
          <w:lang w:val="fr-FR"/>
        </w:rPr>
        <w:t>immigr</w:t>
      </w:r>
      <w:r>
        <w:rPr>
          <w:noProof/>
          <w:lang w:val="fr-FR"/>
        </w:rPr>
        <w:t>és et de membres des minorités ethniques</w:t>
      </w:r>
      <w:r w:rsidRPr="00AF434B">
        <w:rPr>
          <w:noProof/>
          <w:lang w:val="fr-FR"/>
        </w:rPr>
        <w:t xml:space="preserve">. </w:t>
      </w:r>
      <w:r>
        <w:rPr>
          <w:noProof/>
          <w:lang w:val="fr-FR"/>
        </w:rPr>
        <w:t>Il appuie des projets locaux conçus et exécutés par un groupement de partenaires locaux et axés sur cinq domaines stratégiques</w:t>
      </w:r>
      <w:r w:rsidR="00980D26">
        <w:rPr>
          <w:noProof/>
          <w:lang w:val="fr-FR"/>
        </w:rPr>
        <w:t> </w:t>
      </w:r>
      <w:r w:rsidRPr="00AF434B">
        <w:rPr>
          <w:noProof/>
          <w:lang w:val="fr-FR"/>
        </w:rPr>
        <w:t xml:space="preserve">: </w:t>
      </w:r>
      <w:r>
        <w:rPr>
          <w:noProof/>
          <w:lang w:val="fr-FR"/>
        </w:rPr>
        <w:t>é</w:t>
      </w:r>
      <w:r w:rsidRPr="00AF434B">
        <w:rPr>
          <w:noProof/>
          <w:lang w:val="fr-FR"/>
        </w:rPr>
        <w:t xml:space="preserve">ducation </w:t>
      </w:r>
      <w:r>
        <w:rPr>
          <w:noProof/>
          <w:lang w:val="fr-FR"/>
        </w:rPr>
        <w:t>et formation professionnelle</w:t>
      </w:r>
      <w:r w:rsidRPr="00AF434B">
        <w:rPr>
          <w:noProof/>
          <w:lang w:val="fr-FR"/>
        </w:rPr>
        <w:t xml:space="preserve">; </w:t>
      </w:r>
      <w:r>
        <w:rPr>
          <w:noProof/>
          <w:lang w:val="fr-FR"/>
        </w:rPr>
        <w:t>e</w:t>
      </w:r>
      <w:r w:rsidRPr="00AF434B">
        <w:rPr>
          <w:noProof/>
          <w:lang w:val="fr-FR"/>
        </w:rPr>
        <w:t>mployabilit</w:t>
      </w:r>
      <w:r>
        <w:rPr>
          <w:noProof/>
          <w:lang w:val="fr-FR"/>
        </w:rPr>
        <w:t>é</w:t>
      </w:r>
      <w:r w:rsidRPr="00AF434B">
        <w:rPr>
          <w:noProof/>
          <w:lang w:val="fr-FR"/>
        </w:rPr>
        <w:t xml:space="preserve"> </w:t>
      </w:r>
      <w:r>
        <w:rPr>
          <w:noProof/>
          <w:lang w:val="fr-FR"/>
        </w:rPr>
        <w:t>et emploi</w:t>
      </w:r>
      <w:r w:rsidR="00980D26">
        <w:rPr>
          <w:noProof/>
          <w:lang w:val="fr-FR"/>
        </w:rPr>
        <w:t> </w:t>
      </w:r>
      <w:r w:rsidRPr="00AF434B">
        <w:rPr>
          <w:noProof/>
          <w:lang w:val="fr-FR"/>
        </w:rPr>
        <w:t xml:space="preserve">; </w:t>
      </w:r>
      <w:r>
        <w:rPr>
          <w:noProof/>
          <w:lang w:val="fr-FR"/>
        </w:rPr>
        <w:t xml:space="preserve">citoyenneté et </w:t>
      </w:r>
      <w:r w:rsidRPr="00AF434B">
        <w:rPr>
          <w:noProof/>
          <w:lang w:val="fr-FR"/>
        </w:rPr>
        <w:t>participation</w:t>
      </w:r>
      <w:r w:rsidR="00980D26">
        <w:rPr>
          <w:noProof/>
          <w:lang w:val="fr-FR"/>
        </w:rPr>
        <w:t> </w:t>
      </w:r>
      <w:r w:rsidRPr="00AF434B">
        <w:rPr>
          <w:noProof/>
          <w:lang w:val="fr-FR"/>
        </w:rPr>
        <w:t xml:space="preserve">; </w:t>
      </w:r>
      <w:r>
        <w:rPr>
          <w:noProof/>
          <w:lang w:val="fr-FR"/>
        </w:rPr>
        <w:t>accès au numérique</w:t>
      </w:r>
      <w:r w:rsidR="00980D26">
        <w:rPr>
          <w:noProof/>
          <w:lang w:val="fr-FR"/>
        </w:rPr>
        <w:t> </w:t>
      </w:r>
      <w:r w:rsidRPr="00AF434B">
        <w:rPr>
          <w:noProof/>
          <w:lang w:val="fr-FR"/>
        </w:rPr>
        <w:t>;</w:t>
      </w:r>
      <w:r>
        <w:rPr>
          <w:noProof/>
          <w:lang w:val="fr-FR"/>
        </w:rPr>
        <w:t xml:space="preserve"> entreprenariat et autonomisation</w:t>
      </w:r>
      <w:r w:rsidRPr="00AF434B">
        <w:rPr>
          <w:noProof/>
          <w:lang w:val="fr-FR"/>
        </w:rPr>
        <w:t xml:space="preserve">. </w:t>
      </w:r>
      <w:r>
        <w:rPr>
          <w:noProof/>
          <w:lang w:val="fr-FR"/>
        </w:rPr>
        <w:t>Ce</w:t>
      </w:r>
      <w:r w:rsidR="00980D26">
        <w:rPr>
          <w:noProof/>
          <w:lang w:val="fr-FR"/>
        </w:rPr>
        <w:t> </w:t>
      </w:r>
      <w:r>
        <w:rPr>
          <w:noProof/>
          <w:lang w:val="fr-FR"/>
        </w:rPr>
        <w:t xml:space="preserve">Programme, dont c’est actuellement la sixième édition </w:t>
      </w:r>
      <w:r w:rsidRPr="00AF434B">
        <w:rPr>
          <w:noProof/>
          <w:lang w:val="fr-FR"/>
        </w:rPr>
        <w:t>(2016</w:t>
      </w:r>
      <w:r>
        <w:rPr>
          <w:noProof/>
          <w:lang w:val="fr-FR"/>
        </w:rPr>
        <w:t xml:space="preserve">-2018), appuie </w:t>
      </w:r>
      <w:r w:rsidRPr="00AF434B">
        <w:rPr>
          <w:noProof/>
          <w:lang w:val="fr-FR"/>
        </w:rPr>
        <w:t>110</w:t>
      </w:r>
      <w:r w:rsidR="00980D26">
        <w:rPr>
          <w:noProof/>
          <w:lang w:val="fr-FR"/>
        </w:rPr>
        <w:t> </w:t>
      </w:r>
      <w:r>
        <w:rPr>
          <w:noProof/>
          <w:lang w:val="fr-FR"/>
        </w:rPr>
        <w:t>projets approuvés</w:t>
      </w:r>
      <w:r w:rsidRPr="00AF434B">
        <w:rPr>
          <w:noProof/>
          <w:lang w:val="fr-FR"/>
        </w:rPr>
        <w:t xml:space="preserve">, </w:t>
      </w:r>
      <w:r>
        <w:rPr>
          <w:noProof/>
          <w:lang w:val="fr-FR"/>
        </w:rPr>
        <w:t xml:space="preserve">qui comptent quelque </w:t>
      </w:r>
      <w:r w:rsidRPr="00AF434B">
        <w:rPr>
          <w:noProof/>
          <w:lang w:val="fr-FR"/>
        </w:rPr>
        <w:t>85</w:t>
      </w:r>
      <w:r w:rsidR="00980D26">
        <w:rPr>
          <w:noProof/>
          <w:lang w:val="fr-FR"/>
        </w:rPr>
        <w:t> </w:t>
      </w:r>
      <w:r>
        <w:rPr>
          <w:noProof/>
          <w:lang w:val="fr-FR"/>
        </w:rPr>
        <w:t xml:space="preserve">000 participants et sont répartis sur l’ensemble du territoire portugais, ainsi que deux projets pilotes dans le contexte européen. Dans l’édition précédente </w:t>
      </w:r>
      <w:r w:rsidRPr="00AF434B">
        <w:rPr>
          <w:noProof/>
          <w:lang w:val="fr-FR"/>
        </w:rPr>
        <w:t>(2013</w:t>
      </w:r>
      <w:r>
        <w:rPr>
          <w:noProof/>
          <w:lang w:val="fr-FR"/>
        </w:rPr>
        <w:t>-</w:t>
      </w:r>
      <w:r w:rsidRPr="00AF434B">
        <w:rPr>
          <w:noProof/>
          <w:lang w:val="fr-FR"/>
        </w:rPr>
        <w:t xml:space="preserve">2015), </w:t>
      </w:r>
      <w:r>
        <w:rPr>
          <w:noProof/>
          <w:lang w:val="fr-FR"/>
        </w:rPr>
        <w:t xml:space="preserve">il y a eu </w:t>
      </w:r>
      <w:r w:rsidRPr="00AF434B">
        <w:rPr>
          <w:noProof/>
          <w:lang w:val="fr-FR"/>
        </w:rPr>
        <w:t>85</w:t>
      </w:r>
      <w:r w:rsidR="00980D26">
        <w:rPr>
          <w:noProof/>
          <w:lang w:val="fr-FR"/>
        </w:rPr>
        <w:t> </w:t>
      </w:r>
      <w:r w:rsidRPr="00AF434B">
        <w:rPr>
          <w:noProof/>
          <w:lang w:val="fr-FR"/>
        </w:rPr>
        <w:t xml:space="preserve">160 participants </w:t>
      </w:r>
      <w:r>
        <w:rPr>
          <w:noProof/>
          <w:lang w:val="fr-FR"/>
        </w:rPr>
        <w:t>et</w:t>
      </w:r>
      <w:r w:rsidRPr="00AF434B">
        <w:rPr>
          <w:noProof/>
          <w:lang w:val="fr-FR"/>
        </w:rPr>
        <w:t xml:space="preserve"> 2</w:t>
      </w:r>
      <w:r w:rsidR="00980D26">
        <w:rPr>
          <w:noProof/>
          <w:lang w:val="fr-FR"/>
        </w:rPr>
        <w:t> </w:t>
      </w:r>
      <w:r w:rsidRPr="00AF434B">
        <w:rPr>
          <w:noProof/>
          <w:lang w:val="fr-FR"/>
        </w:rPr>
        <w:t>871 part</w:t>
      </w:r>
      <w:r>
        <w:rPr>
          <w:noProof/>
          <w:lang w:val="fr-FR"/>
        </w:rPr>
        <w:t>e</w:t>
      </w:r>
      <w:r w:rsidRPr="00AF434B">
        <w:rPr>
          <w:noProof/>
          <w:lang w:val="fr-FR"/>
        </w:rPr>
        <w:t>n</w:t>
      </w:r>
      <w:r>
        <w:rPr>
          <w:noProof/>
          <w:lang w:val="fr-FR"/>
        </w:rPr>
        <w:t>aires ont été associés à ce Programme</w:t>
      </w:r>
      <w:r w:rsidRPr="00AF434B">
        <w:rPr>
          <w:noProof/>
          <w:lang w:val="fr-FR"/>
        </w:rPr>
        <w:t xml:space="preserve">. </w:t>
      </w:r>
      <w:r>
        <w:rPr>
          <w:noProof/>
          <w:lang w:val="fr-FR"/>
        </w:rPr>
        <w:t xml:space="preserve">Grâce à lui, plus de </w:t>
      </w:r>
      <w:r w:rsidRPr="00AF434B">
        <w:rPr>
          <w:noProof/>
          <w:lang w:val="fr-FR"/>
        </w:rPr>
        <w:t>2</w:t>
      </w:r>
      <w:r w:rsidR="00980D26">
        <w:rPr>
          <w:noProof/>
          <w:lang w:val="fr-FR"/>
        </w:rPr>
        <w:t> </w:t>
      </w:r>
      <w:r w:rsidRPr="00AF434B">
        <w:rPr>
          <w:noProof/>
          <w:lang w:val="fr-FR"/>
        </w:rPr>
        <w:t xml:space="preserve">400 </w:t>
      </w:r>
      <w:r>
        <w:rPr>
          <w:noProof/>
          <w:lang w:val="fr-FR"/>
        </w:rPr>
        <w:t xml:space="preserve">enfants et jeunes </w:t>
      </w:r>
      <w:r w:rsidRPr="004B4BC7">
        <w:rPr>
          <w:noProof/>
          <w:lang w:val="fr-FR"/>
        </w:rPr>
        <w:t>ont réintégré l’école et 7 000 ont réintégré l’emploi ou la formation professionnelle</w:t>
      </w:r>
      <w:r w:rsidRPr="00AF434B">
        <w:rPr>
          <w:noProof/>
          <w:lang w:val="fr-FR"/>
        </w:rPr>
        <w:t>.</w:t>
      </w:r>
    </w:p>
    <w:p w14:paraId="74C217D0" w14:textId="77777777" w:rsidR="00BF0619" w:rsidRPr="00AF434B" w:rsidRDefault="00BF0619" w:rsidP="00BF0619">
      <w:pPr>
        <w:pStyle w:val="SingleTxtG"/>
        <w:rPr>
          <w:noProof/>
          <w:lang w:val="fr-FR"/>
        </w:rPr>
      </w:pPr>
      <w:r>
        <w:rPr>
          <w:noProof/>
          <w:lang w:val="fr-FR"/>
        </w:rPr>
        <w:t>66.</w:t>
      </w:r>
      <w:r>
        <w:rPr>
          <w:noProof/>
          <w:lang w:val="fr-FR"/>
        </w:rPr>
        <w:tab/>
        <w:t xml:space="preserve">Le Programme </w:t>
      </w:r>
      <w:r w:rsidRPr="00AF434B">
        <w:rPr>
          <w:noProof/>
          <w:lang w:val="fr-FR"/>
        </w:rPr>
        <w:t>OPRE</w:t>
      </w:r>
      <w:r w:rsidRPr="00DB6CB3">
        <w:rPr>
          <w:noProof/>
          <w:color w:val="040505"/>
          <w:sz w:val="22"/>
          <w:szCs w:val="22"/>
          <w:shd w:val="clear" w:color="auto" w:fill="FFFFFF"/>
          <w:lang w:val="fr-FR"/>
        </w:rPr>
        <w:t xml:space="preserve"> </w:t>
      </w:r>
      <w:r w:rsidRPr="00DB6CB3">
        <w:rPr>
          <w:noProof/>
          <w:color w:val="040505"/>
          <w:shd w:val="clear" w:color="auto" w:fill="FFFFFF"/>
          <w:lang w:val="fr-FR"/>
        </w:rPr>
        <w:t>(</w:t>
      </w:r>
      <w:r w:rsidRPr="00DB6CB3">
        <w:rPr>
          <w:i/>
          <w:noProof/>
          <w:color w:val="040505"/>
          <w:shd w:val="clear" w:color="auto" w:fill="FFFFFF"/>
          <w:lang w:val="fr-FR"/>
        </w:rPr>
        <w:t>Programa Operacional de Promoção da Educação</w:t>
      </w:r>
      <w:r>
        <w:rPr>
          <w:noProof/>
          <w:color w:val="040505"/>
          <w:shd w:val="clear" w:color="auto" w:fill="FFFFFF"/>
          <w:lang w:val="fr-FR"/>
        </w:rPr>
        <w:t>)</w:t>
      </w:r>
      <w:r w:rsidRPr="00DB6CB3">
        <w:rPr>
          <w:noProof/>
          <w:lang w:val="fr-FR"/>
        </w:rPr>
        <w:t xml:space="preserve"> </w:t>
      </w:r>
      <w:r>
        <w:rPr>
          <w:noProof/>
          <w:lang w:val="fr-FR"/>
        </w:rPr>
        <w:t>a été lancé en octobre</w:t>
      </w:r>
      <w:r w:rsidR="00B90119">
        <w:rPr>
          <w:noProof/>
          <w:lang w:val="fr-FR"/>
        </w:rPr>
        <w:t> </w:t>
      </w:r>
      <w:r>
        <w:rPr>
          <w:noProof/>
          <w:lang w:val="fr-FR"/>
        </w:rPr>
        <w:t>2016 pour faciliter et promouvoir l’accès des jeunes Roms à l’enseignement supérieur</w:t>
      </w:r>
      <w:r w:rsidRPr="00AF434B">
        <w:rPr>
          <w:noProof/>
          <w:lang w:val="fr-FR"/>
        </w:rPr>
        <w:t xml:space="preserve">. </w:t>
      </w:r>
      <w:r>
        <w:rPr>
          <w:noProof/>
          <w:lang w:val="fr-FR"/>
        </w:rPr>
        <w:t>Il vise à abaisser les barrières existant entre ces communautés et le système d’éducation formelle, et à prévenir le décrochage scolaire précoce</w:t>
      </w:r>
      <w:r w:rsidRPr="00AF434B">
        <w:rPr>
          <w:noProof/>
          <w:lang w:val="fr-FR"/>
        </w:rPr>
        <w:t xml:space="preserve">. </w:t>
      </w:r>
      <w:r>
        <w:rPr>
          <w:noProof/>
          <w:lang w:val="fr-FR"/>
        </w:rPr>
        <w:t xml:space="preserve">Il comporte un volet de mesures d’action positive qui prévoit notamment de garantir aux bénéficiaires une représentation de </w:t>
      </w:r>
      <w:r w:rsidRPr="00AF434B">
        <w:rPr>
          <w:noProof/>
          <w:lang w:val="fr-FR"/>
        </w:rPr>
        <w:t>40</w:t>
      </w:r>
      <w:r w:rsidR="00B90119">
        <w:rPr>
          <w:noProof/>
          <w:lang w:val="fr-FR"/>
        </w:rPr>
        <w:t> </w:t>
      </w:r>
      <w:r w:rsidRPr="00AF434B">
        <w:rPr>
          <w:noProof/>
          <w:lang w:val="fr-FR"/>
        </w:rPr>
        <w:t xml:space="preserve">% </w:t>
      </w:r>
      <w:r>
        <w:rPr>
          <w:noProof/>
          <w:lang w:val="fr-FR"/>
        </w:rPr>
        <w:t>pour chaque sexe, ce qui va dans le sens de la parité</w:t>
      </w:r>
      <w:r w:rsidRPr="00AF434B">
        <w:rPr>
          <w:noProof/>
          <w:lang w:val="fr-FR"/>
        </w:rPr>
        <w:t xml:space="preserve">. </w:t>
      </w:r>
      <w:r>
        <w:rPr>
          <w:noProof/>
          <w:lang w:val="fr-FR"/>
        </w:rPr>
        <w:t xml:space="preserve">L’édition actuelle de ce Programme a octroyé </w:t>
      </w:r>
      <w:r w:rsidRPr="00AF434B">
        <w:rPr>
          <w:noProof/>
          <w:lang w:val="fr-FR"/>
        </w:rPr>
        <w:t>25</w:t>
      </w:r>
      <w:r w:rsidR="00B90119">
        <w:rPr>
          <w:noProof/>
          <w:lang w:val="fr-FR"/>
        </w:rPr>
        <w:t> </w:t>
      </w:r>
      <w:r>
        <w:rPr>
          <w:noProof/>
          <w:lang w:val="fr-FR"/>
        </w:rPr>
        <w:t xml:space="preserve">bourses </w:t>
      </w:r>
      <w:r w:rsidRPr="00AF434B">
        <w:rPr>
          <w:noProof/>
          <w:lang w:val="fr-FR"/>
        </w:rPr>
        <w:t>universit</w:t>
      </w:r>
      <w:r>
        <w:rPr>
          <w:noProof/>
          <w:lang w:val="fr-FR"/>
        </w:rPr>
        <w:t xml:space="preserve">aires et proposé un programme de renforcement des capacités, un appui technique spécialisé, des activités de sensibilisation et de médiation </w:t>
      </w:r>
      <w:r w:rsidRPr="00AF434B">
        <w:rPr>
          <w:noProof/>
          <w:lang w:val="fr-FR"/>
        </w:rPr>
        <w:t>famil</w:t>
      </w:r>
      <w:r>
        <w:rPr>
          <w:noProof/>
          <w:lang w:val="fr-FR"/>
        </w:rPr>
        <w:t>iale et communautaire</w:t>
      </w:r>
      <w:r w:rsidRPr="00AF434B">
        <w:rPr>
          <w:noProof/>
          <w:lang w:val="fr-FR"/>
        </w:rPr>
        <w:t>, a</w:t>
      </w:r>
      <w:r>
        <w:rPr>
          <w:noProof/>
          <w:lang w:val="fr-FR"/>
        </w:rPr>
        <w:t>insi qu’un appui individuel et des cours de soutien aux étudiants</w:t>
      </w:r>
      <w:r w:rsidRPr="00AF434B">
        <w:rPr>
          <w:noProof/>
          <w:lang w:val="fr-FR"/>
        </w:rPr>
        <w:t xml:space="preserve">. </w:t>
      </w:r>
    </w:p>
    <w:p w14:paraId="551889E9" w14:textId="77777777" w:rsidR="00BF0619" w:rsidRPr="00AF434B" w:rsidRDefault="00BF0619" w:rsidP="00BF0619">
      <w:pPr>
        <w:pStyle w:val="SingleTxtG"/>
        <w:rPr>
          <w:noProof/>
          <w:lang w:val="fr-FR"/>
        </w:rPr>
      </w:pPr>
      <w:r w:rsidRPr="00AF434B">
        <w:rPr>
          <w:noProof/>
          <w:lang w:val="fr-FR"/>
        </w:rPr>
        <w:t>67.</w:t>
      </w:r>
      <w:r w:rsidRPr="00AF434B">
        <w:rPr>
          <w:noProof/>
          <w:lang w:val="fr-FR"/>
        </w:rPr>
        <w:tab/>
      </w:r>
      <w:r>
        <w:rPr>
          <w:noProof/>
          <w:lang w:val="fr-FR"/>
        </w:rPr>
        <w:t>E</w:t>
      </w:r>
      <w:r w:rsidRPr="00AF434B">
        <w:rPr>
          <w:noProof/>
          <w:lang w:val="fr-FR"/>
        </w:rPr>
        <w:t xml:space="preserve">n 2017, </w:t>
      </w:r>
      <w:r>
        <w:rPr>
          <w:noProof/>
          <w:lang w:val="fr-FR"/>
        </w:rPr>
        <w:t xml:space="preserve">le Haut-Commissariat pour les migrations a lancé la première édition du </w:t>
      </w:r>
      <w:r w:rsidRPr="00AF434B">
        <w:rPr>
          <w:noProof/>
          <w:lang w:val="fr-FR"/>
        </w:rPr>
        <w:t xml:space="preserve">PAAC </w:t>
      </w:r>
      <w:r>
        <w:rPr>
          <w:noProof/>
          <w:lang w:val="fr-FR"/>
        </w:rPr>
        <w:t>(</w:t>
      </w:r>
      <w:r w:rsidRPr="00CA388F">
        <w:rPr>
          <w:i/>
          <w:noProof/>
          <w:color w:val="545454"/>
          <w:shd w:val="clear" w:color="auto" w:fill="FFFFFF"/>
          <w:lang w:val="fr-FR"/>
        </w:rPr>
        <w:t>Programa de Apoio ao Associativismo Cigano</w:t>
      </w:r>
      <w:r w:rsidRPr="00AF434B">
        <w:rPr>
          <w:noProof/>
          <w:lang w:val="fr-FR"/>
        </w:rPr>
        <w:t xml:space="preserve"> </w:t>
      </w:r>
      <w:r>
        <w:rPr>
          <w:noProof/>
          <w:lang w:val="fr-FR"/>
        </w:rPr>
        <w:t>(Programme d’appui aux associations roms)) afin d’</w:t>
      </w:r>
      <w:r w:rsidRPr="00AF434B">
        <w:rPr>
          <w:noProof/>
          <w:lang w:val="fr-FR"/>
        </w:rPr>
        <w:t>encourage</w:t>
      </w:r>
      <w:r>
        <w:rPr>
          <w:noProof/>
          <w:lang w:val="fr-FR"/>
        </w:rPr>
        <w:t xml:space="preserve">r la </w:t>
      </w:r>
      <w:r w:rsidRPr="00AF434B">
        <w:rPr>
          <w:noProof/>
          <w:lang w:val="fr-FR"/>
        </w:rPr>
        <w:t xml:space="preserve">participation </w:t>
      </w:r>
      <w:r>
        <w:rPr>
          <w:noProof/>
          <w:lang w:val="fr-FR"/>
        </w:rPr>
        <w:t xml:space="preserve">des </w:t>
      </w:r>
      <w:r w:rsidRPr="00AF434B">
        <w:rPr>
          <w:noProof/>
          <w:lang w:val="fr-FR"/>
        </w:rPr>
        <w:t>associations</w:t>
      </w:r>
      <w:r>
        <w:rPr>
          <w:noProof/>
          <w:lang w:val="fr-FR"/>
        </w:rPr>
        <w:t xml:space="preserve"> roms</w:t>
      </w:r>
      <w:r w:rsidRPr="00AF434B">
        <w:rPr>
          <w:noProof/>
          <w:lang w:val="fr-FR"/>
        </w:rPr>
        <w:t xml:space="preserve">. </w:t>
      </w:r>
      <w:r>
        <w:rPr>
          <w:noProof/>
          <w:lang w:val="fr-FR"/>
        </w:rPr>
        <w:t xml:space="preserve">Doté d’un budget de </w:t>
      </w:r>
      <w:r w:rsidRPr="00AF434B">
        <w:rPr>
          <w:noProof/>
          <w:lang w:val="fr-FR"/>
        </w:rPr>
        <w:t>40</w:t>
      </w:r>
      <w:r>
        <w:rPr>
          <w:noProof/>
          <w:lang w:val="fr-FR"/>
        </w:rPr>
        <w:t> </w:t>
      </w:r>
      <w:r w:rsidRPr="00AF434B">
        <w:rPr>
          <w:noProof/>
          <w:lang w:val="fr-FR"/>
        </w:rPr>
        <w:t>000</w:t>
      </w:r>
      <w:r>
        <w:rPr>
          <w:noProof/>
          <w:lang w:val="fr-FR"/>
        </w:rPr>
        <w:t xml:space="preserve"> euros, ce Programme a financé </w:t>
      </w:r>
      <w:r w:rsidRPr="00AF434B">
        <w:rPr>
          <w:noProof/>
          <w:lang w:val="fr-FR"/>
        </w:rPr>
        <w:t xml:space="preserve">six </w:t>
      </w:r>
      <w:r>
        <w:rPr>
          <w:noProof/>
          <w:lang w:val="fr-FR"/>
        </w:rPr>
        <w:t>a</w:t>
      </w:r>
      <w:r w:rsidRPr="00AF434B">
        <w:rPr>
          <w:noProof/>
          <w:lang w:val="fr-FR"/>
        </w:rPr>
        <w:t xml:space="preserve">ssociations </w:t>
      </w:r>
      <w:r>
        <w:rPr>
          <w:noProof/>
          <w:lang w:val="fr-FR"/>
        </w:rPr>
        <w:t>roms pour les aider à faire face aux questions fondamentales telles que le paiement des factures d’électricité ou d’I</w:t>
      </w:r>
      <w:r w:rsidRPr="00AF434B">
        <w:rPr>
          <w:noProof/>
          <w:lang w:val="fr-FR"/>
        </w:rPr>
        <w:t>nternet, o</w:t>
      </w:r>
      <w:r>
        <w:rPr>
          <w:noProof/>
          <w:lang w:val="fr-FR"/>
        </w:rPr>
        <w:t>u à entreprendre de petits projets relevant de la S</w:t>
      </w:r>
      <w:r w:rsidRPr="00001282">
        <w:rPr>
          <w:noProof/>
          <w:lang w:val="fr-FR"/>
        </w:rPr>
        <w:t>tratégie nationale pour l’intégration des communautés roms</w:t>
      </w:r>
      <w:r w:rsidRPr="00AF434B">
        <w:rPr>
          <w:noProof/>
          <w:lang w:val="fr-FR"/>
        </w:rPr>
        <w:t xml:space="preserve"> </w:t>
      </w:r>
      <w:r>
        <w:rPr>
          <w:noProof/>
          <w:lang w:val="fr-FR"/>
        </w:rPr>
        <w:t xml:space="preserve">et touchant, par exemple, la </w:t>
      </w:r>
      <w:r w:rsidRPr="00AF434B">
        <w:rPr>
          <w:noProof/>
          <w:lang w:val="fr-FR"/>
        </w:rPr>
        <w:t xml:space="preserve">promotion </w:t>
      </w:r>
      <w:r>
        <w:rPr>
          <w:noProof/>
          <w:lang w:val="fr-FR"/>
        </w:rPr>
        <w:t>de l’histoire et de la culture roms</w:t>
      </w:r>
      <w:r w:rsidRPr="00AF434B">
        <w:rPr>
          <w:noProof/>
          <w:lang w:val="fr-FR"/>
        </w:rPr>
        <w:t xml:space="preserve">. </w:t>
      </w:r>
      <w:r>
        <w:rPr>
          <w:noProof/>
          <w:lang w:val="fr-FR"/>
        </w:rPr>
        <w:t>E</w:t>
      </w:r>
      <w:r w:rsidRPr="00AF434B">
        <w:rPr>
          <w:noProof/>
          <w:lang w:val="fr-FR"/>
        </w:rPr>
        <w:t xml:space="preserve">n 2018, </w:t>
      </w:r>
      <w:r>
        <w:rPr>
          <w:noProof/>
          <w:lang w:val="fr-FR"/>
        </w:rPr>
        <w:t xml:space="preserve">la deuxième édition du </w:t>
      </w:r>
      <w:r w:rsidRPr="00AF434B">
        <w:rPr>
          <w:noProof/>
          <w:lang w:val="fr-FR"/>
        </w:rPr>
        <w:t>PAAC</w:t>
      </w:r>
      <w:r>
        <w:rPr>
          <w:noProof/>
          <w:lang w:val="fr-FR"/>
        </w:rPr>
        <w:t xml:space="preserve"> a </w:t>
      </w:r>
      <w:r w:rsidRPr="00AF434B">
        <w:rPr>
          <w:noProof/>
          <w:lang w:val="fr-FR"/>
        </w:rPr>
        <w:t>appro</w:t>
      </w:r>
      <w:r>
        <w:rPr>
          <w:noProof/>
          <w:lang w:val="fr-FR"/>
        </w:rPr>
        <w:t>uvé huit proje</w:t>
      </w:r>
      <w:r w:rsidRPr="00AF434B">
        <w:rPr>
          <w:noProof/>
          <w:lang w:val="fr-FR"/>
        </w:rPr>
        <w:t xml:space="preserve">ts </w:t>
      </w:r>
      <w:r>
        <w:rPr>
          <w:noProof/>
          <w:lang w:val="fr-FR"/>
        </w:rPr>
        <w:t>à exécuter dans toutes les régions du pays</w:t>
      </w:r>
      <w:r w:rsidRPr="00AF434B">
        <w:rPr>
          <w:noProof/>
          <w:lang w:val="fr-FR"/>
        </w:rPr>
        <w:t>.</w:t>
      </w:r>
    </w:p>
    <w:p w14:paraId="296F9985" w14:textId="77777777" w:rsidR="00BF0619" w:rsidRPr="00AF434B" w:rsidRDefault="00BF0619" w:rsidP="00BF0619">
      <w:pPr>
        <w:pStyle w:val="SingleTxtG"/>
        <w:rPr>
          <w:noProof/>
          <w:lang w:val="fr-FR"/>
        </w:rPr>
      </w:pPr>
      <w:bookmarkStart w:id="2" w:name="_Toc513479545"/>
      <w:r w:rsidRPr="00AF434B">
        <w:rPr>
          <w:noProof/>
          <w:lang w:val="fr-FR"/>
        </w:rPr>
        <w:t>68.</w:t>
      </w:r>
      <w:r w:rsidRPr="00AF434B">
        <w:rPr>
          <w:noProof/>
          <w:lang w:val="fr-FR"/>
        </w:rPr>
        <w:tab/>
      </w:r>
      <w:r>
        <w:rPr>
          <w:noProof/>
          <w:lang w:val="fr-FR"/>
        </w:rPr>
        <w:t xml:space="preserve">Les </w:t>
      </w:r>
      <w:r w:rsidRPr="00AF434B">
        <w:rPr>
          <w:noProof/>
          <w:lang w:val="fr-FR"/>
        </w:rPr>
        <w:t xml:space="preserve">initiatives </w:t>
      </w:r>
      <w:r>
        <w:rPr>
          <w:noProof/>
          <w:lang w:val="fr-FR"/>
        </w:rPr>
        <w:t>prises pour lutter contre les stéréotypes et préjugés raciaux contre les immigrants, les étrangers et les citoyens portugais, notamment les Roms, se sont multipliées</w:t>
      </w:r>
      <w:r w:rsidRPr="00AF434B">
        <w:rPr>
          <w:noProof/>
          <w:lang w:val="fr-FR"/>
        </w:rPr>
        <w:t xml:space="preserve">. </w:t>
      </w:r>
      <w:r>
        <w:rPr>
          <w:noProof/>
          <w:lang w:val="fr-FR"/>
        </w:rPr>
        <w:t>Elles prennent la forme de campa</w:t>
      </w:r>
      <w:r w:rsidRPr="00AF434B">
        <w:rPr>
          <w:noProof/>
          <w:lang w:val="fr-FR"/>
        </w:rPr>
        <w:t>gn</w:t>
      </w:r>
      <w:r>
        <w:rPr>
          <w:noProof/>
          <w:lang w:val="fr-FR"/>
        </w:rPr>
        <w:t>e</w:t>
      </w:r>
      <w:r w:rsidRPr="00AF434B">
        <w:rPr>
          <w:noProof/>
          <w:lang w:val="fr-FR"/>
        </w:rPr>
        <w:t xml:space="preserve">s, </w:t>
      </w:r>
      <w:r>
        <w:rPr>
          <w:noProof/>
          <w:lang w:val="fr-FR"/>
        </w:rPr>
        <w:t>de proje</w:t>
      </w:r>
      <w:r w:rsidRPr="00AF434B">
        <w:rPr>
          <w:noProof/>
          <w:lang w:val="fr-FR"/>
        </w:rPr>
        <w:t xml:space="preserve">ts, </w:t>
      </w:r>
      <w:r>
        <w:rPr>
          <w:noProof/>
          <w:lang w:val="fr-FR"/>
        </w:rPr>
        <w:t>de formations et de séances de sensibilisation à l’occasion des célébrations de la Journée internationale pour l’élimination de la discrimination raciale</w:t>
      </w:r>
      <w:bookmarkEnd w:id="2"/>
      <w:r w:rsidR="00B90119">
        <w:rPr>
          <w:noProof/>
          <w:lang w:val="fr-FR"/>
        </w:rPr>
        <w:t> :</w:t>
      </w:r>
    </w:p>
    <w:p w14:paraId="3961500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w:t>
      </w:r>
      <w:r w:rsidRPr="00AF434B">
        <w:rPr>
          <w:noProof/>
          <w:lang w:val="fr-FR"/>
        </w:rPr>
        <w:t>n 2015</w:t>
      </w:r>
      <w:r>
        <w:rPr>
          <w:noProof/>
          <w:lang w:val="fr-FR"/>
        </w:rPr>
        <w:t>,</w:t>
      </w:r>
      <w:r w:rsidRPr="00AF434B">
        <w:rPr>
          <w:noProof/>
          <w:lang w:val="fr-FR"/>
        </w:rPr>
        <w:t xml:space="preserve"> </w:t>
      </w:r>
      <w:r>
        <w:rPr>
          <w:noProof/>
          <w:lang w:val="fr-FR"/>
        </w:rPr>
        <w:t>on a lancé sur un site Web spécial</w:t>
      </w:r>
      <w:r w:rsidRPr="00BB3DD1">
        <w:rPr>
          <w:rStyle w:val="Appelnotedebasdep"/>
        </w:rPr>
        <w:footnoteReference w:id="15"/>
      </w:r>
      <w:r w:rsidRPr="00AF434B">
        <w:rPr>
          <w:noProof/>
          <w:lang w:val="fr-FR"/>
        </w:rPr>
        <w:t xml:space="preserve"> </w:t>
      </w:r>
      <w:r>
        <w:rPr>
          <w:noProof/>
          <w:lang w:val="fr-FR"/>
        </w:rPr>
        <w:t xml:space="preserve">et sur Facebook la campagne </w:t>
      </w:r>
      <w:r w:rsidRPr="00AF434B">
        <w:rPr>
          <w:i/>
          <w:iCs/>
          <w:noProof/>
          <w:lang w:val="fr-FR"/>
        </w:rPr>
        <w:t>D</w:t>
      </w:r>
      <w:r>
        <w:rPr>
          <w:i/>
          <w:iCs/>
          <w:noProof/>
          <w:lang w:val="fr-FR"/>
        </w:rPr>
        <w:t>escobrea tua cor ! (Découvre ta couleur</w:t>
      </w:r>
      <w:r w:rsidR="00B90119">
        <w:rPr>
          <w:i/>
          <w:iCs/>
          <w:noProof/>
          <w:lang w:val="fr-FR"/>
        </w:rPr>
        <w:t> </w:t>
      </w:r>
      <w:r w:rsidRPr="00AF434B">
        <w:rPr>
          <w:i/>
          <w:iCs/>
          <w:noProof/>
          <w:lang w:val="fr-FR"/>
        </w:rPr>
        <w:t>!</w:t>
      </w:r>
      <w:r>
        <w:rPr>
          <w:i/>
          <w:iCs/>
          <w:noProof/>
          <w:lang w:val="fr-FR"/>
        </w:rPr>
        <w:t>)</w:t>
      </w:r>
      <w:r w:rsidRPr="00AF434B">
        <w:rPr>
          <w:noProof/>
          <w:lang w:val="fr-FR"/>
        </w:rPr>
        <w:t xml:space="preserve">. </w:t>
      </w:r>
      <w:r>
        <w:rPr>
          <w:noProof/>
          <w:lang w:val="fr-FR"/>
        </w:rPr>
        <w:t xml:space="preserve">Cette </w:t>
      </w:r>
      <w:r w:rsidRPr="00AF434B">
        <w:rPr>
          <w:noProof/>
          <w:lang w:val="fr-FR"/>
        </w:rPr>
        <w:t>campa</w:t>
      </w:r>
      <w:r>
        <w:rPr>
          <w:noProof/>
          <w:lang w:val="fr-FR"/>
        </w:rPr>
        <w:t>gne a connu un grand succès : elle a enregistré 45 000 vues le premier jour</w:t>
      </w:r>
      <w:r w:rsidRPr="00AF434B">
        <w:rPr>
          <w:noProof/>
          <w:lang w:val="fr-FR"/>
        </w:rPr>
        <w:t>;</w:t>
      </w:r>
    </w:p>
    <w:p w14:paraId="65488FD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w:t>
      </w:r>
      <w:r w:rsidRPr="00AF434B">
        <w:rPr>
          <w:noProof/>
          <w:lang w:val="fr-FR"/>
        </w:rPr>
        <w:t>n 2016</w:t>
      </w:r>
      <w:r>
        <w:rPr>
          <w:noProof/>
          <w:lang w:val="fr-FR"/>
        </w:rPr>
        <w:t>, une campagne</w:t>
      </w:r>
      <w:r w:rsidRPr="00AF434B">
        <w:rPr>
          <w:noProof/>
          <w:lang w:val="fr-FR"/>
        </w:rPr>
        <w:t xml:space="preserve"> national</w:t>
      </w:r>
      <w:r>
        <w:rPr>
          <w:noProof/>
          <w:lang w:val="fr-FR"/>
        </w:rPr>
        <w:t>e</w:t>
      </w:r>
      <w:r w:rsidRPr="00AF434B">
        <w:rPr>
          <w:noProof/>
          <w:lang w:val="fr-FR"/>
        </w:rPr>
        <w:t xml:space="preserve"> </w:t>
      </w:r>
      <w:r>
        <w:rPr>
          <w:noProof/>
          <w:lang w:val="fr-FR"/>
        </w:rPr>
        <w:t xml:space="preserve">a visé les enfants âgés de </w:t>
      </w:r>
      <w:r w:rsidR="00980D26">
        <w:rPr>
          <w:noProof/>
          <w:lang w:val="fr-FR"/>
        </w:rPr>
        <w:t>3</w:t>
      </w:r>
      <w:r>
        <w:rPr>
          <w:noProof/>
          <w:lang w:val="fr-FR"/>
        </w:rPr>
        <w:t xml:space="preserve"> à </w:t>
      </w:r>
      <w:r w:rsidR="00980D26">
        <w:rPr>
          <w:noProof/>
          <w:lang w:val="fr-FR"/>
        </w:rPr>
        <w:t>5 </w:t>
      </w:r>
      <w:r>
        <w:rPr>
          <w:noProof/>
          <w:lang w:val="fr-FR"/>
        </w:rPr>
        <w:t xml:space="preserve">ans fréquentant le système préscolaire. On leur a donné une boîte de crayons de couleur permettant de reproduire six couleurs de peau différentes et un livre contenant l’histoire </w:t>
      </w:r>
      <w:r>
        <w:rPr>
          <w:i/>
          <w:iCs/>
          <w:noProof/>
          <w:lang w:val="fr-FR"/>
        </w:rPr>
        <w:t>As cores da cidade cinzenta</w:t>
      </w:r>
      <w:r>
        <w:rPr>
          <w:i/>
          <w:iCs/>
          <w:noProof/>
          <w:lang w:val="fr-FR"/>
        </w:rPr>
        <w:tab/>
        <w:t>(Les couleurs de la ville grise)</w:t>
      </w:r>
      <w:r w:rsidRPr="00AF434B">
        <w:rPr>
          <w:noProof/>
          <w:lang w:val="fr-FR"/>
        </w:rPr>
        <w:t xml:space="preserve">, </w:t>
      </w:r>
      <w:r>
        <w:rPr>
          <w:noProof/>
          <w:lang w:val="fr-FR"/>
        </w:rPr>
        <w:t>en les invitant à colorier le livre et à écouter le principal message de l’histoire et à y</w:t>
      </w:r>
      <w:r w:rsidR="00B90119">
        <w:rPr>
          <w:noProof/>
          <w:lang w:val="fr-FR"/>
        </w:rPr>
        <w:t> </w:t>
      </w:r>
      <w:r>
        <w:rPr>
          <w:noProof/>
          <w:lang w:val="fr-FR"/>
        </w:rPr>
        <w:t>réfléchir : la ville accueille de nouveaux citoyens qui apportent avec eux de nouvelles couleurs, de nouvelles idées et de nouvelles façons de voir les choses</w:t>
      </w:r>
      <w:r w:rsidRPr="00BB3DD1">
        <w:rPr>
          <w:rStyle w:val="Appelnotedebasdep"/>
        </w:rPr>
        <w:footnoteReference w:id="16"/>
      </w:r>
      <w:r w:rsidR="00B90119">
        <w:rPr>
          <w:noProof/>
          <w:lang w:val="fr-FR"/>
        </w:rPr>
        <w:t> ;</w:t>
      </w:r>
    </w:p>
    <w:p w14:paraId="2BC2D66A"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w:t>
      </w:r>
      <w:r w:rsidRPr="00AF434B">
        <w:rPr>
          <w:noProof/>
          <w:lang w:val="fr-FR"/>
        </w:rPr>
        <w:t xml:space="preserve">n 2017, </w:t>
      </w:r>
      <w:r>
        <w:rPr>
          <w:noProof/>
          <w:lang w:val="fr-FR"/>
        </w:rPr>
        <w:t xml:space="preserve">diverses activités ont été organisées dans les écoles publiques de quatre villes du pays, dont une pièce de théâtre, des débats et des réflexions sur la lutte contre la </w:t>
      </w:r>
      <w:r w:rsidRPr="00AF434B">
        <w:rPr>
          <w:noProof/>
          <w:lang w:val="fr-FR"/>
        </w:rPr>
        <w:t>discrimination</w:t>
      </w:r>
      <w:r>
        <w:rPr>
          <w:noProof/>
          <w:lang w:val="fr-FR"/>
        </w:rPr>
        <w:t>, et des artistes et des enfants ont réalisé ensemble des peintures murales</w:t>
      </w:r>
      <w:r w:rsidRPr="00BB3DD1">
        <w:rPr>
          <w:rStyle w:val="Appelnotedebasdep"/>
        </w:rPr>
        <w:footnoteReference w:id="17"/>
      </w:r>
      <w:r>
        <w:rPr>
          <w:noProof/>
          <w:lang w:val="fr-FR"/>
        </w:rPr>
        <w:t> ;</w:t>
      </w:r>
    </w:p>
    <w:p w14:paraId="6CA879E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w:t>
      </w:r>
      <w:r w:rsidRPr="00AF434B">
        <w:rPr>
          <w:noProof/>
          <w:lang w:val="fr-FR"/>
        </w:rPr>
        <w:t xml:space="preserve">n 2018, </w:t>
      </w:r>
      <w:r>
        <w:rPr>
          <w:noProof/>
          <w:lang w:val="fr-FR"/>
        </w:rPr>
        <w:t>on a organisé à l’échelle nationale, à l’intention des enfants et adolescents, un concours les invitant à rédiger des essais sur la discrimination raciale</w:t>
      </w:r>
      <w:r w:rsidRPr="00AF434B">
        <w:rPr>
          <w:noProof/>
          <w:lang w:val="fr-FR"/>
        </w:rPr>
        <w:t xml:space="preserve">. </w:t>
      </w:r>
      <w:r>
        <w:rPr>
          <w:noProof/>
          <w:lang w:val="fr-FR"/>
        </w:rPr>
        <w:t xml:space="preserve">À ce jour, </w:t>
      </w:r>
      <w:r w:rsidRPr="00AF434B">
        <w:rPr>
          <w:noProof/>
          <w:lang w:val="fr-FR"/>
        </w:rPr>
        <w:t>500</w:t>
      </w:r>
      <w:r w:rsidR="00B90119">
        <w:rPr>
          <w:noProof/>
          <w:lang w:val="fr-FR"/>
        </w:rPr>
        <w:t> </w:t>
      </w:r>
      <w:r>
        <w:rPr>
          <w:noProof/>
          <w:lang w:val="fr-FR"/>
        </w:rPr>
        <w:t>essais ont été présentés</w:t>
      </w:r>
      <w:r w:rsidRPr="00BB3DD1">
        <w:rPr>
          <w:rStyle w:val="Appelnotedebasdep"/>
        </w:rPr>
        <w:footnoteReference w:id="18"/>
      </w:r>
      <w:r w:rsidRPr="00AF434B">
        <w:rPr>
          <w:noProof/>
          <w:lang w:val="fr-FR"/>
        </w:rPr>
        <w:t xml:space="preserve">. </w:t>
      </w:r>
    </w:p>
    <w:p w14:paraId="16593AC8" w14:textId="77777777" w:rsidR="00BF0619" w:rsidRPr="00AF434B" w:rsidRDefault="00BF0619" w:rsidP="00B90119">
      <w:pPr>
        <w:pStyle w:val="SingleTxtG"/>
        <w:keepNext/>
        <w:keepLines/>
        <w:rPr>
          <w:noProof/>
          <w:lang w:val="fr-FR"/>
        </w:rPr>
      </w:pPr>
      <w:r w:rsidRPr="00AF434B">
        <w:rPr>
          <w:noProof/>
          <w:lang w:val="fr-FR"/>
        </w:rPr>
        <w:t>69.</w:t>
      </w:r>
      <w:r w:rsidRPr="00AF434B">
        <w:rPr>
          <w:noProof/>
          <w:lang w:val="fr-FR"/>
        </w:rPr>
        <w:tab/>
      </w:r>
      <w:r>
        <w:rPr>
          <w:noProof/>
          <w:lang w:val="fr-FR"/>
        </w:rPr>
        <w:t>Les autres campagnes ciblant plus particulièrement les communautés roms sont notamment les suivantes</w:t>
      </w:r>
      <w:r w:rsidR="00B90119">
        <w:rPr>
          <w:noProof/>
          <w:lang w:val="fr-FR"/>
        </w:rPr>
        <w:t> :</w:t>
      </w:r>
    </w:p>
    <w:p w14:paraId="7830D668"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sidRPr="00AF434B">
        <w:rPr>
          <w:i/>
          <w:iCs/>
          <w:noProof/>
          <w:lang w:val="fr-FR"/>
        </w:rPr>
        <w:t>#DiaNacionalDaPessoaCigana2018</w:t>
      </w:r>
      <w:r w:rsidRPr="00AF434B">
        <w:rPr>
          <w:noProof/>
          <w:lang w:val="fr-FR"/>
        </w:rPr>
        <w:t xml:space="preserve"> </w:t>
      </w:r>
      <w:r>
        <w:rPr>
          <w:noProof/>
          <w:lang w:val="fr-FR"/>
        </w:rPr>
        <w:t>est une campagne qui a donné lieu à la production d’un certain nombre de courtes vidéos sur l’</w:t>
      </w:r>
      <w:r w:rsidRPr="00AF434B">
        <w:rPr>
          <w:noProof/>
          <w:lang w:val="fr-FR"/>
        </w:rPr>
        <w:t>int</w:t>
      </w:r>
      <w:r>
        <w:rPr>
          <w:noProof/>
          <w:lang w:val="fr-FR"/>
        </w:rPr>
        <w:t>é</w:t>
      </w:r>
      <w:r w:rsidRPr="00AF434B">
        <w:rPr>
          <w:noProof/>
          <w:lang w:val="fr-FR"/>
        </w:rPr>
        <w:t xml:space="preserve">gration </w:t>
      </w:r>
      <w:r>
        <w:rPr>
          <w:noProof/>
          <w:lang w:val="fr-FR"/>
        </w:rPr>
        <w:t>des communautés roms</w:t>
      </w:r>
      <w:r w:rsidR="00B90119">
        <w:rPr>
          <w:noProof/>
          <w:lang w:val="fr-FR"/>
        </w:rPr>
        <w:t> ;</w:t>
      </w:r>
    </w:p>
    <w:p w14:paraId="049E462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Les Voix des Roms à l’université est une vidéo en deux parties qui visait à donner la parole à de jeunes étudiants roms pour qu’ils parlent de leur vie quotidienne et de leurs espoirs pour l’avenir</w:t>
      </w:r>
      <w:r w:rsidR="00B90119">
        <w:rPr>
          <w:noProof/>
          <w:lang w:val="fr-FR"/>
        </w:rPr>
        <w:t> ;</w:t>
      </w:r>
    </w:p>
    <w:p w14:paraId="46F4F44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Être </w:t>
      </w:r>
      <w:r w:rsidRPr="00AF434B">
        <w:rPr>
          <w:noProof/>
          <w:lang w:val="fr-FR"/>
        </w:rPr>
        <w:t xml:space="preserve">: </w:t>
      </w:r>
      <w:r>
        <w:rPr>
          <w:noProof/>
          <w:lang w:val="fr-FR"/>
        </w:rPr>
        <w:t xml:space="preserve">un pas vers l’égalité est une </w:t>
      </w:r>
      <w:r w:rsidRPr="00AF434B">
        <w:rPr>
          <w:noProof/>
          <w:lang w:val="fr-FR"/>
        </w:rPr>
        <w:t>vid</w:t>
      </w:r>
      <w:r>
        <w:rPr>
          <w:noProof/>
          <w:lang w:val="fr-FR"/>
        </w:rPr>
        <w:t>é</w:t>
      </w:r>
      <w:r w:rsidRPr="00AF434B">
        <w:rPr>
          <w:noProof/>
          <w:lang w:val="fr-FR"/>
        </w:rPr>
        <w:t>o produ</w:t>
      </w:r>
      <w:r>
        <w:rPr>
          <w:noProof/>
          <w:lang w:val="fr-FR"/>
        </w:rPr>
        <w:t xml:space="preserve">ite par un projet relevant du </w:t>
      </w:r>
      <w:r w:rsidRPr="009E331F">
        <w:rPr>
          <w:noProof/>
          <w:lang w:val="fr-FR"/>
        </w:rPr>
        <w:t xml:space="preserve">programme </w:t>
      </w:r>
      <w:r w:rsidRPr="009E331F">
        <w:rPr>
          <w:i/>
          <w:noProof/>
          <w:lang w:val="fr-FR"/>
        </w:rPr>
        <w:t>Escolhas</w:t>
      </w:r>
      <w:r w:rsidRPr="009E331F">
        <w:rPr>
          <w:noProof/>
          <w:lang w:val="fr-FR"/>
        </w:rPr>
        <w:t xml:space="preserve"> (Choix</w:t>
      </w:r>
      <w:r>
        <w:rPr>
          <w:noProof/>
          <w:lang w:val="fr-FR"/>
        </w:rPr>
        <w:t>) pour marquer la Journée i</w:t>
      </w:r>
      <w:r w:rsidRPr="00AF434B">
        <w:rPr>
          <w:noProof/>
          <w:lang w:val="fr-FR"/>
        </w:rPr>
        <w:t>nternational</w:t>
      </w:r>
      <w:r>
        <w:rPr>
          <w:noProof/>
          <w:lang w:val="fr-FR"/>
        </w:rPr>
        <w:t>e des Roms</w:t>
      </w:r>
      <w:r w:rsidR="00B90119">
        <w:rPr>
          <w:noProof/>
          <w:lang w:val="fr-FR"/>
        </w:rPr>
        <w:t> ;</w:t>
      </w:r>
    </w:p>
    <w:p w14:paraId="3E4CC3B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w:t>
      </w:r>
      <w:r w:rsidRPr="00AF434B">
        <w:rPr>
          <w:i/>
          <w:iCs/>
          <w:noProof/>
          <w:lang w:val="fr-FR"/>
        </w:rPr>
        <w:t>Fronteiras</w:t>
      </w:r>
      <w:r>
        <w:rPr>
          <w:noProof/>
          <w:lang w:val="fr-FR"/>
        </w:rPr>
        <w:t> »</w:t>
      </w:r>
      <w:r w:rsidRPr="00AF434B">
        <w:rPr>
          <w:noProof/>
          <w:lang w:val="fr-FR"/>
        </w:rPr>
        <w:t xml:space="preserve"> </w:t>
      </w:r>
      <w:r>
        <w:rPr>
          <w:noProof/>
          <w:lang w:val="fr-FR"/>
        </w:rPr>
        <w:t xml:space="preserve">(Frontières) est une </w:t>
      </w:r>
      <w:r w:rsidRPr="00AF434B">
        <w:rPr>
          <w:noProof/>
          <w:lang w:val="fr-FR"/>
        </w:rPr>
        <w:t>vid</w:t>
      </w:r>
      <w:r>
        <w:rPr>
          <w:noProof/>
          <w:lang w:val="fr-FR"/>
        </w:rPr>
        <w:t>é</w:t>
      </w:r>
      <w:r w:rsidRPr="00AF434B">
        <w:rPr>
          <w:noProof/>
          <w:lang w:val="fr-FR"/>
        </w:rPr>
        <w:t>o produ</w:t>
      </w:r>
      <w:r>
        <w:rPr>
          <w:noProof/>
          <w:lang w:val="fr-FR"/>
        </w:rPr>
        <w:t xml:space="preserve">ite en </w:t>
      </w:r>
      <w:r w:rsidRPr="00AF434B">
        <w:rPr>
          <w:noProof/>
          <w:lang w:val="fr-FR"/>
        </w:rPr>
        <w:t xml:space="preserve">2016 </w:t>
      </w:r>
      <w:r>
        <w:rPr>
          <w:noProof/>
          <w:lang w:val="fr-FR"/>
        </w:rPr>
        <w:t xml:space="preserve">sur la vie des Roms du petit </w:t>
      </w:r>
      <w:r w:rsidRPr="00AF434B">
        <w:rPr>
          <w:noProof/>
          <w:lang w:val="fr-FR"/>
        </w:rPr>
        <w:t xml:space="preserve">village </w:t>
      </w:r>
      <w:r>
        <w:rPr>
          <w:noProof/>
          <w:lang w:val="fr-FR"/>
        </w:rPr>
        <w:t>de</w:t>
      </w:r>
      <w:r w:rsidRPr="00AF434B">
        <w:rPr>
          <w:noProof/>
          <w:lang w:val="fr-FR"/>
        </w:rPr>
        <w:t xml:space="preserve"> Tortosendo. </w:t>
      </w:r>
    </w:p>
    <w:p w14:paraId="21FC9DCB" w14:textId="77777777" w:rsidR="00BF0619" w:rsidRPr="00AF434B" w:rsidRDefault="00BF0619" w:rsidP="00BF0619">
      <w:pPr>
        <w:pStyle w:val="SingleTxtG"/>
        <w:rPr>
          <w:noProof/>
          <w:lang w:val="fr-FR"/>
        </w:rPr>
      </w:pPr>
      <w:r w:rsidRPr="00AF434B">
        <w:rPr>
          <w:noProof/>
          <w:lang w:val="fr-FR"/>
        </w:rPr>
        <w:t>70.</w:t>
      </w:r>
      <w:r w:rsidRPr="00AF434B">
        <w:rPr>
          <w:noProof/>
          <w:lang w:val="fr-FR"/>
        </w:rPr>
        <w:tab/>
      </w:r>
      <w:r>
        <w:rPr>
          <w:noProof/>
          <w:lang w:val="fr-FR"/>
        </w:rPr>
        <w:t>Comme tous les citoyens portugais, les communautés roms ont pleinement accès aux services de santé</w:t>
      </w:r>
      <w:r w:rsidRPr="00AF434B">
        <w:rPr>
          <w:noProof/>
          <w:lang w:val="fr-FR"/>
        </w:rPr>
        <w:t xml:space="preserve">. </w:t>
      </w:r>
      <w:r>
        <w:rPr>
          <w:noProof/>
          <w:lang w:val="fr-FR"/>
        </w:rPr>
        <w:t>La grande majorité des enfants roms bénéficient du programme national de vaccination</w:t>
      </w:r>
      <w:r w:rsidRPr="00AF434B">
        <w:rPr>
          <w:noProof/>
          <w:lang w:val="fr-FR"/>
        </w:rPr>
        <w:t>.</w:t>
      </w:r>
    </w:p>
    <w:p w14:paraId="733E4092" w14:textId="77777777" w:rsidR="00BF0619" w:rsidRPr="00AF434B" w:rsidRDefault="00BF0619" w:rsidP="00B90119">
      <w:pPr>
        <w:pStyle w:val="SingleTxtG"/>
        <w:keepNext/>
        <w:keepLines/>
        <w:rPr>
          <w:noProof/>
          <w:lang w:val="fr-FR"/>
        </w:rPr>
      </w:pPr>
      <w:r w:rsidRPr="00AF434B">
        <w:rPr>
          <w:noProof/>
          <w:lang w:val="fr-FR"/>
        </w:rPr>
        <w:t>71.</w:t>
      </w:r>
      <w:r w:rsidRPr="00AF434B">
        <w:rPr>
          <w:noProof/>
          <w:lang w:val="fr-FR"/>
        </w:rPr>
        <w:tab/>
      </w:r>
      <w:r>
        <w:rPr>
          <w:noProof/>
          <w:lang w:val="fr-FR"/>
        </w:rPr>
        <w:t>Le Ministère de la santé a réalisé tous les objectifs généraux ci-après de la S</w:t>
      </w:r>
      <w:r w:rsidRPr="00001282">
        <w:rPr>
          <w:noProof/>
          <w:lang w:val="fr-FR"/>
        </w:rPr>
        <w:t>tratégie nationale pour l’intégration des communautés roms</w:t>
      </w:r>
      <w:r w:rsidR="00B90119">
        <w:rPr>
          <w:noProof/>
          <w:lang w:val="fr-FR"/>
        </w:rPr>
        <w:t> :</w:t>
      </w:r>
    </w:p>
    <w:p w14:paraId="36401A5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Activités d’éducation sanitaire et accessibilité des services de santé pour les membres des communautés roms</w:t>
      </w:r>
      <w:r w:rsidR="00B90119">
        <w:rPr>
          <w:noProof/>
          <w:lang w:val="fr-FR"/>
        </w:rPr>
        <w:t> ;</w:t>
      </w:r>
    </w:p>
    <w:p w14:paraId="543FA52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Amélioration de la santé des communautés roms, l’accent étant mis sur la prévention, notamment dans le cadre de séances annuelles de sensibilisation à la maternité précoce, à la santé des enfants et aux habitudes alimentaires saines</w:t>
      </w:r>
      <w:r w:rsidR="00B90119">
        <w:rPr>
          <w:noProof/>
          <w:lang w:val="fr-FR"/>
        </w:rPr>
        <w:t> ;</w:t>
      </w:r>
    </w:p>
    <w:p w14:paraId="28B03E7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Sensibilisation des professionnels de la santé à la diversité culturelle et formation aux questions qui s’y rapportent</w:t>
      </w:r>
      <w:r w:rsidRPr="00AF434B">
        <w:rPr>
          <w:noProof/>
          <w:lang w:val="fr-FR"/>
        </w:rPr>
        <w:t>.</w:t>
      </w:r>
    </w:p>
    <w:p w14:paraId="0C59E90D" w14:textId="77777777" w:rsidR="00BF0619" w:rsidRPr="00AF434B" w:rsidRDefault="00BF0619" w:rsidP="00BF0619">
      <w:pPr>
        <w:pStyle w:val="SingleTxtG"/>
        <w:rPr>
          <w:noProof/>
          <w:lang w:val="fr-FR"/>
        </w:rPr>
      </w:pPr>
      <w:r w:rsidRPr="00AF434B">
        <w:rPr>
          <w:noProof/>
          <w:lang w:val="fr-FR"/>
        </w:rPr>
        <w:t>72.</w:t>
      </w:r>
      <w:r w:rsidRPr="00AF434B">
        <w:rPr>
          <w:noProof/>
          <w:lang w:val="fr-FR"/>
        </w:rPr>
        <w:tab/>
      </w:r>
      <w:r>
        <w:rPr>
          <w:noProof/>
          <w:lang w:val="fr-FR"/>
        </w:rPr>
        <w:t xml:space="preserve">L’accès au logement social subventionné par l’État dépend de la situation socioéconomique des ménages, et la </w:t>
      </w:r>
      <w:r w:rsidRPr="00AF434B">
        <w:rPr>
          <w:noProof/>
          <w:lang w:val="fr-FR"/>
        </w:rPr>
        <w:t xml:space="preserve">composition </w:t>
      </w:r>
      <w:r>
        <w:rPr>
          <w:noProof/>
          <w:lang w:val="fr-FR"/>
        </w:rPr>
        <w:t>de ces derniers influe sur la priorisation des subventions</w:t>
      </w:r>
      <w:r w:rsidRPr="00AF434B">
        <w:rPr>
          <w:noProof/>
          <w:lang w:val="fr-FR"/>
        </w:rPr>
        <w:t xml:space="preserve">. </w:t>
      </w:r>
      <w:r>
        <w:rPr>
          <w:noProof/>
          <w:lang w:val="fr-FR"/>
        </w:rPr>
        <w:t xml:space="preserve">On voit donc que, sans </w:t>
      </w:r>
      <w:r w:rsidRPr="00AF434B">
        <w:rPr>
          <w:noProof/>
          <w:lang w:val="fr-FR"/>
        </w:rPr>
        <w:t>pr</w:t>
      </w:r>
      <w:r>
        <w:rPr>
          <w:noProof/>
          <w:lang w:val="fr-FR"/>
        </w:rPr>
        <w:t>é</w:t>
      </w:r>
      <w:r w:rsidRPr="00AF434B">
        <w:rPr>
          <w:noProof/>
          <w:lang w:val="fr-FR"/>
        </w:rPr>
        <w:t xml:space="preserve">judice </w:t>
      </w:r>
      <w:r>
        <w:rPr>
          <w:noProof/>
          <w:lang w:val="fr-FR"/>
        </w:rPr>
        <w:t>des situations particulières, l’accès au logement public</w:t>
      </w:r>
      <w:r w:rsidRPr="00AF434B">
        <w:rPr>
          <w:noProof/>
          <w:lang w:val="fr-FR"/>
        </w:rPr>
        <w:t xml:space="preserve"> </w:t>
      </w:r>
      <w:r>
        <w:rPr>
          <w:noProof/>
          <w:lang w:val="fr-FR"/>
        </w:rPr>
        <w:t xml:space="preserve">repose </w:t>
      </w:r>
      <w:r w:rsidRPr="00AF434B">
        <w:rPr>
          <w:noProof/>
          <w:lang w:val="fr-FR"/>
        </w:rPr>
        <w:t>exclusive</w:t>
      </w:r>
      <w:r>
        <w:rPr>
          <w:noProof/>
          <w:lang w:val="fr-FR"/>
        </w:rPr>
        <w:t>ment sur le critère du revenu insuffisant des ménages</w:t>
      </w:r>
      <w:r w:rsidRPr="00AF434B">
        <w:rPr>
          <w:noProof/>
          <w:lang w:val="fr-FR"/>
        </w:rPr>
        <w:t xml:space="preserve">. </w:t>
      </w:r>
      <w:r>
        <w:rPr>
          <w:noProof/>
          <w:lang w:val="fr-FR"/>
        </w:rPr>
        <w:t xml:space="preserve">Le </w:t>
      </w:r>
      <w:r w:rsidRPr="00AF434B">
        <w:rPr>
          <w:noProof/>
          <w:lang w:val="fr-FR"/>
        </w:rPr>
        <w:t xml:space="preserve">Portugal </w:t>
      </w:r>
      <w:r>
        <w:rPr>
          <w:noProof/>
          <w:lang w:val="fr-FR"/>
        </w:rPr>
        <w:t>ne propose aucun programme axé exclusivement sur le sexe, l’origine ethnique ou la nationalité</w:t>
      </w:r>
      <w:r w:rsidRPr="00AF434B">
        <w:rPr>
          <w:noProof/>
          <w:lang w:val="fr-FR"/>
        </w:rPr>
        <w:t xml:space="preserve">. </w:t>
      </w:r>
      <w:r>
        <w:rPr>
          <w:noProof/>
          <w:lang w:val="fr-FR"/>
        </w:rPr>
        <w:t>Il s’en tient au princip</w:t>
      </w:r>
      <w:r w:rsidRPr="00AF434B">
        <w:rPr>
          <w:noProof/>
          <w:lang w:val="fr-FR"/>
        </w:rPr>
        <w:t xml:space="preserve">e </w:t>
      </w:r>
      <w:r>
        <w:rPr>
          <w:noProof/>
          <w:lang w:val="fr-FR"/>
        </w:rPr>
        <w:t xml:space="preserve">de </w:t>
      </w:r>
      <w:r w:rsidRPr="00AF434B">
        <w:rPr>
          <w:noProof/>
          <w:lang w:val="fr-FR"/>
        </w:rPr>
        <w:t xml:space="preserve">non-discrimination, </w:t>
      </w:r>
      <w:r>
        <w:rPr>
          <w:noProof/>
          <w:lang w:val="fr-FR"/>
        </w:rPr>
        <w:t>garantissant le droit universel d’accès aux programmes de logement, dont bénéficient à égalité tous les groupes sociaux, communautés et groupes ethniques</w:t>
      </w:r>
      <w:r w:rsidRPr="00AF434B">
        <w:rPr>
          <w:noProof/>
          <w:lang w:val="fr-FR"/>
        </w:rPr>
        <w:t>.</w:t>
      </w:r>
    </w:p>
    <w:p w14:paraId="704E4E91" w14:textId="77777777" w:rsidR="00BF0619" w:rsidRPr="00AF434B" w:rsidRDefault="00BF0619" w:rsidP="00BF0619">
      <w:pPr>
        <w:pStyle w:val="SingleTxtG"/>
        <w:rPr>
          <w:noProof/>
          <w:lang w:val="fr-FR"/>
        </w:rPr>
      </w:pPr>
      <w:r w:rsidRPr="00AF434B">
        <w:rPr>
          <w:noProof/>
          <w:lang w:val="fr-FR"/>
        </w:rPr>
        <w:t>73.</w:t>
      </w:r>
      <w:r w:rsidRPr="00AF434B">
        <w:rPr>
          <w:noProof/>
          <w:lang w:val="fr-FR"/>
        </w:rPr>
        <w:tab/>
      </w:r>
      <w:r>
        <w:rPr>
          <w:noProof/>
          <w:lang w:val="fr-FR"/>
        </w:rPr>
        <w:t>E</w:t>
      </w:r>
      <w:r w:rsidRPr="00AF434B">
        <w:rPr>
          <w:noProof/>
          <w:lang w:val="fr-FR"/>
        </w:rPr>
        <w:t xml:space="preserve">n 2013, </w:t>
      </w:r>
      <w:r>
        <w:rPr>
          <w:noProof/>
          <w:lang w:val="fr-FR"/>
        </w:rPr>
        <w:t xml:space="preserve">dans le but d’étudier les conditions de logement des Roms au </w:t>
      </w:r>
      <w:r w:rsidRPr="00AF434B">
        <w:rPr>
          <w:noProof/>
          <w:lang w:val="fr-FR"/>
        </w:rPr>
        <w:t xml:space="preserve">Portugal, </w:t>
      </w:r>
      <w:r>
        <w:rPr>
          <w:noProof/>
          <w:lang w:val="fr-FR"/>
        </w:rPr>
        <w:t>on a lancé une enquête à laquelle chaque municipalité devait répondre au sujet des communautés vivant dans son périmètre géographique</w:t>
      </w:r>
      <w:r w:rsidRPr="00AF434B">
        <w:rPr>
          <w:noProof/>
          <w:lang w:val="fr-FR"/>
        </w:rPr>
        <w:t xml:space="preserve">. </w:t>
      </w:r>
      <w:r>
        <w:rPr>
          <w:noProof/>
          <w:lang w:val="fr-FR"/>
        </w:rPr>
        <w:t xml:space="preserve">Publiés en 2015, les résultats de cette enquête ont montré que des ménages roms occupaient plus de </w:t>
      </w:r>
      <w:r w:rsidRPr="00AF434B">
        <w:rPr>
          <w:noProof/>
          <w:lang w:val="fr-FR"/>
        </w:rPr>
        <w:t>7</w:t>
      </w:r>
      <w:r w:rsidR="00B90119">
        <w:rPr>
          <w:noProof/>
          <w:lang w:val="fr-FR"/>
        </w:rPr>
        <w:t> </w:t>
      </w:r>
      <w:r w:rsidRPr="00AF434B">
        <w:rPr>
          <w:noProof/>
          <w:lang w:val="fr-FR"/>
        </w:rPr>
        <w:t>456</w:t>
      </w:r>
      <w:r w:rsidR="00B90119">
        <w:rPr>
          <w:noProof/>
          <w:lang w:val="fr-FR"/>
        </w:rPr>
        <w:t> </w:t>
      </w:r>
      <w:r>
        <w:rPr>
          <w:noProof/>
          <w:lang w:val="fr-FR"/>
        </w:rPr>
        <w:t>logements, dont 1 900 logements de fortune ou précaires</w:t>
      </w:r>
      <w:r w:rsidRPr="00AF434B">
        <w:rPr>
          <w:noProof/>
          <w:lang w:val="fr-FR"/>
        </w:rPr>
        <w:t xml:space="preserve">. </w:t>
      </w:r>
      <w:r>
        <w:rPr>
          <w:noProof/>
          <w:lang w:val="fr-FR"/>
        </w:rPr>
        <w:t>L’enquête a également conduit les municipalités à s’atteler, en partenariat avec l’Institut pour le logement et le réaménagement urbain (</w:t>
      </w:r>
      <w:r w:rsidRPr="001F1D77">
        <w:rPr>
          <w:i/>
          <w:noProof/>
          <w:color w:val="545454"/>
          <w:shd w:val="clear" w:color="auto" w:fill="FFFFFF"/>
          <w:lang w:val="fr-FR"/>
        </w:rPr>
        <w:t>Instituto da Habitação e da Reabilitação Urbana</w:t>
      </w:r>
      <w:r>
        <w:rPr>
          <w:noProof/>
          <w:lang w:val="fr-FR"/>
        </w:rPr>
        <w:t xml:space="preserve">), à une tâche de relogement depuis très longtemps nécessaire à </w:t>
      </w:r>
      <w:r w:rsidRPr="00AF434B">
        <w:rPr>
          <w:noProof/>
          <w:lang w:val="fr-FR"/>
        </w:rPr>
        <w:t xml:space="preserve">Campo Maior </w:t>
      </w:r>
      <w:r>
        <w:rPr>
          <w:noProof/>
          <w:lang w:val="fr-FR"/>
        </w:rPr>
        <w:t xml:space="preserve">et à </w:t>
      </w:r>
      <w:r w:rsidRPr="00AF434B">
        <w:rPr>
          <w:noProof/>
          <w:lang w:val="fr-FR"/>
        </w:rPr>
        <w:t xml:space="preserve">Peso da Régua. </w:t>
      </w:r>
    </w:p>
    <w:p w14:paraId="07290F62" w14:textId="77777777" w:rsidR="00BF0619" w:rsidRPr="00AF434B" w:rsidRDefault="00BF0619" w:rsidP="00BF0619">
      <w:pPr>
        <w:pStyle w:val="SingleTxtG"/>
        <w:rPr>
          <w:noProof/>
          <w:lang w:val="fr-FR"/>
        </w:rPr>
      </w:pPr>
      <w:r w:rsidRPr="00AF434B">
        <w:rPr>
          <w:noProof/>
          <w:lang w:val="fr-FR"/>
        </w:rPr>
        <w:t>74.</w:t>
      </w:r>
      <w:r w:rsidRPr="00AF434B">
        <w:rPr>
          <w:noProof/>
          <w:lang w:val="fr-FR"/>
        </w:rPr>
        <w:tab/>
      </w:r>
      <w:r>
        <w:rPr>
          <w:noProof/>
          <w:lang w:val="fr-FR"/>
        </w:rPr>
        <w:t xml:space="preserve">En ce qui concerne ces besoins domestiques et d’autres encore des Roms et des non-Roms, le Gouvernement portugais a lancé en 2018 une nouvelle génération de politiques de logement en présentant le Programme du premier droit </w:t>
      </w:r>
      <w:r w:rsidR="00B90119">
        <w:rPr>
          <w:noProof/>
          <w:lang w:val="fr-FR"/>
        </w:rPr>
        <w:t>− </w:t>
      </w:r>
      <w:r>
        <w:rPr>
          <w:noProof/>
          <w:lang w:val="fr-FR"/>
        </w:rPr>
        <w:t>Programme d’appui à l’accès au logement (</w:t>
      </w:r>
      <w:r w:rsidRPr="00763C9B">
        <w:rPr>
          <w:i/>
          <w:noProof/>
          <w:lang w:val="fr-FR"/>
        </w:rPr>
        <w:t>Primeiro Direito</w:t>
      </w:r>
      <w:r>
        <w:rPr>
          <w:i/>
          <w:noProof/>
          <w:lang w:val="fr-FR"/>
        </w:rPr>
        <w:t xml:space="preserve"> - </w:t>
      </w:r>
      <w:r w:rsidRPr="00763C9B">
        <w:rPr>
          <w:i/>
          <w:noProof/>
          <w:color w:val="545454"/>
          <w:shd w:val="clear" w:color="auto" w:fill="FFFFFF"/>
          <w:lang w:val="fr-FR"/>
        </w:rPr>
        <w:t>Programa de Apoio ao Acesso à </w:t>
      </w:r>
      <w:r w:rsidRPr="00763C9B">
        <w:rPr>
          <w:rStyle w:val="Accentuation"/>
          <w:noProof/>
          <w:color w:val="6A6A6A"/>
          <w:shd w:val="clear" w:color="auto" w:fill="FFFFFF"/>
          <w:lang w:val="fr-FR"/>
        </w:rPr>
        <w:t>Habitação</w:t>
      </w:r>
      <w:r w:rsidRPr="00AF434B">
        <w:rPr>
          <w:noProof/>
          <w:lang w:val="fr-FR"/>
        </w:rPr>
        <w:t>)</w:t>
      </w:r>
      <w:r>
        <w:rPr>
          <w:noProof/>
          <w:lang w:val="fr-FR"/>
        </w:rPr>
        <w:t>, un programme public de promotion de solutions de logement pour les personnes qui vivent dans des logements indignes et ne disposent pas des moyens financiers leur permettant d’accéder à un logement adéquat</w:t>
      </w:r>
      <w:r w:rsidRPr="00AF434B">
        <w:rPr>
          <w:noProof/>
          <w:lang w:val="fr-FR"/>
        </w:rPr>
        <w:t>.</w:t>
      </w:r>
    </w:p>
    <w:p w14:paraId="4D3FDC12" w14:textId="77777777" w:rsidR="00BF0619" w:rsidRPr="00AF434B" w:rsidRDefault="00BF0619" w:rsidP="00BF0619">
      <w:pPr>
        <w:pStyle w:val="SingleTxtG"/>
        <w:rPr>
          <w:noProof/>
          <w:lang w:val="fr-FR"/>
        </w:rPr>
      </w:pPr>
      <w:r w:rsidRPr="00AF434B">
        <w:rPr>
          <w:noProof/>
          <w:lang w:val="fr-FR"/>
        </w:rPr>
        <w:t>75.</w:t>
      </w:r>
      <w:r w:rsidRPr="00AF434B">
        <w:rPr>
          <w:noProof/>
          <w:lang w:val="fr-FR"/>
        </w:rPr>
        <w:tab/>
      </w:r>
      <w:r>
        <w:rPr>
          <w:noProof/>
          <w:lang w:val="fr-FR"/>
        </w:rPr>
        <w:t>E</w:t>
      </w:r>
      <w:r w:rsidRPr="00AF434B">
        <w:rPr>
          <w:noProof/>
          <w:lang w:val="fr-FR"/>
        </w:rPr>
        <w:t xml:space="preserve">n </w:t>
      </w:r>
      <w:r>
        <w:rPr>
          <w:noProof/>
          <w:lang w:val="fr-FR"/>
        </w:rPr>
        <w:t>s</w:t>
      </w:r>
      <w:r w:rsidRPr="00AF434B">
        <w:rPr>
          <w:noProof/>
          <w:lang w:val="fr-FR"/>
        </w:rPr>
        <w:t>eptemb</w:t>
      </w:r>
      <w:r>
        <w:rPr>
          <w:noProof/>
          <w:lang w:val="fr-FR"/>
        </w:rPr>
        <w:t>re</w:t>
      </w:r>
      <w:r w:rsidRPr="00AF434B">
        <w:rPr>
          <w:noProof/>
          <w:lang w:val="fr-FR"/>
        </w:rPr>
        <w:t xml:space="preserve"> 2017, </w:t>
      </w:r>
      <w:r>
        <w:rPr>
          <w:noProof/>
          <w:lang w:val="fr-FR"/>
        </w:rPr>
        <w:t>dans le but de suivre l’impact des mesures inscrites dans la S</w:t>
      </w:r>
      <w:r w:rsidRPr="00001282">
        <w:rPr>
          <w:noProof/>
          <w:lang w:val="fr-FR"/>
        </w:rPr>
        <w:t>tratégie nationale pou</w:t>
      </w:r>
      <w:r>
        <w:rPr>
          <w:noProof/>
          <w:lang w:val="fr-FR"/>
        </w:rPr>
        <w:t>r l’intégration des communautés roms</w:t>
      </w:r>
      <w:r w:rsidRPr="00AF434B">
        <w:rPr>
          <w:noProof/>
          <w:lang w:val="fr-FR"/>
        </w:rPr>
        <w:t xml:space="preserve">, </w:t>
      </w:r>
      <w:r>
        <w:rPr>
          <w:noProof/>
          <w:lang w:val="fr-FR"/>
        </w:rPr>
        <w:t>la Direction générale de l’enseignement</w:t>
      </w:r>
      <w:r w:rsidRPr="00AF434B">
        <w:rPr>
          <w:noProof/>
          <w:lang w:val="fr-FR"/>
        </w:rPr>
        <w:t xml:space="preserve"> </w:t>
      </w:r>
      <w:r>
        <w:rPr>
          <w:noProof/>
          <w:lang w:val="fr-FR"/>
        </w:rPr>
        <w:t>a élaboré et lancé une enquête électronique diffusée auprès des groupements scolaires</w:t>
      </w:r>
      <w:r w:rsidRPr="00AF434B">
        <w:rPr>
          <w:noProof/>
          <w:lang w:val="fr-FR"/>
        </w:rPr>
        <w:t xml:space="preserve">. </w:t>
      </w:r>
      <w:r>
        <w:rPr>
          <w:noProof/>
          <w:lang w:val="fr-FR"/>
        </w:rPr>
        <w:t>La collecte des données avait été préalablement autorisée par la Commission n</w:t>
      </w:r>
      <w:r w:rsidRPr="00AF434B">
        <w:rPr>
          <w:noProof/>
          <w:lang w:val="fr-FR"/>
        </w:rPr>
        <w:t>ational</w:t>
      </w:r>
      <w:r>
        <w:rPr>
          <w:noProof/>
          <w:lang w:val="fr-FR"/>
        </w:rPr>
        <w:t>e de la protection des données</w:t>
      </w:r>
      <w:r w:rsidRPr="00AF434B">
        <w:rPr>
          <w:noProof/>
          <w:lang w:val="fr-FR"/>
        </w:rPr>
        <w:t xml:space="preserve">. </w:t>
      </w:r>
      <w:r>
        <w:rPr>
          <w:noProof/>
          <w:lang w:val="fr-FR"/>
        </w:rPr>
        <w:t xml:space="preserve">Les conclusions de cette enquête ont été publiées sous le titre « Profil scolaire de la communauté rom </w:t>
      </w:r>
      <w:r w:rsidRPr="00AF434B">
        <w:rPr>
          <w:noProof/>
          <w:lang w:val="fr-FR"/>
        </w:rPr>
        <w:t>2016</w:t>
      </w:r>
      <w:r>
        <w:rPr>
          <w:noProof/>
          <w:lang w:val="fr-FR"/>
        </w:rPr>
        <w:t>-20</w:t>
      </w:r>
      <w:r w:rsidRPr="00AF434B">
        <w:rPr>
          <w:noProof/>
          <w:lang w:val="fr-FR"/>
        </w:rPr>
        <w:t>17</w:t>
      </w:r>
      <w:r>
        <w:rPr>
          <w:noProof/>
          <w:lang w:val="fr-FR"/>
        </w:rPr>
        <w:t> »</w:t>
      </w:r>
      <w:r w:rsidRPr="00AF434B">
        <w:rPr>
          <w:noProof/>
          <w:lang w:val="fr-FR"/>
        </w:rPr>
        <w:t xml:space="preserve">. </w:t>
      </w:r>
      <w:r>
        <w:rPr>
          <w:noProof/>
          <w:lang w:val="fr-FR"/>
        </w:rPr>
        <w:t xml:space="preserve">Par ailleurs, la </w:t>
      </w:r>
      <w:r w:rsidRPr="00AF434B">
        <w:rPr>
          <w:noProof/>
          <w:lang w:val="fr-FR"/>
        </w:rPr>
        <w:t>Conf</w:t>
      </w:r>
      <w:r>
        <w:rPr>
          <w:noProof/>
          <w:lang w:val="fr-FR"/>
        </w:rPr>
        <w:t>é</w:t>
      </w:r>
      <w:r w:rsidRPr="00AF434B">
        <w:rPr>
          <w:noProof/>
          <w:lang w:val="fr-FR"/>
        </w:rPr>
        <w:t>rence</w:t>
      </w:r>
      <w:r>
        <w:rPr>
          <w:noProof/>
          <w:lang w:val="fr-FR"/>
        </w:rPr>
        <w:t>-atelier organisée dans le cadre de la Stratégie nationale sur le thème « L’éducation et les communautés roms » s’est tenue le 30</w:t>
      </w:r>
      <w:r w:rsidR="00B90119">
        <w:rPr>
          <w:noProof/>
          <w:lang w:val="fr-FR"/>
        </w:rPr>
        <w:t> </w:t>
      </w:r>
      <w:r>
        <w:rPr>
          <w:noProof/>
          <w:lang w:val="fr-FR"/>
        </w:rPr>
        <w:t xml:space="preserve">novembre 2017 au Groupement scolaire </w:t>
      </w:r>
      <w:r w:rsidRPr="00AF434B">
        <w:rPr>
          <w:noProof/>
          <w:lang w:val="fr-FR"/>
        </w:rPr>
        <w:t>Santo António</w:t>
      </w:r>
      <w:r>
        <w:rPr>
          <w:noProof/>
          <w:lang w:val="fr-FR"/>
        </w:rPr>
        <w:t xml:space="preserve"> à</w:t>
      </w:r>
      <w:r w:rsidRPr="00AF434B">
        <w:rPr>
          <w:noProof/>
          <w:lang w:val="fr-FR"/>
        </w:rPr>
        <w:t xml:space="preserve"> Barre</w:t>
      </w:r>
      <w:r>
        <w:rPr>
          <w:noProof/>
          <w:lang w:val="fr-FR"/>
        </w:rPr>
        <w:t>iro</w:t>
      </w:r>
      <w:r w:rsidRPr="00AF434B">
        <w:rPr>
          <w:noProof/>
          <w:lang w:val="fr-FR"/>
        </w:rPr>
        <w:t xml:space="preserve">. </w:t>
      </w:r>
      <w:r>
        <w:rPr>
          <w:noProof/>
          <w:lang w:val="fr-FR"/>
        </w:rPr>
        <w:t>Elle était coorganisée par la Direction générale de l’enseignement, le Haut-Commissariat pour les migrations, l’Institut portugais pour le sport et la jeunesse, et l’Agence nationale pour la validation des compétences et l’enseignement professionnel (</w:t>
      </w:r>
      <w:r w:rsidRPr="00763C9B">
        <w:rPr>
          <w:bCs/>
          <w:i/>
          <w:noProof/>
          <w:color w:val="000000"/>
          <w:shd w:val="clear" w:color="auto" w:fill="FFFFFF"/>
          <w:lang w:val="fr-FR"/>
        </w:rPr>
        <w:t>Agência Nacional para a Qualificação e o Ensino Profissional</w:t>
      </w:r>
      <w:r>
        <w:rPr>
          <w:noProof/>
          <w:lang w:val="fr-FR"/>
        </w:rPr>
        <w:t>)</w:t>
      </w:r>
      <w:r w:rsidRPr="00AF434B">
        <w:rPr>
          <w:noProof/>
          <w:lang w:val="fr-FR"/>
        </w:rPr>
        <w:t xml:space="preserve">. </w:t>
      </w:r>
      <w:r>
        <w:rPr>
          <w:noProof/>
          <w:lang w:val="fr-FR"/>
        </w:rPr>
        <w:t>Plusieurs autres acteurs ont participé à cet atelier</w:t>
      </w:r>
      <w:r w:rsidRPr="00AF434B">
        <w:rPr>
          <w:noProof/>
          <w:lang w:val="fr-FR"/>
        </w:rPr>
        <w:t xml:space="preserve">, </w:t>
      </w:r>
      <w:r>
        <w:rPr>
          <w:noProof/>
          <w:lang w:val="fr-FR"/>
        </w:rPr>
        <w:t>comme l’</w:t>
      </w:r>
      <w:r w:rsidRPr="00AF434B">
        <w:rPr>
          <w:noProof/>
          <w:lang w:val="fr-FR"/>
        </w:rPr>
        <w:t xml:space="preserve">Association </w:t>
      </w:r>
      <w:r>
        <w:rPr>
          <w:noProof/>
          <w:lang w:val="fr-FR"/>
        </w:rPr>
        <w:t>pour la promotion des femmes roms portugaises</w:t>
      </w:r>
      <w:r w:rsidRPr="00AF434B">
        <w:rPr>
          <w:noProof/>
          <w:lang w:val="fr-FR"/>
        </w:rPr>
        <w:t xml:space="preserve">, </w:t>
      </w:r>
      <w:r>
        <w:rPr>
          <w:noProof/>
          <w:lang w:val="fr-FR"/>
        </w:rPr>
        <w:t xml:space="preserve">ainsi que des </w:t>
      </w:r>
      <w:r w:rsidRPr="00AF434B">
        <w:rPr>
          <w:noProof/>
          <w:lang w:val="fr-FR"/>
        </w:rPr>
        <w:t>municipalit</w:t>
      </w:r>
      <w:r>
        <w:rPr>
          <w:noProof/>
          <w:lang w:val="fr-FR"/>
        </w:rPr>
        <w:t>é</w:t>
      </w:r>
      <w:r w:rsidRPr="00AF434B">
        <w:rPr>
          <w:noProof/>
          <w:lang w:val="fr-FR"/>
        </w:rPr>
        <w:t xml:space="preserve">s, </w:t>
      </w:r>
      <w:r>
        <w:rPr>
          <w:noProof/>
          <w:lang w:val="fr-FR"/>
        </w:rPr>
        <w:t>des enseignants, des jeunes et des adultes membres de la communauté rom</w:t>
      </w:r>
      <w:r w:rsidRPr="00AF434B">
        <w:rPr>
          <w:noProof/>
          <w:lang w:val="fr-FR"/>
        </w:rPr>
        <w:t xml:space="preserve">. </w:t>
      </w:r>
    </w:p>
    <w:p w14:paraId="25EA8498" w14:textId="77777777" w:rsidR="00BF0619" w:rsidRPr="00AF434B" w:rsidRDefault="00BF0619" w:rsidP="00BF0619">
      <w:pPr>
        <w:pStyle w:val="SingleTxtG"/>
        <w:rPr>
          <w:noProof/>
          <w:lang w:val="fr-FR"/>
        </w:rPr>
      </w:pPr>
      <w:r w:rsidRPr="00AF434B">
        <w:rPr>
          <w:noProof/>
          <w:lang w:val="fr-FR"/>
        </w:rPr>
        <w:t>76.</w:t>
      </w:r>
      <w:r w:rsidRPr="00AF434B">
        <w:rPr>
          <w:noProof/>
          <w:lang w:val="fr-FR"/>
        </w:rPr>
        <w:tab/>
      </w:r>
      <w:r>
        <w:rPr>
          <w:noProof/>
          <w:lang w:val="fr-FR"/>
        </w:rPr>
        <w:t>L</w:t>
      </w:r>
      <w:r w:rsidRPr="0080061A">
        <w:rPr>
          <w:rFonts w:ascii="TimesNewRomanPSMT" w:hAnsi="TimesNewRomanPSMT" w:cs="TimesNewRomanPSMT"/>
          <w:lang w:val="fr-FR"/>
        </w:rPr>
        <w:t>’Institut pour l’emploi et la formation professionnelle</w:t>
      </w:r>
      <w:r w:rsidRPr="00AF434B">
        <w:rPr>
          <w:noProof/>
          <w:lang w:val="fr-FR"/>
        </w:rPr>
        <w:t xml:space="preserve"> </w:t>
      </w:r>
      <w:r>
        <w:rPr>
          <w:noProof/>
          <w:lang w:val="fr-FR"/>
        </w:rPr>
        <w:t>entend promouvoir l’accès des communautés roms aux emplois ordinaires, contribuant ainsi à faciliter leur inclusion sociale et à améliorer dans la foulée leur bien-être matériel</w:t>
      </w:r>
      <w:r w:rsidRPr="00AF434B">
        <w:rPr>
          <w:noProof/>
          <w:lang w:val="fr-FR"/>
        </w:rPr>
        <w:t xml:space="preserve">. </w:t>
      </w:r>
      <w:r>
        <w:rPr>
          <w:noProof/>
          <w:lang w:val="fr-FR"/>
        </w:rPr>
        <w:t>À cette fin, il fait coopérer différents services, principalement ceux qui sont chargés de concevoir les mesures relatives à l’emploi et à la formation, de manière à valider des actions qui sont les plus susceptibles de favoriser l’employabilité des Roms.</w:t>
      </w:r>
      <w:r w:rsidRPr="00AF434B">
        <w:rPr>
          <w:noProof/>
          <w:lang w:val="fr-FR"/>
        </w:rPr>
        <w:t xml:space="preserve"> </w:t>
      </w:r>
      <w:r>
        <w:rPr>
          <w:noProof/>
          <w:lang w:val="fr-FR"/>
        </w:rPr>
        <w:t>Il intervient à différents niveaux</w:t>
      </w:r>
      <w:r w:rsidR="00B90119">
        <w:rPr>
          <w:noProof/>
          <w:lang w:val="fr-FR"/>
        </w:rPr>
        <w:t> :</w:t>
      </w:r>
    </w:p>
    <w:p w14:paraId="30ED7DD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Encourag</w:t>
      </w:r>
      <w:r>
        <w:rPr>
          <w:noProof/>
          <w:lang w:val="fr-FR"/>
        </w:rPr>
        <w:t xml:space="preserve">er l’enregistrement des chômeurs roms identifiés comme tels par d’autres entités travaillant au contact direct de ces communautés, comme c’est le cas des centres locaux d’insertion et des entités titulaires de contrats locaux de développement social </w:t>
      </w:r>
      <w:r w:rsidRPr="00AF434B">
        <w:rPr>
          <w:noProof/>
          <w:lang w:val="fr-FR"/>
        </w:rPr>
        <w:t>(CLDS+)</w:t>
      </w:r>
      <w:r w:rsidR="00B90119">
        <w:rPr>
          <w:noProof/>
          <w:lang w:val="fr-FR"/>
        </w:rPr>
        <w:t> ;</w:t>
      </w:r>
    </w:p>
    <w:p w14:paraId="22011A37"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Orienter les Roms vers des programmes de formation et d’emploi ou les intégrer dans tous autres cadres d’intervention susceptibles de favoriser leur employabilité</w:t>
      </w:r>
      <w:r w:rsidRPr="00AF434B">
        <w:rPr>
          <w:noProof/>
          <w:lang w:val="fr-FR"/>
        </w:rPr>
        <w:t>;</w:t>
      </w:r>
    </w:p>
    <w:p w14:paraId="1F576E8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Sensibiliser les employeurs et autres </w:t>
      </w:r>
      <w:r w:rsidRPr="00AF434B">
        <w:rPr>
          <w:noProof/>
          <w:lang w:val="fr-FR"/>
        </w:rPr>
        <w:t>institutions</w:t>
      </w:r>
      <w:r>
        <w:rPr>
          <w:noProof/>
          <w:lang w:val="fr-FR"/>
        </w:rPr>
        <w:t xml:space="preserve"> à l’</w:t>
      </w:r>
      <w:r w:rsidRPr="00AF434B">
        <w:rPr>
          <w:noProof/>
          <w:lang w:val="fr-FR"/>
        </w:rPr>
        <w:t xml:space="preserve">existence </w:t>
      </w:r>
      <w:r>
        <w:rPr>
          <w:noProof/>
          <w:lang w:val="fr-FR"/>
        </w:rPr>
        <w:t>des politiques de l’emploi actives en tant qu’instruments d’appui à l’intégration des groupes vulnérables, notamment des communautés roms</w:t>
      </w:r>
      <w:r w:rsidR="00B90119">
        <w:rPr>
          <w:noProof/>
          <w:lang w:val="fr-FR"/>
        </w:rPr>
        <w:t> ;</w:t>
      </w:r>
    </w:p>
    <w:p w14:paraId="7838BE08"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Appuyer l’</w:t>
      </w:r>
      <w:r w:rsidRPr="00AF434B">
        <w:rPr>
          <w:noProof/>
          <w:lang w:val="fr-FR"/>
        </w:rPr>
        <w:t xml:space="preserve">identification </w:t>
      </w:r>
      <w:r>
        <w:rPr>
          <w:noProof/>
          <w:lang w:val="fr-FR"/>
        </w:rPr>
        <w:t xml:space="preserve">des chômeurs roms et les orienter vers d’autres entités et d’autres cadres d’intervention possibles, en liaison, le cas échéant, avec le service de coordination technique des </w:t>
      </w:r>
      <w:r w:rsidRPr="00AF434B">
        <w:rPr>
          <w:noProof/>
          <w:lang w:val="fr-FR"/>
        </w:rPr>
        <w:t>CLDS+.</w:t>
      </w:r>
    </w:p>
    <w:p w14:paraId="33DF3C8E" w14:textId="77777777" w:rsidR="00BF0619" w:rsidRPr="00AF434B" w:rsidRDefault="00BF0619" w:rsidP="00B90119">
      <w:pPr>
        <w:pStyle w:val="SingleTxtG"/>
        <w:keepNext/>
        <w:keepLines/>
        <w:rPr>
          <w:noProof/>
          <w:lang w:val="fr-FR"/>
        </w:rPr>
      </w:pPr>
      <w:r w:rsidRPr="00AF434B">
        <w:rPr>
          <w:noProof/>
          <w:lang w:val="fr-FR"/>
        </w:rPr>
        <w:t>77.</w:t>
      </w:r>
      <w:r w:rsidRPr="00AF434B">
        <w:rPr>
          <w:noProof/>
          <w:lang w:val="fr-FR"/>
        </w:rPr>
        <w:tab/>
      </w:r>
      <w:r>
        <w:rPr>
          <w:noProof/>
          <w:lang w:val="fr-FR"/>
        </w:rPr>
        <w:t>L</w:t>
      </w:r>
      <w:r w:rsidRPr="0080061A">
        <w:rPr>
          <w:rFonts w:ascii="TimesNewRomanPSMT" w:hAnsi="TimesNewRomanPSMT" w:cs="TimesNewRomanPSMT"/>
          <w:lang w:val="fr-FR"/>
        </w:rPr>
        <w:t>’Institut pour l’emploi et la formation professionnelle</w:t>
      </w:r>
      <w:r>
        <w:rPr>
          <w:noProof/>
          <w:lang w:val="fr-FR"/>
        </w:rPr>
        <w:t xml:space="preserve"> est associé au traitement des priorités ci-après dans le cadre de la S</w:t>
      </w:r>
      <w:r w:rsidRPr="00001282">
        <w:rPr>
          <w:noProof/>
          <w:lang w:val="fr-FR"/>
        </w:rPr>
        <w:t xml:space="preserve">tratégie nationale pour l’intégration des communautés roms </w:t>
      </w:r>
      <w:r>
        <w:rPr>
          <w:noProof/>
          <w:lang w:val="fr-FR"/>
        </w:rPr>
        <w:t xml:space="preserve">pour </w:t>
      </w:r>
      <w:r w:rsidRPr="00AF434B">
        <w:rPr>
          <w:noProof/>
          <w:lang w:val="fr-FR"/>
        </w:rPr>
        <w:t>2013</w:t>
      </w:r>
      <w:r>
        <w:rPr>
          <w:noProof/>
          <w:lang w:val="fr-FR"/>
        </w:rPr>
        <w:t>-</w:t>
      </w:r>
      <w:r w:rsidRPr="00AF434B">
        <w:rPr>
          <w:noProof/>
          <w:lang w:val="fr-FR"/>
        </w:rPr>
        <w:t>2020</w:t>
      </w:r>
      <w:r w:rsidR="00B90119">
        <w:rPr>
          <w:noProof/>
          <w:lang w:val="fr-FR"/>
        </w:rPr>
        <w:t> :</w:t>
      </w:r>
    </w:p>
    <w:p w14:paraId="1622F2F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Faire mieux connaître les communautés roms</w:t>
      </w:r>
      <w:r w:rsidR="00DB2FE9">
        <w:rPr>
          <w:noProof/>
          <w:lang w:val="fr-FR"/>
        </w:rPr>
        <w:t> ;</w:t>
      </w:r>
    </w:p>
    <w:p w14:paraId="55CFF6B3"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Améliorer les compétences de son personnel et organiser des formations axées sur les besoins spécifiques des communautés roms</w:t>
      </w:r>
      <w:r w:rsidR="00DB2FE9">
        <w:rPr>
          <w:noProof/>
          <w:lang w:val="fr-FR"/>
        </w:rPr>
        <w:t> ;</w:t>
      </w:r>
    </w:p>
    <w:p w14:paraId="26380C5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Promouvoir l’accès à l’emploi et </w:t>
      </w:r>
      <w:r w:rsidRPr="00AF434B">
        <w:rPr>
          <w:noProof/>
          <w:lang w:val="fr-FR"/>
        </w:rPr>
        <w:t>encourage</w:t>
      </w:r>
      <w:r>
        <w:rPr>
          <w:noProof/>
          <w:lang w:val="fr-FR"/>
        </w:rPr>
        <w:t>r l’activité indépendante</w:t>
      </w:r>
      <w:r w:rsidR="00DB2FE9">
        <w:rPr>
          <w:noProof/>
          <w:lang w:val="fr-FR"/>
        </w:rPr>
        <w:t> ;</w:t>
      </w:r>
    </w:p>
    <w:p w14:paraId="4F3F35B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Améliorer les compétences professionnelles pour augmenter les chances de trouver un emploi</w:t>
      </w:r>
      <w:r w:rsidR="00DB2FE9">
        <w:rPr>
          <w:noProof/>
          <w:lang w:val="fr-FR"/>
        </w:rPr>
        <w:t> ;</w:t>
      </w:r>
    </w:p>
    <w:p w14:paraId="46FD40F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Adopter une approche intégrée, en partenariat avec les communautés roms</w:t>
      </w:r>
      <w:r w:rsidR="00DB2FE9">
        <w:rPr>
          <w:noProof/>
          <w:lang w:val="fr-FR"/>
        </w:rPr>
        <w:t> ;</w:t>
      </w:r>
    </w:p>
    <w:p w14:paraId="7CB325FD"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Dynamiser les activités traditionnelles des communautés roms afin de promouvoir leur intégration sociale et professionnelle</w:t>
      </w:r>
      <w:r w:rsidR="00DB2FE9">
        <w:rPr>
          <w:noProof/>
          <w:lang w:val="fr-FR"/>
        </w:rPr>
        <w:t> ;</w:t>
      </w:r>
    </w:p>
    <w:p w14:paraId="7FC55351"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Organiser des activités de sensibilisation et des séances de démonstration de bonnes pratiques</w:t>
      </w:r>
      <w:r w:rsidRPr="00AF434B">
        <w:rPr>
          <w:noProof/>
          <w:lang w:val="fr-FR"/>
        </w:rPr>
        <w:t>.</w:t>
      </w:r>
    </w:p>
    <w:p w14:paraId="501A46BB" w14:textId="77777777" w:rsidR="00BF0619" w:rsidRPr="00AF434B" w:rsidRDefault="00BF0619" w:rsidP="00BF0619">
      <w:pPr>
        <w:pStyle w:val="SingleTxtG"/>
        <w:rPr>
          <w:noProof/>
          <w:lang w:val="fr-FR"/>
        </w:rPr>
      </w:pPr>
      <w:r w:rsidRPr="00AF434B">
        <w:rPr>
          <w:noProof/>
          <w:lang w:val="fr-FR"/>
        </w:rPr>
        <w:t>78.</w:t>
      </w:r>
      <w:r w:rsidRPr="00AF434B">
        <w:rPr>
          <w:noProof/>
          <w:lang w:val="fr-FR"/>
        </w:rPr>
        <w:tab/>
      </w:r>
      <w:r>
        <w:rPr>
          <w:noProof/>
          <w:lang w:val="fr-FR"/>
        </w:rPr>
        <w:t>Pour faciliter la mise en œuvre de la stratégie au niveau local, l’Institut a désigné, pour chaque bureau de placement, un coordonnateur chargé de coopérer avec les autres entités travaillant auprès des communautés roms</w:t>
      </w:r>
      <w:r w:rsidRPr="00AF434B">
        <w:rPr>
          <w:noProof/>
          <w:lang w:val="fr-FR"/>
        </w:rPr>
        <w:t>.</w:t>
      </w:r>
    </w:p>
    <w:p w14:paraId="1B185AF6" w14:textId="77777777" w:rsidR="00BF0619" w:rsidRPr="00AF434B" w:rsidRDefault="00BF0619" w:rsidP="00BF0619">
      <w:pPr>
        <w:pStyle w:val="SingleTxtG"/>
        <w:rPr>
          <w:noProof/>
          <w:lang w:val="fr-FR"/>
        </w:rPr>
      </w:pPr>
      <w:r w:rsidRPr="00AF434B">
        <w:rPr>
          <w:noProof/>
          <w:lang w:val="fr-FR"/>
        </w:rPr>
        <w:t>79.</w:t>
      </w:r>
      <w:r w:rsidRPr="00AF434B">
        <w:rPr>
          <w:noProof/>
          <w:lang w:val="fr-FR"/>
        </w:rPr>
        <w:tab/>
      </w:r>
      <w:r>
        <w:rPr>
          <w:noProof/>
          <w:lang w:val="fr-FR"/>
        </w:rPr>
        <w:t xml:space="preserve">On a lancé à l’échelon local des </w:t>
      </w:r>
      <w:r w:rsidRPr="00AF434B">
        <w:rPr>
          <w:noProof/>
          <w:lang w:val="fr-FR"/>
        </w:rPr>
        <w:t xml:space="preserve">initiatives </w:t>
      </w:r>
      <w:r>
        <w:rPr>
          <w:noProof/>
          <w:lang w:val="fr-FR"/>
        </w:rPr>
        <w:t xml:space="preserve">pour organiser la réflexion et la discussion sur d’éventuelles méthodes permettant d’optimiser l’intégration des groupes </w:t>
      </w:r>
      <w:r w:rsidRPr="00AF434B">
        <w:rPr>
          <w:noProof/>
          <w:lang w:val="fr-FR"/>
        </w:rPr>
        <w:t>vuln</w:t>
      </w:r>
      <w:r>
        <w:rPr>
          <w:noProof/>
          <w:lang w:val="fr-FR"/>
        </w:rPr>
        <w:t>é</w:t>
      </w:r>
      <w:r w:rsidRPr="00AF434B">
        <w:rPr>
          <w:noProof/>
          <w:lang w:val="fr-FR"/>
        </w:rPr>
        <w:t>rable</w:t>
      </w:r>
      <w:r>
        <w:rPr>
          <w:noProof/>
          <w:lang w:val="fr-FR"/>
        </w:rPr>
        <w:t>s</w:t>
      </w:r>
      <w:r w:rsidRPr="00AF434B">
        <w:rPr>
          <w:noProof/>
          <w:lang w:val="fr-FR"/>
        </w:rPr>
        <w:t xml:space="preserve">. </w:t>
      </w:r>
      <w:r>
        <w:rPr>
          <w:noProof/>
          <w:lang w:val="fr-FR"/>
        </w:rPr>
        <w:t>Dans le cadre de l’</w:t>
      </w:r>
      <w:r w:rsidRPr="00AF434B">
        <w:rPr>
          <w:noProof/>
          <w:lang w:val="fr-FR"/>
        </w:rPr>
        <w:t xml:space="preserve">initiative </w:t>
      </w:r>
      <w:r>
        <w:rPr>
          <w:noProof/>
          <w:lang w:val="fr-FR"/>
        </w:rPr>
        <w:t xml:space="preserve">« Suivez-moi </w:t>
      </w:r>
      <w:r w:rsidR="00DB2FE9">
        <w:rPr>
          <w:noProof/>
          <w:lang w:val="fr-FR"/>
        </w:rPr>
        <w:t>− </w:t>
      </w:r>
      <w:r>
        <w:rPr>
          <w:noProof/>
          <w:lang w:val="fr-FR"/>
        </w:rPr>
        <w:t xml:space="preserve">emploi et formation au bureau de placement », le Centre pour la formation et l’emploi de </w:t>
      </w:r>
      <w:r w:rsidRPr="00AF434B">
        <w:rPr>
          <w:noProof/>
          <w:lang w:val="fr-FR"/>
        </w:rPr>
        <w:t>Co</w:t>
      </w:r>
      <w:r>
        <w:rPr>
          <w:noProof/>
          <w:lang w:val="fr-FR"/>
        </w:rPr>
        <w:t>ïmbre a organisé un atelier sur le thème « </w:t>
      </w:r>
      <w:r w:rsidRPr="00AF434B">
        <w:rPr>
          <w:noProof/>
          <w:lang w:val="fr-FR"/>
        </w:rPr>
        <w:t>Strat</w:t>
      </w:r>
      <w:r>
        <w:rPr>
          <w:noProof/>
          <w:lang w:val="fr-FR"/>
        </w:rPr>
        <w:t>é</w:t>
      </w:r>
      <w:r w:rsidRPr="00AF434B">
        <w:rPr>
          <w:noProof/>
          <w:lang w:val="fr-FR"/>
        </w:rPr>
        <w:t xml:space="preserve">gies </w:t>
      </w:r>
      <w:r>
        <w:rPr>
          <w:noProof/>
          <w:lang w:val="fr-FR"/>
        </w:rPr>
        <w:t>d’in</w:t>
      </w:r>
      <w:r w:rsidRPr="00AF434B">
        <w:rPr>
          <w:noProof/>
          <w:lang w:val="fr-FR"/>
        </w:rPr>
        <w:t>t</w:t>
      </w:r>
      <w:r>
        <w:rPr>
          <w:noProof/>
          <w:lang w:val="fr-FR"/>
        </w:rPr>
        <w:t>é</w:t>
      </w:r>
      <w:r w:rsidRPr="00AF434B">
        <w:rPr>
          <w:noProof/>
          <w:lang w:val="fr-FR"/>
        </w:rPr>
        <w:t xml:space="preserve">gration </w:t>
      </w:r>
      <w:r>
        <w:rPr>
          <w:noProof/>
          <w:lang w:val="fr-FR"/>
        </w:rPr>
        <w:t xml:space="preserve">des groupes défavorisés », qui s’est tenu le </w:t>
      </w:r>
      <w:r w:rsidRPr="00AF434B">
        <w:rPr>
          <w:noProof/>
          <w:lang w:val="fr-FR"/>
        </w:rPr>
        <w:t>13</w:t>
      </w:r>
      <w:r w:rsidR="00DB2FE9">
        <w:rPr>
          <w:noProof/>
          <w:lang w:val="fr-FR"/>
        </w:rPr>
        <w:t> </w:t>
      </w:r>
      <w:r>
        <w:rPr>
          <w:noProof/>
          <w:lang w:val="fr-FR"/>
        </w:rPr>
        <w:t xml:space="preserve">juin </w:t>
      </w:r>
      <w:r w:rsidRPr="00AF434B">
        <w:rPr>
          <w:noProof/>
          <w:lang w:val="fr-FR"/>
        </w:rPr>
        <w:t xml:space="preserve">2018. </w:t>
      </w:r>
      <w:r>
        <w:rPr>
          <w:noProof/>
          <w:lang w:val="fr-FR"/>
        </w:rPr>
        <w:t>Les participants, qui représentaient plusieurs entités, comme l</w:t>
      </w:r>
      <w:r w:rsidRPr="0080061A">
        <w:rPr>
          <w:rFonts w:ascii="TimesNewRomanPSMT" w:hAnsi="TimesNewRomanPSMT" w:cs="TimesNewRomanPSMT"/>
          <w:lang w:val="fr-FR"/>
        </w:rPr>
        <w:t>’Institut pour l’emploi et la formation professionnelle</w:t>
      </w:r>
      <w:r>
        <w:rPr>
          <w:rFonts w:ascii="TimesNewRomanPSMT" w:hAnsi="TimesNewRomanPSMT" w:cs="TimesNewRomanPSMT"/>
          <w:lang w:val="fr-FR"/>
        </w:rPr>
        <w:t>, la sécurité sociale, des institutions privées de solidarité sociale, des municipalités et des bureaux</w:t>
      </w:r>
      <w:r>
        <w:rPr>
          <w:noProof/>
          <w:lang w:val="fr-FR"/>
        </w:rPr>
        <w:t xml:space="preserve"> d’appui à l’intégration professionnelle, ont porté essentiellement leur attention sur les bénéficiaires du revenu social de base, les personnes handicapées et les communautés roms</w:t>
      </w:r>
      <w:r w:rsidRPr="00AF434B">
        <w:rPr>
          <w:noProof/>
          <w:lang w:val="fr-FR"/>
        </w:rPr>
        <w:t xml:space="preserve">. </w:t>
      </w:r>
      <w:r>
        <w:rPr>
          <w:noProof/>
          <w:lang w:val="fr-FR"/>
        </w:rPr>
        <w:t>Cet atelier a été l’occasion pour les membres d’une équipe multidisciplinaire d’engager un dialogue étroit aux fins de promouvoir et de faciliter l’inclusion sociale</w:t>
      </w:r>
      <w:r w:rsidRPr="00AF434B">
        <w:rPr>
          <w:noProof/>
          <w:lang w:val="fr-FR"/>
        </w:rPr>
        <w:t>.</w:t>
      </w:r>
    </w:p>
    <w:p w14:paraId="10665FD8" w14:textId="77777777" w:rsidR="00BF0619" w:rsidRPr="00AF434B" w:rsidRDefault="00BF0619" w:rsidP="00DB2FE9">
      <w:pPr>
        <w:pStyle w:val="H4G"/>
        <w:rPr>
          <w:noProof/>
          <w:lang w:val="fr-FR"/>
        </w:rPr>
      </w:pPr>
      <w:r w:rsidRPr="00AF434B">
        <w:rPr>
          <w:noProof/>
          <w:lang w:val="fr-FR"/>
        </w:rPr>
        <w:tab/>
      </w:r>
      <w:r w:rsidRPr="00AF434B">
        <w:rPr>
          <w:noProof/>
          <w:lang w:val="fr-FR"/>
        </w:rPr>
        <w:tab/>
        <w:t xml:space="preserve">Promotion </w:t>
      </w:r>
      <w:r>
        <w:rPr>
          <w:noProof/>
          <w:lang w:val="fr-FR"/>
        </w:rPr>
        <w:t>du dialogue interculturel</w:t>
      </w:r>
    </w:p>
    <w:p w14:paraId="42779817" w14:textId="77777777" w:rsidR="00BF0619" w:rsidRPr="00AF434B" w:rsidRDefault="00BF0619" w:rsidP="00BF0619">
      <w:pPr>
        <w:pStyle w:val="SingleTxtG"/>
        <w:rPr>
          <w:noProof/>
          <w:lang w:val="fr-FR"/>
        </w:rPr>
      </w:pPr>
      <w:r w:rsidRPr="00AF434B">
        <w:rPr>
          <w:noProof/>
          <w:lang w:val="fr-FR"/>
        </w:rPr>
        <w:t>80.</w:t>
      </w:r>
      <w:r w:rsidRPr="00AF434B">
        <w:rPr>
          <w:noProof/>
          <w:lang w:val="fr-FR"/>
        </w:rPr>
        <w:tab/>
      </w:r>
      <w:r>
        <w:rPr>
          <w:noProof/>
          <w:lang w:val="fr-FR"/>
        </w:rPr>
        <w:t>E</w:t>
      </w:r>
      <w:r w:rsidRPr="00AF434B">
        <w:rPr>
          <w:noProof/>
          <w:lang w:val="fr-FR"/>
        </w:rPr>
        <w:t xml:space="preserve">n </w:t>
      </w:r>
      <w:r>
        <w:rPr>
          <w:noProof/>
          <w:lang w:val="fr-FR"/>
        </w:rPr>
        <w:t xml:space="preserve">juillet </w:t>
      </w:r>
      <w:r w:rsidRPr="00AF434B">
        <w:rPr>
          <w:noProof/>
          <w:lang w:val="fr-FR"/>
        </w:rPr>
        <w:t xml:space="preserve">2016, </w:t>
      </w:r>
      <w:r>
        <w:rPr>
          <w:noProof/>
          <w:lang w:val="fr-FR"/>
        </w:rPr>
        <w:t>la Police de sécurité publique (</w:t>
      </w:r>
      <w:r w:rsidRPr="00DA6E74">
        <w:rPr>
          <w:i/>
          <w:noProof/>
          <w:color w:val="545454"/>
          <w:shd w:val="clear" w:color="auto" w:fill="FFFFFF"/>
          <w:lang w:val="fr-FR"/>
        </w:rPr>
        <w:t>Polícia de Segurança Pública</w:t>
      </w:r>
      <w:r w:rsidRPr="00AF434B">
        <w:rPr>
          <w:noProof/>
          <w:lang w:val="fr-FR"/>
        </w:rPr>
        <w:t xml:space="preserve"> </w:t>
      </w:r>
      <w:r>
        <w:rPr>
          <w:noProof/>
          <w:lang w:val="fr-FR"/>
        </w:rPr>
        <w:t>ou</w:t>
      </w:r>
      <w:r w:rsidR="00DB2FE9">
        <w:rPr>
          <w:noProof/>
          <w:lang w:val="fr-FR"/>
        </w:rPr>
        <w:t> </w:t>
      </w:r>
      <w:r w:rsidRPr="00AF434B">
        <w:rPr>
          <w:noProof/>
          <w:lang w:val="fr-FR"/>
        </w:rPr>
        <w:t>PSP</w:t>
      </w:r>
      <w:r>
        <w:rPr>
          <w:noProof/>
          <w:lang w:val="fr-FR"/>
        </w:rPr>
        <w:t>)</w:t>
      </w:r>
      <w:r w:rsidRPr="00AF434B">
        <w:rPr>
          <w:noProof/>
          <w:lang w:val="fr-FR"/>
        </w:rPr>
        <w:t xml:space="preserve"> </w:t>
      </w:r>
      <w:r>
        <w:rPr>
          <w:noProof/>
          <w:lang w:val="fr-FR"/>
        </w:rPr>
        <w:t>et le Haut-Commissariat pour les migrations ont signé un p</w:t>
      </w:r>
      <w:r w:rsidRPr="00AF434B">
        <w:rPr>
          <w:noProof/>
          <w:lang w:val="fr-FR"/>
        </w:rPr>
        <w:t>rotocol</w:t>
      </w:r>
      <w:r>
        <w:rPr>
          <w:noProof/>
          <w:lang w:val="fr-FR"/>
        </w:rPr>
        <w:t>e</w:t>
      </w:r>
      <w:r w:rsidRPr="00AF434B">
        <w:rPr>
          <w:noProof/>
          <w:lang w:val="fr-FR"/>
        </w:rPr>
        <w:t xml:space="preserve"> </w:t>
      </w:r>
      <w:r>
        <w:rPr>
          <w:noProof/>
          <w:lang w:val="fr-FR"/>
        </w:rPr>
        <w:t xml:space="preserve">pour la mise en œuvre du Programme Ensemble pour tous, qui vise « à contribuer à la prévention des conflits dans les communautés multiculturelles pouvant présenter certaines </w:t>
      </w:r>
      <w:r w:rsidRPr="00AF434B">
        <w:rPr>
          <w:noProof/>
          <w:lang w:val="fr-FR"/>
        </w:rPr>
        <w:t>vuln</w:t>
      </w:r>
      <w:r>
        <w:rPr>
          <w:noProof/>
          <w:lang w:val="fr-FR"/>
        </w:rPr>
        <w:t>é</w:t>
      </w:r>
      <w:r w:rsidRPr="00AF434B">
        <w:rPr>
          <w:noProof/>
          <w:lang w:val="fr-FR"/>
        </w:rPr>
        <w:t>rabilit</w:t>
      </w:r>
      <w:r>
        <w:rPr>
          <w:noProof/>
          <w:lang w:val="fr-FR"/>
        </w:rPr>
        <w:t>é</w:t>
      </w:r>
      <w:r w:rsidRPr="00AF434B">
        <w:rPr>
          <w:noProof/>
          <w:lang w:val="fr-FR"/>
        </w:rPr>
        <w:t xml:space="preserve">s, </w:t>
      </w:r>
      <w:r>
        <w:rPr>
          <w:noProof/>
          <w:lang w:val="fr-FR"/>
        </w:rPr>
        <w:t>ainsi qu’à la sécurité de tous les citoyens quelle que soit leur nationalité ou leur appartenance culturelle »</w:t>
      </w:r>
      <w:r w:rsidR="00DB2FE9">
        <w:rPr>
          <w:noProof/>
          <w:lang w:val="fr-FR"/>
        </w:rPr>
        <w:t>.</w:t>
      </w:r>
      <w:r>
        <w:rPr>
          <w:noProof/>
          <w:lang w:val="fr-FR"/>
        </w:rPr>
        <w:t xml:space="preserve"> Aux termes de ce </w:t>
      </w:r>
      <w:r w:rsidR="001C4DFC">
        <w:rPr>
          <w:noProof/>
          <w:lang w:val="fr-FR"/>
        </w:rPr>
        <w:t>P</w:t>
      </w:r>
      <w:r w:rsidRPr="00AF434B">
        <w:rPr>
          <w:noProof/>
          <w:lang w:val="fr-FR"/>
        </w:rPr>
        <w:t>rotocol</w:t>
      </w:r>
      <w:r>
        <w:rPr>
          <w:noProof/>
          <w:lang w:val="fr-FR"/>
        </w:rPr>
        <w:t>e</w:t>
      </w:r>
      <w:r w:rsidRPr="00AF434B">
        <w:rPr>
          <w:noProof/>
          <w:lang w:val="fr-FR"/>
        </w:rPr>
        <w:t xml:space="preserve">, </w:t>
      </w:r>
      <w:r>
        <w:rPr>
          <w:noProof/>
          <w:lang w:val="fr-FR"/>
        </w:rPr>
        <w:t xml:space="preserve">la </w:t>
      </w:r>
      <w:r w:rsidRPr="00AF434B">
        <w:rPr>
          <w:noProof/>
          <w:lang w:val="fr-FR"/>
        </w:rPr>
        <w:t xml:space="preserve">PSP </w:t>
      </w:r>
      <w:r>
        <w:rPr>
          <w:noProof/>
          <w:lang w:val="fr-FR"/>
        </w:rPr>
        <w:t>doit assurer la formation des professionnels du Haut-Commissariat au cadre juridique qui régit l’action de la police et le Haut-Commissariat doit former les agents de la PSP aux deux premiers niveaux d’</w:t>
      </w:r>
      <w:r w:rsidRPr="00AF434B">
        <w:rPr>
          <w:noProof/>
          <w:lang w:val="fr-FR"/>
        </w:rPr>
        <w:t xml:space="preserve">intervention </w:t>
      </w:r>
      <w:r>
        <w:rPr>
          <w:noProof/>
          <w:lang w:val="fr-FR"/>
        </w:rPr>
        <w:t>en ce qui concerne le phénomène de l’</w:t>
      </w:r>
      <w:r w:rsidRPr="00AF434B">
        <w:rPr>
          <w:noProof/>
          <w:lang w:val="fr-FR"/>
        </w:rPr>
        <w:t xml:space="preserve">immigration </w:t>
      </w:r>
      <w:r>
        <w:rPr>
          <w:noProof/>
          <w:lang w:val="fr-FR"/>
        </w:rPr>
        <w:t xml:space="preserve">au </w:t>
      </w:r>
      <w:r w:rsidRPr="00AF434B">
        <w:rPr>
          <w:noProof/>
          <w:lang w:val="fr-FR"/>
        </w:rPr>
        <w:t xml:space="preserve">Portugal, </w:t>
      </w:r>
      <w:r>
        <w:rPr>
          <w:noProof/>
          <w:lang w:val="fr-FR"/>
        </w:rPr>
        <w:t>les groupes nationaux et culturels vivant dans le pays, la question de la diversité et le dialogue interculture</w:t>
      </w:r>
      <w:r w:rsidRPr="00AF434B">
        <w:rPr>
          <w:noProof/>
          <w:lang w:val="fr-FR"/>
        </w:rPr>
        <w:t>l (st</w:t>
      </w:r>
      <w:r>
        <w:rPr>
          <w:noProof/>
          <w:lang w:val="fr-FR"/>
        </w:rPr>
        <w:t>é</w:t>
      </w:r>
      <w:r w:rsidRPr="00AF434B">
        <w:rPr>
          <w:noProof/>
          <w:lang w:val="fr-FR"/>
        </w:rPr>
        <w:t>r</w:t>
      </w:r>
      <w:r>
        <w:rPr>
          <w:noProof/>
          <w:lang w:val="fr-FR"/>
        </w:rPr>
        <w:t>é</w:t>
      </w:r>
      <w:r w:rsidRPr="00AF434B">
        <w:rPr>
          <w:noProof/>
          <w:lang w:val="fr-FR"/>
        </w:rPr>
        <w:t xml:space="preserve">otypes, discrimination </w:t>
      </w:r>
      <w:r>
        <w:rPr>
          <w:noProof/>
          <w:lang w:val="fr-FR"/>
        </w:rPr>
        <w:t>et moyens de gérer les différences</w:t>
      </w:r>
      <w:r w:rsidRPr="00AF434B">
        <w:rPr>
          <w:noProof/>
          <w:lang w:val="fr-FR"/>
        </w:rPr>
        <w:t xml:space="preserve">). </w:t>
      </w:r>
      <w:r>
        <w:rPr>
          <w:noProof/>
          <w:lang w:val="fr-FR"/>
        </w:rPr>
        <w:t xml:space="preserve">Les activités de formation devraient être suivies par </w:t>
      </w:r>
      <w:r w:rsidRPr="00AF434B">
        <w:rPr>
          <w:noProof/>
          <w:lang w:val="fr-FR"/>
        </w:rPr>
        <w:t>1</w:t>
      </w:r>
      <w:r w:rsidR="00DB2FE9">
        <w:rPr>
          <w:noProof/>
          <w:lang w:val="fr-FR"/>
        </w:rPr>
        <w:t> </w:t>
      </w:r>
      <w:r w:rsidRPr="00AF434B">
        <w:rPr>
          <w:noProof/>
          <w:lang w:val="fr-FR"/>
        </w:rPr>
        <w:t xml:space="preserve">000 </w:t>
      </w:r>
      <w:r>
        <w:rPr>
          <w:noProof/>
          <w:lang w:val="fr-FR"/>
        </w:rPr>
        <w:t>agents</w:t>
      </w:r>
      <w:r w:rsidRPr="00AF434B">
        <w:rPr>
          <w:noProof/>
          <w:lang w:val="fr-FR"/>
        </w:rPr>
        <w:t xml:space="preserve">. </w:t>
      </w:r>
      <w:r>
        <w:rPr>
          <w:noProof/>
          <w:lang w:val="fr-FR"/>
        </w:rPr>
        <w:t xml:space="preserve">En août </w:t>
      </w:r>
      <w:r w:rsidRPr="00AF434B">
        <w:rPr>
          <w:noProof/>
          <w:lang w:val="fr-FR"/>
        </w:rPr>
        <w:t>2018, 55</w:t>
      </w:r>
      <w:r w:rsidR="00DB2FE9">
        <w:rPr>
          <w:noProof/>
          <w:lang w:val="fr-FR"/>
        </w:rPr>
        <w:t> </w:t>
      </w:r>
      <w:r>
        <w:rPr>
          <w:noProof/>
          <w:lang w:val="fr-FR"/>
        </w:rPr>
        <w:t>séances de formation dans le domaine de l’</w:t>
      </w:r>
      <w:r w:rsidRPr="00AF434B">
        <w:rPr>
          <w:noProof/>
          <w:lang w:val="fr-FR"/>
        </w:rPr>
        <w:t>int</w:t>
      </w:r>
      <w:r>
        <w:rPr>
          <w:noProof/>
          <w:lang w:val="fr-FR"/>
        </w:rPr>
        <w:t>é</w:t>
      </w:r>
      <w:r w:rsidRPr="00AF434B">
        <w:rPr>
          <w:noProof/>
          <w:lang w:val="fr-FR"/>
        </w:rPr>
        <w:t xml:space="preserve">gration </w:t>
      </w:r>
      <w:r>
        <w:rPr>
          <w:noProof/>
          <w:lang w:val="fr-FR"/>
        </w:rPr>
        <w:t>et de la diversité culturelle avaient eu lieu et 1</w:t>
      </w:r>
      <w:r w:rsidR="00DB2FE9">
        <w:rPr>
          <w:noProof/>
          <w:lang w:val="fr-FR"/>
        </w:rPr>
        <w:t> </w:t>
      </w:r>
      <w:r>
        <w:rPr>
          <w:noProof/>
          <w:lang w:val="fr-FR"/>
        </w:rPr>
        <w:t>027</w:t>
      </w:r>
      <w:r w:rsidR="00DB2FE9">
        <w:rPr>
          <w:noProof/>
          <w:lang w:val="fr-FR"/>
        </w:rPr>
        <w:t> </w:t>
      </w:r>
      <w:r>
        <w:rPr>
          <w:noProof/>
          <w:lang w:val="fr-FR"/>
        </w:rPr>
        <w:t>fonctionnaires et agents de police de toutes les régions du pays y avaient participé</w:t>
      </w:r>
      <w:r w:rsidRPr="00AF434B">
        <w:rPr>
          <w:noProof/>
          <w:lang w:val="fr-FR"/>
        </w:rPr>
        <w:t xml:space="preserve">. </w:t>
      </w:r>
    </w:p>
    <w:p w14:paraId="01129429" w14:textId="77777777" w:rsidR="00BF0619" w:rsidRPr="00AF434B" w:rsidRDefault="00BF0619" w:rsidP="00BF0619">
      <w:pPr>
        <w:pStyle w:val="SingleTxtG"/>
        <w:rPr>
          <w:noProof/>
          <w:lang w:val="fr-FR"/>
        </w:rPr>
      </w:pPr>
      <w:r w:rsidRPr="00AF434B">
        <w:rPr>
          <w:noProof/>
          <w:lang w:val="fr-FR"/>
        </w:rPr>
        <w:t>81.</w:t>
      </w:r>
      <w:r w:rsidRPr="00AF434B">
        <w:rPr>
          <w:noProof/>
          <w:lang w:val="fr-FR"/>
        </w:rPr>
        <w:tab/>
      </w:r>
      <w:r>
        <w:rPr>
          <w:noProof/>
          <w:lang w:val="fr-FR"/>
        </w:rPr>
        <w:t>E</w:t>
      </w:r>
      <w:r w:rsidRPr="00AF434B">
        <w:rPr>
          <w:noProof/>
          <w:lang w:val="fr-FR"/>
        </w:rPr>
        <w:t xml:space="preserve">n </w:t>
      </w:r>
      <w:r>
        <w:rPr>
          <w:noProof/>
          <w:lang w:val="fr-FR"/>
        </w:rPr>
        <w:t xml:space="preserve">outre, la </w:t>
      </w:r>
      <w:r w:rsidRPr="00AF434B">
        <w:rPr>
          <w:noProof/>
          <w:lang w:val="fr-FR"/>
        </w:rPr>
        <w:t xml:space="preserve">PSP </w:t>
      </w:r>
      <w:r>
        <w:rPr>
          <w:noProof/>
          <w:lang w:val="fr-FR"/>
        </w:rPr>
        <w:t xml:space="preserve">met en œuvre le Programme pour une école sûre, qui vise à sensibiliser les enfants et les jeunes qui fréquentent les écoles portugaises aux valeurs de respect et de </w:t>
      </w:r>
      <w:r w:rsidRPr="00AF434B">
        <w:rPr>
          <w:noProof/>
          <w:lang w:val="fr-FR"/>
        </w:rPr>
        <w:t>tol</w:t>
      </w:r>
      <w:r>
        <w:rPr>
          <w:noProof/>
          <w:lang w:val="fr-FR"/>
        </w:rPr>
        <w:t>é</w:t>
      </w:r>
      <w:r w:rsidRPr="00AF434B">
        <w:rPr>
          <w:noProof/>
          <w:lang w:val="fr-FR"/>
        </w:rPr>
        <w:t xml:space="preserve">rance </w:t>
      </w:r>
      <w:r>
        <w:rPr>
          <w:noProof/>
          <w:lang w:val="fr-FR"/>
        </w:rPr>
        <w:t>à l’égard d’autrui et les uns à l’égard des autres</w:t>
      </w:r>
      <w:r w:rsidRPr="00AF434B">
        <w:rPr>
          <w:noProof/>
          <w:lang w:val="fr-FR"/>
        </w:rPr>
        <w:t xml:space="preserve">. </w:t>
      </w:r>
      <w:r>
        <w:rPr>
          <w:noProof/>
          <w:lang w:val="fr-FR"/>
        </w:rPr>
        <w:t xml:space="preserve">Elle anime en moyenne </w:t>
      </w:r>
      <w:r w:rsidRPr="00AF434B">
        <w:rPr>
          <w:noProof/>
          <w:lang w:val="fr-FR"/>
        </w:rPr>
        <w:t>2</w:t>
      </w:r>
      <w:r w:rsidR="00DB2FE9">
        <w:rPr>
          <w:noProof/>
          <w:lang w:val="fr-FR"/>
        </w:rPr>
        <w:t> </w:t>
      </w:r>
      <w:r w:rsidRPr="00AF434B">
        <w:rPr>
          <w:noProof/>
          <w:lang w:val="fr-FR"/>
        </w:rPr>
        <w:t xml:space="preserve">400 </w:t>
      </w:r>
      <w:r>
        <w:rPr>
          <w:noProof/>
          <w:lang w:val="fr-FR"/>
        </w:rPr>
        <w:t xml:space="preserve">séances de sensibilisation aux thèmes suivants : dialogue </w:t>
      </w:r>
      <w:r w:rsidRPr="00AF434B">
        <w:rPr>
          <w:noProof/>
          <w:lang w:val="fr-FR"/>
        </w:rPr>
        <w:t>intercultur</w:t>
      </w:r>
      <w:r>
        <w:rPr>
          <w:noProof/>
          <w:lang w:val="fr-FR"/>
        </w:rPr>
        <w:t>e</w:t>
      </w:r>
      <w:r w:rsidRPr="00AF434B">
        <w:rPr>
          <w:noProof/>
          <w:lang w:val="fr-FR"/>
        </w:rPr>
        <w:t>l</w:t>
      </w:r>
      <w:r>
        <w:rPr>
          <w:noProof/>
          <w:lang w:val="fr-FR"/>
        </w:rPr>
        <w:t>, citoyenneté</w:t>
      </w:r>
      <w:r w:rsidRPr="00AF434B">
        <w:rPr>
          <w:noProof/>
          <w:lang w:val="fr-FR"/>
        </w:rPr>
        <w:t xml:space="preserve">, </w:t>
      </w:r>
      <w:r>
        <w:rPr>
          <w:noProof/>
          <w:lang w:val="fr-FR"/>
        </w:rPr>
        <w:t>harcèlement scolaire</w:t>
      </w:r>
      <w:r w:rsidRPr="00AF434B">
        <w:rPr>
          <w:noProof/>
          <w:lang w:val="fr-FR"/>
        </w:rPr>
        <w:t xml:space="preserve">, </w:t>
      </w:r>
      <w:r>
        <w:rPr>
          <w:noProof/>
          <w:lang w:val="fr-FR"/>
        </w:rPr>
        <w:t>délinquance juvénile</w:t>
      </w:r>
      <w:r w:rsidRPr="00AF434B">
        <w:rPr>
          <w:noProof/>
          <w:lang w:val="fr-FR"/>
        </w:rPr>
        <w:t xml:space="preserve">, </w:t>
      </w:r>
      <w:r>
        <w:rPr>
          <w:noProof/>
          <w:lang w:val="fr-FR"/>
        </w:rPr>
        <w:t>violence familiale et violence à l’occasion de sorties</w:t>
      </w:r>
      <w:r w:rsidRPr="00AF434B">
        <w:rPr>
          <w:noProof/>
          <w:lang w:val="fr-FR"/>
        </w:rPr>
        <w:t xml:space="preserve">. </w:t>
      </w:r>
      <w:r>
        <w:rPr>
          <w:noProof/>
          <w:lang w:val="fr-FR"/>
        </w:rPr>
        <w:t>Elle met également en œuvre le projet « Je fais comme dit</w:t>
      </w:r>
      <w:r w:rsidRPr="00AF434B">
        <w:rPr>
          <w:noProof/>
          <w:lang w:val="fr-FR"/>
        </w:rPr>
        <w:t xml:space="preserve"> Falco</w:t>
      </w:r>
      <w:r>
        <w:rPr>
          <w:noProof/>
          <w:lang w:val="fr-FR"/>
        </w:rPr>
        <w:t> »</w:t>
      </w:r>
      <w:r w:rsidRPr="00AF434B">
        <w:rPr>
          <w:noProof/>
          <w:lang w:val="fr-FR"/>
        </w:rPr>
        <w:t xml:space="preserve"> </w:t>
      </w:r>
      <w:r>
        <w:rPr>
          <w:noProof/>
          <w:lang w:val="fr-FR"/>
        </w:rPr>
        <w:t xml:space="preserve">afin de promouvoir les valeurs de citoyenneté et de respect des droits d’autrui parmi les enfants âgés de </w:t>
      </w:r>
      <w:r w:rsidR="00DB2FE9">
        <w:rPr>
          <w:noProof/>
          <w:lang w:val="fr-FR"/>
        </w:rPr>
        <w:t>5</w:t>
      </w:r>
      <w:r>
        <w:rPr>
          <w:noProof/>
          <w:lang w:val="fr-FR"/>
        </w:rPr>
        <w:t xml:space="preserve"> à 10 ans</w:t>
      </w:r>
      <w:r w:rsidRPr="00AF434B">
        <w:rPr>
          <w:noProof/>
          <w:lang w:val="fr-FR"/>
        </w:rPr>
        <w:t xml:space="preserve">. </w:t>
      </w:r>
      <w:r>
        <w:rPr>
          <w:noProof/>
          <w:lang w:val="fr-FR"/>
        </w:rPr>
        <w:t>Par ailleurs, plus de 30</w:t>
      </w:r>
      <w:r w:rsidR="00DB2FE9">
        <w:rPr>
          <w:noProof/>
          <w:lang w:val="fr-FR"/>
        </w:rPr>
        <w:t> </w:t>
      </w:r>
      <w:r w:rsidRPr="00F80F85">
        <w:rPr>
          <w:noProof/>
          <w:lang w:val="fr-FR"/>
        </w:rPr>
        <w:t xml:space="preserve">postes </w:t>
      </w:r>
      <w:r>
        <w:rPr>
          <w:noProof/>
          <w:lang w:val="fr-FR"/>
        </w:rPr>
        <w:t xml:space="preserve">de police prennent </w:t>
      </w:r>
      <w:r w:rsidRPr="00F80F85">
        <w:rPr>
          <w:noProof/>
          <w:lang w:val="fr-FR"/>
        </w:rPr>
        <w:t>part à l</w:t>
      </w:r>
      <w:r>
        <w:rPr>
          <w:noProof/>
          <w:lang w:val="fr-FR"/>
        </w:rPr>
        <w:t>’exécution de l</w:t>
      </w:r>
      <w:r w:rsidRPr="00F80F85">
        <w:rPr>
          <w:noProof/>
          <w:lang w:val="fr-FR"/>
        </w:rPr>
        <w:t xml:space="preserve">a deuxième génération de contrats locaux de sécurité </w:t>
      </w:r>
      <w:r>
        <w:rPr>
          <w:noProof/>
          <w:lang w:val="fr-FR"/>
        </w:rPr>
        <w:t xml:space="preserve">dans </w:t>
      </w:r>
      <w:r w:rsidRPr="00AF434B">
        <w:rPr>
          <w:noProof/>
          <w:lang w:val="fr-FR"/>
        </w:rPr>
        <w:t>35</w:t>
      </w:r>
      <w:r w:rsidR="00DB2FE9">
        <w:rPr>
          <w:noProof/>
          <w:lang w:val="fr-FR"/>
        </w:rPr>
        <w:t> </w:t>
      </w:r>
      <w:r>
        <w:rPr>
          <w:noProof/>
          <w:lang w:val="fr-FR"/>
        </w:rPr>
        <w:t>zones comptant une population rom importante</w:t>
      </w:r>
      <w:r w:rsidRPr="00AF434B">
        <w:rPr>
          <w:noProof/>
          <w:lang w:val="fr-FR"/>
        </w:rPr>
        <w:t>.</w:t>
      </w:r>
    </w:p>
    <w:p w14:paraId="40CA884A" w14:textId="77777777" w:rsidR="00BF0619" w:rsidRPr="00AF434B" w:rsidRDefault="00BF0619" w:rsidP="00BF0619">
      <w:pPr>
        <w:pStyle w:val="SingleTxtG"/>
        <w:rPr>
          <w:noProof/>
          <w:lang w:val="fr-FR"/>
        </w:rPr>
      </w:pPr>
      <w:r w:rsidRPr="00AF434B">
        <w:rPr>
          <w:noProof/>
          <w:lang w:val="fr-FR"/>
        </w:rPr>
        <w:t>82.</w:t>
      </w:r>
      <w:r w:rsidRPr="00AF434B">
        <w:rPr>
          <w:noProof/>
          <w:lang w:val="fr-FR"/>
        </w:rPr>
        <w:tab/>
      </w:r>
      <w:r>
        <w:rPr>
          <w:noProof/>
          <w:lang w:val="fr-FR"/>
        </w:rPr>
        <w:t>E</w:t>
      </w:r>
      <w:r w:rsidRPr="00AF434B">
        <w:rPr>
          <w:noProof/>
          <w:lang w:val="fr-FR"/>
        </w:rPr>
        <w:t xml:space="preserve">n </w:t>
      </w:r>
      <w:r>
        <w:rPr>
          <w:noProof/>
          <w:lang w:val="fr-FR"/>
        </w:rPr>
        <w:t>novemb</w:t>
      </w:r>
      <w:r w:rsidRPr="00AF434B">
        <w:rPr>
          <w:noProof/>
          <w:lang w:val="fr-FR"/>
        </w:rPr>
        <w:t>r</w:t>
      </w:r>
      <w:r>
        <w:rPr>
          <w:noProof/>
          <w:lang w:val="fr-FR"/>
        </w:rPr>
        <w:t>e</w:t>
      </w:r>
      <w:r w:rsidRPr="00AF434B">
        <w:rPr>
          <w:noProof/>
          <w:lang w:val="fr-FR"/>
        </w:rPr>
        <w:t xml:space="preserve"> 2017, </w:t>
      </w:r>
      <w:r>
        <w:rPr>
          <w:noProof/>
          <w:lang w:val="fr-FR"/>
        </w:rPr>
        <w:t>la Garde nationale républicaine (</w:t>
      </w:r>
      <w:r w:rsidRPr="00AF434B">
        <w:rPr>
          <w:noProof/>
          <w:lang w:val="fr-FR"/>
        </w:rPr>
        <w:t>GNR</w:t>
      </w:r>
      <w:r>
        <w:rPr>
          <w:noProof/>
          <w:lang w:val="fr-FR"/>
        </w:rPr>
        <w:t>) et le Haut-Commissariat pour les migrations ont signé un protocole pour mettre en œuvre le Programme d’appui aux m</w:t>
      </w:r>
      <w:r w:rsidRPr="00AF434B">
        <w:rPr>
          <w:noProof/>
          <w:lang w:val="fr-FR"/>
        </w:rPr>
        <w:t>igrant</w:t>
      </w:r>
      <w:r>
        <w:rPr>
          <w:noProof/>
          <w:lang w:val="fr-FR"/>
        </w:rPr>
        <w:t>s</w:t>
      </w:r>
      <w:r w:rsidRPr="00AF434B">
        <w:rPr>
          <w:noProof/>
          <w:lang w:val="fr-FR"/>
        </w:rPr>
        <w:t xml:space="preserve">, </w:t>
      </w:r>
      <w:r>
        <w:rPr>
          <w:noProof/>
          <w:lang w:val="fr-FR"/>
        </w:rPr>
        <w:t>communiquer des i</w:t>
      </w:r>
      <w:r w:rsidRPr="00AF434B">
        <w:rPr>
          <w:noProof/>
          <w:lang w:val="fr-FR"/>
        </w:rPr>
        <w:t>nformation</w:t>
      </w:r>
      <w:r>
        <w:rPr>
          <w:noProof/>
          <w:lang w:val="fr-FR"/>
        </w:rPr>
        <w:t>s</w:t>
      </w:r>
      <w:r w:rsidRPr="00AF434B">
        <w:rPr>
          <w:noProof/>
          <w:lang w:val="fr-FR"/>
        </w:rPr>
        <w:t xml:space="preserve"> </w:t>
      </w:r>
      <w:r>
        <w:rPr>
          <w:noProof/>
          <w:lang w:val="fr-FR"/>
        </w:rPr>
        <w:t>et des bonnes pratiques</w:t>
      </w:r>
      <w:r w:rsidRPr="00AF434B">
        <w:rPr>
          <w:noProof/>
          <w:lang w:val="fr-FR"/>
        </w:rPr>
        <w:t xml:space="preserve">, </w:t>
      </w:r>
      <w:r>
        <w:rPr>
          <w:noProof/>
          <w:lang w:val="fr-FR"/>
        </w:rPr>
        <w:t xml:space="preserve">lancer des initiatives de nature à remédier aux difficultés des groupes cibles et </w:t>
      </w:r>
      <w:r w:rsidRPr="00AF434B">
        <w:rPr>
          <w:noProof/>
          <w:lang w:val="fr-FR"/>
        </w:rPr>
        <w:t>promo</w:t>
      </w:r>
      <w:r>
        <w:rPr>
          <w:noProof/>
          <w:lang w:val="fr-FR"/>
        </w:rPr>
        <w:t xml:space="preserve">uvoir à l’intention des partenaires locaux et du grand public des possibilités de formation à la </w:t>
      </w:r>
      <w:r w:rsidRPr="00AF434B">
        <w:rPr>
          <w:noProof/>
          <w:lang w:val="fr-FR"/>
        </w:rPr>
        <w:t>d</w:t>
      </w:r>
      <w:r>
        <w:rPr>
          <w:noProof/>
          <w:lang w:val="fr-FR"/>
        </w:rPr>
        <w:t>é</w:t>
      </w:r>
      <w:r w:rsidRPr="00AF434B">
        <w:rPr>
          <w:noProof/>
          <w:lang w:val="fr-FR"/>
        </w:rPr>
        <w:t>constructi</w:t>
      </w:r>
      <w:r>
        <w:rPr>
          <w:noProof/>
          <w:lang w:val="fr-FR"/>
        </w:rPr>
        <w:t xml:space="preserve">on des </w:t>
      </w:r>
      <w:r w:rsidRPr="00AF434B">
        <w:rPr>
          <w:noProof/>
          <w:lang w:val="fr-FR"/>
        </w:rPr>
        <w:t>st</w:t>
      </w:r>
      <w:r>
        <w:rPr>
          <w:noProof/>
          <w:lang w:val="fr-FR"/>
        </w:rPr>
        <w:t>é</w:t>
      </w:r>
      <w:r w:rsidRPr="00AF434B">
        <w:rPr>
          <w:noProof/>
          <w:lang w:val="fr-FR"/>
        </w:rPr>
        <w:t>r</w:t>
      </w:r>
      <w:r>
        <w:rPr>
          <w:noProof/>
          <w:lang w:val="fr-FR"/>
        </w:rPr>
        <w:t>é</w:t>
      </w:r>
      <w:r w:rsidRPr="00AF434B">
        <w:rPr>
          <w:noProof/>
          <w:lang w:val="fr-FR"/>
        </w:rPr>
        <w:t xml:space="preserve">otypes </w:t>
      </w:r>
      <w:r>
        <w:rPr>
          <w:noProof/>
          <w:lang w:val="fr-FR"/>
        </w:rPr>
        <w:t>et des préjugés</w:t>
      </w:r>
      <w:r w:rsidRPr="00AF434B">
        <w:rPr>
          <w:noProof/>
          <w:lang w:val="fr-FR"/>
        </w:rPr>
        <w:t xml:space="preserve">. </w:t>
      </w:r>
      <w:r>
        <w:rPr>
          <w:noProof/>
          <w:lang w:val="fr-FR"/>
        </w:rPr>
        <w:t xml:space="preserve">En août </w:t>
      </w:r>
      <w:r w:rsidRPr="00AF434B">
        <w:rPr>
          <w:noProof/>
          <w:lang w:val="fr-FR"/>
        </w:rPr>
        <w:t>2018, 98</w:t>
      </w:r>
      <w:r w:rsidR="00DB2FE9">
        <w:rPr>
          <w:noProof/>
          <w:lang w:val="fr-FR"/>
        </w:rPr>
        <w:t> </w:t>
      </w:r>
      <w:r w:rsidRPr="00AF434B">
        <w:rPr>
          <w:noProof/>
          <w:lang w:val="fr-FR"/>
        </w:rPr>
        <w:t>sold</w:t>
      </w:r>
      <w:r>
        <w:rPr>
          <w:noProof/>
          <w:lang w:val="fr-FR"/>
        </w:rPr>
        <w:t>ats avait suivi une formation spéciale</w:t>
      </w:r>
      <w:r w:rsidRPr="00AF434B">
        <w:rPr>
          <w:noProof/>
          <w:lang w:val="fr-FR"/>
        </w:rPr>
        <w:t>.</w:t>
      </w:r>
    </w:p>
    <w:p w14:paraId="34DB5CD8" w14:textId="77777777" w:rsidR="00BF0619" w:rsidRPr="00AF434B" w:rsidRDefault="00BF0619" w:rsidP="00BF0619">
      <w:pPr>
        <w:pStyle w:val="SingleTxtG"/>
        <w:rPr>
          <w:noProof/>
          <w:lang w:val="fr-FR"/>
        </w:rPr>
      </w:pPr>
      <w:r w:rsidRPr="00AF434B">
        <w:rPr>
          <w:noProof/>
          <w:lang w:val="fr-FR"/>
        </w:rPr>
        <w:t>83.</w:t>
      </w:r>
      <w:r w:rsidRPr="00AF434B">
        <w:rPr>
          <w:noProof/>
          <w:lang w:val="fr-FR"/>
        </w:rPr>
        <w:tab/>
      </w:r>
      <w:r>
        <w:rPr>
          <w:noProof/>
          <w:lang w:val="fr-FR"/>
        </w:rPr>
        <w:t>Le</w:t>
      </w:r>
      <w:r w:rsidRPr="00AF434B">
        <w:rPr>
          <w:noProof/>
          <w:lang w:val="fr-FR"/>
        </w:rPr>
        <w:t xml:space="preserve"> Minist</w:t>
      </w:r>
      <w:r>
        <w:rPr>
          <w:noProof/>
          <w:lang w:val="fr-FR"/>
        </w:rPr>
        <w:t>ère de la j</w:t>
      </w:r>
      <w:r w:rsidRPr="00AF434B">
        <w:rPr>
          <w:noProof/>
          <w:lang w:val="fr-FR"/>
        </w:rPr>
        <w:t xml:space="preserve">ustice </w:t>
      </w:r>
      <w:r>
        <w:rPr>
          <w:noProof/>
          <w:lang w:val="fr-FR"/>
        </w:rPr>
        <w:t xml:space="preserve">et la </w:t>
      </w:r>
      <w:r w:rsidRPr="00812F06">
        <w:rPr>
          <w:noProof/>
          <w:lang w:val="fr-FR"/>
        </w:rPr>
        <w:t xml:space="preserve">Direction générale des services pénitentiaires et de la réinsertion </w:t>
      </w:r>
      <w:r>
        <w:rPr>
          <w:noProof/>
          <w:lang w:val="fr-FR"/>
        </w:rPr>
        <w:t>(</w:t>
      </w:r>
      <w:r w:rsidRPr="00AF434B">
        <w:rPr>
          <w:noProof/>
          <w:lang w:val="fr-FR"/>
        </w:rPr>
        <w:t>DGRSP</w:t>
      </w:r>
      <w:r>
        <w:rPr>
          <w:noProof/>
          <w:lang w:val="fr-FR"/>
        </w:rPr>
        <w:t>)</w:t>
      </w:r>
      <w:r w:rsidRPr="00AF434B">
        <w:rPr>
          <w:noProof/>
          <w:lang w:val="fr-FR"/>
        </w:rPr>
        <w:t xml:space="preserve"> </w:t>
      </w:r>
      <w:r>
        <w:rPr>
          <w:noProof/>
          <w:lang w:val="fr-FR"/>
        </w:rPr>
        <w:t>ont adopté une politique de tolérance zé</w:t>
      </w:r>
      <w:r w:rsidRPr="00AF434B">
        <w:rPr>
          <w:noProof/>
          <w:lang w:val="fr-FR"/>
        </w:rPr>
        <w:t xml:space="preserve">ro </w:t>
      </w:r>
      <w:r>
        <w:rPr>
          <w:noProof/>
          <w:lang w:val="fr-FR"/>
        </w:rPr>
        <w:t xml:space="preserve">à l’égard des comportements </w:t>
      </w:r>
      <w:r w:rsidRPr="00AF434B">
        <w:rPr>
          <w:noProof/>
          <w:lang w:val="fr-FR"/>
        </w:rPr>
        <w:t>racist</w:t>
      </w:r>
      <w:r>
        <w:rPr>
          <w:noProof/>
          <w:lang w:val="fr-FR"/>
        </w:rPr>
        <w:t>es</w:t>
      </w:r>
      <w:r w:rsidRPr="00AF434B">
        <w:rPr>
          <w:noProof/>
          <w:lang w:val="fr-FR"/>
        </w:rPr>
        <w:t xml:space="preserve"> </w:t>
      </w:r>
      <w:r>
        <w:rPr>
          <w:noProof/>
          <w:lang w:val="fr-FR"/>
        </w:rPr>
        <w:t>et</w:t>
      </w:r>
      <w:r w:rsidRPr="00AF434B">
        <w:rPr>
          <w:noProof/>
          <w:lang w:val="fr-FR"/>
        </w:rPr>
        <w:t xml:space="preserve"> discriminato</w:t>
      </w:r>
      <w:r>
        <w:rPr>
          <w:noProof/>
          <w:lang w:val="fr-FR"/>
        </w:rPr>
        <w:t>ires de la part des gardiens</w:t>
      </w:r>
      <w:r w:rsidRPr="00AF434B">
        <w:rPr>
          <w:noProof/>
          <w:lang w:val="fr-FR"/>
        </w:rPr>
        <w:t xml:space="preserve">. </w:t>
      </w:r>
      <w:r>
        <w:rPr>
          <w:noProof/>
          <w:lang w:val="fr-FR"/>
        </w:rPr>
        <w:t xml:space="preserve">À cet égard, la formation dispensée à ces derniers porte toujours sur des thèmes en rapport avec la protection des droits de l’homme, le </w:t>
      </w:r>
      <w:r w:rsidRPr="00AF434B">
        <w:rPr>
          <w:noProof/>
          <w:lang w:val="fr-FR"/>
        </w:rPr>
        <w:t>multiculturalism</w:t>
      </w:r>
      <w:r>
        <w:rPr>
          <w:noProof/>
          <w:lang w:val="fr-FR"/>
        </w:rPr>
        <w:t>e</w:t>
      </w:r>
      <w:r w:rsidRPr="00AF434B">
        <w:rPr>
          <w:noProof/>
          <w:lang w:val="fr-FR"/>
        </w:rPr>
        <w:t xml:space="preserve">, </w:t>
      </w:r>
      <w:r>
        <w:rPr>
          <w:noProof/>
          <w:lang w:val="fr-FR"/>
        </w:rPr>
        <w:t xml:space="preserve">les techniques de communication </w:t>
      </w:r>
      <w:r w:rsidRPr="00AF434B">
        <w:rPr>
          <w:noProof/>
          <w:lang w:val="fr-FR"/>
        </w:rPr>
        <w:t>interperson</w:t>
      </w:r>
      <w:r>
        <w:rPr>
          <w:noProof/>
          <w:lang w:val="fr-FR"/>
        </w:rPr>
        <w:t>nelle</w:t>
      </w:r>
      <w:r w:rsidRPr="00AF434B">
        <w:rPr>
          <w:noProof/>
          <w:lang w:val="fr-FR"/>
        </w:rPr>
        <w:t xml:space="preserve"> </w:t>
      </w:r>
      <w:r>
        <w:rPr>
          <w:noProof/>
          <w:lang w:val="fr-FR"/>
        </w:rPr>
        <w:t xml:space="preserve">et les techniques de maîtrise de la violence </w:t>
      </w:r>
      <w:r w:rsidRPr="00AF434B">
        <w:rPr>
          <w:noProof/>
          <w:lang w:val="fr-FR"/>
        </w:rPr>
        <w:t>(</w:t>
      </w:r>
      <w:r>
        <w:rPr>
          <w:noProof/>
          <w:lang w:val="fr-FR"/>
        </w:rPr>
        <w:t>concernant l’usage des moyens coercitifs</w:t>
      </w:r>
      <w:r w:rsidRPr="00AF434B">
        <w:rPr>
          <w:noProof/>
          <w:lang w:val="fr-FR"/>
        </w:rPr>
        <w:t xml:space="preserve">). </w:t>
      </w:r>
      <w:r>
        <w:rPr>
          <w:noProof/>
          <w:lang w:val="fr-FR"/>
        </w:rPr>
        <w:t xml:space="preserve">Par exemple, dans le cadre du programme de formation de </w:t>
      </w:r>
      <w:r w:rsidRPr="00AF434B">
        <w:rPr>
          <w:noProof/>
          <w:lang w:val="fr-FR"/>
        </w:rPr>
        <w:t xml:space="preserve">2017, </w:t>
      </w:r>
      <w:r>
        <w:rPr>
          <w:noProof/>
          <w:lang w:val="fr-FR"/>
        </w:rPr>
        <w:t xml:space="preserve">qui a été suivi par </w:t>
      </w:r>
      <w:r w:rsidRPr="00AF434B">
        <w:rPr>
          <w:noProof/>
          <w:lang w:val="fr-FR"/>
        </w:rPr>
        <w:t>400</w:t>
      </w:r>
      <w:r w:rsidR="00DB2FE9">
        <w:rPr>
          <w:noProof/>
          <w:lang w:val="fr-FR"/>
        </w:rPr>
        <w:t> </w:t>
      </w:r>
      <w:r>
        <w:rPr>
          <w:noProof/>
          <w:lang w:val="fr-FR"/>
        </w:rPr>
        <w:t>gardiens</w:t>
      </w:r>
      <w:r w:rsidRPr="00AF434B">
        <w:rPr>
          <w:noProof/>
          <w:lang w:val="fr-FR"/>
        </w:rPr>
        <w:t xml:space="preserve">, </w:t>
      </w:r>
      <w:r>
        <w:rPr>
          <w:noProof/>
          <w:lang w:val="fr-FR"/>
        </w:rPr>
        <w:t xml:space="preserve">deux </w:t>
      </w:r>
      <w:r w:rsidRPr="00AF434B">
        <w:rPr>
          <w:noProof/>
          <w:lang w:val="fr-FR"/>
        </w:rPr>
        <w:t>conf</w:t>
      </w:r>
      <w:r>
        <w:rPr>
          <w:noProof/>
          <w:lang w:val="fr-FR"/>
        </w:rPr>
        <w:t>é</w:t>
      </w:r>
      <w:r w:rsidRPr="00AF434B">
        <w:rPr>
          <w:noProof/>
          <w:lang w:val="fr-FR"/>
        </w:rPr>
        <w:t xml:space="preserve">rences </w:t>
      </w:r>
      <w:r>
        <w:rPr>
          <w:noProof/>
          <w:lang w:val="fr-FR"/>
        </w:rPr>
        <w:t>ont été organisées, dont l’une avait pour thème « </w:t>
      </w:r>
      <w:r w:rsidRPr="00AF434B">
        <w:rPr>
          <w:noProof/>
          <w:lang w:val="fr-FR"/>
        </w:rPr>
        <w:t>Multiculturalism</w:t>
      </w:r>
      <w:r>
        <w:rPr>
          <w:noProof/>
          <w:lang w:val="fr-FR"/>
        </w:rPr>
        <w:t>e</w:t>
      </w:r>
      <w:r w:rsidRPr="00AF434B">
        <w:rPr>
          <w:noProof/>
          <w:lang w:val="fr-FR"/>
        </w:rPr>
        <w:t xml:space="preserve"> </w:t>
      </w:r>
      <w:r>
        <w:rPr>
          <w:noProof/>
          <w:lang w:val="fr-FR"/>
        </w:rPr>
        <w:t xml:space="preserve">et détention » et s’est déroulée en présence du Directeur général de la </w:t>
      </w:r>
      <w:r w:rsidRPr="00AF434B">
        <w:rPr>
          <w:noProof/>
          <w:lang w:val="fr-FR"/>
        </w:rPr>
        <w:t xml:space="preserve">DGRSP, </w:t>
      </w:r>
      <w:r>
        <w:rPr>
          <w:noProof/>
          <w:lang w:val="fr-FR"/>
        </w:rPr>
        <w:t xml:space="preserve">du </w:t>
      </w:r>
      <w:r w:rsidRPr="006E6383">
        <w:rPr>
          <w:noProof/>
          <w:lang w:val="fr-FR"/>
        </w:rPr>
        <w:t xml:space="preserve">Président de la Commission pour la liberté de religion, </w:t>
      </w:r>
      <w:r>
        <w:rPr>
          <w:noProof/>
          <w:lang w:val="fr-FR"/>
        </w:rPr>
        <w:t xml:space="preserve">de </w:t>
      </w:r>
      <w:r w:rsidRPr="006E6383">
        <w:rPr>
          <w:noProof/>
          <w:lang w:val="fr-FR"/>
        </w:rPr>
        <w:t>l’imam de la mosquée centrale</w:t>
      </w:r>
      <w:r>
        <w:rPr>
          <w:noProof/>
          <w:lang w:val="fr-FR"/>
        </w:rPr>
        <w:t xml:space="preserve"> de Lisbonne, du</w:t>
      </w:r>
      <w:r w:rsidRPr="006E6383">
        <w:rPr>
          <w:noProof/>
          <w:lang w:val="fr-FR"/>
        </w:rPr>
        <w:t xml:space="preserve"> Président de l’Association capverdienne</w:t>
      </w:r>
      <w:r w:rsidRPr="00BB3DD1">
        <w:t xml:space="preserve"> </w:t>
      </w:r>
      <w:r w:rsidRPr="00AF434B">
        <w:rPr>
          <w:noProof/>
          <w:lang w:val="fr-FR"/>
        </w:rPr>
        <w:t>(</w:t>
      </w:r>
      <w:r>
        <w:rPr>
          <w:noProof/>
          <w:lang w:val="fr-FR"/>
        </w:rPr>
        <w:t>dont est membre la communauté d’étrangers incarcérés la plus importante</w:t>
      </w:r>
      <w:r w:rsidRPr="00AF434B">
        <w:rPr>
          <w:noProof/>
          <w:lang w:val="fr-FR"/>
        </w:rPr>
        <w:t xml:space="preserve">) </w:t>
      </w:r>
      <w:r>
        <w:rPr>
          <w:noProof/>
          <w:lang w:val="fr-FR"/>
        </w:rPr>
        <w:t>et du Haut-Commissariat pour les migrations</w:t>
      </w:r>
      <w:r w:rsidR="001C4DFC">
        <w:rPr>
          <w:noProof/>
          <w:lang w:val="fr-FR"/>
        </w:rPr>
        <w:t> </w:t>
      </w:r>
      <w:r w:rsidRPr="00AF434B">
        <w:rPr>
          <w:noProof/>
          <w:lang w:val="fr-FR"/>
        </w:rPr>
        <w:t xml:space="preserve">; </w:t>
      </w:r>
      <w:r>
        <w:rPr>
          <w:noProof/>
          <w:lang w:val="fr-FR"/>
        </w:rPr>
        <w:t xml:space="preserve">l’autre conférence avait pour thème « Les droits de l’homme </w:t>
      </w:r>
      <w:r w:rsidR="00DB2FE9">
        <w:rPr>
          <w:noProof/>
          <w:lang w:val="fr-FR"/>
        </w:rPr>
        <w:t>− </w:t>
      </w:r>
      <w:r>
        <w:rPr>
          <w:noProof/>
          <w:lang w:val="fr-FR"/>
        </w:rPr>
        <w:t xml:space="preserve">instruments visant à en garantir l’application et le </w:t>
      </w:r>
      <w:r w:rsidRPr="00AF434B">
        <w:rPr>
          <w:noProof/>
          <w:lang w:val="fr-FR"/>
        </w:rPr>
        <w:t>respect</w:t>
      </w:r>
      <w:r>
        <w:rPr>
          <w:noProof/>
          <w:lang w:val="fr-FR"/>
        </w:rPr>
        <w:t xml:space="preserve"> ». Y ont participé le Directeur général de la </w:t>
      </w:r>
      <w:r w:rsidRPr="00AF434B">
        <w:rPr>
          <w:noProof/>
          <w:lang w:val="fr-FR"/>
        </w:rPr>
        <w:t xml:space="preserve">DGRSP, </w:t>
      </w:r>
      <w:r>
        <w:rPr>
          <w:noProof/>
          <w:lang w:val="fr-FR"/>
        </w:rPr>
        <w:t xml:space="preserve">des représentants d’Amnesty International et de la Commission des droits de l’homme de l’Ordre des avocats portugais, et le membre du Comité européen pour la prévention de la torture et des peines ou traitements inhumains ou dégradants (CPT) élu au nom du </w:t>
      </w:r>
      <w:r w:rsidRPr="00AF434B">
        <w:rPr>
          <w:noProof/>
          <w:lang w:val="fr-FR"/>
        </w:rPr>
        <w:t>Portugal.</w:t>
      </w:r>
    </w:p>
    <w:p w14:paraId="5E85A73A" w14:textId="77777777" w:rsidR="00BF0619" w:rsidRPr="00AF434B" w:rsidRDefault="00BF0619" w:rsidP="00BF0619">
      <w:pPr>
        <w:pStyle w:val="SingleTxtG"/>
        <w:rPr>
          <w:noProof/>
          <w:lang w:val="fr-FR"/>
        </w:rPr>
      </w:pPr>
      <w:r>
        <w:rPr>
          <w:noProof/>
          <w:lang w:val="fr-FR"/>
        </w:rPr>
        <w:t>84.</w:t>
      </w:r>
      <w:r>
        <w:rPr>
          <w:noProof/>
          <w:lang w:val="fr-FR"/>
        </w:rPr>
        <w:tab/>
        <w:t>E</w:t>
      </w:r>
      <w:r w:rsidRPr="00AF434B">
        <w:rPr>
          <w:noProof/>
          <w:lang w:val="fr-FR"/>
        </w:rPr>
        <w:t xml:space="preserve">n </w:t>
      </w:r>
      <w:r>
        <w:rPr>
          <w:noProof/>
          <w:lang w:val="fr-FR"/>
        </w:rPr>
        <w:t xml:space="preserve">juillet </w:t>
      </w:r>
      <w:r w:rsidRPr="00AF434B">
        <w:rPr>
          <w:noProof/>
          <w:lang w:val="fr-FR"/>
        </w:rPr>
        <w:t xml:space="preserve">2018, </w:t>
      </w:r>
      <w:r>
        <w:rPr>
          <w:noProof/>
          <w:lang w:val="fr-FR"/>
        </w:rPr>
        <w:t>le Haut-Commissariat pour les migrations</w:t>
      </w:r>
      <w:r w:rsidRPr="00AF434B">
        <w:rPr>
          <w:noProof/>
          <w:lang w:val="fr-FR"/>
        </w:rPr>
        <w:t xml:space="preserve"> </w:t>
      </w:r>
      <w:r>
        <w:rPr>
          <w:noProof/>
          <w:lang w:val="fr-FR"/>
        </w:rPr>
        <w:t xml:space="preserve">et la </w:t>
      </w:r>
      <w:r w:rsidRPr="00AF434B">
        <w:rPr>
          <w:noProof/>
          <w:lang w:val="fr-FR"/>
        </w:rPr>
        <w:t xml:space="preserve">DGRSP </w:t>
      </w:r>
      <w:r>
        <w:rPr>
          <w:noProof/>
          <w:lang w:val="fr-FR"/>
        </w:rPr>
        <w:t>ont signé un p</w:t>
      </w:r>
      <w:r w:rsidRPr="00AF434B">
        <w:rPr>
          <w:noProof/>
          <w:lang w:val="fr-FR"/>
        </w:rPr>
        <w:t>rotocol</w:t>
      </w:r>
      <w:r>
        <w:rPr>
          <w:noProof/>
          <w:lang w:val="fr-FR"/>
        </w:rPr>
        <w:t>e prévoyant l’autonomisation des ressources humaines dans les domaines de la rééducation et du reclassement social</w:t>
      </w:r>
      <w:r w:rsidRPr="00AF434B">
        <w:rPr>
          <w:noProof/>
          <w:lang w:val="fr-FR"/>
        </w:rPr>
        <w:t xml:space="preserve">, </w:t>
      </w:r>
      <w:r>
        <w:rPr>
          <w:noProof/>
          <w:lang w:val="fr-FR"/>
        </w:rPr>
        <w:t xml:space="preserve">et mettant à leur disposition des connaissances et outils spécifiques pour communiquer avec les </w:t>
      </w:r>
      <w:r w:rsidRPr="00AF434B">
        <w:rPr>
          <w:noProof/>
          <w:lang w:val="fr-FR"/>
        </w:rPr>
        <w:t xml:space="preserve">migrants </w:t>
      </w:r>
      <w:r>
        <w:rPr>
          <w:noProof/>
          <w:lang w:val="fr-FR"/>
        </w:rPr>
        <w:t>et les membres de différents groupes ethniques</w:t>
      </w:r>
      <w:r w:rsidRPr="00AF434B">
        <w:rPr>
          <w:noProof/>
          <w:lang w:val="fr-FR"/>
        </w:rPr>
        <w:t xml:space="preserve">. </w:t>
      </w:r>
      <w:r>
        <w:rPr>
          <w:noProof/>
          <w:lang w:val="fr-FR"/>
        </w:rPr>
        <w:t xml:space="preserve">Il vise à assurer </w:t>
      </w:r>
      <w:r w:rsidRPr="00AF434B">
        <w:rPr>
          <w:noProof/>
          <w:lang w:val="fr-FR"/>
        </w:rPr>
        <w:t>14</w:t>
      </w:r>
      <w:r w:rsidR="00DB2FE9">
        <w:rPr>
          <w:noProof/>
          <w:lang w:val="fr-FR"/>
        </w:rPr>
        <w:t> </w:t>
      </w:r>
      <w:r>
        <w:rPr>
          <w:noProof/>
          <w:lang w:val="fr-FR"/>
        </w:rPr>
        <w:t xml:space="preserve">sessions de formation réparties sur l’ensemble du territoire à l’intention de </w:t>
      </w:r>
      <w:r w:rsidRPr="00AF434B">
        <w:rPr>
          <w:noProof/>
          <w:lang w:val="fr-FR"/>
        </w:rPr>
        <w:t>300</w:t>
      </w:r>
      <w:r w:rsidR="00DB2FE9">
        <w:rPr>
          <w:noProof/>
          <w:lang w:val="fr-FR"/>
        </w:rPr>
        <w:t> </w:t>
      </w:r>
      <w:r w:rsidRPr="00AF434B">
        <w:rPr>
          <w:noProof/>
          <w:lang w:val="fr-FR"/>
        </w:rPr>
        <w:t>profession</w:t>
      </w:r>
      <w:r>
        <w:rPr>
          <w:noProof/>
          <w:lang w:val="fr-FR"/>
        </w:rPr>
        <w:t xml:space="preserve">nels qui se familiariseront ainsi avec la </w:t>
      </w:r>
      <w:r w:rsidRPr="00AF434B">
        <w:rPr>
          <w:noProof/>
          <w:lang w:val="fr-FR"/>
        </w:rPr>
        <w:t>d</w:t>
      </w:r>
      <w:r>
        <w:rPr>
          <w:noProof/>
          <w:lang w:val="fr-FR"/>
        </w:rPr>
        <w:t>é</w:t>
      </w:r>
      <w:r w:rsidRPr="00AF434B">
        <w:rPr>
          <w:noProof/>
          <w:lang w:val="fr-FR"/>
        </w:rPr>
        <w:t>constructi</w:t>
      </w:r>
      <w:r>
        <w:rPr>
          <w:noProof/>
          <w:lang w:val="fr-FR"/>
        </w:rPr>
        <w:t xml:space="preserve">on des </w:t>
      </w:r>
      <w:r w:rsidRPr="00AF434B">
        <w:rPr>
          <w:noProof/>
          <w:lang w:val="fr-FR"/>
        </w:rPr>
        <w:t>st</w:t>
      </w:r>
      <w:r>
        <w:rPr>
          <w:noProof/>
          <w:lang w:val="fr-FR"/>
        </w:rPr>
        <w:t>é</w:t>
      </w:r>
      <w:r w:rsidRPr="00AF434B">
        <w:rPr>
          <w:noProof/>
          <w:lang w:val="fr-FR"/>
        </w:rPr>
        <w:t>r</w:t>
      </w:r>
      <w:r>
        <w:rPr>
          <w:noProof/>
          <w:lang w:val="fr-FR"/>
        </w:rPr>
        <w:t>é</w:t>
      </w:r>
      <w:r w:rsidRPr="00AF434B">
        <w:rPr>
          <w:noProof/>
          <w:lang w:val="fr-FR"/>
        </w:rPr>
        <w:t xml:space="preserve">otypes, </w:t>
      </w:r>
      <w:r>
        <w:rPr>
          <w:noProof/>
          <w:lang w:val="fr-FR"/>
        </w:rPr>
        <w:t xml:space="preserve">la lutte contre la </w:t>
      </w:r>
      <w:r w:rsidRPr="00AF434B">
        <w:rPr>
          <w:noProof/>
          <w:lang w:val="fr-FR"/>
        </w:rPr>
        <w:t xml:space="preserve">discrimination </w:t>
      </w:r>
      <w:r>
        <w:rPr>
          <w:noProof/>
          <w:lang w:val="fr-FR"/>
        </w:rPr>
        <w:t>raciale et le dialogue interculturel</w:t>
      </w:r>
      <w:r w:rsidRPr="00BB3DD1">
        <w:rPr>
          <w:rStyle w:val="Appelnotedebasdep"/>
        </w:rPr>
        <w:footnoteReference w:id="19"/>
      </w:r>
      <w:r>
        <w:rPr>
          <w:noProof/>
          <w:lang w:val="fr-FR"/>
        </w:rPr>
        <w:t>.</w:t>
      </w:r>
    </w:p>
    <w:p w14:paraId="486D5754" w14:textId="77777777" w:rsidR="00BF0619" w:rsidRPr="00AF434B" w:rsidRDefault="00BF0619" w:rsidP="00BF0619">
      <w:pPr>
        <w:pStyle w:val="SingleTxtG"/>
        <w:rPr>
          <w:noProof/>
          <w:lang w:val="fr-FR"/>
        </w:rPr>
      </w:pPr>
      <w:r w:rsidRPr="00AF434B">
        <w:rPr>
          <w:noProof/>
          <w:lang w:val="fr-FR"/>
        </w:rPr>
        <w:t>85.</w:t>
      </w:r>
      <w:r w:rsidRPr="00AF434B">
        <w:rPr>
          <w:noProof/>
          <w:lang w:val="fr-FR"/>
        </w:rPr>
        <w:tab/>
      </w:r>
      <w:r>
        <w:rPr>
          <w:noProof/>
          <w:lang w:val="fr-FR"/>
        </w:rPr>
        <w:t xml:space="preserve">Depuis </w:t>
      </w:r>
      <w:r w:rsidRPr="00AF434B">
        <w:rPr>
          <w:noProof/>
          <w:lang w:val="fr-FR"/>
        </w:rPr>
        <w:t xml:space="preserve">2015, </w:t>
      </w:r>
      <w:r>
        <w:rPr>
          <w:noProof/>
          <w:lang w:val="fr-FR"/>
        </w:rPr>
        <w:t>le</w:t>
      </w:r>
      <w:r w:rsidRPr="00AF434B">
        <w:rPr>
          <w:noProof/>
          <w:lang w:val="fr-FR"/>
        </w:rPr>
        <w:t xml:space="preserve"> </w:t>
      </w:r>
      <w:r>
        <w:rPr>
          <w:noProof/>
          <w:lang w:val="fr-FR"/>
        </w:rPr>
        <w:t>Haut-Commissariat pour les migrations</w:t>
      </w:r>
      <w:r w:rsidRPr="00AF434B">
        <w:rPr>
          <w:noProof/>
          <w:lang w:val="fr-FR"/>
        </w:rPr>
        <w:t xml:space="preserve"> organi</w:t>
      </w:r>
      <w:r>
        <w:rPr>
          <w:noProof/>
          <w:lang w:val="fr-FR"/>
        </w:rPr>
        <w:t>s</w:t>
      </w:r>
      <w:r w:rsidRPr="00AF434B">
        <w:rPr>
          <w:noProof/>
          <w:lang w:val="fr-FR"/>
        </w:rPr>
        <w:t xml:space="preserve">e </w:t>
      </w:r>
      <w:r>
        <w:rPr>
          <w:noProof/>
          <w:lang w:val="fr-FR"/>
        </w:rPr>
        <w:t xml:space="preserve">la remise du prix de la communication en faveur de la diversité culturelle, qui récompense des compositions écrites publiées et/ou diffusées dans les médias traditionnels et numériques et contribuant à la promotion de la diversité culturelle, à la lutte contre la </w:t>
      </w:r>
      <w:r w:rsidRPr="00AF434B">
        <w:rPr>
          <w:noProof/>
          <w:lang w:val="fr-FR"/>
        </w:rPr>
        <w:t xml:space="preserve">discrimination </w:t>
      </w:r>
      <w:r>
        <w:rPr>
          <w:noProof/>
          <w:lang w:val="fr-FR"/>
        </w:rPr>
        <w:t>fondée sur la nationalité</w:t>
      </w:r>
      <w:r w:rsidRPr="00AF434B">
        <w:rPr>
          <w:noProof/>
          <w:lang w:val="fr-FR"/>
        </w:rPr>
        <w:t xml:space="preserve">, </w:t>
      </w:r>
      <w:r>
        <w:rPr>
          <w:noProof/>
          <w:lang w:val="fr-FR"/>
        </w:rPr>
        <w:t xml:space="preserve">l’origine ethnique, la </w:t>
      </w:r>
      <w:r w:rsidRPr="00AF434B">
        <w:rPr>
          <w:noProof/>
          <w:lang w:val="fr-FR"/>
        </w:rPr>
        <w:t xml:space="preserve">religion </w:t>
      </w:r>
      <w:r>
        <w:rPr>
          <w:noProof/>
          <w:lang w:val="fr-FR"/>
        </w:rPr>
        <w:t>ou le statut juridique et</w:t>
      </w:r>
      <w:r w:rsidRPr="00AF434B">
        <w:rPr>
          <w:noProof/>
          <w:lang w:val="fr-FR"/>
        </w:rPr>
        <w:t xml:space="preserve">, </w:t>
      </w:r>
      <w:r>
        <w:rPr>
          <w:noProof/>
          <w:lang w:val="fr-FR"/>
        </w:rPr>
        <w:t>e</w:t>
      </w:r>
      <w:r w:rsidRPr="00AF434B">
        <w:rPr>
          <w:noProof/>
          <w:lang w:val="fr-FR"/>
        </w:rPr>
        <w:t>n particul</w:t>
      </w:r>
      <w:r>
        <w:rPr>
          <w:noProof/>
          <w:lang w:val="fr-FR"/>
        </w:rPr>
        <w:t>ie</w:t>
      </w:r>
      <w:r w:rsidRPr="00AF434B">
        <w:rPr>
          <w:noProof/>
          <w:lang w:val="fr-FR"/>
        </w:rPr>
        <w:t xml:space="preserve">r, </w:t>
      </w:r>
      <w:r>
        <w:rPr>
          <w:noProof/>
          <w:lang w:val="fr-FR"/>
        </w:rPr>
        <w:t>à l’</w:t>
      </w:r>
      <w:r w:rsidRPr="00AF434B">
        <w:rPr>
          <w:noProof/>
          <w:lang w:val="fr-FR"/>
        </w:rPr>
        <w:t>int</w:t>
      </w:r>
      <w:r>
        <w:rPr>
          <w:noProof/>
          <w:lang w:val="fr-FR"/>
        </w:rPr>
        <w:t>é</w:t>
      </w:r>
      <w:r w:rsidRPr="00AF434B">
        <w:rPr>
          <w:noProof/>
          <w:lang w:val="fr-FR"/>
        </w:rPr>
        <w:t xml:space="preserve">gration </w:t>
      </w:r>
      <w:r>
        <w:rPr>
          <w:noProof/>
          <w:lang w:val="fr-FR"/>
        </w:rPr>
        <w:t xml:space="preserve">des migrants et des communautés roms au </w:t>
      </w:r>
      <w:r w:rsidRPr="00AF434B">
        <w:rPr>
          <w:noProof/>
          <w:lang w:val="fr-FR"/>
        </w:rPr>
        <w:t xml:space="preserve">Portugal. </w:t>
      </w:r>
      <w:r>
        <w:rPr>
          <w:noProof/>
          <w:lang w:val="fr-FR"/>
        </w:rPr>
        <w:t>En 2017</w:t>
      </w:r>
      <w:r w:rsidRPr="00AF434B">
        <w:rPr>
          <w:noProof/>
          <w:lang w:val="fr-FR"/>
        </w:rPr>
        <w:t>, 32</w:t>
      </w:r>
      <w:r w:rsidR="00DB2FE9">
        <w:rPr>
          <w:noProof/>
          <w:lang w:val="fr-FR"/>
        </w:rPr>
        <w:t> </w:t>
      </w:r>
      <w:r>
        <w:rPr>
          <w:noProof/>
          <w:lang w:val="fr-FR"/>
        </w:rPr>
        <w:t>compositions ont été admises à concourir à ce prix, qui s’adresse aux professionnels des médias/journalistes, producteurs de contenus</w:t>
      </w:r>
      <w:r w:rsidRPr="00AF434B">
        <w:rPr>
          <w:noProof/>
          <w:lang w:val="fr-FR"/>
        </w:rPr>
        <w:t>, sc</w:t>
      </w:r>
      <w:r>
        <w:rPr>
          <w:noProof/>
          <w:lang w:val="fr-FR"/>
        </w:rPr>
        <w:t>énaristes et jeunes âgés de</w:t>
      </w:r>
      <w:r w:rsidR="00DB2FE9">
        <w:rPr>
          <w:noProof/>
          <w:lang w:val="fr-FR"/>
        </w:rPr>
        <w:t> </w:t>
      </w:r>
      <w:r>
        <w:rPr>
          <w:noProof/>
          <w:lang w:val="fr-FR"/>
        </w:rPr>
        <w:t>15 à 24</w:t>
      </w:r>
      <w:r w:rsidR="00DB2FE9">
        <w:rPr>
          <w:noProof/>
          <w:lang w:val="fr-FR"/>
        </w:rPr>
        <w:t> </w:t>
      </w:r>
      <w:r>
        <w:rPr>
          <w:noProof/>
          <w:lang w:val="fr-FR"/>
        </w:rPr>
        <w:t>ans</w:t>
      </w:r>
      <w:r w:rsidRPr="00AF434B">
        <w:rPr>
          <w:noProof/>
          <w:lang w:val="fr-FR"/>
        </w:rPr>
        <w:t>.</w:t>
      </w:r>
    </w:p>
    <w:p w14:paraId="25BC03A4" w14:textId="77777777" w:rsidR="00BF0619" w:rsidRPr="00AF434B" w:rsidRDefault="00BF0619" w:rsidP="00BF0619">
      <w:pPr>
        <w:pStyle w:val="SingleTxtG"/>
        <w:rPr>
          <w:noProof/>
          <w:lang w:val="fr-FR"/>
        </w:rPr>
      </w:pPr>
      <w:r w:rsidRPr="00AF434B">
        <w:rPr>
          <w:noProof/>
          <w:lang w:val="fr-FR"/>
        </w:rPr>
        <w:t>86.</w:t>
      </w:r>
      <w:r w:rsidRPr="00AF434B">
        <w:rPr>
          <w:noProof/>
          <w:lang w:val="fr-FR"/>
        </w:rPr>
        <w:tab/>
      </w:r>
      <w:r>
        <w:rPr>
          <w:noProof/>
          <w:lang w:val="fr-FR"/>
        </w:rPr>
        <w:t xml:space="preserve">Dans le </w:t>
      </w:r>
      <w:r w:rsidRPr="00AF434B">
        <w:rPr>
          <w:noProof/>
          <w:lang w:val="fr-FR"/>
        </w:rPr>
        <w:t>context</w:t>
      </w:r>
      <w:r>
        <w:rPr>
          <w:noProof/>
          <w:lang w:val="fr-FR"/>
        </w:rPr>
        <w:t>e de l’éducation civique</w:t>
      </w:r>
      <w:r w:rsidRPr="00AF434B">
        <w:rPr>
          <w:noProof/>
          <w:lang w:val="fr-FR"/>
        </w:rPr>
        <w:t xml:space="preserve">, </w:t>
      </w:r>
      <w:r>
        <w:rPr>
          <w:noProof/>
          <w:lang w:val="fr-FR"/>
        </w:rPr>
        <w:t>la Direction générale de l’enseignement</w:t>
      </w:r>
      <w:r w:rsidRPr="00AF434B">
        <w:rPr>
          <w:noProof/>
          <w:lang w:val="fr-FR"/>
        </w:rPr>
        <w:t xml:space="preserve"> </w:t>
      </w:r>
      <w:r>
        <w:rPr>
          <w:noProof/>
          <w:lang w:val="fr-FR"/>
        </w:rPr>
        <w:t xml:space="preserve"> fait depuis 2013 la promotion de la campagne du Conseil de l’Europe intitulée Mouvement contre le discours de haine</w:t>
      </w:r>
      <w:r w:rsidRPr="00AF434B">
        <w:rPr>
          <w:noProof/>
          <w:lang w:val="fr-FR"/>
        </w:rPr>
        <w:t xml:space="preserve">, </w:t>
      </w:r>
      <w:r>
        <w:rPr>
          <w:noProof/>
          <w:lang w:val="fr-FR"/>
        </w:rPr>
        <w:t>en sa qualité de membre du Comité national de la campagne. Entre autres initiatives</w:t>
      </w:r>
      <w:r w:rsidR="00DB2FE9">
        <w:rPr>
          <w:noProof/>
          <w:lang w:val="fr-FR"/>
        </w:rPr>
        <w:t> :</w:t>
      </w:r>
    </w:p>
    <w:p w14:paraId="38E4610D"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Elle organise un séminaire sur le thème de la campagne </w:t>
      </w:r>
      <w:r w:rsidRPr="00AF434B">
        <w:rPr>
          <w:noProof/>
          <w:lang w:val="fr-FR"/>
        </w:rPr>
        <w:t>(organi</w:t>
      </w:r>
      <w:r>
        <w:rPr>
          <w:noProof/>
          <w:lang w:val="fr-FR"/>
        </w:rPr>
        <w:t>sé en</w:t>
      </w:r>
      <w:r w:rsidR="00DB2FE9">
        <w:rPr>
          <w:noProof/>
          <w:lang w:val="fr-FR"/>
        </w:rPr>
        <w:t> </w:t>
      </w:r>
      <w:r w:rsidRPr="00AF434B">
        <w:rPr>
          <w:noProof/>
          <w:lang w:val="fr-FR"/>
        </w:rPr>
        <w:t xml:space="preserve">2014 </w:t>
      </w:r>
      <w:r>
        <w:rPr>
          <w:noProof/>
          <w:lang w:val="fr-FR"/>
        </w:rPr>
        <w:t xml:space="preserve">en collaboration avec la Fondation </w:t>
      </w:r>
      <w:r w:rsidRPr="00AF434B">
        <w:rPr>
          <w:noProof/>
          <w:lang w:val="fr-FR"/>
        </w:rPr>
        <w:t>Pro Dignitate)</w:t>
      </w:r>
      <w:r w:rsidR="00DB2FE9">
        <w:rPr>
          <w:noProof/>
          <w:lang w:val="fr-FR"/>
        </w:rPr>
        <w:t> ;</w:t>
      </w:r>
    </w:p>
    <w:p w14:paraId="2C6C0B96"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Elle mène à bien des i</w:t>
      </w:r>
      <w:r w:rsidRPr="00AF434B">
        <w:rPr>
          <w:noProof/>
          <w:lang w:val="fr-FR"/>
        </w:rPr>
        <w:t xml:space="preserve">nitiatives </w:t>
      </w:r>
      <w:r>
        <w:rPr>
          <w:noProof/>
          <w:lang w:val="fr-FR"/>
        </w:rPr>
        <w:t>dans le cadre du projet relatif à l’utilisation d’Internet en toute sécurité</w:t>
      </w:r>
      <w:r w:rsidRPr="00AF434B">
        <w:rPr>
          <w:noProof/>
          <w:lang w:val="fr-FR"/>
        </w:rPr>
        <w:t xml:space="preserve">, </w:t>
      </w:r>
      <w:r>
        <w:rPr>
          <w:noProof/>
          <w:lang w:val="fr-FR"/>
        </w:rPr>
        <w:t>telles que les suivantes</w:t>
      </w:r>
      <w:r w:rsidR="00DB2FE9">
        <w:rPr>
          <w:noProof/>
          <w:lang w:val="fr-FR"/>
        </w:rPr>
        <w:t> </w:t>
      </w:r>
      <w:r w:rsidRPr="00AF434B">
        <w:rPr>
          <w:noProof/>
          <w:lang w:val="fr-FR"/>
        </w:rPr>
        <w:t xml:space="preserve">: </w:t>
      </w:r>
      <w:r>
        <w:rPr>
          <w:noProof/>
          <w:lang w:val="fr-FR"/>
        </w:rPr>
        <w:t xml:space="preserve">concours annuel sur les enjeux de </w:t>
      </w:r>
      <w:r w:rsidRPr="00AF434B">
        <w:rPr>
          <w:noProof/>
          <w:lang w:val="fr-FR"/>
        </w:rPr>
        <w:t>SeguraNet</w:t>
      </w:r>
      <w:r w:rsidR="001C4DFC">
        <w:rPr>
          <w:noProof/>
          <w:lang w:val="fr-FR"/>
        </w:rPr>
        <w:t> </w:t>
      </w:r>
      <w:r w:rsidRPr="00AF434B">
        <w:rPr>
          <w:noProof/>
          <w:lang w:val="fr-FR"/>
        </w:rPr>
        <w:t xml:space="preserve">; </w:t>
      </w:r>
      <w:r>
        <w:rPr>
          <w:noProof/>
          <w:lang w:val="fr-FR"/>
        </w:rPr>
        <w:t>comités de jeunes</w:t>
      </w:r>
      <w:r w:rsidR="001C4DFC">
        <w:rPr>
          <w:noProof/>
          <w:lang w:val="fr-FR"/>
        </w:rPr>
        <w:t> </w:t>
      </w:r>
      <w:r w:rsidRPr="00AF434B">
        <w:rPr>
          <w:noProof/>
          <w:lang w:val="fr-FR"/>
        </w:rPr>
        <w:t xml:space="preserve">; </w:t>
      </w:r>
      <w:r>
        <w:rPr>
          <w:noProof/>
          <w:lang w:val="fr-FR"/>
        </w:rPr>
        <w:t xml:space="preserve">séances de sensibilisation et de formation associant les écoles, les </w:t>
      </w:r>
      <w:r w:rsidRPr="00AF434B">
        <w:rPr>
          <w:noProof/>
          <w:lang w:val="fr-FR"/>
        </w:rPr>
        <w:t>municipalit</w:t>
      </w:r>
      <w:r>
        <w:rPr>
          <w:noProof/>
          <w:lang w:val="fr-FR"/>
        </w:rPr>
        <w:t>é</w:t>
      </w:r>
      <w:r w:rsidRPr="00AF434B">
        <w:rPr>
          <w:noProof/>
          <w:lang w:val="fr-FR"/>
        </w:rPr>
        <w:t xml:space="preserve">s </w:t>
      </w:r>
      <w:r>
        <w:rPr>
          <w:noProof/>
          <w:lang w:val="fr-FR"/>
        </w:rPr>
        <w:t xml:space="preserve">et d’autres </w:t>
      </w:r>
      <w:r w:rsidRPr="00AF434B">
        <w:rPr>
          <w:noProof/>
          <w:lang w:val="fr-FR"/>
        </w:rPr>
        <w:t>entit</w:t>
      </w:r>
      <w:r>
        <w:rPr>
          <w:noProof/>
          <w:lang w:val="fr-FR"/>
        </w:rPr>
        <w:t>é</w:t>
      </w:r>
      <w:r w:rsidRPr="00AF434B">
        <w:rPr>
          <w:noProof/>
          <w:lang w:val="fr-FR"/>
        </w:rPr>
        <w:t>s</w:t>
      </w:r>
      <w:r w:rsidR="001C4DFC">
        <w:rPr>
          <w:noProof/>
          <w:lang w:val="fr-FR"/>
        </w:rPr>
        <w:t> </w:t>
      </w:r>
      <w:r w:rsidRPr="00AF434B">
        <w:rPr>
          <w:noProof/>
          <w:lang w:val="fr-FR"/>
        </w:rPr>
        <w:t xml:space="preserve">; </w:t>
      </w:r>
      <w:r>
        <w:rPr>
          <w:noProof/>
          <w:lang w:val="fr-FR"/>
        </w:rPr>
        <w:t>une bande dessinée « Contre le discours de haine » a été produite et utilisée comme document pédagogique numérique</w:t>
      </w:r>
      <w:r w:rsidRPr="00AF434B">
        <w:rPr>
          <w:noProof/>
          <w:lang w:val="fr-FR"/>
        </w:rPr>
        <w:t xml:space="preserve">. </w:t>
      </w:r>
    </w:p>
    <w:p w14:paraId="4805477E" w14:textId="77777777" w:rsidR="00BF0619" w:rsidRPr="00AF434B" w:rsidRDefault="00BF0619" w:rsidP="00BF0619">
      <w:pPr>
        <w:pStyle w:val="SingleTxtG"/>
        <w:rPr>
          <w:noProof/>
          <w:lang w:val="fr-FR"/>
        </w:rPr>
      </w:pPr>
      <w:r w:rsidRPr="00AF434B">
        <w:rPr>
          <w:noProof/>
          <w:lang w:val="fr-FR"/>
        </w:rPr>
        <w:t>87.</w:t>
      </w:r>
      <w:r w:rsidRPr="00AF434B">
        <w:rPr>
          <w:noProof/>
          <w:lang w:val="fr-FR"/>
        </w:rPr>
        <w:tab/>
      </w:r>
      <w:r>
        <w:rPr>
          <w:noProof/>
          <w:lang w:val="fr-FR"/>
        </w:rPr>
        <w:t>E</w:t>
      </w:r>
      <w:r w:rsidRPr="00AF434B">
        <w:rPr>
          <w:noProof/>
          <w:lang w:val="fr-FR"/>
        </w:rPr>
        <w:t xml:space="preserve">n 2014 </w:t>
      </w:r>
      <w:r>
        <w:rPr>
          <w:noProof/>
          <w:lang w:val="fr-FR"/>
        </w:rPr>
        <w:t>et</w:t>
      </w:r>
      <w:r w:rsidRPr="00AF434B">
        <w:rPr>
          <w:noProof/>
          <w:lang w:val="fr-FR"/>
        </w:rPr>
        <w:t xml:space="preserve"> 2015, </w:t>
      </w:r>
      <w:r>
        <w:rPr>
          <w:noProof/>
          <w:lang w:val="fr-FR"/>
        </w:rPr>
        <w:t xml:space="preserve">à l’occasion de la mise en œuvre du cinquième </w:t>
      </w:r>
      <w:r w:rsidRPr="003E4F0D">
        <w:rPr>
          <w:noProof/>
          <w:lang w:val="fr-FR"/>
        </w:rPr>
        <w:t xml:space="preserve">Plan national </w:t>
      </w:r>
      <w:r>
        <w:rPr>
          <w:noProof/>
          <w:lang w:val="fr-FR"/>
        </w:rPr>
        <w:t>de prévention de la violence familiale et de la violence sexiste et de lutte contre ces formes de violence, la Direction générale de l’enseignement</w:t>
      </w:r>
      <w:r w:rsidRPr="00AF434B">
        <w:rPr>
          <w:noProof/>
          <w:lang w:val="fr-FR"/>
        </w:rPr>
        <w:t xml:space="preserve"> </w:t>
      </w:r>
      <w:r>
        <w:rPr>
          <w:noProof/>
          <w:lang w:val="fr-FR"/>
        </w:rPr>
        <w:t>a pris l’initiative de cinq séances de sensibilisation des écoliers à la lutte contre</w:t>
      </w:r>
      <w:r w:rsidRPr="00AF434B">
        <w:rPr>
          <w:noProof/>
          <w:lang w:val="fr-FR"/>
        </w:rPr>
        <w:t xml:space="preserve"> </w:t>
      </w:r>
      <w:r>
        <w:rPr>
          <w:noProof/>
          <w:lang w:val="fr-FR"/>
        </w:rPr>
        <w:t>l’h</w:t>
      </w:r>
      <w:r w:rsidRPr="00AF434B">
        <w:rPr>
          <w:noProof/>
          <w:lang w:val="fr-FR"/>
        </w:rPr>
        <w:t>omophobi</w:t>
      </w:r>
      <w:r>
        <w:rPr>
          <w:noProof/>
          <w:lang w:val="fr-FR"/>
        </w:rPr>
        <w:t>e</w:t>
      </w:r>
      <w:r w:rsidRPr="00AF434B">
        <w:rPr>
          <w:noProof/>
          <w:lang w:val="fr-FR"/>
        </w:rPr>
        <w:t xml:space="preserve"> </w:t>
      </w:r>
      <w:r>
        <w:rPr>
          <w:noProof/>
          <w:lang w:val="fr-FR"/>
        </w:rPr>
        <w:t>et la t</w:t>
      </w:r>
      <w:r w:rsidRPr="00AF434B">
        <w:rPr>
          <w:noProof/>
          <w:lang w:val="fr-FR"/>
        </w:rPr>
        <w:t>ransphobi</w:t>
      </w:r>
      <w:r>
        <w:rPr>
          <w:noProof/>
          <w:lang w:val="fr-FR"/>
        </w:rPr>
        <w:t xml:space="preserve">e, en </w:t>
      </w:r>
      <w:r w:rsidRPr="00AF434B">
        <w:rPr>
          <w:noProof/>
          <w:lang w:val="fr-FR"/>
        </w:rPr>
        <w:t xml:space="preserve">collaboration </w:t>
      </w:r>
      <w:r>
        <w:rPr>
          <w:noProof/>
          <w:lang w:val="fr-FR"/>
        </w:rPr>
        <w:t xml:space="preserve">avec la </w:t>
      </w:r>
      <w:r>
        <w:rPr>
          <w:lang w:val="fr-FR"/>
        </w:rPr>
        <w:t>Commission pour la citoyenneté et l’égalité des sexes</w:t>
      </w:r>
      <w:r>
        <w:rPr>
          <w:noProof/>
          <w:lang w:val="fr-FR"/>
        </w:rPr>
        <w:t xml:space="preserve"> et la Direction générale des écoles</w:t>
      </w:r>
      <w:r w:rsidRPr="00AF434B">
        <w:rPr>
          <w:noProof/>
          <w:lang w:val="fr-FR"/>
        </w:rPr>
        <w:t xml:space="preserve">. </w:t>
      </w:r>
      <w:r>
        <w:rPr>
          <w:noProof/>
          <w:lang w:val="fr-FR"/>
        </w:rPr>
        <w:t xml:space="preserve">Ces séances destinées aux élèves de l’enseignement secondaire ont bénéficié de contributions relevant de plusieurs champs thématiques </w:t>
      </w:r>
      <w:r w:rsidRPr="00AF434B">
        <w:rPr>
          <w:noProof/>
          <w:lang w:val="fr-FR"/>
        </w:rPr>
        <w:t>(</w:t>
      </w:r>
      <w:r>
        <w:rPr>
          <w:noProof/>
          <w:lang w:val="fr-FR"/>
        </w:rPr>
        <w:t>éducation aux droits de l’homme</w:t>
      </w:r>
      <w:r w:rsidRPr="00AF434B">
        <w:rPr>
          <w:noProof/>
          <w:lang w:val="fr-FR"/>
        </w:rPr>
        <w:t xml:space="preserve">, </w:t>
      </w:r>
      <w:r>
        <w:rPr>
          <w:noProof/>
          <w:lang w:val="fr-FR"/>
        </w:rPr>
        <w:t>éducation à l’égalité des sexes et éducation sanitaire</w:t>
      </w:r>
      <w:r w:rsidRPr="00AF434B">
        <w:rPr>
          <w:noProof/>
          <w:lang w:val="fr-FR"/>
        </w:rPr>
        <w:t xml:space="preserve">). </w:t>
      </w:r>
      <w:r>
        <w:rPr>
          <w:noProof/>
          <w:lang w:val="fr-FR"/>
        </w:rPr>
        <w:t>Le thème de ces séances était lié à la campagne « Mouvement contre le discours de haine »</w:t>
      </w:r>
      <w:r w:rsidRPr="00AF434B">
        <w:rPr>
          <w:noProof/>
          <w:lang w:val="fr-FR"/>
        </w:rPr>
        <w:t xml:space="preserve">. </w:t>
      </w:r>
    </w:p>
    <w:p w14:paraId="0D9489FD" w14:textId="77777777" w:rsidR="00BF0619" w:rsidRPr="00AF434B" w:rsidRDefault="00BF0619" w:rsidP="00BF0619">
      <w:pPr>
        <w:pStyle w:val="SingleTxtG"/>
        <w:rPr>
          <w:noProof/>
          <w:lang w:val="fr-FR"/>
        </w:rPr>
      </w:pPr>
      <w:r w:rsidRPr="00AF434B">
        <w:rPr>
          <w:noProof/>
          <w:lang w:val="fr-FR"/>
        </w:rPr>
        <w:t>88.</w:t>
      </w:r>
      <w:r w:rsidRPr="00AF434B">
        <w:rPr>
          <w:noProof/>
          <w:lang w:val="fr-FR"/>
        </w:rPr>
        <w:tab/>
      </w:r>
      <w:r>
        <w:rPr>
          <w:noProof/>
          <w:lang w:val="fr-FR"/>
        </w:rPr>
        <w:t>E</w:t>
      </w:r>
      <w:r w:rsidRPr="00AF434B">
        <w:rPr>
          <w:noProof/>
          <w:lang w:val="fr-FR"/>
        </w:rPr>
        <w:t xml:space="preserve">n 2015, </w:t>
      </w:r>
      <w:r>
        <w:rPr>
          <w:noProof/>
          <w:lang w:val="fr-FR"/>
        </w:rPr>
        <w:t>dans le cadre du troisième Plan national de prévention de la traite des personnes et de la lutte contre ce fléau pour</w:t>
      </w:r>
      <w:r w:rsidRPr="00AF434B">
        <w:rPr>
          <w:noProof/>
          <w:lang w:val="fr-FR"/>
        </w:rPr>
        <w:t xml:space="preserve"> 2014</w:t>
      </w:r>
      <w:r>
        <w:rPr>
          <w:noProof/>
          <w:lang w:val="fr-FR"/>
        </w:rPr>
        <w:t>-</w:t>
      </w:r>
      <w:r w:rsidRPr="00AF434B">
        <w:rPr>
          <w:noProof/>
          <w:lang w:val="fr-FR"/>
        </w:rPr>
        <w:t xml:space="preserve">2017, </w:t>
      </w:r>
      <w:r>
        <w:rPr>
          <w:noProof/>
          <w:lang w:val="fr-FR"/>
        </w:rPr>
        <w:t>la Direction générale de l’enseignement a produit une brochure sur la traite des personnes qu’elle a fait distribuer dans les écoles et qu’elle a diffusé sur son site Web</w:t>
      </w:r>
      <w:r w:rsidRPr="00AF434B">
        <w:rPr>
          <w:noProof/>
          <w:lang w:val="fr-FR"/>
        </w:rPr>
        <w:t xml:space="preserve">. </w:t>
      </w:r>
      <w:r>
        <w:rPr>
          <w:noProof/>
          <w:lang w:val="fr-FR"/>
        </w:rPr>
        <w:t>Avec le concours de quelque 200</w:t>
      </w:r>
      <w:r w:rsidR="00DB2FE9">
        <w:rPr>
          <w:noProof/>
          <w:lang w:val="fr-FR"/>
        </w:rPr>
        <w:t> </w:t>
      </w:r>
      <w:r>
        <w:rPr>
          <w:noProof/>
          <w:lang w:val="fr-FR"/>
        </w:rPr>
        <w:t xml:space="preserve">enseignants, elle a organisé </w:t>
      </w:r>
      <w:r w:rsidRPr="00AF434B">
        <w:rPr>
          <w:noProof/>
          <w:lang w:val="fr-FR"/>
        </w:rPr>
        <w:t>10</w:t>
      </w:r>
      <w:r w:rsidR="00DB2FE9">
        <w:rPr>
          <w:noProof/>
          <w:lang w:val="fr-FR"/>
        </w:rPr>
        <w:t> </w:t>
      </w:r>
      <w:r>
        <w:rPr>
          <w:noProof/>
          <w:lang w:val="fr-FR"/>
        </w:rPr>
        <w:t xml:space="preserve">sessions de formation </w:t>
      </w:r>
      <w:r w:rsidRPr="00AF434B">
        <w:rPr>
          <w:noProof/>
          <w:lang w:val="fr-FR"/>
        </w:rPr>
        <w:t>(</w:t>
      </w:r>
      <w:r>
        <w:rPr>
          <w:noProof/>
          <w:lang w:val="fr-FR"/>
        </w:rPr>
        <w:t xml:space="preserve">d’une durée de </w:t>
      </w:r>
      <w:r w:rsidRPr="00AF434B">
        <w:rPr>
          <w:noProof/>
          <w:lang w:val="fr-FR"/>
        </w:rPr>
        <w:t>50</w:t>
      </w:r>
      <w:r w:rsidR="00DB2FE9">
        <w:rPr>
          <w:noProof/>
          <w:lang w:val="fr-FR"/>
        </w:rPr>
        <w:t> </w:t>
      </w:r>
      <w:r w:rsidRPr="00AF434B">
        <w:rPr>
          <w:noProof/>
          <w:lang w:val="fr-FR"/>
        </w:rPr>
        <w:t>h</w:t>
      </w:r>
      <w:r>
        <w:rPr>
          <w:noProof/>
          <w:lang w:val="fr-FR"/>
        </w:rPr>
        <w:t>eures chacune</w:t>
      </w:r>
      <w:r w:rsidRPr="00AF434B">
        <w:rPr>
          <w:noProof/>
          <w:lang w:val="fr-FR"/>
        </w:rPr>
        <w:t xml:space="preserve">) </w:t>
      </w:r>
      <w:r>
        <w:rPr>
          <w:noProof/>
          <w:lang w:val="fr-FR"/>
        </w:rPr>
        <w:t>sur le thème « É</w:t>
      </w:r>
      <w:r w:rsidRPr="00AF434B">
        <w:rPr>
          <w:noProof/>
          <w:lang w:val="fr-FR"/>
        </w:rPr>
        <w:t xml:space="preserve">ducation, </w:t>
      </w:r>
      <w:r>
        <w:rPr>
          <w:noProof/>
          <w:lang w:val="fr-FR"/>
        </w:rPr>
        <w:t>genre et citoyenneté »</w:t>
      </w:r>
      <w:r w:rsidR="00DB2FE9">
        <w:rPr>
          <w:noProof/>
          <w:lang w:val="fr-FR"/>
        </w:rPr>
        <w:t> </w:t>
      </w:r>
      <w:r>
        <w:rPr>
          <w:noProof/>
          <w:lang w:val="fr-FR"/>
        </w:rPr>
        <w:t>; la question de la traite des personnes a été abordée</w:t>
      </w:r>
      <w:r w:rsidRPr="00AF434B">
        <w:rPr>
          <w:noProof/>
          <w:lang w:val="fr-FR"/>
        </w:rPr>
        <w:t xml:space="preserve">. </w:t>
      </w:r>
    </w:p>
    <w:p w14:paraId="167E60E4" w14:textId="77777777" w:rsidR="00BF0619" w:rsidRPr="00AF434B" w:rsidRDefault="00BF0619" w:rsidP="00BF0619">
      <w:pPr>
        <w:pStyle w:val="SingleTxtG"/>
        <w:spacing w:after="240"/>
        <w:rPr>
          <w:noProof/>
          <w:lang w:val="fr-FR"/>
        </w:rPr>
      </w:pPr>
      <w:r w:rsidRPr="00AF434B">
        <w:rPr>
          <w:noProof/>
          <w:lang w:val="fr-FR"/>
        </w:rPr>
        <w:t>89.</w:t>
      </w:r>
      <w:r w:rsidRPr="00AF434B">
        <w:rPr>
          <w:noProof/>
          <w:lang w:val="fr-FR"/>
        </w:rPr>
        <w:tab/>
      </w:r>
      <w:r>
        <w:rPr>
          <w:noProof/>
          <w:lang w:val="fr-FR"/>
        </w:rPr>
        <w:t>L’attribution du label École i</w:t>
      </w:r>
      <w:r w:rsidRPr="00AF434B">
        <w:rPr>
          <w:noProof/>
          <w:lang w:val="fr-FR"/>
        </w:rPr>
        <w:t>ntercultur</w:t>
      </w:r>
      <w:r>
        <w:rPr>
          <w:noProof/>
          <w:lang w:val="fr-FR"/>
        </w:rPr>
        <w:t>elle</w:t>
      </w:r>
      <w:r w:rsidRPr="00AF434B">
        <w:rPr>
          <w:noProof/>
          <w:lang w:val="fr-FR"/>
        </w:rPr>
        <w:t xml:space="preserve"> </w:t>
      </w:r>
      <w:r>
        <w:rPr>
          <w:noProof/>
          <w:lang w:val="fr-FR"/>
        </w:rPr>
        <w:t xml:space="preserve">est une </w:t>
      </w:r>
      <w:r w:rsidRPr="00AF434B">
        <w:rPr>
          <w:noProof/>
          <w:lang w:val="fr-FR"/>
        </w:rPr>
        <w:t xml:space="preserve">initiative </w:t>
      </w:r>
      <w:r>
        <w:rPr>
          <w:noProof/>
          <w:lang w:val="fr-FR"/>
        </w:rPr>
        <w:t>visant à récompenser des écoles qui se distinguent en encourageant des projets qui reconnaissent et valorisent la diversité en tant que chance à saisir et source d’apprentissage pour tous</w:t>
      </w:r>
      <w:r w:rsidRPr="00AF434B">
        <w:rPr>
          <w:noProof/>
          <w:lang w:val="fr-FR"/>
        </w:rPr>
        <w:t xml:space="preserve">. </w:t>
      </w:r>
      <w:r>
        <w:rPr>
          <w:noProof/>
          <w:lang w:val="fr-FR"/>
        </w:rPr>
        <w:t xml:space="preserve">Créé en </w:t>
      </w:r>
      <w:r w:rsidRPr="00AF434B">
        <w:rPr>
          <w:noProof/>
          <w:lang w:val="fr-FR"/>
        </w:rPr>
        <w:t xml:space="preserve">2012 </w:t>
      </w:r>
      <w:r>
        <w:rPr>
          <w:noProof/>
          <w:lang w:val="fr-FR"/>
        </w:rPr>
        <w:t xml:space="preserve">dans le cadre d’un partenariat entre la Direction générale de l’enseignement, le Haut-Commissariat pour les migrations et la Fondation </w:t>
      </w:r>
      <w:r w:rsidRPr="00AF434B">
        <w:rPr>
          <w:noProof/>
          <w:lang w:val="fr-FR"/>
        </w:rPr>
        <w:t xml:space="preserve">Aga Khan </w:t>
      </w:r>
      <w:r>
        <w:rPr>
          <w:noProof/>
          <w:lang w:val="fr-FR"/>
        </w:rPr>
        <w:t xml:space="preserve">au Portugal, ce label favorise la mise en place de projets scolaires centrés sur la lutte contre la </w:t>
      </w:r>
      <w:r w:rsidRPr="00AF434B">
        <w:rPr>
          <w:noProof/>
          <w:lang w:val="fr-FR"/>
        </w:rPr>
        <w:t xml:space="preserve">discrimination, </w:t>
      </w:r>
      <w:r>
        <w:rPr>
          <w:noProof/>
          <w:lang w:val="fr-FR"/>
        </w:rPr>
        <w:t>la promotion du dialogue interculturel et l’</w:t>
      </w:r>
      <w:r w:rsidRPr="00AF434B">
        <w:rPr>
          <w:noProof/>
          <w:lang w:val="fr-FR"/>
        </w:rPr>
        <w:t xml:space="preserve">inclusion </w:t>
      </w:r>
      <w:r>
        <w:rPr>
          <w:noProof/>
          <w:lang w:val="fr-FR"/>
        </w:rPr>
        <w:t>des élèves membres des communautés minoritaires, contribuant par là à prévenir le décrochage scolaire précoce et à favoriser le succès scolaire</w:t>
      </w:r>
      <w:r w:rsidRPr="00AF434B">
        <w:rPr>
          <w:noProof/>
          <w:lang w:val="fr-FR"/>
        </w:rPr>
        <w:t xml:space="preserve">. </w:t>
      </w:r>
      <w:r>
        <w:rPr>
          <w:noProof/>
          <w:lang w:val="fr-FR"/>
        </w:rPr>
        <w:t>Le label École i</w:t>
      </w:r>
      <w:r w:rsidRPr="00AF434B">
        <w:rPr>
          <w:noProof/>
          <w:lang w:val="fr-FR"/>
        </w:rPr>
        <w:t>ntercultur</w:t>
      </w:r>
      <w:r>
        <w:rPr>
          <w:noProof/>
          <w:lang w:val="fr-FR"/>
        </w:rPr>
        <w:t>elle</w:t>
      </w:r>
      <w:r w:rsidRPr="00AF434B">
        <w:rPr>
          <w:noProof/>
          <w:lang w:val="fr-FR"/>
        </w:rPr>
        <w:t xml:space="preserve"> </w:t>
      </w:r>
      <w:r>
        <w:rPr>
          <w:noProof/>
          <w:lang w:val="fr-FR"/>
        </w:rPr>
        <w:t xml:space="preserve">consiste en un certificat et un label numérique correspondant au niveau de certification attribué </w:t>
      </w:r>
      <w:r w:rsidRPr="00AF434B">
        <w:rPr>
          <w:noProof/>
          <w:lang w:val="fr-FR"/>
        </w:rPr>
        <w:t>(</w:t>
      </w:r>
      <w:r>
        <w:rPr>
          <w:noProof/>
          <w:lang w:val="fr-FR"/>
        </w:rPr>
        <w:t>initial</w:t>
      </w:r>
      <w:r w:rsidR="001C4DFC">
        <w:rPr>
          <w:noProof/>
          <w:lang w:val="fr-FR"/>
        </w:rPr>
        <w:t> </w:t>
      </w:r>
      <w:r w:rsidRPr="00AF434B">
        <w:rPr>
          <w:noProof/>
          <w:lang w:val="fr-FR"/>
        </w:rPr>
        <w:t xml:space="preserve">; </w:t>
      </w:r>
      <w:r>
        <w:rPr>
          <w:noProof/>
          <w:lang w:val="fr-FR"/>
        </w:rPr>
        <w:t>i</w:t>
      </w:r>
      <w:r w:rsidRPr="00AF434B">
        <w:rPr>
          <w:noProof/>
          <w:lang w:val="fr-FR"/>
        </w:rPr>
        <w:t>nterm</w:t>
      </w:r>
      <w:r>
        <w:rPr>
          <w:noProof/>
          <w:lang w:val="fr-FR"/>
        </w:rPr>
        <w:t>édiaire</w:t>
      </w:r>
      <w:r w:rsidR="001C4DFC">
        <w:rPr>
          <w:noProof/>
          <w:lang w:val="fr-FR"/>
        </w:rPr>
        <w:t> </w:t>
      </w:r>
      <w:r w:rsidRPr="00AF434B">
        <w:rPr>
          <w:noProof/>
          <w:lang w:val="fr-FR"/>
        </w:rPr>
        <w:t xml:space="preserve">; </w:t>
      </w:r>
      <w:r>
        <w:rPr>
          <w:noProof/>
          <w:lang w:val="fr-FR"/>
        </w:rPr>
        <w:t>avancé</w:t>
      </w:r>
      <w:r w:rsidRPr="00AF434B">
        <w:rPr>
          <w:noProof/>
          <w:lang w:val="fr-FR"/>
        </w:rPr>
        <w:t xml:space="preserve">), </w:t>
      </w:r>
      <w:r>
        <w:rPr>
          <w:noProof/>
          <w:lang w:val="fr-FR"/>
        </w:rPr>
        <w:t xml:space="preserve">à utiliser dans la </w:t>
      </w:r>
      <w:r w:rsidRPr="00AF434B">
        <w:rPr>
          <w:noProof/>
          <w:lang w:val="fr-FR"/>
        </w:rPr>
        <w:t>documentation</w:t>
      </w:r>
      <w:r>
        <w:rPr>
          <w:noProof/>
          <w:lang w:val="fr-FR"/>
        </w:rPr>
        <w:t xml:space="preserve"> à communiquer et valide pendant deux années scolaires</w:t>
      </w:r>
      <w:r w:rsidRPr="00AF434B">
        <w:rPr>
          <w:noProof/>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172"/>
        <w:gridCol w:w="5198"/>
      </w:tblGrid>
      <w:tr w:rsidR="00BF0619" w:rsidRPr="00DB2FE9" w14:paraId="7D253B7A" w14:textId="77777777" w:rsidTr="00DB2FE9">
        <w:trPr>
          <w:cantSplit/>
          <w:tblHeader/>
        </w:trPr>
        <w:tc>
          <w:tcPr>
            <w:tcW w:w="2172" w:type="dxa"/>
            <w:tcBorders>
              <w:top w:val="single" w:sz="4" w:space="0" w:color="auto"/>
              <w:bottom w:val="single" w:sz="12" w:space="0" w:color="auto"/>
            </w:tcBorders>
            <w:shd w:val="clear" w:color="auto" w:fill="auto"/>
            <w:vAlign w:val="bottom"/>
          </w:tcPr>
          <w:p w14:paraId="0957C43A" w14:textId="77777777" w:rsidR="00BF0619" w:rsidRPr="00DB2FE9" w:rsidRDefault="00BF0619" w:rsidP="00DB2FE9">
            <w:pPr>
              <w:keepNext/>
              <w:keepLines/>
              <w:suppressAutoHyphens w:val="0"/>
              <w:spacing w:before="80" w:after="80" w:line="200" w:lineRule="exact"/>
              <w:rPr>
                <w:i/>
                <w:noProof/>
                <w:sz w:val="16"/>
                <w:lang w:val="fr-FR"/>
              </w:rPr>
            </w:pPr>
            <w:r w:rsidRPr="00DB2FE9">
              <w:rPr>
                <w:i/>
                <w:noProof/>
                <w:sz w:val="16"/>
                <w:lang w:val="fr-FR"/>
              </w:rPr>
              <w:t>Année scolaire</w:t>
            </w:r>
          </w:p>
        </w:tc>
        <w:tc>
          <w:tcPr>
            <w:tcW w:w="5198" w:type="dxa"/>
            <w:tcBorders>
              <w:top w:val="single" w:sz="4" w:space="0" w:color="auto"/>
              <w:bottom w:val="single" w:sz="12" w:space="0" w:color="auto"/>
            </w:tcBorders>
            <w:shd w:val="clear" w:color="auto" w:fill="auto"/>
            <w:vAlign w:val="bottom"/>
          </w:tcPr>
          <w:p w14:paraId="070F9DCB" w14:textId="77777777" w:rsidR="00BF0619" w:rsidRPr="00DB2FE9" w:rsidRDefault="00BF0619" w:rsidP="00DB2FE9">
            <w:pPr>
              <w:keepNext/>
              <w:keepLines/>
              <w:suppressAutoHyphens w:val="0"/>
              <w:spacing w:before="80" w:after="80" w:line="200" w:lineRule="exact"/>
              <w:jc w:val="right"/>
              <w:rPr>
                <w:i/>
                <w:noProof/>
                <w:sz w:val="16"/>
                <w:lang w:val="fr-FR"/>
              </w:rPr>
            </w:pPr>
            <w:r w:rsidRPr="00DB2FE9">
              <w:rPr>
                <w:i/>
                <w:noProof/>
                <w:sz w:val="16"/>
                <w:lang w:val="fr-FR"/>
              </w:rPr>
              <w:t xml:space="preserve">Nombre de groupements d’écoles/écoles récompensés </w:t>
            </w:r>
          </w:p>
        </w:tc>
      </w:tr>
      <w:tr w:rsidR="00BF0619" w:rsidRPr="00DB2FE9" w14:paraId="71EDF0B1" w14:textId="77777777" w:rsidTr="00DB2FE9">
        <w:trPr>
          <w:cantSplit/>
        </w:trPr>
        <w:tc>
          <w:tcPr>
            <w:tcW w:w="2172" w:type="dxa"/>
            <w:tcBorders>
              <w:top w:val="single" w:sz="12" w:space="0" w:color="auto"/>
            </w:tcBorders>
            <w:shd w:val="clear" w:color="auto" w:fill="auto"/>
          </w:tcPr>
          <w:p w14:paraId="1867A325" w14:textId="77777777" w:rsidR="00BF0619" w:rsidRPr="00DB2FE9" w:rsidRDefault="00BF0619" w:rsidP="00DB2FE9">
            <w:pPr>
              <w:suppressAutoHyphens w:val="0"/>
              <w:spacing w:before="40" w:after="40" w:line="220" w:lineRule="exact"/>
              <w:rPr>
                <w:noProof/>
                <w:sz w:val="18"/>
                <w:lang w:val="fr-FR"/>
              </w:rPr>
            </w:pPr>
            <w:r w:rsidRPr="00DB2FE9">
              <w:rPr>
                <w:noProof/>
                <w:sz w:val="18"/>
                <w:lang w:val="fr-FR"/>
              </w:rPr>
              <w:t>2012/2013</w:t>
            </w:r>
          </w:p>
        </w:tc>
        <w:tc>
          <w:tcPr>
            <w:tcW w:w="5198" w:type="dxa"/>
            <w:tcBorders>
              <w:top w:val="single" w:sz="12" w:space="0" w:color="auto"/>
            </w:tcBorders>
            <w:shd w:val="clear" w:color="auto" w:fill="auto"/>
            <w:vAlign w:val="bottom"/>
          </w:tcPr>
          <w:p w14:paraId="5AEA849A" w14:textId="77777777" w:rsidR="00BF0619" w:rsidRPr="00DB2FE9" w:rsidRDefault="00BF0619" w:rsidP="00DB2FE9">
            <w:pPr>
              <w:suppressAutoHyphens w:val="0"/>
              <w:spacing w:before="40" w:after="40" w:line="220" w:lineRule="exact"/>
              <w:jc w:val="right"/>
              <w:rPr>
                <w:noProof/>
                <w:sz w:val="18"/>
                <w:lang w:val="fr-FR"/>
              </w:rPr>
            </w:pPr>
            <w:r w:rsidRPr="00DB2FE9">
              <w:rPr>
                <w:noProof/>
                <w:sz w:val="18"/>
                <w:lang w:val="fr-FR"/>
              </w:rPr>
              <w:t>10</w:t>
            </w:r>
          </w:p>
        </w:tc>
      </w:tr>
      <w:tr w:rsidR="00BF0619" w:rsidRPr="00DB2FE9" w14:paraId="7D37E4BE" w14:textId="77777777" w:rsidTr="00DB2FE9">
        <w:trPr>
          <w:cantSplit/>
        </w:trPr>
        <w:tc>
          <w:tcPr>
            <w:tcW w:w="2172" w:type="dxa"/>
            <w:shd w:val="clear" w:color="auto" w:fill="auto"/>
          </w:tcPr>
          <w:p w14:paraId="5037B3F4" w14:textId="77777777" w:rsidR="00BF0619" w:rsidRPr="00DB2FE9" w:rsidRDefault="00BF0619" w:rsidP="00DB2FE9">
            <w:pPr>
              <w:suppressAutoHyphens w:val="0"/>
              <w:spacing w:before="40" w:after="40" w:line="220" w:lineRule="exact"/>
              <w:rPr>
                <w:noProof/>
                <w:sz w:val="18"/>
                <w:lang w:val="fr-FR"/>
              </w:rPr>
            </w:pPr>
            <w:r w:rsidRPr="00DB2FE9">
              <w:rPr>
                <w:noProof/>
                <w:sz w:val="18"/>
                <w:lang w:val="fr-FR"/>
              </w:rPr>
              <w:t>2013/2014</w:t>
            </w:r>
          </w:p>
        </w:tc>
        <w:tc>
          <w:tcPr>
            <w:tcW w:w="5198" w:type="dxa"/>
            <w:shd w:val="clear" w:color="auto" w:fill="auto"/>
            <w:vAlign w:val="bottom"/>
          </w:tcPr>
          <w:p w14:paraId="03FF8903" w14:textId="77777777" w:rsidR="00BF0619" w:rsidRPr="00DB2FE9" w:rsidRDefault="00BF0619" w:rsidP="00DB2FE9">
            <w:pPr>
              <w:suppressAutoHyphens w:val="0"/>
              <w:spacing w:before="40" w:after="40" w:line="220" w:lineRule="exact"/>
              <w:jc w:val="right"/>
              <w:rPr>
                <w:noProof/>
                <w:sz w:val="18"/>
                <w:lang w:val="fr-FR"/>
              </w:rPr>
            </w:pPr>
            <w:r w:rsidRPr="00DB2FE9">
              <w:rPr>
                <w:noProof/>
                <w:sz w:val="18"/>
                <w:lang w:val="fr-FR"/>
              </w:rPr>
              <w:t>10</w:t>
            </w:r>
          </w:p>
        </w:tc>
      </w:tr>
      <w:tr w:rsidR="00BF0619" w:rsidRPr="00DB2FE9" w14:paraId="40B37ADA" w14:textId="77777777" w:rsidTr="00DB2FE9">
        <w:trPr>
          <w:cantSplit/>
        </w:trPr>
        <w:tc>
          <w:tcPr>
            <w:tcW w:w="2172" w:type="dxa"/>
            <w:shd w:val="clear" w:color="auto" w:fill="auto"/>
          </w:tcPr>
          <w:p w14:paraId="644F571D" w14:textId="77777777" w:rsidR="00BF0619" w:rsidRPr="00DB2FE9" w:rsidRDefault="00BF0619" w:rsidP="00DB2FE9">
            <w:pPr>
              <w:suppressAutoHyphens w:val="0"/>
              <w:spacing w:before="40" w:after="40" w:line="220" w:lineRule="exact"/>
              <w:rPr>
                <w:noProof/>
                <w:sz w:val="18"/>
                <w:lang w:val="fr-FR"/>
              </w:rPr>
            </w:pPr>
            <w:r w:rsidRPr="00DB2FE9">
              <w:rPr>
                <w:noProof/>
                <w:sz w:val="18"/>
                <w:lang w:val="fr-FR"/>
              </w:rPr>
              <w:t>2014/2015</w:t>
            </w:r>
          </w:p>
        </w:tc>
        <w:tc>
          <w:tcPr>
            <w:tcW w:w="5198" w:type="dxa"/>
            <w:shd w:val="clear" w:color="auto" w:fill="auto"/>
            <w:vAlign w:val="bottom"/>
          </w:tcPr>
          <w:p w14:paraId="52CDEABF" w14:textId="77777777" w:rsidR="00BF0619" w:rsidRPr="00DB2FE9" w:rsidRDefault="00BF0619" w:rsidP="00DB2FE9">
            <w:pPr>
              <w:suppressAutoHyphens w:val="0"/>
              <w:spacing w:before="40" w:after="40" w:line="220" w:lineRule="exact"/>
              <w:jc w:val="right"/>
              <w:rPr>
                <w:noProof/>
                <w:sz w:val="18"/>
                <w:lang w:val="fr-FR"/>
              </w:rPr>
            </w:pPr>
            <w:r w:rsidRPr="00DB2FE9">
              <w:rPr>
                <w:noProof/>
                <w:sz w:val="18"/>
                <w:lang w:val="fr-FR"/>
              </w:rPr>
              <w:t>24</w:t>
            </w:r>
          </w:p>
        </w:tc>
      </w:tr>
      <w:tr w:rsidR="00BF0619" w:rsidRPr="00DB2FE9" w14:paraId="0A4462B9" w14:textId="77777777" w:rsidTr="00DB2FE9">
        <w:trPr>
          <w:cantSplit/>
        </w:trPr>
        <w:tc>
          <w:tcPr>
            <w:tcW w:w="2172" w:type="dxa"/>
            <w:shd w:val="clear" w:color="auto" w:fill="auto"/>
          </w:tcPr>
          <w:p w14:paraId="407CD264" w14:textId="77777777" w:rsidR="00BF0619" w:rsidRPr="00DB2FE9" w:rsidRDefault="00BF0619" w:rsidP="00DB2FE9">
            <w:pPr>
              <w:suppressAutoHyphens w:val="0"/>
              <w:spacing w:before="40" w:after="40" w:line="220" w:lineRule="exact"/>
              <w:rPr>
                <w:noProof/>
                <w:sz w:val="18"/>
                <w:lang w:val="fr-FR"/>
              </w:rPr>
            </w:pPr>
            <w:r w:rsidRPr="00DB2FE9">
              <w:rPr>
                <w:noProof/>
                <w:sz w:val="18"/>
                <w:lang w:val="fr-FR"/>
              </w:rPr>
              <w:t>2015/2016</w:t>
            </w:r>
          </w:p>
        </w:tc>
        <w:tc>
          <w:tcPr>
            <w:tcW w:w="5198" w:type="dxa"/>
            <w:shd w:val="clear" w:color="auto" w:fill="auto"/>
            <w:vAlign w:val="bottom"/>
          </w:tcPr>
          <w:p w14:paraId="0FA00DF6" w14:textId="77777777" w:rsidR="00BF0619" w:rsidRPr="00DB2FE9" w:rsidRDefault="00BF0619" w:rsidP="00DB2FE9">
            <w:pPr>
              <w:suppressAutoHyphens w:val="0"/>
              <w:spacing w:before="40" w:after="40" w:line="220" w:lineRule="exact"/>
              <w:jc w:val="right"/>
              <w:rPr>
                <w:noProof/>
                <w:sz w:val="18"/>
                <w:lang w:val="fr-FR"/>
              </w:rPr>
            </w:pPr>
            <w:r w:rsidRPr="00DB2FE9">
              <w:rPr>
                <w:noProof/>
                <w:sz w:val="18"/>
                <w:lang w:val="fr-FR"/>
              </w:rPr>
              <w:t>32</w:t>
            </w:r>
          </w:p>
        </w:tc>
      </w:tr>
      <w:tr w:rsidR="00BF0619" w:rsidRPr="00DB2FE9" w14:paraId="27337037" w14:textId="77777777" w:rsidTr="00DB2FE9">
        <w:trPr>
          <w:cantSplit/>
        </w:trPr>
        <w:tc>
          <w:tcPr>
            <w:tcW w:w="2172" w:type="dxa"/>
            <w:tcBorders>
              <w:bottom w:val="single" w:sz="12" w:space="0" w:color="auto"/>
            </w:tcBorders>
            <w:shd w:val="clear" w:color="auto" w:fill="auto"/>
          </w:tcPr>
          <w:p w14:paraId="7C8C0A33" w14:textId="77777777" w:rsidR="00BF0619" w:rsidRPr="00DB2FE9" w:rsidRDefault="00BF0619" w:rsidP="00DB2FE9">
            <w:pPr>
              <w:suppressAutoHyphens w:val="0"/>
              <w:spacing w:before="40" w:after="40" w:line="220" w:lineRule="exact"/>
              <w:rPr>
                <w:noProof/>
                <w:sz w:val="18"/>
                <w:lang w:val="fr-FR"/>
              </w:rPr>
            </w:pPr>
            <w:r w:rsidRPr="00DB2FE9">
              <w:rPr>
                <w:noProof/>
                <w:sz w:val="18"/>
                <w:lang w:val="fr-FR"/>
              </w:rPr>
              <w:t>2016/2017</w:t>
            </w:r>
          </w:p>
        </w:tc>
        <w:tc>
          <w:tcPr>
            <w:tcW w:w="5198" w:type="dxa"/>
            <w:tcBorders>
              <w:bottom w:val="single" w:sz="12" w:space="0" w:color="auto"/>
            </w:tcBorders>
            <w:shd w:val="clear" w:color="auto" w:fill="auto"/>
            <w:vAlign w:val="bottom"/>
          </w:tcPr>
          <w:p w14:paraId="2370532B" w14:textId="77777777" w:rsidR="00BF0619" w:rsidRPr="00DB2FE9" w:rsidRDefault="00BF0619" w:rsidP="00DB2FE9">
            <w:pPr>
              <w:suppressAutoHyphens w:val="0"/>
              <w:spacing w:before="40" w:after="40" w:line="220" w:lineRule="exact"/>
              <w:jc w:val="right"/>
              <w:rPr>
                <w:noProof/>
                <w:sz w:val="18"/>
                <w:lang w:val="fr-FR"/>
              </w:rPr>
            </w:pPr>
            <w:r w:rsidRPr="00DB2FE9">
              <w:rPr>
                <w:noProof/>
                <w:sz w:val="18"/>
                <w:lang w:val="fr-FR"/>
              </w:rPr>
              <w:t>28</w:t>
            </w:r>
          </w:p>
        </w:tc>
      </w:tr>
    </w:tbl>
    <w:p w14:paraId="7B64AE6A" w14:textId="77777777" w:rsidR="00BF0619" w:rsidRPr="00AF434B" w:rsidRDefault="00BF0619" w:rsidP="00BF0619">
      <w:pPr>
        <w:pStyle w:val="SingleTxtG"/>
        <w:spacing w:before="240"/>
        <w:rPr>
          <w:noProof/>
          <w:lang w:val="fr-FR"/>
        </w:rPr>
      </w:pPr>
      <w:r w:rsidRPr="00AF434B">
        <w:rPr>
          <w:noProof/>
          <w:lang w:val="fr-FR"/>
        </w:rPr>
        <w:t>90.</w:t>
      </w:r>
      <w:r w:rsidRPr="00AF434B">
        <w:rPr>
          <w:noProof/>
          <w:lang w:val="fr-FR"/>
        </w:rPr>
        <w:tab/>
      </w:r>
      <w:r>
        <w:rPr>
          <w:noProof/>
          <w:lang w:val="fr-FR"/>
        </w:rPr>
        <w:t xml:space="preserve">Le Programme Réseau d’écoles pour l’éducation interculturelle est une </w:t>
      </w:r>
      <w:r w:rsidRPr="00AF434B">
        <w:rPr>
          <w:noProof/>
          <w:lang w:val="fr-FR"/>
        </w:rPr>
        <w:t xml:space="preserve">initiative </w:t>
      </w:r>
      <w:r>
        <w:rPr>
          <w:noProof/>
          <w:lang w:val="fr-FR"/>
        </w:rPr>
        <w:t xml:space="preserve">conjointe de la Direction générale de l’enseignement, du Haut-Commissariat pour les migrations et de la Fondation </w:t>
      </w:r>
      <w:r w:rsidRPr="00AF434B">
        <w:rPr>
          <w:noProof/>
          <w:lang w:val="fr-FR"/>
        </w:rPr>
        <w:t xml:space="preserve">Aga Khan </w:t>
      </w:r>
      <w:r>
        <w:rPr>
          <w:noProof/>
          <w:lang w:val="fr-FR"/>
        </w:rPr>
        <w:t>au Portugal</w:t>
      </w:r>
      <w:r w:rsidRPr="00AF434B">
        <w:rPr>
          <w:noProof/>
          <w:lang w:val="fr-FR"/>
        </w:rPr>
        <w:t xml:space="preserve">. </w:t>
      </w:r>
      <w:r>
        <w:rPr>
          <w:noProof/>
          <w:lang w:val="fr-FR"/>
        </w:rPr>
        <w:t xml:space="preserve">Ce </w:t>
      </w:r>
      <w:r w:rsidRPr="00AF434B">
        <w:rPr>
          <w:noProof/>
          <w:lang w:val="fr-FR"/>
        </w:rPr>
        <w:t xml:space="preserve">Programme </w:t>
      </w:r>
      <w:r>
        <w:rPr>
          <w:noProof/>
          <w:lang w:val="fr-FR"/>
        </w:rPr>
        <w:t>met en place un réseau d’écoles qui promeuvent le respect des différences, reconnaissent la richesse de la diversité et, de ce fait, font leurs principes fondamentaux de l’éducation interculturelle</w:t>
      </w:r>
      <w:r w:rsidRPr="00AF434B">
        <w:rPr>
          <w:noProof/>
          <w:lang w:val="fr-FR"/>
        </w:rPr>
        <w:t xml:space="preserve">. </w:t>
      </w:r>
      <w:r>
        <w:rPr>
          <w:noProof/>
          <w:lang w:val="fr-FR"/>
        </w:rPr>
        <w:t>Pour l’essentiel, ce Programme s’assure que le programme d’études, la culture de l’établissement et les liens avec la communauté valorisent bien la diversité</w:t>
      </w:r>
      <w:r w:rsidRPr="00AF434B">
        <w:rPr>
          <w:noProof/>
          <w:lang w:val="fr-FR"/>
        </w:rPr>
        <w:t xml:space="preserve">. </w:t>
      </w:r>
      <w:r>
        <w:rPr>
          <w:noProof/>
          <w:lang w:val="fr-FR"/>
        </w:rPr>
        <w:t>Les trois partenaires susmentionnés ont organisé plusieurs réunions du Réseau pour permettre aux écoles d’approfondir leur réflexion sur leur pratique et d’échanger leurs expériences et de coopérer entre elles</w:t>
      </w:r>
      <w:r w:rsidRPr="00AF434B">
        <w:rPr>
          <w:noProof/>
          <w:lang w:val="fr-FR"/>
        </w:rPr>
        <w:t xml:space="preserve">. </w:t>
      </w:r>
      <w:r>
        <w:rPr>
          <w:noProof/>
          <w:lang w:val="fr-FR"/>
        </w:rPr>
        <w:t xml:space="preserve">La phase pilote de ce </w:t>
      </w:r>
      <w:r w:rsidRPr="00AF434B">
        <w:rPr>
          <w:noProof/>
          <w:lang w:val="fr-FR"/>
        </w:rPr>
        <w:t>Programme</w:t>
      </w:r>
      <w:r>
        <w:rPr>
          <w:noProof/>
          <w:lang w:val="fr-FR"/>
        </w:rPr>
        <w:t>, qui</w:t>
      </w:r>
      <w:r w:rsidRPr="00AF434B">
        <w:rPr>
          <w:noProof/>
          <w:lang w:val="fr-FR"/>
        </w:rPr>
        <w:t xml:space="preserve"> </w:t>
      </w:r>
      <w:r>
        <w:rPr>
          <w:noProof/>
          <w:lang w:val="fr-FR"/>
        </w:rPr>
        <w:t xml:space="preserve">se déroule pendant les années scolaires </w:t>
      </w:r>
      <w:r w:rsidRPr="00AF434B">
        <w:rPr>
          <w:noProof/>
          <w:lang w:val="fr-FR"/>
        </w:rPr>
        <w:t xml:space="preserve">2016/2017, 2017/2018 </w:t>
      </w:r>
      <w:r>
        <w:rPr>
          <w:noProof/>
          <w:lang w:val="fr-FR"/>
        </w:rPr>
        <w:t>et</w:t>
      </w:r>
      <w:r w:rsidRPr="00AF434B">
        <w:rPr>
          <w:noProof/>
          <w:lang w:val="fr-FR"/>
        </w:rPr>
        <w:t xml:space="preserve"> 2018/2019, </w:t>
      </w:r>
      <w:r>
        <w:rPr>
          <w:noProof/>
          <w:lang w:val="fr-FR"/>
        </w:rPr>
        <w:t xml:space="preserve">concerne </w:t>
      </w:r>
      <w:r w:rsidRPr="00AF434B">
        <w:rPr>
          <w:noProof/>
          <w:lang w:val="fr-FR"/>
        </w:rPr>
        <w:t>23</w:t>
      </w:r>
      <w:r w:rsidR="00DB2FE9">
        <w:rPr>
          <w:noProof/>
          <w:lang w:val="fr-FR"/>
        </w:rPr>
        <w:t> </w:t>
      </w:r>
      <w:r>
        <w:rPr>
          <w:noProof/>
          <w:lang w:val="fr-FR"/>
        </w:rPr>
        <w:t>groupements d’écoles ou écoles qui ont déjà été associée</w:t>
      </w:r>
      <w:r w:rsidR="005A717F">
        <w:rPr>
          <w:noProof/>
          <w:lang w:val="fr-FR"/>
        </w:rPr>
        <w:t>s</w:t>
      </w:r>
      <w:r>
        <w:rPr>
          <w:noProof/>
          <w:lang w:val="fr-FR"/>
        </w:rPr>
        <w:t xml:space="preserve"> à l’initiative du label École i</w:t>
      </w:r>
      <w:r w:rsidRPr="00AF434B">
        <w:rPr>
          <w:noProof/>
          <w:lang w:val="fr-FR"/>
        </w:rPr>
        <w:t>ntercultur</w:t>
      </w:r>
      <w:r>
        <w:rPr>
          <w:noProof/>
          <w:lang w:val="fr-FR"/>
        </w:rPr>
        <w:t>elle</w:t>
      </w:r>
      <w:r w:rsidRPr="00AF434B">
        <w:rPr>
          <w:noProof/>
          <w:lang w:val="fr-FR"/>
        </w:rPr>
        <w:t>.</w:t>
      </w:r>
    </w:p>
    <w:p w14:paraId="608420CD" w14:textId="77777777" w:rsidR="00BF0619" w:rsidRPr="00AF434B" w:rsidRDefault="00BF0619" w:rsidP="00BF0619">
      <w:pPr>
        <w:pStyle w:val="SingleTxtG"/>
        <w:rPr>
          <w:noProof/>
          <w:lang w:val="fr-FR"/>
        </w:rPr>
      </w:pPr>
      <w:r w:rsidRPr="00AF434B">
        <w:rPr>
          <w:noProof/>
          <w:lang w:val="fr-FR"/>
        </w:rPr>
        <w:t>91.</w:t>
      </w:r>
      <w:r w:rsidRPr="00AF434B">
        <w:rPr>
          <w:noProof/>
          <w:lang w:val="fr-FR"/>
        </w:rPr>
        <w:tab/>
      </w:r>
      <w:r>
        <w:rPr>
          <w:noProof/>
          <w:lang w:val="fr-FR"/>
        </w:rPr>
        <w:t>Dans le cadre de l’exécution des éditions du Plan national pour l’égalité des sexes, la citoyenneté et la n</w:t>
      </w:r>
      <w:r w:rsidRPr="00AF434B">
        <w:rPr>
          <w:noProof/>
          <w:lang w:val="fr-FR"/>
        </w:rPr>
        <w:t>on-</w:t>
      </w:r>
      <w:r>
        <w:rPr>
          <w:noProof/>
          <w:lang w:val="fr-FR"/>
        </w:rPr>
        <w:t>d</w:t>
      </w:r>
      <w:r w:rsidRPr="00AF434B">
        <w:rPr>
          <w:noProof/>
          <w:lang w:val="fr-FR"/>
        </w:rPr>
        <w:t xml:space="preserve">iscrimination </w:t>
      </w:r>
      <w:r>
        <w:rPr>
          <w:noProof/>
          <w:lang w:val="fr-FR"/>
        </w:rPr>
        <w:t xml:space="preserve">de </w:t>
      </w:r>
      <w:r w:rsidRPr="00AF434B">
        <w:rPr>
          <w:noProof/>
          <w:lang w:val="fr-FR"/>
        </w:rPr>
        <w:t>2011</w:t>
      </w:r>
      <w:r>
        <w:rPr>
          <w:noProof/>
          <w:lang w:val="fr-FR"/>
        </w:rPr>
        <w:t>-</w:t>
      </w:r>
      <w:r w:rsidRPr="00AF434B">
        <w:rPr>
          <w:noProof/>
          <w:lang w:val="fr-FR"/>
        </w:rPr>
        <w:t>2013</w:t>
      </w:r>
      <w:r>
        <w:rPr>
          <w:noProof/>
          <w:lang w:val="fr-FR"/>
        </w:rPr>
        <w:t xml:space="preserve"> et de </w:t>
      </w:r>
      <w:r w:rsidRPr="00AF434B">
        <w:rPr>
          <w:noProof/>
          <w:lang w:val="fr-FR"/>
        </w:rPr>
        <w:t>2014</w:t>
      </w:r>
      <w:r>
        <w:rPr>
          <w:noProof/>
          <w:lang w:val="fr-FR"/>
        </w:rPr>
        <w:t>-</w:t>
      </w:r>
      <w:r w:rsidRPr="00AF434B">
        <w:rPr>
          <w:noProof/>
          <w:lang w:val="fr-FR"/>
        </w:rPr>
        <w:t xml:space="preserve">2017, </w:t>
      </w:r>
      <w:r>
        <w:rPr>
          <w:noProof/>
          <w:lang w:val="fr-FR"/>
        </w:rPr>
        <w:t>la Direction générale de l’enseignement</w:t>
      </w:r>
      <w:r w:rsidRPr="00AF434B">
        <w:rPr>
          <w:noProof/>
          <w:lang w:val="fr-FR"/>
        </w:rPr>
        <w:t xml:space="preserve"> </w:t>
      </w:r>
      <w:r>
        <w:rPr>
          <w:noProof/>
          <w:lang w:val="fr-FR"/>
        </w:rPr>
        <w:t xml:space="preserve"> a mené à bien les mesures suivantes</w:t>
      </w:r>
      <w:r w:rsidR="00DB2FE9">
        <w:rPr>
          <w:noProof/>
          <w:lang w:val="fr-FR"/>
        </w:rPr>
        <w:t> :</w:t>
      </w:r>
    </w:p>
    <w:p w14:paraId="47EB41E6"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 xml:space="preserve">Production </w:t>
      </w:r>
      <w:r>
        <w:rPr>
          <w:noProof/>
          <w:lang w:val="fr-FR"/>
        </w:rPr>
        <w:t>de matériels didactiques relatifs à l’égalité des sexes et à la citoyenneté</w:t>
      </w:r>
      <w:r w:rsidRPr="00AF434B">
        <w:rPr>
          <w:noProof/>
          <w:lang w:val="fr-FR"/>
        </w:rPr>
        <w:t xml:space="preserve">, </w:t>
      </w:r>
      <w:r>
        <w:rPr>
          <w:noProof/>
          <w:lang w:val="fr-FR"/>
        </w:rPr>
        <w:t>à savoir quatre directives en matière d’éducation, d’égalité des sexes et de citoyenneté à appliquer dans l’enseignement préscolaire et dans les premier, deuxième et troisième cycles de l’enseignement de base</w:t>
      </w:r>
      <w:r w:rsidR="00DB2FE9">
        <w:rPr>
          <w:noProof/>
          <w:lang w:val="fr-FR"/>
        </w:rPr>
        <w:t> ;</w:t>
      </w:r>
    </w:p>
    <w:p w14:paraId="274BDDD6"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Promotion, di</w:t>
      </w:r>
      <w:r>
        <w:rPr>
          <w:noProof/>
          <w:lang w:val="fr-FR"/>
        </w:rPr>
        <w:t>ffusion et utilisation de supports pédagogiques grâce à une formation des enseignants en contexte et axée sur le travail autonome et pratique</w:t>
      </w:r>
      <w:r w:rsidR="00DB2FE9">
        <w:rPr>
          <w:noProof/>
          <w:lang w:val="fr-FR"/>
        </w:rPr>
        <w:t> :</w:t>
      </w:r>
    </w:p>
    <w:p w14:paraId="248A26F2"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Cinq groupes ont associé sept groupements d’écoles en </w:t>
      </w:r>
      <w:r w:rsidRPr="00AF434B">
        <w:rPr>
          <w:noProof/>
          <w:lang w:val="fr-FR"/>
        </w:rPr>
        <w:t xml:space="preserve">2011 </w:t>
      </w:r>
      <w:r>
        <w:rPr>
          <w:noProof/>
          <w:lang w:val="fr-FR"/>
        </w:rPr>
        <w:t xml:space="preserve">et </w:t>
      </w:r>
      <w:r w:rsidRPr="00AF434B">
        <w:rPr>
          <w:noProof/>
          <w:lang w:val="fr-FR"/>
        </w:rPr>
        <w:t>10 group</w:t>
      </w:r>
      <w:r>
        <w:rPr>
          <w:noProof/>
          <w:lang w:val="fr-FR"/>
        </w:rPr>
        <w:t>e</w:t>
      </w:r>
      <w:r w:rsidRPr="00AF434B">
        <w:rPr>
          <w:noProof/>
          <w:lang w:val="fr-FR"/>
        </w:rPr>
        <w:t xml:space="preserve">s </w:t>
      </w:r>
      <w:r>
        <w:rPr>
          <w:noProof/>
          <w:lang w:val="fr-FR"/>
        </w:rPr>
        <w:t xml:space="preserve">ont associé </w:t>
      </w:r>
      <w:r w:rsidRPr="00AF434B">
        <w:rPr>
          <w:noProof/>
          <w:lang w:val="fr-FR"/>
        </w:rPr>
        <w:t xml:space="preserve">11 </w:t>
      </w:r>
      <w:r>
        <w:rPr>
          <w:noProof/>
          <w:lang w:val="fr-FR"/>
        </w:rPr>
        <w:t xml:space="preserve">groupements d’écoles en </w:t>
      </w:r>
      <w:r w:rsidRPr="00AF434B">
        <w:rPr>
          <w:noProof/>
          <w:lang w:val="fr-FR"/>
        </w:rPr>
        <w:t>2013</w:t>
      </w:r>
      <w:r w:rsidR="00DB2FE9">
        <w:rPr>
          <w:noProof/>
          <w:lang w:val="fr-FR"/>
        </w:rPr>
        <w:t> ;</w:t>
      </w:r>
    </w:p>
    <w:p w14:paraId="6304E156"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Un atelier de formation permanente a été organisé sur le thème « Éducation, genre et citoyenneté »</w:t>
      </w:r>
      <w:r w:rsidR="005A717F">
        <w:rPr>
          <w:noProof/>
          <w:lang w:val="fr-FR"/>
        </w:rPr>
        <w:t> </w:t>
      </w:r>
      <w:r>
        <w:rPr>
          <w:noProof/>
          <w:lang w:val="fr-FR"/>
        </w:rPr>
        <w:t xml:space="preserve">; </w:t>
      </w:r>
      <w:r w:rsidRPr="00AF434B">
        <w:rPr>
          <w:noProof/>
          <w:lang w:val="fr-FR"/>
        </w:rPr>
        <w:t xml:space="preserve">10 classes </w:t>
      </w:r>
      <w:r>
        <w:rPr>
          <w:noProof/>
          <w:lang w:val="fr-FR"/>
        </w:rPr>
        <w:t xml:space="preserve">ont eu lieu en </w:t>
      </w:r>
      <w:r w:rsidRPr="00AF434B">
        <w:rPr>
          <w:noProof/>
          <w:lang w:val="fr-FR"/>
        </w:rPr>
        <w:t>2015</w:t>
      </w:r>
      <w:r w:rsidR="00DB2FE9">
        <w:rPr>
          <w:noProof/>
          <w:lang w:val="fr-FR"/>
        </w:rPr>
        <w:t> ;</w:t>
      </w:r>
    </w:p>
    <w:p w14:paraId="4D458EC3"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 xml:space="preserve">Un atelier de formation permanente a été organisé en 2017 sur le thème « Éducation, genre et citoyenneté » à l’intention de </w:t>
      </w:r>
      <w:r w:rsidRPr="00AF434B">
        <w:rPr>
          <w:noProof/>
          <w:lang w:val="fr-FR"/>
        </w:rPr>
        <w:t>10</w:t>
      </w:r>
      <w:r w:rsidR="00DB2FE9">
        <w:rPr>
          <w:noProof/>
          <w:lang w:val="fr-FR"/>
        </w:rPr>
        <w:t> </w:t>
      </w:r>
      <w:r>
        <w:rPr>
          <w:noProof/>
          <w:lang w:val="fr-FR"/>
        </w:rPr>
        <w:t>centres de formation d’associations scolaires</w:t>
      </w:r>
      <w:r w:rsidRPr="00AF434B">
        <w:rPr>
          <w:noProof/>
          <w:lang w:val="fr-FR"/>
        </w:rPr>
        <w:t xml:space="preserve">. </w:t>
      </w:r>
      <w:r>
        <w:rPr>
          <w:noProof/>
          <w:lang w:val="fr-FR"/>
        </w:rPr>
        <w:t>Ces ateliers de formation ont également examiné les questions liées à la traite des personnes et à la prévention de la violence au sein du couple, et ont sensibilisé à la pratique des mutilations génitales féminines</w:t>
      </w:r>
      <w:r w:rsidR="00DB2FE9">
        <w:rPr>
          <w:noProof/>
          <w:lang w:val="fr-FR"/>
        </w:rPr>
        <w:t> ;</w:t>
      </w:r>
    </w:p>
    <w:p w14:paraId="0082A59C" w14:textId="77777777" w:rsidR="00BF0619" w:rsidRPr="00AF434B" w:rsidRDefault="00BF0619" w:rsidP="00BF0619">
      <w:pPr>
        <w:pStyle w:val="Bullet2G"/>
        <w:numPr>
          <w:ilvl w:val="0"/>
          <w:numId w:val="0"/>
        </w:numPr>
        <w:tabs>
          <w:tab w:val="left" w:pos="2268"/>
        </w:tabs>
        <w:ind w:left="2268" w:hanging="170"/>
        <w:rPr>
          <w:noProof/>
          <w:lang w:val="fr-FR"/>
        </w:rPr>
      </w:pPr>
      <w:r w:rsidRPr="00AF434B">
        <w:rPr>
          <w:noProof/>
          <w:lang w:val="fr-FR"/>
        </w:rPr>
        <w:t>•</w:t>
      </w:r>
      <w:r w:rsidRPr="00AF434B">
        <w:rPr>
          <w:noProof/>
          <w:lang w:val="fr-FR"/>
        </w:rPr>
        <w:tab/>
      </w:r>
      <w:r>
        <w:rPr>
          <w:noProof/>
          <w:lang w:val="fr-FR"/>
        </w:rPr>
        <w:t>Trois ateliers ont été organisés à l’intention d’élèves de 9</w:t>
      </w:r>
      <w:r w:rsidRPr="00F25DCC">
        <w:rPr>
          <w:noProof/>
          <w:vertAlign w:val="superscript"/>
          <w:lang w:val="fr-FR"/>
        </w:rPr>
        <w:t>e</w:t>
      </w:r>
      <w:r>
        <w:rPr>
          <w:noProof/>
          <w:lang w:val="fr-FR"/>
        </w:rPr>
        <w:t xml:space="preserve"> année sur les thèmes suivants</w:t>
      </w:r>
      <w:r w:rsidR="00DB2FE9">
        <w:rPr>
          <w:noProof/>
          <w:lang w:val="fr-FR"/>
        </w:rPr>
        <w:t> </w:t>
      </w:r>
      <w:r w:rsidRPr="00AF434B">
        <w:rPr>
          <w:noProof/>
          <w:lang w:val="fr-FR"/>
        </w:rPr>
        <w:t xml:space="preserve">: </w:t>
      </w:r>
      <w:r>
        <w:rPr>
          <w:noProof/>
          <w:lang w:val="fr-FR"/>
        </w:rPr>
        <w:t xml:space="preserve">« Éducation, genre et citoyenneté » </w:t>
      </w:r>
      <w:r w:rsidRPr="00AF434B">
        <w:rPr>
          <w:noProof/>
          <w:lang w:val="fr-FR"/>
        </w:rPr>
        <w:t>(</w:t>
      </w:r>
      <w:r>
        <w:rPr>
          <w:noProof/>
          <w:lang w:val="fr-FR"/>
        </w:rPr>
        <w:t>e</w:t>
      </w:r>
      <w:r w:rsidRPr="00AF434B">
        <w:rPr>
          <w:noProof/>
          <w:lang w:val="fr-FR"/>
        </w:rPr>
        <w:t>n 2015)</w:t>
      </w:r>
      <w:r w:rsidR="005A717F">
        <w:rPr>
          <w:noProof/>
          <w:lang w:val="fr-FR"/>
        </w:rPr>
        <w:t> </w:t>
      </w:r>
      <w:r w:rsidRPr="00AF434B">
        <w:rPr>
          <w:noProof/>
          <w:lang w:val="fr-FR"/>
        </w:rPr>
        <w:t xml:space="preserve">; </w:t>
      </w:r>
      <w:r>
        <w:rPr>
          <w:noProof/>
          <w:lang w:val="fr-FR"/>
        </w:rPr>
        <w:t>« </w:t>
      </w:r>
      <w:r w:rsidRPr="00AF434B">
        <w:rPr>
          <w:noProof/>
          <w:lang w:val="fr-FR"/>
        </w:rPr>
        <w:t>S</w:t>
      </w:r>
      <w:r>
        <w:rPr>
          <w:noProof/>
          <w:lang w:val="fr-FR"/>
        </w:rPr>
        <w:t>é</w:t>
      </w:r>
      <w:r w:rsidRPr="00AF434B">
        <w:rPr>
          <w:noProof/>
          <w:lang w:val="fr-FR"/>
        </w:rPr>
        <w:t>gr</w:t>
      </w:r>
      <w:r>
        <w:rPr>
          <w:noProof/>
          <w:lang w:val="fr-FR"/>
        </w:rPr>
        <w:t>é</w:t>
      </w:r>
      <w:r w:rsidRPr="00AF434B">
        <w:rPr>
          <w:noProof/>
          <w:lang w:val="fr-FR"/>
        </w:rPr>
        <w:t>gation</w:t>
      </w:r>
      <w:r>
        <w:rPr>
          <w:noProof/>
          <w:lang w:val="fr-FR"/>
        </w:rPr>
        <w:t> »</w:t>
      </w:r>
      <w:r w:rsidRPr="00AF434B">
        <w:rPr>
          <w:noProof/>
          <w:lang w:val="fr-FR"/>
        </w:rPr>
        <w:t xml:space="preserve"> (</w:t>
      </w:r>
      <w:r>
        <w:rPr>
          <w:noProof/>
          <w:lang w:val="fr-FR"/>
        </w:rPr>
        <w:t>e</w:t>
      </w:r>
      <w:r w:rsidRPr="00AF434B">
        <w:rPr>
          <w:noProof/>
          <w:lang w:val="fr-FR"/>
        </w:rPr>
        <w:t>n 2016)</w:t>
      </w:r>
      <w:r w:rsidR="005A717F">
        <w:rPr>
          <w:noProof/>
          <w:lang w:val="fr-FR"/>
        </w:rPr>
        <w:t> </w:t>
      </w:r>
      <w:r w:rsidRPr="00AF434B">
        <w:rPr>
          <w:noProof/>
          <w:lang w:val="fr-FR"/>
        </w:rPr>
        <w:t xml:space="preserve">; </w:t>
      </w:r>
      <w:r>
        <w:rPr>
          <w:noProof/>
          <w:lang w:val="fr-FR"/>
        </w:rPr>
        <w:t xml:space="preserve">et « Au fait, sommes-nous tous égaux ? » </w:t>
      </w:r>
      <w:r w:rsidRPr="00AF434B">
        <w:rPr>
          <w:noProof/>
          <w:lang w:val="fr-FR"/>
        </w:rPr>
        <w:t>(</w:t>
      </w:r>
      <w:r>
        <w:rPr>
          <w:noProof/>
          <w:lang w:val="fr-FR"/>
        </w:rPr>
        <w:t>e</w:t>
      </w:r>
      <w:r w:rsidRPr="00AF434B">
        <w:rPr>
          <w:noProof/>
          <w:lang w:val="fr-FR"/>
        </w:rPr>
        <w:t>n</w:t>
      </w:r>
      <w:r w:rsidR="00DB2FE9">
        <w:rPr>
          <w:noProof/>
          <w:lang w:val="fr-FR"/>
        </w:rPr>
        <w:t> </w:t>
      </w:r>
      <w:r w:rsidRPr="00AF434B">
        <w:rPr>
          <w:noProof/>
          <w:lang w:val="fr-FR"/>
        </w:rPr>
        <w:t xml:space="preserve">2017). </w:t>
      </w:r>
      <w:r>
        <w:rPr>
          <w:noProof/>
          <w:lang w:val="fr-FR"/>
        </w:rPr>
        <w:t xml:space="preserve">Deux webinaires ont été organisés sur « Les schémas symboliques et la </w:t>
      </w:r>
      <w:r w:rsidRPr="00AF434B">
        <w:rPr>
          <w:noProof/>
          <w:lang w:val="fr-FR"/>
        </w:rPr>
        <w:t>discrimination</w:t>
      </w:r>
      <w:r>
        <w:rPr>
          <w:noProof/>
          <w:lang w:val="fr-FR"/>
        </w:rPr>
        <w:t> »</w:t>
      </w:r>
      <w:r w:rsidRPr="00AF434B">
        <w:rPr>
          <w:noProof/>
          <w:lang w:val="fr-FR"/>
        </w:rPr>
        <w:t xml:space="preserve"> (2016) </w:t>
      </w:r>
      <w:r>
        <w:rPr>
          <w:noProof/>
          <w:lang w:val="fr-FR"/>
        </w:rPr>
        <w:t>et</w:t>
      </w:r>
      <w:r w:rsidRPr="00AF434B">
        <w:rPr>
          <w:noProof/>
          <w:lang w:val="fr-FR"/>
        </w:rPr>
        <w:t xml:space="preserve"> </w:t>
      </w:r>
      <w:r>
        <w:rPr>
          <w:noProof/>
          <w:lang w:val="fr-FR"/>
        </w:rPr>
        <w:t>« Les associations et les droits des femmes »</w:t>
      </w:r>
      <w:r w:rsidRPr="00AF434B">
        <w:rPr>
          <w:noProof/>
          <w:lang w:val="fr-FR"/>
        </w:rPr>
        <w:t xml:space="preserve"> (2017). </w:t>
      </w:r>
      <w:r>
        <w:rPr>
          <w:noProof/>
          <w:lang w:val="fr-FR"/>
        </w:rPr>
        <w:t xml:space="preserve">Des partenariats ont été conclus avec des institutions privées pour élaborer des projets relevant de ce champ thématique </w:t>
      </w:r>
      <w:r w:rsidRPr="00AF434B">
        <w:rPr>
          <w:noProof/>
          <w:lang w:val="fr-FR"/>
        </w:rPr>
        <w:t>(</w:t>
      </w:r>
      <w:r w:rsidRPr="005A717F">
        <w:rPr>
          <w:i/>
          <w:noProof/>
          <w:lang w:val="fr-FR"/>
        </w:rPr>
        <w:t>Associação Corações com Coroa et Capazes Associação Feminista</w:t>
      </w:r>
      <w:r w:rsidRPr="00AF434B">
        <w:rPr>
          <w:noProof/>
          <w:lang w:val="fr-FR"/>
        </w:rPr>
        <w:t>).</w:t>
      </w:r>
    </w:p>
    <w:p w14:paraId="2F181230" w14:textId="77777777" w:rsidR="00BF0619" w:rsidRPr="00AF434B" w:rsidRDefault="00BF0619" w:rsidP="00BF0619">
      <w:pPr>
        <w:pStyle w:val="SingleTxtG"/>
        <w:rPr>
          <w:noProof/>
          <w:lang w:val="fr-FR"/>
        </w:rPr>
      </w:pPr>
      <w:r w:rsidRPr="00AF434B">
        <w:rPr>
          <w:noProof/>
          <w:lang w:val="fr-FR"/>
        </w:rPr>
        <w:t>92.</w:t>
      </w:r>
      <w:r w:rsidRPr="00AF434B">
        <w:rPr>
          <w:noProof/>
          <w:lang w:val="fr-FR"/>
        </w:rPr>
        <w:tab/>
      </w:r>
      <w:r>
        <w:rPr>
          <w:noProof/>
          <w:lang w:val="fr-FR"/>
        </w:rPr>
        <w:t>La Direction générale de l’enseignement</w:t>
      </w:r>
      <w:r w:rsidRPr="00AF434B">
        <w:rPr>
          <w:noProof/>
          <w:lang w:val="fr-FR"/>
        </w:rPr>
        <w:t xml:space="preserve"> </w:t>
      </w:r>
      <w:r>
        <w:rPr>
          <w:noProof/>
          <w:lang w:val="fr-FR"/>
        </w:rPr>
        <w:t>est membre de la Commission de suivi de la Stratégie nationale en faveur de l’égalité et de la non-discrimination</w:t>
      </w:r>
      <w:r w:rsidRPr="00AF434B">
        <w:rPr>
          <w:noProof/>
          <w:lang w:val="fr-FR"/>
        </w:rPr>
        <w:t xml:space="preserve">, </w:t>
      </w:r>
      <w:r>
        <w:rPr>
          <w:noProof/>
          <w:lang w:val="fr-FR"/>
        </w:rPr>
        <w:t xml:space="preserve">qui met l’accent sur l’objectif stratégique </w:t>
      </w:r>
      <w:r w:rsidR="00DB2FE9">
        <w:rPr>
          <w:noProof/>
          <w:lang w:val="fr-FR"/>
        </w:rPr>
        <w:t>− </w:t>
      </w:r>
      <w:r>
        <w:rPr>
          <w:noProof/>
          <w:lang w:val="fr-FR"/>
        </w:rPr>
        <w:t>consistant à garantir les conditions d’une éducation et d’une formation sans stéréotypes sexistes</w:t>
      </w:r>
      <w:r w:rsidR="00DB2FE9">
        <w:rPr>
          <w:noProof/>
          <w:lang w:val="fr-FR"/>
        </w:rPr>
        <w:t> −</w:t>
      </w:r>
      <w:r>
        <w:rPr>
          <w:noProof/>
          <w:lang w:val="fr-FR"/>
        </w:rPr>
        <w:t xml:space="preserve"> en favorisant une éducation scolaire sans stéréotypes sexistes pour les filles et les garçons, en mettant en place des mesures </w:t>
      </w:r>
      <w:r w:rsidRPr="00AF434B">
        <w:rPr>
          <w:noProof/>
          <w:lang w:val="fr-FR"/>
        </w:rPr>
        <w:t>collective</w:t>
      </w:r>
      <w:r>
        <w:rPr>
          <w:noProof/>
          <w:lang w:val="fr-FR"/>
        </w:rPr>
        <w:t>s</w:t>
      </w:r>
      <w:r w:rsidRPr="00AF434B">
        <w:rPr>
          <w:noProof/>
          <w:lang w:val="fr-FR"/>
        </w:rPr>
        <w:t xml:space="preserve"> </w:t>
      </w:r>
      <w:r>
        <w:rPr>
          <w:noProof/>
          <w:lang w:val="fr-FR"/>
        </w:rPr>
        <w:t>et</w:t>
      </w:r>
      <w:r w:rsidRPr="00AF434B">
        <w:rPr>
          <w:noProof/>
          <w:lang w:val="fr-FR"/>
        </w:rPr>
        <w:t xml:space="preserve"> </w:t>
      </w:r>
      <w:r>
        <w:rPr>
          <w:noProof/>
          <w:lang w:val="fr-FR"/>
        </w:rPr>
        <w:t xml:space="preserve">institutionnelles qui </w:t>
      </w:r>
      <w:r w:rsidRPr="00AF434B">
        <w:rPr>
          <w:noProof/>
          <w:lang w:val="fr-FR"/>
        </w:rPr>
        <w:t>garant</w:t>
      </w:r>
      <w:r>
        <w:rPr>
          <w:noProof/>
          <w:lang w:val="fr-FR"/>
        </w:rPr>
        <w:t>issent l’expé</w:t>
      </w:r>
      <w:r w:rsidRPr="00AF434B">
        <w:rPr>
          <w:noProof/>
          <w:lang w:val="fr-FR"/>
        </w:rPr>
        <w:t xml:space="preserve">rience </w:t>
      </w:r>
      <w:r>
        <w:rPr>
          <w:noProof/>
          <w:lang w:val="fr-FR"/>
        </w:rPr>
        <w:t>de relations d’égalité entre les filles et les garçons dans les écoles et autres établissements d’enseignement, et en encourageant l’adoption de pratiques d’éducation formelle et non formelle qui promeuvent l’égalité entre les filles et les garçons</w:t>
      </w:r>
      <w:r w:rsidRPr="00AF434B">
        <w:rPr>
          <w:noProof/>
          <w:lang w:val="fr-FR"/>
        </w:rPr>
        <w:t>.</w:t>
      </w:r>
    </w:p>
    <w:p w14:paraId="497E7DFA" w14:textId="77777777" w:rsidR="00BF0619" w:rsidRPr="00AF434B" w:rsidRDefault="00BF0619" w:rsidP="00BF0619">
      <w:pPr>
        <w:pStyle w:val="SingleTxtG"/>
        <w:rPr>
          <w:noProof/>
          <w:lang w:val="fr-FR"/>
        </w:rPr>
      </w:pPr>
      <w:r>
        <w:rPr>
          <w:noProof/>
          <w:lang w:val="fr-FR"/>
        </w:rPr>
        <w:t>93.</w:t>
      </w:r>
      <w:r>
        <w:rPr>
          <w:noProof/>
          <w:lang w:val="fr-FR"/>
        </w:rPr>
        <w:tab/>
        <w:t xml:space="preserve">Une étude pilote à laquelle participent actuellement plusieurs ministères se propose d’élaborer un guide </w:t>
      </w:r>
      <w:r w:rsidRPr="00AF434B">
        <w:rPr>
          <w:noProof/>
          <w:lang w:val="fr-FR"/>
        </w:rPr>
        <w:t>m</w:t>
      </w:r>
      <w:r>
        <w:rPr>
          <w:noProof/>
          <w:lang w:val="fr-FR"/>
        </w:rPr>
        <w:t>é</w:t>
      </w:r>
      <w:r w:rsidRPr="00AF434B">
        <w:rPr>
          <w:noProof/>
          <w:lang w:val="fr-FR"/>
        </w:rPr>
        <w:t>thodologi</w:t>
      </w:r>
      <w:r>
        <w:rPr>
          <w:noProof/>
          <w:lang w:val="fr-FR"/>
        </w:rPr>
        <w:t>que devant permettre à l’État portugais d’étudier la portée de la dimension sexospécifique dans le budget de l’État</w:t>
      </w:r>
      <w:r w:rsidRPr="00AF434B">
        <w:rPr>
          <w:noProof/>
          <w:lang w:val="fr-FR"/>
        </w:rPr>
        <w:t>.</w:t>
      </w:r>
    </w:p>
    <w:p w14:paraId="14B3AA31" w14:textId="77777777" w:rsidR="00BF0619" w:rsidRPr="00AF434B" w:rsidRDefault="00BF0619" w:rsidP="00BF0619">
      <w:pPr>
        <w:pStyle w:val="SingleTxtG"/>
        <w:rPr>
          <w:noProof/>
          <w:lang w:val="fr-FR"/>
        </w:rPr>
      </w:pPr>
      <w:r w:rsidRPr="00AF434B">
        <w:rPr>
          <w:noProof/>
          <w:lang w:val="fr-FR"/>
        </w:rPr>
        <w:t>94.</w:t>
      </w:r>
      <w:r w:rsidRPr="00AF434B">
        <w:rPr>
          <w:noProof/>
          <w:lang w:val="fr-FR"/>
        </w:rPr>
        <w:tab/>
      </w:r>
      <w:r>
        <w:rPr>
          <w:noProof/>
          <w:lang w:val="fr-FR"/>
        </w:rPr>
        <w:t xml:space="preserve">En matière de </w:t>
      </w:r>
      <w:r w:rsidRPr="00AF434B">
        <w:rPr>
          <w:noProof/>
          <w:lang w:val="fr-FR"/>
        </w:rPr>
        <w:t>pr</w:t>
      </w:r>
      <w:r>
        <w:rPr>
          <w:noProof/>
          <w:lang w:val="fr-FR"/>
        </w:rPr>
        <w:t>é</w:t>
      </w:r>
      <w:r w:rsidRPr="00AF434B">
        <w:rPr>
          <w:noProof/>
          <w:lang w:val="fr-FR"/>
        </w:rPr>
        <w:t xml:space="preserve">vention </w:t>
      </w:r>
      <w:r>
        <w:rPr>
          <w:noProof/>
          <w:lang w:val="fr-FR"/>
        </w:rPr>
        <w:t xml:space="preserve">de la </w:t>
      </w:r>
      <w:r w:rsidRPr="00AF434B">
        <w:rPr>
          <w:noProof/>
          <w:lang w:val="fr-FR"/>
        </w:rPr>
        <w:t xml:space="preserve">discrimination, </w:t>
      </w:r>
      <w:r>
        <w:rPr>
          <w:noProof/>
          <w:lang w:val="fr-FR"/>
        </w:rPr>
        <w:t>s’agissant e</w:t>
      </w:r>
      <w:r w:rsidRPr="00AF434B">
        <w:rPr>
          <w:noProof/>
          <w:lang w:val="fr-FR"/>
        </w:rPr>
        <w:t>n particul</w:t>
      </w:r>
      <w:r>
        <w:rPr>
          <w:noProof/>
          <w:lang w:val="fr-FR"/>
        </w:rPr>
        <w:t>ie</w:t>
      </w:r>
      <w:r w:rsidRPr="00AF434B">
        <w:rPr>
          <w:noProof/>
          <w:lang w:val="fr-FR"/>
        </w:rPr>
        <w:t xml:space="preserve">r </w:t>
      </w:r>
      <w:r>
        <w:rPr>
          <w:noProof/>
          <w:lang w:val="fr-FR"/>
        </w:rPr>
        <w:t xml:space="preserve">des écoliers migrants ou d’origine rom, le décret-loi </w:t>
      </w:r>
      <w:r w:rsidR="00DB2FE9" w:rsidRPr="00DB2FE9">
        <w:rPr>
          <w:rFonts w:eastAsia="MS Mincho"/>
          <w:noProof/>
          <w:szCs w:val="22"/>
          <w:lang w:val="fr-FR"/>
        </w:rPr>
        <w:t>n</w:t>
      </w:r>
      <w:r w:rsidR="00DB2FE9" w:rsidRPr="00DB2FE9">
        <w:rPr>
          <w:rFonts w:eastAsia="MS Mincho"/>
          <w:noProof/>
          <w:szCs w:val="22"/>
          <w:vertAlign w:val="superscript"/>
          <w:lang w:val="fr-FR"/>
        </w:rPr>
        <w:t>o</w:t>
      </w:r>
      <w:r w:rsidR="00DB2FE9">
        <w:rPr>
          <w:noProof/>
          <w:lang w:val="fr-FR"/>
        </w:rPr>
        <w:t> </w:t>
      </w:r>
      <w:r w:rsidRPr="00AF434B">
        <w:rPr>
          <w:noProof/>
          <w:lang w:val="fr-FR"/>
        </w:rPr>
        <w:t>54/2008</w:t>
      </w:r>
      <w:r>
        <w:rPr>
          <w:noProof/>
          <w:lang w:val="fr-FR"/>
        </w:rPr>
        <w:t xml:space="preserve"> du </w:t>
      </w:r>
      <w:r w:rsidRPr="00AF434B">
        <w:rPr>
          <w:noProof/>
          <w:lang w:val="fr-FR"/>
        </w:rPr>
        <w:t>6</w:t>
      </w:r>
      <w:r w:rsidR="00DB2FE9">
        <w:rPr>
          <w:noProof/>
          <w:lang w:val="fr-FR"/>
        </w:rPr>
        <w:t> </w:t>
      </w:r>
      <w:r>
        <w:rPr>
          <w:noProof/>
          <w:lang w:val="fr-FR"/>
        </w:rPr>
        <w:t>juillet fixe les principes et les règles garantissant l’</w:t>
      </w:r>
      <w:r w:rsidRPr="00AF434B">
        <w:rPr>
          <w:noProof/>
          <w:lang w:val="fr-FR"/>
        </w:rPr>
        <w:t xml:space="preserve">inclusion, </w:t>
      </w:r>
      <w:r>
        <w:rPr>
          <w:noProof/>
          <w:lang w:val="fr-FR"/>
        </w:rPr>
        <w:t>en tant que processus visant à répondre à la diversité des besoins et du potentiel de chaque écolier, en</w:t>
      </w:r>
      <w:r w:rsidRPr="00AF434B">
        <w:rPr>
          <w:noProof/>
          <w:lang w:val="fr-FR"/>
        </w:rPr>
        <w:t xml:space="preserve"> </w:t>
      </w:r>
      <w:r>
        <w:rPr>
          <w:noProof/>
          <w:lang w:val="fr-FR"/>
        </w:rPr>
        <w:t xml:space="preserve">développant la </w:t>
      </w:r>
      <w:r w:rsidRPr="00AF434B">
        <w:rPr>
          <w:noProof/>
          <w:lang w:val="fr-FR"/>
        </w:rPr>
        <w:t xml:space="preserve">participation </w:t>
      </w:r>
      <w:r>
        <w:rPr>
          <w:noProof/>
          <w:lang w:val="fr-FR"/>
        </w:rPr>
        <w:t>aux processus d’apprentissage et à la vie de la communauté é</w:t>
      </w:r>
      <w:r w:rsidRPr="00AF434B">
        <w:rPr>
          <w:noProof/>
          <w:lang w:val="fr-FR"/>
        </w:rPr>
        <w:t>ducati</w:t>
      </w:r>
      <w:r>
        <w:rPr>
          <w:noProof/>
          <w:lang w:val="fr-FR"/>
        </w:rPr>
        <w:t>ve</w:t>
      </w:r>
      <w:r w:rsidRPr="00AF434B">
        <w:rPr>
          <w:noProof/>
          <w:lang w:val="fr-FR"/>
        </w:rPr>
        <w:t xml:space="preserve">. </w:t>
      </w:r>
      <w:r>
        <w:rPr>
          <w:noProof/>
          <w:lang w:val="fr-FR"/>
        </w:rPr>
        <w:t>Ce décret-loi recense les mesures à prendre à l’appui de l’apprentissage et de l’inclusion, les domaines d’apprentissage spécifiques et les ressources à mobiliser  pour répondre aux besoins éducatifs de chaque enfant et jeune tout au long de sa scolarité et dans toutes les matières et formations proposées</w:t>
      </w:r>
      <w:r w:rsidRPr="00AF434B">
        <w:rPr>
          <w:noProof/>
          <w:lang w:val="fr-FR"/>
        </w:rPr>
        <w:t>.</w:t>
      </w:r>
    </w:p>
    <w:p w14:paraId="4B94C4CF" w14:textId="77777777" w:rsidR="00BF0619" w:rsidRPr="00AF434B" w:rsidRDefault="00BF0619" w:rsidP="00DB2FE9">
      <w:pPr>
        <w:pStyle w:val="SingleTxtG"/>
        <w:keepNext/>
        <w:keepLines/>
        <w:rPr>
          <w:noProof/>
          <w:lang w:val="fr-FR"/>
        </w:rPr>
      </w:pPr>
      <w:r w:rsidRPr="00AF434B">
        <w:rPr>
          <w:noProof/>
          <w:lang w:val="fr-FR"/>
        </w:rPr>
        <w:t>95.</w:t>
      </w:r>
      <w:r w:rsidRPr="00AF434B">
        <w:rPr>
          <w:noProof/>
          <w:lang w:val="fr-FR"/>
        </w:rPr>
        <w:tab/>
      </w:r>
      <w:r>
        <w:rPr>
          <w:noProof/>
          <w:lang w:val="fr-FR"/>
        </w:rPr>
        <w:t xml:space="preserve">Autres </w:t>
      </w:r>
      <w:r w:rsidRPr="00AF434B">
        <w:rPr>
          <w:noProof/>
          <w:lang w:val="fr-FR"/>
        </w:rPr>
        <w:t>initiatives</w:t>
      </w:r>
      <w:r w:rsidR="00DB2FE9">
        <w:rPr>
          <w:noProof/>
          <w:lang w:val="fr-FR"/>
        </w:rPr>
        <w:t> :</w:t>
      </w:r>
    </w:p>
    <w:p w14:paraId="254F1D1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Au-delà des chiffres </w:t>
      </w:r>
      <w:r w:rsidR="00DB2FE9">
        <w:rPr>
          <w:noProof/>
          <w:lang w:val="fr-FR"/>
        </w:rPr>
        <w:t>− </w:t>
      </w:r>
      <w:r>
        <w:rPr>
          <w:noProof/>
          <w:lang w:val="fr-FR"/>
        </w:rPr>
        <w:t>Coffret didactique pour améliorer la connaissance des jeunes sur la m</w:t>
      </w:r>
      <w:r w:rsidRPr="00AF434B">
        <w:rPr>
          <w:noProof/>
          <w:lang w:val="fr-FR"/>
        </w:rPr>
        <w:t xml:space="preserve">igration </w:t>
      </w:r>
      <w:r>
        <w:rPr>
          <w:noProof/>
          <w:lang w:val="fr-FR"/>
        </w:rPr>
        <w:t>et l’asile dans l’Union européenne</w:t>
      </w:r>
      <w:r w:rsidRPr="00AF434B">
        <w:rPr>
          <w:noProof/>
          <w:lang w:val="fr-FR"/>
        </w:rPr>
        <w:t>.</w:t>
      </w:r>
    </w:p>
    <w:p w14:paraId="671B66F9" w14:textId="77777777" w:rsidR="00BF0619" w:rsidRPr="00AF434B" w:rsidRDefault="00BF0619" w:rsidP="00BF0619">
      <w:pPr>
        <w:pStyle w:val="SingleTxtG"/>
        <w:rPr>
          <w:noProof/>
          <w:lang w:val="fr-FR"/>
        </w:rPr>
      </w:pPr>
      <w:r w:rsidRPr="00AF434B">
        <w:rPr>
          <w:noProof/>
          <w:lang w:val="fr-FR"/>
        </w:rPr>
        <w:t>96.</w:t>
      </w:r>
      <w:r w:rsidRPr="00AF434B">
        <w:rPr>
          <w:noProof/>
          <w:lang w:val="fr-FR"/>
        </w:rPr>
        <w:tab/>
      </w:r>
      <w:r>
        <w:rPr>
          <w:noProof/>
          <w:lang w:val="fr-FR"/>
        </w:rPr>
        <w:t xml:space="preserve">« Au-delà des chiffres » est un outil didactique sur la </w:t>
      </w:r>
      <w:r w:rsidRPr="00AF434B">
        <w:rPr>
          <w:noProof/>
          <w:lang w:val="fr-FR"/>
        </w:rPr>
        <w:t xml:space="preserve">migration </w:t>
      </w:r>
      <w:r>
        <w:rPr>
          <w:noProof/>
          <w:lang w:val="fr-FR"/>
        </w:rPr>
        <w:t>et l’asile dans l’Union européenne produit par l’Organisation internationale pour les migrations (OIM) et le Haut-Commissariat des Nations Unies pour les réfugiés (HCR)</w:t>
      </w:r>
      <w:r w:rsidRPr="00AF434B">
        <w:rPr>
          <w:noProof/>
          <w:lang w:val="fr-FR"/>
        </w:rPr>
        <w:t xml:space="preserve">. </w:t>
      </w:r>
      <w:r>
        <w:rPr>
          <w:noProof/>
          <w:lang w:val="fr-FR"/>
        </w:rPr>
        <w:t>Il a été conçu pour aider les enseignants et les autres éducateurs à faire participer les jeunes à un débat constructif sur ce thème important</w:t>
      </w:r>
      <w:r w:rsidRPr="00AF434B">
        <w:rPr>
          <w:noProof/>
          <w:lang w:val="fr-FR"/>
        </w:rPr>
        <w:t xml:space="preserve">. </w:t>
      </w:r>
      <w:r>
        <w:rPr>
          <w:noProof/>
          <w:lang w:val="fr-FR"/>
        </w:rPr>
        <w:t>Il peut être utilisé avec des jeunes âgés de 12 à 18</w:t>
      </w:r>
      <w:r w:rsidR="00DB2FE9">
        <w:rPr>
          <w:noProof/>
          <w:lang w:val="fr-FR"/>
        </w:rPr>
        <w:t> </w:t>
      </w:r>
      <w:r>
        <w:rPr>
          <w:noProof/>
          <w:lang w:val="fr-FR"/>
        </w:rPr>
        <w:t>ans et est disponible en 20</w:t>
      </w:r>
      <w:r w:rsidR="00DB2FE9">
        <w:rPr>
          <w:noProof/>
          <w:lang w:val="fr-FR"/>
        </w:rPr>
        <w:t> </w:t>
      </w:r>
      <w:r>
        <w:rPr>
          <w:noProof/>
          <w:lang w:val="fr-FR"/>
        </w:rPr>
        <w:t>langues dans</w:t>
      </w:r>
      <w:r w:rsidRPr="00AF434B">
        <w:rPr>
          <w:noProof/>
          <w:lang w:val="fr-FR"/>
        </w:rPr>
        <w:t xml:space="preserve"> 24</w:t>
      </w:r>
      <w:r w:rsidR="00DB2FE9">
        <w:rPr>
          <w:noProof/>
          <w:lang w:val="fr-FR"/>
        </w:rPr>
        <w:t> </w:t>
      </w:r>
      <w:r>
        <w:rPr>
          <w:noProof/>
          <w:lang w:val="fr-FR"/>
        </w:rPr>
        <w:t>États membres de l’Union européenne</w:t>
      </w:r>
      <w:r w:rsidRPr="00AF434B">
        <w:rPr>
          <w:noProof/>
          <w:lang w:val="fr-FR"/>
        </w:rPr>
        <w:t xml:space="preserve">. </w:t>
      </w:r>
      <w:r>
        <w:rPr>
          <w:noProof/>
          <w:lang w:val="fr-FR"/>
        </w:rPr>
        <w:t>La version portugaise révisée et adaptée est le fruit de la collaboration du Haut-Commissariat pour les migrations et de la Direction générale de l’enseignement</w:t>
      </w:r>
      <w:r w:rsidRPr="00AF434B">
        <w:rPr>
          <w:noProof/>
          <w:lang w:val="fr-FR"/>
        </w:rPr>
        <w:t>.</w:t>
      </w:r>
    </w:p>
    <w:p w14:paraId="214A4F1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Et si c’était moi ? Fais ton sac et pars</w:t>
      </w:r>
      <w:r w:rsidRPr="00AF434B">
        <w:rPr>
          <w:noProof/>
          <w:lang w:val="fr-FR"/>
        </w:rPr>
        <w:t>.</w:t>
      </w:r>
    </w:p>
    <w:p w14:paraId="3AC865F7" w14:textId="77777777" w:rsidR="00BF0619" w:rsidRPr="00AF434B" w:rsidRDefault="00BF0619" w:rsidP="00BF0619">
      <w:pPr>
        <w:pStyle w:val="SingleTxtG"/>
        <w:rPr>
          <w:noProof/>
          <w:lang w:val="fr-FR"/>
        </w:rPr>
      </w:pPr>
      <w:r w:rsidRPr="00AF434B">
        <w:rPr>
          <w:noProof/>
          <w:lang w:val="fr-FR"/>
        </w:rPr>
        <w:t>97.</w:t>
      </w:r>
      <w:r w:rsidRPr="00AF434B">
        <w:rPr>
          <w:noProof/>
          <w:lang w:val="fr-FR"/>
        </w:rPr>
        <w:tab/>
      </w:r>
      <w:r>
        <w:rPr>
          <w:noProof/>
          <w:lang w:val="fr-FR"/>
        </w:rPr>
        <w:t>La Plateforme d’appui aux réfugiés a</w:t>
      </w:r>
      <w:r w:rsidRPr="00AF434B">
        <w:rPr>
          <w:noProof/>
          <w:lang w:val="fr-FR"/>
        </w:rPr>
        <w:t xml:space="preserve">, </w:t>
      </w:r>
      <w:r>
        <w:rPr>
          <w:noProof/>
          <w:lang w:val="fr-FR"/>
        </w:rPr>
        <w:t>e</w:t>
      </w:r>
      <w:r w:rsidRPr="00AF434B">
        <w:rPr>
          <w:noProof/>
          <w:lang w:val="fr-FR"/>
        </w:rPr>
        <w:t xml:space="preserve">n collaboration </w:t>
      </w:r>
      <w:r>
        <w:rPr>
          <w:noProof/>
          <w:lang w:val="fr-FR"/>
        </w:rPr>
        <w:t>avec la Direction générale de l’enseignement</w:t>
      </w:r>
      <w:r w:rsidRPr="00AF434B">
        <w:rPr>
          <w:noProof/>
          <w:lang w:val="fr-FR"/>
        </w:rPr>
        <w:t xml:space="preserve">, </w:t>
      </w:r>
      <w:r>
        <w:rPr>
          <w:noProof/>
          <w:lang w:val="fr-FR"/>
        </w:rPr>
        <w:t>le Haut-Commissariat pour les migrations</w:t>
      </w:r>
      <w:r w:rsidRPr="00AF434B">
        <w:rPr>
          <w:noProof/>
          <w:lang w:val="fr-FR"/>
        </w:rPr>
        <w:t xml:space="preserve"> </w:t>
      </w:r>
      <w:r>
        <w:rPr>
          <w:noProof/>
          <w:lang w:val="fr-FR"/>
        </w:rPr>
        <w:t>et le Conseil n</w:t>
      </w:r>
      <w:r w:rsidRPr="00AF434B">
        <w:rPr>
          <w:noProof/>
          <w:lang w:val="fr-FR"/>
        </w:rPr>
        <w:t xml:space="preserve">ational </w:t>
      </w:r>
      <w:r>
        <w:rPr>
          <w:noProof/>
          <w:lang w:val="fr-FR"/>
        </w:rPr>
        <w:t>de la jeunesse, mené à bien le projet intitulé « Et si c’était moi ? Fais ta valise et pars », qui visait à sensibiliser les enfants et les jeunes aux difficultés rencontrées par les réfugiés fuyant la guerre et sollicitant une protection humanitaire</w:t>
      </w:r>
      <w:r w:rsidRPr="00AF434B">
        <w:rPr>
          <w:noProof/>
          <w:lang w:val="fr-FR"/>
        </w:rPr>
        <w:t xml:space="preserve">. </w:t>
      </w:r>
      <w:r>
        <w:rPr>
          <w:noProof/>
          <w:lang w:val="fr-FR"/>
        </w:rPr>
        <w:t xml:space="preserve">Le </w:t>
      </w:r>
      <w:r w:rsidRPr="00AF434B">
        <w:rPr>
          <w:noProof/>
          <w:lang w:val="fr-FR"/>
        </w:rPr>
        <w:t>6</w:t>
      </w:r>
      <w:r w:rsidR="00DB2FE9">
        <w:rPr>
          <w:noProof/>
          <w:lang w:val="fr-FR"/>
        </w:rPr>
        <w:t> </w:t>
      </w:r>
      <w:r>
        <w:rPr>
          <w:noProof/>
          <w:lang w:val="fr-FR"/>
        </w:rPr>
        <w:t>av</w:t>
      </w:r>
      <w:r w:rsidRPr="00AF434B">
        <w:rPr>
          <w:noProof/>
          <w:lang w:val="fr-FR"/>
        </w:rPr>
        <w:t xml:space="preserve">ril 2016, </w:t>
      </w:r>
      <w:r>
        <w:rPr>
          <w:noProof/>
          <w:lang w:val="fr-FR"/>
        </w:rPr>
        <w:t>dans toutes les écoles du pays, une vidéo a été projetée. Elle montrait le peu de choses que les réfugiés emportent avec eux.</w:t>
      </w:r>
      <w:r w:rsidRPr="00AF434B">
        <w:rPr>
          <w:noProof/>
          <w:lang w:val="fr-FR"/>
        </w:rPr>
        <w:t xml:space="preserve"> </w:t>
      </w:r>
      <w:r>
        <w:rPr>
          <w:noProof/>
          <w:lang w:val="fr-FR"/>
        </w:rPr>
        <w:t>Ce jour-là, chaque élève a dû apporter son sac à dos en y mettant les objets qu’il prendrait avec lui s’il était à la place d’un réfugié (sous la forme de photos ou en apportant les objets eux-mêmes) et donner les raisons de son choix</w:t>
      </w:r>
      <w:r w:rsidRPr="00AF434B">
        <w:rPr>
          <w:noProof/>
          <w:lang w:val="fr-FR"/>
        </w:rPr>
        <w:t xml:space="preserve">. </w:t>
      </w:r>
      <w:r>
        <w:rPr>
          <w:noProof/>
          <w:lang w:val="fr-FR"/>
        </w:rPr>
        <w:t>Avec le concours du Haut-Commissariat, la Plateforme a adressé aux groupements d’écoles une affiche et des dépliants, également disponibles sous forme numérique</w:t>
      </w:r>
      <w:r w:rsidRPr="00BB3DD1">
        <w:rPr>
          <w:rStyle w:val="Appelnotedebasdep"/>
        </w:rPr>
        <w:footnoteReference w:id="20"/>
      </w:r>
      <w:r>
        <w:rPr>
          <w:noProof/>
          <w:lang w:val="fr-FR"/>
        </w:rPr>
        <w:t xml:space="preserve">, afin de promouvoir </w:t>
      </w:r>
      <w:r w:rsidRPr="00AF434B">
        <w:rPr>
          <w:noProof/>
          <w:lang w:val="fr-FR"/>
        </w:rPr>
        <w:t xml:space="preserve"> </w:t>
      </w:r>
      <w:r>
        <w:rPr>
          <w:noProof/>
          <w:lang w:val="fr-FR"/>
        </w:rPr>
        <w:t>la réalisation de ce projet</w:t>
      </w:r>
      <w:r w:rsidRPr="00AF434B">
        <w:rPr>
          <w:noProof/>
          <w:lang w:val="fr-FR"/>
        </w:rPr>
        <w:t xml:space="preserve">. </w:t>
      </w:r>
      <w:r>
        <w:rPr>
          <w:noProof/>
          <w:lang w:val="fr-FR"/>
        </w:rPr>
        <w:t>De plus, la Direction générale de l’enseignement</w:t>
      </w:r>
      <w:r w:rsidRPr="00AF434B">
        <w:rPr>
          <w:noProof/>
          <w:lang w:val="fr-FR"/>
        </w:rPr>
        <w:t xml:space="preserve"> </w:t>
      </w:r>
      <w:r>
        <w:rPr>
          <w:noProof/>
          <w:lang w:val="fr-FR"/>
        </w:rPr>
        <w:t>a fourni aux écoles et aux enseignants associés à cette activité un guide comportant des suggestions et des informations sur des matériels didactiques</w:t>
      </w:r>
      <w:r w:rsidRPr="00AF434B">
        <w:rPr>
          <w:noProof/>
          <w:lang w:val="fr-FR"/>
        </w:rPr>
        <w:t xml:space="preserve">. </w:t>
      </w:r>
      <w:r>
        <w:rPr>
          <w:noProof/>
          <w:lang w:val="fr-FR"/>
        </w:rPr>
        <w:t>Cette activité avait pour but de faire mieux comprendre aux enfants et aux jeunes la réalité qui était celle des réfugiés, pour les amener à s’engager à bien accueillir les personnes qui sollicitaient une protection humanitaire et pour donner une forme concrète aux principes d’une société démocratique et inclusive</w:t>
      </w:r>
      <w:r w:rsidRPr="00AF434B">
        <w:rPr>
          <w:noProof/>
          <w:lang w:val="fr-FR"/>
        </w:rPr>
        <w:t>.</w:t>
      </w:r>
    </w:p>
    <w:p w14:paraId="34FC9B4F" w14:textId="77777777" w:rsidR="00BF0619" w:rsidRPr="00AF434B" w:rsidRDefault="00BF0619" w:rsidP="00BF0619">
      <w:pPr>
        <w:pStyle w:val="SingleTxtG"/>
        <w:rPr>
          <w:noProof/>
          <w:lang w:val="fr-FR"/>
        </w:rPr>
      </w:pPr>
      <w:r w:rsidRPr="00AF434B">
        <w:rPr>
          <w:noProof/>
          <w:lang w:val="fr-FR"/>
        </w:rPr>
        <w:t>98.</w:t>
      </w:r>
      <w:r w:rsidRPr="00AF434B">
        <w:rPr>
          <w:noProof/>
          <w:lang w:val="fr-FR"/>
        </w:rPr>
        <w:tab/>
      </w:r>
      <w:r>
        <w:rPr>
          <w:noProof/>
          <w:lang w:val="fr-FR"/>
        </w:rPr>
        <w:t>Les mesures mises en place dans le système éducatif</w:t>
      </w:r>
      <w:r w:rsidR="005A717F">
        <w:rPr>
          <w:noProof/>
          <w:lang w:val="fr-FR"/>
        </w:rPr>
        <w:t xml:space="preserve"> </w:t>
      </w:r>
      <w:r>
        <w:rPr>
          <w:noProof/>
          <w:lang w:val="fr-FR"/>
        </w:rPr>
        <w:t>pour promouvoir le succès scolaire et lutter contre le décrochage précoce s’adressent à tous les enfants scolarisés, quelle que soit leur origine</w:t>
      </w:r>
      <w:r w:rsidRPr="00AF434B">
        <w:rPr>
          <w:noProof/>
          <w:lang w:val="fr-FR"/>
        </w:rPr>
        <w:t xml:space="preserve">. </w:t>
      </w:r>
      <w:r>
        <w:rPr>
          <w:noProof/>
          <w:lang w:val="fr-FR"/>
        </w:rPr>
        <w:t>Toutefois, certaines d’entre elles, qui visent à fournir un appui aux élèves vulnérables, concernent les enfants de migrants ou d’origine rom</w:t>
      </w:r>
      <w:r w:rsidRPr="00AF434B">
        <w:rPr>
          <w:noProof/>
          <w:lang w:val="fr-FR"/>
        </w:rPr>
        <w:t xml:space="preserve">. </w:t>
      </w:r>
    </w:p>
    <w:p w14:paraId="59DEF2B9" w14:textId="77777777" w:rsidR="00BF0619" w:rsidRPr="00AF434B" w:rsidRDefault="00BF0619" w:rsidP="00DB2FE9">
      <w:pPr>
        <w:pStyle w:val="H4G"/>
        <w:rPr>
          <w:noProof/>
          <w:lang w:val="fr-FR"/>
        </w:rPr>
      </w:pPr>
      <w:r w:rsidRPr="00AF434B">
        <w:rPr>
          <w:noProof/>
          <w:lang w:val="fr-FR"/>
        </w:rPr>
        <w:tab/>
      </w:r>
      <w:r w:rsidRPr="00AF434B">
        <w:rPr>
          <w:noProof/>
          <w:lang w:val="fr-FR"/>
        </w:rPr>
        <w:tab/>
      </w:r>
      <w:r>
        <w:rPr>
          <w:noProof/>
          <w:lang w:val="fr-FR"/>
        </w:rPr>
        <w:t>Programme concernant les t</w:t>
      </w:r>
      <w:r w:rsidRPr="007734B4">
        <w:rPr>
          <w:noProof/>
          <w:lang w:val="fr-FR"/>
        </w:rPr>
        <w:t>erritoires éducatifs d’intervention prioritaire</w:t>
      </w:r>
      <w:r w:rsidRPr="00AF434B">
        <w:rPr>
          <w:noProof/>
          <w:lang w:val="fr-FR"/>
        </w:rPr>
        <w:t xml:space="preserve"> (TEIP)</w:t>
      </w:r>
    </w:p>
    <w:p w14:paraId="591298EB" w14:textId="77777777" w:rsidR="00BF0619" w:rsidRPr="00AF434B" w:rsidRDefault="00BF0619" w:rsidP="00BF0619">
      <w:pPr>
        <w:pStyle w:val="SingleTxtG"/>
        <w:rPr>
          <w:noProof/>
          <w:lang w:val="fr-FR"/>
        </w:rPr>
      </w:pPr>
      <w:r w:rsidRPr="00AF434B">
        <w:rPr>
          <w:noProof/>
          <w:lang w:val="fr-FR"/>
        </w:rPr>
        <w:t>99.</w:t>
      </w:r>
      <w:r w:rsidRPr="00AF434B">
        <w:rPr>
          <w:noProof/>
          <w:lang w:val="fr-FR"/>
        </w:rPr>
        <w:tab/>
      </w:r>
      <w:r>
        <w:rPr>
          <w:noProof/>
          <w:lang w:val="fr-FR"/>
        </w:rPr>
        <w:t xml:space="preserve">Le Programme concernant les </w:t>
      </w:r>
      <w:r w:rsidRPr="00AF434B">
        <w:rPr>
          <w:noProof/>
          <w:lang w:val="fr-FR"/>
        </w:rPr>
        <w:t xml:space="preserve">TEIP </w:t>
      </w:r>
      <w:r w:rsidRPr="002837D1">
        <w:rPr>
          <w:noProof/>
          <w:lang w:val="fr-FR"/>
        </w:rPr>
        <w:t>concerne des écoles situées dans un environnement particulièrement difficile et a pour but de créer des conditions permettant de promouvoir la réussite scolaire pour tous les élèves, de lutter contre le décrochage, l’absentéisme et l’indiscipline et de préparer une transition qualifiée vers la vie active. Les établissements ayant un grand nombre d’élèves en situation de risque scolaire et d’exclusion sociale sont identifiés et sélectionnés sur la base des critères de performance du système scolaire et des indicateurs sociaux des territoires dans lesquels ils sont implantés</w:t>
      </w:r>
      <w:r w:rsidRPr="00AF434B">
        <w:rPr>
          <w:noProof/>
          <w:lang w:val="fr-FR"/>
        </w:rPr>
        <w:t xml:space="preserve">. </w:t>
      </w:r>
      <w:r>
        <w:rPr>
          <w:noProof/>
          <w:lang w:val="fr-FR"/>
        </w:rPr>
        <w:t xml:space="preserve">Après </w:t>
      </w:r>
      <w:r w:rsidRPr="00AF434B">
        <w:rPr>
          <w:noProof/>
          <w:lang w:val="fr-FR"/>
        </w:rPr>
        <w:t>2011</w:t>
      </w:r>
      <w:r>
        <w:rPr>
          <w:noProof/>
          <w:lang w:val="fr-FR"/>
        </w:rPr>
        <w:t>,</w:t>
      </w:r>
      <w:r w:rsidRPr="00AF434B">
        <w:rPr>
          <w:noProof/>
          <w:lang w:val="fr-FR"/>
        </w:rPr>
        <w:t xml:space="preserve"> </w:t>
      </w:r>
      <w:r>
        <w:rPr>
          <w:noProof/>
          <w:lang w:val="fr-FR"/>
        </w:rPr>
        <w:t>le nombre d’écoles (regroupées ou non</w:t>
      </w:r>
      <w:r w:rsidRPr="00AF434B">
        <w:rPr>
          <w:noProof/>
          <w:lang w:val="fr-FR"/>
        </w:rPr>
        <w:t xml:space="preserve">) </w:t>
      </w:r>
      <w:r>
        <w:rPr>
          <w:noProof/>
          <w:lang w:val="fr-FR"/>
        </w:rPr>
        <w:t>incorporées dans le P</w:t>
      </w:r>
      <w:r w:rsidRPr="00AF434B">
        <w:rPr>
          <w:noProof/>
          <w:lang w:val="fr-FR"/>
        </w:rPr>
        <w:t xml:space="preserve">rogramme </w:t>
      </w:r>
      <w:r>
        <w:rPr>
          <w:noProof/>
          <w:lang w:val="fr-FR"/>
        </w:rPr>
        <w:t>est passé de</w:t>
      </w:r>
      <w:r w:rsidR="00DB2FE9">
        <w:rPr>
          <w:noProof/>
          <w:lang w:val="fr-FR"/>
        </w:rPr>
        <w:t> </w:t>
      </w:r>
      <w:r w:rsidRPr="00AF434B">
        <w:rPr>
          <w:noProof/>
          <w:lang w:val="fr-FR"/>
        </w:rPr>
        <w:t xml:space="preserve">105 </w:t>
      </w:r>
      <w:r>
        <w:rPr>
          <w:noProof/>
          <w:lang w:val="fr-FR"/>
        </w:rPr>
        <w:t>à</w:t>
      </w:r>
      <w:r w:rsidR="00DB2FE9">
        <w:rPr>
          <w:noProof/>
          <w:lang w:val="fr-FR"/>
        </w:rPr>
        <w:t> </w:t>
      </w:r>
      <w:r w:rsidRPr="00AF434B">
        <w:rPr>
          <w:noProof/>
          <w:lang w:val="fr-FR"/>
        </w:rPr>
        <w:t xml:space="preserve">137. </w:t>
      </w:r>
      <w:r>
        <w:rPr>
          <w:noProof/>
          <w:lang w:val="fr-FR"/>
        </w:rPr>
        <w:t>Cette progression est due au lancement du troisième programme de ce type</w:t>
      </w:r>
      <w:r w:rsidRPr="00AF434B">
        <w:rPr>
          <w:noProof/>
          <w:lang w:val="fr-FR"/>
        </w:rPr>
        <w:t xml:space="preserve">. </w:t>
      </w:r>
      <w:r>
        <w:rPr>
          <w:noProof/>
          <w:lang w:val="fr-FR"/>
        </w:rPr>
        <w:t>Ce nombre n’a pas évolué depuis</w:t>
      </w:r>
      <w:r w:rsidRPr="00AF434B">
        <w:rPr>
          <w:noProof/>
          <w:lang w:val="fr-FR"/>
        </w:rPr>
        <w:t xml:space="preserve">. </w:t>
      </w:r>
      <w:r>
        <w:rPr>
          <w:noProof/>
          <w:lang w:val="fr-FR"/>
        </w:rPr>
        <w:t>E</w:t>
      </w:r>
      <w:r w:rsidRPr="00AF434B">
        <w:rPr>
          <w:noProof/>
          <w:lang w:val="fr-FR"/>
        </w:rPr>
        <w:t>n 2016/</w:t>
      </w:r>
      <w:r>
        <w:rPr>
          <w:noProof/>
          <w:lang w:val="fr-FR"/>
        </w:rPr>
        <w:t>20</w:t>
      </w:r>
      <w:r w:rsidRPr="00AF434B">
        <w:rPr>
          <w:noProof/>
          <w:lang w:val="fr-FR"/>
        </w:rPr>
        <w:t>17</w:t>
      </w:r>
      <w:r>
        <w:rPr>
          <w:noProof/>
          <w:lang w:val="fr-FR"/>
        </w:rPr>
        <w:t xml:space="preserve">, </w:t>
      </w:r>
      <w:r w:rsidRPr="00AF434B">
        <w:rPr>
          <w:noProof/>
          <w:lang w:val="fr-FR"/>
        </w:rPr>
        <w:t>175</w:t>
      </w:r>
      <w:r w:rsidR="00DB2FE9">
        <w:rPr>
          <w:noProof/>
          <w:lang w:val="fr-FR"/>
        </w:rPr>
        <w:t> </w:t>
      </w:r>
      <w:r w:rsidRPr="00AF434B">
        <w:rPr>
          <w:noProof/>
          <w:lang w:val="fr-FR"/>
        </w:rPr>
        <w:t>025</w:t>
      </w:r>
      <w:r w:rsidR="00DB2FE9">
        <w:rPr>
          <w:noProof/>
          <w:lang w:val="fr-FR"/>
        </w:rPr>
        <w:t> </w:t>
      </w:r>
      <w:r>
        <w:rPr>
          <w:noProof/>
          <w:lang w:val="fr-FR"/>
        </w:rPr>
        <w:t>élèves participaient au Programme</w:t>
      </w:r>
      <w:r w:rsidRPr="00AF434B">
        <w:rPr>
          <w:noProof/>
          <w:lang w:val="fr-FR"/>
        </w:rPr>
        <w:t xml:space="preserve">, </w:t>
      </w:r>
      <w:r>
        <w:rPr>
          <w:noProof/>
          <w:lang w:val="fr-FR"/>
        </w:rPr>
        <w:t xml:space="preserve">ce qui représente </w:t>
      </w:r>
      <w:r w:rsidRPr="00AF434B">
        <w:rPr>
          <w:noProof/>
          <w:lang w:val="fr-FR"/>
        </w:rPr>
        <w:t>15</w:t>
      </w:r>
      <w:r w:rsidR="00DB2FE9">
        <w:rPr>
          <w:noProof/>
          <w:lang w:val="fr-FR"/>
        </w:rPr>
        <w:t> </w:t>
      </w:r>
      <w:r w:rsidRPr="00AF434B">
        <w:rPr>
          <w:noProof/>
          <w:lang w:val="fr-FR"/>
        </w:rPr>
        <w:t xml:space="preserve">% </w:t>
      </w:r>
      <w:r>
        <w:rPr>
          <w:noProof/>
          <w:lang w:val="fr-FR"/>
        </w:rPr>
        <w:t>de l’effectif des écoles publiques primaires et secondaires</w:t>
      </w:r>
      <w:r w:rsidRPr="00AF434B">
        <w:rPr>
          <w:noProof/>
          <w:lang w:val="fr-FR"/>
        </w:rPr>
        <w:t xml:space="preserve">. </w:t>
      </w:r>
    </w:p>
    <w:p w14:paraId="398156EC" w14:textId="77777777" w:rsidR="00BF0619" w:rsidRPr="00AF434B" w:rsidRDefault="00BF0619" w:rsidP="00BF0619">
      <w:pPr>
        <w:pStyle w:val="SingleTxtG"/>
        <w:rPr>
          <w:noProof/>
          <w:lang w:val="fr-FR"/>
        </w:rPr>
      </w:pPr>
      <w:r w:rsidRPr="00AF434B">
        <w:rPr>
          <w:noProof/>
          <w:lang w:val="fr-FR"/>
        </w:rPr>
        <w:t>100.</w:t>
      </w:r>
      <w:r w:rsidRPr="00AF434B">
        <w:rPr>
          <w:noProof/>
          <w:lang w:val="fr-FR"/>
        </w:rPr>
        <w:tab/>
      </w:r>
      <w:r>
        <w:rPr>
          <w:noProof/>
          <w:lang w:val="fr-FR"/>
        </w:rPr>
        <w:t xml:space="preserve">Les écoles concernées élaborent et exécutent un plan d’amélioration comportant quatre axes </w:t>
      </w:r>
      <w:r w:rsidRPr="00AF434B">
        <w:rPr>
          <w:noProof/>
          <w:lang w:val="fr-FR"/>
        </w:rPr>
        <w:t>intervention</w:t>
      </w:r>
      <w:r w:rsidR="00DB2FE9">
        <w:rPr>
          <w:noProof/>
          <w:lang w:val="fr-FR"/>
        </w:rPr>
        <w:t> </w:t>
      </w:r>
      <w:r w:rsidRPr="00AF434B">
        <w:rPr>
          <w:noProof/>
          <w:lang w:val="fr-FR"/>
        </w:rPr>
        <w:t xml:space="preserve">: </w:t>
      </w:r>
      <w:r>
        <w:rPr>
          <w:noProof/>
          <w:lang w:val="fr-FR"/>
        </w:rPr>
        <w:t xml:space="preserve">amélioration de l’enseignement et de l’apprentissage </w:t>
      </w:r>
      <w:r w:rsidRPr="00AF434B">
        <w:rPr>
          <w:noProof/>
          <w:lang w:val="fr-FR"/>
        </w:rPr>
        <w:t>(</w:t>
      </w:r>
      <w:r>
        <w:rPr>
          <w:noProof/>
          <w:lang w:val="fr-FR"/>
        </w:rPr>
        <w:t>l’accent étant mis sur les stratégies de gestion de classe</w:t>
      </w:r>
      <w:r w:rsidRPr="00AF434B">
        <w:rPr>
          <w:noProof/>
          <w:lang w:val="fr-FR"/>
        </w:rPr>
        <w:t>)</w:t>
      </w:r>
      <w:r w:rsidR="00DB2FE9">
        <w:rPr>
          <w:noProof/>
          <w:lang w:val="fr-FR"/>
        </w:rPr>
        <w:t> </w:t>
      </w:r>
      <w:r w:rsidRPr="00AF434B">
        <w:rPr>
          <w:noProof/>
          <w:lang w:val="fr-FR"/>
        </w:rPr>
        <w:t>; pr</w:t>
      </w:r>
      <w:r>
        <w:rPr>
          <w:noProof/>
          <w:lang w:val="fr-FR"/>
        </w:rPr>
        <w:t>é</w:t>
      </w:r>
      <w:r w:rsidRPr="00AF434B">
        <w:rPr>
          <w:noProof/>
          <w:lang w:val="fr-FR"/>
        </w:rPr>
        <w:t xml:space="preserve">vention </w:t>
      </w:r>
      <w:r>
        <w:rPr>
          <w:noProof/>
          <w:lang w:val="fr-FR"/>
        </w:rPr>
        <w:t>du décrochage</w:t>
      </w:r>
      <w:r w:rsidRPr="00AF434B">
        <w:rPr>
          <w:noProof/>
          <w:lang w:val="fr-FR"/>
        </w:rPr>
        <w:t xml:space="preserve">, </w:t>
      </w:r>
      <w:r>
        <w:rPr>
          <w:noProof/>
          <w:lang w:val="fr-FR"/>
        </w:rPr>
        <w:t>de l’</w:t>
      </w:r>
      <w:r w:rsidRPr="00AF434B">
        <w:rPr>
          <w:noProof/>
          <w:lang w:val="fr-FR"/>
        </w:rPr>
        <w:t>absent</w:t>
      </w:r>
      <w:r>
        <w:rPr>
          <w:noProof/>
          <w:lang w:val="fr-FR"/>
        </w:rPr>
        <w:t>éisme et de l’</w:t>
      </w:r>
      <w:r w:rsidRPr="00AF434B">
        <w:rPr>
          <w:noProof/>
          <w:lang w:val="fr-FR"/>
        </w:rPr>
        <w:t>indiscipline</w:t>
      </w:r>
      <w:r w:rsidR="00DB2FE9">
        <w:rPr>
          <w:noProof/>
          <w:lang w:val="fr-FR"/>
        </w:rPr>
        <w:t> </w:t>
      </w:r>
      <w:r w:rsidRPr="00AF434B">
        <w:rPr>
          <w:noProof/>
          <w:lang w:val="fr-FR"/>
        </w:rPr>
        <w:t xml:space="preserve">; </w:t>
      </w:r>
      <w:r>
        <w:rPr>
          <w:noProof/>
          <w:lang w:val="fr-FR"/>
        </w:rPr>
        <w:t>gestion et organisation de l’établissement scolaire</w:t>
      </w:r>
      <w:r w:rsidR="00DB2FE9">
        <w:rPr>
          <w:noProof/>
          <w:lang w:val="fr-FR"/>
        </w:rPr>
        <w:t> </w:t>
      </w:r>
      <w:r w:rsidRPr="00AF434B">
        <w:rPr>
          <w:noProof/>
          <w:lang w:val="fr-FR"/>
        </w:rPr>
        <w:t xml:space="preserve">; </w:t>
      </w:r>
      <w:r>
        <w:rPr>
          <w:noProof/>
          <w:lang w:val="fr-FR"/>
        </w:rPr>
        <w:t>liens entre l’école, les familles et la communauté</w:t>
      </w:r>
      <w:r w:rsidRPr="00AF434B">
        <w:rPr>
          <w:noProof/>
          <w:lang w:val="fr-FR"/>
        </w:rPr>
        <w:t xml:space="preserve">. </w:t>
      </w:r>
    </w:p>
    <w:p w14:paraId="31F076A0" w14:textId="77777777" w:rsidR="00BF0619" w:rsidRPr="00AF434B" w:rsidRDefault="00BF0619" w:rsidP="00BF0619">
      <w:pPr>
        <w:pStyle w:val="SingleTxtG"/>
        <w:rPr>
          <w:noProof/>
          <w:lang w:val="fr-FR"/>
        </w:rPr>
      </w:pPr>
      <w:r w:rsidRPr="00AF434B">
        <w:rPr>
          <w:noProof/>
          <w:lang w:val="fr-FR"/>
        </w:rPr>
        <w:t>101.</w:t>
      </w:r>
      <w:r w:rsidRPr="00AF434B">
        <w:rPr>
          <w:noProof/>
          <w:lang w:val="fr-FR"/>
        </w:rPr>
        <w:tab/>
      </w:r>
      <w:r>
        <w:rPr>
          <w:noProof/>
          <w:lang w:val="fr-FR"/>
        </w:rPr>
        <w:t xml:space="preserve">Les écoles mettent en place des mesures relatives à chacun de ces axes et le </w:t>
      </w:r>
      <w:r w:rsidRPr="00AF434B">
        <w:rPr>
          <w:noProof/>
          <w:lang w:val="fr-FR"/>
        </w:rPr>
        <w:t>Minist</w:t>
      </w:r>
      <w:r>
        <w:rPr>
          <w:noProof/>
          <w:lang w:val="fr-FR"/>
        </w:rPr>
        <w:t xml:space="preserve">ère de l’éducation les appuie en fournissant des ressources supplémentaires, qui peuvent inclure, suivant les objectifs à atteindre, les mesures prévues et les besoins spécifiques des établissements, le recrutement de personnels enseignants et non enseignants </w:t>
      </w:r>
      <w:r w:rsidRPr="00AF434B">
        <w:rPr>
          <w:noProof/>
          <w:lang w:val="fr-FR"/>
        </w:rPr>
        <w:t>(psycholog</w:t>
      </w:r>
      <w:r>
        <w:rPr>
          <w:noProof/>
          <w:lang w:val="fr-FR"/>
        </w:rPr>
        <w:t>ue</w:t>
      </w:r>
      <w:r w:rsidRPr="00AF434B">
        <w:rPr>
          <w:noProof/>
          <w:lang w:val="fr-FR"/>
        </w:rPr>
        <w:t xml:space="preserve">s, </w:t>
      </w:r>
      <w:r>
        <w:rPr>
          <w:noProof/>
          <w:lang w:val="fr-FR"/>
        </w:rPr>
        <w:t>travailleurs sociaux</w:t>
      </w:r>
      <w:r w:rsidRPr="00AF434B">
        <w:rPr>
          <w:noProof/>
          <w:lang w:val="fr-FR"/>
        </w:rPr>
        <w:t xml:space="preserve">, </w:t>
      </w:r>
      <w:r>
        <w:rPr>
          <w:noProof/>
          <w:lang w:val="fr-FR"/>
        </w:rPr>
        <w:t>animateurs socioculturels, médiateurs interculturels)</w:t>
      </w:r>
      <w:r w:rsidRPr="00AF434B">
        <w:rPr>
          <w:noProof/>
          <w:lang w:val="fr-FR"/>
        </w:rPr>
        <w:t xml:space="preserve"> </w:t>
      </w:r>
      <w:r>
        <w:rPr>
          <w:noProof/>
          <w:lang w:val="fr-FR"/>
        </w:rPr>
        <w:t xml:space="preserve">supplémentaires, ainsi qu’un </w:t>
      </w:r>
      <w:r w:rsidRPr="00AF434B">
        <w:rPr>
          <w:noProof/>
          <w:lang w:val="fr-FR"/>
        </w:rPr>
        <w:t xml:space="preserve">budget </w:t>
      </w:r>
      <w:r>
        <w:rPr>
          <w:noProof/>
          <w:lang w:val="fr-FR"/>
        </w:rPr>
        <w:t xml:space="preserve">de formation, le recrutement d’un « ami critique » </w:t>
      </w:r>
      <w:r w:rsidRPr="00AF434B">
        <w:rPr>
          <w:noProof/>
          <w:lang w:val="fr-FR"/>
        </w:rPr>
        <w:t>(</w:t>
      </w:r>
      <w:r>
        <w:rPr>
          <w:noProof/>
          <w:lang w:val="fr-FR"/>
        </w:rPr>
        <w:t>un spécialiste de la pédagogie</w:t>
      </w:r>
      <w:r w:rsidRPr="00AF434B">
        <w:rPr>
          <w:noProof/>
          <w:lang w:val="fr-FR"/>
        </w:rPr>
        <w:t xml:space="preserve">) </w:t>
      </w:r>
      <w:r>
        <w:rPr>
          <w:noProof/>
          <w:lang w:val="fr-FR"/>
        </w:rPr>
        <w:t>et, au besoin, la fourniture d’un petit</w:t>
      </w:r>
      <w:r w:rsidR="00F604C4">
        <w:rPr>
          <w:noProof/>
          <w:lang w:val="fr-FR"/>
        </w:rPr>
        <w:t>-</w:t>
      </w:r>
      <w:r>
        <w:rPr>
          <w:noProof/>
          <w:lang w:val="fr-FR"/>
        </w:rPr>
        <w:t>déjeuner aux enfants</w:t>
      </w:r>
      <w:r w:rsidRPr="00AF434B">
        <w:rPr>
          <w:noProof/>
          <w:lang w:val="fr-FR"/>
        </w:rPr>
        <w:t>.</w:t>
      </w:r>
    </w:p>
    <w:p w14:paraId="71039843" w14:textId="77777777" w:rsidR="00BF0619" w:rsidRPr="00AF434B" w:rsidRDefault="00BF0619" w:rsidP="00BF0619">
      <w:pPr>
        <w:pStyle w:val="SingleTxtG"/>
        <w:rPr>
          <w:noProof/>
          <w:lang w:val="fr-FR"/>
        </w:rPr>
      </w:pPr>
      <w:r w:rsidRPr="00AF434B">
        <w:rPr>
          <w:noProof/>
          <w:lang w:val="fr-FR"/>
        </w:rPr>
        <w:t>102.</w:t>
      </w:r>
      <w:r w:rsidRPr="00AF434B">
        <w:rPr>
          <w:noProof/>
          <w:lang w:val="fr-FR"/>
        </w:rPr>
        <w:tab/>
      </w:r>
      <w:r>
        <w:rPr>
          <w:noProof/>
          <w:lang w:val="fr-FR"/>
        </w:rPr>
        <w:t xml:space="preserve">Il convient de noter que les écoles intégrées dans le Programme concernant les </w:t>
      </w:r>
      <w:r w:rsidRPr="00AF434B">
        <w:rPr>
          <w:noProof/>
          <w:lang w:val="fr-FR"/>
        </w:rPr>
        <w:t xml:space="preserve">TEIP, </w:t>
      </w:r>
      <w:r>
        <w:rPr>
          <w:noProof/>
          <w:lang w:val="fr-FR"/>
        </w:rPr>
        <w:t>qui accueillent un grand nombre d’immigrants et d’enfants de parents migrants, mettent en place des mesures destinées à appuyer leur pleine inclusion. Ces mesures doivent aider les élèves à acquérir les rudiments du portugais et, entre autres matières, une connaissance de base de l’histoire, de la géographie, et de la culture portugaises, afin qu’ils puissent s’intégrer plus facilement et rapidement au milieu scolaire</w:t>
      </w:r>
      <w:r w:rsidRPr="00AF434B">
        <w:rPr>
          <w:noProof/>
          <w:lang w:val="fr-FR"/>
        </w:rPr>
        <w:t xml:space="preserve">. </w:t>
      </w:r>
      <w:r>
        <w:rPr>
          <w:noProof/>
          <w:lang w:val="fr-FR"/>
        </w:rPr>
        <w:t>La « Classe de bienvenue »</w:t>
      </w:r>
      <w:r w:rsidRPr="00BB3DD1">
        <w:rPr>
          <w:rStyle w:val="Appelnotedebasdep"/>
        </w:rPr>
        <w:footnoteReference w:id="21"/>
      </w:r>
      <w:r w:rsidRPr="00AF434B">
        <w:rPr>
          <w:noProof/>
          <w:lang w:val="fr-FR"/>
        </w:rPr>
        <w:t xml:space="preserve"> </w:t>
      </w:r>
      <w:r>
        <w:rPr>
          <w:noProof/>
          <w:lang w:val="fr-FR"/>
        </w:rPr>
        <w:t>conçue par un groupement d’écoles accueillant chaque année scolaire un grand nombre d’élèves nouveaux arrivants est un exemple de mesures de ce type</w:t>
      </w:r>
      <w:r w:rsidRPr="00AF434B">
        <w:rPr>
          <w:noProof/>
          <w:lang w:val="fr-FR"/>
        </w:rPr>
        <w:t xml:space="preserve">. </w:t>
      </w:r>
    </w:p>
    <w:p w14:paraId="31F52EC3" w14:textId="77777777" w:rsidR="00BF0619" w:rsidRPr="00AF434B" w:rsidRDefault="00BF0619" w:rsidP="00BF0619">
      <w:pPr>
        <w:pStyle w:val="SingleTxtG"/>
        <w:rPr>
          <w:noProof/>
          <w:lang w:val="fr-FR"/>
        </w:rPr>
      </w:pPr>
      <w:r w:rsidRPr="00AF434B">
        <w:rPr>
          <w:noProof/>
          <w:lang w:val="fr-FR"/>
        </w:rPr>
        <w:t>103.</w:t>
      </w:r>
      <w:r w:rsidRPr="00AF434B">
        <w:rPr>
          <w:noProof/>
          <w:lang w:val="fr-FR"/>
        </w:rPr>
        <w:tab/>
      </w:r>
      <w:r>
        <w:rPr>
          <w:noProof/>
          <w:lang w:val="fr-FR"/>
        </w:rPr>
        <w:t xml:space="preserve">De plus, les écoles intégrées dans le Programme relatif aux </w:t>
      </w:r>
      <w:r w:rsidRPr="00AF434B">
        <w:rPr>
          <w:noProof/>
          <w:lang w:val="fr-FR"/>
        </w:rPr>
        <w:t xml:space="preserve">TEIP </w:t>
      </w:r>
      <w:r>
        <w:rPr>
          <w:noProof/>
          <w:lang w:val="fr-FR"/>
        </w:rPr>
        <w:t>mettent en place des mesures d’</w:t>
      </w:r>
      <w:r w:rsidRPr="00AF434B">
        <w:rPr>
          <w:noProof/>
          <w:lang w:val="fr-FR"/>
        </w:rPr>
        <w:t xml:space="preserve">inclusion </w:t>
      </w:r>
      <w:r>
        <w:rPr>
          <w:noProof/>
          <w:lang w:val="fr-FR"/>
        </w:rPr>
        <w:t>des élèves exposés au risque de décrochage, au nombre desquels peuvent se trouver des enfants de migrants ou d’origine rom</w:t>
      </w:r>
      <w:r w:rsidRPr="00AF434B">
        <w:rPr>
          <w:noProof/>
          <w:lang w:val="fr-FR"/>
        </w:rPr>
        <w:t xml:space="preserve">. </w:t>
      </w:r>
      <w:r>
        <w:rPr>
          <w:noProof/>
          <w:lang w:val="fr-FR"/>
        </w:rPr>
        <w:t>Les « </w:t>
      </w:r>
      <w:r w:rsidRPr="00AF434B">
        <w:rPr>
          <w:noProof/>
          <w:lang w:val="fr-FR"/>
        </w:rPr>
        <w:t>Glassrooms</w:t>
      </w:r>
      <w:r>
        <w:rPr>
          <w:noProof/>
          <w:lang w:val="fr-FR"/>
        </w:rPr>
        <w:t> »</w:t>
      </w:r>
      <w:r w:rsidRPr="00BB3DD1">
        <w:rPr>
          <w:rStyle w:val="Appelnotedebasdep"/>
        </w:rPr>
        <w:footnoteReference w:id="22"/>
      </w:r>
      <w:r w:rsidRPr="00AF434B">
        <w:rPr>
          <w:noProof/>
          <w:lang w:val="fr-FR"/>
        </w:rPr>
        <w:t xml:space="preserve"> </w:t>
      </w:r>
      <w:r>
        <w:rPr>
          <w:noProof/>
          <w:lang w:val="fr-FR"/>
        </w:rPr>
        <w:t xml:space="preserve">sont un autre exemple de mesure prise par une école de </w:t>
      </w:r>
      <w:r w:rsidRPr="00AF434B">
        <w:rPr>
          <w:noProof/>
          <w:lang w:val="fr-FR"/>
        </w:rPr>
        <w:t>TEIP</w:t>
      </w:r>
      <w:r w:rsidR="00F604C4">
        <w:rPr>
          <w:noProof/>
          <w:lang w:val="fr-FR"/>
        </w:rPr>
        <w:t> </w:t>
      </w:r>
      <w:r>
        <w:rPr>
          <w:noProof/>
          <w:lang w:val="fr-FR"/>
        </w:rPr>
        <w:t xml:space="preserve">; ce mot, forgé à partir de « classroom » (salle de classe) en remplaçant </w:t>
      </w:r>
      <w:r>
        <w:rPr>
          <w:i/>
          <w:noProof/>
          <w:lang w:val="fr-FR"/>
        </w:rPr>
        <w:t xml:space="preserve">class </w:t>
      </w:r>
      <w:r>
        <w:rPr>
          <w:noProof/>
          <w:lang w:val="fr-FR"/>
        </w:rPr>
        <w:t xml:space="preserve">par </w:t>
      </w:r>
      <w:r>
        <w:rPr>
          <w:i/>
          <w:noProof/>
          <w:lang w:val="fr-FR"/>
        </w:rPr>
        <w:t xml:space="preserve">glass </w:t>
      </w:r>
      <w:r>
        <w:rPr>
          <w:noProof/>
          <w:lang w:val="fr-FR"/>
        </w:rPr>
        <w:t>(verre), désigne les activités de plein air menées avec les enfants et leur famille à leur lieu de résidence, dans le but de développer leurs compétences linguistiques, personnelles et sociales</w:t>
      </w:r>
      <w:r w:rsidRPr="00AF434B">
        <w:rPr>
          <w:noProof/>
          <w:lang w:val="fr-FR"/>
        </w:rPr>
        <w:t xml:space="preserve">. </w:t>
      </w:r>
      <w:r>
        <w:rPr>
          <w:noProof/>
          <w:lang w:val="fr-FR"/>
        </w:rPr>
        <w:t>Cette mesure vise, outre l’acquisition de compétences, à promouvoir l’accès inclusif à l’éducation préscolaire et scolaire de groupes d’enfants, en particulier roms, qui rencontrent des difficultés en matière d’inclusion scolaire et sociale et qui, sans cela, ne fréquenteraient pas de centre d’éducation préscolaire</w:t>
      </w:r>
      <w:r w:rsidRPr="00AF434B">
        <w:rPr>
          <w:noProof/>
          <w:lang w:val="fr-FR"/>
        </w:rPr>
        <w:t>.</w:t>
      </w:r>
    </w:p>
    <w:p w14:paraId="260FC263" w14:textId="77777777" w:rsidR="00BF0619" w:rsidRPr="00AF434B" w:rsidRDefault="00BF0619" w:rsidP="00BF0619">
      <w:pPr>
        <w:pStyle w:val="H4G"/>
        <w:rPr>
          <w:noProof/>
          <w:lang w:val="fr-FR"/>
        </w:rPr>
      </w:pPr>
      <w:r w:rsidRPr="00AF434B">
        <w:rPr>
          <w:noProof/>
          <w:lang w:val="fr-FR"/>
        </w:rPr>
        <w:tab/>
      </w:r>
      <w:r w:rsidRPr="00AF434B">
        <w:rPr>
          <w:noProof/>
          <w:lang w:val="fr-FR"/>
        </w:rPr>
        <w:tab/>
      </w:r>
      <w:r>
        <w:rPr>
          <w:noProof/>
          <w:lang w:val="fr-FR"/>
        </w:rPr>
        <w:t>Parcours éducatifs a</w:t>
      </w:r>
      <w:r w:rsidRPr="00AF434B">
        <w:rPr>
          <w:noProof/>
          <w:lang w:val="fr-FR"/>
        </w:rPr>
        <w:t>lternati</w:t>
      </w:r>
      <w:r>
        <w:rPr>
          <w:noProof/>
          <w:lang w:val="fr-FR"/>
        </w:rPr>
        <w:t xml:space="preserve">fs </w:t>
      </w:r>
      <w:r w:rsidRPr="00AF434B">
        <w:rPr>
          <w:noProof/>
          <w:lang w:val="fr-FR"/>
        </w:rPr>
        <w:t>(PCA)</w:t>
      </w:r>
    </w:p>
    <w:p w14:paraId="45A117BF" w14:textId="77777777" w:rsidR="00BF0619" w:rsidRPr="00AF434B" w:rsidRDefault="00BF0619" w:rsidP="00BF0619">
      <w:pPr>
        <w:pStyle w:val="SingleTxtG"/>
        <w:rPr>
          <w:noProof/>
          <w:lang w:val="fr-FR"/>
        </w:rPr>
      </w:pPr>
      <w:r w:rsidRPr="00AF434B">
        <w:rPr>
          <w:noProof/>
          <w:lang w:val="fr-FR"/>
        </w:rPr>
        <w:t>104.</w:t>
      </w:r>
      <w:r w:rsidRPr="00AF434B">
        <w:rPr>
          <w:noProof/>
          <w:lang w:val="fr-FR"/>
        </w:rPr>
        <w:tab/>
      </w:r>
      <w:r>
        <w:rPr>
          <w:noProof/>
          <w:lang w:val="fr-FR"/>
        </w:rPr>
        <w:t>En place depuis 2006</w:t>
      </w:r>
      <w:r w:rsidRPr="001E3386">
        <w:rPr>
          <w:noProof/>
          <w:lang w:val="fr-FR"/>
        </w:rPr>
        <w:t xml:space="preserve">, les parcours éducatifs alternatifs sont des mesures temporaires et exceptionnelles </w:t>
      </w:r>
      <w:r>
        <w:rPr>
          <w:noProof/>
          <w:lang w:val="fr-FR"/>
        </w:rPr>
        <w:t>qui ne</w:t>
      </w:r>
      <w:r w:rsidRPr="001E3386">
        <w:rPr>
          <w:noProof/>
          <w:lang w:val="fr-FR"/>
        </w:rPr>
        <w:t xml:space="preserve"> sont utilisé</w:t>
      </w:r>
      <w:r>
        <w:rPr>
          <w:noProof/>
          <w:lang w:val="fr-FR"/>
        </w:rPr>
        <w:t>e</w:t>
      </w:r>
      <w:r w:rsidRPr="001E3386">
        <w:rPr>
          <w:noProof/>
          <w:lang w:val="fr-FR"/>
        </w:rPr>
        <w:t xml:space="preserve">s que lorsque toutes les autres solutions pouvant être mises en place pour les élèves ou les étudiants qui ne progressent pas et sont </w:t>
      </w:r>
      <w:r>
        <w:rPr>
          <w:noProof/>
          <w:lang w:val="fr-FR"/>
        </w:rPr>
        <w:t>en situation de</w:t>
      </w:r>
      <w:r w:rsidRPr="001E3386">
        <w:rPr>
          <w:noProof/>
          <w:lang w:val="fr-FR"/>
        </w:rPr>
        <w:t xml:space="preserve"> risque de décrochage ont été épuisées. Au niveau de l’enseignement de base, ces opportunités de formation visent à assurer une éducation générale commune à tous les élèves à travers des options pertinentes et diverses, adaptées aux différents parcours éducatifs de poursuite d’études et d’obtention d’une qualification, en tenant compte de l’éducation et de la formation de la personne, ainsi que de son inclusion sur le marché du travail.</w:t>
      </w:r>
      <w:r w:rsidRPr="00AF434B">
        <w:rPr>
          <w:noProof/>
          <w:lang w:val="fr-FR"/>
        </w:rPr>
        <w:t xml:space="preserve"> </w:t>
      </w:r>
    </w:p>
    <w:p w14:paraId="5018D4AD" w14:textId="65164923" w:rsidR="00BF0619" w:rsidRPr="00AF434B" w:rsidRDefault="00BF0619" w:rsidP="00BF0619">
      <w:pPr>
        <w:pStyle w:val="SingleTxtG"/>
        <w:rPr>
          <w:noProof/>
          <w:lang w:val="fr-FR"/>
        </w:rPr>
      </w:pPr>
      <w:r w:rsidRPr="00AF434B">
        <w:rPr>
          <w:noProof/>
          <w:lang w:val="fr-FR"/>
        </w:rPr>
        <w:t>105.</w:t>
      </w:r>
      <w:r w:rsidRPr="00AF434B">
        <w:rPr>
          <w:noProof/>
          <w:lang w:val="fr-FR"/>
        </w:rPr>
        <w:tab/>
      </w:r>
      <w:r>
        <w:rPr>
          <w:noProof/>
          <w:lang w:val="fr-FR"/>
        </w:rPr>
        <w:t xml:space="preserve">Les </w:t>
      </w:r>
      <w:r w:rsidRPr="001E3386">
        <w:rPr>
          <w:noProof/>
          <w:lang w:val="fr-FR"/>
        </w:rPr>
        <w:t>parcours éducatifs alternatifs</w:t>
      </w:r>
      <w:r w:rsidRPr="00AF434B">
        <w:rPr>
          <w:noProof/>
          <w:lang w:val="fr-FR"/>
        </w:rPr>
        <w:t xml:space="preserve"> </w:t>
      </w:r>
      <w:r>
        <w:rPr>
          <w:noProof/>
          <w:lang w:val="fr-FR"/>
        </w:rPr>
        <w:t xml:space="preserve">permettent d’achever le </w:t>
      </w:r>
      <w:r w:rsidR="0021448E">
        <w:rPr>
          <w:noProof/>
          <w:lang w:val="fr-FR"/>
        </w:rPr>
        <w:t>deuxième</w:t>
      </w:r>
      <w:r w:rsidR="00DB2FE9">
        <w:rPr>
          <w:noProof/>
          <w:lang w:val="fr-FR"/>
        </w:rPr>
        <w:t> </w:t>
      </w:r>
      <w:r>
        <w:rPr>
          <w:noProof/>
          <w:lang w:val="fr-FR"/>
        </w:rPr>
        <w:t xml:space="preserve">cycle </w:t>
      </w:r>
      <w:r w:rsidRPr="00AF434B">
        <w:rPr>
          <w:noProof/>
          <w:lang w:val="fr-FR"/>
        </w:rPr>
        <w:t>(</w:t>
      </w:r>
      <w:r>
        <w:rPr>
          <w:noProof/>
          <w:lang w:val="fr-FR"/>
        </w:rPr>
        <w:t>les deux dernières années du niveau</w:t>
      </w:r>
      <w:r w:rsidR="00DB2FE9">
        <w:rPr>
          <w:noProof/>
          <w:lang w:val="fr-FR"/>
        </w:rPr>
        <w:t> </w:t>
      </w:r>
      <w:r>
        <w:rPr>
          <w:noProof/>
          <w:lang w:val="fr-FR"/>
        </w:rPr>
        <w:t>1 de la Classification internationale type de l’éducation (CITE)</w:t>
      </w:r>
      <w:r w:rsidRPr="00AF434B">
        <w:rPr>
          <w:noProof/>
          <w:lang w:val="fr-FR"/>
        </w:rPr>
        <w:t xml:space="preserve">) </w:t>
      </w:r>
      <w:r>
        <w:rPr>
          <w:noProof/>
          <w:lang w:val="fr-FR"/>
        </w:rPr>
        <w:t xml:space="preserve">et le </w:t>
      </w:r>
      <w:r w:rsidR="002C4034">
        <w:rPr>
          <w:noProof/>
          <w:lang w:val="fr-FR"/>
        </w:rPr>
        <w:t>troisième</w:t>
      </w:r>
      <w:r w:rsidR="00DB2FE9">
        <w:rPr>
          <w:noProof/>
          <w:lang w:val="fr-FR"/>
        </w:rPr>
        <w:t> </w:t>
      </w:r>
      <w:r w:rsidRPr="00AF434B">
        <w:rPr>
          <w:noProof/>
          <w:lang w:val="fr-FR"/>
        </w:rPr>
        <w:t>cycle (</w:t>
      </w:r>
      <w:r>
        <w:rPr>
          <w:noProof/>
          <w:lang w:val="fr-FR"/>
        </w:rPr>
        <w:t>niveau</w:t>
      </w:r>
      <w:r w:rsidR="00DB2FE9">
        <w:rPr>
          <w:noProof/>
          <w:lang w:val="fr-FR"/>
        </w:rPr>
        <w:t> </w:t>
      </w:r>
      <w:r>
        <w:rPr>
          <w:noProof/>
          <w:lang w:val="fr-FR"/>
        </w:rPr>
        <w:t>2 de la CITE</w:t>
      </w:r>
      <w:r w:rsidRPr="00AF434B">
        <w:rPr>
          <w:noProof/>
          <w:lang w:val="fr-FR"/>
        </w:rPr>
        <w:t xml:space="preserve">) </w:t>
      </w:r>
      <w:r w:rsidRPr="00BB3DD1">
        <w:t xml:space="preserve">de </w:t>
      </w:r>
      <w:r w:rsidRPr="001E3386">
        <w:rPr>
          <w:noProof/>
          <w:lang w:val="fr-FR"/>
        </w:rPr>
        <w:t>l’enseignement d</w:t>
      </w:r>
      <w:r w:rsidRPr="00BB3DD1">
        <w:t>e base</w:t>
      </w:r>
      <w:r w:rsidRPr="00AF434B">
        <w:rPr>
          <w:noProof/>
          <w:lang w:val="fr-FR"/>
        </w:rPr>
        <w:t xml:space="preserve">. </w:t>
      </w:r>
    </w:p>
    <w:p w14:paraId="63A3C5F7" w14:textId="55B408CD" w:rsidR="00BF0619" w:rsidRPr="00AF434B" w:rsidRDefault="00BF0619" w:rsidP="00BF0619">
      <w:pPr>
        <w:pStyle w:val="SingleTxtG"/>
        <w:rPr>
          <w:noProof/>
          <w:lang w:val="fr-FR"/>
        </w:rPr>
      </w:pPr>
      <w:r w:rsidRPr="00AF434B">
        <w:rPr>
          <w:noProof/>
          <w:lang w:val="fr-FR"/>
        </w:rPr>
        <w:t>106.</w:t>
      </w:r>
      <w:r w:rsidRPr="00AF434B">
        <w:rPr>
          <w:noProof/>
          <w:lang w:val="fr-FR"/>
        </w:rPr>
        <w:tab/>
      </w:r>
      <w:r>
        <w:rPr>
          <w:noProof/>
          <w:lang w:val="fr-FR"/>
        </w:rPr>
        <w:t xml:space="preserve">Ces </w:t>
      </w:r>
      <w:r w:rsidRPr="00FC04C4">
        <w:rPr>
          <w:noProof/>
          <w:lang w:val="fr-FR"/>
        </w:rPr>
        <w:t>parcours sont destinés à des groupes spécifiques d’élèves âgés de 18</w:t>
      </w:r>
      <w:r w:rsidR="00DB2FE9">
        <w:rPr>
          <w:noProof/>
          <w:lang w:val="fr-FR"/>
        </w:rPr>
        <w:t> </w:t>
      </w:r>
      <w:r w:rsidRPr="00FC04C4">
        <w:rPr>
          <w:noProof/>
          <w:lang w:val="fr-FR"/>
        </w:rPr>
        <w:t xml:space="preserve">ans au plus. Jusqu’à l’année scolaire 2016/2017, ces élèves devaient avoir redoublé au moins deux fois par cycle </w:t>
      </w:r>
      <w:r w:rsidRPr="00AF434B">
        <w:rPr>
          <w:noProof/>
          <w:lang w:val="fr-FR"/>
        </w:rPr>
        <w:t>(</w:t>
      </w:r>
      <w:r>
        <w:rPr>
          <w:noProof/>
          <w:lang w:val="fr-FR"/>
        </w:rPr>
        <w:t xml:space="preserve">et être âgés d’au moins </w:t>
      </w:r>
      <w:r w:rsidRPr="00AF434B">
        <w:rPr>
          <w:noProof/>
          <w:lang w:val="fr-FR"/>
        </w:rPr>
        <w:t>13</w:t>
      </w:r>
      <w:r w:rsidR="00DB2FE9">
        <w:rPr>
          <w:noProof/>
          <w:lang w:val="fr-FR"/>
        </w:rPr>
        <w:t> </w:t>
      </w:r>
      <w:r>
        <w:rPr>
          <w:noProof/>
          <w:lang w:val="fr-FR"/>
        </w:rPr>
        <w:t xml:space="preserve">ans dans le </w:t>
      </w:r>
      <w:r w:rsidR="002C4034">
        <w:rPr>
          <w:noProof/>
          <w:lang w:val="fr-FR"/>
        </w:rPr>
        <w:t>deuxième</w:t>
      </w:r>
      <w:r w:rsidR="00DB2FE9">
        <w:rPr>
          <w:noProof/>
          <w:lang w:val="fr-FR"/>
        </w:rPr>
        <w:t> </w:t>
      </w:r>
      <w:r>
        <w:rPr>
          <w:noProof/>
          <w:lang w:val="fr-FR"/>
        </w:rPr>
        <w:t xml:space="preserve">cycle </w:t>
      </w:r>
      <w:r w:rsidRPr="00BB3DD1">
        <w:t xml:space="preserve">de </w:t>
      </w:r>
      <w:r w:rsidRPr="001E3386">
        <w:rPr>
          <w:noProof/>
          <w:lang w:val="fr-FR"/>
        </w:rPr>
        <w:t>l’enseignement d</w:t>
      </w:r>
      <w:r w:rsidRPr="00BB3DD1">
        <w:t>e base</w:t>
      </w:r>
      <w:r w:rsidRPr="00AF434B">
        <w:rPr>
          <w:noProof/>
          <w:lang w:val="fr-FR"/>
        </w:rPr>
        <w:t xml:space="preserve"> </w:t>
      </w:r>
      <w:r>
        <w:rPr>
          <w:noProof/>
          <w:lang w:val="fr-FR"/>
        </w:rPr>
        <w:t xml:space="preserve">et de </w:t>
      </w:r>
      <w:r w:rsidRPr="00AF434B">
        <w:rPr>
          <w:noProof/>
          <w:lang w:val="fr-FR"/>
        </w:rPr>
        <w:t>15</w:t>
      </w:r>
      <w:r w:rsidR="00DB2FE9">
        <w:rPr>
          <w:noProof/>
          <w:lang w:val="fr-FR"/>
        </w:rPr>
        <w:t> </w:t>
      </w:r>
      <w:r>
        <w:rPr>
          <w:noProof/>
          <w:lang w:val="fr-FR"/>
        </w:rPr>
        <w:t xml:space="preserve">ans dans le </w:t>
      </w:r>
      <w:r w:rsidR="002C4034">
        <w:rPr>
          <w:noProof/>
          <w:lang w:val="fr-FR"/>
        </w:rPr>
        <w:t>troisième</w:t>
      </w:r>
      <w:r w:rsidR="00DB2FE9">
        <w:rPr>
          <w:noProof/>
          <w:vertAlign w:val="superscript"/>
          <w:lang w:val="fr-FR"/>
        </w:rPr>
        <w:t> </w:t>
      </w:r>
      <w:r w:rsidRPr="00AF434B">
        <w:rPr>
          <w:noProof/>
          <w:lang w:val="fr-FR"/>
        </w:rPr>
        <w:t xml:space="preserve">cycle </w:t>
      </w:r>
      <w:r w:rsidRPr="00BB3DD1">
        <w:t xml:space="preserve">de </w:t>
      </w:r>
      <w:r w:rsidRPr="001E3386">
        <w:rPr>
          <w:noProof/>
          <w:lang w:val="fr-FR"/>
        </w:rPr>
        <w:t>l’enseignement d</w:t>
      </w:r>
      <w:r w:rsidRPr="00BB3DD1">
        <w:t>e base</w:t>
      </w:r>
      <w:r w:rsidRPr="00AF434B">
        <w:rPr>
          <w:noProof/>
          <w:lang w:val="fr-FR"/>
        </w:rPr>
        <w:t>)</w:t>
      </w:r>
      <w:r>
        <w:rPr>
          <w:noProof/>
          <w:lang w:val="fr-FR"/>
        </w:rPr>
        <w:t>, mais, depuis, ces parcours peuvent être empruntés par des élèves n’ayant redoublé qu’une fois</w:t>
      </w:r>
      <w:r w:rsidRPr="00AF434B">
        <w:rPr>
          <w:noProof/>
          <w:lang w:val="fr-FR"/>
        </w:rPr>
        <w:t xml:space="preserve">. </w:t>
      </w:r>
      <w:r>
        <w:rPr>
          <w:noProof/>
          <w:lang w:val="fr-FR"/>
        </w:rPr>
        <w:t>De plus, les conditions d’âge pour y accéder ont été supprimées</w:t>
      </w:r>
      <w:r w:rsidRPr="00AF434B">
        <w:rPr>
          <w:noProof/>
          <w:lang w:val="fr-FR"/>
        </w:rPr>
        <w:t>.</w:t>
      </w:r>
    </w:p>
    <w:p w14:paraId="1CEE7BC2" w14:textId="77777777" w:rsidR="00BF0619" w:rsidRPr="00AF434B" w:rsidRDefault="00BF0619" w:rsidP="00BF0619">
      <w:pPr>
        <w:pStyle w:val="H4G"/>
        <w:rPr>
          <w:noProof/>
          <w:lang w:val="fr-FR"/>
        </w:rPr>
      </w:pPr>
      <w:r w:rsidRPr="00AF434B">
        <w:rPr>
          <w:noProof/>
          <w:lang w:val="fr-FR"/>
        </w:rPr>
        <w:tab/>
      </w:r>
      <w:r w:rsidRPr="00AF434B">
        <w:rPr>
          <w:noProof/>
          <w:lang w:val="fr-FR"/>
        </w:rPr>
        <w:tab/>
      </w:r>
      <w:r w:rsidRPr="00FC04C4">
        <w:rPr>
          <w:noProof/>
          <w:lang w:val="fr-FR"/>
        </w:rPr>
        <w:t>Programme intégré pour l’éducation et la formation</w:t>
      </w:r>
      <w:r w:rsidRPr="00BB3DD1">
        <w:t xml:space="preserve"> (PIEF) </w:t>
      </w:r>
    </w:p>
    <w:p w14:paraId="040E91F4" w14:textId="77777777" w:rsidR="00BF0619" w:rsidRPr="00AF434B" w:rsidRDefault="00BF0619" w:rsidP="00BF0619">
      <w:pPr>
        <w:pStyle w:val="SingleTxtG"/>
        <w:rPr>
          <w:noProof/>
          <w:lang w:val="fr-FR"/>
        </w:rPr>
      </w:pPr>
      <w:r w:rsidRPr="00AF434B">
        <w:rPr>
          <w:noProof/>
          <w:lang w:val="fr-FR"/>
        </w:rPr>
        <w:t>107.</w:t>
      </w:r>
      <w:r w:rsidRPr="00AF434B">
        <w:rPr>
          <w:noProof/>
          <w:lang w:val="fr-FR"/>
        </w:rPr>
        <w:tab/>
      </w:r>
      <w:r>
        <w:rPr>
          <w:noProof/>
          <w:lang w:val="fr-FR"/>
        </w:rPr>
        <w:t>Mis en place e</w:t>
      </w:r>
      <w:r w:rsidRPr="00AF434B">
        <w:rPr>
          <w:noProof/>
          <w:lang w:val="fr-FR"/>
        </w:rPr>
        <w:t xml:space="preserve">n 1999, </w:t>
      </w:r>
      <w:r>
        <w:rPr>
          <w:noProof/>
          <w:lang w:val="fr-FR"/>
        </w:rPr>
        <w:t>mais révisé à plusieurs reprises depuis, le PIEF est une autre mesure à caractère exceptionnel destinée à des jeunes âgés d’au moins 15</w:t>
      </w:r>
      <w:r w:rsidR="00DB2FE9">
        <w:rPr>
          <w:noProof/>
          <w:lang w:val="fr-FR"/>
        </w:rPr>
        <w:t> </w:t>
      </w:r>
      <w:r>
        <w:rPr>
          <w:noProof/>
          <w:lang w:val="fr-FR"/>
        </w:rPr>
        <w:t>ans en situation de décrochage ou ayant décroché et se trouvant dans l’une au moins des situations suivantes :</w:t>
      </w:r>
      <w:r w:rsidRPr="00AF434B">
        <w:rPr>
          <w:noProof/>
          <w:lang w:val="fr-FR"/>
        </w:rPr>
        <w:t xml:space="preserve"> </w:t>
      </w:r>
      <w:r>
        <w:rPr>
          <w:noProof/>
          <w:lang w:val="fr-FR"/>
        </w:rPr>
        <w:t>être âgé d’au moins trois ans de plus que les élèves appartenant à la cohorte d’âge correspondan</w:t>
      </w:r>
      <w:r w:rsidRPr="00AF434B">
        <w:rPr>
          <w:noProof/>
          <w:lang w:val="fr-FR"/>
        </w:rPr>
        <w:t xml:space="preserve">t </w:t>
      </w:r>
      <w:r>
        <w:rPr>
          <w:noProof/>
          <w:lang w:val="fr-FR"/>
        </w:rPr>
        <w:t>à une classe donnée</w:t>
      </w:r>
      <w:r w:rsidR="00DB2FE9">
        <w:rPr>
          <w:noProof/>
          <w:lang w:val="fr-FR"/>
        </w:rPr>
        <w:t> </w:t>
      </w:r>
      <w:r w:rsidRPr="00AF434B">
        <w:rPr>
          <w:noProof/>
          <w:lang w:val="fr-FR"/>
        </w:rPr>
        <w:t xml:space="preserve">; </w:t>
      </w:r>
      <w:r>
        <w:rPr>
          <w:noProof/>
          <w:lang w:val="fr-FR"/>
        </w:rPr>
        <w:t xml:space="preserve">être en situation de risque ou en </w:t>
      </w:r>
      <w:r w:rsidRPr="00AF434B">
        <w:rPr>
          <w:noProof/>
          <w:lang w:val="fr-FR"/>
        </w:rPr>
        <w:t>danger</w:t>
      </w:r>
      <w:r w:rsidR="00F604C4">
        <w:rPr>
          <w:noProof/>
          <w:lang w:val="fr-FR"/>
        </w:rPr>
        <w:t> </w:t>
      </w:r>
      <w:r w:rsidRPr="00AF434B">
        <w:rPr>
          <w:noProof/>
          <w:lang w:val="fr-FR"/>
        </w:rPr>
        <w:t xml:space="preserve">; </w:t>
      </w:r>
      <w:r>
        <w:rPr>
          <w:noProof/>
          <w:lang w:val="fr-FR"/>
        </w:rPr>
        <w:t>être placé sous tutelle scolaire ou faire l’objet d’une sanction pénale</w:t>
      </w:r>
      <w:r w:rsidRPr="00AF434B">
        <w:rPr>
          <w:noProof/>
          <w:lang w:val="fr-FR"/>
        </w:rPr>
        <w:t>.</w:t>
      </w:r>
    </w:p>
    <w:p w14:paraId="3E01F444" w14:textId="77777777" w:rsidR="00BF0619" w:rsidRPr="00AF434B" w:rsidRDefault="00BF0619" w:rsidP="00BF0619">
      <w:pPr>
        <w:pStyle w:val="SingleTxtG"/>
        <w:rPr>
          <w:noProof/>
          <w:lang w:val="fr-FR"/>
        </w:rPr>
      </w:pPr>
      <w:r w:rsidRPr="00AF434B">
        <w:rPr>
          <w:noProof/>
          <w:lang w:val="fr-FR"/>
        </w:rPr>
        <w:t>108.</w:t>
      </w:r>
      <w:r w:rsidRPr="00AF434B">
        <w:rPr>
          <w:noProof/>
          <w:lang w:val="fr-FR"/>
        </w:rPr>
        <w:tab/>
      </w:r>
      <w:r>
        <w:rPr>
          <w:noProof/>
          <w:lang w:val="fr-FR"/>
        </w:rPr>
        <w:t>Cette mesure a pour objectifs la réinsertion scolaire des enfants, l’achèvement de la scolarité obligatoire et/ou l’inclusion sur le marché du travail</w:t>
      </w:r>
      <w:r w:rsidRPr="00AF434B">
        <w:rPr>
          <w:noProof/>
          <w:lang w:val="fr-FR"/>
        </w:rPr>
        <w:t xml:space="preserve">. </w:t>
      </w:r>
      <w:r>
        <w:rPr>
          <w:noProof/>
          <w:lang w:val="fr-FR"/>
        </w:rPr>
        <w:t>Chaque élève suit le parcours scolaire qui lui est tracé par un plan individualisé d’éducation et de formation, élaboré en adaptant le programme d’études à ses besoins et en mettant en place un suivi attentif confié au conseil de classe, qui fait notamment appel à un agent d’intervention locale</w:t>
      </w:r>
      <w:r w:rsidRPr="00AF434B">
        <w:rPr>
          <w:noProof/>
          <w:lang w:val="fr-FR"/>
        </w:rPr>
        <w:t xml:space="preserve"> (</w:t>
      </w:r>
      <w:r>
        <w:rPr>
          <w:noProof/>
          <w:lang w:val="fr-FR"/>
        </w:rPr>
        <w:t xml:space="preserve">généralement un </w:t>
      </w:r>
      <w:r w:rsidRPr="00AF434B">
        <w:rPr>
          <w:noProof/>
          <w:lang w:val="fr-FR"/>
        </w:rPr>
        <w:t>psycholog</w:t>
      </w:r>
      <w:r>
        <w:rPr>
          <w:noProof/>
          <w:lang w:val="fr-FR"/>
        </w:rPr>
        <w:t xml:space="preserve">ue ou un travailleur </w:t>
      </w:r>
      <w:r w:rsidRPr="00AF434B">
        <w:rPr>
          <w:noProof/>
          <w:lang w:val="fr-FR"/>
        </w:rPr>
        <w:t xml:space="preserve">social). </w:t>
      </w:r>
    </w:p>
    <w:p w14:paraId="6C049823" w14:textId="77777777" w:rsidR="00BF0619" w:rsidRPr="00AF434B" w:rsidRDefault="00BF0619" w:rsidP="00BF0619">
      <w:pPr>
        <w:pStyle w:val="SingleTxtG"/>
        <w:rPr>
          <w:noProof/>
          <w:lang w:val="fr-FR"/>
        </w:rPr>
      </w:pPr>
      <w:r w:rsidRPr="00AF434B">
        <w:rPr>
          <w:noProof/>
          <w:lang w:val="fr-FR"/>
        </w:rPr>
        <w:t>109.</w:t>
      </w:r>
      <w:r w:rsidRPr="00AF434B">
        <w:rPr>
          <w:noProof/>
          <w:lang w:val="fr-FR"/>
        </w:rPr>
        <w:tab/>
      </w:r>
      <w:r w:rsidRPr="00A67AC6">
        <w:rPr>
          <w:noProof/>
          <w:lang w:val="fr-FR"/>
        </w:rPr>
        <w:t>L’Institut de sécurité sociale identifie les élèves concernés et coordonne le signalement des situations de risque. Le dossier est transmis à l’agent d’intervention locale de la zone de résidence de l’élève, qui fait une évaluation à visée diagnostique et propose une intervention pour vérifier si la mesure prévue par le PIEF constitue la réponse pédagogique la plus appropriée au cas de l’élève. Le PIEF concerne les jeunes gens à partir de l’âge de 15</w:t>
      </w:r>
      <w:r w:rsidR="00DB2FE9">
        <w:rPr>
          <w:noProof/>
          <w:lang w:val="fr-FR"/>
        </w:rPr>
        <w:t> </w:t>
      </w:r>
      <w:r w:rsidRPr="00A67AC6">
        <w:rPr>
          <w:noProof/>
          <w:lang w:val="fr-FR"/>
        </w:rPr>
        <w:t>ans. L’intégration des élèves de moins de 15</w:t>
      </w:r>
      <w:r w:rsidR="00DB2FE9">
        <w:rPr>
          <w:noProof/>
          <w:lang w:val="fr-FR"/>
        </w:rPr>
        <w:t> </w:t>
      </w:r>
      <w:r w:rsidRPr="00A67AC6">
        <w:rPr>
          <w:noProof/>
          <w:lang w:val="fr-FR"/>
        </w:rPr>
        <w:t>ans repose sur une analyse au cas par cas, réalisée par l’agent d’intervention locale, en collaboration avec le Ministère de l’éducation.</w:t>
      </w:r>
    </w:p>
    <w:p w14:paraId="074D62D7" w14:textId="77777777" w:rsidR="00BF0619" w:rsidRPr="00AF434B" w:rsidRDefault="00BF0619" w:rsidP="00BF0619">
      <w:pPr>
        <w:pStyle w:val="SingleTxtG"/>
        <w:rPr>
          <w:noProof/>
          <w:lang w:val="fr-FR"/>
        </w:rPr>
      </w:pPr>
      <w:r w:rsidRPr="00AF434B">
        <w:rPr>
          <w:noProof/>
          <w:lang w:val="fr-FR"/>
        </w:rPr>
        <w:t>110.</w:t>
      </w:r>
      <w:r w:rsidRPr="00AF434B">
        <w:rPr>
          <w:noProof/>
          <w:lang w:val="fr-FR"/>
        </w:rPr>
        <w:tab/>
      </w:r>
      <w:r>
        <w:rPr>
          <w:noProof/>
          <w:lang w:val="fr-FR"/>
        </w:rPr>
        <w:t xml:space="preserve">En ce qui concerne l’éducation sanitaire, l’éducation sexuelle et l’éducation en matière de planification familiale, la loi </w:t>
      </w:r>
      <w:r w:rsidR="00DB2FE9" w:rsidRPr="00DB2FE9">
        <w:rPr>
          <w:rFonts w:eastAsia="MS Mincho"/>
          <w:noProof/>
          <w:szCs w:val="22"/>
          <w:lang w:val="fr-FR"/>
        </w:rPr>
        <w:t>n</w:t>
      </w:r>
      <w:r w:rsidR="00DB2FE9" w:rsidRPr="00DB2FE9">
        <w:rPr>
          <w:rFonts w:eastAsia="MS Mincho"/>
          <w:noProof/>
          <w:szCs w:val="22"/>
          <w:vertAlign w:val="superscript"/>
          <w:lang w:val="fr-FR"/>
        </w:rPr>
        <w:t>o</w:t>
      </w:r>
      <w:r w:rsidR="00DB2FE9">
        <w:rPr>
          <w:noProof/>
          <w:lang w:val="fr-FR"/>
        </w:rPr>
        <w:t> </w:t>
      </w:r>
      <w:r w:rsidRPr="00AF434B">
        <w:rPr>
          <w:noProof/>
          <w:lang w:val="fr-FR"/>
        </w:rPr>
        <w:t xml:space="preserve">60/2009 </w:t>
      </w:r>
      <w:r>
        <w:rPr>
          <w:noProof/>
          <w:lang w:val="fr-FR"/>
        </w:rPr>
        <w:t>du</w:t>
      </w:r>
      <w:r w:rsidRPr="00AF434B">
        <w:rPr>
          <w:noProof/>
          <w:lang w:val="fr-FR"/>
        </w:rPr>
        <w:t xml:space="preserve"> 6</w:t>
      </w:r>
      <w:r w:rsidR="00DB2FE9">
        <w:rPr>
          <w:noProof/>
          <w:lang w:val="fr-FR"/>
        </w:rPr>
        <w:t> </w:t>
      </w:r>
      <w:r>
        <w:rPr>
          <w:noProof/>
          <w:lang w:val="fr-FR"/>
        </w:rPr>
        <w:t>août</w:t>
      </w:r>
      <w:r w:rsidRPr="00AF434B">
        <w:rPr>
          <w:noProof/>
          <w:lang w:val="fr-FR"/>
        </w:rPr>
        <w:t xml:space="preserve"> </w:t>
      </w:r>
      <w:r>
        <w:rPr>
          <w:noProof/>
          <w:lang w:val="fr-FR"/>
        </w:rPr>
        <w:t>établit le système d’éducation sexuelle en milieu scolaire</w:t>
      </w:r>
      <w:r w:rsidRPr="00AF434B">
        <w:rPr>
          <w:noProof/>
          <w:lang w:val="fr-FR"/>
        </w:rPr>
        <w:t xml:space="preserve">. </w:t>
      </w:r>
      <w:r>
        <w:rPr>
          <w:noProof/>
          <w:lang w:val="fr-FR"/>
        </w:rPr>
        <w:t>L’éducation sexuelle poursuit les principaux objectifs ci-après</w:t>
      </w:r>
      <w:r w:rsidR="00DB2FE9">
        <w:rPr>
          <w:noProof/>
          <w:lang w:val="fr-FR"/>
        </w:rPr>
        <w:t> </w:t>
      </w:r>
      <w:r w:rsidRPr="00AF434B">
        <w:rPr>
          <w:noProof/>
          <w:lang w:val="fr-FR"/>
        </w:rPr>
        <w:t xml:space="preserve">: </w:t>
      </w:r>
    </w:p>
    <w:p w14:paraId="3ED589C7" w14:textId="77777777" w:rsidR="00BF0619" w:rsidRPr="00AF434B" w:rsidRDefault="00BF0619" w:rsidP="00DB2FE9">
      <w:pPr>
        <w:pStyle w:val="SingleTxtG"/>
        <w:ind w:firstLine="567"/>
        <w:rPr>
          <w:noProof/>
          <w:lang w:val="fr-FR"/>
        </w:rPr>
      </w:pPr>
      <w:r w:rsidRPr="00AF434B">
        <w:rPr>
          <w:noProof/>
          <w:lang w:val="fr-FR"/>
        </w:rPr>
        <w:t>a)</w:t>
      </w:r>
      <w:r w:rsidRPr="00AF434B">
        <w:rPr>
          <w:noProof/>
          <w:lang w:val="fr-FR"/>
        </w:rPr>
        <w:tab/>
      </w:r>
      <w:r>
        <w:rPr>
          <w:noProof/>
          <w:lang w:val="fr-FR"/>
        </w:rPr>
        <w:t xml:space="preserve">La prise en compte de la place de la </w:t>
      </w:r>
      <w:r w:rsidRPr="00AF434B">
        <w:rPr>
          <w:noProof/>
          <w:lang w:val="fr-FR"/>
        </w:rPr>
        <w:t>se</w:t>
      </w:r>
      <w:r>
        <w:rPr>
          <w:noProof/>
          <w:lang w:val="fr-FR"/>
        </w:rPr>
        <w:t>xualité</w:t>
      </w:r>
      <w:r w:rsidRPr="00AF434B">
        <w:rPr>
          <w:noProof/>
          <w:lang w:val="fr-FR"/>
        </w:rPr>
        <w:t xml:space="preserve"> </w:t>
      </w:r>
      <w:r>
        <w:rPr>
          <w:noProof/>
          <w:lang w:val="fr-FR"/>
        </w:rPr>
        <w:t>et de l’</w:t>
      </w:r>
      <w:r w:rsidRPr="00AF434B">
        <w:rPr>
          <w:noProof/>
          <w:lang w:val="fr-FR"/>
        </w:rPr>
        <w:t xml:space="preserve">affection </w:t>
      </w:r>
      <w:r>
        <w:rPr>
          <w:noProof/>
          <w:lang w:val="fr-FR"/>
        </w:rPr>
        <w:t>dans le développement de l’individu, dans le respect</w:t>
      </w:r>
      <w:r w:rsidRPr="00AF434B">
        <w:rPr>
          <w:noProof/>
          <w:lang w:val="fr-FR"/>
        </w:rPr>
        <w:t xml:space="preserve"> </w:t>
      </w:r>
      <w:r>
        <w:rPr>
          <w:noProof/>
          <w:lang w:val="fr-FR"/>
        </w:rPr>
        <w:t xml:space="preserve">du </w:t>
      </w:r>
      <w:r w:rsidRPr="00AF434B">
        <w:rPr>
          <w:noProof/>
          <w:lang w:val="fr-FR"/>
        </w:rPr>
        <w:t>pluralism</w:t>
      </w:r>
      <w:r>
        <w:rPr>
          <w:noProof/>
          <w:lang w:val="fr-FR"/>
        </w:rPr>
        <w:t>e</w:t>
      </w:r>
      <w:r w:rsidRPr="00AF434B">
        <w:rPr>
          <w:noProof/>
          <w:lang w:val="fr-FR"/>
        </w:rPr>
        <w:t xml:space="preserve"> </w:t>
      </w:r>
      <w:r>
        <w:rPr>
          <w:noProof/>
          <w:lang w:val="fr-FR"/>
        </w:rPr>
        <w:t>des concepts en vigueur dans la société portugaise</w:t>
      </w:r>
      <w:r w:rsidR="00DB2FE9">
        <w:rPr>
          <w:noProof/>
          <w:lang w:val="fr-FR"/>
        </w:rPr>
        <w:t> ;</w:t>
      </w:r>
    </w:p>
    <w:p w14:paraId="21136F90" w14:textId="77777777" w:rsidR="00BF0619" w:rsidRPr="00AF434B" w:rsidRDefault="00BF0619" w:rsidP="00DB2FE9">
      <w:pPr>
        <w:pStyle w:val="SingleTxtG"/>
        <w:ind w:firstLine="567"/>
        <w:rPr>
          <w:noProof/>
          <w:lang w:val="fr-FR"/>
        </w:rPr>
      </w:pPr>
      <w:r w:rsidRPr="00AF434B">
        <w:rPr>
          <w:noProof/>
          <w:lang w:val="fr-FR"/>
        </w:rPr>
        <w:t>b)</w:t>
      </w:r>
      <w:r w:rsidRPr="00AF434B">
        <w:rPr>
          <w:noProof/>
          <w:lang w:val="fr-FR"/>
        </w:rPr>
        <w:tab/>
      </w:r>
      <w:r>
        <w:rPr>
          <w:noProof/>
          <w:lang w:val="fr-FR"/>
        </w:rPr>
        <w:t>L’acquisition par les jeunes de compétences qui leur permettent de faire en connaissance de cause et en toute sécurité des choix concernant leur sexualité</w:t>
      </w:r>
      <w:r w:rsidR="00DB2FE9">
        <w:rPr>
          <w:noProof/>
          <w:lang w:val="fr-FR"/>
        </w:rPr>
        <w:t> ;</w:t>
      </w:r>
    </w:p>
    <w:p w14:paraId="01AB99BE" w14:textId="77777777" w:rsidR="00BF0619" w:rsidRPr="00AF434B" w:rsidRDefault="00BF0619" w:rsidP="00DB2FE9">
      <w:pPr>
        <w:pStyle w:val="SingleTxtG"/>
        <w:ind w:firstLine="567"/>
        <w:rPr>
          <w:noProof/>
          <w:lang w:val="fr-FR"/>
        </w:rPr>
      </w:pPr>
      <w:r w:rsidRPr="00AF434B">
        <w:rPr>
          <w:noProof/>
          <w:lang w:val="fr-FR"/>
        </w:rPr>
        <w:t>c)</w:t>
      </w:r>
      <w:r w:rsidRPr="00AF434B">
        <w:rPr>
          <w:noProof/>
          <w:lang w:val="fr-FR"/>
        </w:rPr>
        <w:tab/>
      </w:r>
      <w:r>
        <w:rPr>
          <w:noProof/>
          <w:lang w:val="fr-FR"/>
        </w:rPr>
        <w:t>L’amélioration des relations affectives et sexuelles des jeunes</w:t>
      </w:r>
      <w:r w:rsidR="00DB2FE9">
        <w:rPr>
          <w:noProof/>
          <w:lang w:val="fr-FR"/>
        </w:rPr>
        <w:t> ;</w:t>
      </w:r>
    </w:p>
    <w:p w14:paraId="2F35CADE" w14:textId="77777777" w:rsidR="00BF0619" w:rsidRPr="00AF434B" w:rsidRDefault="00BF0619" w:rsidP="00DB2FE9">
      <w:pPr>
        <w:pStyle w:val="SingleTxtG"/>
        <w:ind w:firstLine="567"/>
        <w:rPr>
          <w:noProof/>
          <w:lang w:val="fr-FR"/>
        </w:rPr>
      </w:pPr>
      <w:r w:rsidRPr="00AF434B">
        <w:rPr>
          <w:noProof/>
          <w:lang w:val="fr-FR"/>
        </w:rPr>
        <w:t>d)</w:t>
      </w:r>
      <w:r w:rsidRPr="00AF434B">
        <w:rPr>
          <w:noProof/>
          <w:lang w:val="fr-FR"/>
        </w:rPr>
        <w:tab/>
      </w:r>
      <w:r>
        <w:rPr>
          <w:noProof/>
          <w:lang w:val="fr-FR"/>
        </w:rPr>
        <w:t xml:space="preserve">La diminution des conséquences </w:t>
      </w:r>
      <w:r w:rsidRPr="00AF434B">
        <w:rPr>
          <w:noProof/>
          <w:lang w:val="fr-FR"/>
        </w:rPr>
        <w:t>n</w:t>
      </w:r>
      <w:r>
        <w:rPr>
          <w:noProof/>
          <w:lang w:val="fr-FR"/>
        </w:rPr>
        <w:t>é</w:t>
      </w:r>
      <w:r w:rsidRPr="00AF434B">
        <w:rPr>
          <w:noProof/>
          <w:lang w:val="fr-FR"/>
        </w:rPr>
        <w:t>gative</w:t>
      </w:r>
      <w:r>
        <w:rPr>
          <w:noProof/>
          <w:lang w:val="fr-FR"/>
        </w:rPr>
        <w:t>s des comportements sexuels à risque, telles que les grossesses non désirées et les infections sexuellement transmissibles</w:t>
      </w:r>
      <w:r w:rsidR="00DB2FE9">
        <w:rPr>
          <w:noProof/>
          <w:lang w:val="fr-FR"/>
        </w:rPr>
        <w:t> ;</w:t>
      </w:r>
    </w:p>
    <w:p w14:paraId="3DB46D02" w14:textId="77777777" w:rsidR="00BF0619" w:rsidRPr="00AF434B" w:rsidRDefault="00BF0619" w:rsidP="00DB2FE9">
      <w:pPr>
        <w:pStyle w:val="SingleTxtG"/>
        <w:ind w:firstLine="567"/>
        <w:rPr>
          <w:noProof/>
          <w:lang w:val="fr-FR"/>
        </w:rPr>
      </w:pPr>
      <w:r w:rsidRPr="00AF434B">
        <w:rPr>
          <w:noProof/>
          <w:lang w:val="fr-FR"/>
        </w:rPr>
        <w:t>e)</w:t>
      </w:r>
      <w:r w:rsidRPr="00AF434B">
        <w:rPr>
          <w:noProof/>
          <w:lang w:val="fr-FR"/>
        </w:rPr>
        <w:tab/>
      </w:r>
      <w:r>
        <w:rPr>
          <w:noProof/>
          <w:lang w:val="fr-FR"/>
        </w:rPr>
        <w:t xml:space="preserve">La possibilité de se prémunir contre toutes les </w:t>
      </w:r>
      <w:r w:rsidRPr="00AF434B">
        <w:rPr>
          <w:noProof/>
          <w:lang w:val="fr-FR"/>
        </w:rPr>
        <w:t>form</w:t>
      </w:r>
      <w:r>
        <w:rPr>
          <w:noProof/>
          <w:lang w:val="fr-FR"/>
        </w:rPr>
        <w:t>e</w:t>
      </w:r>
      <w:r w:rsidRPr="00AF434B">
        <w:rPr>
          <w:noProof/>
          <w:lang w:val="fr-FR"/>
        </w:rPr>
        <w:t xml:space="preserve">s </w:t>
      </w:r>
      <w:r>
        <w:rPr>
          <w:noProof/>
          <w:lang w:val="fr-FR"/>
        </w:rPr>
        <w:t>d’</w:t>
      </w:r>
      <w:r w:rsidRPr="00AF434B">
        <w:rPr>
          <w:noProof/>
          <w:lang w:val="fr-FR"/>
        </w:rPr>
        <w:t xml:space="preserve">exploitation </w:t>
      </w:r>
      <w:r>
        <w:rPr>
          <w:noProof/>
          <w:lang w:val="fr-FR"/>
        </w:rPr>
        <w:t>sexuelle et de violence sexuelle</w:t>
      </w:r>
      <w:r w:rsidR="00DB2FE9">
        <w:rPr>
          <w:noProof/>
          <w:lang w:val="fr-FR"/>
        </w:rPr>
        <w:t> ;</w:t>
      </w:r>
    </w:p>
    <w:p w14:paraId="4DC6C5B6" w14:textId="77777777" w:rsidR="00BF0619" w:rsidRPr="00AF434B" w:rsidRDefault="00BF0619" w:rsidP="00DB2FE9">
      <w:pPr>
        <w:pStyle w:val="SingleTxtG"/>
        <w:ind w:firstLine="567"/>
        <w:rPr>
          <w:noProof/>
          <w:lang w:val="fr-FR"/>
        </w:rPr>
      </w:pPr>
      <w:r w:rsidRPr="00AF434B">
        <w:rPr>
          <w:noProof/>
          <w:lang w:val="fr-FR"/>
        </w:rPr>
        <w:t>f)</w:t>
      </w:r>
      <w:r w:rsidRPr="00AF434B">
        <w:rPr>
          <w:noProof/>
          <w:lang w:val="fr-FR"/>
        </w:rPr>
        <w:tab/>
      </w:r>
      <w:r>
        <w:rPr>
          <w:noProof/>
          <w:lang w:val="fr-FR"/>
        </w:rPr>
        <w:t>Le</w:t>
      </w:r>
      <w:r w:rsidRPr="00AF434B">
        <w:rPr>
          <w:noProof/>
          <w:lang w:val="fr-FR"/>
        </w:rPr>
        <w:t xml:space="preserve"> respect </w:t>
      </w:r>
      <w:r>
        <w:rPr>
          <w:noProof/>
          <w:lang w:val="fr-FR"/>
        </w:rPr>
        <w:t>des diffé</w:t>
      </w:r>
      <w:r w:rsidRPr="00AF434B">
        <w:rPr>
          <w:noProof/>
          <w:lang w:val="fr-FR"/>
        </w:rPr>
        <w:t xml:space="preserve">rences </w:t>
      </w:r>
      <w:r>
        <w:rPr>
          <w:noProof/>
          <w:lang w:val="fr-FR"/>
        </w:rPr>
        <w:t>entre les individus, s’agissant notamment de l’orientation sexuelle</w:t>
      </w:r>
      <w:r w:rsidR="00DB2FE9">
        <w:rPr>
          <w:noProof/>
          <w:lang w:val="fr-FR"/>
        </w:rPr>
        <w:t> ;</w:t>
      </w:r>
    </w:p>
    <w:p w14:paraId="5D9BA4BE" w14:textId="77777777" w:rsidR="00BF0619" w:rsidRPr="00AF434B" w:rsidRDefault="00BF0619" w:rsidP="00DB2FE9">
      <w:pPr>
        <w:pStyle w:val="SingleTxtG"/>
        <w:ind w:firstLine="567"/>
        <w:rPr>
          <w:noProof/>
          <w:lang w:val="fr-FR"/>
        </w:rPr>
      </w:pPr>
      <w:r w:rsidRPr="00AF434B">
        <w:rPr>
          <w:noProof/>
          <w:lang w:val="fr-FR"/>
        </w:rPr>
        <w:t>g)</w:t>
      </w:r>
      <w:r w:rsidRPr="00AF434B">
        <w:rPr>
          <w:noProof/>
          <w:lang w:val="fr-FR"/>
        </w:rPr>
        <w:tab/>
      </w:r>
      <w:r>
        <w:rPr>
          <w:noProof/>
          <w:lang w:val="fr-FR"/>
        </w:rPr>
        <w:t>La prise de conscience de l’intérêt de faire des choix responsables et éclairés en matière de sexualité</w:t>
      </w:r>
      <w:r w:rsidR="00DB2FE9">
        <w:rPr>
          <w:noProof/>
          <w:lang w:val="fr-FR"/>
        </w:rPr>
        <w:t> ;</w:t>
      </w:r>
    </w:p>
    <w:p w14:paraId="370BEDC2" w14:textId="77777777" w:rsidR="00BF0619" w:rsidRPr="00AF434B" w:rsidRDefault="00BF0619" w:rsidP="00DB2FE9">
      <w:pPr>
        <w:pStyle w:val="SingleTxtG"/>
        <w:ind w:firstLine="567"/>
        <w:rPr>
          <w:noProof/>
          <w:lang w:val="fr-FR"/>
        </w:rPr>
      </w:pPr>
      <w:r w:rsidRPr="00AF434B">
        <w:rPr>
          <w:noProof/>
          <w:lang w:val="fr-FR"/>
        </w:rPr>
        <w:t>h)</w:t>
      </w:r>
      <w:r w:rsidRPr="00AF434B">
        <w:rPr>
          <w:noProof/>
          <w:lang w:val="fr-FR"/>
        </w:rPr>
        <w:tab/>
      </w:r>
      <w:r>
        <w:rPr>
          <w:noProof/>
          <w:lang w:val="fr-FR"/>
        </w:rPr>
        <w:t xml:space="preserve">La </w:t>
      </w:r>
      <w:r w:rsidRPr="00AF434B">
        <w:rPr>
          <w:noProof/>
          <w:lang w:val="fr-FR"/>
        </w:rPr>
        <w:t xml:space="preserve">promotion </w:t>
      </w:r>
      <w:r>
        <w:rPr>
          <w:noProof/>
          <w:lang w:val="fr-FR"/>
        </w:rPr>
        <w:t>de l’égalité des sexes</w:t>
      </w:r>
      <w:r w:rsidR="00DB2FE9">
        <w:rPr>
          <w:noProof/>
          <w:lang w:val="fr-FR"/>
        </w:rPr>
        <w:t> ;</w:t>
      </w:r>
    </w:p>
    <w:p w14:paraId="5FACF20F" w14:textId="77777777" w:rsidR="00BF0619" w:rsidRPr="00AF434B" w:rsidRDefault="00BF0619" w:rsidP="00DB2FE9">
      <w:pPr>
        <w:pStyle w:val="SingleTxtG"/>
        <w:ind w:firstLine="567"/>
        <w:rPr>
          <w:noProof/>
          <w:lang w:val="fr-FR"/>
        </w:rPr>
      </w:pPr>
      <w:r w:rsidRPr="00AF434B">
        <w:rPr>
          <w:noProof/>
          <w:lang w:val="fr-FR"/>
        </w:rPr>
        <w:t>i)</w:t>
      </w:r>
      <w:r w:rsidRPr="00AF434B">
        <w:rPr>
          <w:noProof/>
          <w:lang w:val="fr-FR"/>
        </w:rPr>
        <w:tab/>
      </w:r>
      <w:r>
        <w:rPr>
          <w:noProof/>
          <w:lang w:val="fr-FR"/>
        </w:rPr>
        <w:t>La prise en compte de l’</w:t>
      </w:r>
      <w:r w:rsidRPr="00AF434B">
        <w:rPr>
          <w:noProof/>
          <w:lang w:val="fr-FR"/>
        </w:rPr>
        <w:t xml:space="preserve">importance </w:t>
      </w:r>
      <w:r>
        <w:rPr>
          <w:noProof/>
          <w:lang w:val="fr-FR"/>
        </w:rPr>
        <w:t>de la participation des</w:t>
      </w:r>
      <w:r w:rsidRPr="00AF434B">
        <w:rPr>
          <w:noProof/>
          <w:lang w:val="fr-FR"/>
        </w:rPr>
        <w:t xml:space="preserve"> parents </w:t>
      </w:r>
      <w:r>
        <w:rPr>
          <w:noProof/>
          <w:lang w:val="fr-FR"/>
        </w:rPr>
        <w:t>et autres dispensateurs de soins</w:t>
      </w:r>
      <w:r w:rsidRPr="00AF434B">
        <w:rPr>
          <w:noProof/>
          <w:lang w:val="fr-FR"/>
        </w:rPr>
        <w:t xml:space="preserve">, </w:t>
      </w:r>
      <w:r>
        <w:rPr>
          <w:noProof/>
          <w:lang w:val="fr-FR"/>
        </w:rPr>
        <w:t>des élèves, des enseignants et des techniciens de la santé au processus éducatif</w:t>
      </w:r>
      <w:r w:rsidR="00DB2FE9">
        <w:rPr>
          <w:noProof/>
          <w:lang w:val="fr-FR"/>
        </w:rPr>
        <w:t> ;</w:t>
      </w:r>
    </w:p>
    <w:p w14:paraId="08CF0757" w14:textId="77777777" w:rsidR="00BF0619" w:rsidRPr="00AF434B" w:rsidRDefault="00BF0619" w:rsidP="00DB2FE9">
      <w:pPr>
        <w:pStyle w:val="SingleTxtG"/>
        <w:ind w:firstLine="567"/>
        <w:rPr>
          <w:noProof/>
          <w:lang w:val="fr-FR"/>
        </w:rPr>
      </w:pPr>
      <w:r w:rsidRPr="00AF434B">
        <w:rPr>
          <w:noProof/>
          <w:lang w:val="fr-FR"/>
        </w:rPr>
        <w:t>j)</w:t>
      </w:r>
      <w:r w:rsidRPr="00AF434B">
        <w:rPr>
          <w:noProof/>
          <w:lang w:val="fr-FR"/>
        </w:rPr>
        <w:tab/>
      </w:r>
      <w:r>
        <w:rPr>
          <w:noProof/>
          <w:lang w:val="fr-FR"/>
        </w:rPr>
        <w:t>La connaissance scientifique du fonctionnement des mécanismes biologiques de la reproduction humaine</w:t>
      </w:r>
      <w:r w:rsidR="00DB2FE9">
        <w:rPr>
          <w:noProof/>
          <w:lang w:val="fr-FR"/>
        </w:rPr>
        <w:t> ;</w:t>
      </w:r>
    </w:p>
    <w:p w14:paraId="09593893" w14:textId="77777777" w:rsidR="00BF0619" w:rsidRPr="00AF434B" w:rsidRDefault="00BF0619" w:rsidP="00DB2FE9">
      <w:pPr>
        <w:pStyle w:val="SingleTxtG"/>
        <w:ind w:firstLine="567"/>
        <w:rPr>
          <w:noProof/>
          <w:lang w:val="fr-FR"/>
        </w:rPr>
      </w:pPr>
      <w:r w:rsidRPr="00AF434B">
        <w:rPr>
          <w:noProof/>
          <w:lang w:val="fr-FR"/>
        </w:rPr>
        <w:t>k)</w:t>
      </w:r>
      <w:r w:rsidRPr="00AF434B">
        <w:rPr>
          <w:noProof/>
          <w:lang w:val="fr-FR"/>
        </w:rPr>
        <w:tab/>
      </w:r>
      <w:r>
        <w:rPr>
          <w:noProof/>
          <w:lang w:val="fr-FR"/>
        </w:rPr>
        <w:t>L’élimination des comportements basés sur la discrimination sexuelle ou sur la violence fondée sur le sexe ou l’orientation sexuelle</w:t>
      </w:r>
      <w:r w:rsidRPr="00AF434B">
        <w:rPr>
          <w:noProof/>
          <w:lang w:val="fr-FR"/>
        </w:rPr>
        <w:t>.</w:t>
      </w:r>
    </w:p>
    <w:p w14:paraId="3EDC1A12" w14:textId="77777777" w:rsidR="00BF0619" w:rsidRPr="00AF434B" w:rsidRDefault="00BF0619" w:rsidP="00BF0619">
      <w:pPr>
        <w:pStyle w:val="SingleTxtG"/>
        <w:rPr>
          <w:noProof/>
          <w:lang w:val="fr-FR"/>
        </w:rPr>
      </w:pPr>
      <w:r w:rsidRPr="00AF434B">
        <w:rPr>
          <w:noProof/>
          <w:lang w:val="fr-FR"/>
        </w:rPr>
        <w:t>111.</w:t>
      </w:r>
      <w:r w:rsidRPr="00AF434B">
        <w:rPr>
          <w:noProof/>
          <w:lang w:val="fr-FR"/>
        </w:rPr>
        <w:tab/>
      </w:r>
      <w:r>
        <w:rPr>
          <w:noProof/>
          <w:lang w:val="fr-FR"/>
        </w:rPr>
        <w:t>En outre, l’</w:t>
      </w:r>
      <w:r w:rsidRPr="00AF434B">
        <w:rPr>
          <w:noProof/>
          <w:lang w:val="fr-FR"/>
        </w:rPr>
        <w:t>article</w:t>
      </w:r>
      <w:r w:rsidR="00DB2FE9">
        <w:rPr>
          <w:noProof/>
          <w:lang w:val="fr-FR"/>
        </w:rPr>
        <w:t> </w:t>
      </w:r>
      <w:r w:rsidRPr="00AF434B">
        <w:rPr>
          <w:noProof/>
          <w:lang w:val="fr-FR"/>
        </w:rPr>
        <w:t>6</w:t>
      </w:r>
      <w:r>
        <w:rPr>
          <w:noProof/>
          <w:lang w:val="fr-FR"/>
        </w:rPr>
        <w:t xml:space="preserve"> de la loi susvisée</w:t>
      </w:r>
      <w:r w:rsidRPr="00AF434B">
        <w:rPr>
          <w:noProof/>
          <w:lang w:val="fr-FR"/>
        </w:rPr>
        <w:t xml:space="preserve">, </w:t>
      </w:r>
      <w:r>
        <w:rPr>
          <w:noProof/>
          <w:lang w:val="fr-FR"/>
        </w:rPr>
        <w:t>se référant au projet éducatif, rend obligatoire l’éducation sexuelle dans les projets éducatifs des groupements scolaires et des écoles non regroupées</w:t>
      </w:r>
      <w:r w:rsidRPr="00AF434B">
        <w:rPr>
          <w:noProof/>
          <w:lang w:val="fr-FR"/>
        </w:rPr>
        <w:t xml:space="preserve">. </w:t>
      </w:r>
      <w:r>
        <w:rPr>
          <w:noProof/>
          <w:lang w:val="fr-FR"/>
        </w:rPr>
        <w:t>Son a</w:t>
      </w:r>
      <w:r w:rsidRPr="00AF434B">
        <w:rPr>
          <w:noProof/>
          <w:lang w:val="fr-FR"/>
        </w:rPr>
        <w:t>rticle</w:t>
      </w:r>
      <w:r w:rsidR="00DB2FE9">
        <w:rPr>
          <w:noProof/>
          <w:lang w:val="fr-FR"/>
        </w:rPr>
        <w:t> </w:t>
      </w:r>
      <w:r w:rsidRPr="00AF434B">
        <w:rPr>
          <w:noProof/>
          <w:lang w:val="fr-FR"/>
        </w:rPr>
        <w:t xml:space="preserve">8 </w:t>
      </w:r>
      <w:r>
        <w:rPr>
          <w:noProof/>
          <w:lang w:val="fr-FR"/>
        </w:rPr>
        <w:t>dispose que les écoles sont tenues de se doter d’un bureau d’information et d’appui pour les élèves (décrit à l’article</w:t>
      </w:r>
      <w:r w:rsidR="00DB2FE9">
        <w:rPr>
          <w:noProof/>
          <w:lang w:val="fr-FR"/>
        </w:rPr>
        <w:t> </w:t>
      </w:r>
      <w:r>
        <w:rPr>
          <w:noProof/>
          <w:lang w:val="fr-FR"/>
        </w:rPr>
        <w:t>10) et l’article</w:t>
      </w:r>
      <w:r w:rsidR="00DB2FE9">
        <w:rPr>
          <w:noProof/>
          <w:lang w:val="fr-FR"/>
        </w:rPr>
        <w:t> </w:t>
      </w:r>
      <w:r>
        <w:rPr>
          <w:noProof/>
          <w:lang w:val="fr-FR"/>
        </w:rPr>
        <w:t>9 souligne que l’éducation sanitaire et l’éducation sexuelle doivent faire l’objet d’un suivi assuré par des agents sanitaires dans les centres de santé et la communauté locale</w:t>
      </w:r>
      <w:r w:rsidRPr="00AF434B">
        <w:rPr>
          <w:noProof/>
          <w:lang w:val="fr-FR"/>
        </w:rPr>
        <w:t xml:space="preserve">. </w:t>
      </w:r>
      <w:r>
        <w:rPr>
          <w:noProof/>
          <w:lang w:val="fr-FR"/>
        </w:rPr>
        <w:t>Enfin, l’article</w:t>
      </w:r>
      <w:r w:rsidR="00DB2FE9">
        <w:rPr>
          <w:noProof/>
          <w:lang w:val="fr-FR"/>
        </w:rPr>
        <w:t> </w:t>
      </w:r>
      <w:r>
        <w:rPr>
          <w:noProof/>
          <w:lang w:val="fr-FR"/>
        </w:rPr>
        <w:t xml:space="preserve">11 de la loi met en exergue la </w:t>
      </w:r>
      <w:r w:rsidRPr="00AF434B">
        <w:rPr>
          <w:noProof/>
          <w:lang w:val="fr-FR"/>
        </w:rPr>
        <w:t xml:space="preserve">participation </w:t>
      </w:r>
      <w:r>
        <w:rPr>
          <w:noProof/>
          <w:lang w:val="fr-FR"/>
        </w:rPr>
        <w:t>de la communauté éducative à ces processus</w:t>
      </w:r>
      <w:r w:rsidRPr="00AF434B">
        <w:rPr>
          <w:noProof/>
          <w:lang w:val="fr-FR"/>
        </w:rPr>
        <w:t>.</w:t>
      </w:r>
    </w:p>
    <w:p w14:paraId="1CE106FF" w14:textId="77777777" w:rsidR="00BF0619" w:rsidRPr="00AF434B" w:rsidRDefault="00BF0619" w:rsidP="00BF0619">
      <w:pPr>
        <w:pStyle w:val="SingleTxtG"/>
        <w:rPr>
          <w:noProof/>
          <w:lang w:val="fr-FR"/>
        </w:rPr>
      </w:pPr>
      <w:r w:rsidRPr="00AF434B">
        <w:rPr>
          <w:noProof/>
          <w:lang w:val="fr-FR"/>
        </w:rPr>
        <w:t>112.</w:t>
      </w:r>
      <w:r w:rsidRPr="00AF434B">
        <w:rPr>
          <w:noProof/>
          <w:lang w:val="fr-FR"/>
        </w:rPr>
        <w:tab/>
      </w:r>
      <w:r>
        <w:rPr>
          <w:noProof/>
          <w:lang w:val="fr-FR"/>
        </w:rPr>
        <w:t>L’article</w:t>
      </w:r>
      <w:r w:rsidR="00DB2FE9">
        <w:rPr>
          <w:noProof/>
          <w:lang w:val="fr-FR"/>
        </w:rPr>
        <w:t> </w:t>
      </w:r>
      <w:r>
        <w:rPr>
          <w:noProof/>
          <w:lang w:val="fr-FR"/>
        </w:rPr>
        <w:t xml:space="preserve">7 relatif aux droits des élèves de la loi </w:t>
      </w:r>
      <w:r w:rsidR="00DB2FE9" w:rsidRPr="00DB2FE9">
        <w:rPr>
          <w:rFonts w:eastAsia="MS Mincho"/>
          <w:noProof/>
          <w:szCs w:val="22"/>
          <w:lang w:val="fr-FR"/>
        </w:rPr>
        <w:t>n</w:t>
      </w:r>
      <w:r w:rsidR="00DB2FE9" w:rsidRPr="00DB2FE9">
        <w:rPr>
          <w:rFonts w:eastAsia="MS Mincho"/>
          <w:noProof/>
          <w:szCs w:val="22"/>
          <w:vertAlign w:val="superscript"/>
          <w:lang w:val="fr-FR"/>
        </w:rPr>
        <w:t>o</w:t>
      </w:r>
      <w:r w:rsidR="00DB2FE9">
        <w:rPr>
          <w:noProof/>
          <w:lang w:val="fr-FR"/>
        </w:rPr>
        <w:t> </w:t>
      </w:r>
      <w:r w:rsidRPr="00AF434B">
        <w:rPr>
          <w:noProof/>
          <w:lang w:val="fr-FR"/>
        </w:rPr>
        <w:t>51/2012</w:t>
      </w:r>
      <w:r>
        <w:rPr>
          <w:noProof/>
          <w:lang w:val="fr-FR"/>
        </w:rPr>
        <w:t xml:space="preserve"> du</w:t>
      </w:r>
      <w:r w:rsidRPr="00AF434B">
        <w:rPr>
          <w:noProof/>
          <w:lang w:val="fr-FR"/>
        </w:rPr>
        <w:t xml:space="preserve"> 5</w:t>
      </w:r>
      <w:r w:rsidR="00DB2FE9">
        <w:rPr>
          <w:noProof/>
          <w:lang w:val="fr-FR"/>
        </w:rPr>
        <w:t> </w:t>
      </w:r>
      <w:r>
        <w:rPr>
          <w:noProof/>
          <w:lang w:val="fr-FR"/>
        </w:rPr>
        <w:t>s</w:t>
      </w:r>
      <w:r w:rsidRPr="00AF434B">
        <w:rPr>
          <w:noProof/>
          <w:lang w:val="fr-FR"/>
        </w:rPr>
        <w:t>eptemb</w:t>
      </w:r>
      <w:r>
        <w:rPr>
          <w:noProof/>
          <w:lang w:val="fr-FR"/>
        </w:rPr>
        <w:t>re sur le statut des élèves et l’éthique dans l’enseignement dispose que les élèves jouissent des droits suivants</w:t>
      </w:r>
      <w:r w:rsidR="00DB2FE9">
        <w:rPr>
          <w:noProof/>
          <w:lang w:val="fr-FR"/>
        </w:rPr>
        <w:t> :</w:t>
      </w:r>
    </w:p>
    <w:p w14:paraId="7FD63209" w14:textId="77777777" w:rsidR="00BF0619" w:rsidRPr="00AF434B" w:rsidRDefault="00BF0619" w:rsidP="00DB2FE9">
      <w:pPr>
        <w:pStyle w:val="SingleTxtG"/>
        <w:ind w:firstLine="567"/>
        <w:rPr>
          <w:noProof/>
          <w:lang w:val="fr-FR"/>
        </w:rPr>
      </w:pPr>
      <w:r w:rsidRPr="00AF434B">
        <w:rPr>
          <w:noProof/>
          <w:lang w:val="fr-FR"/>
        </w:rPr>
        <w:t>a)</w:t>
      </w:r>
      <w:r w:rsidRPr="00AF434B">
        <w:rPr>
          <w:noProof/>
          <w:lang w:val="fr-FR"/>
        </w:rPr>
        <w:tab/>
      </w:r>
      <w:r>
        <w:rPr>
          <w:noProof/>
          <w:lang w:val="fr-FR"/>
        </w:rPr>
        <w:t xml:space="preserve">Être traité de façon respectueuse et correcte par chaque membre de la communauté éducative et, en tout état de cause, ne pas faire l’objet d’une discrimination fondée sur l’origine </w:t>
      </w:r>
      <w:r w:rsidRPr="00AF434B">
        <w:rPr>
          <w:noProof/>
          <w:lang w:val="fr-FR"/>
        </w:rPr>
        <w:t>ethni</w:t>
      </w:r>
      <w:r>
        <w:rPr>
          <w:noProof/>
          <w:lang w:val="fr-FR"/>
        </w:rPr>
        <w:t>que</w:t>
      </w:r>
      <w:r w:rsidRPr="00AF434B">
        <w:rPr>
          <w:noProof/>
          <w:lang w:val="fr-FR"/>
        </w:rPr>
        <w:t xml:space="preserve">, </w:t>
      </w:r>
      <w:r>
        <w:rPr>
          <w:noProof/>
          <w:lang w:val="fr-FR"/>
        </w:rPr>
        <w:t>l’état de santé, le sexe</w:t>
      </w:r>
      <w:r w:rsidRPr="00AF434B">
        <w:rPr>
          <w:noProof/>
          <w:lang w:val="fr-FR"/>
        </w:rPr>
        <w:t xml:space="preserve">, </w:t>
      </w:r>
      <w:r>
        <w:rPr>
          <w:noProof/>
          <w:lang w:val="fr-FR"/>
        </w:rPr>
        <w:t>l’</w:t>
      </w:r>
      <w:r w:rsidRPr="00AF434B">
        <w:rPr>
          <w:noProof/>
          <w:lang w:val="fr-FR"/>
        </w:rPr>
        <w:t>orientation</w:t>
      </w:r>
      <w:r>
        <w:rPr>
          <w:noProof/>
          <w:lang w:val="fr-FR"/>
        </w:rPr>
        <w:t xml:space="preserve"> sexuelle</w:t>
      </w:r>
      <w:r w:rsidRPr="00AF434B">
        <w:rPr>
          <w:noProof/>
          <w:lang w:val="fr-FR"/>
        </w:rPr>
        <w:t xml:space="preserve">, </w:t>
      </w:r>
      <w:r>
        <w:rPr>
          <w:noProof/>
          <w:lang w:val="fr-FR"/>
        </w:rPr>
        <w:t>l’â</w:t>
      </w:r>
      <w:r w:rsidRPr="00AF434B">
        <w:rPr>
          <w:noProof/>
          <w:lang w:val="fr-FR"/>
        </w:rPr>
        <w:t xml:space="preserve">ge, </w:t>
      </w:r>
      <w:r>
        <w:rPr>
          <w:noProof/>
          <w:lang w:val="fr-FR"/>
        </w:rPr>
        <w:t>l’identité de genre</w:t>
      </w:r>
      <w:r w:rsidRPr="00AF434B">
        <w:rPr>
          <w:noProof/>
          <w:lang w:val="fr-FR"/>
        </w:rPr>
        <w:t xml:space="preserve">, </w:t>
      </w:r>
      <w:r>
        <w:rPr>
          <w:noProof/>
          <w:lang w:val="fr-FR"/>
        </w:rPr>
        <w:t>la vulnérabilité é</w:t>
      </w:r>
      <w:r w:rsidRPr="00AF434B">
        <w:rPr>
          <w:noProof/>
          <w:lang w:val="fr-FR"/>
        </w:rPr>
        <w:t>conomi</w:t>
      </w:r>
      <w:r>
        <w:rPr>
          <w:noProof/>
          <w:lang w:val="fr-FR"/>
        </w:rPr>
        <w:t>que</w:t>
      </w:r>
      <w:r w:rsidRPr="00AF434B">
        <w:rPr>
          <w:noProof/>
          <w:lang w:val="fr-FR"/>
        </w:rPr>
        <w:t xml:space="preserve">, </w:t>
      </w:r>
      <w:r>
        <w:rPr>
          <w:noProof/>
          <w:lang w:val="fr-FR"/>
        </w:rPr>
        <w:t>la condition sociale ou culturelle, ou les convictions politiques</w:t>
      </w:r>
      <w:r w:rsidRPr="00AF434B">
        <w:rPr>
          <w:noProof/>
          <w:lang w:val="fr-FR"/>
        </w:rPr>
        <w:t>, id</w:t>
      </w:r>
      <w:r>
        <w:rPr>
          <w:noProof/>
          <w:lang w:val="fr-FR"/>
        </w:rPr>
        <w:t>é</w:t>
      </w:r>
      <w:r w:rsidRPr="00AF434B">
        <w:rPr>
          <w:noProof/>
          <w:lang w:val="fr-FR"/>
        </w:rPr>
        <w:t>ologi</w:t>
      </w:r>
      <w:r>
        <w:rPr>
          <w:noProof/>
          <w:lang w:val="fr-FR"/>
        </w:rPr>
        <w:t>ques</w:t>
      </w:r>
      <w:r w:rsidRPr="00AF434B">
        <w:rPr>
          <w:noProof/>
          <w:lang w:val="fr-FR"/>
        </w:rPr>
        <w:t>, philosophi</w:t>
      </w:r>
      <w:r>
        <w:rPr>
          <w:noProof/>
          <w:lang w:val="fr-FR"/>
        </w:rPr>
        <w:t xml:space="preserve">ques ou </w:t>
      </w:r>
      <w:r w:rsidRPr="00AF434B">
        <w:rPr>
          <w:noProof/>
          <w:lang w:val="fr-FR"/>
        </w:rPr>
        <w:t>religi</w:t>
      </w:r>
      <w:r>
        <w:rPr>
          <w:noProof/>
          <w:lang w:val="fr-FR"/>
        </w:rPr>
        <w:t>euses</w:t>
      </w:r>
      <w:r w:rsidR="00DB2FE9">
        <w:rPr>
          <w:noProof/>
          <w:lang w:val="fr-FR"/>
        </w:rPr>
        <w:t> ;</w:t>
      </w:r>
    </w:p>
    <w:p w14:paraId="574A7576" w14:textId="77777777" w:rsidR="00BF0619" w:rsidRPr="00AF434B" w:rsidRDefault="00BF0619" w:rsidP="00DB2FE9">
      <w:pPr>
        <w:pStyle w:val="SingleTxtG"/>
        <w:ind w:firstLine="567"/>
        <w:rPr>
          <w:noProof/>
          <w:lang w:val="fr-FR"/>
        </w:rPr>
      </w:pPr>
      <w:r w:rsidRPr="00AF434B">
        <w:rPr>
          <w:noProof/>
          <w:lang w:val="fr-FR"/>
        </w:rPr>
        <w:t>b)</w:t>
      </w:r>
      <w:r w:rsidRPr="00AF434B">
        <w:rPr>
          <w:noProof/>
          <w:lang w:val="fr-FR"/>
        </w:rPr>
        <w:tab/>
      </w:r>
      <w:r>
        <w:rPr>
          <w:noProof/>
          <w:lang w:val="fr-FR"/>
        </w:rPr>
        <w:t>Bénéficier d’autres soutiens spécifiques en adéquation avec leurs besoins scolaires ou leur niveau d’apprentissage sous la forme de services de soins psychologiques et d’orientation ou de tous autres services de soutien scolaire spécialisés</w:t>
      </w:r>
      <w:r w:rsidR="00DB2FE9">
        <w:rPr>
          <w:noProof/>
          <w:lang w:val="fr-FR"/>
        </w:rPr>
        <w:t> ;</w:t>
      </w:r>
    </w:p>
    <w:p w14:paraId="5E8902D0" w14:textId="77777777" w:rsidR="00BF0619" w:rsidRPr="00AF434B" w:rsidRDefault="00BF0619" w:rsidP="00DB2FE9">
      <w:pPr>
        <w:pStyle w:val="SingleTxtG"/>
        <w:ind w:firstLine="567"/>
        <w:rPr>
          <w:noProof/>
          <w:lang w:val="fr-FR"/>
        </w:rPr>
      </w:pPr>
      <w:r w:rsidRPr="00AF434B">
        <w:rPr>
          <w:noProof/>
          <w:lang w:val="fr-FR"/>
        </w:rPr>
        <w:t>c)</w:t>
      </w:r>
      <w:r w:rsidRPr="00AF434B">
        <w:rPr>
          <w:noProof/>
          <w:lang w:val="fr-FR"/>
        </w:rPr>
        <w:tab/>
      </w:r>
      <w:r>
        <w:rPr>
          <w:noProof/>
          <w:lang w:val="fr-FR"/>
        </w:rPr>
        <w:t>Voir assurer leur sécurité à l’école et respecter leur intégrité physique et morale, à savoir bénéficier de la protection spéciale garantie par le droit pénal aux membres de la communauté éducative</w:t>
      </w:r>
      <w:r w:rsidR="00DB2FE9">
        <w:rPr>
          <w:noProof/>
          <w:lang w:val="fr-FR"/>
        </w:rPr>
        <w:t> ;</w:t>
      </w:r>
    </w:p>
    <w:p w14:paraId="493DC253" w14:textId="77777777" w:rsidR="00BF0619" w:rsidRPr="00AF434B" w:rsidRDefault="00BF0619" w:rsidP="00DB2FE9">
      <w:pPr>
        <w:pStyle w:val="SingleTxtG"/>
        <w:ind w:firstLine="567"/>
        <w:rPr>
          <w:noProof/>
          <w:lang w:val="fr-FR"/>
        </w:rPr>
      </w:pPr>
      <w:r w:rsidRPr="00AF434B">
        <w:rPr>
          <w:noProof/>
          <w:lang w:val="fr-FR"/>
        </w:rPr>
        <w:t>d)</w:t>
      </w:r>
      <w:r w:rsidRPr="00AF434B">
        <w:rPr>
          <w:noProof/>
          <w:lang w:val="fr-FR"/>
        </w:rPr>
        <w:tab/>
      </w:r>
      <w:r>
        <w:rPr>
          <w:noProof/>
          <w:lang w:val="fr-FR"/>
        </w:rPr>
        <w:t>Bénéficier d’une assistance rapide et appropriée en cas d’</w:t>
      </w:r>
      <w:r w:rsidRPr="00AF434B">
        <w:rPr>
          <w:noProof/>
          <w:lang w:val="fr-FR"/>
        </w:rPr>
        <w:t xml:space="preserve">accident </w:t>
      </w:r>
      <w:r>
        <w:rPr>
          <w:noProof/>
          <w:lang w:val="fr-FR"/>
        </w:rPr>
        <w:t>ou de maladie soudaine se produisant ou se manifestant pendant les activités scolaires</w:t>
      </w:r>
      <w:r w:rsidRPr="00AF434B">
        <w:rPr>
          <w:noProof/>
          <w:lang w:val="fr-FR"/>
        </w:rPr>
        <w:t>.</w:t>
      </w:r>
    </w:p>
    <w:p w14:paraId="6154BF0B" w14:textId="77777777" w:rsidR="00BF0619" w:rsidRPr="00AF434B" w:rsidRDefault="00BF0619" w:rsidP="00BF0619">
      <w:pPr>
        <w:pStyle w:val="SingleTxtG"/>
        <w:rPr>
          <w:noProof/>
          <w:lang w:val="fr-FR"/>
        </w:rPr>
      </w:pPr>
      <w:r w:rsidRPr="00AF434B">
        <w:rPr>
          <w:noProof/>
          <w:lang w:val="fr-FR"/>
        </w:rPr>
        <w:t>113.</w:t>
      </w:r>
      <w:r w:rsidRPr="00AF434B">
        <w:rPr>
          <w:noProof/>
          <w:lang w:val="fr-FR"/>
        </w:rPr>
        <w:tab/>
      </w:r>
      <w:r>
        <w:rPr>
          <w:noProof/>
          <w:lang w:val="fr-FR"/>
        </w:rPr>
        <w:t xml:space="preserve">La Direction générale de l’enseignement, agissant en collaboration avec la Direction générale de la santé et la Direction générale </w:t>
      </w:r>
      <w:r w:rsidRPr="00CF71D5">
        <w:rPr>
          <w:noProof/>
          <w:lang w:val="fr-FR"/>
        </w:rPr>
        <w:t>d’intervention en matière de comportements addictifs et de dépendances</w:t>
      </w:r>
      <w:r>
        <w:rPr>
          <w:noProof/>
          <w:lang w:val="fr-FR"/>
        </w:rPr>
        <w:t xml:space="preserve">, a produit un nouveau  document connexe intitulé « Document de référence sur l’éducation sanitaire », qui a été approuvé et diffusé en mai </w:t>
      </w:r>
      <w:r w:rsidRPr="00AF434B">
        <w:rPr>
          <w:noProof/>
          <w:lang w:val="fr-FR"/>
        </w:rPr>
        <w:t>2017</w:t>
      </w:r>
      <w:r>
        <w:rPr>
          <w:noProof/>
          <w:lang w:val="fr-FR"/>
        </w:rPr>
        <w:t xml:space="preserve"> par le </w:t>
      </w:r>
      <w:r w:rsidRPr="00AF434B">
        <w:rPr>
          <w:noProof/>
          <w:lang w:val="fr-FR"/>
        </w:rPr>
        <w:t>Secr</w:t>
      </w:r>
      <w:r>
        <w:rPr>
          <w:noProof/>
          <w:lang w:val="fr-FR"/>
        </w:rPr>
        <w:t>étaire d’État à l’éducation</w:t>
      </w:r>
      <w:r w:rsidRPr="00AF434B">
        <w:rPr>
          <w:noProof/>
          <w:lang w:val="fr-FR"/>
        </w:rPr>
        <w:t>.</w:t>
      </w:r>
    </w:p>
    <w:p w14:paraId="0B32017C" w14:textId="77777777" w:rsidR="00BF0619" w:rsidRPr="00AF434B" w:rsidRDefault="00BF0619" w:rsidP="00BF0619">
      <w:pPr>
        <w:pStyle w:val="SingleTxtG"/>
        <w:rPr>
          <w:noProof/>
          <w:lang w:val="fr-FR"/>
        </w:rPr>
      </w:pPr>
      <w:r w:rsidRPr="00AF434B">
        <w:rPr>
          <w:noProof/>
          <w:lang w:val="fr-FR"/>
        </w:rPr>
        <w:t>114.</w:t>
      </w:r>
      <w:r w:rsidRPr="00AF434B">
        <w:rPr>
          <w:noProof/>
          <w:lang w:val="fr-FR"/>
        </w:rPr>
        <w:tab/>
      </w:r>
      <w:r>
        <w:rPr>
          <w:noProof/>
          <w:lang w:val="fr-FR"/>
        </w:rPr>
        <w:t>La promotion de l’éducation sanitaire, qui est l’une des dimensions de l’éducation civique, revêt une très grande importance pour le système éducatif</w:t>
      </w:r>
      <w:r w:rsidRPr="00AF434B">
        <w:rPr>
          <w:noProof/>
          <w:lang w:val="fr-FR"/>
        </w:rPr>
        <w:t xml:space="preserve">. </w:t>
      </w:r>
      <w:r>
        <w:rPr>
          <w:noProof/>
          <w:lang w:val="fr-FR"/>
        </w:rPr>
        <w:t xml:space="preserve">En tant que thème </w:t>
      </w:r>
      <w:r w:rsidRPr="00AF434B">
        <w:rPr>
          <w:noProof/>
          <w:lang w:val="fr-FR"/>
        </w:rPr>
        <w:t xml:space="preserve">transversal </w:t>
      </w:r>
      <w:r>
        <w:rPr>
          <w:noProof/>
          <w:lang w:val="fr-FR"/>
        </w:rPr>
        <w:t>et transdisciplinaire</w:t>
      </w:r>
      <w:r w:rsidRPr="00AF434B">
        <w:rPr>
          <w:noProof/>
          <w:lang w:val="fr-FR"/>
        </w:rPr>
        <w:t xml:space="preserve">, </w:t>
      </w:r>
      <w:r>
        <w:rPr>
          <w:noProof/>
          <w:lang w:val="fr-FR"/>
        </w:rPr>
        <w:t>elle suppose</w:t>
      </w:r>
      <w:r w:rsidR="00DB2FE9">
        <w:rPr>
          <w:noProof/>
          <w:lang w:val="fr-FR"/>
        </w:rPr>
        <w:t> :</w:t>
      </w:r>
      <w:r w:rsidRPr="00AF434B">
        <w:rPr>
          <w:noProof/>
          <w:lang w:val="fr-FR"/>
        </w:rPr>
        <w:t xml:space="preserve"> i)</w:t>
      </w:r>
      <w:r w:rsidR="00DB2FE9">
        <w:rPr>
          <w:noProof/>
          <w:lang w:val="fr-FR"/>
        </w:rPr>
        <w:t> </w:t>
      </w:r>
      <w:r>
        <w:rPr>
          <w:noProof/>
          <w:lang w:val="fr-FR"/>
        </w:rPr>
        <w:t>une interpré</w:t>
      </w:r>
      <w:r w:rsidRPr="00AF434B">
        <w:rPr>
          <w:noProof/>
          <w:lang w:val="fr-FR"/>
        </w:rPr>
        <w:t xml:space="preserve">tation </w:t>
      </w:r>
      <w:r>
        <w:rPr>
          <w:noProof/>
          <w:lang w:val="fr-FR"/>
        </w:rPr>
        <w:t>« en spirale » compte tenu de tous les domaines interdépendants auxquels elle touche d’un bout à l’autre de la scolarité</w:t>
      </w:r>
      <w:r w:rsidR="00DB2FE9">
        <w:rPr>
          <w:noProof/>
          <w:lang w:val="fr-FR"/>
        </w:rPr>
        <w:t> </w:t>
      </w:r>
      <w:r w:rsidRPr="00AF434B">
        <w:rPr>
          <w:noProof/>
          <w:lang w:val="fr-FR"/>
        </w:rPr>
        <w:t>; ii)</w:t>
      </w:r>
      <w:r w:rsidR="00DB2FE9">
        <w:rPr>
          <w:noProof/>
          <w:lang w:val="fr-FR"/>
        </w:rPr>
        <w:t> </w:t>
      </w:r>
      <w:r>
        <w:rPr>
          <w:noProof/>
          <w:lang w:val="fr-FR"/>
        </w:rPr>
        <w:t xml:space="preserve">une démarche d’intervention </w:t>
      </w:r>
      <w:r w:rsidRPr="00AF434B">
        <w:rPr>
          <w:noProof/>
          <w:lang w:val="fr-FR"/>
        </w:rPr>
        <w:t>consci</w:t>
      </w:r>
      <w:r>
        <w:rPr>
          <w:noProof/>
          <w:lang w:val="fr-FR"/>
        </w:rPr>
        <w:t>ente</w:t>
      </w:r>
      <w:r w:rsidRPr="00AF434B">
        <w:rPr>
          <w:noProof/>
          <w:lang w:val="fr-FR"/>
        </w:rPr>
        <w:t>, cr</w:t>
      </w:r>
      <w:r>
        <w:rPr>
          <w:noProof/>
          <w:lang w:val="fr-FR"/>
        </w:rPr>
        <w:t>é</w:t>
      </w:r>
      <w:r w:rsidRPr="00AF434B">
        <w:rPr>
          <w:noProof/>
          <w:lang w:val="fr-FR"/>
        </w:rPr>
        <w:t>at</w:t>
      </w:r>
      <w:r>
        <w:rPr>
          <w:noProof/>
          <w:lang w:val="fr-FR"/>
        </w:rPr>
        <w:t>rice et délibérée</w:t>
      </w:r>
      <w:r w:rsidR="00DB2FE9">
        <w:rPr>
          <w:noProof/>
          <w:lang w:val="fr-FR"/>
        </w:rPr>
        <w:t> </w:t>
      </w:r>
      <w:r>
        <w:rPr>
          <w:noProof/>
          <w:lang w:val="fr-FR"/>
        </w:rPr>
        <w:t xml:space="preserve">; </w:t>
      </w:r>
      <w:r w:rsidRPr="00AF434B">
        <w:rPr>
          <w:noProof/>
          <w:lang w:val="fr-FR"/>
        </w:rPr>
        <w:t>iii)</w:t>
      </w:r>
      <w:r w:rsidR="00DB2FE9">
        <w:rPr>
          <w:noProof/>
          <w:lang w:val="fr-FR"/>
        </w:rPr>
        <w:t> </w:t>
      </w:r>
      <w:r>
        <w:rPr>
          <w:noProof/>
          <w:lang w:val="fr-FR"/>
        </w:rPr>
        <w:t>une attitude axée en permanence sur la négociation et qui s’appuie sur des processus éthiques centrés sur les apprenants</w:t>
      </w:r>
      <w:r w:rsidR="00DB2FE9">
        <w:rPr>
          <w:noProof/>
          <w:lang w:val="fr-FR"/>
        </w:rPr>
        <w:t> </w:t>
      </w:r>
      <w:r w:rsidRPr="00AF434B">
        <w:rPr>
          <w:noProof/>
          <w:lang w:val="fr-FR"/>
        </w:rPr>
        <w:t>; iv)</w:t>
      </w:r>
      <w:r w:rsidR="00DB2FE9">
        <w:rPr>
          <w:noProof/>
          <w:lang w:val="fr-FR"/>
        </w:rPr>
        <w:t> </w:t>
      </w:r>
      <w:r>
        <w:rPr>
          <w:noProof/>
          <w:lang w:val="fr-FR"/>
        </w:rPr>
        <w:t>une vision d’ensemble, dans la mesure où il s’agit de faire acquérir des compétences recouvrant l’ensemble du champ scolaire</w:t>
      </w:r>
      <w:r w:rsidRPr="00AF434B">
        <w:rPr>
          <w:noProof/>
          <w:lang w:val="fr-FR"/>
        </w:rPr>
        <w:t>.</w:t>
      </w:r>
    </w:p>
    <w:p w14:paraId="186FA886" w14:textId="77777777" w:rsidR="00BF0619" w:rsidRPr="00AF434B" w:rsidRDefault="00BF0619" w:rsidP="00BF0619">
      <w:pPr>
        <w:pStyle w:val="SingleTxtG"/>
        <w:rPr>
          <w:noProof/>
          <w:lang w:val="fr-FR"/>
        </w:rPr>
      </w:pPr>
      <w:r w:rsidRPr="00AF434B">
        <w:rPr>
          <w:noProof/>
          <w:lang w:val="fr-FR"/>
        </w:rPr>
        <w:t>115.</w:t>
      </w:r>
      <w:r w:rsidRPr="00AF434B">
        <w:rPr>
          <w:noProof/>
          <w:lang w:val="fr-FR"/>
        </w:rPr>
        <w:tab/>
      </w:r>
      <w:r>
        <w:rPr>
          <w:noProof/>
          <w:lang w:val="fr-FR"/>
        </w:rPr>
        <w:t>Le Document de référence sur l’éducation sanitaire est structuré selon les niveaux et les cycles scolaires, à savoir l’éducation préscolaire, les</w:t>
      </w:r>
      <w:r w:rsidR="00F604C4">
        <w:rPr>
          <w:noProof/>
          <w:lang w:val="fr-FR"/>
        </w:rPr>
        <w:t xml:space="preserve"> premier, deuxième </w:t>
      </w:r>
      <w:r>
        <w:rPr>
          <w:noProof/>
          <w:lang w:val="fr-FR"/>
        </w:rPr>
        <w:t xml:space="preserve">et </w:t>
      </w:r>
      <w:r w:rsidR="00F604C4">
        <w:rPr>
          <w:noProof/>
          <w:lang w:val="fr-FR"/>
        </w:rPr>
        <w:t xml:space="preserve">troisième </w:t>
      </w:r>
      <w:r>
        <w:rPr>
          <w:noProof/>
          <w:lang w:val="fr-FR"/>
        </w:rPr>
        <w:t>cycles de l’enseignement de base, et l’enseignement secondaire du second cycle</w:t>
      </w:r>
      <w:r w:rsidRPr="00AF434B">
        <w:rPr>
          <w:noProof/>
          <w:lang w:val="fr-FR"/>
        </w:rPr>
        <w:t>.</w:t>
      </w:r>
    </w:p>
    <w:p w14:paraId="0EA0D22F" w14:textId="77777777" w:rsidR="00BF0619" w:rsidRPr="00AF434B" w:rsidRDefault="00BF0619" w:rsidP="00BF0619">
      <w:pPr>
        <w:pStyle w:val="SingleTxtG"/>
        <w:rPr>
          <w:noProof/>
          <w:lang w:val="fr-FR"/>
        </w:rPr>
      </w:pPr>
      <w:r w:rsidRPr="00AF434B">
        <w:rPr>
          <w:noProof/>
          <w:lang w:val="fr-FR"/>
        </w:rPr>
        <w:t>116.</w:t>
      </w:r>
      <w:r w:rsidRPr="00AF434B">
        <w:rPr>
          <w:noProof/>
          <w:lang w:val="fr-FR"/>
        </w:rPr>
        <w:tab/>
      </w:r>
      <w:r>
        <w:rPr>
          <w:noProof/>
          <w:lang w:val="fr-FR"/>
        </w:rPr>
        <w:t xml:space="preserve">Conçu comme un tout cohérent, ce Document de référence est basé sur une matrice commune à tous les niveaux et cycles scolaires, proposant pour chacun d’eux une démarche de </w:t>
      </w:r>
      <w:r w:rsidRPr="00AF434B">
        <w:rPr>
          <w:noProof/>
          <w:lang w:val="fr-FR"/>
        </w:rPr>
        <w:t xml:space="preserve">PES (Promotion </w:t>
      </w:r>
      <w:r>
        <w:rPr>
          <w:noProof/>
          <w:lang w:val="fr-FR"/>
        </w:rPr>
        <w:t>de l’éducation sanitaire</w:t>
      </w:r>
      <w:r w:rsidRPr="00AF434B">
        <w:rPr>
          <w:noProof/>
          <w:lang w:val="fr-FR"/>
        </w:rPr>
        <w:t xml:space="preserve">) </w:t>
      </w:r>
      <w:r>
        <w:rPr>
          <w:noProof/>
          <w:lang w:val="fr-FR"/>
        </w:rPr>
        <w:t>spécifique</w:t>
      </w:r>
      <w:r w:rsidRPr="00AF434B">
        <w:rPr>
          <w:noProof/>
          <w:lang w:val="fr-FR"/>
        </w:rPr>
        <w:t xml:space="preserve">. </w:t>
      </w:r>
      <w:r>
        <w:rPr>
          <w:noProof/>
          <w:lang w:val="fr-FR"/>
        </w:rPr>
        <w:t>Cinq thèmes généraux ont été retenus, parmi lesquels la prévention de la violence et la santé mentale, cette dernière étant considéré</w:t>
      </w:r>
      <w:r w:rsidR="00F604C4">
        <w:rPr>
          <w:noProof/>
          <w:lang w:val="fr-FR"/>
        </w:rPr>
        <w:t>e</w:t>
      </w:r>
      <w:r>
        <w:rPr>
          <w:noProof/>
          <w:lang w:val="fr-FR"/>
        </w:rPr>
        <w:t xml:space="preserve"> comme le thème fondamental de ce Document</w:t>
      </w:r>
      <w:r w:rsidRPr="00AF434B">
        <w:rPr>
          <w:noProof/>
          <w:lang w:val="fr-FR"/>
        </w:rPr>
        <w:t xml:space="preserve">. </w:t>
      </w:r>
      <w:r>
        <w:rPr>
          <w:noProof/>
          <w:lang w:val="fr-FR"/>
        </w:rPr>
        <w:t xml:space="preserve">La </w:t>
      </w:r>
      <w:r w:rsidRPr="00AF434B">
        <w:rPr>
          <w:noProof/>
          <w:lang w:val="fr-FR"/>
        </w:rPr>
        <w:t xml:space="preserve">promotion </w:t>
      </w:r>
      <w:r>
        <w:rPr>
          <w:noProof/>
          <w:lang w:val="fr-FR"/>
        </w:rPr>
        <w:t>de la santé mentale à l’école, basée sur des interventions structurées destinées à stimuler l’acquisition de compétences socioaffectives</w:t>
      </w:r>
      <w:r w:rsidRPr="00AF434B">
        <w:rPr>
          <w:noProof/>
          <w:lang w:val="fr-FR"/>
        </w:rPr>
        <w:t xml:space="preserve">, </w:t>
      </w:r>
      <w:r>
        <w:rPr>
          <w:noProof/>
          <w:lang w:val="fr-FR"/>
        </w:rPr>
        <w:t>est la stratégie de promotion de la santé la plus efficace, car elle aide les enfants et les jeunes à prendre conscience de leurs émotions et à les gérer, à définir des buts positifs à atteindre au cours de leur vie</w:t>
      </w:r>
      <w:r w:rsidRPr="00AF434B">
        <w:rPr>
          <w:noProof/>
          <w:lang w:val="fr-FR"/>
        </w:rPr>
        <w:t xml:space="preserve">, </w:t>
      </w:r>
      <w:r>
        <w:rPr>
          <w:noProof/>
          <w:lang w:val="fr-FR"/>
        </w:rPr>
        <w:t xml:space="preserve">à </w:t>
      </w:r>
      <w:r w:rsidRPr="00AF434B">
        <w:rPr>
          <w:noProof/>
          <w:lang w:val="fr-FR"/>
        </w:rPr>
        <w:t>analyse</w:t>
      </w:r>
      <w:r>
        <w:rPr>
          <w:noProof/>
          <w:lang w:val="fr-FR"/>
        </w:rPr>
        <w:t>r</w:t>
      </w:r>
      <w:r w:rsidRPr="00AF434B">
        <w:rPr>
          <w:noProof/>
          <w:lang w:val="fr-FR"/>
        </w:rPr>
        <w:t xml:space="preserve"> </w:t>
      </w:r>
      <w:r>
        <w:rPr>
          <w:noProof/>
          <w:lang w:val="fr-FR"/>
        </w:rPr>
        <w:t>la façon dont les autres voient les choses, à établir et conserver des relations positives et à prendre des décisions responsables</w:t>
      </w:r>
      <w:r w:rsidRPr="00AF434B">
        <w:rPr>
          <w:noProof/>
          <w:lang w:val="fr-FR"/>
        </w:rPr>
        <w:t>.</w:t>
      </w:r>
    </w:p>
    <w:p w14:paraId="4AABFCB6" w14:textId="77777777" w:rsidR="00BF0619" w:rsidRPr="00AF434B" w:rsidRDefault="00BF0619" w:rsidP="0035573C">
      <w:pPr>
        <w:pStyle w:val="SingleTxtG"/>
        <w:keepNext/>
        <w:keepLines/>
        <w:rPr>
          <w:noProof/>
          <w:lang w:val="fr-FR"/>
        </w:rPr>
      </w:pPr>
      <w:r w:rsidRPr="00AF434B">
        <w:rPr>
          <w:noProof/>
          <w:lang w:val="fr-FR"/>
        </w:rPr>
        <w:t>117.</w:t>
      </w:r>
      <w:r w:rsidRPr="00AF434B">
        <w:rPr>
          <w:noProof/>
          <w:lang w:val="fr-FR"/>
        </w:rPr>
        <w:tab/>
      </w:r>
      <w:r>
        <w:rPr>
          <w:noProof/>
          <w:lang w:val="fr-FR"/>
        </w:rPr>
        <w:t>Ce Document de référence fixe notamment les objectifs suivants</w:t>
      </w:r>
      <w:r w:rsidR="0035573C">
        <w:rPr>
          <w:noProof/>
          <w:lang w:val="fr-FR"/>
        </w:rPr>
        <w:t> :</w:t>
      </w:r>
    </w:p>
    <w:p w14:paraId="430AAF5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Acquérir la maturité affective</w:t>
      </w:r>
      <w:r w:rsidR="0035573C">
        <w:rPr>
          <w:noProof/>
          <w:lang w:val="fr-FR"/>
        </w:rPr>
        <w:t> ;</w:t>
      </w:r>
    </w:p>
    <w:p w14:paraId="0BF501D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Acquérir la connaissance de soi dans sa dimension affective</w:t>
      </w:r>
      <w:r w:rsidR="0035573C">
        <w:rPr>
          <w:noProof/>
          <w:lang w:val="fr-FR"/>
        </w:rPr>
        <w:t> </w:t>
      </w:r>
      <w:r w:rsidRPr="00AF434B">
        <w:rPr>
          <w:noProof/>
          <w:lang w:val="fr-FR"/>
        </w:rPr>
        <w:t>;</w:t>
      </w:r>
    </w:p>
    <w:p w14:paraId="51550E51"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Construire des relations </w:t>
      </w:r>
      <w:r w:rsidRPr="00AF434B">
        <w:rPr>
          <w:noProof/>
          <w:lang w:val="fr-FR"/>
        </w:rPr>
        <w:t>positive</w:t>
      </w:r>
      <w:r>
        <w:rPr>
          <w:noProof/>
          <w:lang w:val="fr-FR"/>
        </w:rPr>
        <w:t>s</w:t>
      </w:r>
      <w:r w:rsidRPr="00AF434B">
        <w:rPr>
          <w:noProof/>
          <w:lang w:val="fr-FR"/>
        </w:rPr>
        <w:t xml:space="preserve"> </w:t>
      </w:r>
      <w:r>
        <w:rPr>
          <w:noProof/>
          <w:lang w:val="fr-FR"/>
        </w:rPr>
        <w:t>avec autrui et avec l’environnement</w:t>
      </w:r>
      <w:r w:rsidR="0035573C">
        <w:rPr>
          <w:noProof/>
          <w:lang w:val="fr-FR"/>
        </w:rPr>
        <w:t> </w:t>
      </w:r>
      <w:r w:rsidRPr="00AF434B">
        <w:rPr>
          <w:noProof/>
          <w:lang w:val="fr-FR"/>
        </w:rPr>
        <w:t>;</w:t>
      </w:r>
    </w:p>
    <w:p w14:paraId="47131882"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Interveni</w:t>
      </w:r>
      <w:r>
        <w:rPr>
          <w:noProof/>
          <w:lang w:val="fr-FR"/>
        </w:rPr>
        <w:t>r efficacement pour prévenir les risques liés à l’individu, à la situation et à l’environnement</w:t>
      </w:r>
      <w:r w:rsidR="0035573C">
        <w:rPr>
          <w:noProof/>
          <w:lang w:val="fr-FR"/>
        </w:rPr>
        <w:t> </w:t>
      </w:r>
      <w:r w:rsidRPr="00AF434B">
        <w:rPr>
          <w:noProof/>
          <w:lang w:val="fr-FR"/>
        </w:rPr>
        <w:t>;</w:t>
      </w:r>
    </w:p>
    <w:p w14:paraId="42A02053"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Identif</w:t>
      </w:r>
      <w:r>
        <w:rPr>
          <w:noProof/>
          <w:lang w:val="fr-FR"/>
        </w:rPr>
        <w:t xml:space="preserve">ier la </w:t>
      </w:r>
      <w:r w:rsidRPr="00AF434B">
        <w:rPr>
          <w:noProof/>
          <w:lang w:val="fr-FR"/>
        </w:rPr>
        <w:t xml:space="preserve">violence </w:t>
      </w:r>
      <w:r>
        <w:rPr>
          <w:noProof/>
          <w:lang w:val="fr-FR"/>
        </w:rPr>
        <w:t>dirigée contre autrui</w:t>
      </w:r>
      <w:r w:rsidR="0035573C">
        <w:rPr>
          <w:noProof/>
          <w:lang w:val="fr-FR"/>
        </w:rPr>
        <w:t> </w:t>
      </w:r>
      <w:r w:rsidRPr="00AF434B">
        <w:rPr>
          <w:noProof/>
          <w:lang w:val="fr-FR"/>
        </w:rPr>
        <w:t>;</w:t>
      </w:r>
    </w:p>
    <w:p w14:paraId="1404D59D"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Identif</w:t>
      </w:r>
      <w:r>
        <w:rPr>
          <w:noProof/>
          <w:lang w:val="fr-FR"/>
        </w:rPr>
        <w:t xml:space="preserve">ier la </w:t>
      </w:r>
      <w:r w:rsidRPr="00AF434B">
        <w:rPr>
          <w:noProof/>
          <w:lang w:val="fr-FR"/>
        </w:rPr>
        <w:t xml:space="preserve">violence </w:t>
      </w:r>
      <w:r>
        <w:rPr>
          <w:noProof/>
          <w:lang w:val="fr-FR"/>
        </w:rPr>
        <w:t>dirigée contre soi</w:t>
      </w:r>
      <w:r w:rsidR="0035573C">
        <w:rPr>
          <w:noProof/>
          <w:lang w:val="fr-FR"/>
        </w:rPr>
        <w:t> </w:t>
      </w:r>
      <w:r w:rsidRPr="00AF434B">
        <w:rPr>
          <w:noProof/>
          <w:lang w:val="fr-FR"/>
        </w:rPr>
        <w:t>;</w:t>
      </w:r>
    </w:p>
    <w:p w14:paraId="1883AA2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Adopt</w:t>
      </w:r>
      <w:r>
        <w:rPr>
          <w:noProof/>
          <w:lang w:val="fr-FR"/>
        </w:rPr>
        <w:t xml:space="preserve">er une </w:t>
      </w:r>
      <w:r w:rsidRPr="00AF434B">
        <w:rPr>
          <w:noProof/>
          <w:lang w:val="fr-FR"/>
        </w:rPr>
        <w:t xml:space="preserve">culture </w:t>
      </w:r>
      <w:r>
        <w:rPr>
          <w:noProof/>
          <w:lang w:val="fr-FR"/>
        </w:rPr>
        <w:t>de</w:t>
      </w:r>
      <w:r w:rsidRPr="00AF434B">
        <w:rPr>
          <w:noProof/>
          <w:lang w:val="fr-FR"/>
        </w:rPr>
        <w:t xml:space="preserve"> respect </w:t>
      </w:r>
      <w:r>
        <w:rPr>
          <w:noProof/>
          <w:lang w:val="fr-FR"/>
        </w:rPr>
        <w:t xml:space="preserve">et de </w:t>
      </w:r>
      <w:r w:rsidRPr="00AF434B">
        <w:rPr>
          <w:noProof/>
          <w:lang w:val="fr-FR"/>
        </w:rPr>
        <w:t>tol</w:t>
      </w:r>
      <w:r>
        <w:rPr>
          <w:noProof/>
          <w:lang w:val="fr-FR"/>
        </w:rPr>
        <w:t>é</w:t>
      </w:r>
      <w:r w:rsidRPr="00AF434B">
        <w:rPr>
          <w:noProof/>
          <w:lang w:val="fr-FR"/>
        </w:rPr>
        <w:t>rance</w:t>
      </w:r>
      <w:r w:rsidR="0035573C">
        <w:rPr>
          <w:noProof/>
          <w:lang w:val="fr-FR"/>
        </w:rPr>
        <w:t> </w:t>
      </w:r>
      <w:r w:rsidRPr="00AF434B">
        <w:rPr>
          <w:noProof/>
          <w:lang w:val="fr-FR"/>
        </w:rPr>
        <w:t>;</w:t>
      </w:r>
    </w:p>
    <w:p w14:paraId="0E22490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Dé</w:t>
      </w:r>
      <w:r w:rsidRPr="00AF434B">
        <w:rPr>
          <w:noProof/>
          <w:lang w:val="fr-FR"/>
        </w:rPr>
        <w:t>velop</w:t>
      </w:r>
      <w:r>
        <w:rPr>
          <w:noProof/>
          <w:lang w:val="fr-FR"/>
        </w:rPr>
        <w:t xml:space="preserve">per les valeurs de </w:t>
      </w:r>
      <w:r w:rsidRPr="00AF434B">
        <w:rPr>
          <w:noProof/>
          <w:lang w:val="fr-FR"/>
        </w:rPr>
        <w:t>cit</w:t>
      </w:r>
      <w:r>
        <w:rPr>
          <w:noProof/>
          <w:lang w:val="fr-FR"/>
        </w:rPr>
        <w:t>oyenneté, de solidarité</w:t>
      </w:r>
      <w:r w:rsidRPr="00AF434B">
        <w:rPr>
          <w:noProof/>
          <w:lang w:val="fr-FR"/>
        </w:rPr>
        <w:t xml:space="preserve"> </w:t>
      </w:r>
      <w:r>
        <w:rPr>
          <w:noProof/>
          <w:lang w:val="fr-FR"/>
        </w:rPr>
        <w:t xml:space="preserve">et de </w:t>
      </w:r>
      <w:r w:rsidRPr="00AF434B">
        <w:rPr>
          <w:noProof/>
          <w:lang w:val="fr-FR"/>
        </w:rPr>
        <w:t xml:space="preserve">respect </w:t>
      </w:r>
      <w:r>
        <w:rPr>
          <w:noProof/>
          <w:lang w:val="fr-FR"/>
        </w:rPr>
        <w:t>des</w:t>
      </w:r>
      <w:r w:rsidRPr="00AF434B">
        <w:rPr>
          <w:noProof/>
          <w:lang w:val="fr-FR"/>
        </w:rPr>
        <w:t xml:space="preserve"> diff</w:t>
      </w:r>
      <w:r>
        <w:rPr>
          <w:noProof/>
          <w:lang w:val="fr-FR"/>
        </w:rPr>
        <w:t>é</w:t>
      </w:r>
      <w:r w:rsidRPr="00AF434B">
        <w:rPr>
          <w:noProof/>
          <w:lang w:val="fr-FR"/>
        </w:rPr>
        <w:t>rences</w:t>
      </w:r>
      <w:r w:rsidR="0035573C">
        <w:rPr>
          <w:noProof/>
          <w:lang w:val="fr-FR"/>
        </w:rPr>
        <w:t> </w:t>
      </w:r>
      <w:r w:rsidRPr="00AF434B">
        <w:rPr>
          <w:noProof/>
          <w:lang w:val="fr-FR"/>
        </w:rPr>
        <w:t>;</w:t>
      </w:r>
    </w:p>
    <w:p w14:paraId="54590668"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Prendre conscience d’être un être humain unique pour ce qui est de sa sexualité</w:t>
      </w:r>
      <w:r w:rsidRPr="00AF434B">
        <w:rPr>
          <w:noProof/>
          <w:lang w:val="fr-FR"/>
        </w:rPr>
        <w:t xml:space="preserve">, </w:t>
      </w:r>
      <w:r>
        <w:rPr>
          <w:noProof/>
          <w:lang w:val="fr-FR"/>
        </w:rPr>
        <w:t xml:space="preserve">de son </w:t>
      </w:r>
      <w:r w:rsidRPr="00AF434B">
        <w:rPr>
          <w:noProof/>
          <w:lang w:val="fr-FR"/>
        </w:rPr>
        <w:t>identit</w:t>
      </w:r>
      <w:r>
        <w:rPr>
          <w:noProof/>
          <w:lang w:val="fr-FR"/>
        </w:rPr>
        <w:t>é</w:t>
      </w:r>
      <w:r w:rsidRPr="00AF434B">
        <w:rPr>
          <w:noProof/>
          <w:lang w:val="fr-FR"/>
        </w:rPr>
        <w:t xml:space="preserve">, </w:t>
      </w:r>
      <w:r>
        <w:rPr>
          <w:noProof/>
          <w:lang w:val="fr-FR"/>
        </w:rPr>
        <w:t>de son expression de genre et de son orientation sexuelle</w:t>
      </w:r>
      <w:r w:rsidR="0035573C">
        <w:rPr>
          <w:noProof/>
          <w:lang w:val="fr-FR"/>
        </w:rPr>
        <w:t> </w:t>
      </w:r>
      <w:r w:rsidRPr="00AF434B">
        <w:rPr>
          <w:noProof/>
          <w:lang w:val="fr-FR"/>
        </w:rPr>
        <w:t>;</w:t>
      </w:r>
    </w:p>
    <w:p w14:paraId="7657B4B2"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Dé</w:t>
      </w:r>
      <w:r w:rsidRPr="00AF434B">
        <w:rPr>
          <w:noProof/>
          <w:lang w:val="fr-FR"/>
        </w:rPr>
        <w:t>velop</w:t>
      </w:r>
      <w:r>
        <w:rPr>
          <w:noProof/>
          <w:lang w:val="fr-FR"/>
        </w:rPr>
        <w:t xml:space="preserve">per une attitude </w:t>
      </w:r>
      <w:r w:rsidRPr="00AF434B">
        <w:rPr>
          <w:noProof/>
          <w:lang w:val="fr-FR"/>
        </w:rPr>
        <w:t xml:space="preserve">positive </w:t>
      </w:r>
      <w:r>
        <w:rPr>
          <w:noProof/>
          <w:lang w:val="fr-FR"/>
        </w:rPr>
        <w:t>à l’égard de l’égalité des sexes</w:t>
      </w:r>
      <w:r w:rsidR="0035573C">
        <w:rPr>
          <w:noProof/>
          <w:lang w:val="fr-FR"/>
        </w:rPr>
        <w:t> </w:t>
      </w:r>
      <w:r w:rsidRPr="00AF434B">
        <w:rPr>
          <w:noProof/>
          <w:lang w:val="fr-FR"/>
        </w:rPr>
        <w:t>;</w:t>
      </w:r>
    </w:p>
    <w:p w14:paraId="1DBC069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Prendre conscience de l’</w:t>
      </w:r>
      <w:r w:rsidRPr="00AF434B">
        <w:rPr>
          <w:noProof/>
          <w:lang w:val="fr-FR"/>
        </w:rPr>
        <w:t xml:space="preserve">importance </w:t>
      </w:r>
      <w:r>
        <w:rPr>
          <w:noProof/>
          <w:lang w:val="fr-FR"/>
        </w:rPr>
        <w:t>des liens affectifs pour le développement individuel</w:t>
      </w:r>
      <w:r w:rsidR="0035573C">
        <w:rPr>
          <w:noProof/>
          <w:lang w:val="fr-FR"/>
        </w:rPr>
        <w:t> </w:t>
      </w:r>
      <w:r w:rsidRPr="00AF434B">
        <w:rPr>
          <w:noProof/>
          <w:lang w:val="fr-FR"/>
        </w:rPr>
        <w:t>;</w:t>
      </w:r>
    </w:p>
    <w:p w14:paraId="5156183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Prendre conscience de l’</w:t>
      </w:r>
      <w:r w:rsidRPr="00AF434B">
        <w:rPr>
          <w:noProof/>
          <w:lang w:val="fr-FR"/>
        </w:rPr>
        <w:t xml:space="preserve">importance </w:t>
      </w:r>
      <w:r>
        <w:rPr>
          <w:noProof/>
          <w:lang w:val="fr-FR"/>
        </w:rPr>
        <w:t>des relations</w:t>
      </w:r>
      <w:r w:rsidRPr="00AF434B">
        <w:rPr>
          <w:noProof/>
          <w:lang w:val="fr-FR"/>
        </w:rPr>
        <w:t xml:space="preserve"> interperson</w:t>
      </w:r>
      <w:r>
        <w:rPr>
          <w:noProof/>
          <w:lang w:val="fr-FR"/>
        </w:rPr>
        <w:t>nelles</w:t>
      </w:r>
      <w:r w:rsidR="0035573C">
        <w:rPr>
          <w:noProof/>
          <w:lang w:val="fr-FR"/>
        </w:rPr>
        <w:t> </w:t>
      </w:r>
      <w:r w:rsidRPr="00AF434B">
        <w:rPr>
          <w:noProof/>
          <w:lang w:val="fr-FR"/>
        </w:rPr>
        <w:t>;</w:t>
      </w:r>
    </w:p>
    <w:p w14:paraId="6EEAC5E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Val</w:t>
      </w:r>
      <w:r>
        <w:rPr>
          <w:noProof/>
          <w:lang w:val="fr-FR"/>
        </w:rPr>
        <w:t>oriser les liens de coopération et d’entraide</w:t>
      </w:r>
      <w:r w:rsidR="0035573C">
        <w:rPr>
          <w:noProof/>
          <w:lang w:val="fr-FR"/>
        </w:rPr>
        <w:t> </w:t>
      </w:r>
      <w:r w:rsidRPr="00AF434B">
        <w:rPr>
          <w:noProof/>
          <w:lang w:val="fr-FR"/>
        </w:rPr>
        <w:t>;</w:t>
      </w:r>
    </w:p>
    <w:p w14:paraId="3FB6E7F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Dé</w:t>
      </w:r>
      <w:r w:rsidRPr="00AF434B">
        <w:rPr>
          <w:noProof/>
          <w:lang w:val="fr-FR"/>
        </w:rPr>
        <w:t>velop</w:t>
      </w:r>
      <w:r>
        <w:rPr>
          <w:noProof/>
          <w:lang w:val="fr-FR"/>
        </w:rPr>
        <w:t xml:space="preserve">per les valeurs de </w:t>
      </w:r>
      <w:r w:rsidRPr="00AF434B">
        <w:rPr>
          <w:noProof/>
          <w:lang w:val="fr-FR"/>
        </w:rPr>
        <w:t xml:space="preserve">respect, </w:t>
      </w:r>
      <w:r>
        <w:rPr>
          <w:noProof/>
          <w:lang w:val="fr-FR"/>
        </w:rPr>
        <w:t xml:space="preserve">de </w:t>
      </w:r>
      <w:r w:rsidRPr="00AF434B">
        <w:rPr>
          <w:noProof/>
          <w:lang w:val="fr-FR"/>
        </w:rPr>
        <w:t>tol</w:t>
      </w:r>
      <w:r>
        <w:rPr>
          <w:noProof/>
          <w:lang w:val="fr-FR"/>
        </w:rPr>
        <w:t>é</w:t>
      </w:r>
      <w:r w:rsidRPr="00AF434B">
        <w:rPr>
          <w:noProof/>
          <w:lang w:val="fr-FR"/>
        </w:rPr>
        <w:t xml:space="preserve">rance </w:t>
      </w:r>
      <w:r>
        <w:rPr>
          <w:noProof/>
          <w:lang w:val="fr-FR"/>
        </w:rPr>
        <w:t>et de partage</w:t>
      </w:r>
      <w:r w:rsidR="0035573C">
        <w:rPr>
          <w:noProof/>
          <w:lang w:val="fr-FR"/>
        </w:rPr>
        <w:t> </w:t>
      </w:r>
      <w:r w:rsidRPr="00AF434B">
        <w:rPr>
          <w:noProof/>
          <w:lang w:val="fr-FR"/>
        </w:rPr>
        <w:t>;</w:t>
      </w:r>
    </w:p>
    <w:p w14:paraId="66ECC4D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Adopt</w:t>
      </w:r>
      <w:r>
        <w:rPr>
          <w:noProof/>
          <w:lang w:val="fr-FR"/>
        </w:rPr>
        <w:t xml:space="preserve">er des </w:t>
      </w:r>
      <w:r w:rsidRPr="00AF434B">
        <w:rPr>
          <w:noProof/>
          <w:lang w:val="fr-FR"/>
        </w:rPr>
        <w:t xml:space="preserve">attitudes </w:t>
      </w:r>
      <w:r>
        <w:rPr>
          <w:noProof/>
          <w:lang w:val="fr-FR"/>
        </w:rPr>
        <w:t>et des comportements sains</w:t>
      </w:r>
      <w:r w:rsidR="0035573C">
        <w:rPr>
          <w:noProof/>
          <w:lang w:val="fr-FR"/>
        </w:rPr>
        <w:t> </w:t>
      </w:r>
      <w:r w:rsidRPr="00AF434B">
        <w:rPr>
          <w:noProof/>
          <w:lang w:val="fr-FR"/>
        </w:rPr>
        <w:t>;</w:t>
      </w:r>
    </w:p>
    <w:p w14:paraId="24495AF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Reconnaître que les droits en matière de sexualité et de procréation sont l’une des composantes des droits de l’homme</w:t>
      </w:r>
      <w:r w:rsidRPr="00AF434B">
        <w:rPr>
          <w:noProof/>
          <w:lang w:val="fr-FR"/>
        </w:rPr>
        <w:t>.</w:t>
      </w:r>
    </w:p>
    <w:p w14:paraId="2D332878" w14:textId="77777777" w:rsidR="00BF0619" w:rsidRPr="00AF434B" w:rsidRDefault="00BF0619" w:rsidP="00BF0619">
      <w:pPr>
        <w:pStyle w:val="SingleTxtG"/>
        <w:rPr>
          <w:noProof/>
          <w:lang w:val="fr-FR"/>
        </w:rPr>
      </w:pPr>
      <w:r w:rsidRPr="00AF434B">
        <w:rPr>
          <w:noProof/>
          <w:lang w:val="fr-FR"/>
        </w:rPr>
        <w:t>118.</w:t>
      </w:r>
      <w:r w:rsidRPr="00AF434B">
        <w:rPr>
          <w:noProof/>
          <w:lang w:val="fr-FR"/>
        </w:rPr>
        <w:tab/>
      </w:r>
      <w:r>
        <w:rPr>
          <w:noProof/>
          <w:lang w:val="fr-FR"/>
        </w:rPr>
        <w:t>Afin de faciliter l’utilisation de ce Document de référence, des séances de formation ont été organisées à l’intention des instructeurs chargés de former les enseignants dans plusieurs régions du pays. Ces séances seront rééditées pour tous les enseignants dans leurs centres de formation respectifs</w:t>
      </w:r>
      <w:r w:rsidRPr="00AF434B">
        <w:rPr>
          <w:noProof/>
          <w:lang w:val="fr-FR"/>
        </w:rPr>
        <w:t>.</w:t>
      </w:r>
    </w:p>
    <w:p w14:paraId="1EA457AA" w14:textId="77777777" w:rsidR="00BF0619" w:rsidRPr="00AF434B" w:rsidRDefault="00BF0619" w:rsidP="00BF0619">
      <w:pPr>
        <w:pStyle w:val="SingleTxtG"/>
        <w:rPr>
          <w:noProof/>
          <w:lang w:val="fr-FR"/>
        </w:rPr>
      </w:pPr>
      <w:r w:rsidRPr="00AF434B">
        <w:rPr>
          <w:noProof/>
          <w:lang w:val="fr-FR"/>
        </w:rPr>
        <w:t>119.</w:t>
      </w:r>
      <w:r w:rsidRPr="00AF434B">
        <w:rPr>
          <w:noProof/>
          <w:lang w:val="fr-FR"/>
        </w:rPr>
        <w:tab/>
      </w:r>
      <w:r>
        <w:rPr>
          <w:noProof/>
          <w:lang w:val="fr-FR"/>
        </w:rPr>
        <w:t>De plus, on dispose de données scientifiques qui montrent que la promotion des compétences socioaffectives, en particulier lorsqu’elles sont incorporées au programme d’études, diminue les problèmes de comportement à l’école et tout au long de la vie</w:t>
      </w:r>
      <w:r w:rsidRPr="00AF434B">
        <w:rPr>
          <w:noProof/>
          <w:lang w:val="fr-FR"/>
        </w:rPr>
        <w:t xml:space="preserve">, </w:t>
      </w:r>
      <w:r>
        <w:rPr>
          <w:noProof/>
          <w:lang w:val="fr-FR"/>
        </w:rPr>
        <w:t>réduit les souffrances affectives</w:t>
      </w:r>
      <w:r w:rsidRPr="00AF434B">
        <w:rPr>
          <w:noProof/>
          <w:lang w:val="fr-FR"/>
        </w:rPr>
        <w:t xml:space="preserve">, </w:t>
      </w:r>
      <w:r>
        <w:rPr>
          <w:noProof/>
          <w:lang w:val="fr-FR"/>
        </w:rPr>
        <w:t>améliore les résultats scolaires des élèves et leur permet d’avoir un mode de vie plus sain</w:t>
      </w:r>
      <w:r w:rsidRPr="00AF434B">
        <w:rPr>
          <w:noProof/>
          <w:lang w:val="fr-FR"/>
        </w:rPr>
        <w:t>.</w:t>
      </w:r>
    </w:p>
    <w:p w14:paraId="21C3E6F5" w14:textId="77777777" w:rsidR="00BF0619" w:rsidRPr="00AF434B" w:rsidRDefault="00BF0619" w:rsidP="00BF0619">
      <w:pPr>
        <w:pStyle w:val="SingleTxtG"/>
        <w:rPr>
          <w:noProof/>
          <w:lang w:val="fr-FR"/>
        </w:rPr>
      </w:pPr>
      <w:r w:rsidRPr="00AF434B">
        <w:rPr>
          <w:noProof/>
          <w:lang w:val="fr-FR"/>
        </w:rPr>
        <w:t>120.</w:t>
      </w:r>
      <w:r w:rsidRPr="00AF434B">
        <w:rPr>
          <w:noProof/>
          <w:lang w:val="fr-FR"/>
        </w:rPr>
        <w:tab/>
      </w:r>
      <w:r>
        <w:rPr>
          <w:noProof/>
          <w:lang w:val="fr-FR"/>
        </w:rPr>
        <w:t>Considérant que la santé mentale et l’acquisition de compétences affectives et sociales sont essentielles pour adopter des comportements sains et établir des relations interpersonnelles positives pour le bien-être individuel et collectif des enfants et des jeunes, ainsi que pour développer chez ces derniers un engagement actif, conscient et participatif sur le plan civique</w:t>
      </w:r>
      <w:r w:rsidRPr="00AF434B">
        <w:rPr>
          <w:noProof/>
          <w:lang w:val="fr-FR"/>
        </w:rPr>
        <w:t xml:space="preserve">, </w:t>
      </w:r>
      <w:r>
        <w:rPr>
          <w:noProof/>
          <w:lang w:val="fr-FR"/>
        </w:rPr>
        <w:t>la Direction générale de l’enseignement a, en collaboration avec la Direction générale de la santé, conçu un projet consistant à produire un document conjoint et à former des enseignants et des techniciens de la santé</w:t>
      </w:r>
      <w:r w:rsidRPr="00AF434B">
        <w:rPr>
          <w:noProof/>
          <w:lang w:val="fr-FR"/>
        </w:rPr>
        <w:t xml:space="preserve">. </w:t>
      </w:r>
      <w:r>
        <w:rPr>
          <w:noProof/>
          <w:lang w:val="fr-FR"/>
        </w:rPr>
        <w:t xml:space="preserve">Ce travail vise à renforcer les </w:t>
      </w:r>
      <w:r w:rsidRPr="00AF434B">
        <w:rPr>
          <w:noProof/>
          <w:lang w:val="fr-FR"/>
        </w:rPr>
        <w:t>comp</w:t>
      </w:r>
      <w:r>
        <w:rPr>
          <w:noProof/>
          <w:lang w:val="fr-FR"/>
        </w:rPr>
        <w:t>é</w:t>
      </w:r>
      <w:r w:rsidRPr="00AF434B">
        <w:rPr>
          <w:noProof/>
          <w:lang w:val="fr-FR"/>
        </w:rPr>
        <w:t xml:space="preserve">tences </w:t>
      </w:r>
      <w:r>
        <w:rPr>
          <w:noProof/>
          <w:lang w:val="fr-FR"/>
        </w:rPr>
        <w:t xml:space="preserve">de ces derniers en leur donnant, d’une manière concomitante et propre à optimiser les ressources, les moyens de faire acquérir aux enfants et aux jeunes diverses compétences, telles que l’assurance, la </w:t>
      </w:r>
      <w:r w:rsidRPr="00AF434B">
        <w:rPr>
          <w:noProof/>
          <w:lang w:val="fr-FR"/>
        </w:rPr>
        <w:t>r</w:t>
      </w:r>
      <w:r>
        <w:rPr>
          <w:noProof/>
          <w:lang w:val="fr-FR"/>
        </w:rPr>
        <w:t>é</w:t>
      </w:r>
      <w:r w:rsidRPr="00AF434B">
        <w:rPr>
          <w:noProof/>
          <w:lang w:val="fr-FR"/>
        </w:rPr>
        <w:t xml:space="preserve">silience, </w:t>
      </w:r>
      <w:r>
        <w:rPr>
          <w:noProof/>
          <w:lang w:val="fr-FR"/>
        </w:rPr>
        <w:t xml:space="preserve">la </w:t>
      </w:r>
      <w:r w:rsidRPr="00AF434B">
        <w:rPr>
          <w:noProof/>
          <w:lang w:val="fr-FR"/>
        </w:rPr>
        <w:t xml:space="preserve">communication, </w:t>
      </w:r>
      <w:r>
        <w:rPr>
          <w:noProof/>
          <w:lang w:val="fr-FR"/>
        </w:rPr>
        <w:t>l’</w:t>
      </w:r>
      <w:r w:rsidRPr="00AF434B">
        <w:rPr>
          <w:noProof/>
          <w:lang w:val="fr-FR"/>
        </w:rPr>
        <w:t>autonom</w:t>
      </w:r>
      <w:r>
        <w:rPr>
          <w:noProof/>
          <w:lang w:val="fr-FR"/>
        </w:rPr>
        <w:t>ie</w:t>
      </w:r>
      <w:r w:rsidRPr="00AF434B">
        <w:rPr>
          <w:noProof/>
          <w:lang w:val="fr-FR"/>
        </w:rPr>
        <w:t xml:space="preserve"> </w:t>
      </w:r>
      <w:r>
        <w:rPr>
          <w:noProof/>
          <w:lang w:val="fr-FR"/>
        </w:rPr>
        <w:t>et le respect</w:t>
      </w:r>
      <w:r w:rsidRPr="00AF434B">
        <w:rPr>
          <w:noProof/>
          <w:lang w:val="fr-FR"/>
        </w:rPr>
        <w:t>.</w:t>
      </w:r>
    </w:p>
    <w:p w14:paraId="73800271" w14:textId="77777777" w:rsidR="00BF0619" w:rsidRPr="00AF434B" w:rsidRDefault="00BF0619" w:rsidP="00BF0619">
      <w:pPr>
        <w:pStyle w:val="SingleTxtG"/>
        <w:rPr>
          <w:noProof/>
          <w:lang w:val="fr-FR"/>
        </w:rPr>
      </w:pPr>
      <w:r w:rsidRPr="00AF434B">
        <w:rPr>
          <w:noProof/>
          <w:lang w:val="fr-FR"/>
        </w:rPr>
        <w:t>121.</w:t>
      </w:r>
      <w:r w:rsidRPr="00AF434B">
        <w:rPr>
          <w:noProof/>
          <w:lang w:val="fr-FR"/>
        </w:rPr>
        <w:tab/>
      </w:r>
      <w:r>
        <w:rPr>
          <w:noProof/>
          <w:lang w:val="fr-FR"/>
        </w:rPr>
        <w:t>La Direction générale de l’enseignement appuie et surveille l’action menée par les établissements scolaires en matière d’éducation sanitaire, en indiquant la méthode à suivre dans le cadre des projets</w:t>
      </w:r>
      <w:r w:rsidRPr="00AF434B">
        <w:rPr>
          <w:noProof/>
          <w:lang w:val="fr-FR"/>
        </w:rPr>
        <w:t>.</w:t>
      </w:r>
    </w:p>
    <w:p w14:paraId="10EAA729" w14:textId="77777777" w:rsidR="00BF0619" w:rsidRPr="00AF434B" w:rsidRDefault="00BF0619" w:rsidP="00BF0619">
      <w:pPr>
        <w:pStyle w:val="SingleTxtG"/>
        <w:rPr>
          <w:noProof/>
          <w:lang w:val="fr-FR"/>
        </w:rPr>
      </w:pPr>
      <w:r w:rsidRPr="00AF434B">
        <w:rPr>
          <w:noProof/>
          <w:lang w:val="fr-FR"/>
        </w:rPr>
        <w:t>122.</w:t>
      </w:r>
      <w:r w:rsidRPr="00AF434B">
        <w:rPr>
          <w:noProof/>
          <w:lang w:val="fr-FR"/>
        </w:rPr>
        <w:tab/>
      </w:r>
      <w:r>
        <w:rPr>
          <w:noProof/>
          <w:lang w:val="fr-FR"/>
        </w:rPr>
        <w:t xml:space="preserve">En plus du suivi et de la surveillance du bon déroulement des projets, la Direction générale a alloué jusqu’à l’année scolaire </w:t>
      </w:r>
      <w:r w:rsidRPr="00AF434B">
        <w:rPr>
          <w:noProof/>
          <w:lang w:val="fr-FR"/>
        </w:rPr>
        <w:t>2016/</w:t>
      </w:r>
      <w:r>
        <w:rPr>
          <w:noProof/>
          <w:lang w:val="fr-FR"/>
        </w:rPr>
        <w:t>20</w:t>
      </w:r>
      <w:r w:rsidRPr="00AF434B">
        <w:rPr>
          <w:noProof/>
          <w:lang w:val="fr-FR"/>
        </w:rPr>
        <w:t>17</w:t>
      </w:r>
      <w:r>
        <w:rPr>
          <w:noProof/>
          <w:lang w:val="fr-FR"/>
        </w:rPr>
        <w:t xml:space="preserve"> quelque </w:t>
      </w:r>
      <w:r w:rsidRPr="00AF434B">
        <w:rPr>
          <w:noProof/>
          <w:lang w:val="fr-FR"/>
        </w:rPr>
        <w:t>135</w:t>
      </w:r>
      <w:r w:rsidR="0035573C">
        <w:rPr>
          <w:noProof/>
          <w:lang w:val="fr-FR"/>
        </w:rPr>
        <w:t> </w:t>
      </w:r>
      <w:r w:rsidRPr="00AF434B">
        <w:rPr>
          <w:noProof/>
          <w:lang w:val="fr-FR"/>
        </w:rPr>
        <w:t xml:space="preserve">000 </w:t>
      </w:r>
      <w:r>
        <w:rPr>
          <w:noProof/>
          <w:lang w:val="fr-FR"/>
        </w:rPr>
        <w:t>euros par an aux établissements qui exécutaient un projet impliquant l’ensemble de la communauté depuis la phase de diagnostic jusqu’à celle de l’évaluation, en passant par la conception et l’exécution des activités</w:t>
      </w:r>
      <w:r w:rsidRPr="00AF434B">
        <w:rPr>
          <w:noProof/>
          <w:lang w:val="fr-FR"/>
        </w:rPr>
        <w:t>.</w:t>
      </w:r>
    </w:p>
    <w:p w14:paraId="151B77FC" w14:textId="77777777" w:rsidR="00BF0619" w:rsidRPr="00AF434B" w:rsidRDefault="00BF0619" w:rsidP="00BF0619">
      <w:pPr>
        <w:pStyle w:val="SingleTxtG"/>
        <w:rPr>
          <w:noProof/>
          <w:lang w:val="fr-FR"/>
        </w:rPr>
      </w:pPr>
      <w:r w:rsidRPr="00AF434B">
        <w:rPr>
          <w:noProof/>
          <w:lang w:val="fr-FR"/>
        </w:rPr>
        <w:t>123.</w:t>
      </w:r>
      <w:r w:rsidRPr="00AF434B">
        <w:rPr>
          <w:noProof/>
          <w:lang w:val="fr-FR"/>
        </w:rPr>
        <w:tab/>
      </w:r>
      <w:r>
        <w:rPr>
          <w:noProof/>
          <w:lang w:val="fr-FR"/>
        </w:rPr>
        <w:t xml:space="preserve">À partir de l’année scolaire </w:t>
      </w:r>
      <w:r w:rsidRPr="00AF434B">
        <w:rPr>
          <w:noProof/>
          <w:lang w:val="fr-FR"/>
        </w:rPr>
        <w:t>2017/</w:t>
      </w:r>
      <w:r>
        <w:rPr>
          <w:noProof/>
          <w:lang w:val="fr-FR"/>
        </w:rPr>
        <w:t>20</w:t>
      </w:r>
      <w:r w:rsidRPr="00AF434B">
        <w:rPr>
          <w:noProof/>
          <w:lang w:val="fr-FR"/>
        </w:rPr>
        <w:t xml:space="preserve">18, </w:t>
      </w:r>
      <w:r>
        <w:rPr>
          <w:noProof/>
          <w:lang w:val="fr-FR"/>
        </w:rPr>
        <w:t>les établissement ont été invités à concourir pour l’obtention du « Label École saine »</w:t>
      </w:r>
      <w:r w:rsidRPr="00AF434B">
        <w:rPr>
          <w:noProof/>
          <w:lang w:val="fr-FR"/>
        </w:rPr>
        <w:t xml:space="preserve">, </w:t>
      </w:r>
      <w:r>
        <w:rPr>
          <w:noProof/>
          <w:lang w:val="fr-FR"/>
        </w:rPr>
        <w:t>qui récompense les écoles qui promeuvent au quotidien la santé et le bien-être de leur communauté éducative</w:t>
      </w:r>
      <w:r w:rsidRPr="00AF434B">
        <w:rPr>
          <w:noProof/>
          <w:lang w:val="fr-FR"/>
        </w:rPr>
        <w:t xml:space="preserve">. </w:t>
      </w:r>
    </w:p>
    <w:p w14:paraId="59D6B8D7" w14:textId="77777777" w:rsidR="00BF0619" w:rsidRPr="00AF434B" w:rsidRDefault="00BF0619" w:rsidP="00BF0619">
      <w:pPr>
        <w:pStyle w:val="SingleTxtG"/>
        <w:rPr>
          <w:noProof/>
          <w:lang w:val="fr-FR"/>
        </w:rPr>
      </w:pPr>
      <w:r w:rsidRPr="00AF434B">
        <w:rPr>
          <w:noProof/>
          <w:lang w:val="fr-FR"/>
        </w:rPr>
        <w:t>124.</w:t>
      </w:r>
      <w:r w:rsidRPr="00AF434B">
        <w:rPr>
          <w:noProof/>
          <w:lang w:val="fr-FR"/>
        </w:rPr>
        <w:tab/>
      </w:r>
      <w:r>
        <w:rPr>
          <w:noProof/>
          <w:lang w:val="fr-FR"/>
        </w:rPr>
        <w:t xml:space="preserve">Ce label reconnaît les mérites des écoles regroupées ou non dont les pratiques contribuent à promouvoir des relations interpersonnelles saines, à impliquer l’ensemble de la communauté éducative et, ce faisant, à donner à l’école une image positive.  </w:t>
      </w:r>
    </w:p>
    <w:p w14:paraId="1D7DF616" w14:textId="77777777" w:rsidR="00BF0619" w:rsidRPr="00AF434B" w:rsidRDefault="00BF0619" w:rsidP="00BF0619">
      <w:pPr>
        <w:pStyle w:val="SingleTxtG"/>
        <w:rPr>
          <w:noProof/>
          <w:lang w:val="fr-FR"/>
        </w:rPr>
      </w:pPr>
      <w:r w:rsidRPr="00AF434B">
        <w:rPr>
          <w:noProof/>
          <w:lang w:val="fr-FR"/>
        </w:rPr>
        <w:t>125.</w:t>
      </w:r>
      <w:r w:rsidRPr="00AF434B">
        <w:rPr>
          <w:noProof/>
          <w:lang w:val="fr-FR"/>
        </w:rPr>
        <w:tab/>
      </w:r>
      <w:r>
        <w:rPr>
          <w:noProof/>
          <w:lang w:val="fr-FR"/>
        </w:rPr>
        <w:t xml:space="preserve">En ce qui concerne l’éducation civique, il convient de prendre en compte deux cursus scolaires différents depuis </w:t>
      </w:r>
      <w:r w:rsidRPr="00AF434B">
        <w:rPr>
          <w:noProof/>
          <w:lang w:val="fr-FR"/>
        </w:rPr>
        <w:t>2012.</w:t>
      </w:r>
    </w:p>
    <w:p w14:paraId="045665A4" w14:textId="77777777" w:rsidR="00BF0619" w:rsidRPr="00AF434B" w:rsidRDefault="00BF0619" w:rsidP="00BF0619">
      <w:pPr>
        <w:pStyle w:val="SingleTxtG"/>
        <w:rPr>
          <w:noProof/>
          <w:lang w:val="fr-FR"/>
        </w:rPr>
      </w:pPr>
      <w:r w:rsidRPr="00AF434B">
        <w:rPr>
          <w:noProof/>
          <w:lang w:val="fr-FR"/>
        </w:rPr>
        <w:t>126.</w:t>
      </w:r>
      <w:r w:rsidRPr="00AF434B">
        <w:rPr>
          <w:noProof/>
          <w:lang w:val="fr-FR"/>
        </w:rPr>
        <w:tab/>
      </w:r>
      <w:r>
        <w:rPr>
          <w:noProof/>
          <w:lang w:val="fr-FR"/>
        </w:rPr>
        <w:t xml:space="preserve">En application du décret-loi </w:t>
      </w:r>
      <w:r w:rsidR="0035573C" w:rsidRPr="0035573C">
        <w:rPr>
          <w:rFonts w:eastAsia="MS Mincho"/>
          <w:noProof/>
          <w:szCs w:val="22"/>
          <w:lang w:val="fr-FR"/>
        </w:rPr>
        <w:t>n</w:t>
      </w:r>
      <w:r w:rsidR="0035573C" w:rsidRPr="0035573C">
        <w:rPr>
          <w:rFonts w:eastAsia="MS Mincho"/>
          <w:noProof/>
          <w:szCs w:val="22"/>
          <w:vertAlign w:val="superscript"/>
          <w:lang w:val="fr-FR"/>
        </w:rPr>
        <w:t>o</w:t>
      </w:r>
      <w:r w:rsidR="0035573C">
        <w:rPr>
          <w:noProof/>
          <w:lang w:val="fr-FR"/>
        </w:rPr>
        <w:t> </w:t>
      </w:r>
      <w:r w:rsidRPr="00AF434B">
        <w:rPr>
          <w:noProof/>
          <w:lang w:val="fr-FR"/>
        </w:rPr>
        <w:t xml:space="preserve">139/2012 </w:t>
      </w:r>
      <w:r>
        <w:rPr>
          <w:noProof/>
          <w:lang w:val="fr-FR"/>
        </w:rPr>
        <w:t>du</w:t>
      </w:r>
      <w:r w:rsidRPr="00AF434B">
        <w:rPr>
          <w:noProof/>
          <w:lang w:val="fr-FR"/>
        </w:rPr>
        <w:t xml:space="preserve"> 5 </w:t>
      </w:r>
      <w:r>
        <w:rPr>
          <w:noProof/>
          <w:lang w:val="fr-FR"/>
        </w:rPr>
        <w:t>juillet</w:t>
      </w:r>
      <w:r w:rsidRPr="00AF434B">
        <w:rPr>
          <w:noProof/>
          <w:lang w:val="fr-FR"/>
        </w:rPr>
        <w:t xml:space="preserve">, </w:t>
      </w:r>
      <w:r>
        <w:rPr>
          <w:noProof/>
          <w:lang w:val="fr-FR"/>
        </w:rPr>
        <w:t xml:space="preserve">l’éducation civique fait partie intégrante de toutes les matières enseignées tous niveaux scolaires confondus </w:t>
      </w:r>
      <w:r w:rsidRPr="00AF434B">
        <w:rPr>
          <w:noProof/>
          <w:lang w:val="fr-FR"/>
        </w:rPr>
        <w:t>(</w:t>
      </w:r>
      <w:r>
        <w:rPr>
          <w:noProof/>
          <w:lang w:val="fr-FR"/>
        </w:rPr>
        <w:t>du jardin d’enfants à l’école secondaire</w:t>
      </w:r>
      <w:r w:rsidRPr="00AF434B">
        <w:rPr>
          <w:noProof/>
          <w:lang w:val="fr-FR"/>
        </w:rPr>
        <w:t>)</w:t>
      </w:r>
      <w:r>
        <w:rPr>
          <w:noProof/>
          <w:lang w:val="fr-FR"/>
        </w:rPr>
        <w:t>,</w:t>
      </w:r>
      <w:r w:rsidRPr="00AF434B">
        <w:rPr>
          <w:noProof/>
          <w:lang w:val="fr-FR"/>
        </w:rPr>
        <w:t xml:space="preserve"> </w:t>
      </w:r>
      <w:r w:rsidRPr="00C4448E">
        <w:rPr>
          <w:noProof/>
          <w:lang w:val="fr-FR"/>
        </w:rPr>
        <w:t>dans une optique pluridisciplinaire</w:t>
      </w:r>
      <w:r w:rsidRPr="00AF434B">
        <w:rPr>
          <w:noProof/>
          <w:lang w:val="fr-FR"/>
        </w:rPr>
        <w:t>. I</w:t>
      </w:r>
      <w:r>
        <w:rPr>
          <w:noProof/>
          <w:lang w:val="fr-FR"/>
        </w:rPr>
        <w:t>l ne s’agit pas d’une matière indépendante obligatoire, mais les écoles ont la possibilité d’en faire une matière indépendante dans l’enseignement de base (enseignement primaire et secondaire du premier degré</w:t>
      </w:r>
      <w:r w:rsidRPr="00AF434B">
        <w:rPr>
          <w:noProof/>
          <w:lang w:val="fr-FR"/>
        </w:rPr>
        <w:t xml:space="preserve">). </w:t>
      </w:r>
      <w:r>
        <w:rPr>
          <w:noProof/>
          <w:lang w:val="fr-FR"/>
        </w:rPr>
        <w:t>L’optique pluridisciplinaire de l’éducation civique peut également être retenue en ce qui concerne l’élaboration de projets et d’activités dans le cadre de l’autonomie des établissements et des liens entre ces derniers et la collectivité</w:t>
      </w:r>
      <w:r w:rsidRPr="00AF434B">
        <w:rPr>
          <w:noProof/>
          <w:lang w:val="fr-FR"/>
        </w:rPr>
        <w:t xml:space="preserve">. </w:t>
      </w:r>
      <w:r>
        <w:rPr>
          <w:noProof/>
          <w:lang w:val="fr-FR"/>
        </w:rPr>
        <w:t>Le document de référence intitulé « Directives concernant l’éducation civique » a défini  des domaines/dimensions thématiques de l’éducation civique</w:t>
      </w:r>
      <w:r w:rsidRPr="00AF434B">
        <w:rPr>
          <w:noProof/>
          <w:lang w:val="fr-FR"/>
        </w:rPr>
        <w:t xml:space="preserve">. </w:t>
      </w:r>
    </w:p>
    <w:p w14:paraId="0185E82C" w14:textId="77777777" w:rsidR="00BF0619" w:rsidRPr="00AF434B" w:rsidRDefault="00BF0619" w:rsidP="00BF0619">
      <w:pPr>
        <w:pStyle w:val="SingleTxtG"/>
        <w:rPr>
          <w:noProof/>
          <w:lang w:val="fr-FR"/>
        </w:rPr>
      </w:pPr>
      <w:r w:rsidRPr="00AF434B">
        <w:rPr>
          <w:noProof/>
          <w:lang w:val="fr-FR"/>
        </w:rPr>
        <w:t>127.</w:t>
      </w:r>
      <w:r w:rsidRPr="00AF434B">
        <w:rPr>
          <w:noProof/>
          <w:lang w:val="fr-FR"/>
        </w:rPr>
        <w:tab/>
      </w:r>
      <w:r>
        <w:rPr>
          <w:noProof/>
          <w:lang w:val="fr-FR"/>
        </w:rPr>
        <w:t>E</w:t>
      </w:r>
      <w:r w:rsidRPr="00AF434B">
        <w:rPr>
          <w:noProof/>
          <w:lang w:val="fr-FR"/>
        </w:rPr>
        <w:t xml:space="preserve">n 2016, </w:t>
      </w:r>
      <w:r>
        <w:rPr>
          <w:noProof/>
          <w:lang w:val="fr-FR"/>
        </w:rPr>
        <w:t>à l’</w:t>
      </w:r>
      <w:r w:rsidRPr="00AF434B">
        <w:rPr>
          <w:noProof/>
          <w:lang w:val="fr-FR"/>
        </w:rPr>
        <w:t xml:space="preserve">initiative </w:t>
      </w:r>
      <w:r>
        <w:rPr>
          <w:noProof/>
          <w:lang w:val="fr-FR"/>
        </w:rPr>
        <w:t xml:space="preserve">du </w:t>
      </w:r>
      <w:r w:rsidRPr="00AF434B">
        <w:rPr>
          <w:noProof/>
          <w:lang w:val="fr-FR"/>
        </w:rPr>
        <w:t>Secr</w:t>
      </w:r>
      <w:r>
        <w:rPr>
          <w:noProof/>
          <w:lang w:val="fr-FR"/>
        </w:rPr>
        <w:t>é</w:t>
      </w:r>
      <w:r w:rsidRPr="00AF434B">
        <w:rPr>
          <w:noProof/>
          <w:lang w:val="fr-FR"/>
        </w:rPr>
        <w:t>ta</w:t>
      </w:r>
      <w:r>
        <w:rPr>
          <w:noProof/>
          <w:lang w:val="fr-FR"/>
        </w:rPr>
        <w:t xml:space="preserve">ire d’État à la citoyenneté et à l’égalité et du Secrétaire d’État à l’éducation, un groupe de travail sur l’éducation civique a été créé </w:t>
      </w:r>
      <w:r w:rsidRPr="00AF434B">
        <w:rPr>
          <w:noProof/>
          <w:lang w:val="fr-FR"/>
        </w:rPr>
        <w:t>(</w:t>
      </w:r>
      <w:r>
        <w:rPr>
          <w:noProof/>
          <w:lang w:val="fr-FR"/>
        </w:rPr>
        <w:t xml:space="preserve">ordonnance </w:t>
      </w:r>
      <w:r w:rsidR="0035573C" w:rsidRPr="0035573C">
        <w:rPr>
          <w:rFonts w:eastAsia="MS Mincho"/>
          <w:noProof/>
          <w:szCs w:val="22"/>
          <w:lang w:val="fr-FR"/>
        </w:rPr>
        <w:t>n</w:t>
      </w:r>
      <w:r w:rsidR="0035573C" w:rsidRPr="0035573C">
        <w:rPr>
          <w:rFonts w:eastAsia="MS Mincho"/>
          <w:noProof/>
          <w:szCs w:val="22"/>
          <w:vertAlign w:val="superscript"/>
          <w:lang w:val="fr-FR"/>
        </w:rPr>
        <w:t>o</w:t>
      </w:r>
      <w:r w:rsidR="0035573C">
        <w:rPr>
          <w:noProof/>
          <w:lang w:val="fr-FR"/>
        </w:rPr>
        <w:t> </w:t>
      </w:r>
      <w:r w:rsidRPr="00AF434B">
        <w:rPr>
          <w:noProof/>
          <w:lang w:val="fr-FR"/>
        </w:rPr>
        <w:t xml:space="preserve">6173/2016 </w:t>
      </w:r>
      <w:r>
        <w:rPr>
          <w:noProof/>
          <w:lang w:val="fr-FR"/>
        </w:rPr>
        <w:t xml:space="preserve">du </w:t>
      </w:r>
      <w:r w:rsidRPr="00AF434B">
        <w:rPr>
          <w:noProof/>
          <w:lang w:val="fr-FR"/>
        </w:rPr>
        <w:t>10</w:t>
      </w:r>
      <w:r w:rsidR="00311684">
        <w:rPr>
          <w:noProof/>
          <w:lang w:val="fr-FR"/>
        </w:rPr>
        <w:t> </w:t>
      </w:r>
      <w:r>
        <w:rPr>
          <w:noProof/>
          <w:lang w:val="fr-FR"/>
        </w:rPr>
        <w:t>mai</w:t>
      </w:r>
      <w:r w:rsidRPr="00AF434B">
        <w:rPr>
          <w:noProof/>
          <w:lang w:val="fr-FR"/>
        </w:rPr>
        <w:t xml:space="preserve">) </w:t>
      </w:r>
      <w:r>
        <w:rPr>
          <w:noProof/>
          <w:lang w:val="fr-FR"/>
        </w:rPr>
        <w:t>pour formuler une stratégie pour l’éducation civique</w:t>
      </w:r>
      <w:r w:rsidRPr="00AF434B">
        <w:rPr>
          <w:noProof/>
          <w:lang w:val="fr-FR"/>
        </w:rPr>
        <w:t xml:space="preserve">. </w:t>
      </w:r>
      <w:r>
        <w:rPr>
          <w:noProof/>
          <w:lang w:val="fr-FR"/>
        </w:rPr>
        <w:t xml:space="preserve">S’appuyant sur le rapport de ce groupe de travail, le Gouvernement a lancé en 2017 la </w:t>
      </w:r>
      <w:r w:rsidRPr="00AF434B">
        <w:rPr>
          <w:noProof/>
          <w:lang w:val="fr-FR"/>
        </w:rPr>
        <w:t>Strat</w:t>
      </w:r>
      <w:r>
        <w:rPr>
          <w:noProof/>
          <w:lang w:val="fr-FR"/>
        </w:rPr>
        <w:t>é</w:t>
      </w:r>
      <w:r w:rsidRPr="00AF434B">
        <w:rPr>
          <w:noProof/>
          <w:lang w:val="fr-FR"/>
        </w:rPr>
        <w:t>g</w:t>
      </w:r>
      <w:r>
        <w:rPr>
          <w:noProof/>
          <w:lang w:val="fr-FR"/>
        </w:rPr>
        <w:t>ie nationale pour l’éducation civique</w:t>
      </w:r>
      <w:r w:rsidRPr="00AF434B">
        <w:rPr>
          <w:noProof/>
          <w:lang w:val="fr-FR"/>
        </w:rPr>
        <w:t xml:space="preserve">, </w:t>
      </w:r>
      <w:r>
        <w:rPr>
          <w:noProof/>
          <w:lang w:val="fr-FR"/>
        </w:rPr>
        <w:t>qui bénéficie de la coopération entre les politiques publiques consacrées à l’éducation et à la citoyenneté/égalité</w:t>
      </w:r>
      <w:r w:rsidRPr="00AF434B">
        <w:rPr>
          <w:noProof/>
          <w:lang w:val="fr-FR"/>
        </w:rPr>
        <w:t>.</w:t>
      </w:r>
    </w:p>
    <w:p w14:paraId="09289E2E" w14:textId="77777777" w:rsidR="00BF0619" w:rsidRPr="00AF434B" w:rsidRDefault="00BF0619" w:rsidP="00BF0619">
      <w:pPr>
        <w:pStyle w:val="SingleTxtG"/>
        <w:rPr>
          <w:noProof/>
          <w:lang w:val="fr-FR"/>
        </w:rPr>
      </w:pPr>
      <w:r w:rsidRPr="00AF434B">
        <w:rPr>
          <w:noProof/>
          <w:lang w:val="fr-FR"/>
        </w:rPr>
        <w:t>128.</w:t>
      </w:r>
      <w:r w:rsidRPr="00AF434B">
        <w:rPr>
          <w:noProof/>
          <w:lang w:val="fr-FR"/>
        </w:rPr>
        <w:tab/>
      </w:r>
      <w:r>
        <w:rPr>
          <w:noProof/>
          <w:lang w:val="fr-FR"/>
        </w:rPr>
        <w:t xml:space="preserve">La </w:t>
      </w:r>
      <w:r w:rsidRPr="00AF434B">
        <w:rPr>
          <w:noProof/>
          <w:lang w:val="fr-FR"/>
        </w:rPr>
        <w:t>Strat</w:t>
      </w:r>
      <w:r>
        <w:rPr>
          <w:noProof/>
          <w:lang w:val="fr-FR"/>
        </w:rPr>
        <w:t>é</w:t>
      </w:r>
      <w:r w:rsidRPr="00AF434B">
        <w:rPr>
          <w:noProof/>
          <w:lang w:val="fr-FR"/>
        </w:rPr>
        <w:t>g</w:t>
      </w:r>
      <w:r>
        <w:rPr>
          <w:noProof/>
          <w:lang w:val="fr-FR"/>
        </w:rPr>
        <w:t>ie nationale pour l’éducation civique</w:t>
      </w:r>
      <w:r w:rsidRPr="00AF434B">
        <w:rPr>
          <w:noProof/>
          <w:lang w:val="fr-FR"/>
        </w:rPr>
        <w:t xml:space="preserve"> </w:t>
      </w:r>
      <w:r>
        <w:rPr>
          <w:noProof/>
          <w:lang w:val="fr-FR"/>
        </w:rPr>
        <w:t xml:space="preserve">vise à faire acquérir, à travers la composante </w:t>
      </w:r>
      <w:r w:rsidR="0035573C">
        <w:rPr>
          <w:noProof/>
          <w:lang w:val="fr-FR"/>
        </w:rPr>
        <w:t>« </w:t>
      </w:r>
      <w:r>
        <w:rPr>
          <w:noProof/>
          <w:lang w:val="fr-FR"/>
        </w:rPr>
        <w:t>Citoyenneté et développement</w:t>
      </w:r>
      <w:r w:rsidR="0035573C">
        <w:rPr>
          <w:noProof/>
          <w:lang w:val="fr-FR"/>
        </w:rPr>
        <w:t> »</w:t>
      </w:r>
      <w:r>
        <w:rPr>
          <w:noProof/>
          <w:lang w:val="fr-FR"/>
        </w:rPr>
        <w:t>, les compétences nécessaires à une culture de la démocratie et ayant un impact sur le comportement civique individuel, les relations interpersonnelles et les relations sociales et interculturelles</w:t>
      </w:r>
      <w:r w:rsidRPr="00AF434B">
        <w:rPr>
          <w:noProof/>
          <w:lang w:val="fr-FR"/>
        </w:rPr>
        <w:t xml:space="preserve">. </w:t>
      </w:r>
      <w:r>
        <w:rPr>
          <w:noProof/>
          <w:lang w:val="fr-FR"/>
        </w:rPr>
        <w:t>La nouvelle Stratégie renforce le caractère intersectoriel de l’éducation civique à tous les niveaux d’enseignement, et une matière obligatoire appelée « Citoyenneté et développement » est mise en place pour les élèves de la cinquième à la neuvième années (</w:t>
      </w:r>
      <w:r w:rsidR="00311684">
        <w:rPr>
          <w:noProof/>
          <w:lang w:val="fr-FR"/>
        </w:rPr>
        <w:t>deuxième</w:t>
      </w:r>
      <w:r>
        <w:rPr>
          <w:noProof/>
          <w:lang w:val="fr-FR"/>
        </w:rPr>
        <w:t xml:space="preserve"> et </w:t>
      </w:r>
      <w:r w:rsidR="00311684">
        <w:rPr>
          <w:noProof/>
          <w:lang w:val="fr-FR"/>
        </w:rPr>
        <w:t>troisième</w:t>
      </w:r>
      <w:r w:rsidR="0035573C">
        <w:rPr>
          <w:noProof/>
          <w:lang w:val="fr-FR"/>
        </w:rPr>
        <w:t> </w:t>
      </w:r>
      <w:r>
        <w:rPr>
          <w:noProof/>
          <w:lang w:val="fr-FR"/>
        </w:rPr>
        <w:t>cycles de l’enseignement de base).</w:t>
      </w:r>
      <w:r w:rsidRPr="00AF434B">
        <w:rPr>
          <w:noProof/>
          <w:lang w:val="fr-FR"/>
        </w:rPr>
        <w:t xml:space="preserve"> </w:t>
      </w:r>
    </w:p>
    <w:p w14:paraId="7648F50B" w14:textId="77777777" w:rsidR="00BF0619" w:rsidRPr="00AF434B" w:rsidRDefault="00BF0619" w:rsidP="00BF0619">
      <w:pPr>
        <w:pStyle w:val="SingleTxtG"/>
        <w:rPr>
          <w:noProof/>
          <w:lang w:val="fr-FR"/>
        </w:rPr>
      </w:pPr>
      <w:r w:rsidRPr="00AF434B">
        <w:rPr>
          <w:noProof/>
          <w:lang w:val="fr-FR"/>
        </w:rPr>
        <w:t>129.</w:t>
      </w:r>
      <w:r w:rsidRPr="00AF434B">
        <w:rPr>
          <w:noProof/>
          <w:lang w:val="fr-FR"/>
        </w:rPr>
        <w:tab/>
      </w:r>
      <w:r>
        <w:rPr>
          <w:noProof/>
          <w:lang w:val="fr-FR"/>
        </w:rPr>
        <w:t xml:space="preserve">La matière « Citoyenneté et développement » comprend </w:t>
      </w:r>
      <w:r w:rsidRPr="00AF434B">
        <w:rPr>
          <w:noProof/>
          <w:lang w:val="fr-FR"/>
        </w:rPr>
        <w:t>17</w:t>
      </w:r>
      <w:r w:rsidR="0035573C">
        <w:rPr>
          <w:noProof/>
          <w:lang w:val="fr-FR"/>
        </w:rPr>
        <w:t> </w:t>
      </w:r>
      <w:r>
        <w:rPr>
          <w:noProof/>
          <w:lang w:val="fr-FR"/>
        </w:rPr>
        <w:t>domaines interdépendants, organisés en trois groupes</w:t>
      </w:r>
      <w:r w:rsidR="0035573C">
        <w:rPr>
          <w:noProof/>
          <w:lang w:val="fr-FR"/>
        </w:rPr>
        <w:t> :</w:t>
      </w:r>
    </w:p>
    <w:p w14:paraId="67EDA463"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sidR="0035573C">
        <w:rPr>
          <w:noProof/>
          <w:lang w:val="fr-FR"/>
        </w:rPr>
        <w:t xml:space="preserve">Premier </w:t>
      </w:r>
      <w:r>
        <w:rPr>
          <w:noProof/>
          <w:lang w:val="fr-FR"/>
        </w:rPr>
        <w:t xml:space="preserve">groupe </w:t>
      </w:r>
      <w:r w:rsidRPr="00AF434B">
        <w:rPr>
          <w:noProof/>
          <w:lang w:val="fr-FR"/>
        </w:rPr>
        <w:t>(</w:t>
      </w:r>
      <w:r>
        <w:rPr>
          <w:noProof/>
          <w:lang w:val="fr-FR"/>
        </w:rPr>
        <w:t>obligatoire pour tous les niveaux et cycles d’enseignement</w:t>
      </w:r>
      <w:r w:rsidRPr="00AF434B">
        <w:rPr>
          <w:noProof/>
          <w:lang w:val="fr-FR"/>
        </w:rPr>
        <w:t>)</w:t>
      </w:r>
      <w:r w:rsidR="0035573C">
        <w:rPr>
          <w:noProof/>
          <w:lang w:val="fr-FR"/>
        </w:rPr>
        <w:t> </w:t>
      </w:r>
      <w:r w:rsidRPr="00AF434B">
        <w:rPr>
          <w:noProof/>
          <w:lang w:val="fr-FR"/>
        </w:rPr>
        <w:t xml:space="preserve">: </w:t>
      </w:r>
      <w:r>
        <w:rPr>
          <w:noProof/>
          <w:lang w:val="fr-FR"/>
        </w:rPr>
        <w:t>droits de l’homme</w:t>
      </w:r>
      <w:r w:rsidR="002C4D47">
        <w:rPr>
          <w:noProof/>
          <w:lang w:val="fr-FR"/>
        </w:rPr>
        <w:t> </w:t>
      </w:r>
      <w:r w:rsidRPr="00AF434B">
        <w:rPr>
          <w:noProof/>
          <w:lang w:val="fr-FR"/>
        </w:rPr>
        <w:t xml:space="preserve">; </w:t>
      </w:r>
      <w:r>
        <w:rPr>
          <w:noProof/>
          <w:lang w:val="fr-FR"/>
        </w:rPr>
        <w:t>égalité des sexes</w:t>
      </w:r>
      <w:r w:rsidR="0035573C">
        <w:rPr>
          <w:noProof/>
          <w:lang w:val="fr-FR"/>
        </w:rPr>
        <w:t> </w:t>
      </w:r>
      <w:r w:rsidRPr="00AF434B">
        <w:rPr>
          <w:noProof/>
          <w:lang w:val="fr-FR"/>
        </w:rPr>
        <w:t xml:space="preserve">; </w:t>
      </w:r>
      <w:r>
        <w:rPr>
          <w:noProof/>
          <w:lang w:val="fr-FR"/>
        </w:rPr>
        <w:t>interculturalité</w:t>
      </w:r>
      <w:r w:rsidR="0035573C">
        <w:rPr>
          <w:noProof/>
          <w:lang w:val="fr-FR"/>
        </w:rPr>
        <w:t> </w:t>
      </w:r>
      <w:r w:rsidRPr="00AF434B">
        <w:rPr>
          <w:noProof/>
          <w:lang w:val="fr-FR"/>
        </w:rPr>
        <w:t xml:space="preserve">; </w:t>
      </w:r>
      <w:r>
        <w:rPr>
          <w:noProof/>
          <w:lang w:val="fr-FR"/>
        </w:rPr>
        <w:t>développement durable</w:t>
      </w:r>
      <w:r w:rsidR="0035573C">
        <w:rPr>
          <w:noProof/>
          <w:lang w:val="fr-FR"/>
        </w:rPr>
        <w:t> </w:t>
      </w:r>
      <w:r w:rsidRPr="00AF434B">
        <w:rPr>
          <w:noProof/>
          <w:lang w:val="fr-FR"/>
        </w:rPr>
        <w:t xml:space="preserve">; </w:t>
      </w:r>
      <w:r>
        <w:rPr>
          <w:noProof/>
          <w:lang w:val="fr-FR"/>
        </w:rPr>
        <w:t>éducation à l’environnement</w:t>
      </w:r>
      <w:r w:rsidRPr="00AF434B">
        <w:rPr>
          <w:noProof/>
          <w:lang w:val="fr-FR"/>
        </w:rPr>
        <w:t>;</w:t>
      </w:r>
      <w:r>
        <w:rPr>
          <w:noProof/>
          <w:lang w:val="fr-FR"/>
        </w:rPr>
        <w:t xml:space="preserve"> santé</w:t>
      </w:r>
      <w:r w:rsidR="0035573C">
        <w:rPr>
          <w:noProof/>
          <w:lang w:val="fr-FR"/>
        </w:rPr>
        <w:t> </w:t>
      </w:r>
      <w:r w:rsidRPr="00AF434B">
        <w:rPr>
          <w:noProof/>
          <w:lang w:val="fr-FR"/>
        </w:rPr>
        <w:t xml:space="preserve">; </w:t>
      </w:r>
    </w:p>
    <w:p w14:paraId="22C85617"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sidR="0035573C">
        <w:rPr>
          <w:noProof/>
          <w:lang w:val="fr-FR"/>
        </w:rPr>
        <w:t xml:space="preserve">Deuxième </w:t>
      </w:r>
      <w:r>
        <w:rPr>
          <w:noProof/>
          <w:lang w:val="fr-FR"/>
        </w:rPr>
        <w:t xml:space="preserve">groupe </w:t>
      </w:r>
      <w:r w:rsidRPr="00AF434B">
        <w:rPr>
          <w:noProof/>
          <w:lang w:val="fr-FR"/>
        </w:rPr>
        <w:t>(</w:t>
      </w:r>
      <w:r>
        <w:rPr>
          <w:noProof/>
          <w:lang w:val="fr-FR"/>
        </w:rPr>
        <w:t xml:space="preserve">obligatoire au moins dans deux </w:t>
      </w:r>
      <w:r w:rsidRPr="00AF434B">
        <w:rPr>
          <w:noProof/>
          <w:lang w:val="fr-FR"/>
        </w:rPr>
        <w:t xml:space="preserve">cycles </w:t>
      </w:r>
      <w:r>
        <w:rPr>
          <w:noProof/>
          <w:lang w:val="fr-FR"/>
        </w:rPr>
        <w:t xml:space="preserve">de l’enseignement de base </w:t>
      </w:r>
      <w:r w:rsidR="0035573C">
        <w:rPr>
          <w:noProof/>
          <w:lang w:val="fr-FR"/>
        </w:rPr>
        <w:t>− </w:t>
      </w:r>
      <w:r>
        <w:rPr>
          <w:noProof/>
          <w:lang w:val="fr-FR"/>
        </w:rPr>
        <w:t>premier et deuxième cycles de l’enseignement primaire, et premier cycle de l’enseignement secondaire</w:t>
      </w:r>
      <w:r w:rsidRPr="00AF434B">
        <w:rPr>
          <w:noProof/>
          <w:lang w:val="fr-FR"/>
        </w:rPr>
        <w:t>)</w:t>
      </w:r>
      <w:r w:rsidR="0035573C">
        <w:rPr>
          <w:noProof/>
          <w:lang w:val="fr-FR"/>
        </w:rPr>
        <w:t> </w:t>
      </w:r>
      <w:r w:rsidRPr="00AF434B">
        <w:rPr>
          <w:noProof/>
          <w:lang w:val="fr-FR"/>
        </w:rPr>
        <w:t xml:space="preserve">: </w:t>
      </w:r>
      <w:r>
        <w:rPr>
          <w:noProof/>
          <w:lang w:val="fr-FR"/>
        </w:rPr>
        <w:t>s</w:t>
      </w:r>
      <w:r w:rsidRPr="00AF434B">
        <w:rPr>
          <w:noProof/>
          <w:lang w:val="fr-FR"/>
        </w:rPr>
        <w:t>exualit</w:t>
      </w:r>
      <w:r>
        <w:rPr>
          <w:noProof/>
          <w:lang w:val="fr-FR"/>
        </w:rPr>
        <w:t>é</w:t>
      </w:r>
      <w:r w:rsidR="0035573C">
        <w:rPr>
          <w:noProof/>
          <w:lang w:val="fr-FR"/>
        </w:rPr>
        <w:t> </w:t>
      </w:r>
      <w:r w:rsidRPr="00AF434B">
        <w:rPr>
          <w:noProof/>
          <w:lang w:val="fr-FR"/>
        </w:rPr>
        <w:t xml:space="preserve">; </w:t>
      </w:r>
      <w:r>
        <w:rPr>
          <w:noProof/>
          <w:lang w:val="fr-FR"/>
        </w:rPr>
        <w:t>médias</w:t>
      </w:r>
      <w:r w:rsidR="0035573C">
        <w:rPr>
          <w:noProof/>
          <w:lang w:val="fr-FR"/>
        </w:rPr>
        <w:t> </w:t>
      </w:r>
      <w:r w:rsidRPr="00AF434B">
        <w:rPr>
          <w:noProof/>
          <w:lang w:val="fr-FR"/>
        </w:rPr>
        <w:t xml:space="preserve">; </w:t>
      </w:r>
      <w:r>
        <w:rPr>
          <w:noProof/>
          <w:lang w:val="fr-FR"/>
        </w:rPr>
        <w:t>i</w:t>
      </w:r>
      <w:r w:rsidRPr="00AF434B">
        <w:rPr>
          <w:noProof/>
          <w:lang w:val="fr-FR"/>
        </w:rPr>
        <w:t xml:space="preserve">nstitutions </w:t>
      </w:r>
      <w:r>
        <w:rPr>
          <w:noProof/>
          <w:lang w:val="fr-FR"/>
        </w:rPr>
        <w:t>et participation démocratique</w:t>
      </w:r>
      <w:r w:rsidR="0035573C">
        <w:rPr>
          <w:noProof/>
          <w:lang w:val="fr-FR"/>
        </w:rPr>
        <w:t> </w:t>
      </w:r>
      <w:r w:rsidRPr="00AF434B">
        <w:rPr>
          <w:noProof/>
          <w:lang w:val="fr-FR"/>
        </w:rPr>
        <w:t xml:space="preserve">; </w:t>
      </w:r>
      <w:r>
        <w:rPr>
          <w:noProof/>
          <w:lang w:val="fr-FR"/>
        </w:rPr>
        <w:t>compétences financières et</w:t>
      </w:r>
      <w:r w:rsidRPr="00AF434B">
        <w:rPr>
          <w:noProof/>
          <w:lang w:val="fr-FR"/>
        </w:rPr>
        <w:t xml:space="preserve"> </w:t>
      </w:r>
      <w:r>
        <w:rPr>
          <w:noProof/>
          <w:lang w:val="fr-FR"/>
        </w:rPr>
        <w:t>éducation des consommateurs</w:t>
      </w:r>
      <w:r w:rsidR="0035573C">
        <w:rPr>
          <w:noProof/>
          <w:lang w:val="fr-FR"/>
        </w:rPr>
        <w:t> </w:t>
      </w:r>
      <w:r w:rsidRPr="00AF434B">
        <w:rPr>
          <w:noProof/>
          <w:lang w:val="fr-FR"/>
        </w:rPr>
        <w:t xml:space="preserve">; </w:t>
      </w:r>
      <w:r>
        <w:rPr>
          <w:noProof/>
          <w:lang w:val="fr-FR"/>
        </w:rPr>
        <w:t>sécurité routière</w:t>
      </w:r>
      <w:r w:rsidR="0035573C">
        <w:rPr>
          <w:noProof/>
          <w:lang w:val="fr-FR"/>
        </w:rPr>
        <w:t> </w:t>
      </w:r>
      <w:r w:rsidRPr="00AF434B">
        <w:rPr>
          <w:noProof/>
          <w:lang w:val="fr-FR"/>
        </w:rPr>
        <w:t xml:space="preserve">; </w:t>
      </w:r>
      <w:r>
        <w:rPr>
          <w:noProof/>
          <w:lang w:val="fr-FR"/>
        </w:rPr>
        <w:t>risque</w:t>
      </w:r>
      <w:r w:rsidR="0035573C">
        <w:rPr>
          <w:noProof/>
          <w:lang w:val="fr-FR"/>
        </w:rPr>
        <w:t> </w:t>
      </w:r>
      <w:r w:rsidRPr="00AF434B">
        <w:rPr>
          <w:noProof/>
          <w:lang w:val="fr-FR"/>
        </w:rPr>
        <w:t>;</w:t>
      </w:r>
    </w:p>
    <w:p w14:paraId="7A9B67F3"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sidR="0035573C">
        <w:rPr>
          <w:noProof/>
          <w:lang w:val="fr-FR"/>
        </w:rPr>
        <w:t xml:space="preserve">Troisième </w:t>
      </w:r>
      <w:r>
        <w:rPr>
          <w:noProof/>
          <w:lang w:val="fr-FR"/>
        </w:rPr>
        <w:t xml:space="preserve">groupe </w:t>
      </w:r>
      <w:r w:rsidRPr="00AF434B">
        <w:rPr>
          <w:noProof/>
          <w:lang w:val="fr-FR"/>
        </w:rPr>
        <w:t>(</w:t>
      </w:r>
      <w:r>
        <w:rPr>
          <w:noProof/>
          <w:lang w:val="fr-FR"/>
        </w:rPr>
        <w:t>facultatif</w:t>
      </w:r>
      <w:r w:rsidRPr="00AF434B">
        <w:rPr>
          <w:noProof/>
          <w:lang w:val="fr-FR"/>
        </w:rPr>
        <w:t>)</w:t>
      </w:r>
      <w:r w:rsidR="0035573C">
        <w:rPr>
          <w:noProof/>
          <w:lang w:val="fr-FR"/>
        </w:rPr>
        <w:t> </w:t>
      </w:r>
      <w:r w:rsidRPr="00AF434B">
        <w:rPr>
          <w:noProof/>
          <w:lang w:val="fr-FR"/>
        </w:rPr>
        <w:t xml:space="preserve">: </w:t>
      </w:r>
      <w:r>
        <w:rPr>
          <w:noProof/>
          <w:lang w:val="fr-FR"/>
        </w:rPr>
        <w:t>entreprenariat</w:t>
      </w:r>
      <w:r w:rsidR="0035573C">
        <w:rPr>
          <w:noProof/>
          <w:lang w:val="fr-FR"/>
        </w:rPr>
        <w:t> </w:t>
      </w:r>
      <w:r w:rsidRPr="00AF434B">
        <w:rPr>
          <w:noProof/>
          <w:lang w:val="fr-FR"/>
        </w:rPr>
        <w:t xml:space="preserve">; </w:t>
      </w:r>
      <w:r>
        <w:rPr>
          <w:noProof/>
          <w:lang w:val="fr-FR"/>
        </w:rPr>
        <w:t>monde du travail</w:t>
      </w:r>
      <w:r w:rsidR="0035573C">
        <w:rPr>
          <w:noProof/>
          <w:lang w:val="fr-FR"/>
        </w:rPr>
        <w:t> </w:t>
      </w:r>
      <w:r w:rsidRPr="00AF434B">
        <w:rPr>
          <w:noProof/>
          <w:lang w:val="fr-FR"/>
        </w:rPr>
        <w:t xml:space="preserve">; </w:t>
      </w:r>
      <w:r>
        <w:rPr>
          <w:noProof/>
          <w:lang w:val="fr-FR"/>
        </w:rPr>
        <w:t>sécurité, défense et paix</w:t>
      </w:r>
      <w:r w:rsidR="0035573C">
        <w:rPr>
          <w:noProof/>
          <w:lang w:val="fr-FR"/>
        </w:rPr>
        <w:t> </w:t>
      </w:r>
      <w:r w:rsidRPr="00AF434B">
        <w:rPr>
          <w:noProof/>
          <w:lang w:val="fr-FR"/>
        </w:rPr>
        <w:t xml:space="preserve">; </w:t>
      </w:r>
      <w:r>
        <w:rPr>
          <w:noProof/>
          <w:lang w:val="fr-FR"/>
        </w:rPr>
        <w:t>bien-être des animaux</w:t>
      </w:r>
      <w:r w:rsidR="0035573C">
        <w:rPr>
          <w:noProof/>
          <w:lang w:val="fr-FR"/>
        </w:rPr>
        <w:t> </w:t>
      </w:r>
      <w:r w:rsidRPr="00AF434B">
        <w:rPr>
          <w:noProof/>
          <w:lang w:val="fr-FR"/>
        </w:rPr>
        <w:t xml:space="preserve">; </w:t>
      </w:r>
      <w:r>
        <w:rPr>
          <w:noProof/>
          <w:lang w:val="fr-FR"/>
        </w:rPr>
        <w:t>bénévolat</w:t>
      </w:r>
      <w:r w:rsidRPr="00AF434B">
        <w:rPr>
          <w:noProof/>
          <w:lang w:val="fr-FR"/>
        </w:rPr>
        <w:t xml:space="preserve">. </w:t>
      </w:r>
    </w:p>
    <w:p w14:paraId="36EFCCF0" w14:textId="77777777" w:rsidR="00BF0619" w:rsidRPr="00AF434B" w:rsidRDefault="00BF0619" w:rsidP="00BF0619">
      <w:pPr>
        <w:pStyle w:val="SingleTxtG"/>
        <w:rPr>
          <w:noProof/>
          <w:lang w:val="fr-FR"/>
        </w:rPr>
      </w:pPr>
      <w:r w:rsidRPr="00AF434B">
        <w:rPr>
          <w:noProof/>
          <w:lang w:val="fr-FR"/>
        </w:rPr>
        <w:t>130.</w:t>
      </w:r>
      <w:r w:rsidRPr="00AF434B">
        <w:rPr>
          <w:noProof/>
          <w:lang w:val="fr-FR"/>
        </w:rPr>
        <w:tab/>
      </w:r>
      <w:r>
        <w:rPr>
          <w:noProof/>
          <w:lang w:val="fr-FR"/>
        </w:rPr>
        <w:t>Toutes les écoles, regroupées ou non, doivent élaborer leur propre stratégie pour l’éducation civique en collaboration avec des ONG et d’autres partenaires de leur communauté, et désigner un coordonnateur pour sa mise en œuvre</w:t>
      </w:r>
      <w:r w:rsidRPr="00AF434B">
        <w:rPr>
          <w:noProof/>
          <w:lang w:val="fr-FR"/>
        </w:rPr>
        <w:t xml:space="preserve">. </w:t>
      </w:r>
      <w:r>
        <w:rPr>
          <w:noProof/>
          <w:lang w:val="fr-FR"/>
        </w:rPr>
        <w:t xml:space="preserve">La Stratégie nationale pour l’éducation civique a été introduite pendant l’année scolaire </w:t>
      </w:r>
      <w:r w:rsidRPr="00AF434B">
        <w:rPr>
          <w:noProof/>
          <w:lang w:val="fr-FR"/>
        </w:rPr>
        <w:t>2017/2018,</w:t>
      </w:r>
      <w:r>
        <w:rPr>
          <w:noProof/>
          <w:lang w:val="fr-FR"/>
        </w:rPr>
        <w:t xml:space="preserve"> dans les </w:t>
      </w:r>
      <w:r w:rsidRPr="00AF434B">
        <w:rPr>
          <w:noProof/>
          <w:lang w:val="fr-FR"/>
        </w:rPr>
        <w:t>230</w:t>
      </w:r>
      <w:r w:rsidR="0035573C">
        <w:rPr>
          <w:noProof/>
          <w:lang w:val="fr-FR"/>
        </w:rPr>
        <w:t> </w:t>
      </w:r>
      <w:r>
        <w:rPr>
          <w:noProof/>
          <w:lang w:val="fr-FR"/>
        </w:rPr>
        <w:t xml:space="preserve">écoles regroupées ou non qui exécutent le Projet pour l’autonomie et la flexibilité des programmes d’études </w:t>
      </w:r>
      <w:r w:rsidRPr="00AF434B">
        <w:rPr>
          <w:noProof/>
          <w:lang w:val="fr-FR"/>
        </w:rPr>
        <w:t>(</w:t>
      </w:r>
      <w:r>
        <w:rPr>
          <w:noProof/>
          <w:lang w:val="fr-FR"/>
        </w:rPr>
        <w:t xml:space="preserve">ordonnance </w:t>
      </w:r>
      <w:r w:rsidR="0035573C" w:rsidRPr="0035573C">
        <w:rPr>
          <w:rFonts w:eastAsia="MS Mincho"/>
          <w:noProof/>
          <w:szCs w:val="22"/>
          <w:lang w:val="fr-FR"/>
        </w:rPr>
        <w:t>n</w:t>
      </w:r>
      <w:r w:rsidR="0035573C" w:rsidRPr="0035573C">
        <w:rPr>
          <w:rFonts w:eastAsia="MS Mincho"/>
          <w:noProof/>
          <w:szCs w:val="22"/>
          <w:vertAlign w:val="superscript"/>
          <w:lang w:val="fr-FR"/>
        </w:rPr>
        <w:t>o</w:t>
      </w:r>
      <w:r w:rsidR="0035573C">
        <w:rPr>
          <w:noProof/>
          <w:lang w:val="fr-FR"/>
        </w:rPr>
        <w:t> </w:t>
      </w:r>
      <w:r w:rsidRPr="00AF434B">
        <w:rPr>
          <w:noProof/>
          <w:lang w:val="fr-FR"/>
        </w:rPr>
        <w:t xml:space="preserve">5908/2017 </w:t>
      </w:r>
      <w:r>
        <w:rPr>
          <w:noProof/>
          <w:lang w:val="fr-FR"/>
        </w:rPr>
        <w:t>du</w:t>
      </w:r>
      <w:r w:rsidRPr="00AF434B">
        <w:rPr>
          <w:noProof/>
          <w:lang w:val="fr-FR"/>
        </w:rPr>
        <w:t xml:space="preserve"> 5</w:t>
      </w:r>
      <w:r w:rsidR="0035573C">
        <w:rPr>
          <w:noProof/>
          <w:lang w:val="fr-FR"/>
        </w:rPr>
        <w:t> </w:t>
      </w:r>
      <w:r>
        <w:rPr>
          <w:noProof/>
          <w:lang w:val="fr-FR"/>
        </w:rPr>
        <w:t>juillet</w:t>
      </w:r>
      <w:r w:rsidRPr="00AF434B">
        <w:rPr>
          <w:noProof/>
          <w:lang w:val="fr-FR"/>
        </w:rPr>
        <w:t xml:space="preserve">), </w:t>
      </w:r>
      <w:r>
        <w:rPr>
          <w:noProof/>
          <w:lang w:val="fr-FR"/>
        </w:rPr>
        <w:t xml:space="preserve">à travers la composante Citoyenneté et développement </w:t>
      </w:r>
      <w:r w:rsidRPr="00AF434B">
        <w:rPr>
          <w:noProof/>
          <w:lang w:val="fr-FR"/>
        </w:rPr>
        <w:t>(</w:t>
      </w:r>
      <w:r>
        <w:rPr>
          <w:noProof/>
          <w:lang w:val="fr-FR"/>
        </w:rPr>
        <w:t>enseignée la première année de chaque cycle ou niveau d’enseignement</w:t>
      </w:r>
      <w:r w:rsidRPr="00AF434B">
        <w:rPr>
          <w:noProof/>
          <w:lang w:val="fr-FR"/>
        </w:rPr>
        <w:t xml:space="preserve">). </w:t>
      </w:r>
      <w:r>
        <w:rPr>
          <w:noProof/>
          <w:lang w:val="fr-FR"/>
        </w:rPr>
        <w:t xml:space="preserve">À partir de la prochaine année scolaire </w:t>
      </w:r>
      <w:r w:rsidRPr="00AF434B">
        <w:rPr>
          <w:noProof/>
          <w:lang w:val="fr-FR"/>
        </w:rPr>
        <w:t>(2018/2019)</w:t>
      </w:r>
      <w:r>
        <w:rPr>
          <w:noProof/>
          <w:lang w:val="fr-FR"/>
        </w:rPr>
        <w:t>, cette composante sera enseignée dans toutes les écoles, regroupées ou non (enseignement public et privé).</w:t>
      </w:r>
    </w:p>
    <w:p w14:paraId="2895F02D" w14:textId="77777777" w:rsidR="00BF0619" w:rsidRPr="00AF434B" w:rsidRDefault="00BF0619" w:rsidP="00BF0619">
      <w:pPr>
        <w:pStyle w:val="H1G"/>
        <w:rPr>
          <w:noProof/>
          <w:lang w:val="fr-FR"/>
        </w:rPr>
      </w:pPr>
      <w:r w:rsidRPr="00AF434B">
        <w:rPr>
          <w:noProof/>
          <w:lang w:val="fr-FR"/>
        </w:rPr>
        <w:tab/>
      </w:r>
      <w:r w:rsidRPr="00AF434B">
        <w:rPr>
          <w:noProof/>
          <w:lang w:val="fr-FR"/>
        </w:rPr>
        <w:tab/>
        <w:t>Articles</w:t>
      </w:r>
      <w:r w:rsidR="0035573C">
        <w:rPr>
          <w:noProof/>
          <w:lang w:val="fr-FR"/>
        </w:rPr>
        <w:t> </w:t>
      </w:r>
      <w:r w:rsidRPr="00AF434B">
        <w:rPr>
          <w:noProof/>
          <w:lang w:val="fr-FR"/>
        </w:rPr>
        <w:t xml:space="preserve">7, 9 </w:t>
      </w:r>
      <w:r>
        <w:rPr>
          <w:noProof/>
          <w:lang w:val="fr-FR"/>
        </w:rPr>
        <w:t>et</w:t>
      </w:r>
      <w:r w:rsidRPr="00AF434B">
        <w:rPr>
          <w:noProof/>
          <w:lang w:val="fr-FR"/>
        </w:rPr>
        <w:t xml:space="preserve"> 10</w:t>
      </w:r>
    </w:p>
    <w:p w14:paraId="1B2BB1C9" w14:textId="77777777" w:rsidR="00BF0619" w:rsidRPr="00884E3C" w:rsidRDefault="00BF0619" w:rsidP="00BF0619">
      <w:pPr>
        <w:pStyle w:val="H23G"/>
        <w:rPr>
          <w:noProof/>
          <w:lang w:val="fr-FR"/>
        </w:rPr>
      </w:pPr>
      <w:r w:rsidRPr="00AF434B">
        <w:rPr>
          <w:noProof/>
          <w:lang w:val="fr-FR"/>
        </w:rPr>
        <w:tab/>
      </w:r>
      <w:r w:rsidRPr="00AF434B">
        <w:rPr>
          <w:noProof/>
          <w:lang w:val="fr-FR"/>
        </w:rPr>
        <w:tab/>
      </w:r>
      <w:r w:rsidRPr="00884E3C">
        <w:rPr>
          <w:noProof/>
          <w:lang w:val="fr-FR"/>
        </w:rPr>
        <w:t>Le Comité note avec préoccupation qu’en application du paragraphe 4 de l’article 143 du Code de procédure pénale, des personnes en détention pour des affaires de</w:t>
      </w:r>
      <w:r w:rsidR="0035573C">
        <w:rPr>
          <w:noProof/>
          <w:lang w:val="fr-FR"/>
        </w:rPr>
        <w:t> </w:t>
      </w:r>
      <w:r w:rsidRPr="00884E3C">
        <w:rPr>
          <w:noProof/>
          <w:lang w:val="fr-FR"/>
        </w:rPr>
        <w:t>terrorisme ou de crime violent ou hautement organisé sont empêchées de</w:t>
      </w:r>
      <w:r w:rsidR="0035573C">
        <w:rPr>
          <w:noProof/>
          <w:lang w:val="fr-FR"/>
        </w:rPr>
        <w:t> </w:t>
      </w:r>
      <w:r w:rsidRPr="00884E3C">
        <w:rPr>
          <w:noProof/>
          <w:lang w:val="fr-FR"/>
        </w:rPr>
        <w:t>communiquer avec d’autres personnes tant qu’elles n’ont pas été déférées devant</w:t>
      </w:r>
      <w:r w:rsidR="0035573C">
        <w:rPr>
          <w:noProof/>
          <w:lang w:val="fr-FR"/>
        </w:rPr>
        <w:t> </w:t>
      </w:r>
      <w:r w:rsidRPr="00884E3C">
        <w:rPr>
          <w:noProof/>
          <w:lang w:val="fr-FR"/>
        </w:rPr>
        <w:t>un tribunal</w:t>
      </w:r>
      <w:r>
        <w:rPr>
          <w:noProof/>
          <w:lang w:val="fr-FR"/>
        </w:rPr>
        <w:t>.</w:t>
      </w:r>
      <w:r w:rsidRPr="00884E3C">
        <w:rPr>
          <w:noProof/>
          <w:lang w:val="fr-FR"/>
        </w:rPr>
        <w:t xml:space="preserve">  </w:t>
      </w:r>
    </w:p>
    <w:p w14:paraId="765031C6" w14:textId="77777777" w:rsidR="00BF0619" w:rsidRPr="00AF434B" w:rsidRDefault="00BF0619" w:rsidP="00BF0619">
      <w:pPr>
        <w:pStyle w:val="SingleTxtG"/>
        <w:rPr>
          <w:noProof/>
          <w:lang w:val="fr-FR"/>
        </w:rPr>
      </w:pPr>
      <w:r w:rsidRPr="00AF434B">
        <w:rPr>
          <w:noProof/>
          <w:lang w:val="fr-FR"/>
        </w:rPr>
        <w:t>131.</w:t>
      </w:r>
      <w:r w:rsidRPr="00AF434B">
        <w:rPr>
          <w:noProof/>
          <w:lang w:val="fr-FR"/>
        </w:rPr>
        <w:tab/>
      </w:r>
      <w:r>
        <w:rPr>
          <w:noProof/>
          <w:lang w:val="fr-FR"/>
        </w:rPr>
        <w:t>Le paragraphe</w:t>
      </w:r>
      <w:r w:rsidR="0035573C">
        <w:rPr>
          <w:noProof/>
          <w:lang w:val="fr-FR"/>
        </w:rPr>
        <w:t> </w:t>
      </w:r>
      <w:r>
        <w:rPr>
          <w:noProof/>
          <w:lang w:val="fr-FR"/>
        </w:rPr>
        <w:t>4 de l’article</w:t>
      </w:r>
      <w:r w:rsidR="0035573C">
        <w:rPr>
          <w:noProof/>
          <w:lang w:val="fr-FR"/>
        </w:rPr>
        <w:t> </w:t>
      </w:r>
      <w:r>
        <w:rPr>
          <w:noProof/>
          <w:lang w:val="fr-FR"/>
        </w:rPr>
        <w:t>143 du Code de procédure pénale dispose que, dans les affaires de terrorisme ou de crime violent ou hautement organisé, le ministère public peut décider d’empêcher la personne arrêtée de communiquer avec qui que ce soit, à l’exception de son avocat, avant son premier interrogatoire judiciaire</w:t>
      </w:r>
      <w:r w:rsidRPr="00AF434B">
        <w:rPr>
          <w:noProof/>
          <w:lang w:val="fr-FR"/>
        </w:rPr>
        <w:t>.</w:t>
      </w:r>
    </w:p>
    <w:p w14:paraId="7D927D40" w14:textId="77777777" w:rsidR="00BF0619" w:rsidRPr="00AF434B" w:rsidRDefault="00BF0619" w:rsidP="00BF0619">
      <w:pPr>
        <w:pStyle w:val="SingleTxtG"/>
        <w:rPr>
          <w:noProof/>
          <w:lang w:val="fr-FR"/>
        </w:rPr>
      </w:pPr>
      <w:r w:rsidRPr="00AF434B">
        <w:rPr>
          <w:noProof/>
          <w:lang w:val="fr-FR"/>
        </w:rPr>
        <w:t>132.</w:t>
      </w:r>
      <w:r w:rsidRPr="00AF434B">
        <w:rPr>
          <w:noProof/>
          <w:lang w:val="fr-FR"/>
        </w:rPr>
        <w:tab/>
      </w:r>
      <w:r>
        <w:rPr>
          <w:noProof/>
          <w:lang w:val="fr-FR"/>
        </w:rPr>
        <w:t>Cette disposition n’est pas nécessairement incompatible avec le droit d’un prévenu arrêté de communiquer avec d’autres personnes</w:t>
      </w:r>
      <w:r w:rsidRPr="00AF434B">
        <w:rPr>
          <w:noProof/>
          <w:lang w:val="fr-FR"/>
        </w:rPr>
        <w:t>. I</w:t>
      </w:r>
      <w:r>
        <w:rPr>
          <w:noProof/>
          <w:lang w:val="fr-FR"/>
        </w:rPr>
        <w:t>l découle de cette disposition que, si le ministère public ne prend aucune décision à cet égard, le prévenu peut librement communiquer avec d’autres personnes que son avocat. Le droit du prévenu arrêté de communiquer avec un avocat est toujours garanti</w:t>
      </w:r>
      <w:r w:rsidRPr="00AF434B">
        <w:rPr>
          <w:noProof/>
          <w:lang w:val="fr-FR"/>
        </w:rPr>
        <w:t>.</w:t>
      </w:r>
    </w:p>
    <w:p w14:paraId="77DBF80F" w14:textId="77777777" w:rsidR="00BF0619" w:rsidRPr="00AF434B" w:rsidRDefault="00BF0619" w:rsidP="00BF0619">
      <w:pPr>
        <w:pStyle w:val="SingleTxtG"/>
        <w:rPr>
          <w:noProof/>
          <w:lang w:val="fr-FR"/>
        </w:rPr>
      </w:pPr>
      <w:r w:rsidRPr="00AF434B">
        <w:rPr>
          <w:noProof/>
          <w:lang w:val="fr-FR"/>
        </w:rPr>
        <w:t>133.</w:t>
      </w:r>
      <w:r w:rsidRPr="00AF434B">
        <w:rPr>
          <w:noProof/>
          <w:lang w:val="fr-FR"/>
        </w:rPr>
        <w:tab/>
      </w:r>
      <w:r>
        <w:rPr>
          <w:noProof/>
          <w:lang w:val="fr-FR"/>
        </w:rPr>
        <w:t>En ce qui concerne les restrictions et garanties applicables, on se reportera au paragraphe</w:t>
      </w:r>
      <w:r w:rsidR="0035573C">
        <w:rPr>
          <w:noProof/>
          <w:lang w:val="fr-FR"/>
        </w:rPr>
        <w:t> </w:t>
      </w:r>
      <w:r>
        <w:rPr>
          <w:noProof/>
          <w:lang w:val="fr-FR"/>
        </w:rPr>
        <w:t>121 du quatrième rapport périodique et aux paragraphes</w:t>
      </w:r>
      <w:r w:rsidR="0035573C">
        <w:rPr>
          <w:noProof/>
          <w:lang w:val="fr-FR"/>
        </w:rPr>
        <w:t> </w:t>
      </w:r>
      <w:r w:rsidRPr="00AF434B">
        <w:rPr>
          <w:noProof/>
          <w:lang w:val="fr-FR"/>
        </w:rPr>
        <w:t>23 et s</w:t>
      </w:r>
      <w:r>
        <w:rPr>
          <w:noProof/>
          <w:lang w:val="fr-FR"/>
        </w:rPr>
        <w:t>uivants</w:t>
      </w:r>
      <w:r w:rsidRPr="00AF434B">
        <w:rPr>
          <w:noProof/>
          <w:lang w:val="fr-FR"/>
        </w:rPr>
        <w:t xml:space="preserve"> </w:t>
      </w:r>
      <w:r>
        <w:rPr>
          <w:noProof/>
          <w:lang w:val="fr-FR"/>
        </w:rPr>
        <w:t>du premier additif aux observations finales</w:t>
      </w:r>
      <w:r w:rsidRPr="00AF434B">
        <w:rPr>
          <w:noProof/>
          <w:lang w:val="fr-FR"/>
        </w:rPr>
        <w:t xml:space="preserve">. </w:t>
      </w:r>
      <w:r>
        <w:rPr>
          <w:noProof/>
          <w:lang w:val="fr-FR"/>
        </w:rPr>
        <w:t>Les pouvoirs du juge d’instruction, qui sont essentiels pour assurer la légalité et protéger les droits, libertés et garanties des prévenus et faire respecter les principes en matière de droits de l’homme dans le cadre de la procédure pénale, entrent également en ligne de compte dans ces affaires.</w:t>
      </w:r>
      <w:r w:rsidRPr="00AF434B">
        <w:rPr>
          <w:noProof/>
          <w:lang w:val="fr-FR"/>
        </w:rPr>
        <w:t xml:space="preserve"> </w:t>
      </w:r>
    </w:p>
    <w:p w14:paraId="4CC8425F" w14:textId="77777777" w:rsidR="00BF0619" w:rsidRPr="00AF434B" w:rsidRDefault="00BF0619" w:rsidP="00BF0619">
      <w:pPr>
        <w:pStyle w:val="SingleTxtG"/>
        <w:rPr>
          <w:noProof/>
          <w:lang w:val="fr-FR"/>
        </w:rPr>
      </w:pPr>
      <w:r w:rsidRPr="00AF434B">
        <w:rPr>
          <w:noProof/>
          <w:lang w:val="fr-FR"/>
        </w:rPr>
        <w:t>134.</w:t>
      </w:r>
      <w:r w:rsidRPr="00AF434B">
        <w:rPr>
          <w:noProof/>
          <w:lang w:val="fr-FR"/>
        </w:rPr>
        <w:tab/>
      </w:r>
      <w:r>
        <w:rPr>
          <w:noProof/>
          <w:lang w:val="fr-FR"/>
        </w:rPr>
        <w:t>La décision que prend le ministère public dépend des circonstances de chaque cause.</w:t>
      </w:r>
      <w:r w:rsidRPr="00AF434B">
        <w:rPr>
          <w:noProof/>
          <w:lang w:val="fr-FR"/>
        </w:rPr>
        <w:t xml:space="preserve"> </w:t>
      </w:r>
      <w:r>
        <w:rPr>
          <w:noProof/>
          <w:lang w:val="fr-FR"/>
        </w:rPr>
        <w:t>Cette règle vise à s’assurer que l’arrestation de la personne concernée n’est pas rendue publique, ce pour des raisons de sécurité ou dans l’intérêt de l’enquête pénale en cours</w:t>
      </w:r>
      <w:r w:rsidRPr="00AF434B">
        <w:rPr>
          <w:noProof/>
          <w:lang w:val="fr-FR"/>
        </w:rPr>
        <w:t xml:space="preserve">. </w:t>
      </w:r>
      <w:r>
        <w:rPr>
          <w:noProof/>
          <w:lang w:val="fr-FR"/>
        </w:rPr>
        <w:t xml:space="preserve">Il peut s’agir, par exemple, de ne pas compromettre la </w:t>
      </w:r>
      <w:r w:rsidRPr="00AF434B">
        <w:rPr>
          <w:noProof/>
          <w:lang w:val="fr-FR"/>
        </w:rPr>
        <w:t xml:space="preserve">capture </w:t>
      </w:r>
      <w:r>
        <w:rPr>
          <w:noProof/>
          <w:lang w:val="fr-FR"/>
        </w:rPr>
        <w:t>d’autres membres du groupe terroriste ou du groupe criminel organisé et, de ce fait, de prévenir la commission éventuelle de l’une de ces infractions</w:t>
      </w:r>
      <w:r w:rsidRPr="00AF434B">
        <w:rPr>
          <w:noProof/>
          <w:lang w:val="fr-FR"/>
        </w:rPr>
        <w:t>.</w:t>
      </w:r>
    </w:p>
    <w:p w14:paraId="39A71825" w14:textId="77777777" w:rsidR="00BF0619" w:rsidRPr="00AF434B" w:rsidRDefault="00BF0619" w:rsidP="00BF0619">
      <w:pPr>
        <w:pStyle w:val="SingleTxtG"/>
        <w:rPr>
          <w:noProof/>
          <w:lang w:val="fr-FR"/>
        </w:rPr>
      </w:pPr>
      <w:r w:rsidRPr="00AF434B">
        <w:rPr>
          <w:noProof/>
          <w:lang w:val="fr-FR"/>
        </w:rPr>
        <w:t>135.</w:t>
      </w:r>
      <w:r w:rsidRPr="00AF434B">
        <w:rPr>
          <w:noProof/>
          <w:lang w:val="fr-FR"/>
        </w:rPr>
        <w:tab/>
      </w:r>
      <w:r>
        <w:rPr>
          <w:noProof/>
          <w:lang w:val="fr-FR"/>
        </w:rPr>
        <w:t>Quant à la durée pendant laquelle cette mesure est applicable, il convient de noter que l’a</w:t>
      </w:r>
      <w:r w:rsidRPr="00AF434B">
        <w:rPr>
          <w:noProof/>
          <w:lang w:val="fr-FR"/>
        </w:rPr>
        <w:t>rticle</w:t>
      </w:r>
      <w:r w:rsidR="0035573C">
        <w:rPr>
          <w:noProof/>
          <w:lang w:val="fr-FR"/>
        </w:rPr>
        <w:t> </w:t>
      </w:r>
      <w:r w:rsidRPr="00AF434B">
        <w:rPr>
          <w:noProof/>
          <w:lang w:val="fr-FR"/>
        </w:rPr>
        <w:t xml:space="preserve">143 </w:t>
      </w:r>
      <w:r>
        <w:rPr>
          <w:noProof/>
          <w:lang w:val="fr-FR"/>
        </w:rPr>
        <w:t>du Code de procédure pénale fait référence au premier interrogatoire non judiciaire du prévenu en garde à vue</w:t>
      </w:r>
      <w:r w:rsidRPr="00AF434B">
        <w:rPr>
          <w:noProof/>
          <w:lang w:val="fr-FR"/>
        </w:rPr>
        <w:t xml:space="preserve">. </w:t>
      </w:r>
      <w:r>
        <w:rPr>
          <w:noProof/>
          <w:lang w:val="fr-FR"/>
        </w:rPr>
        <w:t>Dans le cas où ce dernier n’est pas immédiatement présenté au juge d’instruction, le ministère public peut conduire ce bref interrogatoire afin de décider  de le remettre ou non en liberté</w:t>
      </w:r>
      <w:r w:rsidRPr="00AF434B">
        <w:rPr>
          <w:noProof/>
          <w:lang w:val="fr-FR"/>
        </w:rPr>
        <w:t xml:space="preserve">. </w:t>
      </w:r>
      <w:r>
        <w:rPr>
          <w:noProof/>
          <w:lang w:val="fr-FR"/>
        </w:rPr>
        <w:t>S’il n’est pas remis en liberté après ce bref interrogatoire, le prévenu doit être présenté immédiatement au juge d’instruction</w:t>
      </w:r>
      <w:r w:rsidRPr="00AF434B">
        <w:rPr>
          <w:noProof/>
          <w:lang w:val="fr-FR"/>
        </w:rPr>
        <w:t xml:space="preserve">, </w:t>
      </w:r>
      <w:r>
        <w:rPr>
          <w:noProof/>
          <w:lang w:val="fr-FR"/>
        </w:rPr>
        <w:t xml:space="preserve">selon la procédure prévue aux </w:t>
      </w:r>
      <w:r w:rsidRPr="00AF434B">
        <w:rPr>
          <w:noProof/>
          <w:lang w:val="fr-FR"/>
        </w:rPr>
        <w:t>articles</w:t>
      </w:r>
      <w:r w:rsidR="0035573C">
        <w:rPr>
          <w:noProof/>
          <w:lang w:val="fr-FR"/>
        </w:rPr>
        <w:t> </w:t>
      </w:r>
      <w:r w:rsidRPr="00AF434B">
        <w:rPr>
          <w:noProof/>
          <w:lang w:val="fr-FR"/>
        </w:rPr>
        <w:t xml:space="preserve">141 </w:t>
      </w:r>
      <w:r>
        <w:rPr>
          <w:noProof/>
          <w:lang w:val="fr-FR"/>
        </w:rPr>
        <w:t>et</w:t>
      </w:r>
      <w:r w:rsidR="0035573C">
        <w:rPr>
          <w:noProof/>
          <w:lang w:val="fr-FR"/>
        </w:rPr>
        <w:t> </w:t>
      </w:r>
      <w:r w:rsidRPr="00AF434B">
        <w:rPr>
          <w:noProof/>
          <w:lang w:val="fr-FR"/>
        </w:rPr>
        <w:t>142 (</w:t>
      </w:r>
      <w:r>
        <w:rPr>
          <w:noProof/>
          <w:lang w:val="fr-FR"/>
        </w:rPr>
        <w:t>premier interrogatoire judiciaire d’un prévenu arrêté</w:t>
      </w:r>
      <w:r w:rsidRPr="00AF434B">
        <w:rPr>
          <w:noProof/>
          <w:lang w:val="fr-FR"/>
        </w:rPr>
        <w:t xml:space="preserve">). </w:t>
      </w:r>
      <w:r>
        <w:rPr>
          <w:noProof/>
          <w:lang w:val="fr-FR"/>
        </w:rPr>
        <w:t xml:space="preserve">En vertu de ces dispositions, le prévenu doit être présenté au juge d’instruction </w:t>
      </w:r>
      <w:r w:rsidR="0035573C">
        <w:rPr>
          <w:noProof/>
          <w:lang w:val="fr-FR"/>
        </w:rPr>
        <w:t>quarante-huit </w:t>
      </w:r>
      <w:r>
        <w:rPr>
          <w:noProof/>
          <w:lang w:val="fr-FR"/>
        </w:rPr>
        <w:t>heures au plus tard après son arrestation</w:t>
      </w:r>
      <w:r w:rsidRPr="00AF434B">
        <w:rPr>
          <w:noProof/>
          <w:lang w:val="fr-FR"/>
        </w:rPr>
        <w:t xml:space="preserve">. </w:t>
      </w:r>
      <w:r>
        <w:rPr>
          <w:noProof/>
          <w:lang w:val="fr-FR"/>
        </w:rPr>
        <w:t xml:space="preserve">Il s’agit là d’un impératif </w:t>
      </w:r>
      <w:r w:rsidRPr="00AF434B">
        <w:rPr>
          <w:noProof/>
          <w:lang w:val="fr-FR"/>
        </w:rPr>
        <w:t>constitution</w:t>
      </w:r>
      <w:r>
        <w:rPr>
          <w:noProof/>
          <w:lang w:val="fr-FR"/>
        </w:rPr>
        <w:t xml:space="preserve">nel </w:t>
      </w:r>
      <w:r w:rsidRPr="00AF434B">
        <w:rPr>
          <w:noProof/>
          <w:lang w:val="fr-FR"/>
        </w:rPr>
        <w:t>(art</w:t>
      </w:r>
      <w:r w:rsidR="0035573C">
        <w:rPr>
          <w:noProof/>
          <w:lang w:val="fr-FR"/>
        </w:rPr>
        <w:t>. </w:t>
      </w:r>
      <w:r w:rsidRPr="00AF434B">
        <w:rPr>
          <w:noProof/>
          <w:lang w:val="fr-FR"/>
        </w:rPr>
        <w:t xml:space="preserve">28 </w:t>
      </w:r>
      <w:r>
        <w:rPr>
          <w:noProof/>
          <w:lang w:val="fr-FR"/>
        </w:rPr>
        <w:t>de la Constitution</w:t>
      </w:r>
      <w:r w:rsidRPr="00AF434B">
        <w:rPr>
          <w:noProof/>
          <w:lang w:val="fr-FR"/>
        </w:rPr>
        <w:t xml:space="preserve">). </w:t>
      </w:r>
      <w:r>
        <w:rPr>
          <w:noProof/>
          <w:lang w:val="fr-FR"/>
        </w:rPr>
        <w:t>La présentation au juge d’instruction n’est exclue que dans les cas où le prévenu doit être jugé sans délai (dans le cadre d’une procédure sommaire)</w:t>
      </w:r>
      <w:r w:rsidRPr="00AF434B">
        <w:rPr>
          <w:noProof/>
          <w:lang w:val="fr-FR"/>
        </w:rPr>
        <w:t xml:space="preserve">. </w:t>
      </w:r>
    </w:p>
    <w:p w14:paraId="5A5610EA" w14:textId="77777777" w:rsidR="00BF0619" w:rsidRPr="00AF434B" w:rsidRDefault="00BF0619" w:rsidP="00BF0619">
      <w:pPr>
        <w:pStyle w:val="SingleTxtG"/>
        <w:rPr>
          <w:noProof/>
          <w:lang w:val="fr-FR"/>
        </w:rPr>
      </w:pPr>
      <w:r w:rsidRPr="00AF434B">
        <w:rPr>
          <w:noProof/>
          <w:lang w:val="fr-FR"/>
        </w:rPr>
        <w:t>136.</w:t>
      </w:r>
      <w:r w:rsidRPr="00AF434B">
        <w:rPr>
          <w:noProof/>
          <w:lang w:val="fr-FR"/>
        </w:rPr>
        <w:tab/>
      </w:r>
      <w:r>
        <w:rPr>
          <w:noProof/>
          <w:lang w:val="fr-FR"/>
        </w:rPr>
        <w:t>En conséquence</w:t>
      </w:r>
      <w:r w:rsidRPr="00AF434B">
        <w:rPr>
          <w:noProof/>
          <w:lang w:val="fr-FR"/>
        </w:rPr>
        <w:t xml:space="preserve">, </w:t>
      </w:r>
      <w:r>
        <w:rPr>
          <w:noProof/>
          <w:lang w:val="fr-FR"/>
        </w:rPr>
        <w:t>la mesure de restriction des communications décidée par le ministère public ne s’applique que pendant la période visée</w:t>
      </w:r>
      <w:r w:rsidRPr="00AF434B">
        <w:rPr>
          <w:noProof/>
          <w:lang w:val="fr-FR"/>
        </w:rPr>
        <w:t xml:space="preserve">. </w:t>
      </w:r>
      <w:r>
        <w:rPr>
          <w:noProof/>
          <w:lang w:val="fr-FR"/>
        </w:rPr>
        <w:t>Il appartient ensuite au juge d’instruction de décider s’il est nécessaire d’appliquer des mesures coercitives</w:t>
      </w:r>
      <w:r w:rsidRPr="00AF434B">
        <w:rPr>
          <w:noProof/>
          <w:lang w:val="fr-FR"/>
        </w:rPr>
        <w:t xml:space="preserve">. </w:t>
      </w:r>
    </w:p>
    <w:p w14:paraId="32D3DA2B" w14:textId="77777777" w:rsidR="00BF0619" w:rsidRPr="00606C47" w:rsidRDefault="00BF0619" w:rsidP="00BF0619">
      <w:pPr>
        <w:pStyle w:val="H23G"/>
        <w:rPr>
          <w:noProof/>
          <w:lang w:val="fr-FR"/>
        </w:rPr>
      </w:pPr>
      <w:r w:rsidRPr="00AF434B">
        <w:rPr>
          <w:noProof/>
          <w:lang w:val="fr-FR"/>
        </w:rPr>
        <w:tab/>
      </w:r>
      <w:r w:rsidRPr="00AF434B">
        <w:rPr>
          <w:noProof/>
          <w:lang w:val="fr-FR"/>
        </w:rPr>
        <w:tab/>
      </w:r>
      <w:r w:rsidRPr="00606C47">
        <w:rPr>
          <w:noProof/>
          <w:lang w:val="fr-FR"/>
        </w:rPr>
        <w:t xml:space="preserve">Le Comité note avec préoccupation que le temps passé en garde à vue à des fins d’identification, qui devient ensuite une détention pour soupçon d’infraction pénale, n’est pas décompté du délai de quarante-huit heures dans lequel la personne gardée à vue doit être présentée à un juge, et que des personnes soupçonnées d’avoir commis une infraction pénale ne bénéficient pas pendant cette période des garanties auxquelles ont droit les suspects  </w:t>
      </w:r>
    </w:p>
    <w:p w14:paraId="04657273" w14:textId="77777777" w:rsidR="00BF0619" w:rsidRPr="00AF434B" w:rsidRDefault="00BF0619" w:rsidP="00BF0619">
      <w:pPr>
        <w:pStyle w:val="SingleTxtG"/>
        <w:rPr>
          <w:noProof/>
          <w:lang w:val="fr-FR"/>
        </w:rPr>
      </w:pPr>
      <w:r w:rsidRPr="00AF434B">
        <w:rPr>
          <w:noProof/>
          <w:lang w:val="fr-FR"/>
        </w:rPr>
        <w:t>137.</w:t>
      </w:r>
      <w:r w:rsidRPr="00AF434B">
        <w:rPr>
          <w:noProof/>
          <w:lang w:val="fr-FR"/>
        </w:rPr>
        <w:tab/>
      </w:r>
      <w:r>
        <w:rPr>
          <w:noProof/>
          <w:lang w:val="fr-FR"/>
        </w:rPr>
        <w:t>La garde à vue des personnes aux seules fins d’identification n’est pas en soi une mesure coercitive, mais une mesure de police</w:t>
      </w:r>
      <w:r w:rsidRPr="00AF434B">
        <w:rPr>
          <w:noProof/>
          <w:lang w:val="fr-FR"/>
        </w:rPr>
        <w:t xml:space="preserve">. </w:t>
      </w:r>
      <w:r>
        <w:rPr>
          <w:noProof/>
          <w:lang w:val="fr-FR"/>
        </w:rPr>
        <w:t>L’</w:t>
      </w:r>
      <w:r w:rsidRPr="00AF434B">
        <w:rPr>
          <w:noProof/>
          <w:lang w:val="fr-FR"/>
        </w:rPr>
        <w:t xml:space="preserve">application </w:t>
      </w:r>
      <w:r>
        <w:rPr>
          <w:noProof/>
          <w:lang w:val="fr-FR"/>
        </w:rPr>
        <w:t xml:space="preserve">de cette mesure est </w:t>
      </w:r>
      <w:r w:rsidRPr="00AF434B">
        <w:rPr>
          <w:noProof/>
          <w:lang w:val="fr-FR"/>
        </w:rPr>
        <w:t>exception</w:t>
      </w:r>
      <w:r>
        <w:rPr>
          <w:noProof/>
          <w:lang w:val="fr-FR"/>
        </w:rPr>
        <w:t>nelle</w:t>
      </w:r>
      <w:r w:rsidRPr="00AF434B">
        <w:rPr>
          <w:noProof/>
          <w:lang w:val="fr-FR"/>
        </w:rPr>
        <w:t xml:space="preserve">. </w:t>
      </w:r>
      <w:r>
        <w:rPr>
          <w:noProof/>
          <w:lang w:val="fr-FR"/>
        </w:rPr>
        <w:t>E</w:t>
      </w:r>
      <w:r w:rsidRPr="00AF434B">
        <w:rPr>
          <w:noProof/>
          <w:lang w:val="fr-FR"/>
        </w:rPr>
        <w:t>n fa</w:t>
      </w:r>
      <w:r>
        <w:rPr>
          <w:noProof/>
          <w:lang w:val="fr-FR"/>
        </w:rPr>
        <w:t>i</w:t>
      </w:r>
      <w:r w:rsidRPr="00AF434B">
        <w:rPr>
          <w:noProof/>
          <w:lang w:val="fr-FR"/>
        </w:rPr>
        <w:t xml:space="preserve">t, </w:t>
      </w:r>
      <w:r>
        <w:rPr>
          <w:noProof/>
          <w:lang w:val="fr-FR"/>
        </w:rPr>
        <w:t>ce n’est qu’en cas d’impossibilité d’une identification sur place (selon les procédures prévues à l’</w:t>
      </w:r>
      <w:r w:rsidRPr="00AF434B">
        <w:rPr>
          <w:noProof/>
          <w:lang w:val="fr-FR"/>
        </w:rPr>
        <w:t>article</w:t>
      </w:r>
      <w:r w:rsidR="0035573C">
        <w:rPr>
          <w:noProof/>
          <w:lang w:val="fr-FR"/>
        </w:rPr>
        <w:t> </w:t>
      </w:r>
      <w:r w:rsidRPr="00AF434B">
        <w:rPr>
          <w:noProof/>
          <w:lang w:val="fr-FR"/>
        </w:rPr>
        <w:t xml:space="preserve">250 </w:t>
      </w:r>
      <w:r>
        <w:rPr>
          <w:noProof/>
          <w:lang w:val="fr-FR"/>
        </w:rPr>
        <w:t>du Code de procédure pénale) que les autorités de police peuvent emmener la personne au poste de police le plus proche et l’obliger à y</w:t>
      </w:r>
      <w:r w:rsidR="0035573C">
        <w:rPr>
          <w:noProof/>
          <w:lang w:val="fr-FR"/>
        </w:rPr>
        <w:t> </w:t>
      </w:r>
      <w:r>
        <w:rPr>
          <w:noProof/>
          <w:lang w:val="fr-FR"/>
        </w:rPr>
        <w:t>demeurer pendant le temps strictement nécessaire à la procédure d’</w:t>
      </w:r>
      <w:r w:rsidRPr="00AF434B">
        <w:rPr>
          <w:noProof/>
          <w:lang w:val="fr-FR"/>
        </w:rPr>
        <w:t xml:space="preserve">identification, </w:t>
      </w:r>
      <w:r>
        <w:rPr>
          <w:noProof/>
          <w:lang w:val="fr-FR"/>
        </w:rPr>
        <w:t xml:space="preserve">dont, en tout état de cause, la durée ne peut dépasser </w:t>
      </w:r>
      <w:r w:rsidRPr="00AF434B">
        <w:rPr>
          <w:noProof/>
          <w:lang w:val="fr-FR"/>
        </w:rPr>
        <w:t>six h</w:t>
      </w:r>
      <w:r>
        <w:rPr>
          <w:noProof/>
          <w:lang w:val="fr-FR"/>
        </w:rPr>
        <w:t>eu</w:t>
      </w:r>
      <w:r w:rsidRPr="00AF434B">
        <w:rPr>
          <w:noProof/>
          <w:lang w:val="fr-FR"/>
        </w:rPr>
        <w:t>r</w:t>
      </w:r>
      <w:r>
        <w:rPr>
          <w:noProof/>
          <w:lang w:val="fr-FR"/>
        </w:rPr>
        <w:t>e</w:t>
      </w:r>
      <w:r w:rsidRPr="00AF434B">
        <w:rPr>
          <w:noProof/>
          <w:lang w:val="fr-FR"/>
        </w:rPr>
        <w:t xml:space="preserve">s. </w:t>
      </w:r>
      <w:r>
        <w:rPr>
          <w:noProof/>
          <w:lang w:val="fr-FR"/>
        </w:rPr>
        <w:t>L’intéressé a toujours la possibilité de prendre contact avec une personne de confiance</w:t>
      </w:r>
      <w:r w:rsidRPr="00AF434B">
        <w:rPr>
          <w:noProof/>
          <w:lang w:val="fr-FR"/>
        </w:rPr>
        <w:t xml:space="preserve">. </w:t>
      </w:r>
    </w:p>
    <w:p w14:paraId="42E45C8D" w14:textId="77777777" w:rsidR="00BF0619" w:rsidRPr="00AF434B" w:rsidRDefault="00BF0619" w:rsidP="00BF0619">
      <w:pPr>
        <w:pStyle w:val="SingleTxtG"/>
        <w:rPr>
          <w:noProof/>
          <w:lang w:val="fr-FR"/>
        </w:rPr>
      </w:pPr>
      <w:r w:rsidRPr="00AF434B">
        <w:rPr>
          <w:noProof/>
          <w:lang w:val="fr-FR"/>
        </w:rPr>
        <w:t>138.</w:t>
      </w:r>
      <w:r w:rsidRPr="00AF434B">
        <w:rPr>
          <w:noProof/>
          <w:lang w:val="fr-FR"/>
        </w:rPr>
        <w:tab/>
      </w:r>
      <w:r>
        <w:rPr>
          <w:noProof/>
          <w:lang w:val="fr-FR"/>
        </w:rPr>
        <w:t xml:space="preserve">À cet égard, il importe de préciser les </w:t>
      </w:r>
      <w:r w:rsidRPr="00AF434B">
        <w:rPr>
          <w:noProof/>
          <w:lang w:val="fr-FR"/>
        </w:rPr>
        <w:t xml:space="preserve">observations </w:t>
      </w:r>
      <w:r>
        <w:rPr>
          <w:noProof/>
          <w:lang w:val="fr-FR"/>
        </w:rPr>
        <w:t xml:space="preserve">soumises dans le premier additif aux observations finales </w:t>
      </w:r>
      <w:r w:rsidRPr="00AF434B">
        <w:rPr>
          <w:noProof/>
          <w:lang w:val="fr-FR"/>
        </w:rPr>
        <w:t>(par.</w:t>
      </w:r>
      <w:r w:rsidR="0035573C">
        <w:rPr>
          <w:noProof/>
          <w:lang w:val="fr-FR"/>
        </w:rPr>
        <w:t> </w:t>
      </w:r>
      <w:r w:rsidRPr="00AF434B">
        <w:rPr>
          <w:noProof/>
          <w:lang w:val="fr-FR"/>
        </w:rPr>
        <w:t xml:space="preserve">28 et </w:t>
      </w:r>
      <w:r>
        <w:rPr>
          <w:noProof/>
          <w:lang w:val="fr-FR"/>
        </w:rPr>
        <w:t>suiv</w:t>
      </w:r>
      <w:r w:rsidR="0035573C">
        <w:rPr>
          <w:noProof/>
          <w:lang w:val="fr-FR"/>
        </w:rPr>
        <w:t>.</w:t>
      </w:r>
      <w:r w:rsidRPr="00AF434B">
        <w:rPr>
          <w:noProof/>
          <w:lang w:val="fr-FR"/>
        </w:rPr>
        <w:t xml:space="preserve">). </w:t>
      </w:r>
      <w:r>
        <w:rPr>
          <w:noProof/>
          <w:lang w:val="fr-FR"/>
        </w:rPr>
        <w:t>E</w:t>
      </w:r>
      <w:r w:rsidRPr="00AF434B">
        <w:rPr>
          <w:noProof/>
          <w:lang w:val="fr-FR"/>
        </w:rPr>
        <w:t>n fa</w:t>
      </w:r>
      <w:r>
        <w:rPr>
          <w:noProof/>
          <w:lang w:val="fr-FR"/>
        </w:rPr>
        <w:t>i</w:t>
      </w:r>
      <w:r w:rsidRPr="00AF434B">
        <w:rPr>
          <w:noProof/>
          <w:lang w:val="fr-FR"/>
        </w:rPr>
        <w:t xml:space="preserve">t, </w:t>
      </w:r>
      <w:r>
        <w:rPr>
          <w:noProof/>
          <w:lang w:val="fr-FR"/>
        </w:rPr>
        <w:t xml:space="preserve">la </w:t>
      </w:r>
      <w:r w:rsidRPr="00AF434B">
        <w:rPr>
          <w:noProof/>
          <w:lang w:val="fr-FR"/>
        </w:rPr>
        <w:t>proc</w:t>
      </w:r>
      <w:r>
        <w:rPr>
          <w:noProof/>
          <w:lang w:val="fr-FR"/>
        </w:rPr>
        <w:t>é</w:t>
      </w:r>
      <w:r w:rsidRPr="00AF434B">
        <w:rPr>
          <w:noProof/>
          <w:lang w:val="fr-FR"/>
        </w:rPr>
        <w:t xml:space="preserve">dure </w:t>
      </w:r>
      <w:r>
        <w:rPr>
          <w:noProof/>
          <w:lang w:val="fr-FR"/>
        </w:rPr>
        <w:t>d’</w:t>
      </w:r>
      <w:r w:rsidRPr="00AF434B">
        <w:rPr>
          <w:noProof/>
          <w:lang w:val="fr-FR"/>
        </w:rPr>
        <w:t xml:space="preserve">identification </w:t>
      </w:r>
      <w:r>
        <w:rPr>
          <w:noProof/>
          <w:lang w:val="fr-FR"/>
        </w:rPr>
        <w:t>par la police réglementée par l’</w:t>
      </w:r>
      <w:r w:rsidRPr="00AF434B">
        <w:rPr>
          <w:noProof/>
          <w:lang w:val="fr-FR"/>
        </w:rPr>
        <w:t>article</w:t>
      </w:r>
      <w:r w:rsidR="0035573C">
        <w:rPr>
          <w:noProof/>
          <w:lang w:val="fr-FR"/>
        </w:rPr>
        <w:t> </w:t>
      </w:r>
      <w:r w:rsidRPr="00AF434B">
        <w:rPr>
          <w:noProof/>
          <w:lang w:val="fr-FR"/>
        </w:rPr>
        <w:t xml:space="preserve">250 </w:t>
      </w:r>
      <w:r>
        <w:rPr>
          <w:noProof/>
          <w:lang w:val="fr-FR"/>
        </w:rPr>
        <w:t>du Code de procédure pénale peut s’appliquer chaque fois qu’existent des motifs sérieux de soupçonner que</w:t>
      </w:r>
      <w:r w:rsidR="0035573C">
        <w:rPr>
          <w:noProof/>
          <w:lang w:val="fr-FR"/>
        </w:rPr>
        <w:t> </w:t>
      </w:r>
      <w:r w:rsidRPr="00AF434B">
        <w:rPr>
          <w:noProof/>
          <w:lang w:val="fr-FR"/>
        </w:rPr>
        <w:t>: i)</w:t>
      </w:r>
      <w:r w:rsidR="0035573C">
        <w:rPr>
          <w:noProof/>
          <w:lang w:val="fr-FR"/>
        </w:rPr>
        <w:t> </w:t>
      </w:r>
      <w:r>
        <w:rPr>
          <w:noProof/>
          <w:lang w:val="fr-FR"/>
        </w:rPr>
        <w:t>la personne en question a commis une infraction</w:t>
      </w:r>
      <w:r w:rsidR="0035573C">
        <w:rPr>
          <w:noProof/>
          <w:lang w:val="fr-FR"/>
        </w:rPr>
        <w:t> </w:t>
      </w:r>
      <w:r w:rsidRPr="00AF434B">
        <w:rPr>
          <w:noProof/>
          <w:lang w:val="fr-FR"/>
        </w:rPr>
        <w:t>; ii)</w:t>
      </w:r>
      <w:r w:rsidR="0035573C">
        <w:rPr>
          <w:noProof/>
          <w:lang w:val="fr-FR"/>
        </w:rPr>
        <w:t> </w:t>
      </w:r>
      <w:r>
        <w:rPr>
          <w:noProof/>
          <w:lang w:val="fr-FR"/>
        </w:rPr>
        <w:t>elle fait actuellement l’objet d’une procédure d’</w:t>
      </w:r>
      <w:r w:rsidRPr="00AF434B">
        <w:rPr>
          <w:noProof/>
          <w:lang w:val="fr-FR"/>
        </w:rPr>
        <w:t xml:space="preserve">extradition </w:t>
      </w:r>
      <w:r>
        <w:rPr>
          <w:noProof/>
          <w:lang w:val="fr-FR"/>
        </w:rPr>
        <w:t>ou d’</w:t>
      </w:r>
      <w:r w:rsidRPr="00AF434B">
        <w:rPr>
          <w:noProof/>
          <w:lang w:val="fr-FR"/>
        </w:rPr>
        <w:t>expulsion</w:t>
      </w:r>
      <w:r w:rsidR="0035573C">
        <w:rPr>
          <w:noProof/>
          <w:lang w:val="fr-FR"/>
        </w:rPr>
        <w:t> </w:t>
      </w:r>
      <w:r w:rsidRPr="00AF434B">
        <w:rPr>
          <w:noProof/>
          <w:lang w:val="fr-FR"/>
        </w:rPr>
        <w:t>; iii)</w:t>
      </w:r>
      <w:r w:rsidR="0035573C">
        <w:rPr>
          <w:noProof/>
          <w:lang w:val="fr-FR"/>
        </w:rPr>
        <w:t> </w:t>
      </w:r>
      <w:r>
        <w:rPr>
          <w:noProof/>
          <w:lang w:val="fr-FR"/>
        </w:rPr>
        <w:t>elle est entrée ou séjourne irrégulièrement sur le territoire national</w:t>
      </w:r>
      <w:r w:rsidR="0035573C">
        <w:rPr>
          <w:noProof/>
          <w:lang w:val="fr-FR"/>
        </w:rPr>
        <w:t> </w:t>
      </w:r>
      <w:r w:rsidRPr="00AF434B">
        <w:rPr>
          <w:noProof/>
          <w:lang w:val="fr-FR"/>
        </w:rPr>
        <w:t>; o</w:t>
      </w:r>
      <w:r>
        <w:rPr>
          <w:noProof/>
          <w:lang w:val="fr-FR"/>
        </w:rPr>
        <w:t>u</w:t>
      </w:r>
      <w:r w:rsidRPr="00AF434B">
        <w:rPr>
          <w:noProof/>
          <w:lang w:val="fr-FR"/>
        </w:rPr>
        <w:t xml:space="preserve"> iv)</w:t>
      </w:r>
      <w:r w:rsidR="0035573C">
        <w:rPr>
          <w:noProof/>
          <w:lang w:val="fr-FR"/>
        </w:rPr>
        <w:t> </w:t>
      </w:r>
      <w:r>
        <w:rPr>
          <w:noProof/>
          <w:lang w:val="fr-FR"/>
        </w:rPr>
        <w:t>un mandat d’arrêt a été décerné contre elle</w:t>
      </w:r>
      <w:r w:rsidRPr="00AF434B">
        <w:rPr>
          <w:noProof/>
          <w:lang w:val="fr-FR"/>
        </w:rPr>
        <w:t xml:space="preserve">. </w:t>
      </w:r>
    </w:p>
    <w:p w14:paraId="4DBF5E98" w14:textId="77777777" w:rsidR="00BF0619" w:rsidRPr="00AF434B" w:rsidRDefault="00BF0619" w:rsidP="00BF0619">
      <w:pPr>
        <w:pStyle w:val="SingleTxtG"/>
        <w:rPr>
          <w:noProof/>
          <w:lang w:val="fr-FR"/>
        </w:rPr>
      </w:pPr>
      <w:r w:rsidRPr="00AF434B">
        <w:rPr>
          <w:noProof/>
          <w:lang w:val="fr-FR"/>
        </w:rPr>
        <w:t>139.</w:t>
      </w:r>
      <w:r w:rsidRPr="00AF434B">
        <w:rPr>
          <w:noProof/>
          <w:lang w:val="fr-FR"/>
        </w:rPr>
        <w:tab/>
      </w:r>
      <w:r>
        <w:rPr>
          <w:noProof/>
          <w:lang w:val="fr-FR"/>
        </w:rPr>
        <w:t xml:space="preserve">Ainsi, dans les </w:t>
      </w:r>
      <w:r w:rsidRPr="00AF434B">
        <w:rPr>
          <w:noProof/>
          <w:lang w:val="fr-FR"/>
        </w:rPr>
        <w:t>situations</w:t>
      </w:r>
      <w:r w:rsidR="0035573C">
        <w:rPr>
          <w:noProof/>
          <w:lang w:val="fr-FR"/>
        </w:rPr>
        <w:t> </w:t>
      </w:r>
      <w:r w:rsidRPr="00AF434B">
        <w:rPr>
          <w:noProof/>
          <w:lang w:val="fr-FR"/>
        </w:rPr>
        <w:t xml:space="preserve">i) </w:t>
      </w:r>
      <w:r>
        <w:rPr>
          <w:noProof/>
          <w:lang w:val="fr-FR"/>
        </w:rPr>
        <w:t>et</w:t>
      </w:r>
      <w:r w:rsidR="0035573C">
        <w:rPr>
          <w:noProof/>
          <w:lang w:val="fr-FR"/>
        </w:rPr>
        <w:t> </w:t>
      </w:r>
      <w:r w:rsidRPr="00AF434B">
        <w:rPr>
          <w:noProof/>
          <w:lang w:val="fr-FR"/>
        </w:rPr>
        <w:t xml:space="preserve">iv), </w:t>
      </w:r>
      <w:r>
        <w:rPr>
          <w:noProof/>
          <w:lang w:val="fr-FR"/>
        </w:rPr>
        <w:t>la personne faisant l’objet d’une procédure d’</w:t>
      </w:r>
      <w:r w:rsidRPr="00AF434B">
        <w:rPr>
          <w:noProof/>
          <w:lang w:val="fr-FR"/>
        </w:rPr>
        <w:t xml:space="preserve">identification </w:t>
      </w:r>
      <w:r>
        <w:rPr>
          <w:noProof/>
          <w:lang w:val="fr-FR"/>
        </w:rPr>
        <w:t>doit déjà être soupçonnée d’avoir commis une infraction</w:t>
      </w:r>
      <w:r w:rsidR="00644C8E">
        <w:rPr>
          <w:noProof/>
          <w:lang w:val="fr-FR"/>
        </w:rPr>
        <w:t> </w:t>
      </w:r>
      <w:r w:rsidRPr="00AF434B">
        <w:rPr>
          <w:noProof/>
          <w:lang w:val="fr-FR"/>
        </w:rPr>
        <w:t xml:space="preserve">; </w:t>
      </w:r>
      <w:r>
        <w:rPr>
          <w:noProof/>
          <w:lang w:val="fr-FR"/>
        </w:rPr>
        <w:t>dans les situations</w:t>
      </w:r>
      <w:r w:rsidR="0035573C">
        <w:rPr>
          <w:noProof/>
          <w:lang w:val="fr-FR"/>
        </w:rPr>
        <w:t> </w:t>
      </w:r>
      <w:r w:rsidRPr="00AF434B">
        <w:rPr>
          <w:noProof/>
          <w:lang w:val="fr-FR"/>
        </w:rPr>
        <w:t xml:space="preserve">ii) </w:t>
      </w:r>
      <w:r>
        <w:rPr>
          <w:noProof/>
          <w:lang w:val="fr-FR"/>
        </w:rPr>
        <w:t>et</w:t>
      </w:r>
      <w:r w:rsidR="00644C8E">
        <w:rPr>
          <w:noProof/>
          <w:lang w:val="fr-FR"/>
        </w:rPr>
        <w:t> </w:t>
      </w:r>
      <w:r w:rsidRPr="00AF434B">
        <w:rPr>
          <w:noProof/>
          <w:lang w:val="fr-FR"/>
        </w:rPr>
        <w:t xml:space="preserve">iii), </w:t>
      </w:r>
      <w:r>
        <w:rPr>
          <w:noProof/>
          <w:lang w:val="fr-FR"/>
        </w:rPr>
        <w:t>elle ne l’est pas</w:t>
      </w:r>
      <w:r w:rsidRPr="00AF434B">
        <w:rPr>
          <w:noProof/>
          <w:lang w:val="fr-FR"/>
        </w:rPr>
        <w:t xml:space="preserve">. </w:t>
      </w:r>
    </w:p>
    <w:p w14:paraId="419CD119" w14:textId="77777777" w:rsidR="00BF0619" w:rsidRPr="00AF434B" w:rsidRDefault="00BF0619" w:rsidP="00BF0619">
      <w:pPr>
        <w:pStyle w:val="SingleTxtG"/>
        <w:rPr>
          <w:noProof/>
          <w:lang w:val="fr-FR"/>
        </w:rPr>
      </w:pPr>
      <w:r w:rsidRPr="00AF434B">
        <w:rPr>
          <w:noProof/>
          <w:lang w:val="fr-FR"/>
        </w:rPr>
        <w:t>140.</w:t>
      </w:r>
      <w:r w:rsidRPr="00AF434B">
        <w:rPr>
          <w:noProof/>
          <w:lang w:val="fr-FR"/>
        </w:rPr>
        <w:tab/>
      </w:r>
      <w:r>
        <w:rPr>
          <w:noProof/>
          <w:lang w:val="fr-FR"/>
        </w:rPr>
        <w:t xml:space="preserve">On voit que ces </w:t>
      </w:r>
      <w:r w:rsidRPr="00AF434B">
        <w:rPr>
          <w:noProof/>
          <w:lang w:val="fr-FR"/>
        </w:rPr>
        <w:t xml:space="preserve">situations </w:t>
      </w:r>
      <w:r>
        <w:rPr>
          <w:noProof/>
          <w:lang w:val="fr-FR"/>
        </w:rPr>
        <w:t>justifient un traitement différent et ne peuvent pas nécessairement être considérées comme équivalentes s’agissant de déterminer l’existence d’un chevauchement entre la période maximale de six heures aux fins d’</w:t>
      </w:r>
      <w:r w:rsidRPr="00AF434B">
        <w:rPr>
          <w:noProof/>
          <w:lang w:val="fr-FR"/>
        </w:rPr>
        <w:t xml:space="preserve">identification </w:t>
      </w:r>
      <w:r>
        <w:rPr>
          <w:noProof/>
          <w:lang w:val="fr-FR"/>
        </w:rPr>
        <w:t>et le délai maximal de</w:t>
      </w:r>
      <w:r w:rsidRPr="00AF434B">
        <w:rPr>
          <w:noProof/>
          <w:lang w:val="fr-FR"/>
        </w:rPr>
        <w:t xml:space="preserve"> </w:t>
      </w:r>
      <w:r w:rsidR="00644C8E">
        <w:rPr>
          <w:noProof/>
          <w:lang w:val="fr-FR"/>
        </w:rPr>
        <w:t>quarante-huit</w:t>
      </w:r>
      <w:r w:rsidRPr="00AF434B">
        <w:rPr>
          <w:noProof/>
          <w:lang w:val="fr-FR"/>
        </w:rPr>
        <w:t xml:space="preserve"> h</w:t>
      </w:r>
      <w:r>
        <w:rPr>
          <w:noProof/>
          <w:lang w:val="fr-FR"/>
        </w:rPr>
        <w:t>eure</w:t>
      </w:r>
      <w:r w:rsidRPr="00AF434B">
        <w:rPr>
          <w:noProof/>
          <w:lang w:val="fr-FR"/>
        </w:rPr>
        <w:t xml:space="preserve">s </w:t>
      </w:r>
      <w:r>
        <w:rPr>
          <w:noProof/>
          <w:lang w:val="fr-FR"/>
        </w:rPr>
        <w:t>dans lequel la personne doit être présentée à un juge</w:t>
      </w:r>
      <w:r w:rsidRPr="00AF434B">
        <w:rPr>
          <w:noProof/>
          <w:lang w:val="fr-FR"/>
        </w:rPr>
        <w:t xml:space="preserve">. </w:t>
      </w:r>
      <w:r>
        <w:rPr>
          <w:noProof/>
          <w:lang w:val="fr-FR"/>
        </w:rPr>
        <w:t xml:space="preserve">Dans le cas où une personne est soupçonnée d’une infraction, les périodes en question se chevauchent, mais elles ne le font pas dans le deuxième cas </w:t>
      </w:r>
      <w:r w:rsidRPr="00AF434B">
        <w:rPr>
          <w:noProof/>
          <w:lang w:val="fr-FR"/>
        </w:rPr>
        <w:t>(</w:t>
      </w:r>
      <w:r>
        <w:rPr>
          <w:noProof/>
          <w:lang w:val="fr-FR"/>
        </w:rPr>
        <w:t>à moins que la personne faisant l’objet d’une procédure d’</w:t>
      </w:r>
      <w:r w:rsidRPr="00AF434B">
        <w:rPr>
          <w:noProof/>
          <w:lang w:val="fr-FR"/>
        </w:rPr>
        <w:t xml:space="preserve">identification </w:t>
      </w:r>
      <w:r>
        <w:rPr>
          <w:noProof/>
          <w:lang w:val="fr-FR"/>
        </w:rPr>
        <w:t>pour des raisons autres qu’un soupçon d’infraction ne devienne effectivement une personne soupçonnée d’en avoir commis une</w:t>
      </w:r>
      <w:r w:rsidRPr="00AF434B">
        <w:rPr>
          <w:noProof/>
          <w:lang w:val="fr-FR"/>
        </w:rPr>
        <w:t>).</w:t>
      </w:r>
    </w:p>
    <w:p w14:paraId="380E8ACB" w14:textId="39359298" w:rsidR="00BF0619" w:rsidRPr="00AF434B" w:rsidRDefault="00BF0619" w:rsidP="00BF0619">
      <w:pPr>
        <w:pStyle w:val="SingleTxtG"/>
        <w:rPr>
          <w:noProof/>
          <w:lang w:val="fr-FR"/>
        </w:rPr>
      </w:pPr>
      <w:r w:rsidRPr="00AF434B">
        <w:rPr>
          <w:noProof/>
          <w:lang w:val="fr-FR"/>
        </w:rPr>
        <w:t>141.</w:t>
      </w:r>
      <w:r w:rsidRPr="00AF434B">
        <w:rPr>
          <w:noProof/>
          <w:lang w:val="fr-FR"/>
        </w:rPr>
        <w:tab/>
      </w:r>
      <w:r>
        <w:rPr>
          <w:noProof/>
          <w:lang w:val="fr-FR"/>
        </w:rPr>
        <w:t>En principe, l’arrestation d’une personne soupçonnée d’avoir commis une infraction, en dehors des cas de flagrant délit, est régie par l’a</w:t>
      </w:r>
      <w:r w:rsidRPr="00AF434B">
        <w:rPr>
          <w:noProof/>
          <w:lang w:val="fr-FR"/>
        </w:rPr>
        <w:t>rticle</w:t>
      </w:r>
      <w:r w:rsidR="0035573C">
        <w:rPr>
          <w:noProof/>
          <w:lang w:val="fr-FR"/>
        </w:rPr>
        <w:t> </w:t>
      </w:r>
      <w:r w:rsidRPr="00AF434B">
        <w:rPr>
          <w:noProof/>
          <w:lang w:val="fr-FR"/>
        </w:rPr>
        <w:t xml:space="preserve">257 </w:t>
      </w:r>
      <w:r>
        <w:rPr>
          <w:noProof/>
          <w:lang w:val="fr-FR"/>
        </w:rPr>
        <w:t>du Code de procédure pénale, qui s’applique lorsqu’existent des motifs valables de soupçonner que cette personne ne se présenterait pas d’elle-même devant une autorité compétente dans un délai donné, lorsqu’il y a un risque de fuite ou de perturbation du bon déroulement de l’enquête ou de l’instruction, lorsque l’on peut croire que le prévenu</w:t>
      </w:r>
      <w:r w:rsidRPr="00AF434B">
        <w:rPr>
          <w:noProof/>
          <w:lang w:val="fr-FR"/>
        </w:rPr>
        <w:t xml:space="preserve"> </w:t>
      </w:r>
      <w:r>
        <w:rPr>
          <w:noProof/>
          <w:lang w:val="fr-FR"/>
        </w:rPr>
        <w:t xml:space="preserve">poursuivra ses activités criminelles ou troublera gravement la paix et l’ordre publics, ou lorsque l’on juge nécessaire de garantir la </w:t>
      </w:r>
      <w:r w:rsidRPr="00AF434B">
        <w:rPr>
          <w:noProof/>
          <w:lang w:val="fr-FR"/>
        </w:rPr>
        <w:t xml:space="preserve">protection </w:t>
      </w:r>
      <w:r>
        <w:rPr>
          <w:noProof/>
          <w:lang w:val="fr-FR"/>
        </w:rPr>
        <w:t xml:space="preserve">de la </w:t>
      </w:r>
      <w:r w:rsidRPr="00AF434B">
        <w:rPr>
          <w:noProof/>
          <w:lang w:val="fr-FR"/>
        </w:rPr>
        <w:t>victim</w:t>
      </w:r>
      <w:r>
        <w:rPr>
          <w:noProof/>
          <w:lang w:val="fr-FR"/>
        </w:rPr>
        <w:t>e</w:t>
      </w:r>
      <w:r w:rsidRPr="00AF434B">
        <w:rPr>
          <w:noProof/>
          <w:lang w:val="fr-FR"/>
        </w:rPr>
        <w:t xml:space="preserve">. </w:t>
      </w:r>
      <w:r>
        <w:rPr>
          <w:noProof/>
          <w:lang w:val="fr-FR"/>
        </w:rPr>
        <w:t>Le délai de</w:t>
      </w:r>
      <w:r w:rsidRPr="00AF434B">
        <w:rPr>
          <w:noProof/>
          <w:lang w:val="fr-FR"/>
        </w:rPr>
        <w:t xml:space="preserve"> </w:t>
      </w:r>
      <w:r w:rsidR="00590D8D">
        <w:rPr>
          <w:noProof/>
          <w:lang w:val="fr-FR"/>
        </w:rPr>
        <w:t>quarante-huit</w:t>
      </w:r>
      <w:bookmarkStart w:id="3" w:name="_GoBack"/>
      <w:bookmarkEnd w:id="3"/>
      <w:r>
        <w:rPr>
          <w:noProof/>
          <w:lang w:val="fr-FR"/>
        </w:rPr>
        <w:t xml:space="preserve"> </w:t>
      </w:r>
      <w:r w:rsidRPr="00AF434B">
        <w:rPr>
          <w:noProof/>
          <w:lang w:val="fr-FR"/>
        </w:rPr>
        <w:t>h</w:t>
      </w:r>
      <w:r>
        <w:rPr>
          <w:noProof/>
          <w:lang w:val="fr-FR"/>
        </w:rPr>
        <w:t>eures commence à courir dès l’arrestation</w:t>
      </w:r>
      <w:r w:rsidRPr="00AF434B">
        <w:rPr>
          <w:noProof/>
          <w:lang w:val="fr-FR"/>
        </w:rPr>
        <w:t xml:space="preserve">. </w:t>
      </w:r>
    </w:p>
    <w:p w14:paraId="20EF5801" w14:textId="77777777" w:rsidR="00BF0619" w:rsidRPr="00AF434B" w:rsidRDefault="00BF0619" w:rsidP="00BF0619">
      <w:pPr>
        <w:pStyle w:val="SingleTxtG"/>
        <w:rPr>
          <w:noProof/>
          <w:lang w:val="fr-FR"/>
        </w:rPr>
      </w:pPr>
      <w:r w:rsidRPr="00AF434B">
        <w:rPr>
          <w:noProof/>
          <w:lang w:val="fr-FR"/>
        </w:rPr>
        <w:t>142.</w:t>
      </w:r>
      <w:r w:rsidRPr="00AF434B">
        <w:rPr>
          <w:noProof/>
          <w:lang w:val="fr-FR"/>
        </w:rPr>
        <w:tab/>
      </w:r>
      <w:r>
        <w:rPr>
          <w:noProof/>
          <w:lang w:val="fr-FR"/>
        </w:rPr>
        <w:t>Le Règlement régissant les c</w:t>
      </w:r>
      <w:r w:rsidRPr="00AF434B">
        <w:rPr>
          <w:noProof/>
          <w:lang w:val="fr-FR"/>
        </w:rPr>
        <w:t xml:space="preserve">onditions </w:t>
      </w:r>
      <w:r>
        <w:rPr>
          <w:noProof/>
          <w:lang w:val="fr-FR"/>
        </w:rPr>
        <w:t>de</w:t>
      </w:r>
      <w:r w:rsidRPr="00AF434B">
        <w:rPr>
          <w:noProof/>
          <w:lang w:val="fr-FR"/>
        </w:rPr>
        <w:t xml:space="preserve"> </w:t>
      </w:r>
      <w:r>
        <w:rPr>
          <w:noProof/>
          <w:lang w:val="fr-FR"/>
        </w:rPr>
        <w:t>dé</w:t>
      </w:r>
      <w:r w:rsidRPr="00AF434B">
        <w:rPr>
          <w:noProof/>
          <w:lang w:val="fr-FR"/>
        </w:rPr>
        <w:t xml:space="preserve">tention </w:t>
      </w:r>
      <w:r>
        <w:rPr>
          <w:noProof/>
          <w:lang w:val="fr-FR"/>
        </w:rPr>
        <w:t xml:space="preserve">dans les locaux de la </w:t>
      </w:r>
      <w:r w:rsidRPr="00AF434B">
        <w:rPr>
          <w:noProof/>
          <w:lang w:val="fr-FR"/>
        </w:rPr>
        <w:t>police (</w:t>
      </w:r>
      <w:r>
        <w:rPr>
          <w:noProof/>
          <w:lang w:val="fr-FR"/>
        </w:rPr>
        <w:t xml:space="preserve">ordonnance </w:t>
      </w:r>
      <w:r w:rsidR="0035573C" w:rsidRPr="0035573C">
        <w:rPr>
          <w:rFonts w:eastAsia="MS Mincho"/>
          <w:noProof/>
          <w:szCs w:val="22"/>
          <w:lang w:val="fr-FR"/>
        </w:rPr>
        <w:t>n</w:t>
      </w:r>
      <w:r w:rsidR="0035573C" w:rsidRPr="0035573C">
        <w:rPr>
          <w:rFonts w:eastAsia="MS Mincho"/>
          <w:noProof/>
          <w:szCs w:val="22"/>
          <w:vertAlign w:val="superscript"/>
          <w:lang w:val="fr-FR"/>
        </w:rPr>
        <w:t>o</w:t>
      </w:r>
      <w:r w:rsidR="0035573C">
        <w:rPr>
          <w:noProof/>
          <w:lang w:val="fr-FR"/>
        </w:rPr>
        <w:t> </w:t>
      </w:r>
      <w:r w:rsidRPr="00AF434B">
        <w:rPr>
          <w:noProof/>
          <w:lang w:val="fr-FR"/>
        </w:rPr>
        <w:t>5863/2015</w:t>
      </w:r>
      <w:r>
        <w:rPr>
          <w:noProof/>
          <w:lang w:val="fr-FR"/>
        </w:rPr>
        <w:t xml:space="preserve"> du Ministre de l’intérieur</w:t>
      </w:r>
      <w:r w:rsidRPr="00AF434B">
        <w:rPr>
          <w:noProof/>
          <w:lang w:val="fr-FR"/>
        </w:rPr>
        <w:t xml:space="preserve">) </w:t>
      </w:r>
      <w:r>
        <w:rPr>
          <w:noProof/>
          <w:lang w:val="fr-FR"/>
        </w:rPr>
        <w:t>et le Règlement régissant les c</w:t>
      </w:r>
      <w:r w:rsidRPr="00AF434B">
        <w:rPr>
          <w:noProof/>
          <w:lang w:val="fr-FR"/>
        </w:rPr>
        <w:t xml:space="preserve">onditions </w:t>
      </w:r>
      <w:r>
        <w:rPr>
          <w:noProof/>
          <w:lang w:val="fr-FR"/>
        </w:rPr>
        <w:t>de</w:t>
      </w:r>
      <w:r w:rsidRPr="00AF434B">
        <w:rPr>
          <w:noProof/>
          <w:lang w:val="fr-FR"/>
        </w:rPr>
        <w:t xml:space="preserve"> </w:t>
      </w:r>
      <w:r>
        <w:rPr>
          <w:noProof/>
          <w:lang w:val="fr-FR"/>
        </w:rPr>
        <w:t>dé</w:t>
      </w:r>
      <w:r w:rsidRPr="00AF434B">
        <w:rPr>
          <w:noProof/>
          <w:lang w:val="fr-FR"/>
        </w:rPr>
        <w:t xml:space="preserve">tention </w:t>
      </w:r>
      <w:r>
        <w:rPr>
          <w:noProof/>
          <w:lang w:val="fr-FR"/>
        </w:rPr>
        <w:t xml:space="preserve">dans les lieux de détention de la </w:t>
      </w:r>
      <w:r w:rsidRPr="00AF434B">
        <w:rPr>
          <w:noProof/>
          <w:lang w:val="fr-FR"/>
        </w:rPr>
        <w:t xml:space="preserve">police </w:t>
      </w:r>
      <w:r>
        <w:rPr>
          <w:noProof/>
          <w:lang w:val="fr-FR"/>
        </w:rPr>
        <w:t xml:space="preserve">judiciaire ou des tribunaux ou des services du ministère public </w:t>
      </w:r>
      <w:r w:rsidRPr="00AF434B">
        <w:rPr>
          <w:noProof/>
          <w:lang w:val="fr-FR"/>
        </w:rPr>
        <w:t>(</w:t>
      </w:r>
      <w:r>
        <w:rPr>
          <w:noProof/>
          <w:lang w:val="fr-FR"/>
        </w:rPr>
        <w:t xml:space="preserve">ordonnance </w:t>
      </w:r>
      <w:r w:rsidR="0035573C" w:rsidRPr="0035573C">
        <w:rPr>
          <w:rFonts w:eastAsia="MS Mincho"/>
          <w:noProof/>
          <w:szCs w:val="22"/>
          <w:lang w:val="fr-FR"/>
        </w:rPr>
        <w:t>n</w:t>
      </w:r>
      <w:r w:rsidR="0035573C" w:rsidRPr="0035573C">
        <w:rPr>
          <w:rFonts w:eastAsia="MS Mincho"/>
          <w:noProof/>
          <w:szCs w:val="22"/>
          <w:vertAlign w:val="superscript"/>
          <w:lang w:val="fr-FR"/>
        </w:rPr>
        <w:t>o</w:t>
      </w:r>
      <w:r w:rsidR="0035573C">
        <w:rPr>
          <w:noProof/>
          <w:lang w:val="fr-FR"/>
        </w:rPr>
        <w:t> </w:t>
      </w:r>
      <w:r w:rsidRPr="00AF434B">
        <w:rPr>
          <w:noProof/>
          <w:lang w:val="fr-FR"/>
        </w:rPr>
        <w:t>12786/2009</w:t>
      </w:r>
      <w:r>
        <w:rPr>
          <w:noProof/>
          <w:lang w:val="fr-FR"/>
        </w:rPr>
        <w:t xml:space="preserve"> du Ministre de la justice</w:t>
      </w:r>
      <w:r w:rsidRPr="00AF434B">
        <w:rPr>
          <w:noProof/>
          <w:lang w:val="fr-FR"/>
        </w:rPr>
        <w:t xml:space="preserve">) </w:t>
      </w:r>
      <w:r>
        <w:rPr>
          <w:noProof/>
          <w:lang w:val="fr-FR"/>
        </w:rPr>
        <w:t xml:space="preserve">disposent que sont considérées comme une détention les </w:t>
      </w:r>
      <w:r w:rsidRPr="00AF434B">
        <w:rPr>
          <w:noProof/>
          <w:lang w:val="fr-FR"/>
        </w:rPr>
        <w:t xml:space="preserve">situations </w:t>
      </w:r>
      <w:r>
        <w:rPr>
          <w:noProof/>
          <w:lang w:val="fr-FR"/>
        </w:rPr>
        <w:t xml:space="preserve">de privation de liberté pendant une période ne pouvant excéder </w:t>
      </w:r>
      <w:r w:rsidR="0035573C">
        <w:rPr>
          <w:noProof/>
          <w:lang w:val="fr-FR"/>
        </w:rPr>
        <w:t xml:space="preserve">quarante-huit </w:t>
      </w:r>
      <w:r>
        <w:rPr>
          <w:noProof/>
          <w:lang w:val="fr-FR"/>
        </w:rPr>
        <w:t>heures et la situation de la personne faisant l’objet d’une procédure d’</w:t>
      </w:r>
      <w:r w:rsidRPr="00AF434B">
        <w:rPr>
          <w:noProof/>
          <w:lang w:val="fr-FR"/>
        </w:rPr>
        <w:t>identification.</w:t>
      </w:r>
    </w:p>
    <w:p w14:paraId="190FD211" w14:textId="77777777" w:rsidR="00BF0619" w:rsidRPr="00AF434B" w:rsidRDefault="00BF0619" w:rsidP="00BF0619">
      <w:pPr>
        <w:pStyle w:val="SingleTxtG"/>
        <w:rPr>
          <w:noProof/>
          <w:lang w:val="fr-FR"/>
        </w:rPr>
      </w:pPr>
      <w:r w:rsidRPr="00AF434B">
        <w:rPr>
          <w:noProof/>
          <w:lang w:val="fr-FR"/>
        </w:rPr>
        <w:t>143.</w:t>
      </w:r>
      <w:r w:rsidRPr="00AF434B">
        <w:rPr>
          <w:noProof/>
          <w:lang w:val="fr-FR"/>
        </w:rPr>
        <w:tab/>
      </w:r>
      <w:r>
        <w:rPr>
          <w:noProof/>
          <w:lang w:val="fr-FR"/>
        </w:rPr>
        <w:t xml:space="preserve">Le </w:t>
      </w:r>
      <w:r w:rsidRPr="00AF434B">
        <w:rPr>
          <w:noProof/>
          <w:lang w:val="fr-FR"/>
        </w:rPr>
        <w:t xml:space="preserve">suspect </w:t>
      </w:r>
      <w:r>
        <w:rPr>
          <w:noProof/>
          <w:lang w:val="fr-FR"/>
        </w:rPr>
        <w:t>gardé à vue ou détenu jouit de tous les droits prévus par le Code de procédure pénale, notamment celui de prendre contact avec une personne de confiance, un avocat et, dans le cas d’un étranger, les autorités consulaires de l’État dont il est originaire</w:t>
      </w:r>
      <w:r w:rsidRPr="00AF434B">
        <w:rPr>
          <w:noProof/>
          <w:lang w:val="fr-FR"/>
        </w:rPr>
        <w:t xml:space="preserve">. </w:t>
      </w:r>
      <w:r>
        <w:rPr>
          <w:noProof/>
          <w:lang w:val="fr-FR"/>
        </w:rPr>
        <w:t xml:space="preserve">En particulier, si l’autorité de police confère à la personne détenue le statut de prévenu </w:t>
      </w:r>
      <w:r w:rsidRPr="00AF434B">
        <w:rPr>
          <w:noProof/>
          <w:lang w:val="fr-FR"/>
        </w:rPr>
        <w:t>(</w:t>
      </w:r>
      <w:r w:rsidRPr="00AF434B">
        <w:rPr>
          <w:i/>
          <w:iCs/>
          <w:noProof/>
          <w:lang w:val="fr-FR"/>
        </w:rPr>
        <w:t>arguido</w:t>
      </w:r>
      <w:r w:rsidRPr="00AF434B">
        <w:rPr>
          <w:noProof/>
          <w:lang w:val="fr-FR"/>
        </w:rPr>
        <w:t>)</w:t>
      </w:r>
      <w:r>
        <w:rPr>
          <w:noProof/>
          <w:lang w:val="fr-FR"/>
        </w:rPr>
        <w:t xml:space="preserve"> </w:t>
      </w:r>
      <w:r w:rsidR="0035573C">
        <w:rPr>
          <w:noProof/>
          <w:lang w:val="fr-FR"/>
        </w:rPr>
        <w:t>− </w:t>
      </w:r>
      <w:r>
        <w:rPr>
          <w:noProof/>
          <w:lang w:val="fr-FR"/>
        </w:rPr>
        <w:t>statut qu’elle peut d’ailleurs demander elle-même</w:t>
      </w:r>
      <w:r w:rsidR="0035573C">
        <w:rPr>
          <w:noProof/>
          <w:lang w:val="fr-FR"/>
        </w:rPr>
        <w:t> −</w:t>
      </w:r>
      <w:r>
        <w:rPr>
          <w:noProof/>
          <w:lang w:val="fr-FR"/>
        </w:rPr>
        <w:t>, cette personne jouira de tous les droits garantis par l’a</w:t>
      </w:r>
      <w:r w:rsidRPr="00AF434B">
        <w:rPr>
          <w:noProof/>
          <w:lang w:val="fr-FR"/>
        </w:rPr>
        <w:t>rticle</w:t>
      </w:r>
      <w:r w:rsidR="0035573C">
        <w:rPr>
          <w:noProof/>
          <w:lang w:val="fr-FR"/>
        </w:rPr>
        <w:t> </w:t>
      </w:r>
      <w:r w:rsidRPr="00AF434B">
        <w:rPr>
          <w:noProof/>
          <w:lang w:val="fr-FR"/>
        </w:rPr>
        <w:t xml:space="preserve">61 </w:t>
      </w:r>
      <w:r>
        <w:rPr>
          <w:noProof/>
          <w:lang w:val="fr-FR"/>
        </w:rPr>
        <w:t>et autres articles du Code de procédure pénale, notamment celui de se faire assister par un conseil ou, dans le cas d’un étranger, le droit de se faire assister par un interprète dans une langue qu’elle comprend</w:t>
      </w:r>
      <w:r w:rsidRPr="00AF434B">
        <w:rPr>
          <w:noProof/>
          <w:lang w:val="fr-FR"/>
        </w:rPr>
        <w:t>.</w:t>
      </w:r>
    </w:p>
    <w:p w14:paraId="0EFA9665" w14:textId="77777777" w:rsidR="00BF0619" w:rsidRPr="00AF434B" w:rsidRDefault="00BF0619" w:rsidP="00BF0619">
      <w:pPr>
        <w:pStyle w:val="SingleTxtG"/>
        <w:rPr>
          <w:noProof/>
          <w:lang w:val="fr-FR"/>
        </w:rPr>
      </w:pPr>
      <w:r w:rsidRPr="00AF434B">
        <w:rPr>
          <w:noProof/>
          <w:lang w:val="fr-FR"/>
        </w:rPr>
        <w:t>144.</w:t>
      </w:r>
      <w:r w:rsidRPr="00AF434B">
        <w:rPr>
          <w:noProof/>
          <w:lang w:val="fr-FR"/>
        </w:rPr>
        <w:tab/>
      </w:r>
      <w:r>
        <w:rPr>
          <w:noProof/>
          <w:lang w:val="fr-FR"/>
        </w:rPr>
        <w:t>En conclusion de ce point</w:t>
      </w:r>
      <w:r w:rsidRPr="00AF434B">
        <w:rPr>
          <w:noProof/>
          <w:lang w:val="fr-FR"/>
        </w:rPr>
        <w:t xml:space="preserve">, </w:t>
      </w:r>
      <w:r>
        <w:rPr>
          <w:noProof/>
          <w:lang w:val="fr-FR"/>
        </w:rPr>
        <w:t>le paragraphe</w:t>
      </w:r>
      <w:r w:rsidR="0035573C">
        <w:rPr>
          <w:noProof/>
          <w:lang w:val="fr-FR"/>
        </w:rPr>
        <w:t> </w:t>
      </w:r>
      <w:r>
        <w:rPr>
          <w:noProof/>
          <w:lang w:val="fr-FR"/>
        </w:rPr>
        <w:t>1 de l’article</w:t>
      </w:r>
      <w:r w:rsidR="0035573C">
        <w:rPr>
          <w:noProof/>
          <w:lang w:val="fr-FR"/>
        </w:rPr>
        <w:t> </w:t>
      </w:r>
      <w:r>
        <w:rPr>
          <w:noProof/>
          <w:lang w:val="fr-FR"/>
        </w:rPr>
        <w:t xml:space="preserve">28 de la Constitution est très clair en ce qui concerne le délai </w:t>
      </w:r>
      <w:r w:rsidRPr="00AF434B">
        <w:rPr>
          <w:noProof/>
          <w:lang w:val="fr-FR"/>
        </w:rPr>
        <w:t xml:space="preserve">applicable </w:t>
      </w:r>
      <w:r>
        <w:rPr>
          <w:noProof/>
          <w:lang w:val="fr-FR"/>
        </w:rPr>
        <w:t>en matière de détention</w:t>
      </w:r>
      <w:r w:rsidRPr="00AF434B">
        <w:rPr>
          <w:noProof/>
          <w:lang w:val="fr-FR"/>
        </w:rPr>
        <w:t xml:space="preserve"> administrative. </w:t>
      </w:r>
      <w:r>
        <w:rPr>
          <w:noProof/>
          <w:lang w:val="fr-FR"/>
        </w:rPr>
        <w:t xml:space="preserve">En vertu de cette disposition, toute garde à vue doit, dans un délai maximal de </w:t>
      </w:r>
      <w:r w:rsidR="0035573C">
        <w:rPr>
          <w:noProof/>
          <w:lang w:val="fr-FR"/>
        </w:rPr>
        <w:t xml:space="preserve">quarante-huit </w:t>
      </w:r>
      <w:r>
        <w:rPr>
          <w:noProof/>
          <w:lang w:val="fr-FR"/>
        </w:rPr>
        <w:t>heures, faire l’objet d’un contrôle juridictionnel afin de remettre la personne gardée à vue en liberté ou de décider de l’application d’une mesure de contrainte appropriée</w:t>
      </w:r>
      <w:r w:rsidRPr="00AF434B">
        <w:rPr>
          <w:noProof/>
          <w:lang w:val="fr-FR"/>
        </w:rPr>
        <w:t xml:space="preserve">. </w:t>
      </w:r>
      <w:r>
        <w:rPr>
          <w:noProof/>
          <w:lang w:val="fr-FR"/>
        </w:rPr>
        <w:t>Le juge doit connaître les raisons du placement en garde à vue et en informer la personne concernée, l’interroger et lui donner la possibilité de se défendre</w:t>
      </w:r>
      <w:r w:rsidRPr="00AF434B">
        <w:rPr>
          <w:noProof/>
          <w:lang w:val="fr-FR"/>
        </w:rPr>
        <w:t>.</w:t>
      </w:r>
    </w:p>
    <w:p w14:paraId="3E68475B" w14:textId="77777777" w:rsidR="00BF0619" w:rsidRPr="00AF434B" w:rsidRDefault="00BF0619" w:rsidP="00BF0619">
      <w:pPr>
        <w:pStyle w:val="SingleTxtG"/>
        <w:rPr>
          <w:noProof/>
          <w:lang w:val="fr-FR"/>
        </w:rPr>
      </w:pPr>
      <w:r w:rsidRPr="00AF434B">
        <w:rPr>
          <w:noProof/>
          <w:lang w:val="fr-FR"/>
        </w:rPr>
        <w:t>145.</w:t>
      </w:r>
      <w:r w:rsidRPr="00AF434B">
        <w:rPr>
          <w:noProof/>
          <w:lang w:val="fr-FR"/>
        </w:rPr>
        <w:tab/>
      </w:r>
      <w:r>
        <w:rPr>
          <w:noProof/>
          <w:lang w:val="fr-FR"/>
        </w:rPr>
        <w:t>Au vu de ce qui précède, on doit conclure que le temps passé en garde à vue aux fins d’</w:t>
      </w:r>
      <w:r w:rsidRPr="00AF434B">
        <w:rPr>
          <w:noProof/>
          <w:lang w:val="fr-FR"/>
        </w:rPr>
        <w:t xml:space="preserve">identification </w:t>
      </w:r>
      <w:r>
        <w:rPr>
          <w:noProof/>
          <w:lang w:val="fr-FR"/>
        </w:rPr>
        <w:t xml:space="preserve">par une personne soupçonnée d’avoir commis une infraction est bien considérée comme </w:t>
      </w:r>
      <w:r w:rsidRPr="00606C47">
        <w:rPr>
          <w:noProof/>
          <w:lang w:val="fr-FR"/>
        </w:rPr>
        <w:t xml:space="preserve">décompté du délai de quarante-huit heures dans lequel </w:t>
      </w:r>
      <w:r>
        <w:rPr>
          <w:noProof/>
          <w:lang w:val="fr-FR"/>
        </w:rPr>
        <w:t xml:space="preserve">elle </w:t>
      </w:r>
      <w:r w:rsidRPr="00606C47">
        <w:rPr>
          <w:noProof/>
          <w:lang w:val="fr-FR"/>
        </w:rPr>
        <w:t>doit être présentée à un juge</w:t>
      </w:r>
      <w:r w:rsidRPr="00AF434B">
        <w:rPr>
          <w:noProof/>
          <w:lang w:val="fr-FR"/>
        </w:rPr>
        <w:t xml:space="preserve">. </w:t>
      </w:r>
    </w:p>
    <w:p w14:paraId="41863D68" w14:textId="77777777" w:rsidR="00BF0619" w:rsidRPr="00AF434B" w:rsidRDefault="00BF0619" w:rsidP="00BF0619">
      <w:pPr>
        <w:pStyle w:val="SingleTxtG"/>
        <w:rPr>
          <w:noProof/>
          <w:lang w:val="fr-FR"/>
        </w:rPr>
      </w:pPr>
      <w:r w:rsidRPr="00AF434B">
        <w:rPr>
          <w:noProof/>
          <w:lang w:val="fr-FR"/>
        </w:rPr>
        <w:t>146.</w:t>
      </w:r>
      <w:r w:rsidRPr="00AF434B">
        <w:rPr>
          <w:noProof/>
          <w:lang w:val="fr-FR"/>
        </w:rPr>
        <w:tab/>
      </w:r>
      <w:r>
        <w:rPr>
          <w:noProof/>
          <w:lang w:val="fr-FR"/>
        </w:rPr>
        <w:t>De plus, l’</w:t>
      </w:r>
      <w:r w:rsidRPr="00AF434B">
        <w:rPr>
          <w:noProof/>
          <w:lang w:val="fr-FR"/>
        </w:rPr>
        <w:t>article</w:t>
      </w:r>
      <w:r w:rsidR="0035573C">
        <w:rPr>
          <w:noProof/>
          <w:lang w:val="fr-FR"/>
        </w:rPr>
        <w:t> </w:t>
      </w:r>
      <w:r w:rsidRPr="00AF434B">
        <w:rPr>
          <w:noProof/>
          <w:lang w:val="fr-FR"/>
        </w:rPr>
        <w:t xml:space="preserve">80 </w:t>
      </w:r>
      <w:r>
        <w:rPr>
          <w:noProof/>
          <w:lang w:val="fr-FR"/>
        </w:rPr>
        <w:t>du Code pénal dispose que le temps passé en détention est décompté de la durée de la peine d’emprisonnement</w:t>
      </w:r>
      <w:r w:rsidRPr="00AF434B">
        <w:rPr>
          <w:noProof/>
          <w:lang w:val="fr-FR"/>
        </w:rPr>
        <w:t>.</w:t>
      </w:r>
    </w:p>
    <w:p w14:paraId="55EEA655" w14:textId="77777777" w:rsidR="00BF0619" w:rsidRPr="00AF434B" w:rsidRDefault="00BF0619" w:rsidP="00BF0619">
      <w:pPr>
        <w:pStyle w:val="SingleTxtG"/>
        <w:rPr>
          <w:noProof/>
          <w:lang w:val="fr-FR"/>
        </w:rPr>
      </w:pPr>
      <w:r w:rsidRPr="00AF434B">
        <w:rPr>
          <w:noProof/>
          <w:lang w:val="fr-FR"/>
        </w:rPr>
        <w:t>147.</w:t>
      </w:r>
      <w:r w:rsidRPr="00AF434B">
        <w:rPr>
          <w:noProof/>
          <w:lang w:val="fr-FR"/>
        </w:rPr>
        <w:tab/>
      </w:r>
      <w:r>
        <w:rPr>
          <w:noProof/>
          <w:lang w:val="fr-FR"/>
        </w:rPr>
        <w:t xml:space="preserve">Les membres de la Garde nationale républicaine et de la Police de sécurité publique respectent pleinement le </w:t>
      </w:r>
      <w:r w:rsidRPr="00606C47">
        <w:rPr>
          <w:noProof/>
          <w:lang w:val="fr-FR"/>
        </w:rPr>
        <w:t xml:space="preserve">délai de quarante-huit heures dans lequel </w:t>
      </w:r>
      <w:r>
        <w:rPr>
          <w:noProof/>
          <w:lang w:val="fr-FR"/>
        </w:rPr>
        <w:t xml:space="preserve">une personne placée en garde à vue pour soupçon d’infraction </w:t>
      </w:r>
      <w:r w:rsidRPr="00606C47">
        <w:rPr>
          <w:noProof/>
          <w:lang w:val="fr-FR"/>
        </w:rPr>
        <w:t>doit être présentée à un juge</w:t>
      </w:r>
      <w:r>
        <w:rPr>
          <w:noProof/>
          <w:lang w:val="fr-FR"/>
        </w:rPr>
        <w:t>, conformément à la législation nationale relative à la procédure pénale</w:t>
      </w:r>
      <w:r w:rsidRPr="00AF434B">
        <w:rPr>
          <w:noProof/>
          <w:lang w:val="fr-FR"/>
        </w:rPr>
        <w:t>.</w:t>
      </w:r>
    </w:p>
    <w:p w14:paraId="3F6FE5C4" w14:textId="77777777" w:rsidR="00BF0619" w:rsidRPr="004821F8" w:rsidRDefault="00BF0619" w:rsidP="00BF0619">
      <w:pPr>
        <w:pStyle w:val="H23G"/>
        <w:rPr>
          <w:noProof/>
          <w:lang w:val="fr-FR"/>
        </w:rPr>
      </w:pPr>
      <w:r w:rsidRPr="00AF434B">
        <w:rPr>
          <w:noProof/>
          <w:lang w:val="fr-FR"/>
        </w:rPr>
        <w:tab/>
      </w:r>
      <w:r w:rsidRPr="00AF434B">
        <w:rPr>
          <w:noProof/>
          <w:lang w:val="fr-FR"/>
        </w:rPr>
        <w:tab/>
      </w:r>
      <w:r w:rsidRPr="004821F8">
        <w:rPr>
          <w:noProof/>
          <w:lang w:val="fr-FR"/>
        </w:rPr>
        <w:t>Le Comité note avec préoccupation que les agents de la force publique n’informent pas toujours les détenus de leur droit d’être assisté</w:t>
      </w:r>
      <w:r w:rsidR="00A962E4">
        <w:rPr>
          <w:noProof/>
          <w:lang w:val="fr-FR"/>
        </w:rPr>
        <w:t>s</w:t>
      </w:r>
      <w:r w:rsidRPr="004821F8">
        <w:rPr>
          <w:noProof/>
          <w:lang w:val="fr-FR"/>
        </w:rPr>
        <w:t xml:space="preserve"> par un conseil dès leur arrestation et que certaines personnes détenues dans le cadre d’affaires pénales ordinaires n’ont pas été autorisées à prendre contact avec un tiers pendant leur garde à vue  </w:t>
      </w:r>
    </w:p>
    <w:p w14:paraId="42CE76B5" w14:textId="77777777" w:rsidR="00BF0619" w:rsidRPr="00AF434B" w:rsidRDefault="00BF0619" w:rsidP="00BF0619">
      <w:pPr>
        <w:pStyle w:val="SingleTxtG"/>
        <w:rPr>
          <w:noProof/>
          <w:lang w:val="fr-FR"/>
        </w:rPr>
      </w:pPr>
      <w:r w:rsidRPr="00AF434B">
        <w:rPr>
          <w:noProof/>
          <w:lang w:val="fr-FR"/>
        </w:rPr>
        <w:t>148.</w:t>
      </w:r>
      <w:r w:rsidRPr="00AF434B">
        <w:rPr>
          <w:noProof/>
          <w:lang w:val="fr-FR"/>
        </w:rPr>
        <w:tab/>
      </w:r>
      <w:r>
        <w:rPr>
          <w:noProof/>
          <w:lang w:val="fr-FR"/>
        </w:rPr>
        <w:t>En vertu de l’</w:t>
      </w:r>
      <w:r w:rsidRPr="00AF434B">
        <w:rPr>
          <w:noProof/>
          <w:lang w:val="fr-FR"/>
        </w:rPr>
        <w:t>article</w:t>
      </w:r>
      <w:r w:rsidR="0035573C">
        <w:rPr>
          <w:noProof/>
          <w:lang w:val="fr-FR"/>
        </w:rPr>
        <w:t> </w:t>
      </w:r>
      <w:r w:rsidRPr="00AF434B">
        <w:rPr>
          <w:noProof/>
          <w:lang w:val="fr-FR"/>
        </w:rPr>
        <w:t xml:space="preserve">27 </w:t>
      </w:r>
      <w:r>
        <w:rPr>
          <w:noProof/>
          <w:lang w:val="fr-FR"/>
        </w:rPr>
        <w:t xml:space="preserve">de la </w:t>
      </w:r>
      <w:r w:rsidRPr="00AF434B">
        <w:rPr>
          <w:noProof/>
          <w:lang w:val="fr-FR"/>
        </w:rPr>
        <w:t xml:space="preserve">Constitution, </w:t>
      </w:r>
      <w:r>
        <w:rPr>
          <w:noProof/>
          <w:lang w:val="fr-FR"/>
        </w:rPr>
        <w:t>toute personne a droit à la liberté et à la sécurité</w:t>
      </w:r>
      <w:r w:rsidRPr="00AF434B">
        <w:rPr>
          <w:noProof/>
          <w:lang w:val="fr-FR"/>
        </w:rPr>
        <w:t xml:space="preserve">. </w:t>
      </w:r>
      <w:r>
        <w:rPr>
          <w:noProof/>
          <w:lang w:val="fr-FR"/>
        </w:rPr>
        <w:t>Conformément au paragraphe</w:t>
      </w:r>
      <w:r w:rsidR="0035573C">
        <w:rPr>
          <w:noProof/>
          <w:lang w:val="fr-FR"/>
        </w:rPr>
        <w:t> </w:t>
      </w:r>
      <w:r>
        <w:rPr>
          <w:noProof/>
          <w:lang w:val="fr-FR"/>
        </w:rPr>
        <w:t>4 de l’</w:t>
      </w:r>
      <w:r w:rsidRPr="00AF434B">
        <w:rPr>
          <w:noProof/>
          <w:lang w:val="fr-FR"/>
        </w:rPr>
        <w:t>article</w:t>
      </w:r>
      <w:r w:rsidR="0035573C">
        <w:rPr>
          <w:noProof/>
          <w:lang w:val="fr-FR"/>
        </w:rPr>
        <w:t> </w:t>
      </w:r>
      <w:r w:rsidRPr="00AF434B">
        <w:rPr>
          <w:noProof/>
          <w:lang w:val="fr-FR"/>
        </w:rPr>
        <w:t xml:space="preserve">27, </w:t>
      </w:r>
      <w:r>
        <w:rPr>
          <w:noProof/>
          <w:lang w:val="fr-FR"/>
        </w:rPr>
        <w:t xml:space="preserve">toute </w:t>
      </w:r>
      <w:r w:rsidRPr="00AF434B">
        <w:rPr>
          <w:noProof/>
          <w:lang w:val="fr-FR"/>
        </w:rPr>
        <w:t>person</w:t>
      </w:r>
      <w:r>
        <w:rPr>
          <w:noProof/>
          <w:lang w:val="fr-FR"/>
        </w:rPr>
        <w:t xml:space="preserve">ne privée de liberté doit être informée </w:t>
      </w:r>
      <w:r w:rsidRPr="006E4A66">
        <w:rPr>
          <w:noProof/>
          <w:lang w:val="fr-FR"/>
        </w:rPr>
        <w:t>sans délai et sous une forme intelligible des raisons de sa détention et de ses droits.</w:t>
      </w:r>
      <w:r w:rsidRPr="00AF434B">
        <w:rPr>
          <w:noProof/>
          <w:lang w:val="fr-FR"/>
        </w:rPr>
        <w:t xml:space="preserve"> </w:t>
      </w:r>
      <w:r>
        <w:rPr>
          <w:noProof/>
          <w:lang w:val="fr-FR"/>
        </w:rPr>
        <w:t xml:space="preserve">Si la privation de liberté contrevient aux dispositions de la </w:t>
      </w:r>
      <w:r w:rsidRPr="00AF434B">
        <w:rPr>
          <w:noProof/>
          <w:lang w:val="fr-FR"/>
        </w:rPr>
        <w:t xml:space="preserve">Constitution </w:t>
      </w:r>
      <w:r>
        <w:rPr>
          <w:noProof/>
          <w:lang w:val="fr-FR"/>
        </w:rPr>
        <w:t xml:space="preserve">ou de la loi, l’État est tenu d’indemniser la personne lésée conformément à la loi </w:t>
      </w:r>
      <w:r w:rsidRPr="00AF434B">
        <w:rPr>
          <w:noProof/>
          <w:lang w:val="fr-FR"/>
        </w:rPr>
        <w:t>(</w:t>
      </w:r>
      <w:r>
        <w:rPr>
          <w:noProof/>
          <w:lang w:val="fr-FR"/>
        </w:rPr>
        <w:t>par.</w:t>
      </w:r>
      <w:r w:rsidR="0035573C">
        <w:rPr>
          <w:noProof/>
          <w:lang w:val="fr-FR"/>
        </w:rPr>
        <w:t> </w:t>
      </w:r>
      <w:r>
        <w:rPr>
          <w:noProof/>
          <w:lang w:val="fr-FR"/>
        </w:rPr>
        <w:t>5 de l’</w:t>
      </w:r>
      <w:r w:rsidRPr="00AF434B">
        <w:rPr>
          <w:noProof/>
          <w:lang w:val="fr-FR"/>
        </w:rPr>
        <w:t>art</w:t>
      </w:r>
      <w:r w:rsidR="0035573C">
        <w:rPr>
          <w:noProof/>
          <w:lang w:val="fr-FR"/>
        </w:rPr>
        <w:t>icle </w:t>
      </w:r>
      <w:r w:rsidRPr="00AF434B">
        <w:rPr>
          <w:noProof/>
          <w:lang w:val="fr-FR"/>
        </w:rPr>
        <w:t>27</w:t>
      </w:r>
      <w:r>
        <w:rPr>
          <w:noProof/>
          <w:lang w:val="fr-FR"/>
        </w:rPr>
        <w:t xml:space="preserve"> de la Constitution</w:t>
      </w:r>
      <w:r w:rsidRPr="00AF434B">
        <w:rPr>
          <w:noProof/>
          <w:lang w:val="fr-FR"/>
        </w:rPr>
        <w:t xml:space="preserve">). </w:t>
      </w:r>
      <w:r>
        <w:rPr>
          <w:noProof/>
          <w:lang w:val="fr-FR"/>
        </w:rPr>
        <w:t>De plus, comme il a été expliqué plus haut, l’</w:t>
      </w:r>
      <w:r w:rsidRPr="00AF434B">
        <w:rPr>
          <w:noProof/>
          <w:lang w:val="fr-FR"/>
        </w:rPr>
        <w:t>article</w:t>
      </w:r>
      <w:r w:rsidR="0035573C">
        <w:rPr>
          <w:noProof/>
          <w:lang w:val="fr-FR"/>
        </w:rPr>
        <w:t> </w:t>
      </w:r>
      <w:r w:rsidRPr="00AF434B">
        <w:rPr>
          <w:noProof/>
          <w:lang w:val="fr-FR"/>
        </w:rPr>
        <w:t xml:space="preserve">28 </w:t>
      </w:r>
      <w:r>
        <w:rPr>
          <w:noProof/>
          <w:lang w:val="fr-FR"/>
        </w:rPr>
        <w:t xml:space="preserve">de la Constitution dispose que toute garde à vue doit, dans un délai maximal de </w:t>
      </w:r>
      <w:r w:rsidR="0035573C" w:rsidRPr="00606C47">
        <w:rPr>
          <w:noProof/>
          <w:lang w:val="fr-FR"/>
        </w:rPr>
        <w:t>quarante-huit</w:t>
      </w:r>
      <w:r>
        <w:rPr>
          <w:noProof/>
          <w:lang w:val="fr-FR"/>
        </w:rPr>
        <w:t xml:space="preserve"> heures, faire l’objet d’un contrôle juridictionnel afin de remettre la personne gardée à vue en liberté ou de décider de l’application d’une mesure de contrainte appropriée</w:t>
      </w:r>
      <w:r w:rsidRPr="00AF434B">
        <w:rPr>
          <w:noProof/>
          <w:lang w:val="fr-FR"/>
        </w:rPr>
        <w:t xml:space="preserve">. </w:t>
      </w:r>
      <w:r>
        <w:rPr>
          <w:noProof/>
          <w:lang w:val="fr-FR"/>
        </w:rPr>
        <w:t xml:space="preserve">Le juge doit </w:t>
      </w:r>
      <w:r w:rsidRPr="00AF434B">
        <w:rPr>
          <w:noProof/>
          <w:lang w:val="fr-FR"/>
        </w:rPr>
        <w:t>inform</w:t>
      </w:r>
      <w:r>
        <w:rPr>
          <w:noProof/>
          <w:lang w:val="fr-FR"/>
        </w:rPr>
        <w:t>er la personne des raisons de son placement en garde à vue</w:t>
      </w:r>
      <w:r w:rsidRPr="00AF434B">
        <w:rPr>
          <w:noProof/>
          <w:lang w:val="fr-FR"/>
        </w:rPr>
        <w:t xml:space="preserve">. </w:t>
      </w:r>
      <w:r>
        <w:rPr>
          <w:noProof/>
          <w:lang w:val="fr-FR"/>
        </w:rPr>
        <w:t>La décision du juge d’imposer ou de maintenir une mesure privative de liberté doit être immédiatement communiquée à un membre de la famille de la personne détenue ou à une personne de confiance de son choix</w:t>
      </w:r>
      <w:r w:rsidRPr="00AF434B">
        <w:rPr>
          <w:noProof/>
          <w:lang w:val="fr-FR"/>
        </w:rPr>
        <w:t>.</w:t>
      </w:r>
    </w:p>
    <w:p w14:paraId="05ACC3D1" w14:textId="77777777" w:rsidR="00BF0619" w:rsidRPr="00AF434B" w:rsidRDefault="00BF0619" w:rsidP="00BF0619">
      <w:pPr>
        <w:pStyle w:val="SingleTxtG"/>
        <w:rPr>
          <w:noProof/>
          <w:lang w:val="fr-FR"/>
        </w:rPr>
      </w:pPr>
      <w:r w:rsidRPr="00AF434B">
        <w:rPr>
          <w:noProof/>
          <w:lang w:val="fr-FR"/>
        </w:rPr>
        <w:t>149.</w:t>
      </w:r>
      <w:r w:rsidRPr="00AF434B">
        <w:rPr>
          <w:noProof/>
          <w:lang w:val="fr-FR"/>
        </w:rPr>
        <w:tab/>
      </w:r>
      <w:r>
        <w:rPr>
          <w:noProof/>
          <w:lang w:val="fr-FR"/>
        </w:rPr>
        <w:t>Comme indiqué plus haut, la personne</w:t>
      </w:r>
      <w:r w:rsidRPr="00AF434B">
        <w:rPr>
          <w:noProof/>
          <w:lang w:val="fr-FR"/>
        </w:rPr>
        <w:t xml:space="preserve"> </w:t>
      </w:r>
      <w:r>
        <w:rPr>
          <w:noProof/>
          <w:lang w:val="fr-FR"/>
        </w:rPr>
        <w:t>gardée à vue jouit de tous les droits prévus par le Code de procédure pénale, à savoir celui de prendre contact avec une personne de confiance, un avocat et, dans le cas d’un étranger, les autorités consulaires de l’État dont il est originaire</w:t>
      </w:r>
      <w:r w:rsidRPr="00AF434B">
        <w:rPr>
          <w:noProof/>
          <w:lang w:val="fr-FR"/>
        </w:rPr>
        <w:t xml:space="preserve">. </w:t>
      </w:r>
      <w:r>
        <w:rPr>
          <w:noProof/>
          <w:lang w:val="fr-FR"/>
        </w:rPr>
        <w:t xml:space="preserve">En particulier, si l’autorité de police confère à cette personne le statut de prévenu </w:t>
      </w:r>
      <w:r w:rsidRPr="00AF434B">
        <w:rPr>
          <w:noProof/>
          <w:lang w:val="fr-FR"/>
        </w:rPr>
        <w:t>(</w:t>
      </w:r>
      <w:r w:rsidRPr="00AF434B">
        <w:rPr>
          <w:i/>
          <w:iCs/>
          <w:noProof/>
          <w:lang w:val="fr-FR"/>
        </w:rPr>
        <w:t>arguido</w:t>
      </w:r>
      <w:r w:rsidRPr="00AF434B">
        <w:rPr>
          <w:noProof/>
          <w:lang w:val="fr-FR"/>
        </w:rPr>
        <w:t>)</w:t>
      </w:r>
      <w:r>
        <w:rPr>
          <w:noProof/>
          <w:lang w:val="fr-FR"/>
        </w:rPr>
        <w:t xml:space="preserve"> </w:t>
      </w:r>
      <w:r w:rsidR="0035573C">
        <w:rPr>
          <w:noProof/>
          <w:lang w:val="fr-FR"/>
        </w:rPr>
        <w:t>− </w:t>
      </w:r>
      <w:r>
        <w:rPr>
          <w:noProof/>
          <w:lang w:val="fr-FR"/>
        </w:rPr>
        <w:t>statut qu’elle peut d’ailleurs demander elle-même</w:t>
      </w:r>
      <w:r w:rsidR="0035573C">
        <w:rPr>
          <w:noProof/>
          <w:lang w:val="fr-FR"/>
        </w:rPr>
        <w:t> −</w:t>
      </w:r>
      <w:r>
        <w:rPr>
          <w:noProof/>
          <w:lang w:val="fr-FR"/>
        </w:rPr>
        <w:t>, cette personne jouira de tous les droits garantis par l’a</w:t>
      </w:r>
      <w:r w:rsidRPr="00AF434B">
        <w:rPr>
          <w:noProof/>
          <w:lang w:val="fr-FR"/>
        </w:rPr>
        <w:t>rticle</w:t>
      </w:r>
      <w:r w:rsidR="0035573C">
        <w:rPr>
          <w:noProof/>
          <w:lang w:val="fr-FR"/>
        </w:rPr>
        <w:t> </w:t>
      </w:r>
      <w:r w:rsidRPr="00AF434B">
        <w:rPr>
          <w:noProof/>
          <w:lang w:val="fr-FR"/>
        </w:rPr>
        <w:t xml:space="preserve">61 </w:t>
      </w:r>
      <w:r>
        <w:rPr>
          <w:noProof/>
          <w:lang w:val="fr-FR"/>
        </w:rPr>
        <w:t>et autres articles du Code de procédure pénale, à savoir celui de se faire assister par un conseil et, dans le cas d’un étranger ne comprenant pas le portugais, le droit de se faire assister par un interprète compétent dans tous les actes de la procédure</w:t>
      </w:r>
      <w:r w:rsidRPr="00AF434B">
        <w:rPr>
          <w:noProof/>
          <w:lang w:val="fr-FR"/>
        </w:rPr>
        <w:t xml:space="preserve">. </w:t>
      </w:r>
    </w:p>
    <w:p w14:paraId="4FE0D608" w14:textId="77777777" w:rsidR="00BF0619" w:rsidRPr="00AF434B" w:rsidRDefault="00BF0619" w:rsidP="00BF0619">
      <w:pPr>
        <w:pStyle w:val="SingleTxtG"/>
        <w:rPr>
          <w:noProof/>
          <w:lang w:val="fr-FR"/>
        </w:rPr>
      </w:pPr>
      <w:r w:rsidRPr="00AF434B">
        <w:rPr>
          <w:noProof/>
          <w:lang w:val="fr-FR"/>
        </w:rPr>
        <w:t>150.</w:t>
      </w:r>
      <w:r w:rsidRPr="00AF434B">
        <w:rPr>
          <w:noProof/>
          <w:lang w:val="fr-FR"/>
        </w:rPr>
        <w:tab/>
      </w:r>
      <w:r>
        <w:rPr>
          <w:noProof/>
          <w:lang w:val="fr-FR"/>
        </w:rPr>
        <w:t>Le droit de se faire assister d’un conseil comprend le droit de désigner un avocat à n’importe quel stade de la procédure et celui d’être assisté par lui dans tous les actes de cette procédure et, dans le cas où le prévenu n’a pas les moyens de se faire représenter par un avocat ou ne choisit pas lui-même un avocat, le droit de demander la commission d’un avocat d’office</w:t>
      </w:r>
      <w:r w:rsidRPr="00AF434B">
        <w:rPr>
          <w:noProof/>
          <w:lang w:val="fr-FR"/>
        </w:rPr>
        <w:t xml:space="preserve">. </w:t>
      </w:r>
      <w:r>
        <w:rPr>
          <w:noProof/>
          <w:lang w:val="fr-FR"/>
        </w:rPr>
        <w:t>La personne concernée peut aussi solliciter l’aide juridictionnelle, y</w:t>
      </w:r>
      <w:r w:rsidR="0035573C">
        <w:rPr>
          <w:noProof/>
          <w:lang w:val="fr-FR"/>
        </w:rPr>
        <w:t> </w:t>
      </w:r>
      <w:r>
        <w:rPr>
          <w:noProof/>
          <w:lang w:val="fr-FR"/>
        </w:rPr>
        <w:t>compris la prise en charge des honoraires de l’avocat</w:t>
      </w:r>
      <w:r w:rsidRPr="00AF434B">
        <w:rPr>
          <w:noProof/>
          <w:lang w:val="fr-FR"/>
        </w:rPr>
        <w:t xml:space="preserve">. </w:t>
      </w:r>
      <w:r>
        <w:rPr>
          <w:noProof/>
          <w:lang w:val="fr-FR"/>
        </w:rPr>
        <w:t>De plus, toutes les personne privées de liberté ont le droit de prendre contact avec leur avocat, de recevoir ses visites et de communiquer avec lui en privé</w:t>
      </w:r>
      <w:r w:rsidRPr="00AF434B">
        <w:rPr>
          <w:noProof/>
          <w:lang w:val="fr-FR"/>
        </w:rPr>
        <w:t>.</w:t>
      </w:r>
    </w:p>
    <w:p w14:paraId="7F7FD814" w14:textId="77777777" w:rsidR="00BF0619" w:rsidRPr="00AF434B" w:rsidRDefault="00BF0619" w:rsidP="00BF0619">
      <w:pPr>
        <w:pStyle w:val="SingleTxtG"/>
        <w:rPr>
          <w:noProof/>
          <w:lang w:val="fr-FR"/>
        </w:rPr>
      </w:pPr>
      <w:r w:rsidRPr="00AF434B">
        <w:rPr>
          <w:noProof/>
          <w:lang w:val="fr-FR"/>
        </w:rPr>
        <w:t>151.</w:t>
      </w:r>
      <w:r w:rsidRPr="00AF434B">
        <w:rPr>
          <w:noProof/>
          <w:lang w:val="fr-FR"/>
        </w:rPr>
        <w:tab/>
      </w:r>
      <w:r>
        <w:rPr>
          <w:noProof/>
          <w:lang w:val="fr-FR"/>
        </w:rPr>
        <w:t>En pratique, comme il a déjà été expliqué, toute personne placée en garde à vue dans les locaux de la police judiciaire ou les lieux de détention des tribunaux ou des services du ministère public est informée des motifs de ce placement ainsi que de ses droits, dans une langue qu’il comprend et, le cas échéant, en présence d’un interprète</w:t>
      </w:r>
      <w:r w:rsidRPr="00AF434B">
        <w:rPr>
          <w:noProof/>
          <w:lang w:val="fr-FR"/>
        </w:rPr>
        <w:t xml:space="preserve">. </w:t>
      </w:r>
      <w:r>
        <w:rPr>
          <w:noProof/>
          <w:lang w:val="fr-FR"/>
        </w:rPr>
        <w:t>De plus, la police judiciaire remet à la personne gardée à vue une brochure sur ses droits, notamment celui de choisir et de nommer un conseil et celui de communiquer avec un membre de sa famille, une personne de confiance, une ambassade ou un consulat</w:t>
      </w:r>
      <w:r w:rsidRPr="00AF434B">
        <w:rPr>
          <w:noProof/>
          <w:lang w:val="fr-FR"/>
        </w:rPr>
        <w:t xml:space="preserve">. </w:t>
      </w:r>
      <w:r>
        <w:rPr>
          <w:noProof/>
          <w:lang w:val="fr-FR"/>
        </w:rPr>
        <w:t>Cette brochure est disponible en plusieurs langues, comme l’espagnol, l’anglais et le français</w:t>
      </w:r>
      <w:r w:rsidRPr="00AF434B">
        <w:rPr>
          <w:noProof/>
          <w:lang w:val="fr-FR"/>
        </w:rPr>
        <w:t xml:space="preserve">. </w:t>
      </w:r>
      <w:r>
        <w:rPr>
          <w:noProof/>
          <w:lang w:val="fr-FR"/>
        </w:rPr>
        <w:t xml:space="preserve">Les </w:t>
      </w:r>
      <w:r w:rsidRPr="00AF434B">
        <w:rPr>
          <w:noProof/>
          <w:lang w:val="fr-FR"/>
        </w:rPr>
        <w:t>information</w:t>
      </w:r>
      <w:r>
        <w:rPr>
          <w:noProof/>
          <w:lang w:val="fr-FR"/>
        </w:rPr>
        <w:t>s qu’elle contient sont également exposées de manière bien visible dans le lieu de détention</w:t>
      </w:r>
      <w:r w:rsidRPr="00AF434B">
        <w:rPr>
          <w:noProof/>
          <w:lang w:val="fr-FR"/>
        </w:rPr>
        <w:t>.</w:t>
      </w:r>
    </w:p>
    <w:p w14:paraId="66917C09" w14:textId="77777777" w:rsidR="00BF0619" w:rsidRPr="00AF434B" w:rsidRDefault="00BF0619" w:rsidP="00BF0619">
      <w:pPr>
        <w:pStyle w:val="SingleTxtG"/>
        <w:rPr>
          <w:noProof/>
          <w:lang w:val="fr-FR"/>
        </w:rPr>
      </w:pPr>
      <w:r w:rsidRPr="00AF434B">
        <w:rPr>
          <w:noProof/>
          <w:lang w:val="fr-FR"/>
        </w:rPr>
        <w:t>152.</w:t>
      </w:r>
      <w:r w:rsidRPr="00AF434B">
        <w:rPr>
          <w:noProof/>
          <w:lang w:val="fr-FR"/>
        </w:rPr>
        <w:tab/>
      </w:r>
      <w:r>
        <w:rPr>
          <w:noProof/>
          <w:lang w:val="fr-FR"/>
        </w:rPr>
        <w:t>À la suite de la déclaration signée par la personne gardée à vue reconnaissant qu’elle en a été informée, la</w:t>
      </w:r>
      <w:r w:rsidRPr="00AF434B">
        <w:rPr>
          <w:noProof/>
          <w:lang w:val="fr-FR"/>
        </w:rPr>
        <w:t xml:space="preserve"> communication </w:t>
      </w:r>
      <w:r>
        <w:rPr>
          <w:noProof/>
          <w:lang w:val="fr-FR"/>
        </w:rPr>
        <w:t xml:space="preserve">des </w:t>
      </w:r>
      <w:r w:rsidRPr="00AF434B">
        <w:rPr>
          <w:noProof/>
          <w:lang w:val="fr-FR"/>
        </w:rPr>
        <w:t>information</w:t>
      </w:r>
      <w:r>
        <w:rPr>
          <w:noProof/>
          <w:lang w:val="fr-FR"/>
        </w:rPr>
        <w:t>s susmentionnées est enregistrée dans son dossier individuel, où sont également indiqués l’heure à laquelle elle a été informée de ses droits et les contacts qu’elle a pris avec un avocat, un membre de sa famille ou une personne de confiance, une ambassade ou un consulat</w:t>
      </w:r>
      <w:r w:rsidRPr="00AF434B">
        <w:rPr>
          <w:noProof/>
          <w:lang w:val="fr-FR"/>
        </w:rPr>
        <w:t>.</w:t>
      </w:r>
    </w:p>
    <w:p w14:paraId="76506060" w14:textId="77777777" w:rsidR="00BF0619" w:rsidRPr="00AF434B" w:rsidRDefault="00BF0619" w:rsidP="00BF0619">
      <w:pPr>
        <w:pStyle w:val="SingleTxtG"/>
        <w:rPr>
          <w:noProof/>
          <w:lang w:val="fr-FR"/>
        </w:rPr>
      </w:pPr>
      <w:r w:rsidRPr="00AF434B">
        <w:rPr>
          <w:noProof/>
          <w:lang w:val="fr-FR"/>
        </w:rPr>
        <w:t>153.</w:t>
      </w:r>
      <w:r w:rsidRPr="00AF434B">
        <w:rPr>
          <w:noProof/>
          <w:lang w:val="fr-FR"/>
        </w:rPr>
        <w:tab/>
      </w:r>
      <w:r>
        <w:rPr>
          <w:noProof/>
          <w:lang w:val="fr-FR"/>
        </w:rPr>
        <w:t xml:space="preserve">La personne placée en garde à vue peut utiliser le </w:t>
      </w:r>
      <w:r w:rsidRPr="00AF434B">
        <w:rPr>
          <w:noProof/>
          <w:lang w:val="fr-FR"/>
        </w:rPr>
        <w:t>t</w:t>
      </w:r>
      <w:r>
        <w:rPr>
          <w:noProof/>
          <w:lang w:val="fr-FR"/>
        </w:rPr>
        <w:t>é</w:t>
      </w:r>
      <w:r w:rsidRPr="00AF434B">
        <w:rPr>
          <w:noProof/>
          <w:lang w:val="fr-FR"/>
        </w:rPr>
        <w:t>l</w:t>
      </w:r>
      <w:r>
        <w:rPr>
          <w:noProof/>
          <w:lang w:val="fr-FR"/>
        </w:rPr>
        <w:t>é</w:t>
      </w:r>
      <w:r w:rsidRPr="00AF434B">
        <w:rPr>
          <w:noProof/>
          <w:lang w:val="fr-FR"/>
        </w:rPr>
        <w:t xml:space="preserve">phone </w:t>
      </w:r>
      <w:r>
        <w:rPr>
          <w:noProof/>
          <w:lang w:val="fr-FR"/>
        </w:rPr>
        <w:t xml:space="preserve">du </w:t>
      </w:r>
      <w:r w:rsidRPr="00AF434B">
        <w:rPr>
          <w:noProof/>
          <w:lang w:val="fr-FR"/>
        </w:rPr>
        <w:t>service respons</w:t>
      </w:r>
      <w:r>
        <w:rPr>
          <w:noProof/>
          <w:lang w:val="fr-FR"/>
        </w:rPr>
        <w:t>a</w:t>
      </w:r>
      <w:r w:rsidRPr="00AF434B">
        <w:rPr>
          <w:noProof/>
          <w:lang w:val="fr-FR"/>
        </w:rPr>
        <w:t xml:space="preserve">ble </w:t>
      </w:r>
      <w:r>
        <w:rPr>
          <w:noProof/>
          <w:lang w:val="fr-FR"/>
        </w:rPr>
        <w:t>de cette garde à vue afin de prendre contact sans délai avec un avocat, d’informer de sa situation un membre de sa famille ou une personne de confiance ou, dans le cas d’un ressortissant étranger, de prendre contact avec les autorités consulaires de son pays d’origine</w:t>
      </w:r>
      <w:r w:rsidRPr="00AF434B">
        <w:rPr>
          <w:noProof/>
          <w:lang w:val="fr-FR"/>
        </w:rPr>
        <w:t>.</w:t>
      </w:r>
    </w:p>
    <w:p w14:paraId="048E2D6D" w14:textId="77777777" w:rsidR="00BF0619" w:rsidRPr="00AF434B" w:rsidRDefault="00BF0619" w:rsidP="00BF0619">
      <w:pPr>
        <w:pStyle w:val="SingleTxtG"/>
        <w:rPr>
          <w:noProof/>
          <w:lang w:val="fr-FR"/>
        </w:rPr>
      </w:pPr>
      <w:r w:rsidRPr="00AF434B">
        <w:rPr>
          <w:noProof/>
          <w:lang w:val="fr-FR"/>
        </w:rPr>
        <w:t>154.</w:t>
      </w:r>
      <w:r w:rsidRPr="00AF434B">
        <w:rPr>
          <w:noProof/>
          <w:lang w:val="fr-FR"/>
        </w:rPr>
        <w:tab/>
      </w:r>
      <w:r>
        <w:rPr>
          <w:noProof/>
          <w:lang w:val="fr-FR"/>
        </w:rPr>
        <w:t>De plus, la personne placée en garde à vue a le droit de bénéficier d’une assistance d’urgence, c’est-à-dire le droit de se faire aider pour régler des affaires personnelles, par exemple les soins à apporter à des mineurs ou à des personnes âgées à charge</w:t>
      </w:r>
      <w:r w:rsidRPr="00AF434B">
        <w:rPr>
          <w:noProof/>
          <w:lang w:val="fr-FR"/>
        </w:rPr>
        <w:t>.</w:t>
      </w:r>
    </w:p>
    <w:p w14:paraId="5D716D76" w14:textId="77777777" w:rsidR="00BF0619" w:rsidRPr="00AF434B" w:rsidRDefault="00BF0619" w:rsidP="00BF0619">
      <w:pPr>
        <w:pStyle w:val="SingleTxtG"/>
        <w:rPr>
          <w:noProof/>
          <w:lang w:val="fr-FR"/>
        </w:rPr>
      </w:pPr>
      <w:r w:rsidRPr="00AF434B">
        <w:rPr>
          <w:noProof/>
          <w:lang w:val="fr-FR"/>
        </w:rPr>
        <w:t>155.</w:t>
      </w:r>
      <w:r w:rsidRPr="00AF434B">
        <w:rPr>
          <w:noProof/>
          <w:lang w:val="fr-FR"/>
        </w:rPr>
        <w:tab/>
      </w:r>
      <w:r>
        <w:rPr>
          <w:noProof/>
          <w:lang w:val="fr-FR"/>
        </w:rPr>
        <w:t>Les droits susvisés sont également conférés, moyennant les adaptations nécessaires, aux personnes qui ont été condamnées et purgent une peine dans un établissement pénitentiaire</w:t>
      </w:r>
      <w:r w:rsidRPr="00AF434B">
        <w:rPr>
          <w:noProof/>
          <w:lang w:val="fr-FR"/>
        </w:rPr>
        <w:t xml:space="preserve">. </w:t>
      </w:r>
      <w:r>
        <w:rPr>
          <w:noProof/>
          <w:lang w:val="fr-FR"/>
        </w:rPr>
        <w:t>En ce qui concerne l’accès à un conseil juridique</w:t>
      </w:r>
      <w:r w:rsidRPr="00AF434B">
        <w:rPr>
          <w:noProof/>
          <w:lang w:val="fr-FR"/>
        </w:rPr>
        <w:t xml:space="preserve">, </w:t>
      </w:r>
      <w:r>
        <w:rPr>
          <w:noProof/>
          <w:lang w:val="fr-FR"/>
        </w:rPr>
        <w:t xml:space="preserve">on notera que la </w:t>
      </w:r>
      <w:r w:rsidRPr="00812F06">
        <w:rPr>
          <w:noProof/>
          <w:lang w:val="fr-FR"/>
        </w:rPr>
        <w:t>Direction générale des services pénitentiaires et de la réinsertion</w:t>
      </w:r>
      <w:r w:rsidRPr="00AF434B">
        <w:rPr>
          <w:noProof/>
          <w:lang w:val="fr-FR"/>
        </w:rPr>
        <w:t xml:space="preserve"> </w:t>
      </w:r>
      <w:r>
        <w:rPr>
          <w:noProof/>
          <w:lang w:val="fr-FR"/>
        </w:rPr>
        <w:t>et le Président de l’Ordre des avocats portugais se sont récemment entendus pour mettre en place dans les établissements pénitentiaires des bureaux de conseil juridique où des avocats fourniront gratuitement aux détenus des informations et des conseils juridiques sur différentes questions touchant leur vie, comme la manière de présenter des plaintes et des recours en cas de mauvais traitements</w:t>
      </w:r>
      <w:r w:rsidRPr="00AF434B">
        <w:rPr>
          <w:noProof/>
          <w:lang w:val="fr-FR"/>
        </w:rPr>
        <w:t xml:space="preserve">, </w:t>
      </w:r>
      <w:r>
        <w:rPr>
          <w:noProof/>
          <w:lang w:val="fr-FR"/>
        </w:rPr>
        <w:t>et celle de contester des décisions qui ne leur sont pas favorables</w:t>
      </w:r>
      <w:r w:rsidRPr="00AF434B">
        <w:rPr>
          <w:noProof/>
          <w:lang w:val="fr-FR"/>
        </w:rPr>
        <w:t xml:space="preserve">. </w:t>
      </w:r>
      <w:r>
        <w:rPr>
          <w:noProof/>
          <w:lang w:val="fr-FR"/>
        </w:rPr>
        <w:t>À l’heure actuelle, les pourparlers se poursuivent en vue de régler des problèmes logistiques. Ces bureaux devraient être opérationnels sous peu</w:t>
      </w:r>
      <w:r w:rsidRPr="00AF434B">
        <w:rPr>
          <w:noProof/>
          <w:lang w:val="fr-FR"/>
        </w:rPr>
        <w:t>.</w:t>
      </w:r>
    </w:p>
    <w:p w14:paraId="638130EA" w14:textId="77777777" w:rsidR="00BF0619" w:rsidRPr="00AF434B" w:rsidRDefault="00BF0619" w:rsidP="00BF0619">
      <w:pPr>
        <w:pStyle w:val="SingleTxtG"/>
        <w:rPr>
          <w:noProof/>
          <w:lang w:val="fr-FR"/>
        </w:rPr>
      </w:pPr>
      <w:r w:rsidRPr="00AF434B">
        <w:rPr>
          <w:noProof/>
          <w:lang w:val="fr-FR"/>
        </w:rPr>
        <w:t>156.</w:t>
      </w:r>
      <w:r w:rsidRPr="00AF434B">
        <w:rPr>
          <w:noProof/>
          <w:lang w:val="fr-FR"/>
        </w:rPr>
        <w:tab/>
      </w:r>
      <w:r>
        <w:rPr>
          <w:noProof/>
          <w:lang w:val="fr-FR"/>
        </w:rPr>
        <w:t xml:space="preserve">Les membres de la Garde nationale républicaine et de la Police de sécurité publique  donnent aux personnes gardées à vue </w:t>
      </w:r>
      <w:r w:rsidR="0035573C">
        <w:rPr>
          <w:noProof/>
          <w:lang w:val="fr-FR"/>
        </w:rPr>
        <w:t>− </w:t>
      </w:r>
      <w:r>
        <w:rPr>
          <w:noProof/>
          <w:lang w:val="fr-FR"/>
        </w:rPr>
        <w:t>en plusieurs langues si nécessaire</w:t>
      </w:r>
      <w:r w:rsidR="0035573C">
        <w:rPr>
          <w:noProof/>
          <w:lang w:val="fr-FR"/>
        </w:rPr>
        <w:t> −</w:t>
      </w:r>
      <w:r>
        <w:rPr>
          <w:noProof/>
          <w:lang w:val="fr-FR"/>
        </w:rPr>
        <w:t xml:space="preserve"> des informations et des explications sur leurs droits et obligations et les leur notifient officiellement, et ils permettent aux intéressés d’exercer ces droits selon leur volonté, comme le droit de prendre contact avec un tiers et le droit d’accès à un avocat</w:t>
      </w:r>
      <w:r w:rsidRPr="00AF434B">
        <w:rPr>
          <w:noProof/>
          <w:lang w:val="fr-FR"/>
        </w:rPr>
        <w:t xml:space="preserve">. </w:t>
      </w:r>
    </w:p>
    <w:p w14:paraId="6E3E742C" w14:textId="77777777" w:rsidR="00BF0619" w:rsidRPr="001846AA" w:rsidRDefault="00BF0619" w:rsidP="00BF0619">
      <w:pPr>
        <w:pStyle w:val="H23G"/>
        <w:rPr>
          <w:noProof/>
          <w:lang w:val="fr-FR"/>
        </w:rPr>
      </w:pPr>
      <w:r w:rsidRPr="00AF434B">
        <w:rPr>
          <w:noProof/>
          <w:lang w:val="fr-FR"/>
        </w:rPr>
        <w:tab/>
      </w:r>
      <w:r w:rsidRPr="00AF434B">
        <w:rPr>
          <w:noProof/>
          <w:lang w:val="fr-FR"/>
        </w:rPr>
        <w:tab/>
      </w:r>
      <w:r w:rsidRPr="001846AA">
        <w:rPr>
          <w:noProof/>
          <w:lang w:val="fr-FR"/>
        </w:rPr>
        <w:t>Le Comité demeure préoccupé par les informations faisant état d’un usage excessif de</w:t>
      </w:r>
      <w:r w:rsidR="0035573C">
        <w:rPr>
          <w:noProof/>
          <w:lang w:val="fr-FR"/>
        </w:rPr>
        <w:t> </w:t>
      </w:r>
      <w:r w:rsidRPr="001846AA">
        <w:rPr>
          <w:noProof/>
          <w:lang w:val="fr-FR"/>
        </w:rPr>
        <w:t xml:space="preserve">la force et de mauvais traitements imputés à des agents de la force publique </w:t>
      </w:r>
      <w:r w:rsidR="0035573C">
        <w:rPr>
          <w:noProof/>
          <w:lang w:val="fr-FR"/>
        </w:rPr>
        <w:br/>
      </w:r>
      <w:r w:rsidRPr="001846AA">
        <w:rPr>
          <w:noProof/>
          <w:lang w:val="fr-FR"/>
        </w:rPr>
        <w:t>et à des membres des forces de sécurité et par l’autorisation de l’emploi de pistolets à</w:t>
      </w:r>
      <w:r w:rsidR="0035573C">
        <w:rPr>
          <w:noProof/>
          <w:lang w:val="fr-FR"/>
        </w:rPr>
        <w:t> </w:t>
      </w:r>
      <w:r w:rsidRPr="001846AA">
        <w:rPr>
          <w:noProof/>
          <w:lang w:val="fr-FR"/>
        </w:rPr>
        <w:t>impulsion électrique («</w:t>
      </w:r>
      <w:r w:rsidR="0035573C">
        <w:rPr>
          <w:noProof/>
          <w:lang w:val="fr-FR"/>
        </w:rPr>
        <w:t> </w:t>
      </w:r>
      <w:r w:rsidRPr="001846AA">
        <w:rPr>
          <w:noProof/>
          <w:lang w:val="fr-FR"/>
        </w:rPr>
        <w:t>Tasers</w:t>
      </w:r>
      <w:r w:rsidR="0035573C">
        <w:rPr>
          <w:noProof/>
          <w:lang w:val="fr-FR"/>
        </w:rPr>
        <w:t> </w:t>
      </w:r>
      <w:r w:rsidRPr="001846AA">
        <w:rPr>
          <w:noProof/>
          <w:lang w:val="fr-FR"/>
        </w:rPr>
        <w:t xml:space="preserve">») dans certaines circonstances  </w:t>
      </w:r>
    </w:p>
    <w:p w14:paraId="6CFB9CCA" w14:textId="77777777" w:rsidR="00BF0619" w:rsidRPr="00AF434B" w:rsidRDefault="00BF0619" w:rsidP="00BF0619">
      <w:pPr>
        <w:pStyle w:val="SingleTxtG"/>
        <w:rPr>
          <w:noProof/>
          <w:lang w:val="fr-FR"/>
        </w:rPr>
      </w:pPr>
      <w:r w:rsidRPr="00AF434B">
        <w:rPr>
          <w:noProof/>
          <w:lang w:val="fr-FR"/>
        </w:rPr>
        <w:t>157.</w:t>
      </w:r>
      <w:r w:rsidRPr="00AF434B">
        <w:rPr>
          <w:noProof/>
          <w:lang w:val="fr-FR"/>
        </w:rPr>
        <w:tab/>
      </w:r>
      <w:r>
        <w:rPr>
          <w:noProof/>
          <w:lang w:val="fr-FR"/>
        </w:rPr>
        <w:t xml:space="preserve">La question de l’usage </w:t>
      </w:r>
      <w:r w:rsidRPr="00AF434B">
        <w:rPr>
          <w:noProof/>
          <w:lang w:val="fr-FR"/>
        </w:rPr>
        <w:t>excessi</w:t>
      </w:r>
      <w:r>
        <w:rPr>
          <w:noProof/>
          <w:lang w:val="fr-FR"/>
        </w:rPr>
        <w:t>f de la force et des mauvais traitement imputés à des agents de la force publique et à des membres des forces de sécurité a été traitée en détail dans le quatrième rapport périodique du Portugal</w:t>
      </w:r>
      <w:r w:rsidRPr="00AF434B">
        <w:rPr>
          <w:noProof/>
          <w:lang w:val="fr-FR"/>
        </w:rPr>
        <w:t xml:space="preserve">, </w:t>
      </w:r>
      <w:r>
        <w:rPr>
          <w:noProof/>
          <w:lang w:val="fr-FR"/>
        </w:rPr>
        <w:t>dans la réponse à la liste de points concernant ce dernier rapport et dans le premier additif aux observations finales</w:t>
      </w:r>
      <w:r w:rsidRPr="00AF434B">
        <w:rPr>
          <w:noProof/>
          <w:lang w:val="fr-FR"/>
        </w:rPr>
        <w:t xml:space="preserve">. </w:t>
      </w:r>
      <w:r>
        <w:rPr>
          <w:noProof/>
          <w:lang w:val="fr-FR"/>
        </w:rPr>
        <w:t>Le</w:t>
      </w:r>
      <w:r w:rsidR="0035573C">
        <w:rPr>
          <w:noProof/>
          <w:lang w:val="fr-FR"/>
        </w:rPr>
        <w:t> </w:t>
      </w:r>
      <w:r w:rsidRPr="00AF434B">
        <w:rPr>
          <w:noProof/>
          <w:lang w:val="fr-FR"/>
        </w:rPr>
        <w:t xml:space="preserve">Portugal </w:t>
      </w:r>
      <w:r>
        <w:rPr>
          <w:noProof/>
          <w:lang w:val="fr-FR"/>
        </w:rPr>
        <w:t>déploie une activité importante pour prévenir ces comportements et poursuivre et sanctionner de façon effective les personnes qui s’en rendent coupables</w:t>
      </w:r>
      <w:r w:rsidRPr="00AF434B">
        <w:rPr>
          <w:noProof/>
          <w:lang w:val="fr-FR"/>
        </w:rPr>
        <w:t xml:space="preserve">. </w:t>
      </w:r>
    </w:p>
    <w:p w14:paraId="0BBAE54D" w14:textId="77777777" w:rsidR="00BF0619" w:rsidRPr="00AF434B" w:rsidRDefault="00BF0619" w:rsidP="00BF0619">
      <w:pPr>
        <w:pStyle w:val="SingleTxtG"/>
        <w:rPr>
          <w:noProof/>
          <w:lang w:val="fr-FR"/>
        </w:rPr>
      </w:pPr>
      <w:r w:rsidRPr="00AF434B">
        <w:rPr>
          <w:noProof/>
          <w:lang w:val="fr-FR"/>
        </w:rPr>
        <w:t>158.</w:t>
      </w:r>
      <w:r w:rsidRPr="00AF434B">
        <w:rPr>
          <w:noProof/>
          <w:lang w:val="fr-FR"/>
        </w:rPr>
        <w:tab/>
      </w:r>
      <w:r>
        <w:rPr>
          <w:noProof/>
          <w:lang w:val="fr-FR"/>
        </w:rPr>
        <w:t>Cette activité a permis d’enregistrer au fil des ans une amélioration progressive en ce qui concerne les signalements de ce type de situations</w:t>
      </w:r>
      <w:r w:rsidRPr="00AF434B">
        <w:rPr>
          <w:noProof/>
          <w:lang w:val="fr-FR"/>
        </w:rPr>
        <w:t xml:space="preserve">. </w:t>
      </w:r>
    </w:p>
    <w:p w14:paraId="1BFB6E73" w14:textId="77777777" w:rsidR="00BF0619" w:rsidRPr="00AF434B" w:rsidRDefault="00BF0619" w:rsidP="0035573C">
      <w:pPr>
        <w:pStyle w:val="SingleTxtG"/>
        <w:keepNext/>
        <w:keepLines/>
        <w:rPr>
          <w:noProof/>
          <w:lang w:val="fr-FR"/>
        </w:rPr>
      </w:pPr>
      <w:r w:rsidRPr="00AF434B">
        <w:rPr>
          <w:noProof/>
          <w:lang w:val="fr-FR"/>
        </w:rPr>
        <w:t>159.</w:t>
      </w:r>
      <w:r w:rsidRPr="00AF434B">
        <w:rPr>
          <w:noProof/>
          <w:lang w:val="fr-FR"/>
        </w:rPr>
        <w:tab/>
      </w:r>
      <w:r>
        <w:rPr>
          <w:noProof/>
          <w:lang w:val="fr-FR"/>
        </w:rPr>
        <w:t>Dans le cas de la Garde nationale républicaine</w:t>
      </w:r>
      <w:r w:rsidRPr="00AF434B">
        <w:rPr>
          <w:noProof/>
          <w:lang w:val="fr-FR"/>
        </w:rPr>
        <w:t xml:space="preserve">, </w:t>
      </w:r>
      <w:r>
        <w:rPr>
          <w:noProof/>
          <w:lang w:val="fr-FR"/>
        </w:rPr>
        <w:t>on notera ce qui suit</w:t>
      </w:r>
      <w:r w:rsidR="0035573C">
        <w:rPr>
          <w:noProof/>
          <w:lang w:val="fr-FR"/>
        </w:rPr>
        <w:t> :</w:t>
      </w:r>
    </w:p>
    <w:p w14:paraId="17C9037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L’</w:t>
      </w:r>
      <w:r w:rsidRPr="00AF434B">
        <w:rPr>
          <w:noProof/>
          <w:lang w:val="fr-FR"/>
        </w:rPr>
        <w:t xml:space="preserve">inclusion </w:t>
      </w:r>
      <w:r>
        <w:rPr>
          <w:noProof/>
          <w:lang w:val="fr-FR"/>
        </w:rPr>
        <w:t xml:space="preserve">de sujets tels que les droits, libertés et garanties du citoyen, les directives concernant l’utilisation du gaz au poivre et les directives concernant l’usage des armes à feu et des techniques </w:t>
      </w:r>
      <w:r w:rsidRPr="00AF434B">
        <w:rPr>
          <w:noProof/>
          <w:lang w:val="fr-FR"/>
        </w:rPr>
        <w:t>polic</w:t>
      </w:r>
      <w:r>
        <w:rPr>
          <w:noProof/>
          <w:lang w:val="fr-FR"/>
        </w:rPr>
        <w:t>ières dans les activités de formation de base et spécialisée peut également avoir joué un rôle dans ce processus d’amélioration</w:t>
      </w:r>
      <w:r w:rsidR="0035573C">
        <w:rPr>
          <w:noProof/>
          <w:lang w:val="fr-FR"/>
        </w:rPr>
        <w:t> ;</w:t>
      </w:r>
    </w:p>
    <w:p w14:paraId="15962C2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L’acceptation des recomma</w:t>
      </w:r>
      <w:r w:rsidRPr="00AF434B">
        <w:rPr>
          <w:noProof/>
          <w:lang w:val="fr-FR"/>
        </w:rPr>
        <w:t xml:space="preserve">ndations </w:t>
      </w:r>
      <w:r>
        <w:rPr>
          <w:noProof/>
          <w:lang w:val="fr-FR"/>
        </w:rPr>
        <w:t>figurant dans le rapport du CPT</w:t>
      </w:r>
      <w:r w:rsidRPr="00AF434B">
        <w:rPr>
          <w:noProof/>
          <w:lang w:val="fr-FR"/>
        </w:rPr>
        <w:t xml:space="preserve"> </w:t>
      </w:r>
      <w:r>
        <w:rPr>
          <w:noProof/>
          <w:lang w:val="fr-FR"/>
        </w:rPr>
        <w:t xml:space="preserve">et les </w:t>
      </w:r>
      <w:r w:rsidRPr="00AF434B">
        <w:rPr>
          <w:noProof/>
          <w:lang w:val="fr-FR"/>
        </w:rPr>
        <w:t xml:space="preserve">efforts </w:t>
      </w:r>
      <w:r>
        <w:rPr>
          <w:noProof/>
          <w:lang w:val="fr-FR"/>
        </w:rPr>
        <w:t>déployés pour s’y conformer</w:t>
      </w:r>
      <w:r w:rsidRPr="00AF434B">
        <w:rPr>
          <w:noProof/>
          <w:lang w:val="fr-FR"/>
        </w:rPr>
        <w:t>.</w:t>
      </w:r>
    </w:p>
    <w:p w14:paraId="3D293BD9" w14:textId="77777777" w:rsidR="00BF0619" w:rsidRPr="00AF434B" w:rsidRDefault="00BF0619" w:rsidP="00BF0619">
      <w:pPr>
        <w:pStyle w:val="SingleTxtG"/>
        <w:rPr>
          <w:noProof/>
          <w:lang w:val="fr-FR"/>
        </w:rPr>
      </w:pPr>
      <w:r w:rsidRPr="00AF434B">
        <w:rPr>
          <w:noProof/>
          <w:lang w:val="fr-FR"/>
        </w:rPr>
        <w:t>160.</w:t>
      </w:r>
      <w:r w:rsidRPr="00AF434B">
        <w:rPr>
          <w:noProof/>
          <w:lang w:val="fr-FR"/>
        </w:rPr>
        <w:tab/>
      </w:r>
      <w:r>
        <w:rPr>
          <w:noProof/>
          <w:lang w:val="fr-FR"/>
        </w:rPr>
        <w:t xml:space="preserve">Au sein de la Garde nationale républicaine, </w:t>
      </w:r>
      <w:r w:rsidRPr="001846AA">
        <w:rPr>
          <w:noProof/>
          <w:lang w:val="fr-FR"/>
        </w:rPr>
        <w:t>l’emploi de pistolets à impulsion électrique («</w:t>
      </w:r>
      <w:r w:rsidR="0035573C">
        <w:rPr>
          <w:noProof/>
          <w:lang w:val="fr-FR"/>
        </w:rPr>
        <w:t> </w:t>
      </w:r>
      <w:r w:rsidRPr="001846AA">
        <w:rPr>
          <w:noProof/>
          <w:lang w:val="fr-FR"/>
        </w:rPr>
        <w:t>Tasers</w:t>
      </w:r>
      <w:r w:rsidR="0035573C">
        <w:rPr>
          <w:noProof/>
          <w:lang w:val="fr-FR"/>
        </w:rPr>
        <w:t> </w:t>
      </w:r>
      <w:r w:rsidRPr="001846AA">
        <w:rPr>
          <w:noProof/>
          <w:lang w:val="fr-FR"/>
        </w:rPr>
        <w:t xml:space="preserve">») </w:t>
      </w:r>
      <w:r>
        <w:rPr>
          <w:noProof/>
          <w:lang w:val="fr-FR"/>
        </w:rPr>
        <w:t>est restreint aux militaires spécialement formés et membres du Groupe d’intervention</w:t>
      </w:r>
      <w:r w:rsidRPr="00AF434B">
        <w:rPr>
          <w:noProof/>
          <w:lang w:val="fr-FR"/>
        </w:rPr>
        <w:t>.</w:t>
      </w:r>
    </w:p>
    <w:p w14:paraId="71E9BF95" w14:textId="77777777" w:rsidR="00BF0619" w:rsidRPr="00AF434B" w:rsidRDefault="00BF0619" w:rsidP="00BF0619">
      <w:pPr>
        <w:pStyle w:val="SingleTxtG"/>
        <w:rPr>
          <w:noProof/>
          <w:lang w:val="fr-FR"/>
        </w:rPr>
      </w:pPr>
      <w:r w:rsidRPr="00AF434B">
        <w:rPr>
          <w:noProof/>
          <w:lang w:val="fr-FR"/>
        </w:rPr>
        <w:t>161.</w:t>
      </w:r>
      <w:r w:rsidRPr="00AF434B">
        <w:rPr>
          <w:noProof/>
          <w:lang w:val="fr-FR"/>
        </w:rPr>
        <w:tab/>
      </w:r>
      <w:r>
        <w:rPr>
          <w:noProof/>
          <w:lang w:val="fr-FR"/>
        </w:rPr>
        <w:t>Au sein de la Police de sécurité publique</w:t>
      </w:r>
      <w:r w:rsidRPr="00AF434B">
        <w:rPr>
          <w:noProof/>
          <w:lang w:val="fr-FR"/>
        </w:rPr>
        <w:t xml:space="preserve">, </w:t>
      </w:r>
      <w:r>
        <w:rPr>
          <w:noProof/>
          <w:lang w:val="fr-FR"/>
        </w:rPr>
        <w:t>l’usage de dispositifs à impulsion électrique, tels que les «</w:t>
      </w:r>
      <w:r w:rsidR="0035573C">
        <w:rPr>
          <w:noProof/>
          <w:lang w:val="fr-FR"/>
        </w:rPr>
        <w:t> </w:t>
      </w:r>
      <w:r>
        <w:rPr>
          <w:noProof/>
          <w:lang w:val="fr-FR"/>
        </w:rPr>
        <w:t>Tasers</w:t>
      </w:r>
      <w:r w:rsidR="0035573C">
        <w:rPr>
          <w:noProof/>
          <w:lang w:val="fr-FR"/>
        </w:rPr>
        <w:t> </w:t>
      </w:r>
      <w:r>
        <w:rPr>
          <w:noProof/>
          <w:lang w:val="fr-FR"/>
        </w:rPr>
        <w:t>», est régi par un règlement opérationnel interne</w:t>
      </w:r>
      <w:r w:rsidRPr="00AF434B">
        <w:rPr>
          <w:noProof/>
          <w:lang w:val="fr-FR"/>
        </w:rPr>
        <w:t xml:space="preserve">. </w:t>
      </w:r>
      <w:r>
        <w:rPr>
          <w:noProof/>
          <w:lang w:val="fr-FR"/>
        </w:rPr>
        <w:t>Afin de prévenir l’usage inapproprié de ce type de dispositif, seuls des policiers spécialement formés et bénéficiant d’un agrément technique ont l’autorisation de l’utiliser</w:t>
      </w:r>
      <w:r w:rsidRPr="00AF434B">
        <w:rPr>
          <w:noProof/>
          <w:lang w:val="fr-FR"/>
        </w:rPr>
        <w:t>.</w:t>
      </w:r>
    </w:p>
    <w:p w14:paraId="2F67A979" w14:textId="77777777" w:rsidR="00BF0619" w:rsidRPr="00AF434B" w:rsidRDefault="00BF0619" w:rsidP="00BF0619">
      <w:pPr>
        <w:pStyle w:val="SingleTxtG"/>
        <w:rPr>
          <w:noProof/>
          <w:lang w:val="fr-FR"/>
        </w:rPr>
      </w:pPr>
      <w:r w:rsidRPr="00AF434B">
        <w:rPr>
          <w:noProof/>
          <w:lang w:val="fr-FR"/>
        </w:rPr>
        <w:t>162.</w:t>
      </w:r>
      <w:r w:rsidRPr="00AF434B">
        <w:rPr>
          <w:noProof/>
          <w:lang w:val="fr-FR"/>
        </w:rPr>
        <w:tab/>
      </w:r>
      <w:r>
        <w:rPr>
          <w:noProof/>
          <w:lang w:val="fr-FR"/>
        </w:rPr>
        <w:t>L’Inspection générale de l’administration interne intervient chaque fois qu’une violation grave des droits civils et politiques est imputable à des agents de la force publique</w:t>
      </w:r>
      <w:r w:rsidRPr="00AF434B">
        <w:rPr>
          <w:noProof/>
          <w:lang w:val="fr-FR"/>
        </w:rPr>
        <w:t>.</w:t>
      </w:r>
    </w:p>
    <w:p w14:paraId="36DD41A0" w14:textId="77777777" w:rsidR="00BF0619" w:rsidRPr="00AF434B" w:rsidRDefault="00BF0619" w:rsidP="00BF0619">
      <w:pPr>
        <w:pStyle w:val="SingleTxtG"/>
        <w:rPr>
          <w:noProof/>
          <w:lang w:val="fr-FR"/>
        </w:rPr>
      </w:pPr>
      <w:r w:rsidRPr="00AF434B">
        <w:rPr>
          <w:noProof/>
          <w:lang w:val="fr-FR"/>
        </w:rPr>
        <w:t>163.</w:t>
      </w:r>
      <w:r w:rsidRPr="00AF434B">
        <w:rPr>
          <w:noProof/>
          <w:lang w:val="fr-FR"/>
        </w:rPr>
        <w:tab/>
      </w:r>
      <w:r>
        <w:rPr>
          <w:noProof/>
          <w:lang w:val="fr-FR"/>
        </w:rPr>
        <w:t>L’usage de la force par les agents de la police judiciaire est étroitement encadré  et est autorisé en cas de nécessité absolue et compte tenu de considérations de proportionnalité</w:t>
      </w:r>
      <w:r w:rsidRPr="00AF434B">
        <w:rPr>
          <w:noProof/>
          <w:lang w:val="fr-FR"/>
        </w:rPr>
        <w:t xml:space="preserve">. </w:t>
      </w:r>
    </w:p>
    <w:p w14:paraId="612B7994" w14:textId="77777777" w:rsidR="00BF0619" w:rsidRPr="00AF434B" w:rsidRDefault="00BF0619" w:rsidP="00BF0619">
      <w:pPr>
        <w:pStyle w:val="SingleTxtG"/>
        <w:rPr>
          <w:noProof/>
          <w:lang w:val="fr-FR"/>
        </w:rPr>
      </w:pPr>
      <w:r w:rsidRPr="00AF434B">
        <w:rPr>
          <w:noProof/>
          <w:lang w:val="fr-FR"/>
        </w:rPr>
        <w:t>164.</w:t>
      </w:r>
      <w:r w:rsidRPr="00AF434B">
        <w:rPr>
          <w:noProof/>
          <w:lang w:val="fr-FR"/>
        </w:rPr>
        <w:tab/>
      </w:r>
      <w:r>
        <w:rPr>
          <w:noProof/>
          <w:lang w:val="fr-FR"/>
        </w:rPr>
        <w:t xml:space="preserve">On indique ci-après le nombre et l’issue des </w:t>
      </w:r>
      <w:r w:rsidRPr="00AF434B">
        <w:rPr>
          <w:noProof/>
          <w:lang w:val="fr-FR"/>
        </w:rPr>
        <w:t>proc</w:t>
      </w:r>
      <w:r>
        <w:rPr>
          <w:noProof/>
          <w:lang w:val="fr-FR"/>
        </w:rPr>
        <w:t>é</w:t>
      </w:r>
      <w:r w:rsidRPr="00AF434B">
        <w:rPr>
          <w:noProof/>
          <w:lang w:val="fr-FR"/>
        </w:rPr>
        <w:t xml:space="preserve">dures </w:t>
      </w:r>
      <w:r>
        <w:rPr>
          <w:noProof/>
          <w:lang w:val="fr-FR"/>
        </w:rPr>
        <w:t xml:space="preserve">engagées contre des membres de la police judiciaire pour usage excessif de la </w:t>
      </w:r>
      <w:r w:rsidRPr="00AF434B">
        <w:rPr>
          <w:noProof/>
          <w:lang w:val="fr-FR"/>
        </w:rPr>
        <w:t xml:space="preserve">force </w:t>
      </w:r>
      <w:r>
        <w:rPr>
          <w:noProof/>
          <w:lang w:val="fr-FR"/>
        </w:rPr>
        <w:t>ou mauvais traitements</w:t>
      </w:r>
      <w:r w:rsidR="0035573C">
        <w:rPr>
          <w:noProof/>
          <w:lang w:val="fr-FR"/>
        </w:rPr>
        <w:t> :</w:t>
      </w:r>
    </w:p>
    <w:p w14:paraId="5BE41687"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2011</w:t>
      </w:r>
      <w:r w:rsidR="0035573C">
        <w:rPr>
          <w:noProof/>
          <w:lang w:val="fr-FR"/>
        </w:rPr>
        <w:t> </w:t>
      </w:r>
      <w:r w:rsidRPr="00AF434B">
        <w:rPr>
          <w:noProof/>
          <w:lang w:val="fr-FR"/>
        </w:rPr>
        <w:t xml:space="preserve">: </w:t>
      </w:r>
      <w:r w:rsidR="0035573C">
        <w:rPr>
          <w:noProof/>
          <w:lang w:val="fr-FR"/>
        </w:rPr>
        <w:tab/>
      </w:r>
      <w:r w:rsidRPr="00AF434B">
        <w:rPr>
          <w:noProof/>
          <w:lang w:val="fr-FR"/>
        </w:rPr>
        <w:t>3 proc</w:t>
      </w:r>
      <w:r>
        <w:rPr>
          <w:noProof/>
          <w:lang w:val="fr-FR"/>
        </w:rPr>
        <w:t xml:space="preserve">édures </w:t>
      </w:r>
      <w:r w:rsidR="0035573C">
        <w:rPr>
          <w:noProof/>
          <w:lang w:val="fr-FR"/>
        </w:rPr>
        <w:t>− </w:t>
      </w:r>
      <w:r>
        <w:rPr>
          <w:noProof/>
          <w:lang w:val="fr-FR"/>
        </w:rPr>
        <w:t>classées</w:t>
      </w:r>
      <w:r w:rsidR="0035573C">
        <w:rPr>
          <w:noProof/>
          <w:lang w:val="fr-FR"/>
        </w:rPr>
        <w:t> </w:t>
      </w:r>
      <w:r w:rsidRPr="00AF434B">
        <w:rPr>
          <w:noProof/>
          <w:lang w:val="fr-FR"/>
        </w:rPr>
        <w:t>;</w:t>
      </w:r>
    </w:p>
    <w:p w14:paraId="58412B3C"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2012</w:t>
      </w:r>
      <w:r w:rsidR="0035573C">
        <w:rPr>
          <w:noProof/>
          <w:lang w:val="fr-FR"/>
        </w:rPr>
        <w:t> </w:t>
      </w:r>
      <w:r w:rsidRPr="00AF434B">
        <w:rPr>
          <w:noProof/>
          <w:lang w:val="fr-FR"/>
        </w:rPr>
        <w:t xml:space="preserve">: </w:t>
      </w:r>
      <w:r w:rsidR="0035573C">
        <w:rPr>
          <w:noProof/>
          <w:lang w:val="fr-FR"/>
        </w:rPr>
        <w:tab/>
      </w:r>
      <w:r w:rsidRPr="00AF434B">
        <w:rPr>
          <w:noProof/>
          <w:lang w:val="fr-FR"/>
        </w:rPr>
        <w:t>2 proc</w:t>
      </w:r>
      <w:r>
        <w:rPr>
          <w:noProof/>
          <w:lang w:val="fr-FR"/>
        </w:rPr>
        <w:t>édures</w:t>
      </w:r>
      <w:r w:rsidRPr="00AF434B">
        <w:rPr>
          <w:noProof/>
          <w:lang w:val="fr-FR"/>
        </w:rPr>
        <w:t xml:space="preserve"> </w:t>
      </w:r>
      <w:r w:rsidR="0035573C">
        <w:rPr>
          <w:noProof/>
          <w:lang w:val="fr-FR"/>
        </w:rPr>
        <w:t>− </w:t>
      </w:r>
      <w:r w:rsidRPr="00AF434B">
        <w:rPr>
          <w:noProof/>
          <w:lang w:val="fr-FR"/>
        </w:rPr>
        <w:t xml:space="preserve">1 </w:t>
      </w:r>
      <w:r>
        <w:rPr>
          <w:noProof/>
          <w:lang w:val="fr-FR"/>
        </w:rPr>
        <w:t>classée</w:t>
      </w:r>
      <w:r w:rsidR="0035573C">
        <w:rPr>
          <w:noProof/>
          <w:lang w:val="fr-FR"/>
        </w:rPr>
        <w:t> </w:t>
      </w:r>
      <w:r w:rsidRPr="00AF434B">
        <w:rPr>
          <w:noProof/>
          <w:lang w:val="fr-FR"/>
        </w:rPr>
        <w:t>; 1</w:t>
      </w:r>
      <w:r w:rsidR="0035573C">
        <w:rPr>
          <w:noProof/>
          <w:lang w:val="fr-FR"/>
        </w:rPr>
        <w:t> </w:t>
      </w:r>
      <w:r w:rsidRPr="00AF434B">
        <w:rPr>
          <w:noProof/>
          <w:lang w:val="fr-FR"/>
        </w:rPr>
        <w:t>suspend</w:t>
      </w:r>
      <w:r>
        <w:rPr>
          <w:noProof/>
          <w:lang w:val="fr-FR"/>
        </w:rPr>
        <w:t>u</w:t>
      </w:r>
      <w:r w:rsidRPr="00AF434B">
        <w:rPr>
          <w:noProof/>
          <w:lang w:val="fr-FR"/>
        </w:rPr>
        <w:t>e</w:t>
      </w:r>
      <w:r w:rsidR="0035573C">
        <w:rPr>
          <w:noProof/>
          <w:lang w:val="fr-FR"/>
        </w:rPr>
        <w:t> </w:t>
      </w:r>
      <w:r w:rsidRPr="00AF434B">
        <w:rPr>
          <w:noProof/>
          <w:lang w:val="fr-FR"/>
        </w:rPr>
        <w:t>;</w:t>
      </w:r>
    </w:p>
    <w:p w14:paraId="57246FB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2013</w:t>
      </w:r>
      <w:r w:rsidR="0035573C">
        <w:rPr>
          <w:noProof/>
          <w:lang w:val="fr-FR"/>
        </w:rPr>
        <w:t> </w:t>
      </w:r>
      <w:r w:rsidRPr="00AF434B">
        <w:rPr>
          <w:noProof/>
          <w:lang w:val="fr-FR"/>
        </w:rPr>
        <w:t xml:space="preserve">: </w:t>
      </w:r>
      <w:r w:rsidR="0035573C">
        <w:rPr>
          <w:noProof/>
          <w:lang w:val="fr-FR"/>
        </w:rPr>
        <w:tab/>
      </w:r>
      <w:r w:rsidRPr="00AF434B">
        <w:rPr>
          <w:noProof/>
          <w:lang w:val="fr-FR"/>
        </w:rPr>
        <w:t>2 proc</w:t>
      </w:r>
      <w:r>
        <w:rPr>
          <w:noProof/>
          <w:lang w:val="fr-FR"/>
        </w:rPr>
        <w:t>édures</w:t>
      </w:r>
      <w:r w:rsidRPr="00AF434B">
        <w:rPr>
          <w:noProof/>
          <w:lang w:val="fr-FR"/>
        </w:rPr>
        <w:t xml:space="preserve"> </w:t>
      </w:r>
      <w:r w:rsidR="0035573C">
        <w:rPr>
          <w:noProof/>
          <w:lang w:val="fr-FR"/>
        </w:rPr>
        <w:t>− </w:t>
      </w:r>
      <w:r>
        <w:rPr>
          <w:noProof/>
          <w:lang w:val="fr-FR"/>
        </w:rPr>
        <w:t>classées</w:t>
      </w:r>
      <w:r w:rsidR="0035573C">
        <w:rPr>
          <w:noProof/>
          <w:lang w:val="fr-FR"/>
        </w:rPr>
        <w:t> </w:t>
      </w:r>
      <w:r w:rsidRPr="00AF434B">
        <w:rPr>
          <w:noProof/>
          <w:lang w:val="fr-FR"/>
        </w:rPr>
        <w:t>;</w:t>
      </w:r>
    </w:p>
    <w:p w14:paraId="2BDFA8C9" w14:textId="77777777" w:rsidR="00BF0619" w:rsidRPr="00AF434B" w:rsidRDefault="00BF0619" w:rsidP="0035573C">
      <w:pPr>
        <w:pStyle w:val="Bullet1G"/>
        <w:numPr>
          <w:ilvl w:val="0"/>
          <w:numId w:val="0"/>
        </w:numPr>
        <w:tabs>
          <w:tab w:val="left" w:pos="1701"/>
        </w:tabs>
        <w:ind w:left="2268" w:hanging="737"/>
        <w:rPr>
          <w:noProof/>
          <w:lang w:val="fr-FR"/>
        </w:rPr>
      </w:pPr>
      <w:r w:rsidRPr="00AF434B">
        <w:rPr>
          <w:noProof/>
          <w:lang w:val="fr-FR"/>
        </w:rPr>
        <w:t>•</w:t>
      </w:r>
      <w:r w:rsidRPr="00AF434B">
        <w:rPr>
          <w:noProof/>
          <w:lang w:val="fr-FR"/>
        </w:rPr>
        <w:tab/>
        <w:t>2014</w:t>
      </w:r>
      <w:r w:rsidR="0035573C">
        <w:rPr>
          <w:noProof/>
          <w:lang w:val="fr-FR"/>
        </w:rPr>
        <w:t> </w:t>
      </w:r>
      <w:r w:rsidRPr="00AF434B">
        <w:rPr>
          <w:noProof/>
          <w:lang w:val="fr-FR"/>
        </w:rPr>
        <w:t xml:space="preserve">: </w:t>
      </w:r>
      <w:r w:rsidR="0035573C">
        <w:rPr>
          <w:noProof/>
          <w:lang w:val="fr-FR"/>
        </w:rPr>
        <w:tab/>
      </w:r>
      <w:r w:rsidRPr="00AF434B">
        <w:rPr>
          <w:noProof/>
          <w:lang w:val="fr-FR"/>
        </w:rPr>
        <w:t>2 proc</w:t>
      </w:r>
      <w:r>
        <w:rPr>
          <w:noProof/>
          <w:lang w:val="fr-FR"/>
        </w:rPr>
        <w:t xml:space="preserve">édures </w:t>
      </w:r>
      <w:r w:rsidR="0035573C">
        <w:rPr>
          <w:noProof/>
          <w:lang w:val="fr-FR"/>
        </w:rPr>
        <w:t>− </w:t>
      </w:r>
      <w:r w:rsidRPr="00AF434B">
        <w:rPr>
          <w:noProof/>
          <w:lang w:val="fr-FR"/>
        </w:rPr>
        <w:t xml:space="preserve">1 </w:t>
      </w:r>
      <w:r>
        <w:rPr>
          <w:noProof/>
          <w:lang w:val="fr-FR"/>
        </w:rPr>
        <w:t>classée</w:t>
      </w:r>
      <w:r w:rsidR="0035573C">
        <w:rPr>
          <w:noProof/>
          <w:lang w:val="fr-FR"/>
        </w:rPr>
        <w:t> </w:t>
      </w:r>
      <w:r w:rsidRPr="00AF434B">
        <w:rPr>
          <w:noProof/>
          <w:lang w:val="fr-FR"/>
        </w:rPr>
        <w:t>; 1</w:t>
      </w:r>
      <w:r w:rsidR="0035573C">
        <w:rPr>
          <w:noProof/>
          <w:lang w:val="fr-FR"/>
        </w:rPr>
        <w:t> </w:t>
      </w:r>
      <w:r w:rsidRPr="00AF434B">
        <w:rPr>
          <w:noProof/>
          <w:lang w:val="fr-FR"/>
        </w:rPr>
        <w:t>con</w:t>
      </w:r>
      <w:r>
        <w:rPr>
          <w:noProof/>
          <w:lang w:val="fr-FR"/>
        </w:rPr>
        <w:t xml:space="preserve">damnation </w:t>
      </w:r>
      <w:r w:rsidRPr="00AF434B">
        <w:rPr>
          <w:noProof/>
          <w:lang w:val="fr-FR"/>
        </w:rPr>
        <w:t>(</w:t>
      </w:r>
      <w:r>
        <w:rPr>
          <w:noProof/>
          <w:lang w:val="fr-FR"/>
        </w:rPr>
        <w:t xml:space="preserve">procédure suspendue pendant </w:t>
      </w:r>
      <w:r w:rsidRPr="00AF434B">
        <w:rPr>
          <w:noProof/>
          <w:lang w:val="fr-FR"/>
        </w:rPr>
        <w:t>40</w:t>
      </w:r>
      <w:r w:rsidR="0035573C">
        <w:rPr>
          <w:noProof/>
          <w:lang w:val="fr-FR"/>
        </w:rPr>
        <w:t> </w:t>
      </w:r>
      <w:r>
        <w:rPr>
          <w:noProof/>
          <w:lang w:val="fr-FR"/>
        </w:rPr>
        <w:t>jours</w:t>
      </w:r>
      <w:r w:rsidRPr="00AF434B">
        <w:rPr>
          <w:noProof/>
          <w:lang w:val="fr-FR"/>
        </w:rPr>
        <w:t>)</w:t>
      </w:r>
      <w:r w:rsidR="0035573C">
        <w:rPr>
          <w:noProof/>
          <w:lang w:val="fr-FR"/>
        </w:rPr>
        <w:t> </w:t>
      </w:r>
      <w:r w:rsidRPr="00AF434B">
        <w:rPr>
          <w:noProof/>
          <w:lang w:val="fr-FR"/>
        </w:rPr>
        <w:t>;</w:t>
      </w:r>
    </w:p>
    <w:p w14:paraId="3E5AFBEA"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2016</w:t>
      </w:r>
      <w:r w:rsidR="0035573C">
        <w:rPr>
          <w:noProof/>
          <w:lang w:val="fr-FR"/>
        </w:rPr>
        <w:t> </w:t>
      </w:r>
      <w:r w:rsidRPr="00AF434B">
        <w:rPr>
          <w:noProof/>
          <w:lang w:val="fr-FR"/>
        </w:rPr>
        <w:t xml:space="preserve">: </w:t>
      </w:r>
      <w:r w:rsidR="0035573C">
        <w:rPr>
          <w:noProof/>
          <w:lang w:val="fr-FR"/>
        </w:rPr>
        <w:tab/>
      </w:r>
      <w:r w:rsidRPr="00AF434B">
        <w:rPr>
          <w:noProof/>
          <w:lang w:val="fr-FR"/>
        </w:rPr>
        <w:t>4</w:t>
      </w:r>
      <w:r w:rsidR="0035573C">
        <w:rPr>
          <w:noProof/>
          <w:lang w:val="fr-FR"/>
        </w:rPr>
        <w:t> </w:t>
      </w:r>
      <w:r w:rsidRPr="00AF434B">
        <w:rPr>
          <w:noProof/>
          <w:lang w:val="fr-FR"/>
        </w:rPr>
        <w:t>proc</w:t>
      </w:r>
      <w:r>
        <w:rPr>
          <w:noProof/>
          <w:lang w:val="fr-FR"/>
        </w:rPr>
        <w:t>édures</w:t>
      </w:r>
      <w:r w:rsidRPr="00AF434B">
        <w:rPr>
          <w:noProof/>
          <w:lang w:val="fr-FR"/>
        </w:rPr>
        <w:t xml:space="preserve"> </w:t>
      </w:r>
      <w:r w:rsidR="0035573C">
        <w:rPr>
          <w:noProof/>
          <w:lang w:val="fr-FR"/>
        </w:rPr>
        <w:t>− </w:t>
      </w:r>
      <w:r w:rsidRPr="00AF434B">
        <w:rPr>
          <w:noProof/>
          <w:lang w:val="fr-FR"/>
        </w:rPr>
        <w:t>3</w:t>
      </w:r>
      <w:r w:rsidR="0035573C">
        <w:rPr>
          <w:noProof/>
          <w:lang w:val="fr-FR"/>
        </w:rPr>
        <w:t> </w:t>
      </w:r>
      <w:r>
        <w:rPr>
          <w:noProof/>
          <w:lang w:val="fr-FR"/>
        </w:rPr>
        <w:t>classées</w:t>
      </w:r>
      <w:r w:rsidR="0035573C">
        <w:rPr>
          <w:noProof/>
          <w:lang w:val="fr-FR"/>
        </w:rPr>
        <w:t> </w:t>
      </w:r>
      <w:r w:rsidRPr="00AF434B">
        <w:rPr>
          <w:noProof/>
          <w:lang w:val="fr-FR"/>
        </w:rPr>
        <w:t>; 1</w:t>
      </w:r>
      <w:r w:rsidR="0035573C">
        <w:rPr>
          <w:noProof/>
          <w:lang w:val="fr-FR"/>
        </w:rPr>
        <w:t> </w:t>
      </w:r>
      <w:r w:rsidRPr="00AF434B">
        <w:rPr>
          <w:noProof/>
          <w:lang w:val="fr-FR"/>
        </w:rPr>
        <w:t>pend</w:t>
      </w:r>
      <w:r>
        <w:rPr>
          <w:noProof/>
          <w:lang w:val="fr-FR"/>
        </w:rPr>
        <w:t>ante</w:t>
      </w:r>
      <w:r w:rsidR="0035573C">
        <w:rPr>
          <w:noProof/>
          <w:lang w:val="fr-FR"/>
        </w:rPr>
        <w:t> </w:t>
      </w:r>
      <w:r w:rsidRPr="00AF434B">
        <w:rPr>
          <w:noProof/>
          <w:lang w:val="fr-FR"/>
        </w:rPr>
        <w:t>;</w:t>
      </w:r>
    </w:p>
    <w:p w14:paraId="437F1221"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2017</w:t>
      </w:r>
      <w:r w:rsidR="0035573C">
        <w:rPr>
          <w:noProof/>
          <w:lang w:val="fr-FR"/>
        </w:rPr>
        <w:t> </w:t>
      </w:r>
      <w:r w:rsidRPr="00AF434B">
        <w:rPr>
          <w:noProof/>
          <w:lang w:val="fr-FR"/>
        </w:rPr>
        <w:t xml:space="preserve">: </w:t>
      </w:r>
      <w:r w:rsidR="0035573C">
        <w:rPr>
          <w:noProof/>
          <w:lang w:val="fr-FR"/>
        </w:rPr>
        <w:tab/>
      </w:r>
      <w:r w:rsidRPr="00AF434B">
        <w:rPr>
          <w:noProof/>
          <w:lang w:val="fr-FR"/>
        </w:rPr>
        <w:t>10</w:t>
      </w:r>
      <w:r w:rsidR="0035573C">
        <w:rPr>
          <w:noProof/>
          <w:lang w:val="fr-FR"/>
        </w:rPr>
        <w:t> </w:t>
      </w:r>
      <w:r w:rsidRPr="00AF434B">
        <w:rPr>
          <w:noProof/>
          <w:lang w:val="fr-FR"/>
        </w:rPr>
        <w:t>proc</w:t>
      </w:r>
      <w:r>
        <w:rPr>
          <w:noProof/>
          <w:lang w:val="fr-FR"/>
        </w:rPr>
        <w:t>édures</w:t>
      </w:r>
      <w:r w:rsidRPr="00AF434B">
        <w:rPr>
          <w:noProof/>
          <w:lang w:val="fr-FR"/>
        </w:rPr>
        <w:t xml:space="preserve"> </w:t>
      </w:r>
      <w:r w:rsidR="0035573C">
        <w:rPr>
          <w:noProof/>
          <w:lang w:val="fr-FR"/>
        </w:rPr>
        <w:t>− </w:t>
      </w:r>
      <w:r w:rsidRPr="00AF434B">
        <w:rPr>
          <w:noProof/>
          <w:lang w:val="fr-FR"/>
        </w:rPr>
        <w:t>6</w:t>
      </w:r>
      <w:r w:rsidR="00ED520E">
        <w:rPr>
          <w:noProof/>
          <w:lang w:val="fr-FR"/>
        </w:rPr>
        <w:t> </w:t>
      </w:r>
      <w:r>
        <w:rPr>
          <w:noProof/>
          <w:lang w:val="fr-FR"/>
        </w:rPr>
        <w:t>classées</w:t>
      </w:r>
      <w:r w:rsidR="00ED520E">
        <w:rPr>
          <w:noProof/>
          <w:lang w:val="fr-FR"/>
        </w:rPr>
        <w:t> </w:t>
      </w:r>
      <w:r w:rsidRPr="00AF434B">
        <w:rPr>
          <w:noProof/>
          <w:lang w:val="fr-FR"/>
        </w:rPr>
        <w:t>; 4</w:t>
      </w:r>
      <w:r w:rsidR="00ED520E">
        <w:rPr>
          <w:noProof/>
          <w:lang w:val="fr-FR"/>
        </w:rPr>
        <w:t> </w:t>
      </w:r>
      <w:r w:rsidRPr="00AF434B">
        <w:rPr>
          <w:noProof/>
          <w:lang w:val="fr-FR"/>
        </w:rPr>
        <w:t>pend</w:t>
      </w:r>
      <w:r>
        <w:rPr>
          <w:noProof/>
          <w:lang w:val="fr-FR"/>
        </w:rPr>
        <w:t>ante</w:t>
      </w:r>
      <w:r w:rsidR="00ED520E">
        <w:rPr>
          <w:noProof/>
          <w:lang w:val="fr-FR"/>
        </w:rPr>
        <w:t> </w:t>
      </w:r>
      <w:r w:rsidRPr="00AF434B">
        <w:rPr>
          <w:noProof/>
          <w:lang w:val="fr-FR"/>
        </w:rPr>
        <w:t>;</w:t>
      </w:r>
    </w:p>
    <w:p w14:paraId="7CE758D2"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2018</w:t>
      </w:r>
      <w:r w:rsidR="00ED520E">
        <w:rPr>
          <w:noProof/>
          <w:lang w:val="fr-FR"/>
        </w:rPr>
        <w:t> </w:t>
      </w:r>
      <w:r w:rsidRPr="00AF434B">
        <w:rPr>
          <w:noProof/>
          <w:lang w:val="fr-FR"/>
        </w:rPr>
        <w:t xml:space="preserve">: </w:t>
      </w:r>
      <w:r w:rsidR="00ED520E">
        <w:rPr>
          <w:noProof/>
          <w:lang w:val="fr-FR"/>
        </w:rPr>
        <w:tab/>
      </w:r>
      <w:r w:rsidRPr="00AF434B">
        <w:rPr>
          <w:noProof/>
          <w:lang w:val="fr-FR"/>
        </w:rPr>
        <w:t>4</w:t>
      </w:r>
      <w:r w:rsidR="00ED520E">
        <w:rPr>
          <w:noProof/>
          <w:lang w:val="fr-FR"/>
        </w:rPr>
        <w:t> </w:t>
      </w:r>
      <w:r w:rsidRPr="00AF434B">
        <w:rPr>
          <w:noProof/>
          <w:lang w:val="fr-FR"/>
        </w:rPr>
        <w:t>proc</w:t>
      </w:r>
      <w:r>
        <w:rPr>
          <w:noProof/>
          <w:lang w:val="fr-FR"/>
        </w:rPr>
        <w:t>édures</w:t>
      </w:r>
      <w:r w:rsidRPr="00AF434B">
        <w:rPr>
          <w:noProof/>
          <w:lang w:val="fr-FR"/>
        </w:rPr>
        <w:t xml:space="preserve"> </w:t>
      </w:r>
      <w:r w:rsidR="00ED520E">
        <w:rPr>
          <w:noProof/>
          <w:lang w:val="fr-FR"/>
        </w:rPr>
        <w:t>− </w:t>
      </w:r>
      <w:r w:rsidRPr="00AF434B">
        <w:rPr>
          <w:noProof/>
          <w:lang w:val="fr-FR"/>
        </w:rPr>
        <w:t>pend</w:t>
      </w:r>
      <w:r>
        <w:rPr>
          <w:noProof/>
          <w:lang w:val="fr-FR"/>
        </w:rPr>
        <w:t>antes</w:t>
      </w:r>
      <w:r w:rsidRPr="00AF434B">
        <w:rPr>
          <w:noProof/>
          <w:lang w:val="fr-FR"/>
        </w:rPr>
        <w:t>.</w:t>
      </w:r>
    </w:p>
    <w:p w14:paraId="52477283" w14:textId="77777777" w:rsidR="00BF0619" w:rsidRPr="00AF434B" w:rsidRDefault="00BF0619" w:rsidP="00BF0619">
      <w:pPr>
        <w:pStyle w:val="SingleTxtG"/>
        <w:rPr>
          <w:noProof/>
          <w:lang w:val="fr-FR"/>
        </w:rPr>
      </w:pPr>
      <w:r w:rsidRPr="00AF434B">
        <w:rPr>
          <w:noProof/>
          <w:lang w:val="fr-FR"/>
        </w:rPr>
        <w:t>165.</w:t>
      </w:r>
      <w:r w:rsidRPr="00AF434B">
        <w:rPr>
          <w:noProof/>
          <w:lang w:val="fr-FR"/>
        </w:rPr>
        <w:tab/>
      </w:r>
      <w:r>
        <w:rPr>
          <w:noProof/>
          <w:lang w:val="fr-FR"/>
        </w:rPr>
        <w:t xml:space="preserve">Outre les </w:t>
      </w:r>
      <w:r w:rsidRPr="00AF434B">
        <w:rPr>
          <w:noProof/>
          <w:lang w:val="fr-FR"/>
        </w:rPr>
        <w:t>information</w:t>
      </w:r>
      <w:r>
        <w:rPr>
          <w:noProof/>
          <w:lang w:val="fr-FR"/>
        </w:rPr>
        <w:t>s</w:t>
      </w:r>
      <w:r w:rsidRPr="00AF434B">
        <w:rPr>
          <w:noProof/>
          <w:lang w:val="fr-FR"/>
        </w:rPr>
        <w:t xml:space="preserve"> </w:t>
      </w:r>
      <w:r>
        <w:rPr>
          <w:noProof/>
          <w:lang w:val="fr-FR"/>
        </w:rPr>
        <w:t>fournies précédemment</w:t>
      </w:r>
      <w:r w:rsidRPr="00AF434B">
        <w:rPr>
          <w:noProof/>
          <w:lang w:val="fr-FR"/>
        </w:rPr>
        <w:t>,</w:t>
      </w:r>
      <w:r>
        <w:rPr>
          <w:noProof/>
          <w:lang w:val="fr-FR"/>
        </w:rPr>
        <w:t xml:space="preserve"> on notera qu’en vertu du paragraphe</w:t>
      </w:r>
      <w:r w:rsidR="00ED520E">
        <w:rPr>
          <w:noProof/>
          <w:lang w:val="fr-FR"/>
        </w:rPr>
        <w:t> </w:t>
      </w:r>
      <w:r>
        <w:rPr>
          <w:noProof/>
          <w:lang w:val="fr-FR"/>
        </w:rPr>
        <w:t>5)</w:t>
      </w:r>
      <w:r w:rsidR="00ED520E">
        <w:rPr>
          <w:noProof/>
          <w:lang w:val="fr-FR"/>
        </w:rPr>
        <w:t> </w:t>
      </w:r>
      <w:r>
        <w:rPr>
          <w:noProof/>
          <w:lang w:val="fr-FR"/>
        </w:rPr>
        <w:t>f) de l’</w:t>
      </w:r>
      <w:r w:rsidRPr="00AF434B">
        <w:rPr>
          <w:noProof/>
          <w:lang w:val="fr-FR"/>
        </w:rPr>
        <w:t>article</w:t>
      </w:r>
      <w:r w:rsidR="00ED520E">
        <w:rPr>
          <w:noProof/>
          <w:lang w:val="fr-FR"/>
        </w:rPr>
        <w:t> </w:t>
      </w:r>
      <w:r w:rsidRPr="00AF434B">
        <w:rPr>
          <w:noProof/>
          <w:lang w:val="fr-FR"/>
        </w:rPr>
        <w:t xml:space="preserve">3 </w:t>
      </w:r>
      <w:r>
        <w:rPr>
          <w:noProof/>
          <w:lang w:val="fr-FR"/>
        </w:rPr>
        <w:t>et de l’</w:t>
      </w:r>
      <w:r w:rsidRPr="00AF434B">
        <w:rPr>
          <w:noProof/>
          <w:lang w:val="fr-FR"/>
        </w:rPr>
        <w:t>article</w:t>
      </w:r>
      <w:r w:rsidR="00ED520E">
        <w:rPr>
          <w:noProof/>
          <w:lang w:val="fr-FR"/>
        </w:rPr>
        <w:t> </w:t>
      </w:r>
      <w:r w:rsidRPr="00AF434B">
        <w:rPr>
          <w:noProof/>
          <w:lang w:val="fr-FR"/>
        </w:rPr>
        <w:t xml:space="preserve">11 </w:t>
      </w:r>
      <w:r>
        <w:rPr>
          <w:noProof/>
          <w:lang w:val="fr-FR"/>
        </w:rPr>
        <w:t>du Règlement général relatif aux établissements pénitentiaires, qui régit la procédure d’admission des détenus dans ces établissements et les renseignements à enregistrer, un rapport doit être établi en cas de lésions visibles ou de plaintes pour voies de fait antérieures</w:t>
      </w:r>
      <w:r w:rsidRPr="00AF434B">
        <w:rPr>
          <w:noProof/>
          <w:lang w:val="fr-FR"/>
        </w:rPr>
        <w:t xml:space="preserve">. </w:t>
      </w:r>
      <w:r>
        <w:rPr>
          <w:noProof/>
          <w:lang w:val="fr-FR"/>
        </w:rPr>
        <w:t>Si le détenu y consent, la lésion peut être photographiée</w:t>
      </w:r>
      <w:r w:rsidRPr="00AF434B">
        <w:rPr>
          <w:noProof/>
          <w:lang w:val="fr-FR"/>
        </w:rPr>
        <w:t xml:space="preserve">. </w:t>
      </w:r>
      <w:r>
        <w:rPr>
          <w:noProof/>
          <w:lang w:val="fr-FR"/>
        </w:rPr>
        <w:t xml:space="preserve">Dans ce cas, un examen médical est également effectué, dont les </w:t>
      </w:r>
      <w:r w:rsidRPr="00AF434B">
        <w:rPr>
          <w:noProof/>
          <w:lang w:val="fr-FR"/>
        </w:rPr>
        <w:t xml:space="preserve">conclusions </w:t>
      </w:r>
      <w:r>
        <w:rPr>
          <w:noProof/>
          <w:lang w:val="fr-FR"/>
        </w:rPr>
        <w:t>doivent aussi être enregistrées</w:t>
      </w:r>
      <w:r w:rsidRPr="00AF434B">
        <w:rPr>
          <w:noProof/>
          <w:lang w:val="fr-FR"/>
        </w:rPr>
        <w:t xml:space="preserve">. </w:t>
      </w:r>
      <w:r>
        <w:rPr>
          <w:noProof/>
          <w:lang w:val="fr-FR"/>
        </w:rPr>
        <w:t>Si nécessaire, une assistance médicale est fournie</w:t>
      </w:r>
      <w:r w:rsidRPr="00AF434B">
        <w:rPr>
          <w:noProof/>
          <w:lang w:val="fr-FR"/>
        </w:rPr>
        <w:t xml:space="preserve">. </w:t>
      </w:r>
      <w:r w:rsidRPr="00BB3DD1">
        <w:t xml:space="preserve">Le </w:t>
      </w:r>
      <w:r w:rsidRPr="000E1493">
        <w:rPr>
          <w:noProof/>
          <w:lang w:val="fr-FR"/>
        </w:rPr>
        <w:t>directeur de l’établissement doit envoyer copie de ces renseignements, y</w:t>
      </w:r>
      <w:r w:rsidR="00ED520E">
        <w:rPr>
          <w:noProof/>
          <w:lang w:val="fr-FR"/>
        </w:rPr>
        <w:t> </w:t>
      </w:r>
      <w:r w:rsidRPr="000E1493">
        <w:rPr>
          <w:noProof/>
          <w:lang w:val="fr-FR"/>
        </w:rPr>
        <w:t xml:space="preserve">compris du rapport medical, si le détenu y consent, au directeur général de la Direction générale des services pénitentiaires et de la réinsertion. Si l’intéressé a été placé en garde à vue ou si une intervention policière quelconque a eu lieu avant son arrivée dans l’établissement pénitentiaire, la Direction générale des services pénitentiaires et de la réinsertion doit immédiatement transmettre toutes les informations reçues à l’Inspection générale de l’administration interne et à l’Inspection générale des services de justice (arrêté du Ministre de l’intérieur et du Ministre de la justice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sidRPr="000E1493">
        <w:rPr>
          <w:noProof/>
          <w:lang w:val="fr-FR"/>
        </w:rPr>
        <w:t>11838/2016).</w:t>
      </w:r>
      <w:r w:rsidRPr="00AF434B">
        <w:rPr>
          <w:noProof/>
          <w:lang w:val="fr-FR"/>
        </w:rPr>
        <w:t xml:space="preserve"> </w:t>
      </w:r>
      <w:r>
        <w:rPr>
          <w:noProof/>
          <w:lang w:val="fr-FR"/>
        </w:rPr>
        <w:t xml:space="preserve"> </w:t>
      </w:r>
    </w:p>
    <w:p w14:paraId="1A01001B" w14:textId="77777777" w:rsidR="00BF0619" w:rsidRPr="00AF434B" w:rsidRDefault="00BF0619" w:rsidP="00BF0619">
      <w:pPr>
        <w:pStyle w:val="SingleTxtG"/>
        <w:rPr>
          <w:noProof/>
          <w:lang w:val="fr-FR"/>
        </w:rPr>
      </w:pPr>
      <w:r w:rsidRPr="00AF434B">
        <w:rPr>
          <w:noProof/>
          <w:lang w:val="fr-FR"/>
        </w:rPr>
        <w:t>166.</w:t>
      </w:r>
      <w:r w:rsidRPr="00AF434B">
        <w:rPr>
          <w:noProof/>
          <w:lang w:val="fr-FR"/>
        </w:rPr>
        <w:tab/>
      </w:r>
      <w:r>
        <w:rPr>
          <w:noProof/>
          <w:lang w:val="fr-FR"/>
        </w:rPr>
        <w:t>En sus de ce qui précède, on se référera à la c</w:t>
      </w:r>
      <w:r w:rsidRPr="00AF434B">
        <w:rPr>
          <w:noProof/>
          <w:lang w:val="fr-FR"/>
        </w:rPr>
        <w:t>ircula</w:t>
      </w:r>
      <w:r>
        <w:rPr>
          <w:noProof/>
          <w:lang w:val="fr-FR"/>
        </w:rPr>
        <w:t xml:space="preserve">ire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sidRPr="00AF434B">
        <w:rPr>
          <w:noProof/>
          <w:lang w:val="fr-FR"/>
        </w:rPr>
        <w:t>1/2017</w:t>
      </w:r>
      <w:r>
        <w:rPr>
          <w:noProof/>
          <w:lang w:val="fr-FR"/>
        </w:rPr>
        <w:t xml:space="preserve"> du </w:t>
      </w:r>
      <w:r w:rsidRPr="00AF434B">
        <w:rPr>
          <w:noProof/>
          <w:lang w:val="fr-FR"/>
        </w:rPr>
        <w:t>26</w:t>
      </w:r>
      <w:r w:rsidR="00ED520E">
        <w:rPr>
          <w:noProof/>
          <w:lang w:val="fr-FR"/>
        </w:rPr>
        <w:t> </w:t>
      </w:r>
      <w:r>
        <w:rPr>
          <w:noProof/>
          <w:lang w:val="fr-FR"/>
        </w:rPr>
        <w:t>janvier</w:t>
      </w:r>
      <w:r w:rsidRPr="00AF434B">
        <w:rPr>
          <w:noProof/>
          <w:lang w:val="fr-FR"/>
        </w:rPr>
        <w:t xml:space="preserve">, </w:t>
      </w:r>
      <w:r>
        <w:rPr>
          <w:noProof/>
          <w:lang w:val="fr-FR"/>
        </w:rPr>
        <w:t>qui améliore les mécanismes de dé</w:t>
      </w:r>
      <w:r w:rsidRPr="00AF434B">
        <w:rPr>
          <w:noProof/>
          <w:lang w:val="fr-FR"/>
        </w:rPr>
        <w:t xml:space="preserve">tection </w:t>
      </w:r>
      <w:r>
        <w:rPr>
          <w:noProof/>
          <w:lang w:val="fr-FR"/>
        </w:rPr>
        <w:t xml:space="preserve">des cas de </w:t>
      </w:r>
      <w:r w:rsidRPr="00AF434B">
        <w:rPr>
          <w:noProof/>
          <w:lang w:val="fr-FR"/>
        </w:rPr>
        <w:t>torture</w:t>
      </w:r>
      <w:r>
        <w:rPr>
          <w:noProof/>
          <w:lang w:val="fr-FR"/>
        </w:rPr>
        <w:t>s</w:t>
      </w:r>
      <w:r w:rsidRPr="00AF434B">
        <w:rPr>
          <w:noProof/>
          <w:lang w:val="fr-FR"/>
        </w:rPr>
        <w:t xml:space="preserve"> </w:t>
      </w:r>
      <w:r>
        <w:rPr>
          <w:noProof/>
          <w:lang w:val="fr-FR"/>
        </w:rPr>
        <w:t>ou de traitements cruels</w:t>
      </w:r>
      <w:r w:rsidRPr="00AF434B">
        <w:rPr>
          <w:noProof/>
          <w:lang w:val="fr-FR"/>
        </w:rPr>
        <w:t xml:space="preserve">. </w:t>
      </w:r>
      <w:r>
        <w:rPr>
          <w:noProof/>
          <w:lang w:val="fr-FR"/>
        </w:rPr>
        <w:t xml:space="preserve">Cette circulaire met en place les </w:t>
      </w:r>
      <w:r w:rsidRPr="00AF434B">
        <w:rPr>
          <w:noProof/>
          <w:lang w:val="fr-FR"/>
        </w:rPr>
        <w:t>proc</w:t>
      </w:r>
      <w:r>
        <w:rPr>
          <w:noProof/>
          <w:lang w:val="fr-FR"/>
        </w:rPr>
        <w:t>é</w:t>
      </w:r>
      <w:r w:rsidRPr="00AF434B">
        <w:rPr>
          <w:noProof/>
          <w:lang w:val="fr-FR"/>
        </w:rPr>
        <w:t xml:space="preserve">dures </w:t>
      </w:r>
      <w:r>
        <w:rPr>
          <w:noProof/>
          <w:lang w:val="fr-FR"/>
        </w:rPr>
        <w:t>à suivre dans les cas éventuels de mauvais traitements, en particulier l’évaluation clinique obligatoire à effectuer lors de l’admission des détenus, lorsque ces derniers présentent des lésions physiques</w:t>
      </w:r>
      <w:r w:rsidRPr="00AF434B">
        <w:rPr>
          <w:noProof/>
          <w:lang w:val="fr-FR"/>
        </w:rPr>
        <w:t xml:space="preserve">, </w:t>
      </w:r>
      <w:r>
        <w:rPr>
          <w:noProof/>
          <w:lang w:val="fr-FR"/>
        </w:rPr>
        <w:t>lorsqu’il est fait usage de techniques de maîtrise de la violence ou lorsque des détenus se plaignent d’avoir été agressés physiquement</w:t>
      </w:r>
      <w:r w:rsidRPr="00AF434B">
        <w:rPr>
          <w:noProof/>
          <w:lang w:val="fr-FR"/>
        </w:rPr>
        <w:t xml:space="preserve">. </w:t>
      </w:r>
      <w:r>
        <w:rPr>
          <w:noProof/>
          <w:lang w:val="fr-FR"/>
        </w:rPr>
        <w:t xml:space="preserve">Ces </w:t>
      </w:r>
      <w:r w:rsidRPr="00AF434B">
        <w:rPr>
          <w:noProof/>
          <w:lang w:val="fr-FR"/>
        </w:rPr>
        <w:t>proc</w:t>
      </w:r>
      <w:r>
        <w:rPr>
          <w:noProof/>
          <w:lang w:val="fr-FR"/>
        </w:rPr>
        <w:t>é</w:t>
      </w:r>
      <w:r w:rsidRPr="00AF434B">
        <w:rPr>
          <w:noProof/>
          <w:lang w:val="fr-FR"/>
        </w:rPr>
        <w:t xml:space="preserve">dures </w:t>
      </w:r>
      <w:r>
        <w:rPr>
          <w:noProof/>
          <w:lang w:val="fr-FR"/>
        </w:rPr>
        <w:t>doivent permettre de recueillir des éléments de preuve pertinents</w:t>
      </w:r>
      <w:r w:rsidRPr="00AF434B">
        <w:rPr>
          <w:noProof/>
          <w:lang w:val="fr-FR"/>
        </w:rPr>
        <w:t xml:space="preserve">. </w:t>
      </w:r>
      <w:r>
        <w:rPr>
          <w:noProof/>
          <w:lang w:val="fr-FR"/>
        </w:rPr>
        <w:t xml:space="preserve">Le Service de l’administration interne et la </w:t>
      </w:r>
      <w:r w:rsidRPr="000E1493">
        <w:rPr>
          <w:noProof/>
          <w:lang w:val="fr-FR"/>
        </w:rPr>
        <w:t>Direction générale des services pénitentiaires et de la réinsertion</w:t>
      </w:r>
      <w:r w:rsidRPr="00AF434B">
        <w:rPr>
          <w:noProof/>
          <w:lang w:val="fr-FR"/>
        </w:rPr>
        <w:t xml:space="preserve"> </w:t>
      </w:r>
      <w:r>
        <w:rPr>
          <w:noProof/>
          <w:lang w:val="fr-FR"/>
        </w:rPr>
        <w:t xml:space="preserve">veillent tout particulièrement à faire respecter les procédures énoncées dans la circulaire susvisée, en particulier en ce qui concerne l’importance d’indiquer spécifiquement, dans le rapport médical, si les lésions sont compatibles avec les faits décrits par le détenu. À cet égard, chaque fois que l’on constate que ces procédures n’ont pas été respectées (ce qui, en pratique, ne s’est produit que peu après l’entrée en vigueur de la circulaire), le Service de l’administration interne doit faire des </w:t>
      </w:r>
      <w:r w:rsidRPr="00AF434B">
        <w:rPr>
          <w:noProof/>
          <w:lang w:val="fr-FR"/>
        </w:rPr>
        <w:t>recomm</w:t>
      </w:r>
      <w:r>
        <w:rPr>
          <w:noProof/>
          <w:lang w:val="fr-FR"/>
        </w:rPr>
        <w:t>a</w:t>
      </w:r>
      <w:r w:rsidRPr="00AF434B">
        <w:rPr>
          <w:noProof/>
          <w:lang w:val="fr-FR"/>
        </w:rPr>
        <w:t xml:space="preserve">ndations </w:t>
      </w:r>
      <w:r>
        <w:rPr>
          <w:noProof/>
          <w:lang w:val="fr-FR"/>
        </w:rPr>
        <w:t xml:space="preserve">et rappeler qu’il </w:t>
      </w:r>
      <w:r w:rsidRPr="00AF434B">
        <w:rPr>
          <w:noProof/>
          <w:lang w:val="fr-FR"/>
        </w:rPr>
        <w:t>import</w:t>
      </w:r>
      <w:r>
        <w:rPr>
          <w:noProof/>
          <w:lang w:val="fr-FR"/>
        </w:rPr>
        <w:t>e d’appliquer strictement les procédures prévues en matière d’enquête sur des cas de mauvais traitements</w:t>
      </w:r>
      <w:r w:rsidRPr="00AF434B">
        <w:rPr>
          <w:noProof/>
          <w:lang w:val="fr-FR"/>
        </w:rPr>
        <w:t>.</w:t>
      </w:r>
    </w:p>
    <w:p w14:paraId="336DD098" w14:textId="77777777" w:rsidR="00BF0619" w:rsidRPr="00AF434B" w:rsidRDefault="00BF0619" w:rsidP="00BF0619">
      <w:pPr>
        <w:pStyle w:val="SingleTxtG"/>
        <w:rPr>
          <w:noProof/>
          <w:lang w:val="fr-FR"/>
        </w:rPr>
      </w:pPr>
      <w:r w:rsidRPr="00AF434B">
        <w:rPr>
          <w:noProof/>
          <w:lang w:val="fr-FR"/>
        </w:rPr>
        <w:t>167.</w:t>
      </w:r>
      <w:r w:rsidRPr="00AF434B">
        <w:rPr>
          <w:noProof/>
          <w:lang w:val="fr-FR"/>
        </w:rPr>
        <w:tab/>
      </w:r>
      <w:r>
        <w:rPr>
          <w:noProof/>
          <w:lang w:val="fr-FR"/>
        </w:rPr>
        <w:t xml:space="preserve">Afin de mieux faire face à cette question, la </w:t>
      </w:r>
      <w:r w:rsidRPr="000E1493">
        <w:rPr>
          <w:noProof/>
          <w:lang w:val="fr-FR"/>
        </w:rPr>
        <w:t>Direction générale des services pénitentiaires et de la réinsertion</w:t>
      </w:r>
      <w:r w:rsidRPr="00AF434B">
        <w:rPr>
          <w:noProof/>
          <w:lang w:val="fr-FR"/>
        </w:rPr>
        <w:t xml:space="preserve"> </w:t>
      </w:r>
      <w:r>
        <w:rPr>
          <w:noProof/>
          <w:lang w:val="fr-FR"/>
        </w:rPr>
        <w:t>a passé avec l’Institut national de médecine légale et de criminalistique un accord aux termes duquel ce dernier forme les personnels de santé travaillant dans les établissements pénitentiaires, en mettant en particulier l’accent sur les procédures à appliquer en cas d’allégations de mauvais traitements et de violences</w:t>
      </w:r>
      <w:r w:rsidRPr="00AF434B">
        <w:rPr>
          <w:noProof/>
          <w:lang w:val="fr-FR"/>
        </w:rPr>
        <w:t xml:space="preserve">. </w:t>
      </w:r>
      <w:r>
        <w:rPr>
          <w:noProof/>
          <w:lang w:val="fr-FR"/>
        </w:rPr>
        <w:t>La</w:t>
      </w:r>
      <w:r w:rsidR="00ED520E">
        <w:rPr>
          <w:noProof/>
          <w:lang w:val="fr-FR"/>
        </w:rPr>
        <w:t> </w:t>
      </w:r>
      <w:r>
        <w:rPr>
          <w:noProof/>
          <w:lang w:val="fr-FR"/>
        </w:rPr>
        <w:t xml:space="preserve">première formation, qui a eu lieu en mars </w:t>
      </w:r>
      <w:r w:rsidRPr="00AF434B">
        <w:rPr>
          <w:noProof/>
          <w:lang w:val="fr-FR"/>
        </w:rPr>
        <w:t>2018</w:t>
      </w:r>
      <w:r>
        <w:rPr>
          <w:noProof/>
          <w:lang w:val="fr-FR"/>
        </w:rPr>
        <w:t xml:space="preserve">, a été suivie par </w:t>
      </w:r>
      <w:r w:rsidRPr="00AF434B">
        <w:rPr>
          <w:noProof/>
          <w:lang w:val="fr-FR"/>
        </w:rPr>
        <w:t>14</w:t>
      </w:r>
      <w:r w:rsidR="00ED520E">
        <w:rPr>
          <w:noProof/>
          <w:lang w:val="fr-FR"/>
        </w:rPr>
        <w:t> </w:t>
      </w:r>
      <w:r>
        <w:rPr>
          <w:noProof/>
          <w:lang w:val="fr-FR"/>
        </w:rPr>
        <w:t>agents des services de santé et d’</w:t>
      </w:r>
      <w:r w:rsidRPr="00AF434B">
        <w:rPr>
          <w:noProof/>
          <w:lang w:val="fr-FR"/>
        </w:rPr>
        <w:t>inspection.</w:t>
      </w:r>
    </w:p>
    <w:p w14:paraId="16E82752" w14:textId="77777777" w:rsidR="00BF0619" w:rsidRPr="00AF434B" w:rsidRDefault="00BF0619" w:rsidP="00BF0619">
      <w:pPr>
        <w:pStyle w:val="SingleTxtG"/>
        <w:rPr>
          <w:noProof/>
          <w:lang w:val="fr-FR"/>
        </w:rPr>
      </w:pPr>
      <w:r w:rsidRPr="00AF434B">
        <w:rPr>
          <w:noProof/>
          <w:lang w:val="fr-FR"/>
        </w:rPr>
        <w:t>168.</w:t>
      </w:r>
      <w:r w:rsidRPr="00AF434B">
        <w:rPr>
          <w:noProof/>
          <w:lang w:val="fr-FR"/>
        </w:rPr>
        <w:tab/>
      </w:r>
      <w:r>
        <w:rPr>
          <w:noProof/>
          <w:lang w:val="fr-FR"/>
        </w:rPr>
        <w:t>Il convient également de rappeler que les autorités portugaises veillent tout particulièrement à maintenir les bonnes relations entre les détenus et les personnels employés à des titres divers par l’administration pénitentiaire</w:t>
      </w:r>
      <w:r w:rsidRPr="00AF434B">
        <w:rPr>
          <w:noProof/>
          <w:lang w:val="fr-FR"/>
        </w:rPr>
        <w:t xml:space="preserve">. </w:t>
      </w:r>
      <w:r>
        <w:rPr>
          <w:noProof/>
          <w:lang w:val="fr-FR"/>
        </w:rPr>
        <w:t xml:space="preserve">À cet égard, le Ministre de la justice et la </w:t>
      </w:r>
      <w:r w:rsidRPr="000E1493">
        <w:rPr>
          <w:noProof/>
          <w:lang w:val="fr-FR"/>
        </w:rPr>
        <w:t>Direction générale des services pénitentiaires et de la réinsertion</w:t>
      </w:r>
      <w:r w:rsidRPr="00AF434B">
        <w:rPr>
          <w:noProof/>
          <w:lang w:val="fr-FR"/>
        </w:rPr>
        <w:t xml:space="preserve"> </w:t>
      </w:r>
      <w:r>
        <w:rPr>
          <w:noProof/>
          <w:lang w:val="fr-FR"/>
        </w:rPr>
        <w:t>ont tout deux adopté et exprimé publiquement et à maintes reprises une politique de « </w:t>
      </w:r>
      <w:r w:rsidRPr="0041436C">
        <w:rPr>
          <w:i/>
          <w:noProof/>
          <w:lang w:val="fr-FR"/>
        </w:rPr>
        <w:t>tolérance zéro</w:t>
      </w:r>
      <w:r>
        <w:rPr>
          <w:noProof/>
          <w:lang w:val="fr-FR"/>
        </w:rPr>
        <w:t> » à l’égard de ce type de comportements de la part des gardiens de prison</w:t>
      </w:r>
      <w:r w:rsidRPr="00AF434B">
        <w:rPr>
          <w:noProof/>
          <w:lang w:val="fr-FR"/>
        </w:rPr>
        <w:t>.</w:t>
      </w:r>
    </w:p>
    <w:p w14:paraId="63392EEE" w14:textId="77777777" w:rsidR="00BF0619" w:rsidRPr="00AF434B" w:rsidRDefault="00BF0619" w:rsidP="00BF0619">
      <w:pPr>
        <w:pStyle w:val="SingleTxtG"/>
        <w:rPr>
          <w:noProof/>
          <w:lang w:val="fr-FR"/>
        </w:rPr>
      </w:pPr>
      <w:r w:rsidRPr="00AF434B">
        <w:rPr>
          <w:noProof/>
          <w:lang w:val="fr-FR"/>
        </w:rPr>
        <w:t>169.</w:t>
      </w:r>
      <w:r w:rsidRPr="00AF434B">
        <w:rPr>
          <w:noProof/>
          <w:lang w:val="fr-FR"/>
        </w:rPr>
        <w:tab/>
      </w:r>
      <w:r>
        <w:rPr>
          <w:noProof/>
          <w:lang w:val="fr-FR"/>
        </w:rPr>
        <w:t>L’accent a été mis en particulier sur la formation des autorités compétentes</w:t>
      </w:r>
      <w:r w:rsidRPr="00AF434B">
        <w:rPr>
          <w:noProof/>
          <w:lang w:val="fr-FR"/>
        </w:rPr>
        <w:t xml:space="preserve">. </w:t>
      </w:r>
      <w:r>
        <w:rPr>
          <w:noProof/>
          <w:lang w:val="fr-FR"/>
        </w:rPr>
        <w:t xml:space="preserve">C’est ainsi que les cours de formation destinés aux gardiens font toujours une place à la protection des droits de l’homme, au </w:t>
      </w:r>
      <w:r w:rsidRPr="00AF434B">
        <w:rPr>
          <w:noProof/>
          <w:lang w:val="fr-FR"/>
        </w:rPr>
        <w:t>multiculturalism</w:t>
      </w:r>
      <w:r>
        <w:rPr>
          <w:noProof/>
          <w:lang w:val="fr-FR"/>
        </w:rPr>
        <w:t>e</w:t>
      </w:r>
      <w:r w:rsidRPr="00AF434B">
        <w:rPr>
          <w:noProof/>
          <w:lang w:val="fr-FR"/>
        </w:rPr>
        <w:t xml:space="preserve">, </w:t>
      </w:r>
      <w:r>
        <w:rPr>
          <w:noProof/>
          <w:lang w:val="fr-FR"/>
        </w:rPr>
        <w:t xml:space="preserve">aux techniques de communication </w:t>
      </w:r>
      <w:r w:rsidRPr="00AF434B">
        <w:rPr>
          <w:noProof/>
          <w:lang w:val="fr-FR"/>
        </w:rPr>
        <w:t>interperson</w:t>
      </w:r>
      <w:r>
        <w:rPr>
          <w:noProof/>
          <w:lang w:val="fr-FR"/>
        </w:rPr>
        <w:t>nelle</w:t>
      </w:r>
      <w:r w:rsidRPr="00AF434B">
        <w:rPr>
          <w:noProof/>
          <w:lang w:val="fr-FR"/>
        </w:rPr>
        <w:t xml:space="preserve"> </w:t>
      </w:r>
      <w:r>
        <w:rPr>
          <w:noProof/>
          <w:lang w:val="fr-FR"/>
        </w:rPr>
        <w:t xml:space="preserve">et d’intercommunication, ainsi qu’aux techniques de maîtrise de la violence </w:t>
      </w:r>
      <w:r w:rsidRPr="00AF434B">
        <w:rPr>
          <w:noProof/>
          <w:lang w:val="fr-FR"/>
        </w:rPr>
        <w:t>(</w:t>
      </w:r>
      <w:r>
        <w:rPr>
          <w:noProof/>
          <w:lang w:val="fr-FR"/>
        </w:rPr>
        <w:t>concernant l’usage des moyens coercitifs</w:t>
      </w:r>
      <w:r w:rsidRPr="00AF434B">
        <w:rPr>
          <w:noProof/>
          <w:lang w:val="fr-FR"/>
        </w:rPr>
        <w:t>).</w:t>
      </w:r>
    </w:p>
    <w:p w14:paraId="23CA5EDE" w14:textId="77777777" w:rsidR="00BF0619" w:rsidRPr="00AF434B" w:rsidRDefault="00BF0619" w:rsidP="00BF0619">
      <w:pPr>
        <w:pStyle w:val="SingleTxtG"/>
        <w:rPr>
          <w:noProof/>
          <w:lang w:val="fr-FR"/>
        </w:rPr>
      </w:pPr>
      <w:r w:rsidRPr="00AF434B">
        <w:rPr>
          <w:noProof/>
          <w:lang w:val="fr-FR"/>
        </w:rPr>
        <w:t>170.</w:t>
      </w:r>
      <w:r w:rsidRPr="00AF434B">
        <w:rPr>
          <w:noProof/>
          <w:lang w:val="fr-FR"/>
        </w:rPr>
        <w:tab/>
      </w:r>
      <w:r>
        <w:rPr>
          <w:noProof/>
          <w:lang w:val="fr-FR"/>
        </w:rPr>
        <w:t xml:space="preserve">Comme il a déjà été expliqué en détail, les établissements pénitentiaires font régulièrement l’objet d’inspections et de visites effectuées par des organes souverains </w:t>
      </w:r>
      <w:r w:rsidR="00A962E4">
        <w:rPr>
          <w:noProof/>
          <w:lang w:val="fr-FR"/>
        </w:rPr>
        <w:t>− </w:t>
      </w:r>
      <w:r>
        <w:rPr>
          <w:noProof/>
          <w:lang w:val="fr-FR"/>
        </w:rPr>
        <w:t>principalement les procureurs, les membres du Gouvernement et les parlementaires</w:t>
      </w:r>
      <w:r w:rsidR="00A962E4">
        <w:rPr>
          <w:noProof/>
          <w:lang w:val="fr-FR"/>
        </w:rPr>
        <w:t> −</w:t>
      </w:r>
      <w:r>
        <w:rPr>
          <w:noProof/>
          <w:lang w:val="fr-FR"/>
        </w:rPr>
        <w:t>, le</w:t>
      </w:r>
      <w:r w:rsidR="00FD7E8F">
        <w:rPr>
          <w:noProof/>
          <w:lang w:val="fr-FR"/>
        </w:rPr>
        <w:t> </w:t>
      </w:r>
      <w:r>
        <w:rPr>
          <w:noProof/>
          <w:lang w:val="fr-FR"/>
        </w:rPr>
        <w:t xml:space="preserve">Médiateur </w:t>
      </w:r>
      <w:r w:rsidRPr="00AF434B">
        <w:rPr>
          <w:noProof/>
          <w:lang w:val="fr-FR"/>
        </w:rPr>
        <w:t>(</w:t>
      </w:r>
      <w:r>
        <w:rPr>
          <w:noProof/>
          <w:lang w:val="fr-FR"/>
        </w:rPr>
        <w:t>en tant que tel ou comme mécanisme n</w:t>
      </w:r>
      <w:r w:rsidRPr="00AF434B">
        <w:rPr>
          <w:noProof/>
          <w:lang w:val="fr-FR"/>
        </w:rPr>
        <w:t xml:space="preserve">ational </w:t>
      </w:r>
      <w:r>
        <w:rPr>
          <w:noProof/>
          <w:lang w:val="fr-FR"/>
        </w:rPr>
        <w:t>de prévention prévu par le Protocole facultatif se rapportant à la Convention contre la torture et autres peines ou traitements cruels, inhumains ou dégradants</w:t>
      </w:r>
      <w:r w:rsidRPr="00AF434B">
        <w:rPr>
          <w:noProof/>
          <w:lang w:val="fr-FR"/>
        </w:rPr>
        <w:t xml:space="preserve">) </w:t>
      </w:r>
      <w:r>
        <w:rPr>
          <w:noProof/>
          <w:lang w:val="fr-FR"/>
        </w:rPr>
        <w:t xml:space="preserve">et les </w:t>
      </w:r>
      <w:r w:rsidRPr="00AF434B">
        <w:rPr>
          <w:noProof/>
          <w:lang w:val="fr-FR"/>
        </w:rPr>
        <w:t>repr</w:t>
      </w:r>
      <w:r>
        <w:rPr>
          <w:noProof/>
          <w:lang w:val="fr-FR"/>
        </w:rPr>
        <w:t>é</w:t>
      </w:r>
      <w:r w:rsidRPr="00AF434B">
        <w:rPr>
          <w:noProof/>
          <w:lang w:val="fr-FR"/>
        </w:rPr>
        <w:t>senta</w:t>
      </w:r>
      <w:r>
        <w:rPr>
          <w:noProof/>
          <w:lang w:val="fr-FR"/>
        </w:rPr>
        <w:t xml:space="preserve">nts d’organisations </w:t>
      </w:r>
      <w:r w:rsidRPr="00AF434B">
        <w:rPr>
          <w:noProof/>
          <w:lang w:val="fr-FR"/>
        </w:rPr>
        <w:t>international</w:t>
      </w:r>
      <w:r>
        <w:rPr>
          <w:noProof/>
          <w:lang w:val="fr-FR"/>
        </w:rPr>
        <w:t xml:space="preserve">es s’occupant de questions en rapport avec la </w:t>
      </w:r>
      <w:r w:rsidRPr="00AF434B">
        <w:rPr>
          <w:noProof/>
          <w:lang w:val="fr-FR"/>
        </w:rPr>
        <w:t xml:space="preserve">promotion </w:t>
      </w:r>
      <w:r>
        <w:rPr>
          <w:noProof/>
          <w:lang w:val="fr-FR"/>
        </w:rPr>
        <w:t xml:space="preserve">et la </w:t>
      </w:r>
      <w:r w:rsidRPr="00AF434B">
        <w:rPr>
          <w:noProof/>
          <w:lang w:val="fr-FR"/>
        </w:rPr>
        <w:t xml:space="preserve">protection </w:t>
      </w:r>
      <w:r>
        <w:rPr>
          <w:noProof/>
          <w:lang w:val="fr-FR"/>
        </w:rPr>
        <w:t>des droits des détenus</w:t>
      </w:r>
      <w:r w:rsidRPr="00AF434B">
        <w:rPr>
          <w:noProof/>
          <w:lang w:val="fr-FR"/>
        </w:rPr>
        <w:t xml:space="preserve">. </w:t>
      </w:r>
      <w:r>
        <w:rPr>
          <w:noProof/>
          <w:lang w:val="fr-FR"/>
        </w:rPr>
        <w:t xml:space="preserve">De plus, les détenus conservent le droit de correspondre sans surveillance avec des avocats, notaires, avoués, entités diplomatiques et consulaires, organes souverains, le Médiateur, l’Inspection générale des services de justice et l’Ordre des avocats </w:t>
      </w:r>
      <w:r w:rsidRPr="00AF434B">
        <w:rPr>
          <w:noProof/>
          <w:lang w:val="fr-FR"/>
        </w:rPr>
        <w:t>(</w:t>
      </w:r>
      <w:r>
        <w:rPr>
          <w:noProof/>
          <w:lang w:val="fr-FR"/>
        </w:rPr>
        <w:t>par.</w:t>
      </w:r>
      <w:r w:rsidR="00A962E4">
        <w:rPr>
          <w:noProof/>
          <w:lang w:val="fr-FR"/>
        </w:rPr>
        <w:t> </w:t>
      </w:r>
      <w:r>
        <w:rPr>
          <w:noProof/>
          <w:lang w:val="fr-FR"/>
        </w:rPr>
        <w:t>4 de l’</w:t>
      </w:r>
      <w:r w:rsidRPr="00AF434B">
        <w:rPr>
          <w:noProof/>
          <w:lang w:val="fr-FR"/>
        </w:rPr>
        <w:t>art</w:t>
      </w:r>
      <w:r w:rsidR="00A962E4">
        <w:rPr>
          <w:noProof/>
          <w:lang w:val="fr-FR"/>
        </w:rPr>
        <w:t>icle </w:t>
      </w:r>
      <w:r w:rsidRPr="00AF434B">
        <w:rPr>
          <w:noProof/>
          <w:lang w:val="fr-FR"/>
        </w:rPr>
        <w:t xml:space="preserve">68 </w:t>
      </w:r>
      <w:r>
        <w:rPr>
          <w:noProof/>
          <w:lang w:val="fr-FR"/>
        </w:rPr>
        <w:t xml:space="preserve">du </w:t>
      </w:r>
      <w:r w:rsidRPr="00DA210F">
        <w:rPr>
          <w:noProof/>
          <w:lang w:val="fr-FR"/>
        </w:rPr>
        <w:t>Code de l’exécution des peines et des mesures privatives de liberté</w:t>
      </w:r>
      <w:r w:rsidRPr="00AF434B">
        <w:rPr>
          <w:noProof/>
          <w:lang w:val="fr-FR"/>
        </w:rPr>
        <w:t xml:space="preserve">). </w:t>
      </w:r>
      <w:r>
        <w:rPr>
          <w:noProof/>
          <w:lang w:val="fr-FR"/>
        </w:rPr>
        <w:t>Ils peuvent également appeler gratuitement plusieurs numéros de téléphone, comme ceux des permanences téléphoniques suivantes : SIDA</w:t>
      </w:r>
      <w:r w:rsidRPr="00AF434B">
        <w:rPr>
          <w:noProof/>
          <w:lang w:val="fr-FR"/>
        </w:rPr>
        <w:t xml:space="preserve">, Abraço, SOS Voz Amiga, Commission </w:t>
      </w:r>
      <w:r>
        <w:rPr>
          <w:noProof/>
          <w:lang w:val="fr-FR"/>
        </w:rPr>
        <w:t xml:space="preserve">de l’égalité et des droits des femmes et bureau du Médiateur </w:t>
      </w:r>
      <w:r w:rsidR="00ED520E">
        <w:rPr>
          <w:noProof/>
          <w:lang w:val="fr-FR"/>
        </w:rPr>
        <w:t>− </w:t>
      </w:r>
      <w:r>
        <w:rPr>
          <w:noProof/>
          <w:lang w:val="fr-FR"/>
        </w:rPr>
        <w:t>permanence Enfants et permanence générale</w:t>
      </w:r>
      <w:r w:rsidRPr="00AF434B">
        <w:rPr>
          <w:noProof/>
          <w:lang w:val="fr-FR"/>
        </w:rPr>
        <w:t xml:space="preserve">, SOS Emigrant, </w:t>
      </w:r>
      <w:r>
        <w:rPr>
          <w:noProof/>
          <w:lang w:val="fr-FR"/>
        </w:rPr>
        <w:t>permanence Personnes âgées</w:t>
      </w:r>
      <w:r w:rsidRPr="00AF434B">
        <w:rPr>
          <w:noProof/>
          <w:lang w:val="fr-FR"/>
        </w:rPr>
        <w:t xml:space="preserve">, Life Line </w:t>
      </w:r>
      <w:r>
        <w:rPr>
          <w:noProof/>
          <w:lang w:val="fr-FR"/>
        </w:rPr>
        <w:t>et permanence Citoyens handicapés</w:t>
      </w:r>
      <w:r w:rsidRPr="00AF434B">
        <w:rPr>
          <w:noProof/>
          <w:lang w:val="fr-FR"/>
        </w:rPr>
        <w:t>.</w:t>
      </w:r>
    </w:p>
    <w:p w14:paraId="25A62E89" w14:textId="77777777" w:rsidR="00BF0619" w:rsidRPr="00AF434B" w:rsidRDefault="00BF0619" w:rsidP="00BF0619">
      <w:pPr>
        <w:pStyle w:val="SingleTxtG"/>
        <w:rPr>
          <w:noProof/>
          <w:lang w:val="fr-FR"/>
        </w:rPr>
      </w:pPr>
      <w:r w:rsidRPr="00AF434B">
        <w:rPr>
          <w:noProof/>
          <w:lang w:val="fr-FR"/>
        </w:rPr>
        <w:t>171.</w:t>
      </w:r>
      <w:r w:rsidRPr="00AF434B">
        <w:rPr>
          <w:noProof/>
          <w:lang w:val="fr-FR"/>
        </w:rPr>
        <w:tab/>
      </w:r>
      <w:r>
        <w:rPr>
          <w:noProof/>
          <w:lang w:val="fr-FR"/>
        </w:rPr>
        <w:t>Enfin, s’agissant des techniques de maîtrise de la violence, on notera que leur utilisation par les gardiens est obligatoirement communiquée aux services centraux et est soumise au contrôle du Service de l’administration interne</w:t>
      </w:r>
      <w:r w:rsidRPr="00AF434B">
        <w:rPr>
          <w:noProof/>
          <w:lang w:val="fr-FR"/>
        </w:rPr>
        <w:t xml:space="preserve">. </w:t>
      </w:r>
      <w:r>
        <w:rPr>
          <w:noProof/>
          <w:lang w:val="fr-FR"/>
        </w:rPr>
        <w:t xml:space="preserve">Les délégations de ce Service à </w:t>
      </w:r>
      <w:r w:rsidRPr="00AF434B">
        <w:rPr>
          <w:noProof/>
          <w:lang w:val="fr-FR"/>
        </w:rPr>
        <w:t>Porto</w:t>
      </w:r>
      <w:r>
        <w:rPr>
          <w:noProof/>
          <w:lang w:val="fr-FR"/>
        </w:rPr>
        <w:t xml:space="preserve"> et à</w:t>
      </w:r>
      <w:r w:rsidRPr="00AF434B">
        <w:rPr>
          <w:noProof/>
          <w:lang w:val="fr-FR"/>
        </w:rPr>
        <w:t xml:space="preserve"> Co</w:t>
      </w:r>
      <w:r>
        <w:rPr>
          <w:noProof/>
          <w:lang w:val="fr-FR"/>
        </w:rPr>
        <w:t>ïmbre</w:t>
      </w:r>
      <w:r w:rsidRPr="00AF434B">
        <w:rPr>
          <w:noProof/>
          <w:lang w:val="fr-FR"/>
        </w:rPr>
        <w:t xml:space="preserve">, </w:t>
      </w:r>
      <w:r>
        <w:rPr>
          <w:noProof/>
          <w:lang w:val="fr-FR"/>
        </w:rPr>
        <w:t>ainsi que dans le Sud et dans les îles sont coordonnées par deux procureurs et un juge</w:t>
      </w:r>
      <w:r w:rsidRPr="00AF434B">
        <w:rPr>
          <w:noProof/>
          <w:lang w:val="fr-FR"/>
        </w:rPr>
        <w:t>, respective</w:t>
      </w:r>
      <w:r>
        <w:rPr>
          <w:noProof/>
          <w:lang w:val="fr-FR"/>
        </w:rPr>
        <w:t>ment</w:t>
      </w:r>
      <w:r w:rsidRPr="00AF434B">
        <w:rPr>
          <w:noProof/>
          <w:lang w:val="fr-FR"/>
        </w:rPr>
        <w:t>.</w:t>
      </w:r>
    </w:p>
    <w:p w14:paraId="735406F9" w14:textId="77777777" w:rsidR="00BF0619" w:rsidRPr="00AF434B" w:rsidRDefault="00BF0619" w:rsidP="00BF0619">
      <w:pPr>
        <w:pStyle w:val="SingleTxtG"/>
        <w:rPr>
          <w:noProof/>
          <w:lang w:val="fr-FR"/>
        </w:rPr>
      </w:pPr>
      <w:r w:rsidRPr="00AF434B">
        <w:rPr>
          <w:noProof/>
          <w:lang w:val="fr-FR"/>
        </w:rPr>
        <w:t>172.</w:t>
      </w:r>
      <w:r w:rsidRPr="00AF434B">
        <w:rPr>
          <w:noProof/>
          <w:lang w:val="fr-FR"/>
        </w:rPr>
        <w:tab/>
      </w:r>
      <w:r>
        <w:rPr>
          <w:noProof/>
          <w:lang w:val="fr-FR"/>
        </w:rPr>
        <w:t>L’usage d’« armes Tasers » doit être conforme aux dispositions du Règlement régissant l’utilisation des techniques de maîtrise de la violence dans les établissements pénitentiaires</w:t>
      </w:r>
      <w:r w:rsidRPr="00AF434B">
        <w:rPr>
          <w:noProof/>
          <w:lang w:val="fr-FR"/>
        </w:rPr>
        <w:t xml:space="preserve">, </w:t>
      </w:r>
      <w:r>
        <w:rPr>
          <w:noProof/>
          <w:lang w:val="fr-FR"/>
        </w:rPr>
        <w:t>qui énonce les procédures à suivre obligatoirement en matière d’utilisation de ces techniques</w:t>
      </w:r>
      <w:r w:rsidRPr="00AF434B">
        <w:rPr>
          <w:noProof/>
          <w:lang w:val="fr-FR"/>
        </w:rPr>
        <w:t xml:space="preserve">. </w:t>
      </w:r>
      <w:r>
        <w:rPr>
          <w:noProof/>
          <w:lang w:val="fr-FR"/>
        </w:rPr>
        <w:t>En particulier</w:t>
      </w:r>
      <w:r w:rsidRPr="00AF434B">
        <w:rPr>
          <w:noProof/>
          <w:lang w:val="fr-FR"/>
        </w:rPr>
        <w:t xml:space="preserve">, </w:t>
      </w:r>
      <w:r>
        <w:rPr>
          <w:noProof/>
          <w:lang w:val="fr-FR"/>
        </w:rPr>
        <w:t>il convient de souligner que toute autorité faisant usage de ces armes doit être agréée à cet effet et doit avoir suivi une formation spécifique</w:t>
      </w:r>
      <w:r w:rsidRPr="00AF434B">
        <w:rPr>
          <w:noProof/>
          <w:lang w:val="fr-FR"/>
        </w:rPr>
        <w:t>.</w:t>
      </w:r>
    </w:p>
    <w:p w14:paraId="799C6A0D" w14:textId="77777777" w:rsidR="00BF0619" w:rsidRPr="00AF434B" w:rsidRDefault="00BF0619" w:rsidP="00BF0619">
      <w:pPr>
        <w:pStyle w:val="SingleTxtG"/>
        <w:rPr>
          <w:noProof/>
          <w:lang w:val="fr-FR"/>
        </w:rPr>
      </w:pPr>
      <w:r w:rsidRPr="00AF434B">
        <w:rPr>
          <w:noProof/>
          <w:lang w:val="fr-FR"/>
        </w:rPr>
        <w:t>173.</w:t>
      </w:r>
      <w:r w:rsidRPr="00AF434B">
        <w:rPr>
          <w:noProof/>
          <w:lang w:val="fr-FR"/>
        </w:rPr>
        <w:tab/>
      </w:r>
      <w:r>
        <w:rPr>
          <w:noProof/>
          <w:lang w:val="fr-FR"/>
        </w:rPr>
        <w:t>Depuis</w:t>
      </w:r>
      <w:r w:rsidR="00ED520E">
        <w:rPr>
          <w:noProof/>
          <w:lang w:val="fr-FR"/>
        </w:rPr>
        <w:t> </w:t>
      </w:r>
      <w:r w:rsidRPr="00AF434B">
        <w:rPr>
          <w:noProof/>
          <w:lang w:val="fr-FR"/>
        </w:rPr>
        <w:t>2007</w:t>
      </w:r>
      <w:r>
        <w:rPr>
          <w:noProof/>
          <w:lang w:val="fr-FR"/>
        </w:rPr>
        <w:t xml:space="preserve">, les dispositifs paralysants ou à impulsion électrique (Taser) n’ont été utilisés que deux fois (les deux fois en </w:t>
      </w:r>
      <w:r w:rsidRPr="00AF434B">
        <w:rPr>
          <w:noProof/>
          <w:lang w:val="fr-FR"/>
        </w:rPr>
        <w:t xml:space="preserve">2010) </w:t>
      </w:r>
      <w:r>
        <w:rPr>
          <w:noProof/>
          <w:lang w:val="fr-FR"/>
        </w:rPr>
        <w:t>dans des établissements pénitentiaires</w:t>
      </w:r>
      <w:r w:rsidRPr="00AF434B">
        <w:rPr>
          <w:noProof/>
          <w:lang w:val="fr-FR"/>
        </w:rPr>
        <w:t xml:space="preserve">. </w:t>
      </w:r>
      <w:r>
        <w:rPr>
          <w:noProof/>
          <w:lang w:val="fr-FR"/>
        </w:rPr>
        <w:t xml:space="preserve">À cet égard, on mentionnera l’ordonnance du Ministre de la justice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Pr>
          <w:noProof/>
          <w:lang w:val="fr-FR"/>
        </w:rPr>
        <w:t>5801/2011 du</w:t>
      </w:r>
      <w:r w:rsidRPr="00AF434B">
        <w:rPr>
          <w:noProof/>
          <w:lang w:val="fr-FR"/>
        </w:rPr>
        <w:t xml:space="preserve"> 28</w:t>
      </w:r>
      <w:r w:rsidR="00ED520E">
        <w:rPr>
          <w:noProof/>
          <w:lang w:val="fr-FR"/>
        </w:rPr>
        <w:t> </w:t>
      </w:r>
      <w:r>
        <w:rPr>
          <w:noProof/>
          <w:lang w:val="fr-FR"/>
        </w:rPr>
        <w:t>mars</w:t>
      </w:r>
      <w:r w:rsidRPr="00AF434B">
        <w:rPr>
          <w:noProof/>
          <w:lang w:val="fr-FR"/>
        </w:rPr>
        <w:t xml:space="preserve">, </w:t>
      </w:r>
      <w:r>
        <w:rPr>
          <w:noProof/>
          <w:lang w:val="fr-FR"/>
        </w:rPr>
        <w:t xml:space="preserve">qui, à la suite de ce qui s’était passé dans les prisons de </w:t>
      </w:r>
      <w:r w:rsidRPr="00AF434B">
        <w:rPr>
          <w:noProof/>
          <w:lang w:val="fr-FR"/>
        </w:rPr>
        <w:t xml:space="preserve">Paços de Ferreira </w:t>
      </w:r>
      <w:r>
        <w:rPr>
          <w:noProof/>
          <w:lang w:val="fr-FR"/>
        </w:rPr>
        <w:t>e</w:t>
      </w:r>
      <w:r w:rsidRPr="00AF434B">
        <w:rPr>
          <w:noProof/>
          <w:lang w:val="fr-FR"/>
        </w:rPr>
        <w:t xml:space="preserve">n 2010, </w:t>
      </w:r>
      <w:r>
        <w:rPr>
          <w:noProof/>
          <w:lang w:val="fr-FR"/>
        </w:rPr>
        <w:t>a interdit l’utilisation des Tasers dans des situations semblables et décidé que les situations dans lesquelles ces armes étaient utilisables devaient donner lieu à un enregistrement vidéo</w:t>
      </w:r>
      <w:r w:rsidRPr="00AF434B">
        <w:rPr>
          <w:noProof/>
          <w:lang w:val="fr-FR"/>
        </w:rPr>
        <w:t>.</w:t>
      </w:r>
    </w:p>
    <w:p w14:paraId="009D6EA3" w14:textId="77777777" w:rsidR="00BF0619" w:rsidRPr="00AF434B" w:rsidRDefault="00BF0619" w:rsidP="00BF0619">
      <w:pPr>
        <w:pStyle w:val="H1G"/>
        <w:rPr>
          <w:noProof/>
          <w:lang w:val="fr-FR"/>
        </w:rPr>
      </w:pPr>
      <w:r w:rsidRPr="00AF434B">
        <w:rPr>
          <w:noProof/>
          <w:lang w:val="fr-FR"/>
        </w:rPr>
        <w:tab/>
      </w:r>
      <w:r w:rsidRPr="00AF434B">
        <w:rPr>
          <w:noProof/>
          <w:lang w:val="fr-FR"/>
        </w:rPr>
        <w:tab/>
        <w:t>Articles</w:t>
      </w:r>
      <w:r w:rsidR="00ED520E">
        <w:rPr>
          <w:noProof/>
          <w:lang w:val="fr-FR"/>
        </w:rPr>
        <w:t> </w:t>
      </w:r>
      <w:r w:rsidRPr="00AF434B">
        <w:rPr>
          <w:noProof/>
          <w:lang w:val="fr-FR"/>
        </w:rPr>
        <w:t xml:space="preserve">7 </w:t>
      </w:r>
      <w:r>
        <w:rPr>
          <w:noProof/>
          <w:lang w:val="fr-FR"/>
        </w:rPr>
        <w:t>et</w:t>
      </w:r>
      <w:r w:rsidR="00ED520E">
        <w:rPr>
          <w:noProof/>
          <w:lang w:val="fr-FR"/>
        </w:rPr>
        <w:t> </w:t>
      </w:r>
      <w:r w:rsidRPr="00AF434B">
        <w:rPr>
          <w:noProof/>
          <w:lang w:val="fr-FR"/>
        </w:rPr>
        <w:t>9</w:t>
      </w:r>
    </w:p>
    <w:p w14:paraId="32AA04B5" w14:textId="77777777" w:rsidR="00BF0619" w:rsidRPr="00150703" w:rsidRDefault="00BF0619" w:rsidP="00BF0619">
      <w:pPr>
        <w:pStyle w:val="H23G"/>
        <w:rPr>
          <w:noProof/>
          <w:lang w:val="fr-FR"/>
        </w:rPr>
      </w:pPr>
      <w:r w:rsidRPr="00AF434B">
        <w:rPr>
          <w:noProof/>
          <w:lang w:val="fr-FR"/>
        </w:rPr>
        <w:tab/>
      </w:r>
      <w:r w:rsidRPr="00AF434B">
        <w:rPr>
          <w:noProof/>
          <w:lang w:val="fr-FR"/>
        </w:rPr>
        <w:tab/>
      </w:r>
      <w:r w:rsidRPr="00150703">
        <w:rPr>
          <w:noProof/>
          <w:lang w:val="fr-FR"/>
        </w:rPr>
        <w:t>Le Comité constate avec préoccupation que la violence au foyer continue d’être</w:t>
      </w:r>
      <w:r w:rsidR="00ED520E">
        <w:rPr>
          <w:noProof/>
          <w:lang w:val="fr-FR"/>
        </w:rPr>
        <w:t> </w:t>
      </w:r>
      <w:r w:rsidRPr="00150703">
        <w:rPr>
          <w:noProof/>
          <w:lang w:val="fr-FR"/>
        </w:rPr>
        <w:t xml:space="preserve">prévalente et qu’à cause d’attitudes sociales traditionnelles les victimes s’abstiennent souvent de dénoncer ce qu’elles subissent </w:t>
      </w:r>
    </w:p>
    <w:p w14:paraId="3F837503" w14:textId="77777777" w:rsidR="00BF0619" w:rsidRPr="00AF434B" w:rsidRDefault="00BF0619" w:rsidP="00BF0619">
      <w:pPr>
        <w:pStyle w:val="SingleTxtG"/>
        <w:rPr>
          <w:noProof/>
          <w:lang w:val="fr-FR"/>
        </w:rPr>
      </w:pPr>
      <w:r w:rsidRPr="00AF434B">
        <w:rPr>
          <w:noProof/>
          <w:lang w:val="fr-FR"/>
        </w:rPr>
        <w:t>174.</w:t>
      </w:r>
      <w:r w:rsidRPr="00AF434B">
        <w:rPr>
          <w:noProof/>
          <w:lang w:val="fr-FR"/>
        </w:rPr>
        <w:tab/>
      </w:r>
      <w:r>
        <w:rPr>
          <w:noProof/>
          <w:lang w:val="fr-FR"/>
        </w:rPr>
        <w:t>L’augmentation du nombre de signalements (plaintes pénales) de violence familiale est due à une plus grande visibilité du</w:t>
      </w:r>
      <w:r w:rsidRPr="00AF434B">
        <w:rPr>
          <w:noProof/>
          <w:lang w:val="fr-FR"/>
        </w:rPr>
        <w:t xml:space="preserve"> ph</w:t>
      </w:r>
      <w:r>
        <w:rPr>
          <w:noProof/>
          <w:lang w:val="fr-FR"/>
        </w:rPr>
        <w:t>é</w:t>
      </w:r>
      <w:r w:rsidRPr="00AF434B">
        <w:rPr>
          <w:noProof/>
          <w:lang w:val="fr-FR"/>
        </w:rPr>
        <w:t>nom</w:t>
      </w:r>
      <w:r>
        <w:rPr>
          <w:noProof/>
          <w:lang w:val="fr-FR"/>
        </w:rPr>
        <w:t xml:space="preserve">ène dans la société portugaise </w:t>
      </w:r>
      <w:r w:rsidRPr="00AF434B">
        <w:rPr>
          <w:noProof/>
          <w:lang w:val="fr-FR"/>
        </w:rPr>
        <w:t xml:space="preserve">: </w:t>
      </w:r>
      <w:r>
        <w:rPr>
          <w:noProof/>
          <w:lang w:val="fr-FR"/>
        </w:rPr>
        <w:t>les victimes sont mieux conscientes de leurs droits pour des raisons tenant principalement à l’accroissement des informations disponibles et aux campagnes de sensibilisation menées par les autorités publiques sous la forme de publicités télévisuelles, radiophoniques, en ligne, etc. La couverture médiatique de ce phénomène a également contribué à sensibiliser le public</w:t>
      </w:r>
      <w:r w:rsidRPr="00AF434B">
        <w:rPr>
          <w:noProof/>
          <w:lang w:val="fr-FR"/>
        </w:rPr>
        <w:t>.</w:t>
      </w:r>
    </w:p>
    <w:p w14:paraId="312CD097" w14:textId="77777777" w:rsidR="00BF0619" w:rsidRPr="00AF434B" w:rsidRDefault="00BF0619" w:rsidP="00BF0619">
      <w:pPr>
        <w:pStyle w:val="SingleTxtG"/>
        <w:rPr>
          <w:noProof/>
          <w:lang w:val="fr-FR"/>
        </w:rPr>
      </w:pPr>
      <w:r w:rsidRPr="00AF434B">
        <w:rPr>
          <w:noProof/>
          <w:lang w:val="fr-FR"/>
        </w:rPr>
        <w:t>175.</w:t>
      </w:r>
      <w:r w:rsidRPr="00AF434B">
        <w:rPr>
          <w:noProof/>
          <w:lang w:val="fr-FR"/>
        </w:rPr>
        <w:tab/>
      </w:r>
      <w:r>
        <w:rPr>
          <w:noProof/>
          <w:lang w:val="fr-FR"/>
        </w:rPr>
        <w:t>La violence familiale a été érigée en infraction en</w:t>
      </w:r>
      <w:r w:rsidR="00ED520E">
        <w:rPr>
          <w:noProof/>
          <w:lang w:val="fr-FR"/>
        </w:rPr>
        <w:t> </w:t>
      </w:r>
      <w:r w:rsidRPr="00AF434B">
        <w:rPr>
          <w:noProof/>
          <w:lang w:val="fr-FR"/>
        </w:rPr>
        <w:t xml:space="preserve">2000. </w:t>
      </w:r>
      <w:r>
        <w:rPr>
          <w:noProof/>
          <w:lang w:val="fr-FR"/>
        </w:rPr>
        <w:t>En d’autres termes, la victime n’est pas tenue de signaler officiellement cette infraction au ministère public ou à un service de police pour que l’une ou l’autre de ces autorités intervienne et ouvre une enquête</w:t>
      </w:r>
      <w:r w:rsidRPr="00AF434B">
        <w:rPr>
          <w:noProof/>
          <w:lang w:val="fr-FR"/>
        </w:rPr>
        <w:t xml:space="preserve">. </w:t>
      </w:r>
      <w:r>
        <w:rPr>
          <w:noProof/>
          <w:lang w:val="fr-FR"/>
        </w:rPr>
        <w:t>Il suffit à cette autorité, pour ouvrir une information d’office, de savoir, de prendre connaissance du fait ou de soupçonner fortement que l’infraction a été commise</w:t>
      </w:r>
      <w:r w:rsidRPr="00AF434B">
        <w:rPr>
          <w:noProof/>
          <w:lang w:val="fr-FR"/>
        </w:rPr>
        <w:t xml:space="preserve">. </w:t>
      </w:r>
      <w:r>
        <w:rPr>
          <w:noProof/>
          <w:lang w:val="fr-FR"/>
        </w:rPr>
        <w:t>De même, toute personne peut signaler une infraction de violence familiale dont elle peut avoir été informée, une enquête devant alors être obligatoirement ouverte</w:t>
      </w:r>
      <w:r w:rsidRPr="00AF434B">
        <w:rPr>
          <w:noProof/>
          <w:lang w:val="fr-FR"/>
        </w:rPr>
        <w:t>.</w:t>
      </w:r>
    </w:p>
    <w:p w14:paraId="1F4B0095" w14:textId="77777777" w:rsidR="00BF0619" w:rsidRPr="00AF434B" w:rsidRDefault="00BF0619" w:rsidP="00BF0619">
      <w:pPr>
        <w:pStyle w:val="SingleTxtG"/>
        <w:rPr>
          <w:noProof/>
          <w:lang w:val="fr-FR"/>
        </w:rPr>
      </w:pPr>
      <w:r w:rsidRPr="00AF434B">
        <w:rPr>
          <w:noProof/>
          <w:lang w:val="fr-FR"/>
        </w:rPr>
        <w:t>176.</w:t>
      </w:r>
      <w:r w:rsidRPr="00AF434B">
        <w:rPr>
          <w:noProof/>
          <w:lang w:val="fr-FR"/>
        </w:rPr>
        <w:tab/>
      </w:r>
      <w:r>
        <w:rPr>
          <w:noProof/>
          <w:lang w:val="fr-FR"/>
        </w:rPr>
        <w:t>Les infractions de violence familiale et les infractions sexuelles donnent lieu à des enquêtes pénales prioritaires et, depuis</w:t>
      </w:r>
      <w:r w:rsidR="00ED520E">
        <w:rPr>
          <w:noProof/>
          <w:lang w:val="fr-FR"/>
        </w:rPr>
        <w:t> </w:t>
      </w:r>
      <w:r w:rsidRPr="00AF434B">
        <w:rPr>
          <w:noProof/>
          <w:lang w:val="fr-FR"/>
        </w:rPr>
        <w:t xml:space="preserve">2014, </w:t>
      </w:r>
      <w:r>
        <w:rPr>
          <w:noProof/>
          <w:lang w:val="fr-FR"/>
        </w:rPr>
        <w:t>les investigations sont conduites par des sections ou magistrats de tribunaux spécialisés</w:t>
      </w:r>
      <w:r w:rsidRPr="00AF434B">
        <w:rPr>
          <w:noProof/>
          <w:lang w:val="fr-FR"/>
        </w:rPr>
        <w:t xml:space="preserve">. </w:t>
      </w:r>
      <w:r>
        <w:rPr>
          <w:noProof/>
          <w:lang w:val="fr-FR"/>
        </w:rPr>
        <w:t>Le Procureur général a publié à l’intention des procureurs des d</w:t>
      </w:r>
      <w:r w:rsidRPr="00AF434B">
        <w:rPr>
          <w:noProof/>
          <w:lang w:val="fr-FR"/>
        </w:rPr>
        <w:t xml:space="preserve">irectives </w:t>
      </w:r>
      <w:r>
        <w:rPr>
          <w:noProof/>
          <w:lang w:val="fr-FR"/>
        </w:rPr>
        <w:t>énonçant des mesures visant spécifiquement à protéger les victimes de la violence familiale, telles que</w:t>
      </w:r>
      <w:r w:rsidRPr="00AF434B">
        <w:rPr>
          <w:noProof/>
          <w:lang w:val="fr-FR"/>
        </w:rPr>
        <w:t xml:space="preserve"> </w:t>
      </w:r>
      <w:r>
        <w:rPr>
          <w:noProof/>
          <w:lang w:val="fr-FR"/>
        </w:rPr>
        <w:t xml:space="preserve">la </w:t>
      </w:r>
      <w:r w:rsidRPr="00AF434B">
        <w:rPr>
          <w:noProof/>
          <w:lang w:val="fr-FR"/>
        </w:rPr>
        <w:t xml:space="preserve">suspension </w:t>
      </w:r>
      <w:r>
        <w:rPr>
          <w:noProof/>
          <w:lang w:val="fr-FR"/>
        </w:rPr>
        <w:t xml:space="preserve">provisoire de la procédure </w:t>
      </w:r>
      <w:r w:rsidRPr="00AF434B">
        <w:rPr>
          <w:noProof/>
          <w:lang w:val="fr-FR"/>
        </w:rPr>
        <w:t xml:space="preserve">(2014) </w:t>
      </w:r>
      <w:r>
        <w:rPr>
          <w:noProof/>
          <w:lang w:val="fr-FR"/>
        </w:rPr>
        <w:t xml:space="preserve">et la procédure </w:t>
      </w:r>
      <w:r w:rsidRPr="00AF434B">
        <w:rPr>
          <w:noProof/>
          <w:lang w:val="fr-FR"/>
        </w:rPr>
        <w:t>ultra-s</w:t>
      </w:r>
      <w:r>
        <w:rPr>
          <w:noProof/>
          <w:lang w:val="fr-FR"/>
        </w:rPr>
        <w:t xml:space="preserve">ommaire </w:t>
      </w:r>
      <w:r w:rsidRPr="00AF434B">
        <w:rPr>
          <w:noProof/>
          <w:lang w:val="fr-FR"/>
        </w:rPr>
        <w:t xml:space="preserve">(2016). </w:t>
      </w:r>
      <w:r>
        <w:rPr>
          <w:noProof/>
          <w:lang w:val="fr-FR"/>
        </w:rPr>
        <w:t>E</w:t>
      </w:r>
      <w:r w:rsidRPr="00AF434B">
        <w:rPr>
          <w:noProof/>
          <w:lang w:val="fr-FR"/>
        </w:rPr>
        <w:t xml:space="preserve">n 2015, </w:t>
      </w:r>
      <w:r>
        <w:rPr>
          <w:noProof/>
          <w:lang w:val="fr-FR"/>
        </w:rPr>
        <w:t xml:space="preserve">on a créé une équipe chargée d’examiner </w:t>
      </w:r>
      <w:r w:rsidRPr="00AF434B">
        <w:rPr>
          <w:noProof/>
          <w:lang w:val="fr-FR"/>
        </w:rPr>
        <w:t>syst</w:t>
      </w:r>
      <w:r>
        <w:rPr>
          <w:noProof/>
          <w:lang w:val="fr-FR"/>
        </w:rPr>
        <w:t>é</w:t>
      </w:r>
      <w:r w:rsidRPr="00AF434B">
        <w:rPr>
          <w:noProof/>
          <w:lang w:val="fr-FR"/>
        </w:rPr>
        <w:t>mati</w:t>
      </w:r>
      <w:r>
        <w:rPr>
          <w:noProof/>
          <w:lang w:val="fr-FR"/>
        </w:rPr>
        <w:t>quement les affaires de meurtre liées à la violence familiale</w:t>
      </w:r>
      <w:r w:rsidRPr="00AF434B">
        <w:rPr>
          <w:noProof/>
          <w:lang w:val="fr-FR"/>
        </w:rPr>
        <w:t xml:space="preserve">. </w:t>
      </w:r>
      <w:r>
        <w:rPr>
          <w:noProof/>
          <w:lang w:val="fr-FR"/>
        </w:rPr>
        <w:t>E</w:t>
      </w:r>
      <w:r w:rsidRPr="00AF434B">
        <w:rPr>
          <w:noProof/>
          <w:lang w:val="fr-FR"/>
        </w:rPr>
        <w:t xml:space="preserve">n </w:t>
      </w:r>
      <w:r>
        <w:rPr>
          <w:noProof/>
          <w:lang w:val="fr-FR"/>
        </w:rPr>
        <w:t>mars</w:t>
      </w:r>
      <w:r w:rsidR="00ED520E">
        <w:rPr>
          <w:noProof/>
          <w:lang w:val="fr-FR"/>
        </w:rPr>
        <w:t> </w:t>
      </w:r>
      <w:r w:rsidRPr="00AF434B">
        <w:rPr>
          <w:noProof/>
          <w:lang w:val="fr-FR"/>
        </w:rPr>
        <w:t xml:space="preserve">2018, </w:t>
      </w:r>
      <w:r>
        <w:rPr>
          <w:noProof/>
          <w:lang w:val="fr-FR"/>
        </w:rPr>
        <w:t>le</w:t>
      </w:r>
      <w:r w:rsidR="00ED520E">
        <w:rPr>
          <w:noProof/>
          <w:lang w:val="fr-FR"/>
        </w:rPr>
        <w:t> </w:t>
      </w:r>
      <w:r>
        <w:rPr>
          <w:noProof/>
          <w:lang w:val="fr-FR"/>
        </w:rPr>
        <w:t>Procureur général a créé le Groupe de travail sur la violence familiale chargé d’exposer sa stratégie contre cette forme de violence et a signé avec des partenaires et entités nationales étrangers des protocoles destinés à promouvoir des activités de formation et la coopération institutionnelle dans ce domaine</w:t>
      </w:r>
      <w:r w:rsidRPr="00AF434B">
        <w:rPr>
          <w:noProof/>
          <w:lang w:val="fr-FR"/>
        </w:rPr>
        <w:t xml:space="preserve">. </w:t>
      </w:r>
    </w:p>
    <w:p w14:paraId="1B6211CC" w14:textId="77777777" w:rsidR="00BF0619" w:rsidRPr="00AF434B" w:rsidRDefault="00BF0619" w:rsidP="00BF0619">
      <w:pPr>
        <w:pStyle w:val="SingleTxtG"/>
        <w:rPr>
          <w:noProof/>
          <w:lang w:val="fr-FR"/>
        </w:rPr>
      </w:pPr>
      <w:r w:rsidRPr="00AF434B">
        <w:rPr>
          <w:noProof/>
          <w:lang w:val="fr-FR"/>
        </w:rPr>
        <w:t>177.</w:t>
      </w:r>
      <w:r w:rsidRPr="00AF434B">
        <w:rPr>
          <w:noProof/>
          <w:lang w:val="fr-FR"/>
        </w:rPr>
        <w:tab/>
      </w:r>
      <w:r>
        <w:rPr>
          <w:noProof/>
          <w:lang w:val="fr-FR"/>
        </w:rPr>
        <w:t xml:space="preserve">Les victimes de la violence familiale ont à leur disposition plusieurs mécanismes pour porter plainte : elles peuvent s’adresser directement à une autorité de maintien de l’ordre </w:t>
      </w:r>
      <w:r w:rsidRPr="00AF434B">
        <w:rPr>
          <w:noProof/>
          <w:lang w:val="fr-FR"/>
        </w:rPr>
        <w:t>(</w:t>
      </w:r>
      <w:r>
        <w:rPr>
          <w:noProof/>
          <w:lang w:val="fr-FR"/>
        </w:rPr>
        <w:t>police judiciaire</w:t>
      </w:r>
      <w:r w:rsidRPr="00AF434B">
        <w:rPr>
          <w:noProof/>
          <w:lang w:val="fr-FR"/>
        </w:rPr>
        <w:t xml:space="preserve">, </w:t>
      </w:r>
      <w:r>
        <w:rPr>
          <w:noProof/>
          <w:lang w:val="fr-FR"/>
        </w:rPr>
        <w:t>police de sécurité publique, garde nationale républicaine</w:t>
      </w:r>
      <w:r w:rsidRPr="00AF434B">
        <w:rPr>
          <w:noProof/>
          <w:lang w:val="fr-FR"/>
        </w:rPr>
        <w:t>)</w:t>
      </w:r>
      <w:r>
        <w:rPr>
          <w:noProof/>
          <w:lang w:val="fr-FR"/>
        </w:rPr>
        <w:t xml:space="preserve"> ou au ministère public, ou porter plainte en ligne (site Web du bureau du Procureur général) ou par l’intermédiaire d’une institution privée de solidarité sociale</w:t>
      </w:r>
      <w:r w:rsidRPr="00AF434B">
        <w:rPr>
          <w:noProof/>
          <w:lang w:val="fr-FR"/>
        </w:rPr>
        <w:t xml:space="preserve">, </w:t>
      </w:r>
      <w:r>
        <w:rPr>
          <w:noProof/>
          <w:lang w:val="fr-FR"/>
        </w:rPr>
        <w:t>comme l’</w:t>
      </w:r>
      <w:r w:rsidRPr="00AF434B">
        <w:rPr>
          <w:noProof/>
          <w:lang w:val="fr-FR"/>
        </w:rPr>
        <w:t xml:space="preserve">APAV </w:t>
      </w:r>
      <w:r>
        <w:rPr>
          <w:noProof/>
          <w:lang w:val="fr-FR"/>
        </w:rPr>
        <w:t>(Association portugaise d’aide aux victimes) ou</w:t>
      </w:r>
      <w:r w:rsidRPr="00AF434B">
        <w:rPr>
          <w:noProof/>
          <w:lang w:val="fr-FR"/>
        </w:rPr>
        <w:t xml:space="preserve"> </w:t>
      </w:r>
      <w:r>
        <w:rPr>
          <w:noProof/>
          <w:lang w:val="fr-FR"/>
        </w:rPr>
        <w:t>l’</w:t>
      </w:r>
      <w:r w:rsidRPr="00AF434B">
        <w:rPr>
          <w:noProof/>
          <w:lang w:val="fr-FR"/>
        </w:rPr>
        <w:t>UMAR (</w:t>
      </w:r>
      <w:r>
        <w:rPr>
          <w:noProof/>
          <w:lang w:val="fr-FR"/>
        </w:rPr>
        <w:t>Union des femmes Alternative et riposte</w:t>
      </w:r>
      <w:r w:rsidRPr="00AF434B">
        <w:rPr>
          <w:noProof/>
          <w:lang w:val="fr-FR"/>
        </w:rPr>
        <w:t xml:space="preserve">), </w:t>
      </w:r>
      <w:r>
        <w:rPr>
          <w:noProof/>
          <w:lang w:val="fr-FR"/>
        </w:rPr>
        <w:t>ces institutions guidant, informant et soutenant les victimes pendant la procédure</w:t>
      </w:r>
      <w:r w:rsidRPr="00AF434B">
        <w:rPr>
          <w:noProof/>
          <w:lang w:val="fr-FR"/>
        </w:rPr>
        <w:t>.</w:t>
      </w:r>
    </w:p>
    <w:p w14:paraId="1C518565" w14:textId="77777777" w:rsidR="00BF0619" w:rsidRPr="00AF434B" w:rsidRDefault="00BF0619" w:rsidP="00BF0619">
      <w:pPr>
        <w:pStyle w:val="SingleTxtG"/>
        <w:rPr>
          <w:noProof/>
          <w:lang w:val="fr-FR"/>
        </w:rPr>
      </w:pPr>
      <w:r w:rsidRPr="00AF434B">
        <w:rPr>
          <w:noProof/>
          <w:lang w:val="fr-FR"/>
        </w:rPr>
        <w:t>178.</w:t>
      </w:r>
      <w:r w:rsidRPr="00AF434B">
        <w:rPr>
          <w:noProof/>
          <w:lang w:val="fr-FR"/>
        </w:rPr>
        <w:tab/>
      </w:r>
      <w:r>
        <w:rPr>
          <w:noProof/>
          <w:lang w:val="fr-FR"/>
        </w:rPr>
        <w:t xml:space="preserve">Les statistiques disponibles pour la période allant de </w:t>
      </w:r>
      <w:r w:rsidRPr="00AF434B">
        <w:rPr>
          <w:noProof/>
          <w:lang w:val="fr-FR"/>
        </w:rPr>
        <w:t xml:space="preserve">2011 </w:t>
      </w:r>
      <w:r>
        <w:rPr>
          <w:noProof/>
          <w:lang w:val="fr-FR"/>
        </w:rPr>
        <w:t>à</w:t>
      </w:r>
      <w:r w:rsidRPr="00AF434B">
        <w:rPr>
          <w:noProof/>
          <w:lang w:val="fr-FR"/>
        </w:rPr>
        <w:t xml:space="preserve"> 2016 confirm</w:t>
      </w:r>
      <w:r>
        <w:rPr>
          <w:noProof/>
          <w:lang w:val="fr-FR"/>
        </w:rPr>
        <w:t>ent</w:t>
      </w:r>
      <w:r w:rsidRPr="00AF434B">
        <w:rPr>
          <w:noProof/>
          <w:lang w:val="fr-FR"/>
        </w:rPr>
        <w:t xml:space="preserve"> </w:t>
      </w:r>
      <w:r>
        <w:rPr>
          <w:noProof/>
          <w:lang w:val="fr-FR"/>
        </w:rPr>
        <w:t xml:space="preserve">que les mesures mises en place par le </w:t>
      </w:r>
      <w:r w:rsidRPr="00AF434B">
        <w:rPr>
          <w:noProof/>
          <w:lang w:val="fr-FR"/>
        </w:rPr>
        <w:t xml:space="preserve">Portugal </w:t>
      </w:r>
      <w:r>
        <w:rPr>
          <w:noProof/>
          <w:lang w:val="fr-FR"/>
        </w:rPr>
        <w:t xml:space="preserve">pour garantir la </w:t>
      </w:r>
      <w:r w:rsidRPr="00AF434B">
        <w:rPr>
          <w:noProof/>
          <w:lang w:val="fr-FR"/>
        </w:rPr>
        <w:t>r</w:t>
      </w:r>
      <w:r>
        <w:rPr>
          <w:noProof/>
          <w:lang w:val="fr-FR"/>
        </w:rPr>
        <w:t>é</w:t>
      </w:r>
      <w:r w:rsidRPr="00AF434B">
        <w:rPr>
          <w:noProof/>
          <w:lang w:val="fr-FR"/>
        </w:rPr>
        <w:t xml:space="preserve">pression </w:t>
      </w:r>
      <w:r>
        <w:rPr>
          <w:noProof/>
          <w:lang w:val="fr-FR"/>
        </w:rPr>
        <w:t>de cette infraction ont porté leurs fruits</w:t>
      </w:r>
      <w:r w:rsidRPr="00AF434B">
        <w:rPr>
          <w:noProof/>
          <w:lang w:val="fr-FR"/>
        </w:rPr>
        <w:t xml:space="preserve">. </w:t>
      </w:r>
      <w:r>
        <w:rPr>
          <w:noProof/>
          <w:lang w:val="fr-FR"/>
        </w:rPr>
        <w:t>D’un côté, l’accroissement du nombre de procédures résulte principalement des actions de sensibilisation et du fait que la violence familiale a été érigée en infraction</w:t>
      </w:r>
      <w:r w:rsidRPr="00AF434B">
        <w:rPr>
          <w:noProof/>
          <w:lang w:val="fr-FR"/>
        </w:rPr>
        <w:t xml:space="preserve">. </w:t>
      </w:r>
      <w:r>
        <w:rPr>
          <w:noProof/>
          <w:lang w:val="fr-FR"/>
        </w:rPr>
        <w:t xml:space="preserve">D’un autre côté, le nombre de condamnations témoigne d’une évolution des mentalités, qui amène à accorder toute l’attention voulue à la </w:t>
      </w:r>
      <w:r w:rsidRPr="00AF434B">
        <w:rPr>
          <w:noProof/>
          <w:lang w:val="fr-FR"/>
        </w:rPr>
        <w:t xml:space="preserve">commission </w:t>
      </w:r>
      <w:r>
        <w:rPr>
          <w:noProof/>
          <w:lang w:val="fr-FR"/>
        </w:rPr>
        <w:t>de cette infraction et à la condamnation de ceux qui s’en rendent coupables</w:t>
      </w:r>
      <w:r w:rsidRPr="00AF434B">
        <w:rPr>
          <w:noProof/>
          <w:lang w:val="fr-FR"/>
        </w:rPr>
        <w:t xml:space="preserve">. </w:t>
      </w:r>
    </w:p>
    <w:p w14:paraId="7E7735B3" w14:textId="77777777" w:rsidR="00BF0619" w:rsidRPr="00AF434B" w:rsidRDefault="00BF0619" w:rsidP="00BF0619">
      <w:pPr>
        <w:pStyle w:val="SingleTxtG"/>
        <w:rPr>
          <w:noProof/>
          <w:lang w:val="fr-FR"/>
        </w:rPr>
      </w:pPr>
      <w:r w:rsidRPr="00AF434B">
        <w:rPr>
          <w:noProof/>
          <w:lang w:val="fr-FR"/>
        </w:rPr>
        <w:t>179.</w:t>
      </w:r>
      <w:r w:rsidRPr="00AF434B">
        <w:rPr>
          <w:noProof/>
          <w:lang w:val="fr-FR"/>
        </w:rPr>
        <w:tab/>
      </w:r>
      <w:r>
        <w:rPr>
          <w:noProof/>
          <w:lang w:val="fr-FR"/>
        </w:rPr>
        <w:t xml:space="preserve">Par ailleurs, les victimes ont accès à plusieurs droits et moyens de </w:t>
      </w:r>
      <w:r w:rsidRPr="00AF434B">
        <w:rPr>
          <w:noProof/>
          <w:lang w:val="fr-FR"/>
        </w:rPr>
        <w:t xml:space="preserve">protection, </w:t>
      </w:r>
      <w:r>
        <w:rPr>
          <w:noProof/>
          <w:lang w:val="fr-FR"/>
        </w:rPr>
        <w:t xml:space="preserve">tels que ceux qu’énonce le « Statut de la victime » (adopté par la loi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sidRPr="00AF434B">
        <w:rPr>
          <w:noProof/>
          <w:lang w:val="fr-FR"/>
        </w:rPr>
        <w:t>130/2015</w:t>
      </w:r>
      <w:r>
        <w:rPr>
          <w:noProof/>
          <w:lang w:val="fr-FR"/>
        </w:rPr>
        <w:t xml:space="preserve"> du </w:t>
      </w:r>
      <w:r w:rsidRPr="00AF434B">
        <w:rPr>
          <w:noProof/>
          <w:lang w:val="fr-FR"/>
        </w:rPr>
        <w:t>4</w:t>
      </w:r>
      <w:r w:rsidR="00ED520E">
        <w:rPr>
          <w:noProof/>
          <w:lang w:val="fr-FR"/>
        </w:rPr>
        <w:t> </w:t>
      </w:r>
      <w:r>
        <w:rPr>
          <w:noProof/>
          <w:lang w:val="fr-FR"/>
        </w:rPr>
        <w:t>s</w:t>
      </w:r>
      <w:r w:rsidRPr="00AF434B">
        <w:rPr>
          <w:noProof/>
          <w:lang w:val="fr-FR"/>
        </w:rPr>
        <w:t>eptemb</w:t>
      </w:r>
      <w:r>
        <w:rPr>
          <w:noProof/>
          <w:lang w:val="fr-FR"/>
        </w:rPr>
        <w:t>re</w:t>
      </w:r>
      <w:r w:rsidRPr="00AF434B">
        <w:rPr>
          <w:noProof/>
          <w:lang w:val="fr-FR"/>
        </w:rPr>
        <w:t xml:space="preserve">). </w:t>
      </w:r>
      <w:r>
        <w:rPr>
          <w:noProof/>
          <w:lang w:val="fr-FR"/>
        </w:rPr>
        <w:t>Au nombre de ces droits, celui d’être placée dans un foyer est de la plus haute importance</w:t>
      </w:r>
      <w:r w:rsidRPr="00AF434B">
        <w:rPr>
          <w:noProof/>
          <w:lang w:val="fr-FR"/>
        </w:rPr>
        <w:t xml:space="preserve">. </w:t>
      </w:r>
      <w:r>
        <w:rPr>
          <w:noProof/>
          <w:lang w:val="fr-FR"/>
        </w:rPr>
        <w:t xml:space="preserve">Toute victime (homme ou femme) peut appeler la ligne nationale d’urgence sociale </w:t>
      </w:r>
      <w:r w:rsidRPr="00AF434B">
        <w:rPr>
          <w:noProof/>
          <w:lang w:val="fr-FR"/>
        </w:rPr>
        <w:t xml:space="preserve">(144) </w:t>
      </w:r>
      <w:r>
        <w:rPr>
          <w:noProof/>
          <w:lang w:val="fr-FR"/>
        </w:rPr>
        <w:t>et demander à être placée dans un foyer</w:t>
      </w:r>
      <w:r w:rsidRPr="00AF434B">
        <w:rPr>
          <w:noProof/>
          <w:lang w:val="fr-FR"/>
        </w:rPr>
        <w:t xml:space="preserve">. </w:t>
      </w:r>
      <w:r>
        <w:rPr>
          <w:noProof/>
          <w:lang w:val="fr-FR"/>
        </w:rPr>
        <w:t>Cette ligne d’urgence fonctionne en permanence et les victimes de violence familiale sont considérées comme un « groupe prioritaire »</w:t>
      </w:r>
      <w:r w:rsidRPr="00AF434B">
        <w:rPr>
          <w:noProof/>
          <w:lang w:val="fr-FR"/>
        </w:rPr>
        <w:t xml:space="preserve">. </w:t>
      </w:r>
      <w:r>
        <w:rPr>
          <w:noProof/>
          <w:lang w:val="fr-FR"/>
        </w:rPr>
        <w:t>Certaines institutions privées de solidarité sociale, telles que l’</w:t>
      </w:r>
      <w:r w:rsidRPr="00AF434B">
        <w:rPr>
          <w:noProof/>
          <w:lang w:val="fr-FR"/>
        </w:rPr>
        <w:t xml:space="preserve">APAV, </w:t>
      </w:r>
      <w:r>
        <w:rPr>
          <w:noProof/>
          <w:lang w:val="fr-FR"/>
        </w:rPr>
        <w:t xml:space="preserve">ont mis en place des </w:t>
      </w:r>
      <w:r w:rsidRPr="00AF434B">
        <w:rPr>
          <w:noProof/>
          <w:lang w:val="fr-FR"/>
        </w:rPr>
        <w:t>protocol</w:t>
      </w:r>
      <w:r>
        <w:rPr>
          <w:noProof/>
          <w:lang w:val="fr-FR"/>
        </w:rPr>
        <w:t>e</w:t>
      </w:r>
      <w:r w:rsidRPr="00AF434B">
        <w:rPr>
          <w:noProof/>
          <w:lang w:val="fr-FR"/>
        </w:rPr>
        <w:t xml:space="preserve">s </w:t>
      </w:r>
      <w:r>
        <w:rPr>
          <w:noProof/>
          <w:lang w:val="fr-FR"/>
        </w:rPr>
        <w:t>avec d’autres entités et peuvent également placer les victimes dans des foyers sans passer par la ligne d’urgence</w:t>
      </w:r>
      <w:r w:rsidR="00ED520E">
        <w:rPr>
          <w:noProof/>
          <w:lang w:val="fr-FR"/>
        </w:rPr>
        <w:t> </w:t>
      </w:r>
      <w:r w:rsidRPr="00AF434B">
        <w:rPr>
          <w:noProof/>
          <w:lang w:val="fr-FR"/>
        </w:rPr>
        <w:t xml:space="preserve">144. </w:t>
      </w:r>
      <w:r>
        <w:rPr>
          <w:noProof/>
          <w:lang w:val="fr-FR"/>
        </w:rPr>
        <w:t>Les foyers créés pour les femmes victimes sont de loin les plus nombreux</w:t>
      </w:r>
      <w:r w:rsidRPr="00AF434B">
        <w:rPr>
          <w:noProof/>
          <w:lang w:val="fr-FR"/>
        </w:rPr>
        <w:t>.</w:t>
      </w:r>
    </w:p>
    <w:p w14:paraId="3E541534" w14:textId="77777777" w:rsidR="00BF0619" w:rsidRPr="00AF434B" w:rsidRDefault="00BF0619" w:rsidP="00BF0619">
      <w:pPr>
        <w:pStyle w:val="SingleTxtG"/>
        <w:rPr>
          <w:noProof/>
          <w:lang w:val="fr-FR"/>
        </w:rPr>
      </w:pPr>
      <w:r w:rsidRPr="00AF434B">
        <w:rPr>
          <w:noProof/>
          <w:lang w:val="fr-FR"/>
        </w:rPr>
        <w:t>180.</w:t>
      </w:r>
      <w:r w:rsidRPr="00AF434B">
        <w:rPr>
          <w:noProof/>
          <w:lang w:val="fr-FR"/>
        </w:rPr>
        <w:tab/>
      </w:r>
      <w:r>
        <w:rPr>
          <w:noProof/>
          <w:lang w:val="fr-FR"/>
        </w:rPr>
        <w:t>L’article</w:t>
      </w:r>
      <w:r w:rsidR="00ED520E">
        <w:rPr>
          <w:noProof/>
          <w:lang w:val="fr-FR"/>
        </w:rPr>
        <w:t> </w:t>
      </w:r>
      <w:r w:rsidRPr="00AF434B">
        <w:rPr>
          <w:noProof/>
          <w:lang w:val="fr-FR"/>
        </w:rPr>
        <w:t xml:space="preserve">152 </w:t>
      </w:r>
      <w:r>
        <w:rPr>
          <w:noProof/>
          <w:lang w:val="fr-FR"/>
        </w:rPr>
        <w:t xml:space="preserve">du Code pénal a récemment été modifié </w:t>
      </w:r>
      <w:r w:rsidRPr="00AF434B">
        <w:rPr>
          <w:noProof/>
          <w:lang w:val="fr-FR"/>
        </w:rPr>
        <w:t>(</w:t>
      </w:r>
      <w:r>
        <w:rPr>
          <w:noProof/>
          <w:lang w:val="fr-FR"/>
        </w:rPr>
        <w:t xml:space="preserve">par la loi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sidRPr="00AF434B">
        <w:rPr>
          <w:noProof/>
          <w:lang w:val="fr-FR"/>
        </w:rPr>
        <w:t xml:space="preserve">44/2018 </w:t>
      </w:r>
      <w:r>
        <w:rPr>
          <w:noProof/>
          <w:lang w:val="fr-FR"/>
        </w:rPr>
        <w:t>du</w:t>
      </w:r>
      <w:r w:rsidRPr="00AF434B">
        <w:rPr>
          <w:noProof/>
          <w:lang w:val="fr-FR"/>
        </w:rPr>
        <w:t xml:space="preserve"> 9</w:t>
      </w:r>
      <w:r w:rsidR="00ED520E">
        <w:rPr>
          <w:noProof/>
          <w:lang w:val="fr-FR"/>
        </w:rPr>
        <w:t> </w:t>
      </w:r>
      <w:r>
        <w:rPr>
          <w:noProof/>
          <w:lang w:val="fr-FR"/>
        </w:rPr>
        <w:t>août</w:t>
      </w:r>
      <w:r w:rsidRPr="00AF434B">
        <w:rPr>
          <w:noProof/>
          <w:lang w:val="fr-FR"/>
        </w:rPr>
        <w:t>)</w:t>
      </w:r>
      <w:r>
        <w:rPr>
          <w:noProof/>
          <w:lang w:val="fr-FR"/>
        </w:rPr>
        <w:t> : une nouvelle circonstance aggravante a été ajoutée, à savoir la diffusion par Internet ou par tout autre moyen de diffusion auprès du public, sous forme d’images ou de sons, de données personnelles concernant la vie privée de l’une des victimes sans son consentement. Dans ce cas, la durée de la peine d’emprisonnement est comprise entre deux et cinq ans</w:t>
      </w:r>
      <w:r w:rsidRPr="00AF434B">
        <w:rPr>
          <w:noProof/>
          <w:lang w:val="fr-FR"/>
        </w:rPr>
        <w:t>.</w:t>
      </w:r>
    </w:p>
    <w:p w14:paraId="3ABE4B6D" w14:textId="77777777" w:rsidR="00BF0619" w:rsidRPr="00AF434B" w:rsidRDefault="00BF0619" w:rsidP="00BF0619">
      <w:pPr>
        <w:pStyle w:val="SingleTxtG"/>
        <w:rPr>
          <w:noProof/>
          <w:lang w:val="fr-FR"/>
        </w:rPr>
      </w:pPr>
      <w:r w:rsidRPr="00AF434B">
        <w:rPr>
          <w:noProof/>
          <w:lang w:val="fr-FR"/>
        </w:rPr>
        <w:t>181.</w:t>
      </w:r>
      <w:r w:rsidRPr="00AF434B">
        <w:rPr>
          <w:noProof/>
          <w:lang w:val="fr-FR"/>
        </w:rPr>
        <w:tab/>
      </w:r>
      <w:r>
        <w:rPr>
          <w:noProof/>
          <w:lang w:val="fr-FR"/>
        </w:rPr>
        <w:t>Outre tout ce qui se rapporte à l’enregistrement des faits, la garde nationale républicaine a déployé des efforts au plan opérationnel pour protéger les victimes de la violence familiale et instruire ces affaires</w:t>
      </w:r>
      <w:r w:rsidRPr="00AF434B">
        <w:rPr>
          <w:noProof/>
          <w:lang w:val="fr-FR"/>
        </w:rPr>
        <w:t xml:space="preserve">. </w:t>
      </w:r>
      <w:r>
        <w:rPr>
          <w:noProof/>
          <w:lang w:val="fr-FR"/>
        </w:rPr>
        <w:t xml:space="preserve">Sur ce dernier point, elle affecte un personnel militaire spécialisé à des structures chargées de ce travail, appelées équipes </w:t>
      </w:r>
      <w:r w:rsidRPr="00AF434B">
        <w:rPr>
          <w:noProof/>
          <w:lang w:val="fr-FR"/>
        </w:rPr>
        <w:t xml:space="preserve"> </w:t>
      </w:r>
      <w:r>
        <w:rPr>
          <w:noProof/>
          <w:lang w:val="fr-FR"/>
        </w:rPr>
        <w:t>d’enquête et d’appui aux victimes particulièrement vulnérables</w:t>
      </w:r>
      <w:r w:rsidRPr="00AF434B">
        <w:rPr>
          <w:noProof/>
          <w:lang w:val="fr-FR"/>
        </w:rPr>
        <w:t>.</w:t>
      </w:r>
    </w:p>
    <w:p w14:paraId="31605EC7" w14:textId="77777777" w:rsidR="00BF0619" w:rsidRPr="00AF434B" w:rsidRDefault="00BF0619" w:rsidP="00BF0619">
      <w:pPr>
        <w:pStyle w:val="SingleTxtG"/>
        <w:rPr>
          <w:noProof/>
          <w:lang w:val="fr-FR"/>
        </w:rPr>
      </w:pPr>
      <w:r w:rsidRPr="00AF434B">
        <w:rPr>
          <w:noProof/>
          <w:lang w:val="fr-FR"/>
        </w:rPr>
        <w:t>182.</w:t>
      </w:r>
      <w:r w:rsidRPr="00AF434B">
        <w:rPr>
          <w:noProof/>
          <w:lang w:val="fr-FR"/>
        </w:rPr>
        <w:tab/>
      </w:r>
      <w:r>
        <w:rPr>
          <w:noProof/>
          <w:lang w:val="fr-FR"/>
        </w:rPr>
        <w:t xml:space="preserve">Selon les chiffres des rapports nationaux sur la violence familiale accessibles au public, la police de sécurité publique a enregistré quelque </w:t>
      </w:r>
      <w:r w:rsidRPr="00AF434B">
        <w:rPr>
          <w:noProof/>
          <w:lang w:val="fr-FR"/>
        </w:rPr>
        <w:t>15</w:t>
      </w:r>
      <w:r w:rsidR="00ED520E">
        <w:rPr>
          <w:noProof/>
          <w:lang w:val="fr-FR"/>
        </w:rPr>
        <w:t> </w:t>
      </w:r>
      <w:r>
        <w:rPr>
          <w:noProof/>
          <w:lang w:val="fr-FR"/>
        </w:rPr>
        <w:t>500 cas</w:t>
      </w:r>
      <w:r w:rsidRPr="00AF434B">
        <w:rPr>
          <w:noProof/>
          <w:lang w:val="fr-FR"/>
        </w:rPr>
        <w:t xml:space="preserve">. </w:t>
      </w:r>
    </w:p>
    <w:p w14:paraId="5920CB63" w14:textId="77777777" w:rsidR="00BF0619" w:rsidRPr="00AF434B" w:rsidRDefault="00BF0619" w:rsidP="00BF0619">
      <w:pPr>
        <w:pStyle w:val="SingleTxtG"/>
        <w:rPr>
          <w:noProof/>
          <w:lang w:val="fr-FR"/>
        </w:rPr>
      </w:pPr>
      <w:r w:rsidRPr="00AF434B">
        <w:rPr>
          <w:noProof/>
          <w:lang w:val="fr-FR"/>
        </w:rPr>
        <w:t>183.</w:t>
      </w:r>
      <w:r w:rsidRPr="00AF434B">
        <w:rPr>
          <w:noProof/>
          <w:lang w:val="fr-FR"/>
        </w:rPr>
        <w:tab/>
      </w:r>
      <w:r>
        <w:rPr>
          <w:noProof/>
          <w:lang w:val="fr-FR"/>
        </w:rPr>
        <w:t xml:space="preserve">De plus, cette police met l’accent sur les </w:t>
      </w:r>
      <w:r w:rsidRPr="00AF434B">
        <w:rPr>
          <w:noProof/>
          <w:lang w:val="fr-FR"/>
        </w:rPr>
        <w:t xml:space="preserve">efforts </w:t>
      </w:r>
      <w:r>
        <w:rPr>
          <w:noProof/>
          <w:lang w:val="fr-FR"/>
        </w:rPr>
        <w:t xml:space="preserve">qu’elle déploie depuis 2017 pour </w:t>
      </w:r>
      <w:r w:rsidRPr="00AF434B">
        <w:rPr>
          <w:noProof/>
          <w:lang w:val="fr-FR"/>
        </w:rPr>
        <w:t>prot</w:t>
      </w:r>
      <w:r>
        <w:rPr>
          <w:noProof/>
          <w:lang w:val="fr-FR"/>
        </w:rPr>
        <w:t xml:space="preserve">éger les </w:t>
      </w:r>
      <w:r w:rsidRPr="00AF434B">
        <w:rPr>
          <w:noProof/>
          <w:lang w:val="fr-FR"/>
        </w:rPr>
        <w:t>victim</w:t>
      </w:r>
      <w:r>
        <w:rPr>
          <w:noProof/>
          <w:lang w:val="fr-FR"/>
        </w:rPr>
        <w:t>e</w:t>
      </w:r>
      <w:r w:rsidRPr="00AF434B">
        <w:rPr>
          <w:noProof/>
          <w:lang w:val="fr-FR"/>
        </w:rPr>
        <w:t xml:space="preserve">s </w:t>
      </w:r>
      <w:r>
        <w:rPr>
          <w:noProof/>
          <w:lang w:val="fr-FR"/>
        </w:rPr>
        <w:t>de la violence familiale, dont témoignent les chiffres ci-après</w:t>
      </w:r>
      <w:r w:rsidR="00ED520E">
        <w:rPr>
          <w:noProof/>
          <w:lang w:val="fr-FR"/>
        </w:rPr>
        <w:t> :</w:t>
      </w:r>
    </w:p>
    <w:p w14:paraId="5A277FA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29</w:t>
      </w:r>
      <w:r>
        <w:rPr>
          <w:noProof/>
          <w:lang w:val="fr-FR"/>
        </w:rPr>
        <w:t xml:space="preserve"> </w:t>
      </w:r>
      <w:r w:rsidRPr="00AF434B">
        <w:rPr>
          <w:noProof/>
          <w:lang w:val="fr-FR"/>
        </w:rPr>
        <w:t xml:space="preserve">841 </w:t>
      </w:r>
      <w:r>
        <w:rPr>
          <w:noProof/>
          <w:lang w:val="fr-FR"/>
        </w:rPr>
        <w:t>évaluations des risques effectuées</w:t>
      </w:r>
      <w:r w:rsidR="00ED520E">
        <w:rPr>
          <w:noProof/>
          <w:lang w:val="fr-FR"/>
        </w:rPr>
        <w:t> ;</w:t>
      </w:r>
    </w:p>
    <w:p w14:paraId="3859696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39 </w:t>
      </w:r>
      <w:r w:rsidRPr="00AF434B">
        <w:rPr>
          <w:noProof/>
          <w:lang w:val="fr-FR"/>
        </w:rPr>
        <w:t xml:space="preserve">024 </w:t>
      </w:r>
      <w:r>
        <w:rPr>
          <w:noProof/>
          <w:lang w:val="fr-FR"/>
        </w:rPr>
        <w:t>mesures de renforcement de la protection des victimes mises en place</w:t>
      </w:r>
      <w:r w:rsidR="00ED520E">
        <w:rPr>
          <w:noProof/>
          <w:lang w:val="fr-FR"/>
        </w:rPr>
        <w:t> ;</w:t>
      </w:r>
    </w:p>
    <w:p w14:paraId="592DB40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4 </w:t>
      </w:r>
      <w:r w:rsidRPr="00AF434B">
        <w:rPr>
          <w:noProof/>
          <w:lang w:val="fr-FR"/>
        </w:rPr>
        <w:t xml:space="preserve">645 </w:t>
      </w:r>
      <w:r>
        <w:rPr>
          <w:noProof/>
          <w:lang w:val="fr-FR"/>
        </w:rPr>
        <w:t>cas d’accompagnement de la victime</w:t>
      </w:r>
      <w:r w:rsidR="00ED520E">
        <w:rPr>
          <w:noProof/>
          <w:lang w:val="fr-FR"/>
        </w:rPr>
        <w:t> ;</w:t>
      </w:r>
    </w:p>
    <w:p w14:paraId="495FD33F"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1 </w:t>
      </w:r>
      <w:r w:rsidRPr="00AF434B">
        <w:rPr>
          <w:noProof/>
          <w:lang w:val="fr-FR"/>
        </w:rPr>
        <w:t xml:space="preserve">775 </w:t>
      </w:r>
      <w:r>
        <w:rPr>
          <w:noProof/>
          <w:lang w:val="fr-FR"/>
        </w:rPr>
        <w:t>cas où il a été proposé à la victime de se rendre dans une résidence protégée</w:t>
      </w:r>
      <w:r w:rsidR="00ED520E">
        <w:rPr>
          <w:noProof/>
          <w:lang w:val="fr-FR"/>
        </w:rPr>
        <w:t> ;</w:t>
      </w:r>
    </w:p>
    <w:p w14:paraId="7C37F0E6"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31 </w:t>
      </w:r>
      <w:r w:rsidRPr="00AF434B">
        <w:rPr>
          <w:noProof/>
          <w:lang w:val="fr-FR"/>
        </w:rPr>
        <w:t xml:space="preserve">491 </w:t>
      </w:r>
      <w:r>
        <w:rPr>
          <w:noProof/>
          <w:lang w:val="fr-FR"/>
        </w:rPr>
        <w:t>plans individuels de sécurité élaborés</w:t>
      </w:r>
      <w:r w:rsidR="00ED520E">
        <w:rPr>
          <w:noProof/>
          <w:lang w:val="fr-FR"/>
        </w:rPr>
        <w:t> ;</w:t>
      </w:r>
    </w:p>
    <w:p w14:paraId="09219FAB"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12 </w:t>
      </w:r>
      <w:r w:rsidRPr="00AF434B">
        <w:rPr>
          <w:noProof/>
          <w:lang w:val="fr-FR"/>
        </w:rPr>
        <w:t>797 actions</w:t>
      </w:r>
      <w:r>
        <w:rPr>
          <w:noProof/>
          <w:lang w:val="fr-FR"/>
        </w:rPr>
        <w:t xml:space="preserve"> de renforcement de la surveillance autour de la résidence de la victime</w:t>
      </w:r>
      <w:r w:rsidRPr="00AF434B">
        <w:rPr>
          <w:noProof/>
          <w:lang w:val="fr-FR"/>
        </w:rPr>
        <w:t>.</w:t>
      </w:r>
    </w:p>
    <w:p w14:paraId="69F71D30" w14:textId="77777777" w:rsidR="00BF0619" w:rsidRPr="00AF434B" w:rsidRDefault="00BF0619" w:rsidP="00BF0619">
      <w:pPr>
        <w:pStyle w:val="SingleTxtG"/>
        <w:rPr>
          <w:noProof/>
          <w:lang w:val="fr-FR"/>
        </w:rPr>
      </w:pPr>
      <w:r w:rsidRPr="00AF434B">
        <w:rPr>
          <w:noProof/>
          <w:lang w:val="fr-FR"/>
        </w:rPr>
        <w:t>184.</w:t>
      </w:r>
      <w:r w:rsidRPr="00AF434B">
        <w:rPr>
          <w:noProof/>
          <w:lang w:val="fr-FR"/>
        </w:rPr>
        <w:tab/>
      </w:r>
      <w:r>
        <w:rPr>
          <w:noProof/>
          <w:lang w:val="fr-FR"/>
        </w:rPr>
        <w:t>Le Ministère du travail, de la solidarité et de la sécurité sociale a conclu des accords de coopération avec des entités de l’économie sociale, principalement avec des institutions privées de solidarité sociale, afin de favoriser la mise en place d’une série d’interventions sociales, notamment en faveur des victimes de la violence familiale, comme celles menées par les centres d’appui et d’assistance aux victimes de la violence familiale et aux foyers les accueillant</w:t>
      </w:r>
      <w:r w:rsidRPr="00AF434B">
        <w:rPr>
          <w:noProof/>
          <w:lang w:val="fr-FR"/>
        </w:rPr>
        <w:t xml:space="preserve">. </w:t>
      </w:r>
      <w:r>
        <w:rPr>
          <w:noProof/>
          <w:lang w:val="fr-FR"/>
        </w:rPr>
        <w:t>Ces interventions sont financées par le budget de la sécurité sociale</w:t>
      </w:r>
      <w:r w:rsidRPr="00AF434B">
        <w:rPr>
          <w:noProof/>
          <w:lang w:val="fr-FR"/>
        </w:rPr>
        <w:t xml:space="preserve">. </w:t>
      </w:r>
      <w:r>
        <w:rPr>
          <w:noProof/>
          <w:lang w:val="fr-FR"/>
        </w:rPr>
        <w:t>De même, ce Ministère est coresponsable du financement du protocole de collaboration conclu avec l’</w:t>
      </w:r>
      <w:r w:rsidRPr="00AF434B">
        <w:rPr>
          <w:noProof/>
          <w:lang w:val="fr-FR"/>
        </w:rPr>
        <w:t xml:space="preserve">APAV, </w:t>
      </w:r>
      <w:r>
        <w:rPr>
          <w:noProof/>
          <w:lang w:val="fr-FR"/>
        </w:rPr>
        <w:t>qui est une ONG reconnue par la loi et officiellement chargée d’</w:t>
      </w:r>
      <w:r w:rsidRPr="00AF434B">
        <w:rPr>
          <w:noProof/>
          <w:lang w:val="fr-FR"/>
        </w:rPr>
        <w:t>inform</w:t>
      </w:r>
      <w:r>
        <w:rPr>
          <w:noProof/>
          <w:lang w:val="fr-FR"/>
        </w:rPr>
        <w:t>er</w:t>
      </w:r>
      <w:r w:rsidRPr="00AF434B">
        <w:rPr>
          <w:noProof/>
          <w:lang w:val="fr-FR"/>
        </w:rPr>
        <w:t xml:space="preserve">, </w:t>
      </w:r>
      <w:r>
        <w:rPr>
          <w:noProof/>
          <w:lang w:val="fr-FR"/>
        </w:rPr>
        <w:t xml:space="preserve">de </w:t>
      </w:r>
      <w:r w:rsidRPr="00AF434B">
        <w:rPr>
          <w:noProof/>
          <w:lang w:val="fr-FR"/>
        </w:rPr>
        <w:t>prot</w:t>
      </w:r>
      <w:r>
        <w:rPr>
          <w:noProof/>
          <w:lang w:val="fr-FR"/>
        </w:rPr>
        <w:t xml:space="preserve">éger et d’appuyer les citoyens victimes d’infractions, en assurant l’entretien des </w:t>
      </w:r>
      <w:r w:rsidRPr="00AF434B">
        <w:rPr>
          <w:noProof/>
          <w:lang w:val="fr-FR"/>
        </w:rPr>
        <w:t>15</w:t>
      </w:r>
      <w:r w:rsidR="00ED520E">
        <w:rPr>
          <w:noProof/>
          <w:lang w:val="fr-FR"/>
        </w:rPr>
        <w:t> </w:t>
      </w:r>
      <w:r>
        <w:rPr>
          <w:noProof/>
          <w:lang w:val="fr-FR"/>
        </w:rPr>
        <w:t>bureaux d’appui aux victimes</w:t>
      </w:r>
      <w:r w:rsidRPr="00AF434B">
        <w:rPr>
          <w:noProof/>
          <w:lang w:val="fr-FR"/>
        </w:rPr>
        <w:t xml:space="preserve">. </w:t>
      </w:r>
      <w:r>
        <w:rPr>
          <w:noProof/>
          <w:lang w:val="fr-FR"/>
        </w:rPr>
        <w:t>Financés par le Ministère, ces bureaux doivent mener des activités de formation et d’appui et d’entretien du réseau de bureaux d’appui aux victimes</w:t>
      </w:r>
      <w:r w:rsidRPr="00AF434B">
        <w:rPr>
          <w:noProof/>
          <w:lang w:val="fr-FR"/>
        </w:rPr>
        <w:t>.</w:t>
      </w:r>
    </w:p>
    <w:p w14:paraId="4827B1DF" w14:textId="77777777" w:rsidR="00BF0619" w:rsidRPr="00AF434B" w:rsidRDefault="00BF0619" w:rsidP="00BF0619">
      <w:pPr>
        <w:pStyle w:val="SingleTxtG"/>
        <w:rPr>
          <w:noProof/>
          <w:lang w:val="fr-FR"/>
        </w:rPr>
      </w:pPr>
      <w:r w:rsidRPr="00AF434B">
        <w:rPr>
          <w:noProof/>
          <w:lang w:val="fr-FR"/>
        </w:rPr>
        <w:t>185.</w:t>
      </w:r>
      <w:r w:rsidRPr="00AF434B">
        <w:rPr>
          <w:noProof/>
          <w:lang w:val="fr-FR"/>
        </w:rPr>
        <w:tab/>
      </w:r>
      <w:r>
        <w:rPr>
          <w:noProof/>
          <w:lang w:val="fr-FR"/>
        </w:rPr>
        <w:t xml:space="preserve">En outre, </w:t>
      </w:r>
      <w:r w:rsidRPr="00AF434B">
        <w:rPr>
          <w:noProof/>
          <w:lang w:val="fr-FR"/>
        </w:rPr>
        <w:t>30</w:t>
      </w:r>
      <w:r w:rsidR="00ED520E">
        <w:rPr>
          <w:noProof/>
          <w:lang w:val="fr-FR"/>
        </w:rPr>
        <w:t> </w:t>
      </w:r>
      <w:r>
        <w:rPr>
          <w:noProof/>
          <w:lang w:val="fr-FR"/>
        </w:rPr>
        <w:t xml:space="preserve">foyers actuellement financés par l’Institut de sécurité sociale peuvent accueillir </w:t>
      </w:r>
      <w:r w:rsidRPr="00AF434B">
        <w:rPr>
          <w:noProof/>
          <w:lang w:val="fr-FR"/>
        </w:rPr>
        <w:t>574</w:t>
      </w:r>
      <w:r w:rsidR="00ED520E">
        <w:rPr>
          <w:noProof/>
          <w:lang w:val="fr-FR"/>
        </w:rPr>
        <w:t> </w:t>
      </w:r>
      <w:r w:rsidRPr="00AF434B">
        <w:rPr>
          <w:noProof/>
          <w:lang w:val="fr-FR"/>
        </w:rPr>
        <w:t>victim</w:t>
      </w:r>
      <w:r>
        <w:rPr>
          <w:noProof/>
          <w:lang w:val="fr-FR"/>
        </w:rPr>
        <w:t>e</w:t>
      </w:r>
      <w:r w:rsidRPr="00AF434B">
        <w:rPr>
          <w:noProof/>
          <w:lang w:val="fr-FR"/>
        </w:rPr>
        <w:t>s</w:t>
      </w:r>
      <w:r w:rsidR="00ED520E">
        <w:rPr>
          <w:noProof/>
          <w:lang w:val="fr-FR"/>
        </w:rPr>
        <w: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BF0619" w:rsidRPr="00ED520E" w14:paraId="4C0F5914" w14:textId="77777777" w:rsidTr="00ED520E">
        <w:trPr>
          <w:cantSplit/>
          <w:tblHeader/>
        </w:trPr>
        <w:tc>
          <w:tcPr>
            <w:tcW w:w="3685" w:type="dxa"/>
            <w:tcBorders>
              <w:top w:val="single" w:sz="4" w:space="0" w:color="auto"/>
              <w:bottom w:val="single" w:sz="12" w:space="0" w:color="auto"/>
            </w:tcBorders>
            <w:shd w:val="clear" w:color="auto" w:fill="auto"/>
            <w:vAlign w:val="bottom"/>
          </w:tcPr>
          <w:p w14:paraId="35DFA662" w14:textId="77777777" w:rsidR="00BF0619" w:rsidRPr="00ED520E" w:rsidRDefault="00BF0619" w:rsidP="00ED520E">
            <w:pPr>
              <w:suppressAutoHyphens w:val="0"/>
              <w:spacing w:before="80" w:after="80" w:line="200" w:lineRule="exact"/>
              <w:rPr>
                <w:i/>
                <w:noProof/>
                <w:sz w:val="16"/>
                <w:lang w:val="fr-FR"/>
              </w:rPr>
            </w:pPr>
            <w:r w:rsidRPr="00ED520E">
              <w:rPr>
                <w:i/>
                <w:noProof/>
                <w:sz w:val="16"/>
                <w:lang w:val="fr-FR"/>
              </w:rPr>
              <w:t>District</w:t>
            </w:r>
          </w:p>
        </w:tc>
        <w:tc>
          <w:tcPr>
            <w:tcW w:w="3685" w:type="dxa"/>
            <w:tcBorders>
              <w:top w:val="single" w:sz="4" w:space="0" w:color="auto"/>
              <w:bottom w:val="single" w:sz="12" w:space="0" w:color="auto"/>
            </w:tcBorders>
            <w:shd w:val="clear" w:color="auto" w:fill="auto"/>
            <w:vAlign w:val="bottom"/>
          </w:tcPr>
          <w:p w14:paraId="5FFEC66E" w14:textId="77777777" w:rsidR="00BF0619" w:rsidRPr="00ED520E" w:rsidRDefault="00BF0619" w:rsidP="00ED520E">
            <w:pPr>
              <w:suppressAutoHyphens w:val="0"/>
              <w:spacing w:before="80" w:after="80" w:line="200" w:lineRule="exact"/>
              <w:jc w:val="right"/>
              <w:rPr>
                <w:i/>
                <w:noProof/>
                <w:sz w:val="16"/>
                <w:lang w:val="fr-FR"/>
              </w:rPr>
            </w:pPr>
            <w:r w:rsidRPr="00ED520E">
              <w:rPr>
                <w:i/>
                <w:noProof/>
                <w:sz w:val="16"/>
                <w:lang w:val="fr-FR"/>
              </w:rPr>
              <w:t>Nombre de places</w:t>
            </w:r>
          </w:p>
        </w:tc>
      </w:tr>
      <w:tr w:rsidR="00BF0619" w:rsidRPr="00ED520E" w14:paraId="6611B030" w14:textId="77777777" w:rsidTr="00ED520E">
        <w:trPr>
          <w:cantSplit/>
        </w:trPr>
        <w:tc>
          <w:tcPr>
            <w:tcW w:w="3685" w:type="dxa"/>
            <w:tcBorders>
              <w:top w:val="single" w:sz="12" w:space="0" w:color="auto"/>
            </w:tcBorders>
            <w:shd w:val="clear" w:color="auto" w:fill="auto"/>
          </w:tcPr>
          <w:p w14:paraId="03D93C6C"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Aveiro</w:t>
            </w:r>
          </w:p>
        </w:tc>
        <w:tc>
          <w:tcPr>
            <w:tcW w:w="3685" w:type="dxa"/>
            <w:tcBorders>
              <w:top w:val="single" w:sz="12" w:space="0" w:color="auto"/>
            </w:tcBorders>
            <w:shd w:val="clear" w:color="auto" w:fill="auto"/>
            <w:vAlign w:val="bottom"/>
          </w:tcPr>
          <w:p w14:paraId="3FEF9AC8"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106</w:t>
            </w:r>
          </w:p>
        </w:tc>
      </w:tr>
      <w:tr w:rsidR="00BF0619" w:rsidRPr="00ED520E" w14:paraId="20ED6322" w14:textId="77777777" w:rsidTr="00ED520E">
        <w:trPr>
          <w:cantSplit/>
        </w:trPr>
        <w:tc>
          <w:tcPr>
            <w:tcW w:w="3685" w:type="dxa"/>
            <w:shd w:val="clear" w:color="auto" w:fill="auto"/>
          </w:tcPr>
          <w:p w14:paraId="4FA110DB"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Beja</w:t>
            </w:r>
          </w:p>
        </w:tc>
        <w:tc>
          <w:tcPr>
            <w:tcW w:w="3685" w:type="dxa"/>
            <w:shd w:val="clear" w:color="auto" w:fill="auto"/>
            <w:vAlign w:val="bottom"/>
          </w:tcPr>
          <w:p w14:paraId="71107F37"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37</w:t>
            </w:r>
          </w:p>
        </w:tc>
      </w:tr>
      <w:tr w:rsidR="00BF0619" w:rsidRPr="00ED520E" w14:paraId="008068AF" w14:textId="77777777" w:rsidTr="00ED520E">
        <w:trPr>
          <w:cantSplit/>
        </w:trPr>
        <w:tc>
          <w:tcPr>
            <w:tcW w:w="3685" w:type="dxa"/>
            <w:shd w:val="clear" w:color="auto" w:fill="auto"/>
          </w:tcPr>
          <w:p w14:paraId="4E00D675"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Braga</w:t>
            </w:r>
          </w:p>
        </w:tc>
        <w:tc>
          <w:tcPr>
            <w:tcW w:w="3685" w:type="dxa"/>
            <w:shd w:val="clear" w:color="auto" w:fill="auto"/>
            <w:vAlign w:val="bottom"/>
          </w:tcPr>
          <w:p w14:paraId="11302ECF"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16</w:t>
            </w:r>
          </w:p>
        </w:tc>
      </w:tr>
      <w:tr w:rsidR="00BF0619" w:rsidRPr="00ED520E" w14:paraId="7BE48838" w14:textId="77777777" w:rsidTr="00ED520E">
        <w:trPr>
          <w:cantSplit/>
        </w:trPr>
        <w:tc>
          <w:tcPr>
            <w:tcW w:w="3685" w:type="dxa"/>
            <w:shd w:val="clear" w:color="auto" w:fill="auto"/>
          </w:tcPr>
          <w:p w14:paraId="593CBEDD"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Évora</w:t>
            </w:r>
          </w:p>
        </w:tc>
        <w:tc>
          <w:tcPr>
            <w:tcW w:w="3685" w:type="dxa"/>
            <w:shd w:val="clear" w:color="auto" w:fill="auto"/>
            <w:vAlign w:val="bottom"/>
          </w:tcPr>
          <w:p w14:paraId="0A731475"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40</w:t>
            </w:r>
          </w:p>
        </w:tc>
      </w:tr>
      <w:tr w:rsidR="00BF0619" w:rsidRPr="00ED520E" w14:paraId="704B49CE" w14:textId="77777777" w:rsidTr="00ED520E">
        <w:trPr>
          <w:cantSplit/>
        </w:trPr>
        <w:tc>
          <w:tcPr>
            <w:tcW w:w="3685" w:type="dxa"/>
            <w:shd w:val="clear" w:color="auto" w:fill="auto"/>
          </w:tcPr>
          <w:p w14:paraId="094AC3A2"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Faro</w:t>
            </w:r>
          </w:p>
        </w:tc>
        <w:tc>
          <w:tcPr>
            <w:tcW w:w="3685" w:type="dxa"/>
            <w:shd w:val="clear" w:color="auto" w:fill="auto"/>
            <w:vAlign w:val="bottom"/>
          </w:tcPr>
          <w:p w14:paraId="143FD7ED"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28</w:t>
            </w:r>
          </w:p>
        </w:tc>
      </w:tr>
      <w:tr w:rsidR="00BF0619" w:rsidRPr="00ED520E" w14:paraId="5173E89E" w14:textId="77777777" w:rsidTr="00ED520E">
        <w:trPr>
          <w:cantSplit/>
        </w:trPr>
        <w:tc>
          <w:tcPr>
            <w:tcW w:w="3685" w:type="dxa"/>
            <w:shd w:val="clear" w:color="auto" w:fill="auto"/>
          </w:tcPr>
          <w:p w14:paraId="135B5235"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Leiria</w:t>
            </w:r>
          </w:p>
        </w:tc>
        <w:tc>
          <w:tcPr>
            <w:tcW w:w="3685" w:type="dxa"/>
            <w:shd w:val="clear" w:color="auto" w:fill="auto"/>
            <w:vAlign w:val="bottom"/>
          </w:tcPr>
          <w:p w14:paraId="316D8429"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16</w:t>
            </w:r>
          </w:p>
        </w:tc>
      </w:tr>
      <w:tr w:rsidR="00BF0619" w:rsidRPr="00ED520E" w14:paraId="26C98DE7" w14:textId="77777777" w:rsidTr="00ED520E">
        <w:trPr>
          <w:cantSplit/>
        </w:trPr>
        <w:tc>
          <w:tcPr>
            <w:tcW w:w="3685" w:type="dxa"/>
            <w:shd w:val="clear" w:color="auto" w:fill="auto"/>
          </w:tcPr>
          <w:p w14:paraId="66AFD96D"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Lisbonne</w:t>
            </w:r>
          </w:p>
        </w:tc>
        <w:tc>
          <w:tcPr>
            <w:tcW w:w="3685" w:type="dxa"/>
            <w:shd w:val="clear" w:color="auto" w:fill="auto"/>
            <w:vAlign w:val="bottom"/>
          </w:tcPr>
          <w:p w14:paraId="0335173F"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92</w:t>
            </w:r>
          </w:p>
        </w:tc>
      </w:tr>
      <w:tr w:rsidR="00BF0619" w:rsidRPr="00ED520E" w14:paraId="5C8BA00C" w14:textId="77777777" w:rsidTr="00ED520E">
        <w:trPr>
          <w:cantSplit/>
        </w:trPr>
        <w:tc>
          <w:tcPr>
            <w:tcW w:w="3685" w:type="dxa"/>
            <w:shd w:val="clear" w:color="auto" w:fill="auto"/>
          </w:tcPr>
          <w:p w14:paraId="1D558B5F"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Porto</w:t>
            </w:r>
          </w:p>
        </w:tc>
        <w:tc>
          <w:tcPr>
            <w:tcW w:w="3685" w:type="dxa"/>
            <w:shd w:val="clear" w:color="auto" w:fill="auto"/>
            <w:vAlign w:val="bottom"/>
          </w:tcPr>
          <w:p w14:paraId="75D08BAF"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126</w:t>
            </w:r>
          </w:p>
        </w:tc>
      </w:tr>
      <w:tr w:rsidR="00BF0619" w:rsidRPr="00ED520E" w14:paraId="1B2F5678" w14:textId="77777777" w:rsidTr="00ED520E">
        <w:trPr>
          <w:cantSplit/>
        </w:trPr>
        <w:tc>
          <w:tcPr>
            <w:tcW w:w="3685" w:type="dxa"/>
            <w:shd w:val="clear" w:color="auto" w:fill="auto"/>
          </w:tcPr>
          <w:p w14:paraId="7387E6B7"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Santarém</w:t>
            </w:r>
          </w:p>
        </w:tc>
        <w:tc>
          <w:tcPr>
            <w:tcW w:w="3685" w:type="dxa"/>
            <w:shd w:val="clear" w:color="auto" w:fill="auto"/>
            <w:vAlign w:val="bottom"/>
          </w:tcPr>
          <w:p w14:paraId="3FAAEC12"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10</w:t>
            </w:r>
          </w:p>
        </w:tc>
      </w:tr>
      <w:tr w:rsidR="00BF0619" w:rsidRPr="00ED520E" w14:paraId="6EA3539D" w14:textId="77777777" w:rsidTr="00ED520E">
        <w:trPr>
          <w:cantSplit/>
        </w:trPr>
        <w:tc>
          <w:tcPr>
            <w:tcW w:w="3685" w:type="dxa"/>
            <w:shd w:val="clear" w:color="auto" w:fill="auto"/>
          </w:tcPr>
          <w:p w14:paraId="0214EA9A" w14:textId="77777777" w:rsidR="00BF0619" w:rsidRPr="00ED520E" w:rsidRDefault="00BF0619" w:rsidP="00ED520E">
            <w:pPr>
              <w:suppressAutoHyphens w:val="0"/>
              <w:spacing w:before="40" w:after="40" w:line="220" w:lineRule="exact"/>
              <w:rPr>
                <w:noProof/>
                <w:sz w:val="18"/>
                <w:lang w:val="fr-FR"/>
              </w:rPr>
            </w:pPr>
            <w:r w:rsidRPr="00ED520E">
              <w:rPr>
                <w:noProof/>
                <w:sz w:val="18"/>
                <w:lang w:val="fr-FR"/>
              </w:rPr>
              <w:t>Setúbal</w:t>
            </w:r>
          </w:p>
        </w:tc>
        <w:tc>
          <w:tcPr>
            <w:tcW w:w="3685" w:type="dxa"/>
            <w:shd w:val="clear" w:color="auto" w:fill="auto"/>
            <w:vAlign w:val="bottom"/>
          </w:tcPr>
          <w:p w14:paraId="7778C17A" w14:textId="77777777" w:rsidR="00BF0619" w:rsidRPr="00ED520E" w:rsidRDefault="00BF0619" w:rsidP="00ED520E">
            <w:pPr>
              <w:suppressAutoHyphens w:val="0"/>
              <w:spacing w:before="40" w:after="40" w:line="220" w:lineRule="exact"/>
              <w:jc w:val="right"/>
              <w:rPr>
                <w:noProof/>
                <w:sz w:val="18"/>
                <w:lang w:val="fr-FR"/>
              </w:rPr>
            </w:pPr>
            <w:r w:rsidRPr="00ED520E">
              <w:rPr>
                <w:noProof/>
                <w:sz w:val="18"/>
                <w:lang w:val="fr-FR"/>
              </w:rPr>
              <w:t>69</w:t>
            </w:r>
          </w:p>
        </w:tc>
      </w:tr>
      <w:tr w:rsidR="00BF0619" w:rsidRPr="00ED520E" w14:paraId="349C4CF4" w14:textId="77777777" w:rsidTr="00ED520E">
        <w:trPr>
          <w:cantSplit/>
        </w:trPr>
        <w:tc>
          <w:tcPr>
            <w:tcW w:w="3685" w:type="dxa"/>
            <w:shd w:val="clear" w:color="auto" w:fill="auto"/>
          </w:tcPr>
          <w:p w14:paraId="0ACBAD58" w14:textId="77777777" w:rsidR="00BF0619" w:rsidRPr="00ED520E" w:rsidRDefault="00BF0619" w:rsidP="00ED520E">
            <w:pPr>
              <w:suppressAutoHyphens w:val="0"/>
              <w:spacing w:after="120" w:line="220" w:lineRule="exact"/>
              <w:rPr>
                <w:noProof/>
                <w:sz w:val="18"/>
                <w:lang w:val="fr-FR"/>
              </w:rPr>
            </w:pPr>
            <w:r w:rsidRPr="00ED520E">
              <w:rPr>
                <w:noProof/>
                <w:sz w:val="18"/>
                <w:lang w:val="fr-FR"/>
              </w:rPr>
              <w:t>V.Castelo</w:t>
            </w:r>
          </w:p>
        </w:tc>
        <w:tc>
          <w:tcPr>
            <w:tcW w:w="3685" w:type="dxa"/>
            <w:shd w:val="clear" w:color="auto" w:fill="auto"/>
            <w:vAlign w:val="bottom"/>
          </w:tcPr>
          <w:p w14:paraId="42C5AD76" w14:textId="77777777" w:rsidR="00BF0619" w:rsidRPr="00ED520E" w:rsidRDefault="00BF0619" w:rsidP="00ED520E">
            <w:pPr>
              <w:suppressAutoHyphens w:val="0"/>
              <w:spacing w:after="120" w:line="220" w:lineRule="exact"/>
              <w:jc w:val="right"/>
              <w:rPr>
                <w:noProof/>
                <w:sz w:val="18"/>
                <w:lang w:val="fr-FR"/>
              </w:rPr>
            </w:pPr>
            <w:r w:rsidRPr="00ED520E">
              <w:rPr>
                <w:noProof/>
                <w:sz w:val="18"/>
                <w:lang w:val="fr-FR"/>
              </w:rPr>
              <w:t>15</w:t>
            </w:r>
          </w:p>
        </w:tc>
      </w:tr>
      <w:tr w:rsidR="00BF0619" w:rsidRPr="00ED520E" w14:paraId="7C2CC3F7" w14:textId="77777777" w:rsidTr="00ED520E">
        <w:trPr>
          <w:cantSplit/>
        </w:trPr>
        <w:tc>
          <w:tcPr>
            <w:tcW w:w="3685" w:type="dxa"/>
            <w:tcBorders>
              <w:bottom w:val="single" w:sz="4" w:space="0" w:color="auto"/>
            </w:tcBorders>
            <w:shd w:val="clear" w:color="auto" w:fill="auto"/>
          </w:tcPr>
          <w:p w14:paraId="6B40F23F" w14:textId="77777777" w:rsidR="00BF0619" w:rsidRPr="00ED520E" w:rsidRDefault="00BF0619" w:rsidP="00ED520E">
            <w:pPr>
              <w:keepNext/>
              <w:keepLines/>
              <w:suppressAutoHyphens w:val="0"/>
              <w:spacing w:after="120" w:line="220" w:lineRule="exact"/>
              <w:rPr>
                <w:noProof/>
                <w:sz w:val="18"/>
                <w:lang w:val="fr-FR"/>
              </w:rPr>
            </w:pPr>
            <w:r w:rsidRPr="00ED520E">
              <w:rPr>
                <w:noProof/>
                <w:sz w:val="18"/>
                <w:lang w:val="fr-FR"/>
              </w:rPr>
              <w:t>V.Real</w:t>
            </w:r>
          </w:p>
        </w:tc>
        <w:tc>
          <w:tcPr>
            <w:tcW w:w="3685" w:type="dxa"/>
            <w:tcBorders>
              <w:bottom w:val="single" w:sz="4" w:space="0" w:color="auto"/>
            </w:tcBorders>
            <w:shd w:val="clear" w:color="auto" w:fill="auto"/>
            <w:vAlign w:val="bottom"/>
          </w:tcPr>
          <w:p w14:paraId="359A5146" w14:textId="77777777" w:rsidR="00BF0619" w:rsidRPr="00ED520E" w:rsidRDefault="00BF0619" w:rsidP="00ED520E">
            <w:pPr>
              <w:keepNext/>
              <w:keepLines/>
              <w:suppressAutoHyphens w:val="0"/>
              <w:spacing w:after="120" w:line="220" w:lineRule="exact"/>
              <w:jc w:val="right"/>
              <w:rPr>
                <w:noProof/>
                <w:sz w:val="18"/>
                <w:lang w:val="fr-FR"/>
              </w:rPr>
            </w:pPr>
            <w:r w:rsidRPr="00ED520E">
              <w:rPr>
                <w:noProof/>
                <w:sz w:val="18"/>
                <w:lang w:val="fr-FR"/>
              </w:rPr>
              <w:t>19</w:t>
            </w:r>
          </w:p>
        </w:tc>
      </w:tr>
      <w:tr w:rsidR="00BF0619" w:rsidRPr="00ED520E" w14:paraId="301677E1" w14:textId="77777777" w:rsidTr="00ED520E">
        <w:trPr>
          <w:cantSplit/>
        </w:trPr>
        <w:tc>
          <w:tcPr>
            <w:tcW w:w="3685" w:type="dxa"/>
            <w:tcBorders>
              <w:top w:val="single" w:sz="4" w:space="0" w:color="auto"/>
              <w:bottom w:val="single" w:sz="12" w:space="0" w:color="auto"/>
            </w:tcBorders>
            <w:shd w:val="clear" w:color="auto" w:fill="auto"/>
          </w:tcPr>
          <w:p w14:paraId="5C66DD41" w14:textId="77777777" w:rsidR="00BF0619" w:rsidRPr="00ED520E" w:rsidRDefault="00BF0619" w:rsidP="00ED520E">
            <w:pPr>
              <w:suppressAutoHyphens w:val="0"/>
              <w:spacing w:after="120" w:line="220" w:lineRule="exact"/>
              <w:ind w:left="283"/>
              <w:rPr>
                <w:b/>
                <w:noProof/>
                <w:sz w:val="18"/>
                <w:lang w:val="fr-FR"/>
              </w:rPr>
            </w:pPr>
            <w:r w:rsidRPr="00ED520E">
              <w:rPr>
                <w:b/>
                <w:noProof/>
                <w:sz w:val="18"/>
                <w:lang w:val="fr-FR"/>
              </w:rPr>
              <w:t>Total</w:t>
            </w:r>
          </w:p>
        </w:tc>
        <w:tc>
          <w:tcPr>
            <w:tcW w:w="3685" w:type="dxa"/>
            <w:tcBorders>
              <w:top w:val="single" w:sz="4" w:space="0" w:color="auto"/>
              <w:bottom w:val="single" w:sz="12" w:space="0" w:color="auto"/>
            </w:tcBorders>
            <w:shd w:val="clear" w:color="auto" w:fill="auto"/>
            <w:vAlign w:val="bottom"/>
          </w:tcPr>
          <w:p w14:paraId="7142F0A2" w14:textId="77777777" w:rsidR="00BF0619" w:rsidRPr="00ED520E" w:rsidRDefault="00BF0619" w:rsidP="00ED520E">
            <w:pPr>
              <w:suppressAutoHyphens w:val="0"/>
              <w:spacing w:after="120" w:line="220" w:lineRule="exact"/>
              <w:jc w:val="right"/>
              <w:rPr>
                <w:b/>
                <w:noProof/>
                <w:sz w:val="18"/>
                <w:lang w:val="fr-FR"/>
              </w:rPr>
            </w:pPr>
            <w:r w:rsidRPr="00ED520E">
              <w:rPr>
                <w:b/>
                <w:noProof/>
                <w:sz w:val="18"/>
                <w:lang w:val="fr-FR"/>
              </w:rPr>
              <w:t>574</w:t>
            </w:r>
          </w:p>
        </w:tc>
      </w:tr>
    </w:tbl>
    <w:p w14:paraId="6901C47C" w14:textId="77777777" w:rsidR="00BF0619" w:rsidRPr="00AF434B" w:rsidRDefault="00BF0619" w:rsidP="00ED520E">
      <w:pPr>
        <w:spacing w:before="120" w:after="240"/>
        <w:ind w:left="1134" w:right="1134" w:firstLine="170"/>
        <w:rPr>
          <w:noProof/>
          <w:sz w:val="18"/>
          <w:lang w:val="fr-FR"/>
        </w:rPr>
      </w:pPr>
      <w:r w:rsidRPr="00AF434B">
        <w:rPr>
          <w:i/>
          <w:iCs/>
          <w:noProof/>
          <w:sz w:val="18"/>
          <w:lang w:val="fr-FR"/>
        </w:rPr>
        <w:t>Source</w:t>
      </w:r>
      <w:r w:rsidR="00ED520E">
        <w:rPr>
          <w:i/>
          <w:iCs/>
          <w:noProof/>
          <w:sz w:val="18"/>
          <w:lang w:val="fr-FR"/>
        </w:rPr>
        <w:t> </w:t>
      </w:r>
      <w:r w:rsidRPr="00AF434B">
        <w:rPr>
          <w:noProof/>
          <w:sz w:val="18"/>
          <w:lang w:val="fr-FR"/>
        </w:rPr>
        <w:t>:</w:t>
      </w:r>
      <w:r>
        <w:rPr>
          <w:noProof/>
          <w:sz w:val="18"/>
          <w:lang w:val="fr-FR"/>
        </w:rPr>
        <w:t xml:space="preserve"> </w:t>
      </w:r>
      <w:r w:rsidRPr="00AF434B">
        <w:rPr>
          <w:noProof/>
          <w:sz w:val="18"/>
          <w:lang w:val="fr-FR"/>
        </w:rPr>
        <w:t xml:space="preserve"> </w:t>
      </w:r>
      <w:r>
        <w:rPr>
          <w:noProof/>
          <w:sz w:val="18"/>
          <w:lang w:val="fr-FR"/>
        </w:rPr>
        <w:t>Institut de sécurité sociale</w:t>
      </w:r>
      <w:r w:rsidRPr="00AF434B">
        <w:rPr>
          <w:noProof/>
          <w:sz w:val="18"/>
          <w:lang w:val="fr-FR"/>
        </w:rPr>
        <w:t>, I.P (2018).</w:t>
      </w:r>
    </w:p>
    <w:p w14:paraId="03DBA969" w14:textId="77777777" w:rsidR="00BF0619" w:rsidRPr="00AF434B" w:rsidRDefault="00BF0619" w:rsidP="00BF0619">
      <w:pPr>
        <w:pStyle w:val="SingleTxtG"/>
        <w:rPr>
          <w:noProof/>
          <w:lang w:val="fr-FR"/>
        </w:rPr>
      </w:pPr>
      <w:r w:rsidRPr="00AF434B">
        <w:rPr>
          <w:noProof/>
          <w:lang w:val="fr-FR"/>
        </w:rPr>
        <w:t>186.</w:t>
      </w:r>
      <w:r w:rsidRPr="00AF434B">
        <w:rPr>
          <w:noProof/>
          <w:lang w:val="fr-FR"/>
        </w:rPr>
        <w:tab/>
      </w:r>
      <w:r>
        <w:rPr>
          <w:noProof/>
          <w:lang w:val="fr-FR"/>
        </w:rPr>
        <w:t>Il existe 17</w:t>
      </w:r>
      <w:r w:rsidR="00ED520E">
        <w:rPr>
          <w:noProof/>
          <w:lang w:val="fr-FR"/>
        </w:rPr>
        <w:t> </w:t>
      </w:r>
      <w:r>
        <w:rPr>
          <w:noProof/>
          <w:lang w:val="fr-FR"/>
        </w:rPr>
        <w:t>centres d’appui et d’a</w:t>
      </w:r>
      <w:r w:rsidRPr="00AF434B">
        <w:rPr>
          <w:noProof/>
          <w:lang w:val="fr-FR"/>
        </w:rPr>
        <w:t xml:space="preserve">ssistance </w:t>
      </w:r>
      <w:r>
        <w:rPr>
          <w:noProof/>
          <w:lang w:val="fr-FR"/>
        </w:rPr>
        <w:t>aux victimes de la violence familiale, qui mettent à la disposition de 425</w:t>
      </w:r>
      <w:r w:rsidR="00ED520E">
        <w:rPr>
          <w:noProof/>
          <w:lang w:val="fr-FR"/>
        </w:rPr>
        <w:t> </w:t>
      </w:r>
      <w:r>
        <w:rPr>
          <w:noProof/>
          <w:lang w:val="fr-FR"/>
        </w:rPr>
        <w:t xml:space="preserve">utilisateurs des équipes </w:t>
      </w:r>
      <w:r w:rsidRPr="00AF434B">
        <w:rPr>
          <w:noProof/>
          <w:lang w:val="fr-FR"/>
        </w:rPr>
        <w:t>multidisciplina</w:t>
      </w:r>
      <w:r>
        <w:rPr>
          <w:noProof/>
          <w:lang w:val="fr-FR"/>
        </w:rPr>
        <w:t>ires et leur offrent un appui sur les plans social, psychologique et juridique</w:t>
      </w:r>
      <w:r w:rsidRPr="00AF434B">
        <w:rPr>
          <w:noProof/>
          <w:lang w:val="fr-FR"/>
        </w:rPr>
        <w:t xml:space="preserve"> (</w:t>
      </w:r>
      <w:r>
        <w:rPr>
          <w:noProof/>
          <w:lang w:val="fr-FR"/>
        </w:rPr>
        <w:t>cinq accords de coopération n’ont pas précisé la capacité d’accueil moyenne car il s’agit d’accords déjà anciens</w:t>
      </w:r>
      <w:r w:rsidRPr="00AF434B">
        <w:rPr>
          <w:noProof/>
          <w:lang w:val="fr-FR"/>
        </w:rPr>
        <w:t>).</w:t>
      </w:r>
    </w:p>
    <w:p w14:paraId="1CFEC4E3" w14:textId="77777777" w:rsidR="00BF0619" w:rsidRPr="00AF434B" w:rsidRDefault="00BF0619" w:rsidP="00BF0619">
      <w:pPr>
        <w:pStyle w:val="SingleTxtG"/>
        <w:rPr>
          <w:noProof/>
          <w:lang w:val="fr-FR"/>
        </w:rPr>
      </w:pPr>
      <w:r w:rsidRPr="00AF434B">
        <w:rPr>
          <w:noProof/>
          <w:lang w:val="fr-FR"/>
        </w:rPr>
        <w:t>187.</w:t>
      </w:r>
      <w:r w:rsidRPr="00AF434B">
        <w:rPr>
          <w:noProof/>
          <w:lang w:val="fr-FR"/>
        </w:rPr>
        <w:tab/>
      </w:r>
      <w:r>
        <w:rPr>
          <w:noProof/>
          <w:lang w:val="fr-FR"/>
        </w:rPr>
        <w:t xml:space="preserve">La Commission pour la citoyenneté et l’égalité des sexes coordonne avec l’Institut de sécurité sociale le réseau national d’appui aux victimes de la violence familiale </w:t>
      </w:r>
      <w:r w:rsidRPr="00AF434B">
        <w:rPr>
          <w:noProof/>
          <w:lang w:val="fr-FR"/>
        </w:rPr>
        <w:t>(cr</w:t>
      </w:r>
      <w:r>
        <w:rPr>
          <w:noProof/>
          <w:lang w:val="fr-FR"/>
        </w:rPr>
        <w:t xml:space="preserve">éé par la loi n° </w:t>
      </w:r>
      <w:r w:rsidRPr="00AF434B">
        <w:rPr>
          <w:noProof/>
          <w:lang w:val="fr-FR"/>
        </w:rPr>
        <w:t>112/2009</w:t>
      </w:r>
      <w:r>
        <w:rPr>
          <w:noProof/>
          <w:lang w:val="fr-FR"/>
        </w:rPr>
        <w:t xml:space="preserve">, qui a défini le cadre juridique </w:t>
      </w:r>
      <w:r w:rsidRPr="00AF434B">
        <w:rPr>
          <w:noProof/>
          <w:lang w:val="fr-FR"/>
        </w:rPr>
        <w:t xml:space="preserve">applicable </w:t>
      </w:r>
      <w:r>
        <w:rPr>
          <w:noProof/>
          <w:lang w:val="fr-FR"/>
        </w:rPr>
        <w:t xml:space="preserve">à la </w:t>
      </w:r>
      <w:r w:rsidRPr="00AF434B">
        <w:rPr>
          <w:noProof/>
          <w:lang w:val="fr-FR"/>
        </w:rPr>
        <w:t>pr</w:t>
      </w:r>
      <w:r>
        <w:rPr>
          <w:noProof/>
          <w:lang w:val="fr-FR"/>
        </w:rPr>
        <w:t>é</w:t>
      </w:r>
      <w:r w:rsidRPr="00AF434B">
        <w:rPr>
          <w:noProof/>
          <w:lang w:val="fr-FR"/>
        </w:rPr>
        <w:t>vention</w:t>
      </w:r>
      <w:r>
        <w:rPr>
          <w:noProof/>
          <w:lang w:val="fr-FR"/>
        </w:rPr>
        <w:t xml:space="preserve"> de la violence familiale</w:t>
      </w:r>
      <w:r w:rsidRPr="00AF434B">
        <w:rPr>
          <w:noProof/>
          <w:lang w:val="fr-FR"/>
        </w:rPr>
        <w:t xml:space="preserve">, </w:t>
      </w:r>
      <w:r>
        <w:rPr>
          <w:noProof/>
          <w:lang w:val="fr-FR"/>
        </w:rPr>
        <w:t xml:space="preserve">à la </w:t>
      </w:r>
      <w:r w:rsidRPr="00AF434B">
        <w:rPr>
          <w:noProof/>
          <w:lang w:val="fr-FR"/>
        </w:rPr>
        <w:t xml:space="preserve">protection </w:t>
      </w:r>
      <w:r>
        <w:rPr>
          <w:noProof/>
          <w:lang w:val="fr-FR"/>
        </w:rPr>
        <w:t>de ses victimes et à l’</w:t>
      </w:r>
      <w:r w:rsidRPr="00AF434B">
        <w:rPr>
          <w:noProof/>
          <w:lang w:val="fr-FR"/>
        </w:rPr>
        <w:t xml:space="preserve">assistance </w:t>
      </w:r>
      <w:r>
        <w:rPr>
          <w:noProof/>
          <w:lang w:val="fr-FR"/>
        </w:rPr>
        <w:t>à leur apporter</w:t>
      </w:r>
      <w:r w:rsidRPr="00AF434B">
        <w:rPr>
          <w:noProof/>
          <w:lang w:val="fr-FR"/>
        </w:rPr>
        <w:t xml:space="preserve">). </w:t>
      </w:r>
    </w:p>
    <w:p w14:paraId="74D40497" w14:textId="77777777" w:rsidR="00BF0619" w:rsidRPr="00AF434B" w:rsidRDefault="00BF0619" w:rsidP="00BF0619">
      <w:pPr>
        <w:pStyle w:val="SingleTxtG"/>
        <w:rPr>
          <w:noProof/>
          <w:lang w:val="fr-FR"/>
        </w:rPr>
      </w:pPr>
      <w:r w:rsidRPr="00AF434B">
        <w:rPr>
          <w:noProof/>
          <w:lang w:val="fr-FR"/>
        </w:rPr>
        <w:t>188.</w:t>
      </w:r>
      <w:r w:rsidRPr="00AF434B">
        <w:rPr>
          <w:noProof/>
          <w:lang w:val="fr-FR"/>
        </w:rPr>
        <w:tab/>
      </w:r>
      <w:r>
        <w:rPr>
          <w:noProof/>
          <w:lang w:val="fr-FR"/>
        </w:rPr>
        <w:t xml:space="preserve">Le décret-loi </w:t>
      </w:r>
      <w:r w:rsidR="00ED520E" w:rsidRPr="00ED520E">
        <w:rPr>
          <w:rFonts w:eastAsia="MS Mincho"/>
          <w:noProof/>
          <w:szCs w:val="22"/>
          <w:lang w:val="fr-FR"/>
        </w:rPr>
        <w:t>n</w:t>
      </w:r>
      <w:r w:rsidR="00ED520E" w:rsidRPr="00ED520E">
        <w:rPr>
          <w:rFonts w:eastAsia="MS Mincho"/>
          <w:noProof/>
          <w:szCs w:val="22"/>
          <w:vertAlign w:val="superscript"/>
          <w:lang w:val="fr-FR"/>
        </w:rPr>
        <w:t>o</w:t>
      </w:r>
      <w:r w:rsidR="00ED520E">
        <w:rPr>
          <w:noProof/>
          <w:lang w:val="fr-FR"/>
        </w:rPr>
        <w:t> </w:t>
      </w:r>
      <w:r w:rsidRPr="00AF434B">
        <w:rPr>
          <w:noProof/>
          <w:lang w:val="fr-FR"/>
        </w:rPr>
        <w:t>2/2018</w:t>
      </w:r>
      <w:r>
        <w:rPr>
          <w:noProof/>
          <w:lang w:val="fr-FR"/>
        </w:rPr>
        <w:t xml:space="preserve"> du </w:t>
      </w:r>
      <w:r w:rsidRPr="00AF434B">
        <w:rPr>
          <w:noProof/>
          <w:lang w:val="fr-FR"/>
        </w:rPr>
        <w:t xml:space="preserve">24 </w:t>
      </w:r>
      <w:r>
        <w:rPr>
          <w:noProof/>
          <w:lang w:val="fr-FR"/>
        </w:rPr>
        <w:t>janvier réglemente les différentes interventions de ce réseau, en en harmonisant les règles de fonctionnement et en garantissant un niveau de qualité de services identique quel que soit le caractère juridique des interventions en faveur de ces victimes, afin d’améliorer leur organisation et leur efficacité</w:t>
      </w:r>
      <w:r w:rsidRPr="00AF434B">
        <w:rPr>
          <w:noProof/>
          <w:lang w:val="fr-FR"/>
        </w:rPr>
        <w:t xml:space="preserve">. </w:t>
      </w:r>
      <w:r>
        <w:rPr>
          <w:noProof/>
          <w:lang w:val="fr-FR"/>
        </w:rPr>
        <w:t xml:space="preserve">Le décret-loi visait également à aligner la législation en vigueur sur les directives nationales et </w:t>
      </w:r>
      <w:r w:rsidRPr="00AF434B">
        <w:rPr>
          <w:noProof/>
          <w:lang w:val="fr-FR"/>
        </w:rPr>
        <w:t>international</w:t>
      </w:r>
      <w:r>
        <w:rPr>
          <w:noProof/>
          <w:lang w:val="fr-FR"/>
        </w:rPr>
        <w:t xml:space="preserve">es concernant la </w:t>
      </w:r>
      <w:r w:rsidRPr="00AF434B">
        <w:rPr>
          <w:noProof/>
          <w:lang w:val="fr-FR"/>
        </w:rPr>
        <w:t>pr</w:t>
      </w:r>
      <w:r>
        <w:rPr>
          <w:noProof/>
          <w:lang w:val="fr-FR"/>
        </w:rPr>
        <w:t>é</w:t>
      </w:r>
      <w:r w:rsidRPr="00AF434B">
        <w:rPr>
          <w:noProof/>
          <w:lang w:val="fr-FR"/>
        </w:rPr>
        <w:t xml:space="preserve">vention </w:t>
      </w:r>
      <w:r>
        <w:rPr>
          <w:noProof/>
          <w:lang w:val="fr-FR"/>
        </w:rPr>
        <w:t xml:space="preserve">de la violence familiale, la protection de ses victimes et l’assistance à leur apporter, en particulier sur la </w:t>
      </w:r>
      <w:r w:rsidRPr="00AF434B">
        <w:rPr>
          <w:noProof/>
          <w:lang w:val="fr-FR"/>
        </w:rPr>
        <w:t xml:space="preserve">Convention </w:t>
      </w:r>
      <w:r>
        <w:rPr>
          <w:noProof/>
          <w:lang w:val="fr-FR"/>
        </w:rPr>
        <w:t xml:space="preserve">du </w:t>
      </w:r>
      <w:r w:rsidRPr="00AF434B">
        <w:rPr>
          <w:noProof/>
          <w:lang w:val="fr-FR"/>
        </w:rPr>
        <w:t>Co</w:t>
      </w:r>
      <w:r>
        <w:rPr>
          <w:noProof/>
          <w:lang w:val="fr-FR"/>
        </w:rPr>
        <w:t>nseil de l’</w:t>
      </w:r>
      <w:r w:rsidRPr="00AF434B">
        <w:rPr>
          <w:noProof/>
          <w:lang w:val="fr-FR"/>
        </w:rPr>
        <w:t xml:space="preserve">Europe </w:t>
      </w:r>
      <w:r>
        <w:rPr>
          <w:noProof/>
          <w:lang w:val="fr-FR"/>
        </w:rPr>
        <w:t>sur la pré</w:t>
      </w:r>
      <w:r w:rsidRPr="00AF434B">
        <w:rPr>
          <w:noProof/>
          <w:lang w:val="fr-FR"/>
        </w:rPr>
        <w:t xml:space="preserve">vention </w:t>
      </w:r>
      <w:r>
        <w:rPr>
          <w:noProof/>
          <w:lang w:val="fr-FR"/>
        </w:rPr>
        <w:t>et la lutte contre la violence à l’égard des femmes et la violence domestique</w:t>
      </w:r>
      <w:r w:rsidR="00D96DA3">
        <w:rPr>
          <w:noProof/>
          <w:lang w:val="fr-FR"/>
        </w:rPr>
        <w:t>(Convention d’Istambul</w:t>
      </w:r>
      <w:r w:rsidRPr="00AF434B">
        <w:rPr>
          <w:noProof/>
          <w:lang w:val="fr-FR"/>
        </w:rPr>
        <w:t>).</w:t>
      </w:r>
    </w:p>
    <w:p w14:paraId="04C103AE" w14:textId="77777777" w:rsidR="00BF0619" w:rsidRPr="00AF434B" w:rsidRDefault="00BF0619" w:rsidP="00BF0619">
      <w:pPr>
        <w:pStyle w:val="SingleTxtG"/>
        <w:rPr>
          <w:noProof/>
          <w:lang w:val="fr-FR"/>
        </w:rPr>
      </w:pPr>
      <w:r w:rsidRPr="00AF434B">
        <w:rPr>
          <w:noProof/>
          <w:lang w:val="fr-FR"/>
        </w:rPr>
        <w:t>189.</w:t>
      </w:r>
      <w:r w:rsidRPr="00AF434B">
        <w:rPr>
          <w:noProof/>
          <w:lang w:val="fr-FR"/>
        </w:rPr>
        <w:tab/>
      </w:r>
      <w:r>
        <w:rPr>
          <w:noProof/>
          <w:lang w:val="fr-FR"/>
        </w:rPr>
        <w:t>Le réseau national d’appui aux victimes de la violence familiale</w:t>
      </w:r>
      <w:r w:rsidRPr="00AF434B">
        <w:rPr>
          <w:noProof/>
          <w:lang w:val="fr-FR"/>
        </w:rPr>
        <w:t xml:space="preserve"> </w:t>
      </w:r>
      <w:r>
        <w:rPr>
          <w:noProof/>
          <w:lang w:val="fr-FR"/>
        </w:rPr>
        <w:t xml:space="preserve">offre trois </w:t>
      </w:r>
      <w:r w:rsidRPr="00AF434B">
        <w:rPr>
          <w:noProof/>
          <w:lang w:val="fr-FR"/>
        </w:rPr>
        <w:t xml:space="preserve">types </w:t>
      </w:r>
      <w:r>
        <w:rPr>
          <w:noProof/>
          <w:lang w:val="fr-FR"/>
        </w:rPr>
        <w:t>de</w:t>
      </w:r>
      <w:r w:rsidRPr="00AF434B">
        <w:rPr>
          <w:noProof/>
          <w:lang w:val="fr-FR"/>
        </w:rPr>
        <w:t xml:space="preserve"> services</w:t>
      </w:r>
      <w:r w:rsidR="00FD7E8F">
        <w:rPr>
          <w:noProof/>
          <w:lang w:val="fr-FR"/>
        </w:rPr>
        <w:t> </w:t>
      </w:r>
      <w:r w:rsidRPr="00AF434B">
        <w:rPr>
          <w:noProof/>
          <w:lang w:val="fr-FR"/>
        </w:rPr>
        <w:t xml:space="preserve">: </w:t>
      </w:r>
      <w:r>
        <w:rPr>
          <w:noProof/>
          <w:lang w:val="fr-FR"/>
        </w:rPr>
        <w:t xml:space="preserve">des </w:t>
      </w:r>
      <w:r w:rsidRPr="00AF434B">
        <w:rPr>
          <w:noProof/>
          <w:lang w:val="fr-FR"/>
        </w:rPr>
        <w:t>centres</w:t>
      </w:r>
      <w:r>
        <w:rPr>
          <w:noProof/>
          <w:lang w:val="fr-FR"/>
        </w:rPr>
        <w:t xml:space="preserve"> d’appui</w:t>
      </w:r>
      <w:r w:rsidRPr="00AF434B">
        <w:rPr>
          <w:noProof/>
          <w:lang w:val="fr-FR"/>
        </w:rPr>
        <w:t xml:space="preserve">, </w:t>
      </w:r>
      <w:r>
        <w:rPr>
          <w:noProof/>
          <w:lang w:val="fr-FR"/>
        </w:rPr>
        <w:t>des foyers d’urgence et des foyers d’accueil à long terme</w:t>
      </w:r>
      <w:r w:rsidRPr="00AF434B">
        <w:rPr>
          <w:noProof/>
          <w:lang w:val="fr-FR"/>
        </w:rPr>
        <w:t xml:space="preserve">. </w:t>
      </w:r>
      <w:r>
        <w:rPr>
          <w:noProof/>
          <w:lang w:val="fr-FR"/>
        </w:rPr>
        <w:t xml:space="preserve">Ces </w:t>
      </w:r>
      <w:r w:rsidRPr="00AF434B">
        <w:rPr>
          <w:noProof/>
          <w:lang w:val="fr-FR"/>
        </w:rPr>
        <w:t xml:space="preserve">services </w:t>
      </w:r>
      <w:r>
        <w:rPr>
          <w:noProof/>
          <w:lang w:val="fr-FR"/>
        </w:rPr>
        <w:t xml:space="preserve">font écho à </w:t>
      </w:r>
      <w:r w:rsidRPr="00AF434B">
        <w:rPr>
          <w:noProof/>
          <w:lang w:val="fr-FR"/>
        </w:rPr>
        <w:t>diff</w:t>
      </w:r>
      <w:r>
        <w:rPr>
          <w:noProof/>
          <w:lang w:val="fr-FR"/>
        </w:rPr>
        <w:t xml:space="preserve">érents niveaux d’évaluation des risques et offrent différents </w:t>
      </w:r>
      <w:r w:rsidRPr="00AF434B">
        <w:rPr>
          <w:noProof/>
          <w:lang w:val="fr-FR"/>
        </w:rPr>
        <w:t xml:space="preserve">types </w:t>
      </w:r>
      <w:r>
        <w:rPr>
          <w:noProof/>
          <w:lang w:val="fr-FR"/>
        </w:rPr>
        <w:t>d’</w:t>
      </w:r>
      <w:r w:rsidRPr="00AF434B">
        <w:rPr>
          <w:noProof/>
          <w:lang w:val="fr-FR"/>
        </w:rPr>
        <w:t xml:space="preserve">interventions </w:t>
      </w:r>
      <w:r>
        <w:rPr>
          <w:noProof/>
          <w:lang w:val="fr-FR"/>
        </w:rPr>
        <w:t xml:space="preserve">aux victimes et à leurs enfants </w:t>
      </w:r>
      <w:r w:rsidRPr="00AF434B">
        <w:rPr>
          <w:noProof/>
          <w:lang w:val="fr-FR"/>
        </w:rPr>
        <w:t>(</w:t>
      </w:r>
      <w:r>
        <w:rPr>
          <w:noProof/>
          <w:lang w:val="fr-FR"/>
        </w:rPr>
        <w:t>appui juridique, psychologique</w:t>
      </w:r>
      <w:r w:rsidRPr="00AF434B">
        <w:rPr>
          <w:noProof/>
          <w:lang w:val="fr-FR"/>
        </w:rPr>
        <w:t xml:space="preserve">, social </w:t>
      </w:r>
      <w:r>
        <w:rPr>
          <w:noProof/>
          <w:lang w:val="fr-FR"/>
        </w:rPr>
        <w:t>et économique</w:t>
      </w:r>
      <w:r w:rsidRPr="00AF434B">
        <w:rPr>
          <w:noProof/>
          <w:lang w:val="fr-FR"/>
        </w:rPr>
        <w:t xml:space="preserve">). </w:t>
      </w:r>
      <w:r>
        <w:rPr>
          <w:noProof/>
          <w:lang w:val="fr-FR"/>
        </w:rPr>
        <w:t xml:space="preserve">Le Guide des ressources de la Commission pour la citoyenneté et l’égalité des sexes et l’application mobile </w:t>
      </w:r>
      <w:r w:rsidRPr="00AF434B">
        <w:rPr>
          <w:noProof/>
          <w:lang w:val="fr-FR"/>
        </w:rPr>
        <w:t>AppVD</w:t>
      </w:r>
      <w:r>
        <w:rPr>
          <w:noProof/>
          <w:lang w:val="fr-FR"/>
        </w:rPr>
        <w:t xml:space="preserve">, lancée en octobre </w:t>
      </w:r>
      <w:r w:rsidRPr="00AF434B">
        <w:rPr>
          <w:noProof/>
          <w:lang w:val="fr-FR"/>
        </w:rPr>
        <w:t xml:space="preserve">2017, </w:t>
      </w:r>
      <w:r>
        <w:rPr>
          <w:noProof/>
          <w:lang w:val="fr-FR"/>
        </w:rPr>
        <w:t xml:space="preserve">fournissent des </w:t>
      </w:r>
      <w:r w:rsidRPr="00AF434B">
        <w:rPr>
          <w:noProof/>
          <w:lang w:val="fr-FR"/>
        </w:rPr>
        <w:t>information</w:t>
      </w:r>
      <w:r>
        <w:rPr>
          <w:noProof/>
          <w:lang w:val="fr-FR"/>
        </w:rPr>
        <w:t>s</w:t>
      </w:r>
      <w:r w:rsidRPr="00AF434B">
        <w:rPr>
          <w:noProof/>
          <w:lang w:val="fr-FR"/>
        </w:rPr>
        <w:t xml:space="preserve"> </w:t>
      </w:r>
      <w:r>
        <w:rPr>
          <w:noProof/>
          <w:lang w:val="fr-FR"/>
        </w:rPr>
        <w:t>sur l’ensemble des services d’appui disponibles dans le pays, indiquent la marche à suivre pour déposer une plainte ou demander des renseignements, et signalent les entités qui fournissent un soutien et un accompagnement psychologique aux victimes de la violence familiale</w:t>
      </w:r>
      <w:r w:rsidRPr="00AF434B">
        <w:rPr>
          <w:noProof/>
          <w:lang w:val="fr-FR"/>
        </w:rPr>
        <w:t>.</w:t>
      </w:r>
    </w:p>
    <w:p w14:paraId="7BB6D032" w14:textId="77777777" w:rsidR="00BF0619" w:rsidRPr="00AF434B" w:rsidRDefault="00BF0619" w:rsidP="00BF0619">
      <w:pPr>
        <w:pStyle w:val="SingleTxtG"/>
        <w:rPr>
          <w:noProof/>
          <w:lang w:val="fr-FR"/>
        </w:rPr>
      </w:pPr>
      <w:r w:rsidRPr="00AF434B">
        <w:rPr>
          <w:noProof/>
          <w:lang w:val="fr-FR"/>
        </w:rPr>
        <w:t>190.</w:t>
      </w:r>
      <w:r w:rsidRPr="00AF434B">
        <w:rPr>
          <w:noProof/>
          <w:lang w:val="fr-FR"/>
        </w:rPr>
        <w:tab/>
      </w:r>
      <w:r>
        <w:rPr>
          <w:noProof/>
          <w:lang w:val="fr-FR"/>
        </w:rPr>
        <w:t xml:space="preserve">À l’heure actuelle, le </w:t>
      </w:r>
      <w:r w:rsidRPr="00AF434B">
        <w:rPr>
          <w:noProof/>
          <w:lang w:val="fr-FR"/>
        </w:rPr>
        <w:t xml:space="preserve">Portugal </w:t>
      </w:r>
      <w:r>
        <w:rPr>
          <w:noProof/>
          <w:lang w:val="fr-FR"/>
        </w:rPr>
        <w:t xml:space="preserve">dispose de </w:t>
      </w:r>
      <w:r w:rsidRPr="00AF434B">
        <w:rPr>
          <w:noProof/>
          <w:lang w:val="fr-FR"/>
        </w:rPr>
        <w:t>39</w:t>
      </w:r>
      <w:r w:rsidR="00FD7E8F">
        <w:rPr>
          <w:noProof/>
          <w:lang w:val="fr-FR"/>
        </w:rPr>
        <w:t> </w:t>
      </w:r>
      <w:r>
        <w:rPr>
          <w:noProof/>
          <w:lang w:val="fr-FR"/>
        </w:rPr>
        <w:t>foyers d’accueil à long terme</w:t>
      </w:r>
      <w:r w:rsidRPr="00AF434B">
        <w:rPr>
          <w:noProof/>
          <w:lang w:val="fr-FR"/>
        </w:rPr>
        <w:t xml:space="preserve"> </w:t>
      </w:r>
      <w:r>
        <w:rPr>
          <w:noProof/>
          <w:lang w:val="fr-FR"/>
        </w:rPr>
        <w:t>pouvant accueillir jusqu’à 669</w:t>
      </w:r>
      <w:r w:rsidR="00ED520E">
        <w:rPr>
          <w:noProof/>
          <w:lang w:val="fr-FR"/>
        </w:rPr>
        <w:t> </w:t>
      </w:r>
      <w:r>
        <w:rPr>
          <w:noProof/>
          <w:lang w:val="fr-FR"/>
        </w:rPr>
        <w:t>victimes de la violence familiale et leurs enfants à charge sur l’ensemble du territoire national (y compris Madère et les Açores)</w:t>
      </w:r>
      <w:r w:rsidRPr="00AF434B">
        <w:rPr>
          <w:noProof/>
          <w:lang w:val="fr-FR"/>
        </w:rPr>
        <w:t xml:space="preserve">. </w:t>
      </w:r>
      <w:r>
        <w:rPr>
          <w:noProof/>
          <w:lang w:val="fr-FR"/>
        </w:rPr>
        <w:t xml:space="preserve">Il existe également, depuis octobre </w:t>
      </w:r>
      <w:r w:rsidRPr="00AF434B">
        <w:rPr>
          <w:noProof/>
          <w:lang w:val="fr-FR"/>
        </w:rPr>
        <w:t xml:space="preserve">2016, </w:t>
      </w:r>
      <w:r>
        <w:rPr>
          <w:noProof/>
          <w:lang w:val="fr-FR"/>
        </w:rPr>
        <w:t xml:space="preserve">un foyer pour les hommes victimes de la violence familiale </w:t>
      </w:r>
      <w:r w:rsidRPr="00AF434B">
        <w:rPr>
          <w:noProof/>
          <w:lang w:val="fr-FR"/>
        </w:rPr>
        <w:t>(10</w:t>
      </w:r>
      <w:r w:rsidR="00ED520E">
        <w:rPr>
          <w:noProof/>
          <w:lang w:val="fr-FR"/>
        </w:rPr>
        <w:t> </w:t>
      </w:r>
      <w:r>
        <w:rPr>
          <w:noProof/>
          <w:lang w:val="fr-FR"/>
        </w:rPr>
        <w:t>places</w:t>
      </w:r>
      <w:r w:rsidRPr="00AF434B">
        <w:rPr>
          <w:noProof/>
          <w:lang w:val="fr-FR"/>
        </w:rPr>
        <w:t xml:space="preserve">). </w:t>
      </w:r>
      <w:r>
        <w:rPr>
          <w:noProof/>
          <w:lang w:val="fr-FR"/>
        </w:rPr>
        <w:t>E</w:t>
      </w:r>
      <w:r w:rsidRPr="00AF434B">
        <w:rPr>
          <w:noProof/>
          <w:lang w:val="fr-FR"/>
        </w:rPr>
        <w:t xml:space="preserve">n </w:t>
      </w:r>
      <w:r>
        <w:rPr>
          <w:noProof/>
          <w:lang w:val="fr-FR"/>
        </w:rPr>
        <w:t>outre, 130</w:t>
      </w:r>
      <w:r w:rsidR="00ED520E">
        <w:rPr>
          <w:noProof/>
          <w:lang w:val="fr-FR"/>
        </w:rPr>
        <w:t> </w:t>
      </w:r>
      <w:r>
        <w:rPr>
          <w:noProof/>
          <w:lang w:val="fr-FR"/>
        </w:rPr>
        <w:t xml:space="preserve">places d’urgence sont disponibles pour une courte période pour répondre à des </w:t>
      </w:r>
      <w:r w:rsidRPr="00AF434B">
        <w:rPr>
          <w:noProof/>
          <w:lang w:val="fr-FR"/>
        </w:rPr>
        <w:t xml:space="preserve">situations </w:t>
      </w:r>
      <w:r>
        <w:rPr>
          <w:noProof/>
          <w:lang w:val="fr-FR"/>
        </w:rPr>
        <w:t>de crise</w:t>
      </w:r>
      <w:r w:rsidRPr="00AF434B">
        <w:rPr>
          <w:noProof/>
          <w:lang w:val="fr-FR"/>
        </w:rPr>
        <w:t xml:space="preserve">. </w:t>
      </w:r>
      <w:r>
        <w:rPr>
          <w:noProof/>
          <w:lang w:val="fr-FR"/>
        </w:rPr>
        <w:t>L’accueil ne peut alors se faire que s’il est strictement nécessaire et justifié par l’évaluation des risques</w:t>
      </w:r>
      <w:r w:rsidRPr="00AF434B">
        <w:rPr>
          <w:noProof/>
          <w:lang w:val="fr-FR"/>
        </w:rPr>
        <w:t xml:space="preserve">. </w:t>
      </w:r>
      <w:r>
        <w:rPr>
          <w:noProof/>
          <w:lang w:val="fr-FR"/>
        </w:rPr>
        <w:t xml:space="preserve">Les </w:t>
      </w:r>
      <w:r w:rsidRPr="00AF434B">
        <w:rPr>
          <w:noProof/>
          <w:lang w:val="fr-FR"/>
        </w:rPr>
        <w:t>39</w:t>
      </w:r>
      <w:r w:rsidR="00ED520E">
        <w:rPr>
          <w:noProof/>
          <w:lang w:val="fr-FR"/>
        </w:rPr>
        <w:t> </w:t>
      </w:r>
      <w:r>
        <w:rPr>
          <w:noProof/>
          <w:lang w:val="fr-FR"/>
        </w:rPr>
        <w:t xml:space="preserve">foyers du réseau national de foyers et les </w:t>
      </w:r>
      <w:r w:rsidRPr="00AF434B">
        <w:rPr>
          <w:noProof/>
          <w:lang w:val="fr-FR"/>
        </w:rPr>
        <w:t>130</w:t>
      </w:r>
      <w:r w:rsidR="00ED520E">
        <w:rPr>
          <w:noProof/>
          <w:lang w:val="fr-FR"/>
        </w:rPr>
        <w:t> </w:t>
      </w:r>
      <w:r>
        <w:rPr>
          <w:noProof/>
          <w:lang w:val="fr-FR"/>
        </w:rPr>
        <w:t>places d’urgence sont répartis dans</w:t>
      </w:r>
      <w:r w:rsidR="00ED520E">
        <w:rPr>
          <w:noProof/>
          <w:lang w:val="fr-FR"/>
        </w:rPr>
        <w:t> </w:t>
      </w:r>
      <w:r w:rsidRPr="00AF434B">
        <w:rPr>
          <w:noProof/>
          <w:lang w:val="fr-FR"/>
        </w:rPr>
        <w:t xml:space="preserve">15 </w:t>
      </w:r>
      <w:r>
        <w:rPr>
          <w:noProof/>
          <w:lang w:val="fr-FR"/>
        </w:rPr>
        <w:t xml:space="preserve">des </w:t>
      </w:r>
      <w:r w:rsidRPr="00AF434B">
        <w:rPr>
          <w:noProof/>
          <w:lang w:val="fr-FR"/>
        </w:rPr>
        <w:t>18</w:t>
      </w:r>
      <w:r w:rsidR="00ED520E">
        <w:rPr>
          <w:noProof/>
          <w:lang w:val="fr-FR"/>
        </w:rPr>
        <w:t> </w:t>
      </w:r>
      <w:r w:rsidRPr="00AF434B">
        <w:rPr>
          <w:noProof/>
          <w:lang w:val="fr-FR"/>
        </w:rPr>
        <w:t xml:space="preserve">districts </w:t>
      </w:r>
      <w:r>
        <w:rPr>
          <w:noProof/>
          <w:lang w:val="fr-FR"/>
        </w:rPr>
        <w:t xml:space="preserve">du Portugal continental </w:t>
      </w:r>
      <w:r w:rsidRPr="00AF434B">
        <w:rPr>
          <w:noProof/>
          <w:lang w:val="fr-FR"/>
        </w:rPr>
        <w:t>(</w:t>
      </w:r>
      <w:r>
        <w:rPr>
          <w:noProof/>
          <w:lang w:val="fr-FR"/>
        </w:rPr>
        <w:t xml:space="preserve">soit </w:t>
      </w:r>
      <w:r w:rsidRPr="00AF434B">
        <w:rPr>
          <w:noProof/>
          <w:lang w:val="fr-FR"/>
        </w:rPr>
        <w:t>83</w:t>
      </w:r>
      <w:r w:rsidR="00ED520E">
        <w:rPr>
          <w:noProof/>
          <w:lang w:val="fr-FR"/>
        </w:rPr>
        <w:t> </w:t>
      </w:r>
      <w:r w:rsidRPr="00AF434B">
        <w:rPr>
          <w:noProof/>
          <w:lang w:val="fr-FR"/>
        </w:rPr>
        <w:t xml:space="preserve">% </w:t>
      </w:r>
      <w:r>
        <w:rPr>
          <w:noProof/>
          <w:lang w:val="fr-FR"/>
        </w:rPr>
        <w:t>du territoire</w:t>
      </w:r>
      <w:r w:rsidRPr="00AF434B">
        <w:rPr>
          <w:noProof/>
          <w:lang w:val="fr-FR"/>
        </w:rPr>
        <w:t xml:space="preserve">) </w:t>
      </w:r>
      <w:r>
        <w:rPr>
          <w:noProof/>
          <w:lang w:val="fr-FR"/>
        </w:rPr>
        <w:t xml:space="preserve">et dans les deux régions autonomes </w:t>
      </w:r>
      <w:r w:rsidRPr="00AF434B">
        <w:rPr>
          <w:noProof/>
          <w:lang w:val="fr-FR"/>
        </w:rPr>
        <w:t>(</w:t>
      </w:r>
      <w:r>
        <w:rPr>
          <w:noProof/>
          <w:lang w:val="fr-FR"/>
        </w:rPr>
        <w:t>l’ensemble du territoire est donc couvert</w:t>
      </w:r>
      <w:r w:rsidRPr="00AF434B">
        <w:rPr>
          <w:noProof/>
          <w:lang w:val="fr-FR"/>
        </w:rPr>
        <w:t xml:space="preserve">). </w:t>
      </w:r>
      <w:r>
        <w:rPr>
          <w:noProof/>
          <w:lang w:val="fr-FR"/>
        </w:rPr>
        <w:t xml:space="preserve">Le pays compte également </w:t>
      </w:r>
      <w:r w:rsidRPr="00AF434B">
        <w:rPr>
          <w:noProof/>
          <w:lang w:val="fr-FR"/>
        </w:rPr>
        <w:t>130</w:t>
      </w:r>
      <w:r w:rsidR="00ED520E">
        <w:rPr>
          <w:noProof/>
          <w:lang w:val="fr-FR"/>
        </w:rPr>
        <w:t> </w:t>
      </w:r>
      <w:r w:rsidRPr="00AF434B">
        <w:rPr>
          <w:noProof/>
          <w:lang w:val="fr-FR"/>
        </w:rPr>
        <w:t>centres</w:t>
      </w:r>
      <w:r>
        <w:rPr>
          <w:noProof/>
          <w:lang w:val="fr-FR"/>
        </w:rPr>
        <w:t xml:space="preserve"> d’appui</w:t>
      </w:r>
      <w:r w:rsidRPr="00AF434B">
        <w:rPr>
          <w:noProof/>
          <w:lang w:val="fr-FR"/>
        </w:rPr>
        <w:t xml:space="preserve">, </w:t>
      </w:r>
      <w:r>
        <w:rPr>
          <w:noProof/>
          <w:lang w:val="fr-FR"/>
        </w:rPr>
        <w:t xml:space="preserve">dont </w:t>
      </w:r>
      <w:r w:rsidRPr="00AF434B">
        <w:rPr>
          <w:noProof/>
          <w:lang w:val="fr-FR"/>
        </w:rPr>
        <w:t xml:space="preserve">22 </w:t>
      </w:r>
      <w:r>
        <w:rPr>
          <w:noProof/>
          <w:lang w:val="fr-FR"/>
        </w:rPr>
        <w:t xml:space="preserve">se trouvent dans les îles des </w:t>
      </w:r>
      <w:r w:rsidRPr="00AF434B">
        <w:rPr>
          <w:noProof/>
          <w:lang w:val="fr-FR"/>
        </w:rPr>
        <w:t>A</w:t>
      </w:r>
      <w:r>
        <w:rPr>
          <w:noProof/>
          <w:lang w:val="fr-FR"/>
        </w:rPr>
        <w:t>ç</w:t>
      </w:r>
      <w:r w:rsidRPr="00AF434B">
        <w:rPr>
          <w:noProof/>
          <w:lang w:val="fr-FR"/>
        </w:rPr>
        <w:t xml:space="preserve">ores </w:t>
      </w:r>
      <w:r>
        <w:rPr>
          <w:noProof/>
          <w:lang w:val="fr-FR"/>
        </w:rPr>
        <w:t>et de Madère</w:t>
      </w:r>
      <w:r w:rsidRPr="00AF434B">
        <w:rPr>
          <w:noProof/>
          <w:lang w:val="fr-FR"/>
        </w:rPr>
        <w:t>.</w:t>
      </w:r>
    </w:p>
    <w:p w14:paraId="2F5E11E4" w14:textId="77777777" w:rsidR="00BF0619" w:rsidRPr="00AF434B" w:rsidRDefault="00BF0619" w:rsidP="00BF0619">
      <w:pPr>
        <w:pStyle w:val="SingleTxtG"/>
        <w:rPr>
          <w:noProof/>
          <w:lang w:val="fr-FR"/>
        </w:rPr>
      </w:pPr>
      <w:r w:rsidRPr="00AF434B">
        <w:rPr>
          <w:noProof/>
          <w:lang w:val="fr-FR"/>
        </w:rPr>
        <w:t>191.</w:t>
      </w:r>
      <w:r w:rsidRPr="00AF434B">
        <w:rPr>
          <w:noProof/>
          <w:lang w:val="fr-FR"/>
        </w:rPr>
        <w:tab/>
      </w:r>
      <w:r>
        <w:rPr>
          <w:noProof/>
          <w:lang w:val="fr-FR"/>
        </w:rPr>
        <w:t xml:space="preserve">Une ligne nationale d’urgence sociale garantit une intervention immédiate pour faire face à des </w:t>
      </w:r>
      <w:r w:rsidRPr="00AF434B">
        <w:rPr>
          <w:noProof/>
          <w:lang w:val="fr-FR"/>
        </w:rPr>
        <w:t xml:space="preserve">situations </w:t>
      </w:r>
      <w:r>
        <w:rPr>
          <w:noProof/>
          <w:lang w:val="fr-FR"/>
        </w:rPr>
        <w:t>qui appellent la prise de mesures urgentes en matière de protection sociale</w:t>
      </w:r>
      <w:r w:rsidRPr="00AF434B">
        <w:rPr>
          <w:noProof/>
          <w:lang w:val="fr-FR"/>
        </w:rPr>
        <w:t xml:space="preserve">. </w:t>
      </w:r>
      <w:r>
        <w:rPr>
          <w:noProof/>
          <w:lang w:val="fr-FR"/>
        </w:rPr>
        <w:t>Il s’agit d’un service public gratuit qui fonctionne sans interruption, répond immédiatement aux appelants et prend en charge les situations d’urgence sociale</w:t>
      </w:r>
      <w:r w:rsidRPr="00AF434B">
        <w:rPr>
          <w:noProof/>
          <w:lang w:val="fr-FR"/>
        </w:rPr>
        <w:t>.</w:t>
      </w:r>
    </w:p>
    <w:p w14:paraId="46E117E4" w14:textId="77777777" w:rsidR="00BF0619" w:rsidRPr="00AF434B" w:rsidRDefault="00BF0619" w:rsidP="00BF0619">
      <w:pPr>
        <w:pStyle w:val="SingleTxtG"/>
        <w:rPr>
          <w:noProof/>
          <w:lang w:val="fr-FR"/>
        </w:rPr>
      </w:pPr>
      <w:r w:rsidRPr="00AF434B">
        <w:rPr>
          <w:noProof/>
          <w:lang w:val="fr-FR"/>
        </w:rPr>
        <w:t>192.</w:t>
      </w:r>
      <w:r w:rsidRPr="00AF434B">
        <w:rPr>
          <w:noProof/>
          <w:lang w:val="fr-FR"/>
        </w:rPr>
        <w:tab/>
      </w:r>
      <w:r>
        <w:rPr>
          <w:noProof/>
          <w:lang w:val="fr-FR"/>
        </w:rPr>
        <w:t>E</w:t>
      </w:r>
      <w:r w:rsidRPr="00AF434B">
        <w:rPr>
          <w:noProof/>
          <w:lang w:val="fr-FR"/>
        </w:rPr>
        <w:t>n 2017</w:t>
      </w:r>
      <w:r>
        <w:rPr>
          <w:noProof/>
          <w:lang w:val="fr-FR"/>
        </w:rPr>
        <w:t>,</w:t>
      </w:r>
      <w:r w:rsidRPr="00AF434B">
        <w:rPr>
          <w:noProof/>
          <w:lang w:val="fr-FR"/>
        </w:rPr>
        <w:t xml:space="preserve"> </w:t>
      </w:r>
      <w:r>
        <w:rPr>
          <w:noProof/>
          <w:lang w:val="fr-FR"/>
        </w:rPr>
        <w:t>la</w:t>
      </w:r>
      <w:r w:rsidRPr="00AF434B">
        <w:rPr>
          <w:noProof/>
          <w:lang w:val="fr-FR"/>
        </w:rPr>
        <w:t xml:space="preserve"> Commission </w:t>
      </w:r>
      <w:r>
        <w:rPr>
          <w:noProof/>
          <w:lang w:val="fr-FR"/>
        </w:rPr>
        <w:t>européenne a financé le « Projet relatif à la violence sexuelle dans les relations intimes »</w:t>
      </w:r>
      <w:r w:rsidRPr="00AF434B">
        <w:rPr>
          <w:noProof/>
          <w:lang w:val="fr-FR"/>
        </w:rPr>
        <w:t xml:space="preserve"> </w:t>
      </w:r>
      <w:r>
        <w:rPr>
          <w:noProof/>
          <w:lang w:val="fr-FR"/>
        </w:rPr>
        <w:t xml:space="preserve">portant sur les craintes de traitement injuste fondé sur des croyances et des </w:t>
      </w:r>
      <w:r w:rsidRPr="00AF434B">
        <w:rPr>
          <w:noProof/>
          <w:lang w:val="fr-FR"/>
        </w:rPr>
        <w:t>attitudes</w:t>
      </w:r>
      <w:r>
        <w:rPr>
          <w:noProof/>
          <w:lang w:val="fr-FR"/>
        </w:rPr>
        <w:t>, projet dont la promotion a été assurée par la Commission pour la citoyenneté et l’égalité des sexes en partenariat avec le Ministère du travail, de la solidarité et de la sécurité sociale</w:t>
      </w:r>
      <w:r w:rsidRPr="00AF434B">
        <w:rPr>
          <w:noProof/>
          <w:lang w:val="fr-FR"/>
        </w:rPr>
        <w:t xml:space="preserve">, </w:t>
      </w:r>
      <w:r>
        <w:rPr>
          <w:noProof/>
          <w:lang w:val="fr-FR"/>
        </w:rPr>
        <w:t>le Ministère de la santé</w:t>
      </w:r>
      <w:r w:rsidRPr="00AF434B">
        <w:rPr>
          <w:noProof/>
          <w:lang w:val="fr-FR"/>
        </w:rPr>
        <w:t xml:space="preserve">, </w:t>
      </w:r>
      <w:r>
        <w:rPr>
          <w:noProof/>
          <w:lang w:val="fr-FR"/>
        </w:rPr>
        <w:t>le Ministère de l’éducation</w:t>
      </w:r>
      <w:r w:rsidRPr="00AF434B">
        <w:rPr>
          <w:noProof/>
          <w:lang w:val="fr-FR"/>
        </w:rPr>
        <w:t xml:space="preserve">, </w:t>
      </w:r>
      <w:r>
        <w:rPr>
          <w:noProof/>
          <w:lang w:val="fr-FR"/>
        </w:rPr>
        <w:t xml:space="preserve">le </w:t>
      </w:r>
      <w:r w:rsidRPr="00AF434B">
        <w:rPr>
          <w:noProof/>
          <w:lang w:val="fr-FR"/>
        </w:rPr>
        <w:t>Minist</w:t>
      </w:r>
      <w:r>
        <w:rPr>
          <w:noProof/>
          <w:lang w:val="fr-FR"/>
        </w:rPr>
        <w:t xml:space="preserve">ère de la </w:t>
      </w:r>
      <w:r w:rsidRPr="00AF434B">
        <w:rPr>
          <w:noProof/>
          <w:lang w:val="fr-FR"/>
        </w:rPr>
        <w:t xml:space="preserve">Justice </w:t>
      </w:r>
      <w:r>
        <w:rPr>
          <w:noProof/>
          <w:lang w:val="fr-FR"/>
        </w:rPr>
        <w:t xml:space="preserve">et le </w:t>
      </w:r>
      <w:r w:rsidRPr="00AF434B">
        <w:rPr>
          <w:noProof/>
          <w:lang w:val="fr-FR"/>
        </w:rPr>
        <w:t>Secr</w:t>
      </w:r>
      <w:r>
        <w:rPr>
          <w:noProof/>
          <w:lang w:val="fr-FR"/>
        </w:rPr>
        <w:t>é</w:t>
      </w:r>
      <w:r w:rsidRPr="00AF434B">
        <w:rPr>
          <w:noProof/>
          <w:lang w:val="fr-FR"/>
        </w:rPr>
        <w:t xml:space="preserve">tariat </w:t>
      </w:r>
      <w:r>
        <w:rPr>
          <w:noProof/>
          <w:lang w:val="fr-FR"/>
        </w:rPr>
        <w:t>général du Ministère de l’administration interne. Ce</w:t>
      </w:r>
      <w:r w:rsidR="00ED520E">
        <w:rPr>
          <w:noProof/>
          <w:lang w:val="fr-FR"/>
        </w:rPr>
        <w:t> </w:t>
      </w:r>
      <w:r>
        <w:rPr>
          <w:noProof/>
          <w:lang w:val="fr-FR"/>
        </w:rPr>
        <w:t xml:space="preserve">projet, dont l’exécution doit se dérouler entre mai </w:t>
      </w:r>
      <w:r w:rsidRPr="00AF434B">
        <w:rPr>
          <w:noProof/>
          <w:lang w:val="fr-FR"/>
        </w:rPr>
        <w:t xml:space="preserve">2017 </w:t>
      </w:r>
      <w:r>
        <w:rPr>
          <w:noProof/>
          <w:lang w:val="fr-FR"/>
        </w:rPr>
        <w:t>et</w:t>
      </w:r>
      <w:r w:rsidRPr="00AF434B">
        <w:rPr>
          <w:noProof/>
          <w:lang w:val="fr-FR"/>
        </w:rPr>
        <w:t xml:space="preserve"> </w:t>
      </w:r>
      <w:r>
        <w:rPr>
          <w:noProof/>
          <w:lang w:val="fr-FR"/>
        </w:rPr>
        <w:t>n</w:t>
      </w:r>
      <w:r w:rsidRPr="00AF434B">
        <w:rPr>
          <w:noProof/>
          <w:lang w:val="fr-FR"/>
        </w:rPr>
        <w:t>ovemb</w:t>
      </w:r>
      <w:r>
        <w:rPr>
          <w:noProof/>
          <w:lang w:val="fr-FR"/>
        </w:rPr>
        <w:t>re</w:t>
      </w:r>
      <w:r w:rsidRPr="00AF434B">
        <w:rPr>
          <w:noProof/>
          <w:lang w:val="fr-FR"/>
        </w:rPr>
        <w:t xml:space="preserve"> 2019</w:t>
      </w:r>
      <w:r>
        <w:rPr>
          <w:noProof/>
          <w:lang w:val="fr-FR"/>
        </w:rPr>
        <w:t>, vise à sensibiliser les parties prenantes stratégiques, à savoir les administrateurs publics et les partenaires</w:t>
      </w:r>
      <w:r w:rsidRPr="00AF434B">
        <w:rPr>
          <w:noProof/>
          <w:lang w:val="fr-FR"/>
        </w:rPr>
        <w:t xml:space="preserve">. </w:t>
      </w:r>
    </w:p>
    <w:p w14:paraId="445E6B48" w14:textId="77777777" w:rsidR="00BF0619" w:rsidRPr="00AF434B" w:rsidRDefault="00BF0619" w:rsidP="00BF0619">
      <w:pPr>
        <w:pStyle w:val="SingleTxtG"/>
        <w:rPr>
          <w:noProof/>
          <w:lang w:val="fr-FR"/>
        </w:rPr>
      </w:pPr>
      <w:r w:rsidRPr="00AF434B">
        <w:rPr>
          <w:noProof/>
          <w:lang w:val="fr-FR"/>
        </w:rPr>
        <w:t>193.</w:t>
      </w:r>
      <w:r w:rsidRPr="00AF434B">
        <w:rPr>
          <w:noProof/>
          <w:lang w:val="fr-FR"/>
        </w:rPr>
        <w:tab/>
      </w:r>
      <w:r>
        <w:rPr>
          <w:noProof/>
          <w:lang w:val="fr-FR"/>
        </w:rPr>
        <w:t>La Commission pour la citoyenneté et l’égalité des sexes a coordonné l’exécution du V</w:t>
      </w:r>
      <w:r w:rsidRPr="00FD7E8F">
        <w:rPr>
          <w:noProof/>
          <w:vertAlign w:val="superscript"/>
          <w:lang w:val="fr-FR"/>
        </w:rPr>
        <w:t>e</w:t>
      </w:r>
      <w:r w:rsidR="00FD7E8F">
        <w:rPr>
          <w:noProof/>
          <w:lang w:val="fr-FR"/>
        </w:rPr>
        <w:t> </w:t>
      </w:r>
      <w:r>
        <w:rPr>
          <w:noProof/>
          <w:lang w:val="fr-FR"/>
        </w:rPr>
        <w:t xml:space="preserve">Plan national d’action préventive et de lutte contre la violence familiale et la violence sexiste pour </w:t>
      </w:r>
      <w:r w:rsidRPr="00AF434B">
        <w:rPr>
          <w:noProof/>
          <w:lang w:val="fr-FR"/>
        </w:rPr>
        <w:t>2014</w:t>
      </w:r>
      <w:r>
        <w:rPr>
          <w:noProof/>
          <w:lang w:val="fr-FR"/>
        </w:rPr>
        <w:t>-</w:t>
      </w:r>
      <w:r w:rsidRPr="00AF434B">
        <w:rPr>
          <w:noProof/>
          <w:lang w:val="fr-FR"/>
        </w:rPr>
        <w:t xml:space="preserve">2017. </w:t>
      </w:r>
      <w:r>
        <w:rPr>
          <w:noProof/>
          <w:lang w:val="fr-FR"/>
        </w:rPr>
        <w:t>Lorsqu’elle a pris fin, le Gouvernement a adopté une nouvelle approche consistant à inscrire les mesures se rapportant à l’égalité des sexes et à la violence sexiste dans une stratégie plus large et à plus long terme</w:t>
      </w:r>
      <w:r w:rsidRPr="00AF434B">
        <w:rPr>
          <w:noProof/>
          <w:lang w:val="fr-FR"/>
        </w:rPr>
        <w:t xml:space="preserve">. </w:t>
      </w:r>
      <w:r>
        <w:rPr>
          <w:noProof/>
          <w:lang w:val="fr-FR"/>
        </w:rPr>
        <w:t>Le calendrier de la Stratégie n</w:t>
      </w:r>
      <w:r w:rsidRPr="00AF434B">
        <w:rPr>
          <w:noProof/>
          <w:lang w:val="fr-FR"/>
        </w:rPr>
        <w:t>ational</w:t>
      </w:r>
      <w:r>
        <w:rPr>
          <w:noProof/>
          <w:lang w:val="fr-FR"/>
        </w:rPr>
        <w:t>e pour l’égalité et la n</w:t>
      </w:r>
      <w:r w:rsidRPr="00AF434B">
        <w:rPr>
          <w:noProof/>
          <w:lang w:val="fr-FR"/>
        </w:rPr>
        <w:t>on</w:t>
      </w:r>
      <w:r>
        <w:rPr>
          <w:noProof/>
          <w:lang w:val="fr-FR"/>
        </w:rPr>
        <w:t>-d</w:t>
      </w:r>
      <w:r w:rsidRPr="00AF434B">
        <w:rPr>
          <w:noProof/>
          <w:lang w:val="fr-FR"/>
        </w:rPr>
        <w:t xml:space="preserve">iscrimination </w:t>
      </w:r>
      <w:r>
        <w:rPr>
          <w:noProof/>
          <w:lang w:val="fr-FR"/>
        </w:rPr>
        <w:t xml:space="preserve">a été élaboré en fonction du </w:t>
      </w:r>
      <w:r w:rsidRPr="00780E84">
        <w:rPr>
          <w:noProof/>
          <w:lang w:val="fr-FR"/>
        </w:rPr>
        <w:t>Programme de développement durable à l’horizon 2030</w:t>
      </w:r>
      <w:r>
        <w:rPr>
          <w:noProof/>
          <w:lang w:val="fr-FR"/>
        </w:rPr>
        <w:t xml:space="preserve"> et comprend trois périodes de quatre ans qui feront chacune l’objet d’une évaluation</w:t>
      </w:r>
      <w:r w:rsidRPr="00AF434B">
        <w:rPr>
          <w:noProof/>
          <w:lang w:val="fr-FR"/>
        </w:rPr>
        <w:t xml:space="preserve">. </w:t>
      </w:r>
      <w:r>
        <w:rPr>
          <w:noProof/>
          <w:lang w:val="fr-FR"/>
        </w:rPr>
        <w:t xml:space="preserve">La nouvelle stratégie est organisée en trois plans d’action portant sur l’égalité des sexes, la violence contre les femmes et les droits des personnes </w:t>
      </w:r>
      <w:r w:rsidRPr="00AF434B">
        <w:rPr>
          <w:noProof/>
          <w:lang w:val="fr-FR"/>
        </w:rPr>
        <w:t>LGBTI.</w:t>
      </w:r>
    </w:p>
    <w:p w14:paraId="754680BF" w14:textId="77777777" w:rsidR="00BF0619" w:rsidRPr="00AF434B" w:rsidRDefault="00BF0619" w:rsidP="00BF0619">
      <w:pPr>
        <w:pStyle w:val="SingleTxtG"/>
        <w:rPr>
          <w:noProof/>
          <w:lang w:val="fr-FR"/>
        </w:rPr>
      </w:pPr>
      <w:r w:rsidRPr="00AF434B">
        <w:rPr>
          <w:noProof/>
          <w:lang w:val="fr-FR"/>
        </w:rPr>
        <w:t>194.</w:t>
      </w:r>
      <w:r w:rsidRPr="00AF434B">
        <w:rPr>
          <w:noProof/>
          <w:lang w:val="fr-FR"/>
        </w:rPr>
        <w:tab/>
      </w:r>
      <w:r>
        <w:rPr>
          <w:noProof/>
          <w:lang w:val="fr-FR"/>
        </w:rPr>
        <w:t xml:space="preserve">Le </w:t>
      </w:r>
      <w:r w:rsidRPr="00AF434B">
        <w:rPr>
          <w:noProof/>
          <w:lang w:val="fr-FR"/>
        </w:rPr>
        <w:t xml:space="preserve">Plan </w:t>
      </w:r>
      <w:r>
        <w:rPr>
          <w:noProof/>
          <w:lang w:val="fr-FR"/>
        </w:rPr>
        <w:t>d’action préventive et de lutte contre toutes les formes de violence contre les femmes, la violence sexiste et la violence familiale de la Stratégie nationale en faveur de l’égalité et de la non-discrimination prévoit des mesures spécialement conçues pour combattre et prévenir la violence familiale. Il s’agit des mesures ci-après</w:t>
      </w:r>
      <w:r w:rsidR="00FD7E8F">
        <w:rPr>
          <w:noProof/>
          <w:lang w:val="fr-FR"/>
        </w:rPr>
        <w:t> :</w:t>
      </w:r>
    </w:p>
    <w:p w14:paraId="2CC60631" w14:textId="77777777" w:rsidR="00BF0619" w:rsidRPr="00AF434B" w:rsidRDefault="00BF0619" w:rsidP="00ED520E">
      <w:pPr>
        <w:pStyle w:val="SingleTxtG"/>
        <w:ind w:firstLine="567"/>
        <w:rPr>
          <w:noProof/>
          <w:lang w:val="fr-FR"/>
        </w:rPr>
      </w:pPr>
      <w:r w:rsidRPr="00AF434B">
        <w:rPr>
          <w:noProof/>
          <w:lang w:val="fr-FR"/>
        </w:rPr>
        <w:t>a)</w:t>
      </w:r>
      <w:r w:rsidRPr="00AF434B">
        <w:rPr>
          <w:noProof/>
          <w:lang w:val="fr-FR"/>
        </w:rPr>
        <w:tab/>
        <w:t>Pr</w:t>
      </w:r>
      <w:r>
        <w:rPr>
          <w:noProof/>
          <w:lang w:val="fr-FR"/>
        </w:rPr>
        <w:t xml:space="preserve">évenir </w:t>
      </w:r>
      <w:r w:rsidR="00ED520E">
        <w:rPr>
          <w:noProof/>
          <w:lang w:val="fr-FR"/>
        </w:rPr>
        <w:t>− </w:t>
      </w:r>
      <w:r>
        <w:rPr>
          <w:noProof/>
          <w:lang w:val="fr-FR"/>
        </w:rPr>
        <w:t xml:space="preserve">éliminer la tolérance sociale à l’égard des diverses </w:t>
      </w:r>
      <w:r w:rsidRPr="00AF434B">
        <w:rPr>
          <w:noProof/>
          <w:lang w:val="fr-FR"/>
        </w:rPr>
        <w:t xml:space="preserve">manifestations </w:t>
      </w:r>
      <w:r>
        <w:rPr>
          <w:noProof/>
          <w:lang w:val="fr-FR"/>
        </w:rPr>
        <w:t xml:space="preserve">de la </w:t>
      </w:r>
      <w:r w:rsidRPr="00AF434B">
        <w:rPr>
          <w:noProof/>
          <w:lang w:val="fr-FR"/>
        </w:rPr>
        <w:t xml:space="preserve">violence </w:t>
      </w:r>
      <w:r>
        <w:rPr>
          <w:noProof/>
          <w:lang w:val="fr-FR"/>
        </w:rPr>
        <w:t>contre les femmes et de la violence familiale</w:t>
      </w:r>
      <w:r w:rsidRPr="00AF434B">
        <w:rPr>
          <w:noProof/>
          <w:lang w:val="fr-FR"/>
        </w:rPr>
        <w:t xml:space="preserve">, </w:t>
      </w:r>
      <w:r>
        <w:rPr>
          <w:noProof/>
          <w:lang w:val="fr-FR"/>
        </w:rPr>
        <w:t xml:space="preserve">faire mieux connaître les répercussions de cette violence et promouvoir une </w:t>
      </w:r>
      <w:r w:rsidRPr="00AF434B">
        <w:rPr>
          <w:noProof/>
          <w:lang w:val="fr-FR"/>
        </w:rPr>
        <w:t xml:space="preserve">culture </w:t>
      </w:r>
      <w:r>
        <w:rPr>
          <w:noProof/>
          <w:lang w:val="fr-FR"/>
        </w:rPr>
        <w:t xml:space="preserve">de la </w:t>
      </w:r>
      <w:r w:rsidRPr="00AF434B">
        <w:rPr>
          <w:noProof/>
          <w:lang w:val="fr-FR"/>
        </w:rPr>
        <w:t xml:space="preserve">non-violence, </w:t>
      </w:r>
      <w:r>
        <w:rPr>
          <w:noProof/>
          <w:lang w:val="fr-FR"/>
        </w:rPr>
        <w:t>des droits fondamentaux</w:t>
      </w:r>
      <w:r w:rsidRPr="00AF434B">
        <w:rPr>
          <w:noProof/>
          <w:lang w:val="fr-FR"/>
        </w:rPr>
        <w:t xml:space="preserve">, </w:t>
      </w:r>
      <w:r>
        <w:rPr>
          <w:noProof/>
          <w:lang w:val="fr-FR"/>
        </w:rPr>
        <w:t xml:space="preserve">de l’égalité et de la </w:t>
      </w:r>
      <w:r w:rsidRPr="00AF434B">
        <w:rPr>
          <w:noProof/>
          <w:lang w:val="fr-FR"/>
        </w:rPr>
        <w:t>non-discrimination</w:t>
      </w:r>
      <w:r w:rsidR="00ED520E">
        <w:rPr>
          <w:noProof/>
          <w:lang w:val="fr-FR"/>
        </w:rPr>
        <w:t> ;</w:t>
      </w:r>
    </w:p>
    <w:p w14:paraId="43E8415E" w14:textId="77777777" w:rsidR="00BF0619" w:rsidRPr="00AF434B" w:rsidRDefault="00BF0619" w:rsidP="00ED520E">
      <w:pPr>
        <w:pStyle w:val="SingleTxtG"/>
        <w:ind w:firstLine="567"/>
        <w:rPr>
          <w:noProof/>
          <w:lang w:val="fr-FR"/>
        </w:rPr>
      </w:pPr>
      <w:r w:rsidRPr="00AF434B">
        <w:rPr>
          <w:noProof/>
          <w:lang w:val="fr-FR"/>
        </w:rPr>
        <w:t>b)</w:t>
      </w:r>
      <w:r w:rsidRPr="00AF434B">
        <w:rPr>
          <w:noProof/>
          <w:lang w:val="fr-FR"/>
        </w:rPr>
        <w:tab/>
      </w:r>
      <w:r>
        <w:rPr>
          <w:noProof/>
          <w:lang w:val="fr-FR"/>
        </w:rPr>
        <w:t xml:space="preserve">Appuyer et protéger </w:t>
      </w:r>
      <w:r w:rsidR="00ED520E">
        <w:rPr>
          <w:noProof/>
          <w:lang w:val="fr-FR"/>
        </w:rPr>
        <w:t>− </w:t>
      </w:r>
      <w:r>
        <w:rPr>
          <w:noProof/>
          <w:lang w:val="fr-FR"/>
        </w:rPr>
        <w:t xml:space="preserve">élargir et </w:t>
      </w:r>
      <w:r w:rsidRPr="00AF434B">
        <w:rPr>
          <w:noProof/>
          <w:lang w:val="fr-FR"/>
        </w:rPr>
        <w:t>consolid</w:t>
      </w:r>
      <w:r>
        <w:rPr>
          <w:noProof/>
          <w:lang w:val="fr-FR"/>
        </w:rPr>
        <w:t>er l’</w:t>
      </w:r>
      <w:r w:rsidRPr="00AF434B">
        <w:rPr>
          <w:noProof/>
          <w:lang w:val="fr-FR"/>
        </w:rPr>
        <w:t>intervention</w:t>
      </w:r>
      <w:r w:rsidR="00ED520E">
        <w:rPr>
          <w:noProof/>
          <w:lang w:val="fr-FR"/>
        </w:rPr>
        <w:t> ;</w:t>
      </w:r>
    </w:p>
    <w:p w14:paraId="40209C7F" w14:textId="77777777" w:rsidR="00BF0619" w:rsidRPr="00AF434B" w:rsidRDefault="00BF0619" w:rsidP="00ED520E">
      <w:pPr>
        <w:pStyle w:val="SingleTxtG"/>
        <w:ind w:firstLine="567"/>
        <w:rPr>
          <w:noProof/>
          <w:lang w:val="fr-FR"/>
        </w:rPr>
      </w:pPr>
      <w:r w:rsidRPr="00AF434B">
        <w:rPr>
          <w:noProof/>
          <w:lang w:val="fr-FR"/>
        </w:rPr>
        <w:t>c)</w:t>
      </w:r>
      <w:r w:rsidRPr="00AF434B">
        <w:rPr>
          <w:noProof/>
          <w:lang w:val="fr-FR"/>
        </w:rPr>
        <w:tab/>
        <w:t>Interven</w:t>
      </w:r>
      <w:r>
        <w:rPr>
          <w:noProof/>
          <w:lang w:val="fr-FR"/>
        </w:rPr>
        <w:t xml:space="preserve">ir auprès des agresseurs, en développant une </w:t>
      </w:r>
      <w:r w:rsidRPr="00AF434B">
        <w:rPr>
          <w:noProof/>
          <w:lang w:val="fr-FR"/>
        </w:rPr>
        <w:t xml:space="preserve">culture </w:t>
      </w:r>
      <w:r>
        <w:rPr>
          <w:noProof/>
          <w:lang w:val="fr-FR"/>
        </w:rPr>
        <w:t>de la responsabilité</w:t>
      </w:r>
      <w:r w:rsidR="00ED520E">
        <w:rPr>
          <w:noProof/>
          <w:lang w:val="fr-FR"/>
        </w:rPr>
        <w:t> ;</w:t>
      </w:r>
    </w:p>
    <w:p w14:paraId="3E209CD0" w14:textId="77777777" w:rsidR="00BF0619" w:rsidRPr="00AF434B" w:rsidRDefault="00BF0619" w:rsidP="00ED520E">
      <w:pPr>
        <w:pStyle w:val="SingleTxtG"/>
        <w:ind w:firstLine="567"/>
        <w:rPr>
          <w:noProof/>
          <w:lang w:val="fr-FR"/>
        </w:rPr>
      </w:pPr>
      <w:r w:rsidRPr="00AF434B">
        <w:rPr>
          <w:noProof/>
          <w:lang w:val="fr-FR"/>
        </w:rPr>
        <w:t>d)</w:t>
      </w:r>
      <w:r w:rsidRPr="00AF434B">
        <w:rPr>
          <w:noProof/>
          <w:lang w:val="fr-FR"/>
        </w:rPr>
        <w:tab/>
      </w:r>
      <w:r>
        <w:rPr>
          <w:noProof/>
          <w:lang w:val="fr-FR"/>
        </w:rPr>
        <w:t>Rendre les professionnels et les services capables d’intervenir</w:t>
      </w:r>
      <w:r w:rsidR="00ED520E">
        <w:rPr>
          <w:noProof/>
          <w:lang w:val="fr-FR"/>
        </w:rPr>
        <w:t> ;</w:t>
      </w:r>
    </w:p>
    <w:p w14:paraId="042CA7E4" w14:textId="77777777" w:rsidR="00BF0619" w:rsidRPr="00AF434B" w:rsidRDefault="00BF0619" w:rsidP="00ED520E">
      <w:pPr>
        <w:pStyle w:val="SingleTxtG"/>
        <w:ind w:firstLine="567"/>
        <w:rPr>
          <w:noProof/>
          <w:lang w:val="fr-FR"/>
        </w:rPr>
      </w:pPr>
      <w:r w:rsidRPr="00AF434B">
        <w:rPr>
          <w:noProof/>
          <w:lang w:val="fr-FR"/>
        </w:rPr>
        <w:t>e)</w:t>
      </w:r>
      <w:r w:rsidRPr="00AF434B">
        <w:rPr>
          <w:noProof/>
          <w:lang w:val="fr-FR"/>
        </w:rPr>
        <w:tab/>
      </w:r>
      <w:r>
        <w:rPr>
          <w:noProof/>
          <w:lang w:val="fr-FR"/>
        </w:rPr>
        <w:t>Étudier, suivre et évaluer les politiques publiques</w:t>
      </w:r>
      <w:r w:rsidR="00FD7E8F">
        <w:rPr>
          <w:noProof/>
          <w:lang w:val="fr-FR"/>
        </w:rPr>
        <w:t> ;</w:t>
      </w:r>
    </w:p>
    <w:p w14:paraId="40317E84" w14:textId="77777777" w:rsidR="00BF0619" w:rsidRPr="00AF434B" w:rsidRDefault="00BF0619" w:rsidP="00ED520E">
      <w:pPr>
        <w:pStyle w:val="SingleTxtG"/>
        <w:ind w:firstLine="567"/>
        <w:rPr>
          <w:noProof/>
          <w:lang w:val="fr-FR"/>
        </w:rPr>
      </w:pPr>
      <w:r w:rsidRPr="00AF434B">
        <w:rPr>
          <w:noProof/>
          <w:lang w:val="fr-FR"/>
        </w:rPr>
        <w:t>f)</w:t>
      </w:r>
      <w:r w:rsidRPr="00AF434B">
        <w:rPr>
          <w:noProof/>
          <w:lang w:val="fr-FR"/>
        </w:rPr>
        <w:tab/>
        <w:t>Pr</w:t>
      </w:r>
      <w:r>
        <w:rPr>
          <w:noProof/>
          <w:lang w:val="fr-FR"/>
        </w:rPr>
        <w:t xml:space="preserve">évenir et </w:t>
      </w:r>
      <w:r w:rsidRPr="00AF434B">
        <w:rPr>
          <w:noProof/>
          <w:lang w:val="fr-FR"/>
        </w:rPr>
        <w:t>combat</w:t>
      </w:r>
      <w:r>
        <w:rPr>
          <w:noProof/>
          <w:lang w:val="fr-FR"/>
        </w:rPr>
        <w:t>tre</w:t>
      </w:r>
      <w:r w:rsidRPr="00AF434B">
        <w:rPr>
          <w:noProof/>
          <w:lang w:val="fr-FR"/>
        </w:rPr>
        <w:t xml:space="preserve"> </w:t>
      </w:r>
      <w:r>
        <w:rPr>
          <w:noProof/>
          <w:lang w:val="fr-FR"/>
        </w:rPr>
        <w:t>les pratiques traditionnelles préjudiciables</w:t>
      </w:r>
      <w:r w:rsidRPr="00AF434B">
        <w:rPr>
          <w:noProof/>
          <w:lang w:val="fr-FR"/>
        </w:rPr>
        <w:t xml:space="preserve">, </w:t>
      </w:r>
      <w:r>
        <w:rPr>
          <w:noProof/>
          <w:lang w:val="fr-FR"/>
        </w:rPr>
        <w:t>notamment les mutilations génitales féminines et les mariages précoces et forcés d’enfants</w:t>
      </w:r>
      <w:r w:rsidRPr="00AF434B">
        <w:rPr>
          <w:noProof/>
          <w:lang w:val="fr-FR"/>
        </w:rPr>
        <w:t>.</w:t>
      </w:r>
    </w:p>
    <w:p w14:paraId="45CF59A1"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 xml:space="preserve">Infractions de violence familiale enregistrées par la </w:t>
      </w:r>
      <w:r w:rsidRPr="00AF434B">
        <w:rPr>
          <w:noProof/>
          <w:lang w:val="fr-FR"/>
        </w:rPr>
        <w:t xml:space="preserve">police </w:t>
      </w:r>
      <w:r>
        <w:rPr>
          <w:noProof/>
          <w:lang w:val="fr-FR"/>
        </w:rPr>
        <w:t xml:space="preserve">entre </w:t>
      </w:r>
      <w:r w:rsidRPr="00AF434B">
        <w:rPr>
          <w:noProof/>
          <w:lang w:val="fr-FR"/>
        </w:rPr>
        <w:t xml:space="preserve">2011 </w:t>
      </w:r>
      <w:r>
        <w:rPr>
          <w:noProof/>
          <w:lang w:val="fr-FR"/>
        </w:rPr>
        <w:t>et</w:t>
      </w:r>
      <w:r w:rsidRPr="00AF434B">
        <w:rPr>
          <w:noProof/>
          <w:lang w:val="fr-FR"/>
        </w:rPr>
        <w:t xml:space="preserve"> 2016</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2552"/>
        <w:gridCol w:w="708"/>
        <w:gridCol w:w="709"/>
        <w:gridCol w:w="709"/>
        <w:gridCol w:w="708"/>
        <w:gridCol w:w="709"/>
        <w:gridCol w:w="709"/>
      </w:tblGrid>
      <w:tr w:rsidR="00BF0619" w:rsidRPr="00AF434B" w14:paraId="030BAB4F" w14:textId="77777777" w:rsidTr="005A4D3A">
        <w:trPr>
          <w:cantSplit/>
        </w:trPr>
        <w:tc>
          <w:tcPr>
            <w:tcW w:w="4253" w:type="dxa"/>
            <w:gridSpan w:val="3"/>
            <w:tcBorders>
              <w:top w:val="single" w:sz="4" w:space="0" w:color="auto"/>
              <w:bottom w:val="single" w:sz="4" w:space="0" w:color="auto"/>
            </w:tcBorders>
            <w:shd w:val="clear" w:color="auto" w:fill="auto"/>
            <w:vAlign w:val="bottom"/>
          </w:tcPr>
          <w:p w14:paraId="3EAE60DC" w14:textId="77777777" w:rsidR="00BF0619" w:rsidRPr="00AF434B" w:rsidRDefault="00BF0619" w:rsidP="005A4D3A">
            <w:pPr>
              <w:pStyle w:val="SingleTxtG"/>
              <w:spacing w:before="80" w:after="80" w:line="200" w:lineRule="exact"/>
              <w:ind w:left="0" w:right="113"/>
              <w:jc w:val="left"/>
              <w:rPr>
                <w:i/>
                <w:noProof/>
                <w:sz w:val="16"/>
                <w:lang w:val="fr-FR"/>
              </w:rPr>
            </w:pPr>
            <w:r>
              <w:rPr>
                <w:i/>
                <w:noProof/>
                <w:sz w:val="16"/>
                <w:lang w:val="fr-FR"/>
              </w:rPr>
              <w:t>Année</w:t>
            </w:r>
          </w:p>
        </w:tc>
        <w:tc>
          <w:tcPr>
            <w:tcW w:w="708" w:type="dxa"/>
            <w:tcBorders>
              <w:top w:val="single" w:sz="4" w:space="0" w:color="auto"/>
              <w:bottom w:val="single" w:sz="4" w:space="0" w:color="auto"/>
            </w:tcBorders>
            <w:shd w:val="clear" w:color="auto" w:fill="auto"/>
            <w:vAlign w:val="bottom"/>
          </w:tcPr>
          <w:p w14:paraId="42C6BCED"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2016</w:t>
            </w:r>
          </w:p>
        </w:tc>
        <w:tc>
          <w:tcPr>
            <w:tcW w:w="709" w:type="dxa"/>
            <w:tcBorders>
              <w:top w:val="single" w:sz="4" w:space="0" w:color="auto"/>
              <w:bottom w:val="single" w:sz="4" w:space="0" w:color="auto"/>
            </w:tcBorders>
            <w:shd w:val="clear" w:color="auto" w:fill="auto"/>
            <w:vAlign w:val="bottom"/>
          </w:tcPr>
          <w:p w14:paraId="5D4AA43E"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2015</w:t>
            </w:r>
          </w:p>
        </w:tc>
        <w:tc>
          <w:tcPr>
            <w:tcW w:w="709" w:type="dxa"/>
            <w:tcBorders>
              <w:top w:val="single" w:sz="4" w:space="0" w:color="auto"/>
              <w:bottom w:val="single" w:sz="4" w:space="0" w:color="auto"/>
            </w:tcBorders>
            <w:shd w:val="clear" w:color="auto" w:fill="auto"/>
            <w:vAlign w:val="bottom"/>
          </w:tcPr>
          <w:p w14:paraId="138BB7B1"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2014</w:t>
            </w:r>
          </w:p>
        </w:tc>
        <w:tc>
          <w:tcPr>
            <w:tcW w:w="708" w:type="dxa"/>
            <w:tcBorders>
              <w:top w:val="single" w:sz="4" w:space="0" w:color="auto"/>
              <w:bottom w:val="single" w:sz="4" w:space="0" w:color="auto"/>
            </w:tcBorders>
            <w:shd w:val="clear" w:color="auto" w:fill="auto"/>
            <w:vAlign w:val="bottom"/>
          </w:tcPr>
          <w:p w14:paraId="7212BA9E"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2013</w:t>
            </w:r>
          </w:p>
        </w:tc>
        <w:tc>
          <w:tcPr>
            <w:tcW w:w="709" w:type="dxa"/>
            <w:tcBorders>
              <w:top w:val="single" w:sz="4" w:space="0" w:color="auto"/>
              <w:bottom w:val="single" w:sz="4" w:space="0" w:color="auto"/>
            </w:tcBorders>
            <w:shd w:val="clear" w:color="auto" w:fill="auto"/>
            <w:vAlign w:val="bottom"/>
          </w:tcPr>
          <w:p w14:paraId="538E3DE0"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2012</w:t>
            </w:r>
          </w:p>
        </w:tc>
        <w:tc>
          <w:tcPr>
            <w:tcW w:w="709" w:type="dxa"/>
            <w:tcBorders>
              <w:top w:val="single" w:sz="4" w:space="0" w:color="auto"/>
              <w:bottom w:val="single" w:sz="4" w:space="0" w:color="auto"/>
            </w:tcBorders>
            <w:shd w:val="clear" w:color="auto" w:fill="auto"/>
            <w:vAlign w:val="bottom"/>
          </w:tcPr>
          <w:p w14:paraId="12E8AB98"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2011</w:t>
            </w:r>
          </w:p>
        </w:tc>
      </w:tr>
      <w:tr w:rsidR="00BF0619" w:rsidRPr="00AF434B" w14:paraId="023E02CF" w14:textId="77777777" w:rsidTr="005A4D3A">
        <w:trPr>
          <w:cantSplit/>
        </w:trPr>
        <w:tc>
          <w:tcPr>
            <w:tcW w:w="4253" w:type="dxa"/>
            <w:gridSpan w:val="3"/>
            <w:tcBorders>
              <w:top w:val="single" w:sz="4" w:space="0" w:color="auto"/>
              <w:bottom w:val="single" w:sz="12" w:space="0" w:color="auto"/>
            </w:tcBorders>
            <w:shd w:val="clear" w:color="auto" w:fill="auto"/>
            <w:vAlign w:val="bottom"/>
          </w:tcPr>
          <w:p w14:paraId="71B794F1" w14:textId="77777777" w:rsidR="00BF0619" w:rsidRPr="00AF434B" w:rsidRDefault="00BF0619" w:rsidP="005A4D3A">
            <w:pPr>
              <w:suppressAutoHyphens w:val="0"/>
              <w:spacing w:before="40" w:after="40" w:line="220" w:lineRule="exact"/>
              <w:ind w:right="113"/>
              <w:rPr>
                <w:noProof/>
                <w:sz w:val="18"/>
                <w:lang w:val="fr-FR" w:eastAsia="zh-CN"/>
              </w:rPr>
            </w:pPr>
            <w:r>
              <w:rPr>
                <w:i/>
                <w:noProof/>
                <w:sz w:val="16"/>
                <w:lang w:val="fr-FR"/>
              </w:rPr>
              <w:t>Infraction</w:t>
            </w:r>
          </w:p>
        </w:tc>
        <w:tc>
          <w:tcPr>
            <w:tcW w:w="4252" w:type="dxa"/>
            <w:gridSpan w:val="6"/>
            <w:tcBorders>
              <w:top w:val="single" w:sz="4" w:space="0" w:color="auto"/>
            </w:tcBorders>
            <w:shd w:val="clear" w:color="auto" w:fill="auto"/>
            <w:vAlign w:val="bottom"/>
          </w:tcPr>
          <w:p w14:paraId="2AD9D7F1" w14:textId="77777777" w:rsidR="00BF0619" w:rsidRPr="00AF434B" w:rsidRDefault="00BF0619" w:rsidP="005A4D3A">
            <w:pPr>
              <w:suppressAutoHyphens w:val="0"/>
              <w:spacing w:before="40" w:after="40" w:line="220" w:lineRule="exact"/>
              <w:ind w:right="113"/>
              <w:jc w:val="center"/>
              <w:rPr>
                <w:noProof/>
                <w:sz w:val="18"/>
                <w:lang w:val="fr-FR" w:eastAsia="zh-CN"/>
              </w:rPr>
            </w:pPr>
            <w:r w:rsidRPr="00AF434B">
              <w:rPr>
                <w:i/>
                <w:noProof/>
                <w:sz w:val="16"/>
                <w:lang w:val="fr-FR"/>
              </w:rPr>
              <w:t>N</w:t>
            </w:r>
            <w:r>
              <w:rPr>
                <w:i/>
                <w:noProof/>
                <w:sz w:val="16"/>
                <w:lang w:val="fr-FR"/>
              </w:rPr>
              <w:t>o</w:t>
            </w:r>
            <w:r w:rsidRPr="00AF434B">
              <w:rPr>
                <w:i/>
                <w:noProof/>
                <w:sz w:val="16"/>
                <w:lang w:val="fr-FR"/>
              </w:rPr>
              <w:t>mb</w:t>
            </w:r>
            <w:r>
              <w:rPr>
                <w:i/>
                <w:noProof/>
                <w:sz w:val="16"/>
                <w:lang w:val="fr-FR"/>
              </w:rPr>
              <w:t>re d’infractions</w:t>
            </w:r>
          </w:p>
        </w:tc>
      </w:tr>
      <w:tr w:rsidR="00BF0619" w:rsidRPr="00AF434B" w14:paraId="29E512A5" w14:textId="77777777" w:rsidTr="00ED520E">
        <w:trPr>
          <w:cantSplit/>
        </w:trPr>
        <w:tc>
          <w:tcPr>
            <w:tcW w:w="851" w:type="dxa"/>
            <w:vMerge w:val="restart"/>
            <w:tcBorders>
              <w:top w:val="single" w:sz="12" w:space="0" w:color="auto"/>
            </w:tcBorders>
            <w:shd w:val="clear" w:color="auto" w:fill="auto"/>
          </w:tcPr>
          <w:p w14:paraId="1FFE72E7"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Contre les personnes</w:t>
            </w:r>
          </w:p>
        </w:tc>
        <w:tc>
          <w:tcPr>
            <w:tcW w:w="850" w:type="dxa"/>
            <w:vMerge w:val="restart"/>
            <w:tcBorders>
              <w:top w:val="single" w:sz="12" w:space="0" w:color="auto"/>
            </w:tcBorders>
            <w:shd w:val="clear" w:color="auto" w:fill="auto"/>
          </w:tcPr>
          <w:p w14:paraId="7F8AC821" w14:textId="77777777" w:rsidR="00BF0619" w:rsidRPr="00AF434B" w:rsidRDefault="00BF0619" w:rsidP="005A4D3A">
            <w:pPr>
              <w:pStyle w:val="SingleTxtG"/>
              <w:spacing w:before="40" w:after="40" w:line="220" w:lineRule="exact"/>
              <w:ind w:left="0" w:right="0"/>
              <w:jc w:val="left"/>
              <w:rPr>
                <w:noProof/>
                <w:sz w:val="18"/>
                <w:lang w:val="fr-FR"/>
              </w:rPr>
            </w:pPr>
            <w:r>
              <w:rPr>
                <w:noProof/>
                <w:sz w:val="18"/>
                <w:lang w:val="fr-FR"/>
              </w:rPr>
              <w:t>Contre l’intégrité physique</w:t>
            </w:r>
          </w:p>
        </w:tc>
        <w:tc>
          <w:tcPr>
            <w:tcW w:w="2552" w:type="dxa"/>
            <w:tcBorders>
              <w:top w:val="single" w:sz="12" w:space="0" w:color="auto"/>
            </w:tcBorders>
            <w:shd w:val="clear" w:color="auto" w:fill="auto"/>
            <w:vAlign w:val="bottom"/>
          </w:tcPr>
          <w:p w14:paraId="0A2CA462"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 xml:space="preserve">Violence familiale </w:t>
            </w:r>
            <w:r w:rsidR="00ED520E">
              <w:rPr>
                <w:noProof/>
                <w:sz w:val="18"/>
                <w:lang w:val="fr-FR"/>
              </w:rPr>
              <w:br/>
            </w:r>
            <w:r w:rsidRPr="00AF434B">
              <w:rPr>
                <w:noProof/>
                <w:sz w:val="18"/>
                <w:lang w:val="fr-FR"/>
              </w:rPr>
              <w:t>(</w:t>
            </w:r>
            <w:r>
              <w:rPr>
                <w:noProof/>
                <w:sz w:val="18"/>
                <w:lang w:val="fr-FR"/>
              </w:rPr>
              <w:t>conjoint ou assimilé</w:t>
            </w:r>
            <w:r w:rsidRPr="00AF434B">
              <w:rPr>
                <w:noProof/>
                <w:sz w:val="18"/>
                <w:lang w:val="fr-FR"/>
              </w:rPr>
              <w:t>)</w:t>
            </w:r>
          </w:p>
        </w:tc>
        <w:tc>
          <w:tcPr>
            <w:tcW w:w="708" w:type="dxa"/>
            <w:tcBorders>
              <w:top w:val="single" w:sz="12" w:space="0" w:color="auto"/>
            </w:tcBorders>
            <w:shd w:val="clear" w:color="auto" w:fill="auto"/>
            <w:vAlign w:val="bottom"/>
          </w:tcPr>
          <w:p w14:paraId="6DAB09F5"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22 773</w:t>
            </w:r>
          </w:p>
        </w:tc>
        <w:tc>
          <w:tcPr>
            <w:tcW w:w="709" w:type="dxa"/>
            <w:tcBorders>
              <w:top w:val="single" w:sz="12" w:space="0" w:color="auto"/>
            </w:tcBorders>
            <w:shd w:val="clear" w:color="auto" w:fill="auto"/>
            <w:vAlign w:val="bottom"/>
          </w:tcPr>
          <w:p w14:paraId="55A9EB59"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22 469</w:t>
            </w:r>
          </w:p>
        </w:tc>
        <w:tc>
          <w:tcPr>
            <w:tcW w:w="709" w:type="dxa"/>
            <w:tcBorders>
              <w:top w:val="single" w:sz="12" w:space="0" w:color="auto"/>
            </w:tcBorders>
            <w:shd w:val="clear" w:color="auto" w:fill="auto"/>
            <w:vAlign w:val="bottom"/>
          </w:tcPr>
          <w:p w14:paraId="72B68C2C"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22 965</w:t>
            </w:r>
          </w:p>
        </w:tc>
        <w:tc>
          <w:tcPr>
            <w:tcW w:w="708" w:type="dxa"/>
            <w:tcBorders>
              <w:top w:val="single" w:sz="12" w:space="0" w:color="auto"/>
            </w:tcBorders>
            <w:shd w:val="clear" w:color="auto" w:fill="auto"/>
            <w:vAlign w:val="bottom"/>
          </w:tcPr>
          <w:p w14:paraId="602C61D4"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22 930</w:t>
            </w:r>
          </w:p>
        </w:tc>
        <w:tc>
          <w:tcPr>
            <w:tcW w:w="709" w:type="dxa"/>
            <w:tcBorders>
              <w:top w:val="single" w:sz="12" w:space="0" w:color="auto"/>
            </w:tcBorders>
            <w:shd w:val="clear" w:color="auto" w:fill="auto"/>
            <w:vAlign w:val="bottom"/>
          </w:tcPr>
          <w:p w14:paraId="21B1E6F2"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22 254</w:t>
            </w:r>
          </w:p>
        </w:tc>
        <w:tc>
          <w:tcPr>
            <w:tcW w:w="709" w:type="dxa"/>
            <w:tcBorders>
              <w:top w:val="single" w:sz="12" w:space="0" w:color="auto"/>
            </w:tcBorders>
            <w:shd w:val="clear" w:color="auto" w:fill="auto"/>
            <w:vAlign w:val="bottom"/>
          </w:tcPr>
          <w:p w14:paraId="40F59F17"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23 742</w:t>
            </w:r>
          </w:p>
        </w:tc>
      </w:tr>
      <w:tr w:rsidR="00BF0619" w:rsidRPr="00AF434B" w14:paraId="3E167AF0" w14:textId="77777777" w:rsidTr="00ED520E">
        <w:trPr>
          <w:cantSplit/>
        </w:trPr>
        <w:tc>
          <w:tcPr>
            <w:tcW w:w="851" w:type="dxa"/>
            <w:vMerge/>
            <w:shd w:val="clear" w:color="auto" w:fill="auto"/>
            <w:vAlign w:val="bottom"/>
          </w:tcPr>
          <w:p w14:paraId="5408FCE3" w14:textId="77777777" w:rsidR="00BF0619" w:rsidRPr="00AF434B" w:rsidRDefault="00BF0619" w:rsidP="005A4D3A">
            <w:pPr>
              <w:suppressAutoHyphens w:val="0"/>
              <w:spacing w:before="40" w:after="40" w:line="220" w:lineRule="exact"/>
              <w:ind w:right="113"/>
              <w:rPr>
                <w:noProof/>
                <w:sz w:val="18"/>
                <w:lang w:val="fr-FR" w:eastAsia="zh-CN"/>
              </w:rPr>
            </w:pPr>
          </w:p>
        </w:tc>
        <w:tc>
          <w:tcPr>
            <w:tcW w:w="850" w:type="dxa"/>
            <w:vMerge/>
            <w:shd w:val="clear" w:color="auto" w:fill="auto"/>
            <w:vAlign w:val="bottom"/>
          </w:tcPr>
          <w:p w14:paraId="77DA6C19" w14:textId="77777777" w:rsidR="00BF0619" w:rsidRPr="00AF434B" w:rsidRDefault="00BF0619" w:rsidP="005A4D3A">
            <w:pPr>
              <w:suppressAutoHyphens w:val="0"/>
              <w:spacing w:before="40" w:after="40" w:line="220" w:lineRule="exact"/>
              <w:ind w:right="113"/>
              <w:rPr>
                <w:noProof/>
                <w:sz w:val="18"/>
                <w:lang w:val="fr-FR" w:eastAsia="zh-CN"/>
              </w:rPr>
            </w:pPr>
          </w:p>
        </w:tc>
        <w:tc>
          <w:tcPr>
            <w:tcW w:w="2552" w:type="dxa"/>
            <w:shd w:val="clear" w:color="auto" w:fill="auto"/>
            <w:vAlign w:val="bottom"/>
          </w:tcPr>
          <w:p w14:paraId="117200E8"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Violence familiale contre des</w:t>
            </w:r>
            <w:r w:rsidR="00ED520E">
              <w:rPr>
                <w:noProof/>
                <w:sz w:val="18"/>
                <w:lang w:val="fr-FR"/>
              </w:rPr>
              <w:t> </w:t>
            </w:r>
            <w:r>
              <w:rPr>
                <w:noProof/>
                <w:sz w:val="18"/>
                <w:lang w:val="fr-FR"/>
              </w:rPr>
              <w:t xml:space="preserve">mineurs </w:t>
            </w:r>
          </w:p>
        </w:tc>
        <w:tc>
          <w:tcPr>
            <w:tcW w:w="708" w:type="dxa"/>
            <w:shd w:val="clear" w:color="auto" w:fill="auto"/>
            <w:vAlign w:val="bottom"/>
          </w:tcPr>
          <w:p w14:paraId="5D9987A4"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470</w:t>
            </w:r>
          </w:p>
        </w:tc>
        <w:tc>
          <w:tcPr>
            <w:tcW w:w="709" w:type="dxa"/>
            <w:shd w:val="clear" w:color="auto" w:fill="auto"/>
            <w:vAlign w:val="bottom"/>
          </w:tcPr>
          <w:p w14:paraId="65F583BB"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475</w:t>
            </w:r>
          </w:p>
        </w:tc>
        <w:tc>
          <w:tcPr>
            <w:tcW w:w="709" w:type="dxa"/>
            <w:shd w:val="clear" w:color="auto" w:fill="auto"/>
            <w:vAlign w:val="bottom"/>
          </w:tcPr>
          <w:p w14:paraId="16CB7F04"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502</w:t>
            </w:r>
          </w:p>
        </w:tc>
        <w:tc>
          <w:tcPr>
            <w:tcW w:w="708" w:type="dxa"/>
            <w:shd w:val="clear" w:color="auto" w:fill="auto"/>
            <w:vAlign w:val="bottom"/>
          </w:tcPr>
          <w:p w14:paraId="17D48D61"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487</w:t>
            </w:r>
          </w:p>
        </w:tc>
        <w:tc>
          <w:tcPr>
            <w:tcW w:w="709" w:type="dxa"/>
            <w:shd w:val="clear" w:color="auto" w:fill="auto"/>
            <w:vAlign w:val="bottom"/>
          </w:tcPr>
          <w:p w14:paraId="50407C4F"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529</w:t>
            </w:r>
          </w:p>
        </w:tc>
        <w:tc>
          <w:tcPr>
            <w:tcW w:w="709" w:type="dxa"/>
            <w:shd w:val="clear" w:color="auto" w:fill="auto"/>
            <w:vAlign w:val="bottom"/>
          </w:tcPr>
          <w:p w14:paraId="54EDB3C5"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597</w:t>
            </w:r>
          </w:p>
        </w:tc>
      </w:tr>
      <w:tr w:rsidR="00BF0619" w:rsidRPr="00AF434B" w14:paraId="7CCCF42C" w14:textId="77777777" w:rsidTr="00ED520E">
        <w:trPr>
          <w:cantSplit/>
        </w:trPr>
        <w:tc>
          <w:tcPr>
            <w:tcW w:w="851" w:type="dxa"/>
            <w:vMerge/>
            <w:tcBorders>
              <w:bottom w:val="single" w:sz="4" w:space="0" w:color="auto"/>
            </w:tcBorders>
            <w:shd w:val="clear" w:color="auto" w:fill="auto"/>
            <w:vAlign w:val="bottom"/>
          </w:tcPr>
          <w:p w14:paraId="7F771204" w14:textId="77777777" w:rsidR="00BF0619" w:rsidRPr="00AF434B" w:rsidRDefault="00BF0619" w:rsidP="005A4D3A">
            <w:pPr>
              <w:suppressAutoHyphens w:val="0"/>
              <w:spacing w:before="40" w:after="40" w:line="220" w:lineRule="exact"/>
              <w:ind w:right="113"/>
              <w:rPr>
                <w:noProof/>
                <w:sz w:val="18"/>
                <w:lang w:val="fr-FR" w:eastAsia="zh-CN"/>
              </w:rPr>
            </w:pPr>
          </w:p>
        </w:tc>
        <w:tc>
          <w:tcPr>
            <w:tcW w:w="850" w:type="dxa"/>
            <w:vMerge/>
            <w:tcBorders>
              <w:bottom w:val="single" w:sz="4" w:space="0" w:color="auto"/>
            </w:tcBorders>
            <w:shd w:val="clear" w:color="auto" w:fill="auto"/>
            <w:vAlign w:val="bottom"/>
          </w:tcPr>
          <w:p w14:paraId="15FB1293" w14:textId="77777777" w:rsidR="00BF0619" w:rsidRPr="00AF434B" w:rsidRDefault="00BF0619" w:rsidP="005A4D3A">
            <w:pPr>
              <w:suppressAutoHyphens w:val="0"/>
              <w:spacing w:before="40" w:after="40" w:line="220" w:lineRule="exact"/>
              <w:ind w:right="113"/>
              <w:rPr>
                <w:noProof/>
                <w:sz w:val="18"/>
                <w:lang w:val="fr-FR" w:eastAsia="zh-CN"/>
              </w:rPr>
            </w:pPr>
          </w:p>
        </w:tc>
        <w:tc>
          <w:tcPr>
            <w:tcW w:w="2552" w:type="dxa"/>
            <w:tcBorders>
              <w:bottom w:val="single" w:sz="4" w:space="0" w:color="auto"/>
            </w:tcBorders>
            <w:shd w:val="clear" w:color="auto" w:fill="auto"/>
            <w:vAlign w:val="bottom"/>
          </w:tcPr>
          <w:p w14:paraId="5C045343"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Autres cas de violence familiale</w:t>
            </w:r>
          </w:p>
        </w:tc>
        <w:tc>
          <w:tcPr>
            <w:tcW w:w="708" w:type="dxa"/>
            <w:tcBorders>
              <w:bottom w:val="single" w:sz="4" w:space="0" w:color="auto"/>
            </w:tcBorders>
            <w:shd w:val="clear" w:color="auto" w:fill="auto"/>
            <w:vAlign w:val="bottom"/>
          </w:tcPr>
          <w:p w14:paraId="2CFB2495"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3 762</w:t>
            </w:r>
          </w:p>
        </w:tc>
        <w:tc>
          <w:tcPr>
            <w:tcW w:w="709" w:type="dxa"/>
            <w:tcBorders>
              <w:bottom w:val="single" w:sz="4" w:space="0" w:color="auto"/>
            </w:tcBorders>
            <w:shd w:val="clear" w:color="auto" w:fill="auto"/>
            <w:vAlign w:val="bottom"/>
          </w:tcPr>
          <w:p w14:paraId="39B7298B"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3 651</w:t>
            </w:r>
          </w:p>
        </w:tc>
        <w:tc>
          <w:tcPr>
            <w:tcW w:w="709" w:type="dxa"/>
            <w:tcBorders>
              <w:bottom w:val="single" w:sz="4" w:space="0" w:color="auto"/>
            </w:tcBorders>
            <w:shd w:val="clear" w:color="auto" w:fill="auto"/>
            <w:vAlign w:val="bottom"/>
          </w:tcPr>
          <w:p w14:paraId="42C182ED"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3838</w:t>
            </w:r>
          </w:p>
        </w:tc>
        <w:tc>
          <w:tcPr>
            <w:tcW w:w="708" w:type="dxa"/>
            <w:tcBorders>
              <w:bottom w:val="single" w:sz="4" w:space="0" w:color="auto"/>
            </w:tcBorders>
            <w:shd w:val="clear" w:color="auto" w:fill="auto"/>
            <w:vAlign w:val="bottom"/>
          </w:tcPr>
          <w:p w14:paraId="14C8983D"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3 936</w:t>
            </w:r>
          </w:p>
        </w:tc>
        <w:tc>
          <w:tcPr>
            <w:tcW w:w="709" w:type="dxa"/>
            <w:tcBorders>
              <w:bottom w:val="single" w:sz="4" w:space="0" w:color="auto"/>
            </w:tcBorders>
            <w:shd w:val="clear" w:color="auto" w:fill="auto"/>
            <w:vAlign w:val="bottom"/>
          </w:tcPr>
          <w:p w14:paraId="6E852357"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4 011</w:t>
            </w:r>
          </w:p>
        </w:tc>
        <w:tc>
          <w:tcPr>
            <w:tcW w:w="709" w:type="dxa"/>
            <w:tcBorders>
              <w:bottom w:val="single" w:sz="4" w:space="0" w:color="auto"/>
            </w:tcBorders>
            <w:shd w:val="clear" w:color="auto" w:fill="auto"/>
            <w:vAlign w:val="bottom"/>
          </w:tcPr>
          <w:p w14:paraId="04A9AFE1" w14:textId="77777777" w:rsidR="00BF0619" w:rsidRPr="00AF434B" w:rsidRDefault="00BF0619" w:rsidP="005A4D3A">
            <w:pPr>
              <w:suppressAutoHyphens w:val="0"/>
              <w:spacing w:before="40" w:after="40" w:line="220" w:lineRule="exact"/>
              <w:ind w:right="113"/>
              <w:jc w:val="right"/>
              <w:rPr>
                <w:noProof/>
                <w:sz w:val="18"/>
                <w:lang w:val="fr-FR" w:eastAsia="zh-CN"/>
              </w:rPr>
            </w:pPr>
            <w:r w:rsidRPr="00AF434B">
              <w:rPr>
                <w:noProof/>
                <w:sz w:val="18"/>
                <w:lang w:val="fr-FR" w:eastAsia="zh-CN"/>
              </w:rPr>
              <w:t>4 651</w:t>
            </w:r>
          </w:p>
        </w:tc>
      </w:tr>
      <w:tr w:rsidR="00BF0619" w:rsidRPr="00ED520E" w14:paraId="2AF3C41B" w14:textId="77777777" w:rsidTr="005A4D3A">
        <w:trPr>
          <w:cantSplit/>
        </w:trPr>
        <w:tc>
          <w:tcPr>
            <w:tcW w:w="4253" w:type="dxa"/>
            <w:gridSpan w:val="3"/>
            <w:tcBorders>
              <w:top w:val="single" w:sz="4" w:space="0" w:color="auto"/>
              <w:bottom w:val="single" w:sz="12" w:space="0" w:color="auto"/>
            </w:tcBorders>
            <w:shd w:val="clear" w:color="auto" w:fill="auto"/>
            <w:vAlign w:val="bottom"/>
          </w:tcPr>
          <w:p w14:paraId="5DC026FB" w14:textId="77777777" w:rsidR="00BF0619" w:rsidRPr="00ED520E" w:rsidRDefault="00BF0619" w:rsidP="00ED520E">
            <w:pPr>
              <w:suppressAutoHyphens w:val="0"/>
              <w:spacing w:before="80" w:after="80" w:line="220" w:lineRule="exact"/>
              <w:ind w:left="283"/>
              <w:rPr>
                <w:b/>
                <w:noProof/>
                <w:sz w:val="18"/>
                <w:lang w:val="fr-FR" w:eastAsia="zh-CN"/>
              </w:rPr>
            </w:pPr>
            <w:r w:rsidRPr="00ED520E">
              <w:rPr>
                <w:b/>
                <w:noProof/>
                <w:sz w:val="18"/>
                <w:lang w:val="fr-FR" w:eastAsia="zh-CN"/>
              </w:rPr>
              <w:t>Total</w:t>
            </w:r>
          </w:p>
        </w:tc>
        <w:tc>
          <w:tcPr>
            <w:tcW w:w="708" w:type="dxa"/>
            <w:tcBorders>
              <w:top w:val="single" w:sz="4" w:space="0" w:color="auto"/>
              <w:bottom w:val="single" w:sz="12" w:space="0" w:color="auto"/>
            </w:tcBorders>
            <w:shd w:val="clear" w:color="auto" w:fill="auto"/>
            <w:vAlign w:val="bottom"/>
          </w:tcPr>
          <w:p w14:paraId="2FA453B6"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27 005</w:t>
            </w:r>
          </w:p>
        </w:tc>
        <w:tc>
          <w:tcPr>
            <w:tcW w:w="709" w:type="dxa"/>
            <w:tcBorders>
              <w:top w:val="single" w:sz="4" w:space="0" w:color="auto"/>
              <w:bottom w:val="single" w:sz="12" w:space="0" w:color="auto"/>
            </w:tcBorders>
            <w:shd w:val="clear" w:color="auto" w:fill="auto"/>
            <w:vAlign w:val="bottom"/>
          </w:tcPr>
          <w:p w14:paraId="4E2C2F81"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26 595</w:t>
            </w:r>
          </w:p>
        </w:tc>
        <w:tc>
          <w:tcPr>
            <w:tcW w:w="709" w:type="dxa"/>
            <w:tcBorders>
              <w:top w:val="single" w:sz="4" w:space="0" w:color="auto"/>
              <w:bottom w:val="single" w:sz="12" w:space="0" w:color="auto"/>
            </w:tcBorders>
            <w:shd w:val="clear" w:color="auto" w:fill="auto"/>
            <w:vAlign w:val="bottom"/>
          </w:tcPr>
          <w:p w14:paraId="10273F28"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27 305</w:t>
            </w:r>
          </w:p>
        </w:tc>
        <w:tc>
          <w:tcPr>
            <w:tcW w:w="708" w:type="dxa"/>
            <w:tcBorders>
              <w:top w:val="single" w:sz="4" w:space="0" w:color="auto"/>
              <w:bottom w:val="single" w:sz="12" w:space="0" w:color="auto"/>
            </w:tcBorders>
            <w:shd w:val="clear" w:color="auto" w:fill="auto"/>
            <w:vAlign w:val="bottom"/>
          </w:tcPr>
          <w:p w14:paraId="4CAEAC76"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27 353</w:t>
            </w:r>
          </w:p>
        </w:tc>
        <w:tc>
          <w:tcPr>
            <w:tcW w:w="709" w:type="dxa"/>
            <w:tcBorders>
              <w:top w:val="single" w:sz="4" w:space="0" w:color="auto"/>
              <w:bottom w:val="single" w:sz="12" w:space="0" w:color="auto"/>
            </w:tcBorders>
            <w:shd w:val="clear" w:color="auto" w:fill="auto"/>
            <w:vAlign w:val="bottom"/>
          </w:tcPr>
          <w:p w14:paraId="641AF6EB"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26 794</w:t>
            </w:r>
          </w:p>
        </w:tc>
        <w:tc>
          <w:tcPr>
            <w:tcW w:w="709" w:type="dxa"/>
            <w:tcBorders>
              <w:top w:val="single" w:sz="4" w:space="0" w:color="auto"/>
              <w:bottom w:val="single" w:sz="12" w:space="0" w:color="auto"/>
            </w:tcBorders>
            <w:shd w:val="clear" w:color="auto" w:fill="auto"/>
            <w:vAlign w:val="bottom"/>
          </w:tcPr>
          <w:p w14:paraId="797F7D38" w14:textId="77777777" w:rsidR="00BF0619" w:rsidRPr="00ED520E" w:rsidRDefault="00BF0619" w:rsidP="00ED520E">
            <w:pPr>
              <w:suppressAutoHyphens w:val="0"/>
              <w:spacing w:before="80" w:after="80" w:line="220" w:lineRule="exact"/>
              <w:jc w:val="right"/>
              <w:rPr>
                <w:b/>
                <w:noProof/>
                <w:sz w:val="18"/>
                <w:lang w:val="fr-FR" w:eastAsia="zh-CN"/>
              </w:rPr>
            </w:pPr>
            <w:r w:rsidRPr="00ED520E">
              <w:rPr>
                <w:b/>
                <w:noProof/>
                <w:sz w:val="18"/>
                <w:lang w:val="fr-FR" w:eastAsia="zh-CN"/>
              </w:rPr>
              <w:t>28 990</w:t>
            </w:r>
          </w:p>
        </w:tc>
      </w:tr>
    </w:tbl>
    <w:p w14:paraId="64B715E6" w14:textId="77777777" w:rsidR="00BF0619" w:rsidRPr="00AF434B" w:rsidRDefault="00BF0619" w:rsidP="00ED520E">
      <w:pPr>
        <w:spacing w:before="120" w:after="240"/>
        <w:ind w:left="1134" w:right="1134" w:firstLine="170"/>
        <w:rPr>
          <w:noProof/>
          <w:sz w:val="18"/>
          <w:lang w:val="fr-FR"/>
        </w:rPr>
      </w:pPr>
      <w:r w:rsidRPr="00AF434B">
        <w:rPr>
          <w:i/>
          <w:iCs/>
          <w:noProof/>
          <w:sz w:val="18"/>
          <w:lang w:val="fr-FR"/>
        </w:rPr>
        <w:t>Source</w:t>
      </w:r>
      <w:r>
        <w:rPr>
          <w:i/>
          <w:iCs/>
          <w:noProof/>
          <w:sz w:val="18"/>
          <w:lang w:val="fr-FR"/>
        </w:rPr>
        <w:t xml:space="preserve"> </w:t>
      </w:r>
      <w:r w:rsidRPr="00AF434B">
        <w:rPr>
          <w:noProof/>
          <w:sz w:val="18"/>
          <w:lang w:val="fr-FR"/>
        </w:rPr>
        <w:t>: Minist</w:t>
      </w:r>
      <w:r>
        <w:rPr>
          <w:noProof/>
          <w:sz w:val="18"/>
          <w:lang w:val="fr-FR"/>
        </w:rPr>
        <w:t>ère de la j</w:t>
      </w:r>
      <w:r w:rsidRPr="00AF434B">
        <w:rPr>
          <w:noProof/>
          <w:sz w:val="18"/>
          <w:lang w:val="fr-FR"/>
        </w:rPr>
        <w:t>ustice</w:t>
      </w:r>
      <w:r>
        <w:rPr>
          <w:noProof/>
          <w:sz w:val="18"/>
          <w:lang w:val="fr-FR"/>
        </w:rPr>
        <w:t xml:space="preserve"> (dernière actualisation </w:t>
      </w:r>
      <w:r w:rsidRPr="00AF434B">
        <w:rPr>
          <w:noProof/>
          <w:sz w:val="18"/>
          <w:lang w:val="fr-FR"/>
        </w:rPr>
        <w:t>: 31/10/2017</w:t>
      </w:r>
      <w:r>
        <w:rPr>
          <w:noProof/>
          <w:sz w:val="18"/>
          <w:lang w:val="fr-FR"/>
        </w:rPr>
        <w:t>)</w:t>
      </w:r>
      <w:r w:rsidRPr="00AF434B">
        <w:rPr>
          <w:noProof/>
          <w:sz w:val="18"/>
          <w:lang w:val="fr-FR"/>
        </w:rPr>
        <w:t>.</w:t>
      </w:r>
    </w:p>
    <w:p w14:paraId="5ED00D71"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Procédures pénales (en phase de jugement</w:t>
      </w:r>
      <w:r w:rsidRPr="00AF434B">
        <w:rPr>
          <w:noProof/>
          <w:lang w:val="fr-FR"/>
        </w:rPr>
        <w:t xml:space="preserve">) </w:t>
      </w:r>
      <w:r>
        <w:rPr>
          <w:noProof/>
          <w:lang w:val="fr-FR"/>
        </w:rPr>
        <w:t xml:space="preserve">achevées devant les tribunaux </w:t>
      </w:r>
      <w:r w:rsidR="00FD7E8F">
        <w:rPr>
          <w:noProof/>
          <w:lang w:val="fr-FR"/>
        </w:rPr>
        <w:br/>
      </w:r>
      <w:r>
        <w:rPr>
          <w:noProof/>
          <w:lang w:val="fr-FR"/>
        </w:rPr>
        <w:t xml:space="preserve">de première instance pour l’infraction de violence familiale entre </w:t>
      </w:r>
      <w:r w:rsidRPr="00AF434B">
        <w:rPr>
          <w:noProof/>
          <w:lang w:val="fr-FR"/>
        </w:rPr>
        <w:t>2011</w:t>
      </w:r>
      <w:r>
        <w:rPr>
          <w:noProof/>
          <w:lang w:val="fr-FR"/>
        </w:rPr>
        <w:t xml:space="preserve"> et </w:t>
      </w:r>
      <w:r w:rsidRPr="00AF434B">
        <w:rPr>
          <w:noProof/>
          <w:lang w:val="fr-FR"/>
        </w:rPr>
        <w:t>2016</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43"/>
        <w:gridCol w:w="2642"/>
        <w:gridCol w:w="694"/>
        <w:gridCol w:w="695"/>
        <w:gridCol w:w="695"/>
        <w:gridCol w:w="694"/>
        <w:gridCol w:w="695"/>
        <w:gridCol w:w="696"/>
      </w:tblGrid>
      <w:tr w:rsidR="00BF0619" w:rsidRPr="00AF434B" w14:paraId="72B37911" w14:textId="77777777" w:rsidTr="00FD7E8F">
        <w:trPr>
          <w:cantSplit/>
        </w:trPr>
        <w:tc>
          <w:tcPr>
            <w:tcW w:w="4336" w:type="dxa"/>
            <w:gridSpan w:val="3"/>
            <w:tcBorders>
              <w:top w:val="single" w:sz="4" w:space="0" w:color="auto"/>
              <w:bottom w:val="single" w:sz="4" w:space="0" w:color="auto"/>
            </w:tcBorders>
            <w:shd w:val="clear" w:color="auto" w:fill="auto"/>
            <w:vAlign w:val="bottom"/>
          </w:tcPr>
          <w:p w14:paraId="6EA08FAD" w14:textId="77777777" w:rsidR="00BF0619" w:rsidRPr="00AF434B" w:rsidRDefault="00BF0619" w:rsidP="005A4D3A">
            <w:pPr>
              <w:pStyle w:val="SingleTxtG"/>
              <w:spacing w:before="80" w:after="80" w:line="200" w:lineRule="exact"/>
              <w:ind w:left="0" w:right="113"/>
              <w:jc w:val="left"/>
              <w:rPr>
                <w:i/>
                <w:noProof/>
                <w:sz w:val="16"/>
                <w:lang w:val="fr-FR"/>
              </w:rPr>
            </w:pPr>
            <w:r>
              <w:rPr>
                <w:i/>
                <w:noProof/>
                <w:sz w:val="16"/>
                <w:lang w:val="fr-FR"/>
              </w:rPr>
              <w:t>Année</w:t>
            </w:r>
          </w:p>
        </w:tc>
        <w:tc>
          <w:tcPr>
            <w:tcW w:w="694" w:type="dxa"/>
            <w:tcBorders>
              <w:top w:val="single" w:sz="4" w:space="0" w:color="auto"/>
              <w:bottom w:val="single" w:sz="4" w:space="0" w:color="auto"/>
            </w:tcBorders>
            <w:shd w:val="clear" w:color="auto" w:fill="auto"/>
            <w:vAlign w:val="bottom"/>
          </w:tcPr>
          <w:p w14:paraId="20B4C1B5"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2016</w:t>
            </w:r>
          </w:p>
        </w:tc>
        <w:tc>
          <w:tcPr>
            <w:tcW w:w="695" w:type="dxa"/>
            <w:tcBorders>
              <w:top w:val="single" w:sz="4" w:space="0" w:color="auto"/>
              <w:bottom w:val="single" w:sz="4" w:space="0" w:color="auto"/>
            </w:tcBorders>
            <w:shd w:val="clear" w:color="auto" w:fill="auto"/>
            <w:vAlign w:val="bottom"/>
          </w:tcPr>
          <w:p w14:paraId="5177F8EC"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2015</w:t>
            </w:r>
          </w:p>
        </w:tc>
        <w:tc>
          <w:tcPr>
            <w:tcW w:w="695" w:type="dxa"/>
            <w:tcBorders>
              <w:top w:val="single" w:sz="4" w:space="0" w:color="auto"/>
              <w:bottom w:val="single" w:sz="4" w:space="0" w:color="auto"/>
            </w:tcBorders>
            <w:shd w:val="clear" w:color="auto" w:fill="auto"/>
            <w:vAlign w:val="bottom"/>
          </w:tcPr>
          <w:p w14:paraId="02954A1C"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2014</w:t>
            </w:r>
          </w:p>
        </w:tc>
        <w:tc>
          <w:tcPr>
            <w:tcW w:w="694" w:type="dxa"/>
            <w:tcBorders>
              <w:top w:val="single" w:sz="4" w:space="0" w:color="auto"/>
              <w:bottom w:val="single" w:sz="4" w:space="0" w:color="auto"/>
            </w:tcBorders>
            <w:shd w:val="clear" w:color="auto" w:fill="auto"/>
            <w:vAlign w:val="bottom"/>
          </w:tcPr>
          <w:p w14:paraId="3448B584"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2013</w:t>
            </w:r>
          </w:p>
        </w:tc>
        <w:tc>
          <w:tcPr>
            <w:tcW w:w="695" w:type="dxa"/>
            <w:tcBorders>
              <w:top w:val="single" w:sz="4" w:space="0" w:color="auto"/>
              <w:bottom w:val="single" w:sz="4" w:space="0" w:color="auto"/>
            </w:tcBorders>
            <w:shd w:val="clear" w:color="auto" w:fill="auto"/>
            <w:vAlign w:val="bottom"/>
          </w:tcPr>
          <w:p w14:paraId="64685C46"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2012</w:t>
            </w:r>
          </w:p>
        </w:tc>
        <w:tc>
          <w:tcPr>
            <w:tcW w:w="695" w:type="dxa"/>
            <w:tcBorders>
              <w:top w:val="single" w:sz="4" w:space="0" w:color="auto"/>
              <w:bottom w:val="single" w:sz="4" w:space="0" w:color="auto"/>
            </w:tcBorders>
            <w:shd w:val="clear" w:color="auto" w:fill="auto"/>
            <w:vAlign w:val="bottom"/>
          </w:tcPr>
          <w:p w14:paraId="12A8D9AD"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2011</w:t>
            </w:r>
          </w:p>
        </w:tc>
      </w:tr>
      <w:tr w:rsidR="00BF0619" w:rsidRPr="00AF434B" w14:paraId="03A8085D" w14:textId="77777777" w:rsidTr="00FD7E8F">
        <w:trPr>
          <w:cantSplit/>
        </w:trPr>
        <w:tc>
          <w:tcPr>
            <w:tcW w:w="4336" w:type="dxa"/>
            <w:gridSpan w:val="3"/>
            <w:tcBorders>
              <w:top w:val="single" w:sz="4" w:space="0" w:color="auto"/>
              <w:bottom w:val="single" w:sz="12" w:space="0" w:color="auto"/>
            </w:tcBorders>
            <w:shd w:val="clear" w:color="auto" w:fill="auto"/>
            <w:vAlign w:val="bottom"/>
          </w:tcPr>
          <w:p w14:paraId="6A387C5B" w14:textId="77777777" w:rsidR="00BF0619" w:rsidRPr="00AF434B" w:rsidRDefault="00BF0619" w:rsidP="005A4D3A">
            <w:pPr>
              <w:suppressAutoHyphens w:val="0"/>
              <w:spacing w:before="40" w:after="40" w:line="220" w:lineRule="exact"/>
              <w:ind w:right="113"/>
              <w:rPr>
                <w:noProof/>
                <w:sz w:val="18"/>
                <w:lang w:val="fr-FR" w:eastAsia="zh-CN"/>
              </w:rPr>
            </w:pPr>
            <w:r>
              <w:rPr>
                <w:i/>
                <w:noProof/>
                <w:sz w:val="16"/>
                <w:lang w:val="fr-FR"/>
              </w:rPr>
              <w:t>Infraction</w:t>
            </w:r>
          </w:p>
        </w:tc>
        <w:tc>
          <w:tcPr>
            <w:tcW w:w="4169" w:type="dxa"/>
            <w:gridSpan w:val="6"/>
            <w:tcBorders>
              <w:top w:val="single" w:sz="4" w:space="0" w:color="auto"/>
            </w:tcBorders>
            <w:shd w:val="clear" w:color="auto" w:fill="auto"/>
            <w:vAlign w:val="bottom"/>
          </w:tcPr>
          <w:p w14:paraId="1407A094" w14:textId="77777777" w:rsidR="00BF0619" w:rsidRPr="00AF434B" w:rsidRDefault="00BF0619" w:rsidP="005A4D3A">
            <w:pPr>
              <w:suppressAutoHyphens w:val="0"/>
              <w:spacing w:before="40" w:after="40" w:line="220" w:lineRule="exact"/>
              <w:ind w:right="113"/>
              <w:jc w:val="center"/>
              <w:rPr>
                <w:noProof/>
                <w:sz w:val="18"/>
                <w:lang w:val="fr-FR" w:eastAsia="zh-CN"/>
              </w:rPr>
            </w:pPr>
            <w:r w:rsidRPr="00AF434B">
              <w:rPr>
                <w:i/>
                <w:noProof/>
                <w:sz w:val="16"/>
                <w:lang w:val="fr-FR"/>
              </w:rPr>
              <w:t>N</w:t>
            </w:r>
            <w:r>
              <w:rPr>
                <w:i/>
                <w:noProof/>
                <w:sz w:val="16"/>
                <w:lang w:val="fr-FR"/>
              </w:rPr>
              <w:t xml:space="preserve">ombre de procédures </w:t>
            </w:r>
          </w:p>
        </w:tc>
      </w:tr>
      <w:tr w:rsidR="00BF0619" w:rsidRPr="00AF434B" w14:paraId="7097AEEC" w14:textId="77777777" w:rsidTr="00FD7E8F">
        <w:trPr>
          <w:cantSplit/>
        </w:trPr>
        <w:tc>
          <w:tcPr>
            <w:tcW w:w="851" w:type="dxa"/>
            <w:vMerge w:val="restart"/>
            <w:tcBorders>
              <w:top w:val="single" w:sz="12" w:space="0" w:color="auto"/>
            </w:tcBorders>
            <w:shd w:val="clear" w:color="auto" w:fill="auto"/>
          </w:tcPr>
          <w:p w14:paraId="60558CE8"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Contre les personnes</w:t>
            </w:r>
          </w:p>
        </w:tc>
        <w:tc>
          <w:tcPr>
            <w:tcW w:w="843" w:type="dxa"/>
            <w:vMerge w:val="restart"/>
            <w:tcBorders>
              <w:top w:val="single" w:sz="12" w:space="0" w:color="auto"/>
            </w:tcBorders>
            <w:shd w:val="clear" w:color="auto" w:fill="auto"/>
          </w:tcPr>
          <w:p w14:paraId="4D0B982B" w14:textId="77777777" w:rsidR="00BF0619" w:rsidRPr="00AF434B" w:rsidRDefault="00BF0619" w:rsidP="005A4D3A">
            <w:pPr>
              <w:pStyle w:val="SingleTxtG"/>
              <w:spacing w:before="40" w:after="40" w:line="220" w:lineRule="exact"/>
              <w:ind w:left="0" w:right="0"/>
              <w:jc w:val="left"/>
              <w:rPr>
                <w:noProof/>
                <w:sz w:val="18"/>
                <w:lang w:val="fr-FR"/>
              </w:rPr>
            </w:pPr>
            <w:r>
              <w:rPr>
                <w:noProof/>
                <w:sz w:val="18"/>
                <w:lang w:val="fr-FR"/>
              </w:rPr>
              <w:t>Contre l’intégrité physique</w:t>
            </w:r>
          </w:p>
        </w:tc>
        <w:tc>
          <w:tcPr>
            <w:tcW w:w="2641" w:type="dxa"/>
            <w:tcBorders>
              <w:top w:val="single" w:sz="12" w:space="0" w:color="auto"/>
            </w:tcBorders>
            <w:shd w:val="clear" w:color="auto" w:fill="auto"/>
            <w:vAlign w:val="bottom"/>
          </w:tcPr>
          <w:p w14:paraId="50D97513"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 xml:space="preserve">Violence familiale </w:t>
            </w:r>
            <w:r w:rsidR="00FD7E8F">
              <w:rPr>
                <w:noProof/>
                <w:sz w:val="18"/>
                <w:lang w:val="fr-FR"/>
              </w:rPr>
              <w:br/>
            </w:r>
            <w:r w:rsidRPr="00AF434B">
              <w:rPr>
                <w:noProof/>
                <w:sz w:val="18"/>
                <w:lang w:val="fr-FR"/>
              </w:rPr>
              <w:t>(</w:t>
            </w:r>
            <w:r>
              <w:rPr>
                <w:noProof/>
                <w:sz w:val="18"/>
                <w:lang w:val="fr-FR"/>
              </w:rPr>
              <w:t>conjoint ou assimilé</w:t>
            </w:r>
            <w:r w:rsidRPr="00AF434B">
              <w:rPr>
                <w:noProof/>
                <w:sz w:val="18"/>
                <w:lang w:val="fr-FR"/>
              </w:rPr>
              <w:t>)</w:t>
            </w:r>
          </w:p>
        </w:tc>
        <w:tc>
          <w:tcPr>
            <w:tcW w:w="694" w:type="dxa"/>
            <w:tcBorders>
              <w:top w:val="single" w:sz="12" w:space="0" w:color="auto"/>
            </w:tcBorders>
            <w:shd w:val="clear" w:color="auto" w:fill="auto"/>
            <w:vAlign w:val="bottom"/>
          </w:tcPr>
          <w:p w14:paraId="416D305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2 832</w:t>
            </w:r>
          </w:p>
        </w:tc>
        <w:tc>
          <w:tcPr>
            <w:tcW w:w="695" w:type="dxa"/>
            <w:tcBorders>
              <w:top w:val="single" w:sz="12" w:space="0" w:color="auto"/>
            </w:tcBorders>
            <w:shd w:val="clear" w:color="auto" w:fill="auto"/>
            <w:vAlign w:val="bottom"/>
          </w:tcPr>
          <w:p w14:paraId="14E5778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2 590</w:t>
            </w:r>
          </w:p>
        </w:tc>
        <w:tc>
          <w:tcPr>
            <w:tcW w:w="695" w:type="dxa"/>
            <w:tcBorders>
              <w:top w:val="single" w:sz="12" w:space="0" w:color="auto"/>
            </w:tcBorders>
            <w:shd w:val="clear" w:color="auto" w:fill="auto"/>
            <w:vAlign w:val="bottom"/>
          </w:tcPr>
          <w:p w14:paraId="4226D5F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2 258</w:t>
            </w:r>
          </w:p>
        </w:tc>
        <w:tc>
          <w:tcPr>
            <w:tcW w:w="694" w:type="dxa"/>
            <w:tcBorders>
              <w:top w:val="single" w:sz="12" w:space="0" w:color="auto"/>
            </w:tcBorders>
            <w:shd w:val="clear" w:color="auto" w:fill="auto"/>
            <w:vAlign w:val="bottom"/>
          </w:tcPr>
          <w:p w14:paraId="66EB952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2 663</w:t>
            </w:r>
          </w:p>
        </w:tc>
        <w:tc>
          <w:tcPr>
            <w:tcW w:w="695" w:type="dxa"/>
            <w:tcBorders>
              <w:top w:val="single" w:sz="12" w:space="0" w:color="auto"/>
            </w:tcBorders>
            <w:shd w:val="clear" w:color="auto" w:fill="auto"/>
            <w:vAlign w:val="bottom"/>
          </w:tcPr>
          <w:p w14:paraId="76C7233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2 497</w:t>
            </w:r>
          </w:p>
        </w:tc>
        <w:tc>
          <w:tcPr>
            <w:tcW w:w="695" w:type="dxa"/>
            <w:tcBorders>
              <w:top w:val="single" w:sz="12" w:space="0" w:color="auto"/>
            </w:tcBorders>
            <w:shd w:val="clear" w:color="auto" w:fill="auto"/>
            <w:vAlign w:val="bottom"/>
          </w:tcPr>
          <w:p w14:paraId="509EA11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2 562</w:t>
            </w:r>
          </w:p>
        </w:tc>
      </w:tr>
      <w:tr w:rsidR="00BF0619" w:rsidRPr="00AF434B" w14:paraId="7CEFD088" w14:textId="77777777" w:rsidTr="00FD7E8F">
        <w:trPr>
          <w:cantSplit/>
        </w:trPr>
        <w:tc>
          <w:tcPr>
            <w:tcW w:w="851" w:type="dxa"/>
            <w:vMerge/>
            <w:shd w:val="clear" w:color="auto" w:fill="auto"/>
            <w:vAlign w:val="bottom"/>
          </w:tcPr>
          <w:p w14:paraId="061E8854" w14:textId="77777777" w:rsidR="00BF0619" w:rsidRPr="00AF434B" w:rsidRDefault="00BF0619" w:rsidP="005A4D3A">
            <w:pPr>
              <w:suppressAutoHyphens w:val="0"/>
              <w:spacing w:before="40" w:after="40" w:line="220" w:lineRule="exact"/>
              <w:ind w:right="113"/>
              <w:rPr>
                <w:noProof/>
                <w:sz w:val="18"/>
                <w:lang w:val="fr-FR" w:eastAsia="zh-CN"/>
              </w:rPr>
            </w:pPr>
          </w:p>
        </w:tc>
        <w:tc>
          <w:tcPr>
            <w:tcW w:w="843" w:type="dxa"/>
            <w:vMerge/>
            <w:shd w:val="clear" w:color="auto" w:fill="auto"/>
            <w:vAlign w:val="bottom"/>
          </w:tcPr>
          <w:p w14:paraId="5C60A3E7" w14:textId="77777777" w:rsidR="00BF0619" w:rsidRPr="00AF434B" w:rsidRDefault="00BF0619" w:rsidP="005A4D3A">
            <w:pPr>
              <w:suppressAutoHyphens w:val="0"/>
              <w:spacing w:before="40" w:after="40" w:line="220" w:lineRule="exact"/>
              <w:ind w:right="113"/>
              <w:rPr>
                <w:noProof/>
                <w:sz w:val="18"/>
                <w:lang w:val="fr-FR" w:eastAsia="zh-CN"/>
              </w:rPr>
            </w:pPr>
          </w:p>
        </w:tc>
        <w:tc>
          <w:tcPr>
            <w:tcW w:w="2641" w:type="dxa"/>
            <w:shd w:val="clear" w:color="auto" w:fill="auto"/>
            <w:vAlign w:val="bottom"/>
          </w:tcPr>
          <w:p w14:paraId="027CC743"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Violence familiale contre des</w:t>
            </w:r>
            <w:r w:rsidR="00FD7E8F">
              <w:rPr>
                <w:noProof/>
                <w:sz w:val="18"/>
                <w:lang w:val="fr-FR"/>
              </w:rPr>
              <w:t> </w:t>
            </w:r>
            <w:r>
              <w:rPr>
                <w:noProof/>
                <w:sz w:val="18"/>
                <w:lang w:val="fr-FR"/>
              </w:rPr>
              <w:t>mineurs</w:t>
            </w:r>
          </w:p>
        </w:tc>
        <w:tc>
          <w:tcPr>
            <w:tcW w:w="694" w:type="dxa"/>
            <w:shd w:val="clear" w:color="auto" w:fill="auto"/>
            <w:vAlign w:val="bottom"/>
          </w:tcPr>
          <w:p w14:paraId="07F50FD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75</w:t>
            </w:r>
          </w:p>
        </w:tc>
        <w:tc>
          <w:tcPr>
            <w:tcW w:w="695" w:type="dxa"/>
            <w:shd w:val="clear" w:color="auto" w:fill="auto"/>
            <w:vAlign w:val="bottom"/>
          </w:tcPr>
          <w:p w14:paraId="5F6E3F7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67</w:t>
            </w:r>
          </w:p>
        </w:tc>
        <w:tc>
          <w:tcPr>
            <w:tcW w:w="695" w:type="dxa"/>
            <w:shd w:val="clear" w:color="auto" w:fill="auto"/>
            <w:vAlign w:val="bottom"/>
          </w:tcPr>
          <w:p w14:paraId="2384BEB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61</w:t>
            </w:r>
          </w:p>
        </w:tc>
        <w:tc>
          <w:tcPr>
            <w:tcW w:w="694" w:type="dxa"/>
            <w:shd w:val="clear" w:color="auto" w:fill="auto"/>
            <w:vAlign w:val="bottom"/>
          </w:tcPr>
          <w:p w14:paraId="36943F0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67</w:t>
            </w:r>
          </w:p>
        </w:tc>
        <w:tc>
          <w:tcPr>
            <w:tcW w:w="695" w:type="dxa"/>
            <w:shd w:val="clear" w:color="auto" w:fill="auto"/>
            <w:vAlign w:val="bottom"/>
          </w:tcPr>
          <w:p w14:paraId="7042C84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62</w:t>
            </w:r>
          </w:p>
        </w:tc>
        <w:tc>
          <w:tcPr>
            <w:tcW w:w="695" w:type="dxa"/>
            <w:shd w:val="clear" w:color="auto" w:fill="auto"/>
            <w:vAlign w:val="bottom"/>
          </w:tcPr>
          <w:p w14:paraId="4D09683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80</w:t>
            </w:r>
          </w:p>
        </w:tc>
      </w:tr>
      <w:tr w:rsidR="00BF0619" w:rsidRPr="00AF434B" w14:paraId="464B5C42" w14:textId="77777777" w:rsidTr="00FD7E8F">
        <w:trPr>
          <w:cantSplit/>
        </w:trPr>
        <w:tc>
          <w:tcPr>
            <w:tcW w:w="851" w:type="dxa"/>
            <w:vMerge/>
            <w:tcBorders>
              <w:bottom w:val="single" w:sz="12" w:space="0" w:color="auto"/>
            </w:tcBorders>
            <w:shd w:val="clear" w:color="auto" w:fill="auto"/>
            <w:vAlign w:val="bottom"/>
          </w:tcPr>
          <w:p w14:paraId="171FE759" w14:textId="77777777" w:rsidR="00BF0619" w:rsidRPr="00AF434B" w:rsidRDefault="00BF0619" w:rsidP="005A4D3A">
            <w:pPr>
              <w:suppressAutoHyphens w:val="0"/>
              <w:spacing w:before="40" w:after="40" w:line="220" w:lineRule="exact"/>
              <w:ind w:right="113"/>
              <w:rPr>
                <w:noProof/>
                <w:sz w:val="18"/>
                <w:lang w:val="fr-FR" w:eastAsia="zh-CN"/>
              </w:rPr>
            </w:pPr>
          </w:p>
        </w:tc>
        <w:tc>
          <w:tcPr>
            <w:tcW w:w="843" w:type="dxa"/>
            <w:vMerge/>
            <w:tcBorders>
              <w:bottom w:val="single" w:sz="12" w:space="0" w:color="auto"/>
            </w:tcBorders>
            <w:shd w:val="clear" w:color="auto" w:fill="auto"/>
            <w:vAlign w:val="bottom"/>
          </w:tcPr>
          <w:p w14:paraId="3DFAF136" w14:textId="77777777" w:rsidR="00BF0619" w:rsidRPr="00AF434B" w:rsidRDefault="00BF0619" w:rsidP="005A4D3A">
            <w:pPr>
              <w:suppressAutoHyphens w:val="0"/>
              <w:spacing w:before="40" w:after="40" w:line="220" w:lineRule="exact"/>
              <w:ind w:right="113"/>
              <w:rPr>
                <w:noProof/>
                <w:sz w:val="18"/>
                <w:lang w:val="fr-FR" w:eastAsia="zh-CN"/>
              </w:rPr>
            </w:pPr>
          </w:p>
        </w:tc>
        <w:tc>
          <w:tcPr>
            <w:tcW w:w="2641" w:type="dxa"/>
            <w:tcBorders>
              <w:bottom w:val="single" w:sz="12" w:space="0" w:color="auto"/>
            </w:tcBorders>
            <w:shd w:val="clear" w:color="auto" w:fill="auto"/>
            <w:vAlign w:val="bottom"/>
          </w:tcPr>
          <w:p w14:paraId="5F048114"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Autres cas de violence familiale</w:t>
            </w:r>
          </w:p>
        </w:tc>
        <w:tc>
          <w:tcPr>
            <w:tcW w:w="694" w:type="dxa"/>
            <w:tcBorders>
              <w:bottom w:val="single" w:sz="12" w:space="0" w:color="auto"/>
            </w:tcBorders>
            <w:shd w:val="clear" w:color="auto" w:fill="auto"/>
            <w:vAlign w:val="bottom"/>
          </w:tcPr>
          <w:p w14:paraId="4AD8BBA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739</w:t>
            </w:r>
          </w:p>
        </w:tc>
        <w:tc>
          <w:tcPr>
            <w:tcW w:w="695" w:type="dxa"/>
            <w:tcBorders>
              <w:bottom w:val="single" w:sz="12" w:space="0" w:color="auto"/>
            </w:tcBorders>
            <w:shd w:val="clear" w:color="auto" w:fill="auto"/>
            <w:vAlign w:val="bottom"/>
          </w:tcPr>
          <w:p w14:paraId="77A3B1E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648</w:t>
            </w:r>
          </w:p>
        </w:tc>
        <w:tc>
          <w:tcPr>
            <w:tcW w:w="695" w:type="dxa"/>
            <w:tcBorders>
              <w:bottom w:val="single" w:sz="12" w:space="0" w:color="auto"/>
            </w:tcBorders>
            <w:shd w:val="clear" w:color="auto" w:fill="auto"/>
            <w:vAlign w:val="bottom"/>
          </w:tcPr>
          <w:p w14:paraId="5DED12F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549</w:t>
            </w:r>
          </w:p>
        </w:tc>
        <w:tc>
          <w:tcPr>
            <w:tcW w:w="694" w:type="dxa"/>
            <w:tcBorders>
              <w:bottom w:val="single" w:sz="12" w:space="0" w:color="auto"/>
            </w:tcBorders>
            <w:shd w:val="clear" w:color="auto" w:fill="auto"/>
            <w:vAlign w:val="bottom"/>
          </w:tcPr>
          <w:p w14:paraId="6AFE1134"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609</w:t>
            </w:r>
          </w:p>
        </w:tc>
        <w:tc>
          <w:tcPr>
            <w:tcW w:w="695" w:type="dxa"/>
            <w:tcBorders>
              <w:bottom w:val="single" w:sz="12" w:space="0" w:color="auto"/>
            </w:tcBorders>
            <w:shd w:val="clear" w:color="auto" w:fill="auto"/>
            <w:vAlign w:val="bottom"/>
          </w:tcPr>
          <w:p w14:paraId="2FE6F8E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649</w:t>
            </w:r>
          </w:p>
        </w:tc>
        <w:tc>
          <w:tcPr>
            <w:tcW w:w="695" w:type="dxa"/>
            <w:tcBorders>
              <w:bottom w:val="single" w:sz="12" w:space="0" w:color="auto"/>
            </w:tcBorders>
            <w:shd w:val="clear" w:color="auto" w:fill="auto"/>
            <w:vAlign w:val="bottom"/>
          </w:tcPr>
          <w:p w14:paraId="4AE8211E"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599</w:t>
            </w:r>
          </w:p>
        </w:tc>
      </w:tr>
    </w:tbl>
    <w:p w14:paraId="541F1A14" w14:textId="77777777" w:rsidR="00BF0619" w:rsidRPr="00AF434B" w:rsidRDefault="00BF0619" w:rsidP="00ED520E">
      <w:pPr>
        <w:spacing w:before="120" w:after="240"/>
        <w:ind w:left="1134" w:right="1134" w:firstLine="170"/>
        <w:rPr>
          <w:noProof/>
          <w:sz w:val="18"/>
          <w:lang w:val="fr-FR"/>
        </w:rPr>
      </w:pPr>
      <w:r w:rsidRPr="00AF434B">
        <w:rPr>
          <w:i/>
          <w:iCs/>
          <w:noProof/>
          <w:sz w:val="18"/>
          <w:lang w:val="fr-FR"/>
        </w:rPr>
        <w:t>Source</w:t>
      </w:r>
      <w:r w:rsidR="00ED520E">
        <w:rPr>
          <w:i/>
          <w:iCs/>
          <w:noProof/>
          <w:sz w:val="18"/>
          <w:lang w:val="fr-FR"/>
        </w:rPr>
        <w:t> </w:t>
      </w:r>
      <w:r w:rsidRPr="00AF434B">
        <w:rPr>
          <w:noProof/>
          <w:sz w:val="18"/>
          <w:lang w:val="fr-FR"/>
        </w:rPr>
        <w:t>: Minist</w:t>
      </w:r>
      <w:r>
        <w:rPr>
          <w:noProof/>
          <w:sz w:val="18"/>
          <w:lang w:val="fr-FR"/>
        </w:rPr>
        <w:t>ère de la j</w:t>
      </w:r>
      <w:r w:rsidRPr="00AF434B">
        <w:rPr>
          <w:noProof/>
          <w:sz w:val="18"/>
          <w:lang w:val="fr-FR"/>
        </w:rPr>
        <w:t>ustice</w:t>
      </w:r>
      <w:r>
        <w:rPr>
          <w:noProof/>
          <w:sz w:val="18"/>
          <w:lang w:val="fr-FR"/>
        </w:rPr>
        <w:t xml:space="preserve"> (dernière actualisation</w:t>
      </w:r>
      <w:r w:rsidR="00ED520E">
        <w:rPr>
          <w:noProof/>
          <w:sz w:val="18"/>
          <w:lang w:val="fr-FR"/>
        </w:rPr>
        <w:t> </w:t>
      </w:r>
      <w:r w:rsidRPr="00AF434B">
        <w:rPr>
          <w:noProof/>
          <w:sz w:val="18"/>
          <w:lang w:val="fr-FR"/>
        </w:rPr>
        <w:t>: 31/10/2017</w:t>
      </w:r>
      <w:r w:rsidR="00FD7E8F">
        <w:rPr>
          <w:noProof/>
          <w:sz w:val="18"/>
          <w:lang w:val="fr-FR"/>
        </w:rPr>
        <w:t>)</w:t>
      </w:r>
      <w:r w:rsidRPr="00AF434B">
        <w:rPr>
          <w:noProof/>
          <w:sz w:val="18"/>
          <w:lang w:val="fr-FR"/>
        </w:rPr>
        <w:t>.</w:t>
      </w:r>
    </w:p>
    <w:p w14:paraId="483863C2"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 xml:space="preserve">Personnes condamnées à l’issue de procédures pénales </w:t>
      </w:r>
      <w:r w:rsidRPr="00AF434B">
        <w:rPr>
          <w:noProof/>
          <w:lang w:val="fr-FR"/>
        </w:rPr>
        <w:t>(</w:t>
      </w:r>
      <w:r>
        <w:rPr>
          <w:noProof/>
          <w:lang w:val="fr-FR"/>
        </w:rPr>
        <w:t>en phase de jugement</w:t>
      </w:r>
      <w:r w:rsidRPr="00780E84">
        <w:rPr>
          <w:noProof/>
          <w:lang w:val="fr-FR"/>
        </w:rPr>
        <w:t xml:space="preserve"> </w:t>
      </w:r>
      <w:r>
        <w:rPr>
          <w:noProof/>
          <w:lang w:val="fr-FR"/>
        </w:rPr>
        <w:t xml:space="preserve">devant les tribunaux de première instance pour l’infraction de violence familiale </w:t>
      </w:r>
      <w:r w:rsidR="00ED520E">
        <w:rPr>
          <w:noProof/>
          <w:lang w:val="fr-FR"/>
        </w:rPr>
        <w:br/>
      </w:r>
      <w:r>
        <w:rPr>
          <w:noProof/>
          <w:lang w:val="fr-FR"/>
        </w:rPr>
        <w:t xml:space="preserve">entre </w:t>
      </w:r>
      <w:r w:rsidRPr="00AF434B">
        <w:rPr>
          <w:noProof/>
          <w:lang w:val="fr-FR"/>
        </w:rPr>
        <w:t>2011</w:t>
      </w:r>
      <w:r>
        <w:rPr>
          <w:noProof/>
          <w:lang w:val="fr-FR"/>
        </w:rPr>
        <w:t xml:space="preserve"> et </w:t>
      </w:r>
      <w:r w:rsidRPr="00AF434B">
        <w:rPr>
          <w:noProof/>
          <w:lang w:val="fr-FR"/>
        </w:rPr>
        <w:t>2016</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2552"/>
        <w:gridCol w:w="708"/>
        <w:gridCol w:w="709"/>
        <w:gridCol w:w="709"/>
        <w:gridCol w:w="708"/>
        <w:gridCol w:w="709"/>
        <w:gridCol w:w="709"/>
      </w:tblGrid>
      <w:tr w:rsidR="00BF0619" w:rsidRPr="00AF434B" w14:paraId="09971BE5" w14:textId="77777777" w:rsidTr="005A4D3A">
        <w:trPr>
          <w:cantSplit/>
        </w:trPr>
        <w:tc>
          <w:tcPr>
            <w:tcW w:w="4253" w:type="dxa"/>
            <w:gridSpan w:val="3"/>
            <w:tcBorders>
              <w:top w:val="single" w:sz="4" w:space="0" w:color="auto"/>
              <w:bottom w:val="single" w:sz="4" w:space="0" w:color="auto"/>
            </w:tcBorders>
            <w:shd w:val="clear" w:color="auto" w:fill="auto"/>
            <w:vAlign w:val="bottom"/>
          </w:tcPr>
          <w:p w14:paraId="3657D1EF" w14:textId="77777777" w:rsidR="00BF0619" w:rsidRPr="00AF434B" w:rsidRDefault="00BF0619" w:rsidP="005A4D3A">
            <w:pPr>
              <w:pStyle w:val="SingleTxtG"/>
              <w:spacing w:before="80" w:after="80" w:line="200" w:lineRule="exact"/>
              <w:ind w:left="0" w:right="113"/>
              <w:jc w:val="left"/>
              <w:rPr>
                <w:i/>
                <w:noProof/>
                <w:sz w:val="16"/>
                <w:lang w:val="fr-FR"/>
              </w:rPr>
            </w:pPr>
            <w:r>
              <w:rPr>
                <w:i/>
                <w:noProof/>
                <w:sz w:val="16"/>
                <w:lang w:val="fr-FR"/>
              </w:rPr>
              <w:t>Année</w:t>
            </w:r>
          </w:p>
        </w:tc>
        <w:tc>
          <w:tcPr>
            <w:tcW w:w="708" w:type="dxa"/>
            <w:tcBorders>
              <w:top w:val="single" w:sz="4" w:space="0" w:color="auto"/>
              <w:bottom w:val="single" w:sz="4" w:space="0" w:color="auto"/>
            </w:tcBorders>
            <w:shd w:val="clear" w:color="auto" w:fill="auto"/>
            <w:vAlign w:val="bottom"/>
          </w:tcPr>
          <w:p w14:paraId="621D8A19"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2016</w:t>
            </w:r>
          </w:p>
        </w:tc>
        <w:tc>
          <w:tcPr>
            <w:tcW w:w="709" w:type="dxa"/>
            <w:tcBorders>
              <w:top w:val="single" w:sz="4" w:space="0" w:color="auto"/>
              <w:bottom w:val="single" w:sz="4" w:space="0" w:color="auto"/>
            </w:tcBorders>
            <w:shd w:val="clear" w:color="auto" w:fill="auto"/>
            <w:vAlign w:val="bottom"/>
          </w:tcPr>
          <w:p w14:paraId="2247DDD7"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2015</w:t>
            </w:r>
          </w:p>
        </w:tc>
        <w:tc>
          <w:tcPr>
            <w:tcW w:w="709" w:type="dxa"/>
            <w:tcBorders>
              <w:top w:val="single" w:sz="4" w:space="0" w:color="auto"/>
              <w:bottom w:val="single" w:sz="4" w:space="0" w:color="auto"/>
            </w:tcBorders>
            <w:shd w:val="clear" w:color="auto" w:fill="auto"/>
            <w:vAlign w:val="bottom"/>
          </w:tcPr>
          <w:p w14:paraId="3A164524"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2014</w:t>
            </w:r>
          </w:p>
        </w:tc>
        <w:tc>
          <w:tcPr>
            <w:tcW w:w="708" w:type="dxa"/>
            <w:tcBorders>
              <w:top w:val="single" w:sz="4" w:space="0" w:color="auto"/>
              <w:bottom w:val="single" w:sz="4" w:space="0" w:color="auto"/>
            </w:tcBorders>
            <w:shd w:val="clear" w:color="auto" w:fill="auto"/>
            <w:vAlign w:val="bottom"/>
          </w:tcPr>
          <w:p w14:paraId="03674D39"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2013</w:t>
            </w:r>
          </w:p>
        </w:tc>
        <w:tc>
          <w:tcPr>
            <w:tcW w:w="709" w:type="dxa"/>
            <w:tcBorders>
              <w:top w:val="single" w:sz="4" w:space="0" w:color="auto"/>
              <w:bottom w:val="single" w:sz="4" w:space="0" w:color="auto"/>
            </w:tcBorders>
            <w:shd w:val="clear" w:color="auto" w:fill="auto"/>
            <w:vAlign w:val="bottom"/>
          </w:tcPr>
          <w:p w14:paraId="2D0A40B3"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2012</w:t>
            </w:r>
          </w:p>
        </w:tc>
        <w:tc>
          <w:tcPr>
            <w:tcW w:w="709" w:type="dxa"/>
            <w:tcBorders>
              <w:top w:val="single" w:sz="4" w:space="0" w:color="auto"/>
              <w:bottom w:val="single" w:sz="4" w:space="0" w:color="auto"/>
            </w:tcBorders>
            <w:shd w:val="clear" w:color="auto" w:fill="auto"/>
            <w:vAlign w:val="bottom"/>
          </w:tcPr>
          <w:p w14:paraId="7D60E751"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2011</w:t>
            </w:r>
          </w:p>
        </w:tc>
      </w:tr>
      <w:tr w:rsidR="00BF0619" w:rsidRPr="00AF434B" w14:paraId="6C04C0A2" w14:textId="77777777" w:rsidTr="005A4D3A">
        <w:trPr>
          <w:cantSplit/>
        </w:trPr>
        <w:tc>
          <w:tcPr>
            <w:tcW w:w="4253" w:type="dxa"/>
            <w:gridSpan w:val="3"/>
            <w:tcBorders>
              <w:top w:val="single" w:sz="4" w:space="0" w:color="auto"/>
              <w:bottom w:val="single" w:sz="12" w:space="0" w:color="auto"/>
            </w:tcBorders>
            <w:shd w:val="clear" w:color="auto" w:fill="auto"/>
            <w:vAlign w:val="bottom"/>
          </w:tcPr>
          <w:p w14:paraId="0515D146" w14:textId="77777777" w:rsidR="00BF0619" w:rsidRPr="00AF434B" w:rsidRDefault="00BF0619" w:rsidP="005A4D3A">
            <w:pPr>
              <w:suppressAutoHyphens w:val="0"/>
              <w:spacing w:before="40" w:after="40" w:line="220" w:lineRule="exact"/>
              <w:ind w:right="113"/>
              <w:rPr>
                <w:noProof/>
                <w:sz w:val="18"/>
                <w:lang w:val="fr-FR" w:eastAsia="zh-CN"/>
              </w:rPr>
            </w:pPr>
            <w:r>
              <w:rPr>
                <w:i/>
                <w:noProof/>
                <w:sz w:val="16"/>
                <w:lang w:val="fr-FR"/>
              </w:rPr>
              <w:t>Infraction</w:t>
            </w:r>
          </w:p>
        </w:tc>
        <w:tc>
          <w:tcPr>
            <w:tcW w:w="4252" w:type="dxa"/>
            <w:gridSpan w:val="6"/>
            <w:tcBorders>
              <w:top w:val="single" w:sz="4" w:space="0" w:color="auto"/>
            </w:tcBorders>
            <w:shd w:val="clear" w:color="auto" w:fill="auto"/>
            <w:vAlign w:val="bottom"/>
          </w:tcPr>
          <w:p w14:paraId="310A1CEF" w14:textId="77777777" w:rsidR="00BF0619" w:rsidRPr="00AF434B" w:rsidRDefault="00BF0619" w:rsidP="005A4D3A">
            <w:pPr>
              <w:suppressAutoHyphens w:val="0"/>
              <w:spacing w:before="40" w:after="40" w:line="220" w:lineRule="exact"/>
              <w:ind w:right="113"/>
              <w:jc w:val="center"/>
              <w:rPr>
                <w:noProof/>
                <w:sz w:val="18"/>
                <w:lang w:val="fr-FR" w:eastAsia="zh-CN"/>
              </w:rPr>
            </w:pPr>
            <w:r w:rsidRPr="00AF434B">
              <w:rPr>
                <w:i/>
                <w:noProof/>
                <w:sz w:val="16"/>
                <w:lang w:val="fr-FR"/>
              </w:rPr>
              <w:t>N</w:t>
            </w:r>
            <w:r>
              <w:rPr>
                <w:i/>
                <w:noProof/>
                <w:sz w:val="16"/>
                <w:lang w:val="fr-FR"/>
              </w:rPr>
              <w:t xml:space="preserve">ombre de personnes condamnées </w:t>
            </w:r>
          </w:p>
        </w:tc>
      </w:tr>
      <w:tr w:rsidR="00BF0619" w:rsidRPr="00AF434B" w14:paraId="385A7CC2" w14:textId="77777777" w:rsidTr="00ED520E">
        <w:trPr>
          <w:cantSplit/>
        </w:trPr>
        <w:tc>
          <w:tcPr>
            <w:tcW w:w="851" w:type="dxa"/>
            <w:vMerge w:val="restart"/>
            <w:tcBorders>
              <w:top w:val="single" w:sz="12" w:space="0" w:color="auto"/>
            </w:tcBorders>
            <w:shd w:val="clear" w:color="auto" w:fill="auto"/>
          </w:tcPr>
          <w:p w14:paraId="0D5EEF74"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Contre les personnes</w:t>
            </w:r>
          </w:p>
        </w:tc>
        <w:tc>
          <w:tcPr>
            <w:tcW w:w="850" w:type="dxa"/>
            <w:vMerge w:val="restart"/>
            <w:tcBorders>
              <w:top w:val="single" w:sz="12" w:space="0" w:color="auto"/>
            </w:tcBorders>
            <w:shd w:val="clear" w:color="auto" w:fill="auto"/>
          </w:tcPr>
          <w:p w14:paraId="0E14FE80" w14:textId="77777777" w:rsidR="00BF0619" w:rsidRPr="00AF434B" w:rsidRDefault="00BF0619" w:rsidP="005A4D3A">
            <w:pPr>
              <w:pStyle w:val="SingleTxtG"/>
              <w:spacing w:before="40" w:after="40" w:line="220" w:lineRule="exact"/>
              <w:ind w:left="0" w:right="0"/>
              <w:jc w:val="left"/>
              <w:rPr>
                <w:noProof/>
                <w:sz w:val="18"/>
                <w:lang w:val="fr-FR"/>
              </w:rPr>
            </w:pPr>
            <w:r>
              <w:rPr>
                <w:noProof/>
                <w:sz w:val="18"/>
                <w:lang w:val="fr-FR"/>
              </w:rPr>
              <w:t>Contre l’intégrité physique</w:t>
            </w:r>
          </w:p>
        </w:tc>
        <w:tc>
          <w:tcPr>
            <w:tcW w:w="2552" w:type="dxa"/>
            <w:tcBorders>
              <w:top w:val="single" w:sz="12" w:space="0" w:color="auto"/>
            </w:tcBorders>
            <w:shd w:val="clear" w:color="auto" w:fill="auto"/>
            <w:vAlign w:val="bottom"/>
          </w:tcPr>
          <w:p w14:paraId="5674214E"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 xml:space="preserve">Violence familiale </w:t>
            </w:r>
            <w:r w:rsidR="00ED520E">
              <w:rPr>
                <w:noProof/>
                <w:sz w:val="18"/>
                <w:lang w:val="fr-FR"/>
              </w:rPr>
              <w:br/>
            </w:r>
            <w:r w:rsidRPr="00AF434B">
              <w:rPr>
                <w:noProof/>
                <w:sz w:val="18"/>
                <w:lang w:val="fr-FR"/>
              </w:rPr>
              <w:t>(</w:t>
            </w:r>
            <w:r>
              <w:rPr>
                <w:noProof/>
                <w:sz w:val="18"/>
                <w:lang w:val="fr-FR"/>
              </w:rPr>
              <w:t>conjoint ou assimilé</w:t>
            </w:r>
            <w:r w:rsidRPr="00AF434B">
              <w:rPr>
                <w:noProof/>
                <w:sz w:val="18"/>
                <w:lang w:val="fr-FR"/>
              </w:rPr>
              <w:t>)</w:t>
            </w:r>
          </w:p>
        </w:tc>
        <w:tc>
          <w:tcPr>
            <w:tcW w:w="708" w:type="dxa"/>
            <w:tcBorders>
              <w:top w:val="single" w:sz="12" w:space="0" w:color="auto"/>
            </w:tcBorders>
            <w:shd w:val="clear" w:color="auto" w:fill="auto"/>
            <w:vAlign w:val="bottom"/>
          </w:tcPr>
          <w:p w14:paraId="402E9F0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1 528</w:t>
            </w:r>
          </w:p>
        </w:tc>
        <w:tc>
          <w:tcPr>
            <w:tcW w:w="709" w:type="dxa"/>
            <w:tcBorders>
              <w:top w:val="single" w:sz="12" w:space="0" w:color="auto"/>
            </w:tcBorders>
            <w:shd w:val="clear" w:color="auto" w:fill="auto"/>
            <w:vAlign w:val="bottom"/>
          </w:tcPr>
          <w:p w14:paraId="5796B1E5"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1 432</w:t>
            </w:r>
          </w:p>
        </w:tc>
        <w:tc>
          <w:tcPr>
            <w:tcW w:w="709" w:type="dxa"/>
            <w:tcBorders>
              <w:top w:val="single" w:sz="12" w:space="0" w:color="auto"/>
            </w:tcBorders>
            <w:shd w:val="clear" w:color="auto" w:fill="auto"/>
            <w:vAlign w:val="bottom"/>
          </w:tcPr>
          <w:p w14:paraId="4B33717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1 275</w:t>
            </w:r>
          </w:p>
        </w:tc>
        <w:tc>
          <w:tcPr>
            <w:tcW w:w="708" w:type="dxa"/>
            <w:tcBorders>
              <w:top w:val="single" w:sz="12" w:space="0" w:color="auto"/>
            </w:tcBorders>
            <w:shd w:val="clear" w:color="auto" w:fill="auto"/>
            <w:vAlign w:val="bottom"/>
          </w:tcPr>
          <w:p w14:paraId="0F93A7F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1 430</w:t>
            </w:r>
          </w:p>
        </w:tc>
        <w:tc>
          <w:tcPr>
            <w:tcW w:w="709" w:type="dxa"/>
            <w:tcBorders>
              <w:top w:val="single" w:sz="12" w:space="0" w:color="auto"/>
            </w:tcBorders>
            <w:shd w:val="clear" w:color="auto" w:fill="auto"/>
            <w:vAlign w:val="bottom"/>
          </w:tcPr>
          <w:p w14:paraId="2E9F4CC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1 362</w:t>
            </w:r>
          </w:p>
        </w:tc>
        <w:tc>
          <w:tcPr>
            <w:tcW w:w="709" w:type="dxa"/>
            <w:tcBorders>
              <w:top w:val="single" w:sz="12" w:space="0" w:color="auto"/>
            </w:tcBorders>
            <w:shd w:val="clear" w:color="auto" w:fill="auto"/>
            <w:vAlign w:val="bottom"/>
          </w:tcPr>
          <w:p w14:paraId="305141EA"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1 328</w:t>
            </w:r>
          </w:p>
        </w:tc>
      </w:tr>
      <w:tr w:rsidR="00BF0619" w:rsidRPr="00AF434B" w14:paraId="2763CFB8" w14:textId="77777777" w:rsidTr="00ED520E">
        <w:trPr>
          <w:cantSplit/>
        </w:trPr>
        <w:tc>
          <w:tcPr>
            <w:tcW w:w="851" w:type="dxa"/>
            <w:vMerge/>
            <w:shd w:val="clear" w:color="auto" w:fill="auto"/>
            <w:vAlign w:val="bottom"/>
          </w:tcPr>
          <w:p w14:paraId="0270F4A6" w14:textId="77777777" w:rsidR="00BF0619" w:rsidRPr="00AF434B" w:rsidRDefault="00BF0619" w:rsidP="005A4D3A">
            <w:pPr>
              <w:suppressAutoHyphens w:val="0"/>
              <w:spacing w:before="40" w:after="40" w:line="220" w:lineRule="exact"/>
              <w:ind w:right="113"/>
              <w:rPr>
                <w:noProof/>
                <w:sz w:val="18"/>
                <w:lang w:val="fr-FR" w:eastAsia="zh-CN"/>
              </w:rPr>
            </w:pPr>
          </w:p>
        </w:tc>
        <w:tc>
          <w:tcPr>
            <w:tcW w:w="850" w:type="dxa"/>
            <w:vMerge/>
            <w:shd w:val="clear" w:color="auto" w:fill="auto"/>
            <w:vAlign w:val="bottom"/>
          </w:tcPr>
          <w:p w14:paraId="4266336F" w14:textId="77777777" w:rsidR="00BF0619" w:rsidRPr="00AF434B" w:rsidRDefault="00BF0619" w:rsidP="005A4D3A">
            <w:pPr>
              <w:suppressAutoHyphens w:val="0"/>
              <w:spacing w:before="40" w:after="40" w:line="220" w:lineRule="exact"/>
              <w:ind w:right="113"/>
              <w:rPr>
                <w:noProof/>
                <w:sz w:val="18"/>
                <w:lang w:val="fr-FR" w:eastAsia="zh-CN"/>
              </w:rPr>
            </w:pPr>
          </w:p>
        </w:tc>
        <w:tc>
          <w:tcPr>
            <w:tcW w:w="2552" w:type="dxa"/>
            <w:shd w:val="clear" w:color="auto" w:fill="auto"/>
            <w:vAlign w:val="bottom"/>
          </w:tcPr>
          <w:p w14:paraId="65D00CD4" w14:textId="77777777" w:rsidR="00BF0619" w:rsidRPr="00AF434B" w:rsidRDefault="00BF0619" w:rsidP="005A4D3A">
            <w:pPr>
              <w:suppressAutoHyphens w:val="0"/>
              <w:spacing w:before="40" w:after="40" w:line="220" w:lineRule="exact"/>
              <w:rPr>
                <w:noProof/>
                <w:sz w:val="18"/>
                <w:lang w:val="fr-FR" w:eastAsia="zh-CN"/>
              </w:rPr>
            </w:pPr>
            <w:r>
              <w:rPr>
                <w:noProof/>
                <w:sz w:val="18"/>
                <w:lang w:val="fr-FR"/>
              </w:rPr>
              <w:t>Violence familiale contre des</w:t>
            </w:r>
            <w:r w:rsidR="00ED520E">
              <w:rPr>
                <w:noProof/>
                <w:sz w:val="18"/>
                <w:lang w:val="fr-FR"/>
              </w:rPr>
              <w:t> </w:t>
            </w:r>
            <w:r>
              <w:rPr>
                <w:noProof/>
                <w:sz w:val="18"/>
                <w:lang w:val="fr-FR"/>
              </w:rPr>
              <w:t>mineurs</w:t>
            </w:r>
          </w:p>
        </w:tc>
        <w:tc>
          <w:tcPr>
            <w:tcW w:w="708" w:type="dxa"/>
            <w:shd w:val="clear" w:color="auto" w:fill="auto"/>
            <w:vAlign w:val="bottom"/>
          </w:tcPr>
          <w:p w14:paraId="79891A3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47</w:t>
            </w:r>
          </w:p>
        </w:tc>
        <w:tc>
          <w:tcPr>
            <w:tcW w:w="709" w:type="dxa"/>
            <w:shd w:val="clear" w:color="auto" w:fill="auto"/>
            <w:vAlign w:val="bottom"/>
          </w:tcPr>
          <w:p w14:paraId="1BC0DF0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39</w:t>
            </w:r>
          </w:p>
        </w:tc>
        <w:tc>
          <w:tcPr>
            <w:tcW w:w="709" w:type="dxa"/>
            <w:shd w:val="clear" w:color="auto" w:fill="auto"/>
            <w:vAlign w:val="bottom"/>
          </w:tcPr>
          <w:p w14:paraId="5139821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33</w:t>
            </w:r>
          </w:p>
        </w:tc>
        <w:tc>
          <w:tcPr>
            <w:tcW w:w="708" w:type="dxa"/>
            <w:shd w:val="clear" w:color="auto" w:fill="auto"/>
            <w:vAlign w:val="bottom"/>
          </w:tcPr>
          <w:p w14:paraId="26405EB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44</w:t>
            </w:r>
          </w:p>
        </w:tc>
        <w:tc>
          <w:tcPr>
            <w:tcW w:w="709" w:type="dxa"/>
            <w:shd w:val="clear" w:color="auto" w:fill="auto"/>
            <w:vAlign w:val="bottom"/>
          </w:tcPr>
          <w:p w14:paraId="0E7E21FE"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37</w:t>
            </w:r>
          </w:p>
        </w:tc>
        <w:tc>
          <w:tcPr>
            <w:tcW w:w="709" w:type="dxa"/>
            <w:shd w:val="clear" w:color="auto" w:fill="auto"/>
            <w:vAlign w:val="bottom"/>
          </w:tcPr>
          <w:p w14:paraId="17EAD7C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45</w:t>
            </w:r>
          </w:p>
        </w:tc>
      </w:tr>
      <w:tr w:rsidR="00BF0619" w:rsidRPr="00AF434B" w14:paraId="1B2C83B5" w14:textId="77777777" w:rsidTr="00ED520E">
        <w:trPr>
          <w:cantSplit/>
        </w:trPr>
        <w:tc>
          <w:tcPr>
            <w:tcW w:w="851" w:type="dxa"/>
            <w:vMerge/>
            <w:tcBorders>
              <w:bottom w:val="single" w:sz="12" w:space="0" w:color="auto"/>
            </w:tcBorders>
            <w:shd w:val="clear" w:color="auto" w:fill="auto"/>
            <w:vAlign w:val="bottom"/>
          </w:tcPr>
          <w:p w14:paraId="3B24A00F" w14:textId="77777777" w:rsidR="00BF0619" w:rsidRPr="00AF434B" w:rsidRDefault="00BF0619" w:rsidP="005A4D3A">
            <w:pPr>
              <w:suppressAutoHyphens w:val="0"/>
              <w:spacing w:before="40" w:after="40" w:line="220" w:lineRule="exact"/>
              <w:ind w:right="113"/>
              <w:rPr>
                <w:noProof/>
                <w:sz w:val="18"/>
                <w:lang w:val="fr-FR" w:eastAsia="zh-CN"/>
              </w:rPr>
            </w:pPr>
          </w:p>
        </w:tc>
        <w:tc>
          <w:tcPr>
            <w:tcW w:w="850" w:type="dxa"/>
            <w:vMerge/>
            <w:tcBorders>
              <w:bottom w:val="single" w:sz="12" w:space="0" w:color="auto"/>
            </w:tcBorders>
            <w:shd w:val="clear" w:color="auto" w:fill="auto"/>
            <w:vAlign w:val="bottom"/>
          </w:tcPr>
          <w:p w14:paraId="071D2D9A" w14:textId="77777777" w:rsidR="00BF0619" w:rsidRPr="00AF434B" w:rsidRDefault="00BF0619" w:rsidP="005A4D3A">
            <w:pPr>
              <w:suppressAutoHyphens w:val="0"/>
              <w:spacing w:before="40" w:after="40" w:line="220" w:lineRule="exact"/>
              <w:ind w:right="113"/>
              <w:rPr>
                <w:noProof/>
                <w:sz w:val="18"/>
                <w:lang w:val="fr-FR" w:eastAsia="zh-CN"/>
              </w:rPr>
            </w:pPr>
          </w:p>
        </w:tc>
        <w:tc>
          <w:tcPr>
            <w:tcW w:w="2552" w:type="dxa"/>
            <w:tcBorders>
              <w:bottom w:val="single" w:sz="12" w:space="0" w:color="auto"/>
            </w:tcBorders>
            <w:shd w:val="clear" w:color="auto" w:fill="auto"/>
            <w:vAlign w:val="bottom"/>
          </w:tcPr>
          <w:p w14:paraId="056B31BC" w14:textId="77777777" w:rsidR="00BF0619" w:rsidRPr="00AF434B" w:rsidRDefault="00BF0619" w:rsidP="005A4D3A">
            <w:pPr>
              <w:suppressAutoHyphens w:val="0"/>
              <w:spacing w:before="40" w:after="40" w:line="220" w:lineRule="exact"/>
              <w:ind w:right="113"/>
              <w:rPr>
                <w:noProof/>
                <w:sz w:val="18"/>
                <w:lang w:val="fr-FR" w:eastAsia="zh-CN"/>
              </w:rPr>
            </w:pPr>
            <w:r>
              <w:rPr>
                <w:noProof/>
                <w:sz w:val="18"/>
                <w:lang w:val="fr-FR"/>
              </w:rPr>
              <w:t>Autres cas de violence familiale</w:t>
            </w:r>
          </w:p>
        </w:tc>
        <w:tc>
          <w:tcPr>
            <w:tcW w:w="708" w:type="dxa"/>
            <w:tcBorders>
              <w:bottom w:val="single" w:sz="12" w:space="0" w:color="auto"/>
            </w:tcBorders>
            <w:shd w:val="clear" w:color="auto" w:fill="auto"/>
            <w:vAlign w:val="bottom"/>
          </w:tcPr>
          <w:p w14:paraId="7C5FA30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409</w:t>
            </w:r>
          </w:p>
        </w:tc>
        <w:tc>
          <w:tcPr>
            <w:tcW w:w="709" w:type="dxa"/>
            <w:tcBorders>
              <w:bottom w:val="single" w:sz="12" w:space="0" w:color="auto"/>
            </w:tcBorders>
            <w:shd w:val="clear" w:color="auto" w:fill="auto"/>
            <w:vAlign w:val="bottom"/>
          </w:tcPr>
          <w:p w14:paraId="7BFE4A6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388</w:t>
            </w:r>
          </w:p>
        </w:tc>
        <w:tc>
          <w:tcPr>
            <w:tcW w:w="709" w:type="dxa"/>
            <w:tcBorders>
              <w:bottom w:val="single" w:sz="12" w:space="0" w:color="auto"/>
            </w:tcBorders>
            <w:shd w:val="clear" w:color="auto" w:fill="auto"/>
            <w:vAlign w:val="bottom"/>
          </w:tcPr>
          <w:p w14:paraId="65799C8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343</w:t>
            </w:r>
          </w:p>
        </w:tc>
        <w:tc>
          <w:tcPr>
            <w:tcW w:w="708" w:type="dxa"/>
            <w:tcBorders>
              <w:bottom w:val="single" w:sz="12" w:space="0" w:color="auto"/>
            </w:tcBorders>
            <w:shd w:val="clear" w:color="auto" w:fill="auto"/>
            <w:vAlign w:val="bottom"/>
          </w:tcPr>
          <w:p w14:paraId="0577913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350</w:t>
            </w:r>
          </w:p>
        </w:tc>
        <w:tc>
          <w:tcPr>
            <w:tcW w:w="709" w:type="dxa"/>
            <w:tcBorders>
              <w:bottom w:val="single" w:sz="12" w:space="0" w:color="auto"/>
            </w:tcBorders>
            <w:shd w:val="clear" w:color="auto" w:fill="auto"/>
            <w:vAlign w:val="bottom"/>
          </w:tcPr>
          <w:p w14:paraId="5709883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331</w:t>
            </w:r>
          </w:p>
        </w:tc>
        <w:tc>
          <w:tcPr>
            <w:tcW w:w="709" w:type="dxa"/>
            <w:tcBorders>
              <w:bottom w:val="single" w:sz="12" w:space="0" w:color="auto"/>
            </w:tcBorders>
            <w:shd w:val="clear" w:color="auto" w:fill="auto"/>
            <w:vAlign w:val="bottom"/>
          </w:tcPr>
          <w:p w14:paraId="23BCC05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324</w:t>
            </w:r>
          </w:p>
        </w:tc>
      </w:tr>
    </w:tbl>
    <w:p w14:paraId="15C57B04" w14:textId="77777777" w:rsidR="00BF0619" w:rsidRPr="00AF434B" w:rsidRDefault="00BF0619" w:rsidP="00BF0619">
      <w:pPr>
        <w:spacing w:before="120"/>
        <w:ind w:left="1134" w:right="1134" w:firstLine="170"/>
        <w:rPr>
          <w:noProof/>
          <w:sz w:val="18"/>
          <w:lang w:val="fr-FR"/>
        </w:rPr>
      </w:pPr>
      <w:r w:rsidRPr="00AF434B">
        <w:rPr>
          <w:i/>
          <w:iCs/>
          <w:noProof/>
          <w:sz w:val="18"/>
          <w:lang w:val="fr-FR"/>
        </w:rPr>
        <w:t>Source</w:t>
      </w:r>
      <w:r w:rsidR="00ED520E">
        <w:rPr>
          <w:i/>
          <w:iCs/>
          <w:noProof/>
          <w:sz w:val="18"/>
          <w:lang w:val="fr-FR"/>
        </w:rPr>
        <w:t> </w:t>
      </w:r>
      <w:r w:rsidRPr="00AF434B">
        <w:rPr>
          <w:noProof/>
          <w:sz w:val="18"/>
          <w:lang w:val="fr-FR"/>
        </w:rPr>
        <w:t>: Minist</w:t>
      </w:r>
      <w:r>
        <w:rPr>
          <w:noProof/>
          <w:sz w:val="18"/>
          <w:lang w:val="fr-FR"/>
        </w:rPr>
        <w:t>ère de la j</w:t>
      </w:r>
      <w:r w:rsidRPr="00AF434B">
        <w:rPr>
          <w:noProof/>
          <w:sz w:val="18"/>
          <w:lang w:val="fr-FR"/>
        </w:rPr>
        <w:t>ustice</w:t>
      </w:r>
      <w:r>
        <w:rPr>
          <w:noProof/>
          <w:sz w:val="18"/>
          <w:lang w:val="fr-FR"/>
        </w:rPr>
        <w:t xml:space="preserve"> (dernière actualisation</w:t>
      </w:r>
      <w:r w:rsidR="00ED520E">
        <w:rPr>
          <w:noProof/>
          <w:sz w:val="18"/>
          <w:lang w:val="fr-FR"/>
        </w:rPr>
        <w:t> </w:t>
      </w:r>
      <w:r w:rsidRPr="00AF434B">
        <w:rPr>
          <w:noProof/>
          <w:sz w:val="18"/>
          <w:lang w:val="fr-FR"/>
        </w:rPr>
        <w:t>: 31/10/2017</w:t>
      </w:r>
      <w:r w:rsidR="00BC5D7F">
        <w:rPr>
          <w:noProof/>
          <w:sz w:val="18"/>
          <w:lang w:val="fr-FR"/>
        </w:rPr>
        <w:t>)</w:t>
      </w:r>
      <w:r w:rsidRPr="00AF434B">
        <w:rPr>
          <w:noProof/>
          <w:sz w:val="18"/>
          <w:lang w:val="fr-FR"/>
        </w:rPr>
        <w:t>.</w:t>
      </w:r>
    </w:p>
    <w:p w14:paraId="540D0E23"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 xml:space="preserve">Placement de </w:t>
      </w:r>
      <w:r w:rsidRPr="00AF434B">
        <w:rPr>
          <w:noProof/>
          <w:lang w:val="fr-FR"/>
        </w:rPr>
        <w:t xml:space="preserve">suspects </w:t>
      </w:r>
      <w:r>
        <w:rPr>
          <w:noProof/>
          <w:lang w:val="fr-FR"/>
        </w:rPr>
        <w:t xml:space="preserve">en garde à vue </w:t>
      </w:r>
      <w:r w:rsidRPr="00AF434B">
        <w:rPr>
          <w:noProof/>
          <w:lang w:val="fr-FR"/>
        </w:rPr>
        <w:t>(</w:t>
      </w:r>
      <w:r>
        <w:rPr>
          <w:noProof/>
          <w:lang w:val="fr-FR"/>
        </w:rPr>
        <w:t>entre</w:t>
      </w:r>
      <w:r w:rsidRPr="00AF434B">
        <w:rPr>
          <w:noProof/>
          <w:lang w:val="fr-FR"/>
        </w:rPr>
        <w:t xml:space="preserve"> 2009 </w:t>
      </w:r>
      <w:r>
        <w:rPr>
          <w:noProof/>
          <w:lang w:val="fr-FR"/>
        </w:rPr>
        <w:t>et</w:t>
      </w:r>
      <w:r w:rsidRPr="00AF434B">
        <w:rPr>
          <w:noProof/>
          <w:lang w:val="fr-FR"/>
        </w:rPr>
        <w:t xml:space="preserve"> 2016)</w:t>
      </w:r>
    </w:p>
    <w:p w14:paraId="13E42BB6" w14:textId="77777777" w:rsidR="00BF0619" w:rsidRPr="00AF434B" w:rsidRDefault="00BF0619" w:rsidP="00BF0619">
      <w:pPr>
        <w:pStyle w:val="SingleTxtG"/>
        <w:rPr>
          <w:noProof/>
          <w:lang w:val="fr-FR"/>
        </w:rPr>
      </w:pPr>
      <w:r w:rsidRPr="00AF434B">
        <w:rPr>
          <w:noProof/>
          <w:lang w:val="fr-FR" w:eastAsia="ja-JP"/>
        </w:rPr>
        <w:drawing>
          <wp:inline distT="0" distB="0" distL="0" distR="0" wp14:anchorId="64AB4B96" wp14:editId="1A7F9954">
            <wp:extent cx="4680000" cy="2927267"/>
            <wp:effectExtent l="0" t="0" r="6350" b="6985"/>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6D942C"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Évaluation du risque</w:t>
      </w:r>
      <w:r w:rsidRPr="00AF434B">
        <w:rPr>
          <w:noProof/>
          <w:lang w:val="fr-FR"/>
        </w:rPr>
        <w:t xml:space="preserve"> (1L) </w:t>
      </w:r>
      <w:r>
        <w:rPr>
          <w:noProof/>
          <w:lang w:val="fr-FR"/>
        </w:rPr>
        <w:t xml:space="preserve">Niveau de risque </w:t>
      </w:r>
      <w:r w:rsidRPr="00AF434B">
        <w:rPr>
          <w:noProof/>
          <w:lang w:val="fr-FR"/>
        </w:rPr>
        <w:t>(2016) (%)</w:t>
      </w:r>
    </w:p>
    <w:p w14:paraId="0DDA3886" w14:textId="77777777" w:rsidR="007A7E52" w:rsidRDefault="00DC6602" w:rsidP="007A7E52">
      <w:pPr>
        <w:pStyle w:val="SingleTxtG"/>
        <w:spacing w:after="0"/>
        <w:rPr>
          <w:noProof/>
          <w:sz w:val="18"/>
          <w:lang w:val="fr-FR"/>
        </w:rPr>
      </w:pPr>
      <w:r>
        <w:rPr>
          <w:noProof/>
          <w:sz w:val="16"/>
          <w:szCs w:val="16"/>
          <w:lang w:val="fr-FR" w:eastAsia="ja-JP"/>
        </w:rPr>
        <mc:AlternateContent>
          <mc:Choice Requires="wps">
            <w:drawing>
              <wp:anchor distT="0" distB="0" distL="114300" distR="114300" simplePos="0" relativeHeight="251660288" behindDoc="0" locked="0" layoutInCell="1" allowOverlap="1" wp14:anchorId="2C29EB35" wp14:editId="5F3112DD">
                <wp:simplePos x="0" y="0"/>
                <wp:positionH relativeFrom="page">
                  <wp:posOffset>1626919</wp:posOffset>
                </wp:positionH>
                <wp:positionV relativeFrom="page">
                  <wp:posOffset>5183580</wp:posOffset>
                </wp:positionV>
                <wp:extent cx="1710047" cy="195424"/>
                <wp:effectExtent l="0" t="0" r="5080" b="0"/>
                <wp:wrapNone/>
                <wp:docPr id="7" name="Zone de texte 7"/>
                <wp:cNvGraphicFramePr/>
                <a:graphic xmlns:a="http://schemas.openxmlformats.org/drawingml/2006/main">
                  <a:graphicData uri="http://schemas.microsoft.com/office/word/2010/wordprocessingShape">
                    <wps:wsp>
                      <wps:cNvSpPr txBox="1"/>
                      <wps:spPr>
                        <a:xfrm>
                          <a:off x="0" y="0"/>
                          <a:ext cx="1710047" cy="195424"/>
                        </a:xfrm>
                        <a:prstGeom prst="rect">
                          <a:avLst/>
                        </a:prstGeom>
                        <a:solidFill>
                          <a:schemeClr val="lt1"/>
                        </a:solidFill>
                        <a:ln w="6350">
                          <a:noFill/>
                        </a:ln>
                      </wps:spPr>
                      <wps:txbx>
                        <w:txbxContent>
                          <w:p w14:paraId="44DD9289" w14:textId="77777777" w:rsidR="00DC6602" w:rsidRPr="00DC6602" w:rsidRDefault="000662AF">
                            <w:pPr>
                              <w:rPr>
                                <w:sz w:val="16"/>
                                <w:szCs w:val="16"/>
                              </w:rPr>
                            </w:pPr>
                            <w:r>
                              <w:rPr>
                                <w:sz w:val="16"/>
                                <w:szCs w:val="16"/>
                              </w:rPr>
                              <w:t xml:space="preserve">    </w:t>
                            </w:r>
                            <w:r w:rsidR="00DC6602">
                              <w:rPr>
                                <w:sz w:val="16"/>
                                <w:szCs w:val="16"/>
                              </w:rPr>
                              <w:t xml:space="preserve">Faible </w:t>
                            </w:r>
                            <w:r w:rsidR="00DC6602">
                              <w:rPr>
                                <w:sz w:val="16"/>
                                <w:szCs w:val="16"/>
                              </w:rPr>
                              <w:tab/>
                              <w:t>Moyen</w:t>
                            </w:r>
                            <w:r w:rsidR="00DC6602">
                              <w:rPr>
                                <w:sz w:val="16"/>
                                <w:szCs w:val="16"/>
                              </w:rPr>
                              <w:tab/>
                              <w:t xml:space="preserve">          Élevé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9EB35" id="_x0000_t202" coordsize="21600,21600" o:spt="202" path="m,l,21600r21600,l21600,xe">
                <v:stroke joinstyle="miter"/>
                <v:path gradientshapeok="t" o:connecttype="rect"/>
              </v:shapetype>
              <v:shape id="Zone de texte 7" o:spid="_x0000_s1026" type="#_x0000_t202" style="position:absolute;left:0;text-align:left;margin-left:128.1pt;margin-top:408.15pt;width:134.65pt;height:15.4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" fillcolor="white [3201]" stroked="f" strokeweight=".5pt">
                <v:textbox inset="0,0,0,0">
                  <w:txbxContent>
                    <w:p w14:paraId="44DD9289" w14:textId="77777777" w:rsidR="00DC6602" w:rsidRPr="00DC6602" w:rsidRDefault="000662AF">
                      <w:pPr>
                        <w:rPr>
                          <w:sz w:val="16"/>
                          <w:szCs w:val="16"/>
                        </w:rPr>
                      </w:pPr>
                      <w:r>
                        <w:rPr>
                          <w:sz w:val="16"/>
                          <w:szCs w:val="16"/>
                        </w:rPr>
                        <w:t xml:space="preserve">    </w:t>
                      </w:r>
                      <w:r w:rsidR="00DC6602">
                        <w:rPr>
                          <w:sz w:val="16"/>
                          <w:szCs w:val="16"/>
                        </w:rPr>
                        <w:t xml:space="preserve">Faible </w:t>
                      </w:r>
                      <w:r w:rsidR="00DC6602">
                        <w:rPr>
                          <w:sz w:val="16"/>
                          <w:szCs w:val="16"/>
                        </w:rPr>
                        <w:tab/>
                        <w:t>Moyen</w:t>
                      </w:r>
                      <w:r w:rsidR="00DC6602">
                        <w:rPr>
                          <w:sz w:val="16"/>
                          <w:szCs w:val="16"/>
                        </w:rPr>
                        <w:tab/>
                        <w:t xml:space="preserve">          Élevé</w:t>
                      </w:r>
                    </w:p>
                  </w:txbxContent>
                </v:textbox>
                <w10:wrap anchorx="page" anchory="page"/>
              </v:shape>
            </w:pict>
          </mc:Fallback>
        </mc:AlternateContent>
      </w:r>
      <w:r w:rsidR="00BF0619" w:rsidRPr="00ED520E">
        <w:rPr>
          <w:noProof/>
          <w:sz w:val="16"/>
          <w:szCs w:val="16"/>
          <w:lang w:val="fr-FR" w:eastAsia="ja-JP"/>
        </w:rPr>
        <w:drawing>
          <wp:inline distT="0" distB="0" distL="0" distR="0" wp14:anchorId="78AD947A" wp14:editId="3626179D">
            <wp:extent cx="2081064" cy="973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4144"/>
                    <a:stretch/>
                  </pic:blipFill>
                  <pic:spPr bwMode="auto">
                    <a:xfrm>
                      <a:off x="0" y="0"/>
                      <a:ext cx="2121788" cy="992202"/>
                    </a:xfrm>
                    <a:prstGeom prst="rect">
                      <a:avLst/>
                    </a:prstGeom>
                    <a:noFill/>
                    <a:ln>
                      <a:noFill/>
                    </a:ln>
                    <a:extLst>
                      <a:ext uri="{53640926-AAD7-44D8-BBD7-CCE9431645EC}">
                        <a14:shadowObscured xmlns:a14="http://schemas.microsoft.com/office/drawing/2010/main"/>
                      </a:ext>
                    </a:extLst>
                  </pic:spPr>
                </pic:pic>
              </a:graphicData>
            </a:graphic>
          </wp:inline>
        </w:drawing>
      </w:r>
    </w:p>
    <w:p w14:paraId="07B72CAC" w14:textId="77777777" w:rsidR="00BF0619" w:rsidRPr="00AF434B" w:rsidRDefault="00BF0619" w:rsidP="007A7E52">
      <w:pPr>
        <w:ind w:left="1134" w:right="1134" w:firstLine="170"/>
        <w:rPr>
          <w:noProof/>
          <w:sz w:val="18"/>
          <w:lang w:val="fr-FR"/>
        </w:rPr>
      </w:pPr>
      <w:r w:rsidRPr="00AF434B">
        <w:rPr>
          <w:noProof/>
          <w:sz w:val="18"/>
          <w:lang w:val="fr-FR"/>
        </w:rPr>
        <w:t xml:space="preserve">RVD </w:t>
      </w:r>
      <w:r>
        <w:rPr>
          <w:noProof/>
          <w:sz w:val="18"/>
          <w:lang w:val="fr-FR"/>
        </w:rPr>
        <w:t xml:space="preserve">(risque de violence familiale) </w:t>
      </w:r>
      <w:r w:rsidRPr="00AF434B">
        <w:rPr>
          <w:noProof/>
          <w:sz w:val="18"/>
          <w:lang w:val="fr-FR"/>
        </w:rPr>
        <w:t>1L (</w:t>
      </w:r>
      <w:r>
        <w:rPr>
          <w:noProof/>
          <w:sz w:val="18"/>
          <w:lang w:val="fr-FR"/>
        </w:rPr>
        <w:t xml:space="preserve">évaluation </w:t>
      </w:r>
      <w:r w:rsidRPr="00AF434B">
        <w:rPr>
          <w:noProof/>
          <w:sz w:val="18"/>
          <w:lang w:val="fr-FR"/>
        </w:rPr>
        <w:t>initial</w:t>
      </w:r>
      <w:r>
        <w:rPr>
          <w:noProof/>
          <w:sz w:val="18"/>
          <w:lang w:val="fr-FR"/>
        </w:rPr>
        <w:t>e</w:t>
      </w:r>
      <w:r w:rsidRPr="00AF434B">
        <w:rPr>
          <w:noProof/>
          <w:sz w:val="18"/>
          <w:lang w:val="fr-FR"/>
        </w:rPr>
        <w:t>)</w:t>
      </w:r>
      <w:r w:rsidR="007A7E52">
        <w:rPr>
          <w:noProof/>
          <w:sz w:val="18"/>
          <w:lang w:val="fr-FR"/>
        </w:rPr>
        <w:t> </w:t>
      </w:r>
      <w:r w:rsidRPr="00AF434B">
        <w:rPr>
          <w:noProof/>
          <w:sz w:val="18"/>
          <w:lang w:val="fr-FR"/>
        </w:rPr>
        <w:t>: 27116.</w:t>
      </w:r>
    </w:p>
    <w:p w14:paraId="19397A9C" w14:textId="77777777" w:rsidR="00BF0619" w:rsidRPr="00AF434B" w:rsidRDefault="00BF0619" w:rsidP="00BF0619">
      <w:pPr>
        <w:spacing w:after="240"/>
        <w:ind w:left="1134" w:right="1134" w:firstLine="170"/>
        <w:rPr>
          <w:noProof/>
          <w:sz w:val="18"/>
          <w:lang w:val="fr-FR"/>
        </w:rPr>
      </w:pPr>
      <w:r w:rsidRPr="00AF434B">
        <w:rPr>
          <w:noProof/>
          <w:sz w:val="18"/>
          <w:lang w:val="fr-FR"/>
        </w:rPr>
        <w:t>RVD 2L (r</w:t>
      </w:r>
      <w:r>
        <w:rPr>
          <w:noProof/>
          <w:sz w:val="18"/>
          <w:lang w:val="fr-FR"/>
        </w:rPr>
        <w:t>éévaluations</w:t>
      </w:r>
      <w:r w:rsidRPr="00AF434B">
        <w:rPr>
          <w:noProof/>
          <w:sz w:val="18"/>
          <w:lang w:val="fr-FR"/>
        </w:rPr>
        <w:t>)</w:t>
      </w:r>
      <w:r w:rsidR="007A7E52">
        <w:rPr>
          <w:noProof/>
          <w:sz w:val="18"/>
          <w:lang w:val="fr-FR"/>
        </w:rPr>
        <w:t> </w:t>
      </w:r>
      <w:r w:rsidRPr="00AF434B">
        <w:rPr>
          <w:noProof/>
          <w:sz w:val="18"/>
          <w:lang w:val="fr-FR"/>
        </w:rPr>
        <w:t>: &gt;20800.</w:t>
      </w:r>
    </w:p>
    <w:p w14:paraId="4D216805" w14:textId="77777777" w:rsidR="00BF0619" w:rsidRPr="00AF434B" w:rsidRDefault="00BF0619" w:rsidP="00BF0619">
      <w:pPr>
        <w:pStyle w:val="SingleTxtG"/>
        <w:rPr>
          <w:noProof/>
          <w:lang w:val="fr-FR"/>
        </w:rPr>
      </w:pPr>
      <w:r w:rsidRPr="00AF434B">
        <w:rPr>
          <w:noProof/>
          <w:lang w:val="fr-FR"/>
        </w:rPr>
        <w:t>195.</w:t>
      </w:r>
      <w:r w:rsidRPr="00AF434B">
        <w:rPr>
          <w:noProof/>
          <w:lang w:val="fr-FR"/>
        </w:rPr>
        <w:tab/>
      </w:r>
      <w:r>
        <w:rPr>
          <w:noProof/>
          <w:lang w:val="fr-FR"/>
        </w:rPr>
        <w:t xml:space="preserve">Le Service de téléassistance aux victimes de la violence familiale est une autre mesure de </w:t>
      </w:r>
      <w:r w:rsidRPr="00AF434B">
        <w:rPr>
          <w:noProof/>
          <w:lang w:val="fr-FR"/>
        </w:rPr>
        <w:t xml:space="preserve">protection </w:t>
      </w:r>
      <w:r>
        <w:rPr>
          <w:noProof/>
          <w:lang w:val="fr-FR"/>
        </w:rPr>
        <w:t>coordonnée par la Commission pour la citoyenneté et l’égalité des sexes</w:t>
      </w:r>
      <w:r w:rsidRPr="00AF434B">
        <w:rPr>
          <w:noProof/>
          <w:lang w:val="fr-FR"/>
        </w:rPr>
        <w:t xml:space="preserve">. </w:t>
      </w:r>
      <w:r>
        <w:rPr>
          <w:noProof/>
          <w:lang w:val="fr-FR"/>
        </w:rPr>
        <w:t>Ce</w:t>
      </w:r>
      <w:r w:rsidRPr="00AF434B">
        <w:rPr>
          <w:noProof/>
          <w:lang w:val="fr-FR"/>
        </w:rPr>
        <w:t xml:space="preserve"> service </w:t>
      </w:r>
      <w:r>
        <w:rPr>
          <w:noProof/>
          <w:lang w:val="fr-FR"/>
        </w:rPr>
        <w:t xml:space="preserve">permanent et gratuit vise à renforcer la </w:t>
      </w:r>
      <w:r w:rsidRPr="00AF434B">
        <w:rPr>
          <w:noProof/>
          <w:lang w:val="fr-FR"/>
        </w:rPr>
        <w:t>protection</w:t>
      </w:r>
      <w:r>
        <w:rPr>
          <w:noProof/>
          <w:lang w:val="fr-FR"/>
        </w:rPr>
        <w:t xml:space="preserve"> ou la sécurité de la</w:t>
      </w:r>
      <w:r w:rsidRPr="00AF434B">
        <w:rPr>
          <w:noProof/>
          <w:lang w:val="fr-FR"/>
        </w:rPr>
        <w:t xml:space="preserve"> victim</w:t>
      </w:r>
      <w:r>
        <w:rPr>
          <w:noProof/>
          <w:lang w:val="fr-FR"/>
        </w:rPr>
        <w:t>e</w:t>
      </w:r>
      <w:r w:rsidRPr="00AF434B">
        <w:rPr>
          <w:noProof/>
          <w:lang w:val="fr-FR"/>
        </w:rPr>
        <w:t xml:space="preserve"> </w:t>
      </w:r>
      <w:r>
        <w:rPr>
          <w:noProof/>
          <w:lang w:val="fr-FR"/>
        </w:rPr>
        <w:t>en prenant les dispositions nécessaires pour faire face à des situations d’urgence</w:t>
      </w:r>
      <w:r w:rsidRPr="00AF434B">
        <w:rPr>
          <w:noProof/>
          <w:lang w:val="fr-FR"/>
        </w:rPr>
        <w:t xml:space="preserve">. </w:t>
      </w:r>
      <w:r>
        <w:rPr>
          <w:noProof/>
          <w:lang w:val="fr-FR"/>
        </w:rPr>
        <w:t>La</w:t>
      </w:r>
      <w:r w:rsidR="007A7E52">
        <w:rPr>
          <w:noProof/>
          <w:lang w:val="fr-FR"/>
        </w:rPr>
        <w:t> </w:t>
      </w:r>
      <w:r>
        <w:rPr>
          <w:noProof/>
          <w:lang w:val="fr-FR"/>
        </w:rPr>
        <w:t xml:space="preserve">victime utilise un dispositif </w:t>
      </w:r>
      <w:r w:rsidRPr="00AF434B">
        <w:rPr>
          <w:noProof/>
          <w:lang w:val="fr-FR"/>
        </w:rPr>
        <w:t xml:space="preserve">mobile </w:t>
      </w:r>
      <w:r>
        <w:rPr>
          <w:noProof/>
          <w:lang w:val="fr-FR"/>
        </w:rPr>
        <w:t xml:space="preserve">pouvant communiquer à tout moment avec un centre d’appels (dont les </w:t>
      </w:r>
      <w:r w:rsidRPr="00AF434B">
        <w:rPr>
          <w:noProof/>
          <w:lang w:val="fr-FR"/>
        </w:rPr>
        <w:t>op</w:t>
      </w:r>
      <w:r>
        <w:rPr>
          <w:noProof/>
          <w:lang w:val="fr-FR"/>
        </w:rPr>
        <w:t>é</w:t>
      </w:r>
      <w:r w:rsidRPr="00AF434B">
        <w:rPr>
          <w:noProof/>
          <w:lang w:val="fr-FR"/>
        </w:rPr>
        <w:t>rat</w:t>
      </w:r>
      <w:r>
        <w:rPr>
          <w:noProof/>
          <w:lang w:val="fr-FR"/>
        </w:rPr>
        <w:t>eu</w:t>
      </w:r>
      <w:r w:rsidRPr="00AF434B">
        <w:rPr>
          <w:noProof/>
          <w:lang w:val="fr-FR"/>
        </w:rPr>
        <w:t xml:space="preserve">rs </w:t>
      </w:r>
      <w:r>
        <w:rPr>
          <w:noProof/>
          <w:lang w:val="fr-FR"/>
        </w:rPr>
        <w:t>sont formés à la téléassistance aux victimes</w:t>
      </w:r>
      <w:r w:rsidRPr="00AF434B">
        <w:rPr>
          <w:noProof/>
          <w:lang w:val="fr-FR"/>
        </w:rPr>
        <w:t xml:space="preserve">). </w:t>
      </w:r>
      <w:r>
        <w:rPr>
          <w:noProof/>
          <w:lang w:val="fr-FR"/>
        </w:rPr>
        <w:t>Dès que le bouton d’alarme est activé, l’équipe d’opérateurs contacte la police, qui se rend au lieu où se trouve la victime</w:t>
      </w:r>
      <w:r w:rsidRPr="00AF434B">
        <w:rPr>
          <w:noProof/>
          <w:lang w:val="fr-FR"/>
        </w:rPr>
        <w:t xml:space="preserve">. </w:t>
      </w:r>
      <w:r>
        <w:rPr>
          <w:noProof/>
          <w:lang w:val="fr-FR"/>
        </w:rPr>
        <w:t xml:space="preserve">La localisation se fait en combinant les technologies </w:t>
      </w:r>
      <w:r w:rsidRPr="00AF434B">
        <w:rPr>
          <w:noProof/>
          <w:lang w:val="fr-FR"/>
        </w:rPr>
        <w:t>GPS (</w:t>
      </w:r>
      <w:r>
        <w:rPr>
          <w:noProof/>
          <w:lang w:val="fr-FR"/>
        </w:rPr>
        <w:t>système mondial de positionnement</w:t>
      </w:r>
      <w:r w:rsidRPr="00AF434B">
        <w:rPr>
          <w:noProof/>
          <w:lang w:val="fr-FR"/>
        </w:rPr>
        <w:t xml:space="preserve">) </w:t>
      </w:r>
      <w:r>
        <w:rPr>
          <w:noProof/>
          <w:lang w:val="fr-FR"/>
        </w:rPr>
        <w:t>et</w:t>
      </w:r>
      <w:r w:rsidRPr="00AF434B">
        <w:rPr>
          <w:noProof/>
          <w:lang w:val="fr-FR"/>
        </w:rPr>
        <w:t xml:space="preserve"> </w:t>
      </w:r>
      <w:r>
        <w:rPr>
          <w:noProof/>
          <w:lang w:val="fr-FR"/>
        </w:rPr>
        <w:t>LBS (service de géolocalisation),</w:t>
      </w:r>
      <w:r w:rsidRPr="00AF434B">
        <w:rPr>
          <w:noProof/>
          <w:lang w:val="fr-FR"/>
        </w:rPr>
        <w:t xml:space="preserve"> </w:t>
      </w:r>
      <w:r>
        <w:rPr>
          <w:noProof/>
          <w:lang w:val="fr-FR"/>
        </w:rPr>
        <w:t xml:space="preserve">qui transmettent les coordonnées </w:t>
      </w:r>
      <w:r w:rsidRPr="00AF434B">
        <w:rPr>
          <w:noProof/>
          <w:lang w:val="fr-FR"/>
        </w:rPr>
        <w:t>g</w:t>
      </w:r>
      <w:r>
        <w:rPr>
          <w:noProof/>
          <w:lang w:val="fr-FR"/>
        </w:rPr>
        <w:t>é</w:t>
      </w:r>
      <w:r w:rsidRPr="00AF434B">
        <w:rPr>
          <w:noProof/>
          <w:lang w:val="fr-FR"/>
        </w:rPr>
        <w:t>ographi</w:t>
      </w:r>
      <w:r>
        <w:rPr>
          <w:noProof/>
          <w:lang w:val="fr-FR"/>
        </w:rPr>
        <w:t>ques d’un dispositif donné</w:t>
      </w:r>
      <w:r w:rsidRPr="00AF434B">
        <w:rPr>
          <w:noProof/>
          <w:lang w:val="fr-FR"/>
        </w:rPr>
        <w:t xml:space="preserve">. </w:t>
      </w:r>
      <w:r>
        <w:rPr>
          <w:noProof/>
          <w:lang w:val="fr-FR"/>
        </w:rPr>
        <w:t xml:space="preserve">Le Service de téléassistance intervient rapidement dans les situations de danger ou à risque et apporte un soutien moral </w:t>
      </w:r>
      <w:r w:rsidRPr="00AF434B">
        <w:rPr>
          <w:noProof/>
          <w:lang w:val="fr-FR"/>
        </w:rPr>
        <w:t>permanent</w:t>
      </w:r>
      <w:r>
        <w:rPr>
          <w:noProof/>
          <w:lang w:val="fr-FR"/>
        </w:rPr>
        <w:t xml:space="preserve"> aux victimes</w:t>
      </w:r>
      <w:r w:rsidRPr="00AF434B">
        <w:rPr>
          <w:noProof/>
          <w:lang w:val="fr-FR"/>
        </w:rPr>
        <w:t xml:space="preserve">, </w:t>
      </w:r>
      <w:r>
        <w:rPr>
          <w:noProof/>
          <w:lang w:val="fr-FR"/>
        </w:rPr>
        <w:t>contribuant ainsi à leur autonomisation</w:t>
      </w:r>
      <w:r w:rsidRPr="00AF434B">
        <w:rPr>
          <w:noProof/>
          <w:lang w:val="fr-FR"/>
        </w:rPr>
        <w:t xml:space="preserve">. </w:t>
      </w:r>
      <w:r>
        <w:rPr>
          <w:noProof/>
          <w:lang w:val="fr-FR"/>
        </w:rPr>
        <w:t xml:space="preserve">Entre le début du </w:t>
      </w:r>
      <w:r w:rsidRPr="00AF434B">
        <w:rPr>
          <w:noProof/>
          <w:lang w:val="fr-FR"/>
        </w:rPr>
        <w:t xml:space="preserve">programme (2011) </w:t>
      </w:r>
      <w:r>
        <w:rPr>
          <w:noProof/>
          <w:lang w:val="fr-FR"/>
        </w:rPr>
        <w:t xml:space="preserve">et le </w:t>
      </w:r>
      <w:r w:rsidRPr="00AF434B">
        <w:rPr>
          <w:noProof/>
          <w:lang w:val="fr-FR"/>
        </w:rPr>
        <w:t>31</w:t>
      </w:r>
      <w:r w:rsidR="002C1A37">
        <w:rPr>
          <w:noProof/>
          <w:lang w:val="fr-FR"/>
        </w:rPr>
        <w:t> </w:t>
      </w:r>
      <w:r>
        <w:rPr>
          <w:noProof/>
          <w:lang w:val="fr-FR"/>
        </w:rPr>
        <w:t>dé</w:t>
      </w:r>
      <w:r w:rsidRPr="00AF434B">
        <w:rPr>
          <w:noProof/>
          <w:lang w:val="fr-FR"/>
        </w:rPr>
        <w:t>cemb</w:t>
      </w:r>
      <w:r>
        <w:rPr>
          <w:noProof/>
          <w:lang w:val="fr-FR"/>
        </w:rPr>
        <w:t>re</w:t>
      </w:r>
      <w:r w:rsidRPr="00AF434B">
        <w:rPr>
          <w:noProof/>
          <w:lang w:val="fr-FR"/>
        </w:rPr>
        <w:t xml:space="preserve"> 2017, 3</w:t>
      </w:r>
      <w:r w:rsidR="002C1A37">
        <w:rPr>
          <w:noProof/>
          <w:lang w:val="fr-FR"/>
        </w:rPr>
        <w:t> </w:t>
      </w:r>
      <w:r w:rsidRPr="00AF434B">
        <w:rPr>
          <w:noProof/>
          <w:lang w:val="fr-FR"/>
        </w:rPr>
        <w:t>303</w:t>
      </w:r>
      <w:r w:rsidR="002C1A37">
        <w:rPr>
          <w:noProof/>
          <w:lang w:val="fr-FR"/>
        </w:rPr>
        <w:t> </w:t>
      </w:r>
      <w:r w:rsidRPr="00AF434B">
        <w:rPr>
          <w:noProof/>
          <w:lang w:val="fr-FR"/>
        </w:rPr>
        <w:t>person</w:t>
      </w:r>
      <w:r>
        <w:rPr>
          <w:noProof/>
          <w:lang w:val="fr-FR"/>
        </w:rPr>
        <w:t>ne</w:t>
      </w:r>
      <w:r w:rsidRPr="00AF434B">
        <w:rPr>
          <w:noProof/>
          <w:lang w:val="fr-FR"/>
        </w:rPr>
        <w:t xml:space="preserve">s </w:t>
      </w:r>
      <w:r>
        <w:rPr>
          <w:noProof/>
          <w:lang w:val="fr-FR"/>
        </w:rPr>
        <w:t xml:space="preserve">ont bénéficié de cette mesure de </w:t>
      </w:r>
      <w:r w:rsidRPr="00AF434B">
        <w:rPr>
          <w:noProof/>
          <w:lang w:val="fr-FR"/>
        </w:rPr>
        <w:t>protection</w:t>
      </w:r>
      <w:r>
        <w:rPr>
          <w:noProof/>
          <w:lang w:val="fr-FR"/>
        </w:rPr>
        <w:t xml:space="preserve">, qui repose sur la coopération entre la </w:t>
      </w:r>
      <w:r w:rsidRPr="00AF434B">
        <w:rPr>
          <w:noProof/>
          <w:lang w:val="fr-FR"/>
        </w:rPr>
        <w:t xml:space="preserve">justice, </w:t>
      </w:r>
      <w:r>
        <w:rPr>
          <w:noProof/>
          <w:lang w:val="fr-FR"/>
        </w:rPr>
        <w:t>la police et la Commission pour la citoyenneté et l’égalité des sexes</w:t>
      </w:r>
      <w:r w:rsidRPr="00AF434B">
        <w:rPr>
          <w:noProof/>
          <w:lang w:val="fr-FR"/>
        </w:rPr>
        <w:t>.</w:t>
      </w:r>
    </w:p>
    <w:p w14:paraId="15A06E3F" w14:textId="77777777" w:rsidR="00BF0619" w:rsidRPr="00AF434B" w:rsidRDefault="00BF0619" w:rsidP="00BF0619">
      <w:pPr>
        <w:pStyle w:val="H1G"/>
        <w:rPr>
          <w:noProof/>
          <w:lang w:val="fr-FR"/>
        </w:rPr>
      </w:pPr>
      <w:r w:rsidRPr="00AF434B">
        <w:rPr>
          <w:noProof/>
          <w:lang w:val="fr-FR"/>
        </w:rPr>
        <w:tab/>
      </w:r>
      <w:r w:rsidRPr="00AF434B">
        <w:rPr>
          <w:noProof/>
          <w:lang w:val="fr-FR"/>
        </w:rPr>
        <w:tab/>
        <w:t>Articles</w:t>
      </w:r>
      <w:r w:rsidR="002C1A37">
        <w:rPr>
          <w:noProof/>
          <w:lang w:val="fr-FR"/>
        </w:rPr>
        <w:t> </w:t>
      </w:r>
      <w:r w:rsidRPr="00AF434B">
        <w:rPr>
          <w:noProof/>
          <w:lang w:val="fr-FR"/>
        </w:rPr>
        <w:t xml:space="preserve">7 </w:t>
      </w:r>
      <w:r>
        <w:rPr>
          <w:noProof/>
          <w:lang w:val="fr-FR"/>
        </w:rPr>
        <w:t>et</w:t>
      </w:r>
      <w:r w:rsidR="002C1A37">
        <w:rPr>
          <w:noProof/>
          <w:lang w:val="fr-FR"/>
        </w:rPr>
        <w:t> </w:t>
      </w:r>
      <w:r w:rsidRPr="00AF434B">
        <w:rPr>
          <w:noProof/>
          <w:lang w:val="fr-FR"/>
        </w:rPr>
        <w:t>10</w:t>
      </w:r>
    </w:p>
    <w:p w14:paraId="46B225FA" w14:textId="77777777" w:rsidR="00BF0619" w:rsidRPr="005D0A20" w:rsidRDefault="00BF0619" w:rsidP="00BF0619">
      <w:pPr>
        <w:pStyle w:val="H23G"/>
        <w:rPr>
          <w:noProof/>
          <w:lang w:val="fr-FR"/>
        </w:rPr>
      </w:pPr>
      <w:r w:rsidRPr="00AF434B">
        <w:rPr>
          <w:noProof/>
          <w:lang w:val="fr-FR"/>
        </w:rPr>
        <w:tab/>
      </w:r>
      <w:r w:rsidRPr="00AF434B">
        <w:rPr>
          <w:noProof/>
          <w:lang w:val="fr-FR"/>
        </w:rPr>
        <w:tab/>
      </w:r>
      <w:r w:rsidRPr="005D0A20">
        <w:rPr>
          <w:noProof/>
          <w:lang w:val="fr-FR"/>
        </w:rPr>
        <w:t xml:space="preserve">Le Comité est préoccupé par la situation dans certaines prisons, caractérisée par le surpeuplement, l’insuffisance des équipements et les mauvaises conditions sanitaires. Il relève l’abus de drogues chez les prisonniers et le pourcentage élevé de détenus ayant le VIH/sida, ou souffrant de l’hépatite C. Il est également préoccupé par certaines informations faisant état de mauvais traitements physiques et d’autres formes de brutalités imputés à des gardiens dans la prison de haute sécurité de Monsanto et dans les prisons centrales de Coïmbre et de Porto </w:t>
      </w:r>
    </w:p>
    <w:p w14:paraId="3B67BF69" w14:textId="77777777" w:rsidR="00BF0619" w:rsidRPr="00AF434B" w:rsidRDefault="00BF0619" w:rsidP="00BF0619">
      <w:pPr>
        <w:pStyle w:val="SingleTxtG"/>
        <w:rPr>
          <w:noProof/>
          <w:lang w:val="fr-FR"/>
        </w:rPr>
      </w:pPr>
      <w:r w:rsidRPr="00AF434B">
        <w:rPr>
          <w:noProof/>
          <w:lang w:val="fr-FR"/>
        </w:rPr>
        <w:t>196.</w:t>
      </w:r>
      <w:r w:rsidRPr="00AF434B">
        <w:rPr>
          <w:noProof/>
          <w:lang w:val="fr-FR"/>
        </w:rPr>
        <w:tab/>
      </w:r>
      <w:r>
        <w:rPr>
          <w:noProof/>
          <w:lang w:val="fr-FR"/>
        </w:rPr>
        <w:t xml:space="preserve">Le </w:t>
      </w:r>
      <w:r w:rsidRPr="00AF434B">
        <w:rPr>
          <w:noProof/>
          <w:lang w:val="fr-FR"/>
        </w:rPr>
        <w:t xml:space="preserve">Portugal </w:t>
      </w:r>
      <w:r>
        <w:rPr>
          <w:noProof/>
          <w:lang w:val="fr-FR"/>
        </w:rPr>
        <w:t>reste fermement déterminé à régler le problème du surpeuplement des établissements pénitentiaires, comme le montrent les informations détaillées qu’il a fournies au Comité dans son quatrième rapport périodique, la liste de points s’y rapportant et les additifs aux observations finales</w:t>
      </w:r>
      <w:r w:rsidRPr="00AF434B">
        <w:rPr>
          <w:noProof/>
          <w:lang w:val="fr-FR"/>
        </w:rPr>
        <w:t xml:space="preserve">. </w:t>
      </w:r>
    </w:p>
    <w:p w14:paraId="162705F3" w14:textId="77777777" w:rsidR="00BF0619" w:rsidRPr="00AF434B" w:rsidRDefault="00BF0619" w:rsidP="00BF0619">
      <w:pPr>
        <w:pStyle w:val="SingleTxtG"/>
        <w:rPr>
          <w:noProof/>
          <w:lang w:val="fr-FR"/>
        </w:rPr>
      </w:pPr>
      <w:r w:rsidRPr="00AF434B">
        <w:rPr>
          <w:noProof/>
          <w:lang w:val="fr-FR"/>
        </w:rPr>
        <w:t>197.</w:t>
      </w:r>
      <w:r w:rsidRPr="00AF434B">
        <w:rPr>
          <w:noProof/>
          <w:lang w:val="fr-FR"/>
        </w:rPr>
        <w:tab/>
      </w:r>
      <w:r>
        <w:rPr>
          <w:noProof/>
          <w:lang w:val="fr-FR"/>
        </w:rPr>
        <w:t xml:space="preserve">Les mesures mises en place à cet égard comprennent </w:t>
      </w:r>
      <w:r w:rsidR="002C1A37">
        <w:rPr>
          <w:noProof/>
          <w:lang w:val="fr-FR"/>
        </w:rPr>
        <w:t>− </w:t>
      </w:r>
      <w:r>
        <w:rPr>
          <w:noProof/>
          <w:lang w:val="fr-FR"/>
        </w:rPr>
        <w:t xml:space="preserve">comme l’a recommandé le </w:t>
      </w:r>
      <w:r w:rsidRPr="00AF434B">
        <w:rPr>
          <w:noProof/>
          <w:lang w:val="fr-FR"/>
        </w:rPr>
        <w:t>CPT</w:t>
      </w:r>
      <w:r w:rsidR="002C1A37">
        <w:rPr>
          <w:noProof/>
          <w:lang w:val="fr-FR"/>
        </w:rPr>
        <w:t> −</w:t>
      </w:r>
      <w:r>
        <w:rPr>
          <w:noProof/>
          <w:lang w:val="fr-FR"/>
        </w:rPr>
        <w:t xml:space="preserve"> des mesures visant à réduire la population carcérale (mesures de caractère législatif) et des mesures conçues pour accroître la capacité d’accueil du système pénitentiaire</w:t>
      </w:r>
      <w:r w:rsidRPr="00AF434B">
        <w:rPr>
          <w:noProof/>
          <w:lang w:val="fr-FR"/>
        </w:rPr>
        <w:t xml:space="preserve">. </w:t>
      </w:r>
      <w:r>
        <w:rPr>
          <w:noProof/>
          <w:lang w:val="fr-FR"/>
        </w:rPr>
        <w:t>Ces</w:t>
      </w:r>
      <w:r w:rsidR="002C1A37">
        <w:rPr>
          <w:noProof/>
          <w:lang w:val="fr-FR"/>
        </w:rPr>
        <w:t> </w:t>
      </w:r>
      <w:r>
        <w:rPr>
          <w:noProof/>
          <w:lang w:val="fr-FR"/>
        </w:rPr>
        <w:t>deux types de mesures sont destinées à améliorer les conditions matérielles des détenus</w:t>
      </w:r>
      <w:r w:rsidRPr="00AF434B">
        <w:rPr>
          <w:noProof/>
          <w:lang w:val="fr-FR"/>
        </w:rPr>
        <w:t>.</w:t>
      </w:r>
    </w:p>
    <w:p w14:paraId="721BF6D8" w14:textId="77777777" w:rsidR="00BF0619" w:rsidRPr="00AF434B" w:rsidRDefault="00BF0619" w:rsidP="00BF0619">
      <w:pPr>
        <w:pStyle w:val="SingleTxtG"/>
        <w:rPr>
          <w:noProof/>
          <w:lang w:val="fr-FR"/>
        </w:rPr>
      </w:pPr>
      <w:r w:rsidRPr="00AF434B">
        <w:rPr>
          <w:noProof/>
          <w:lang w:val="fr-FR"/>
        </w:rPr>
        <w:t>198.</w:t>
      </w:r>
      <w:r w:rsidRPr="00AF434B">
        <w:rPr>
          <w:noProof/>
          <w:lang w:val="fr-FR"/>
        </w:rPr>
        <w:tab/>
      </w:r>
      <w:r>
        <w:rPr>
          <w:noProof/>
          <w:lang w:val="fr-FR"/>
        </w:rPr>
        <w:t>Au nombre des mesures législatives destinées à réduire la population carcérale, il convient de souligner l’adoption d’une nouvelle loi portant modification du Code pénal</w:t>
      </w:r>
      <w:r w:rsidRPr="00AF434B">
        <w:rPr>
          <w:noProof/>
          <w:lang w:val="fr-FR"/>
        </w:rPr>
        <w:t xml:space="preserve">, </w:t>
      </w:r>
      <w:r>
        <w:rPr>
          <w:noProof/>
          <w:lang w:val="fr-FR"/>
        </w:rPr>
        <w:t xml:space="preserve">comme l’a recommandé le CPT, à savoir la loi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sidRPr="00AF434B">
        <w:rPr>
          <w:noProof/>
          <w:lang w:val="fr-FR"/>
        </w:rPr>
        <w:t xml:space="preserve">94/2017 </w:t>
      </w:r>
      <w:r>
        <w:rPr>
          <w:noProof/>
          <w:lang w:val="fr-FR"/>
        </w:rPr>
        <w:t>du</w:t>
      </w:r>
      <w:r w:rsidRPr="00AF434B">
        <w:rPr>
          <w:noProof/>
          <w:lang w:val="fr-FR"/>
        </w:rPr>
        <w:t xml:space="preserve"> 23</w:t>
      </w:r>
      <w:r w:rsidR="002C1A37">
        <w:rPr>
          <w:noProof/>
          <w:lang w:val="fr-FR"/>
        </w:rPr>
        <w:t> </w:t>
      </w:r>
      <w:r>
        <w:rPr>
          <w:noProof/>
          <w:lang w:val="fr-FR"/>
        </w:rPr>
        <w:t>août</w:t>
      </w:r>
      <w:r w:rsidRPr="00AF434B">
        <w:rPr>
          <w:noProof/>
          <w:lang w:val="fr-FR"/>
        </w:rPr>
        <w:t xml:space="preserve">. </w:t>
      </w:r>
      <w:r>
        <w:rPr>
          <w:noProof/>
          <w:lang w:val="fr-FR"/>
        </w:rPr>
        <w:t>Cette loi apporte les deux modifications importantes ci-après au régime d’exécution des peines :</w:t>
      </w:r>
      <w:r w:rsidRPr="00AF434B">
        <w:rPr>
          <w:noProof/>
          <w:lang w:val="fr-FR"/>
        </w:rPr>
        <w:t xml:space="preserve"> i)</w:t>
      </w:r>
      <w:r w:rsidR="002C1A37">
        <w:rPr>
          <w:noProof/>
          <w:lang w:val="fr-FR"/>
        </w:rPr>
        <w:t> </w:t>
      </w:r>
      <w:r>
        <w:rPr>
          <w:noProof/>
          <w:lang w:val="fr-FR"/>
        </w:rPr>
        <w:t>é</w:t>
      </w:r>
      <w:r w:rsidRPr="00AF434B">
        <w:rPr>
          <w:noProof/>
          <w:lang w:val="fr-FR"/>
        </w:rPr>
        <w:t xml:space="preserve">limination </w:t>
      </w:r>
      <w:r>
        <w:rPr>
          <w:noProof/>
          <w:lang w:val="fr-FR"/>
        </w:rPr>
        <w:t xml:space="preserve">des peines d’emprisonnement pendant le </w:t>
      </w:r>
      <w:r w:rsidRPr="00AF434B">
        <w:rPr>
          <w:noProof/>
          <w:lang w:val="fr-FR"/>
        </w:rPr>
        <w:t xml:space="preserve">weekend </w:t>
      </w:r>
      <w:r>
        <w:rPr>
          <w:noProof/>
          <w:lang w:val="fr-FR"/>
        </w:rPr>
        <w:t>et de semi-dé</w:t>
      </w:r>
      <w:r w:rsidRPr="00AF434B">
        <w:rPr>
          <w:noProof/>
          <w:lang w:val="fr-FR"/>
        </w:rPr>
        <w:t>tention</w:t>
      </w:r>
      <w:r w:rsidR="00460B9A">
        <w:rPr>
          <w:noProof/>
          <w:lang w:val="fr-FR"/>
        </w:rPr>
        <w:t> </w:t>
      </w:r>
      <w:r w:rsidRPr="00AF434B">
        <w:rPr>
          <w:noProof/>
          <w:lang w:val="fr-FR"/>
        </w:rPr>
        <w:t xml:space="preserve">; </w:t>
      </w:r>
      <w:r>
        <w:rPr>
          <w:noProof/>
          <w:lang w:val="fr-FR"/>
        </w:rPr>
        <w:t>et</w:t>
      </w:r>
      <w:r w:rsidRPr="00AF434B">
        <w:rPr>
          <w:noProof/>
          <w:lang w:val="fr-FR"/>
        </w:rPr>
        <w:t xml:space="preserve"> ii)</w:t>
      </w:r>
      <w:r w:rsidR="002C1A37">
        <w:rPr>
          <w:noProof/>
          <w:lang w:val="fr-FR"/>
        </w:rPr>
        <w:t> </w:t>
      </w:r>
      <w:r>
        <w:rPr>
          <w:noProof/>
          <w:lang w:val="fr-FR"/>
        </w:rPr>
        <w:t>allongement de un à deux ans de la durée maximale de la peine de prison ferme permettant d’utiliser l’assignation à résidence</w:t>
      </w:r>
      <w:r w:rsidRPr="00AF434B">
        <w:rPr>
          <w:noProof/>
          <w:lang w:val="fr-FR"/>
        </w:rPr>
        <w:t xml:space="preserve"> </w:t>
      </w:r>
      <w:r>
        <w:rPr>
          <w:noProof/>
          <w:lang w:val="fr-FR"/>
        </w:rPr>
        <w:t>comme peine de substitution à l’emprisonnement</w:t>
      </w:r>
      <w:r w:rsidRPr="00AF434B">
        <w:rPr>
          <w:noProof/>
          <w:lang w:val="fr-FR"/>
        </w:rPr>
        <w:t xml:space="preserve">. </w:t>
      </w:r>
    </w:p>
    <w:p w14:paraId="35D9A5D2" w14:textId="77777777" w:rsidR="00BF0619" w:rsidRPr="00AF434B" w:rsidRDefault="00BF0619" w:rsidP="00BF0619">
      <w:pPr>
        <w:pStyle w:val="SingleTxtG"/>
        <w:rPr>
          <w:noProof/>
          <w:lang w:val="fr-FR"/>
        </w:rPr>
      </w:pPr>
      <w:r w:rsidRPr="00AF434B">
        <w:rPr>
          <w:noProof/>
          <w:lang w:val="fr-FR"/>
        </w:rPr>
        <w:t>199.</w:t>
      </w:r>
      <w:r w:rsidRPr="00AF434B">
        <w:rPr>
          <w:noProof/>
          <w:lang w:val="fr-FR"/>
        </w:rPr>
        <w:tab/>
      </w:r>
      <w:r>
        <w:rPr>
          <w:noProof/>
          <w:lang w:val="fr-FR"/>
        </w:rPr>
        <w:t xml:space="preserve">Ces modifications </w:t>
      </w:r>
      <w:r w:rsidRPr="00AF434B">
        <w:rPr>
          <w:noProof/>
          <w:lang w:val="fr-FR"/>
        </w:rPr>
        <w:t>l</w:t>
      </w:r>
      <w:r>
        <w:rPr>
          <w:noProof/>
          <w:lang w:val="fr-FR"/>
        </w:rPr>
        <w:t>é</w:t>
      </w:r>
      <w:r w:rsidRPr="00AF434B">
        <w:rPr>
          <w:noProof/>
          <w:lang w:val="fr-FR"/>
        </w:rPr>
        <w:t>gislative</w:t>
      </w:r>
      <w:r>
        <w:rPr>
          <w:noProof/>
          <w:lang w:val="fr-FR"/>
        </w:rPr>
        <w:t>s</w:t>
      </w:r>
      <w:r w:rsidRPr="00AF434B">
        <w:rPr>
          <w:noProof/>
          <w:lang w:val="fr-FR"/>
        </w:rPr>
        <w:t xml:space="preserve"> </w:t>
      </w:r>
      <w:r>
        <w:rPr>
          <w:noProof/>
          <w:lang w:val="fr-FR"/>
        </w:rPr>
        <w:t xml:space="preserve">favorisent le recours à la surveillance électronique, décongestionnent le système pénitentiaire </w:t>
      </w:r>
      <w:r w:rsidR="002C1A37">
        <w:rPr>
          <w:noProof/>
          <w:lang w:val="fr-FR"/>
        </w:rPr>
        <w:t>− </w:t>
      </w:r>
      <w:r>
        <w:rPr>
          <w:noProof/>
          <w:lang w:val="fr-FR"/>
        </w:rPr>
        <w:t>en empêchant l’incarcération de personnes condamnées ne nécessitant pas des niveaux de contrôle aussi intenses</w:t>
      </w:r>
      <w:r w:rsidR="002C1A37">
        <w:rPr>
          <w:noProof/>
          <w:lang w:val="fr-FR"/>
        </w:rPr>
        <w:t> −</w:t>
      </w:r>
      <w:r>
        <w:rPr>
          <w:noProof/>
          <w:lang w:val="fr-FR"/>
        </w:rPr>
        <w:t xml:space="preserve"> et augmentent le contrôle de certaines peines exécutées en milieu ouvert</w:t>
      </w:r>
      <w:r w:rsidRPr="00AF434B">
        <w:rPr>
          <w:noProof/>
          <w:lang w:val="fr-FR"/>
        </w:rPr>
        <w:t>.</w:t>
      </w:r>
    </w:p>
    <w:p w14:paraId="79BB2BBF" w14:textId="77777777" w:rsidR="00BF0619" w:rsidRPr="00AF434B" w:rsidRDefault="00BF0619" w:rsidP="00BF0619">
      <w:pPr>
        <w:pStyle w:val="SingleTxtG"/>
        <w:rPr>
          <w:noProof/>
          <w:lang w:val="fr-FR"/>
        </w:rPr>
      </w:pPr>
      <w:r w:rsidRPr="00AF434B">
        <w:rPr>
          <w:noProof/>
          <w:lang w:val="fr-FR"/>
        </w:rPr>
        <w:t>200.</w:t>
      </w:r>
      <w:r w:rsidRPr="00AF434B">
        <w:rPr>
          <w:noProof/>
          <w:lang w:val="fr-FR"/>
        </w:rPr>
        <w:tab/>
      </w:r>
      <w:r>
        <w:rPr>
          <w:noProof/>
          <w:lang w:val="fr-FR"/>
        </w:rPr>
        <w:t xml:space="preserve">À la fin </w:t>
      </w:r>
      <w:r w:rsidRPr="00AF434B">
        <w:rPr>
          <w:noProof/>
          <w:lang w:val="fr-FR"/>
        </w:rPr>
        <w:t xml:space="preserve">2017, </w:t>
      </w:r>
      <w:r>
        <w:rPr>
          <w:noProof/>
          <w:lang w:val="fr-FR"/>
        </w:rPr>
        <w:t xml:space="preserve">les modifications </w:t>
      </w:r>
      <w:r w:rsidRPr="00AF434B">
        <w:rPr>
          <w:noProof/>
          <w:lang w:val="fr-FR"/>
        </w:rPr>
        <w:t>l</w:t>
      </w:r>
      <w:r>
        <w:rPr>
          <w:noProof/>
          <w:lang w:val="fr-FR"/>
        </w:rPr>
        <w:t>é</w:t>
      </w:r>
      <w:r w:rsidRPr="00AF434B">
        <w:rPr>
          <w:noProof/>
          <w:lang w:val="fr-FR"/>
        </w:rPr>
        <w:t>gislative</w:t>
      </w:r>
      <w:r>
        <w:rPr>
          <w:noProof/>
          <w:lang w:val="fr-FR"/>
        </w:rPr>
        <w:t xml:space="preserve">s susvisées et les ajustements apportés au système de surveillance électronique </w:t>
      </w:r>
      <w:r w:rsidRPr="00AF434B">
        <w:rPr>
          <w:noProof/>
          <w:lang w:val="fr-FR"/>
        </w:rPr>
        <w:t>a</w:t>
      </w:r>
      <w:r>
        <w:rPr>
          <w:noProof/>
          <w:lang w:val="fr-FR"/>
        </w:rPr>
        <w:t>vaient déjà permis d’enregistrer un développement très important de l’utilisation du régime de l’assignation à résidence avec surveillance électronique</w:t>
      </w:r>
      <w:r w:rsidRPr="00AF434B">
        <w:rPr>
          <w:noProof/>
          <w:lang w:val="fr-FR"/>
        </w:rPr>
        <w:t xml:space="preserve">. </w:t>
      </w:r>
      <w:r>
        <w:rPr>
          <w:noProof/>
          <w:lang w:val="fr-FR"/>
        </w:rPr>
        <w:t>E</w:t>
      </w:r>
      <w:r w:rsidRPr="00AF434B">
        <w:rPr>
          <w:noProof/>
          <w:lang w:val="fr-FR"/>
        </w:rPr>
        <w:t>n fa</w:t>
      </w:r>
      <w:r>
        <w:rPr>
          <w:noProof/>
          <w:lang w:val="fr-FR"/>
        </w:rPr>
        <w:t>i</w:t>
      </w:r>
      <w:r w:rsidRPr="00AF434B">
        <w:rPr>
          <w:noProof/>
          <w:lang w:val="fr-FR"/>
        </w:rPr>
        <w:t xml:space="preserve">t, </w:t>
      </w:r>
      <w:r>
        <w:rPr>
          <w:noProof/>
          <w:lang w:val="fr-FR"/>
        </w:rPr>
        <w:t>tandis que pour l’ensemble de l’année</w:t>
      </w:r>
      <w:r w:rsidR="002C1A37">
        <w:rPr>
          <w:noProof/>
          <w:lang w:val="fr-FR"/>
        </w:rPr>
        <w:t> </w:t>
      </w:r>
      <w:r w:rsidRPr="00AF434B">
        <w:rPr>
          <w:noProof/>
          <w:lang w:val="fr-FR"/>
        </w:rPr>
        <w:t xml:space="preserve">2017, </w:t>
      </w:r>
      <w:r>
        <w:rPr>
          <w:noProof/>
          <w:lang w:val="fr-FR"/>
        </w:rPr>
        <w:t xml:space="preserve">le régime de l’assignation à résidence </w:t>
      </w:r>
      <w:r w:rsidRPr="00AF434B">
        <w:rPr>
          <w:noProof/>
          <w:lang w:val="fr-FR"/>
        </w:rPr>
        <w:t>(</w:t>
      </w:r>
      <w:r>
        <w:rPr>
          <w:noProof/>
          <w:lang w:val="fr-FR"/>
        </w:rPr>
        <w:t>« </w:t>
      </w:r>
      <w:r w:rsidRPr="00B6320A">
        <w:rPr>
          <w:i/>
          <w:noProof/>
          <w:lang w:val="fr-FR"/>
        </w:rPr>
        <w:t>obrigação de permanência na habitação</w:t>
      </w:r>
      <w:r>
        <w:rPr>
          <w:noProof/>
          <w:lang w:val="fr-FR"/>
        </w:rPr>
        <w:t> »</w:t>
      </w:r>
      <w:r w:rsidRPr="00AF434B">
        <w:rPr>
          <w:noProof/>
          <w:lang w:val="fr-FR"/>
        </w:rPr>
        <w:t xml:space="preserve">) </w:t>
      </w:r>
      <w:r>
        <w:rPr>
          <w:noProof/>
          <w:lang w:val="fr-FR"/>
        </w:rPr>
        <w:t xml:space="preserve">a été utilisé pour exécuter </w:t>
      </w:r>
      <w:r w:rsidRPr="00AF434B">
        <w:rPr>
          <w:noProof/>
          <w:lang w:val="fr-FR"/>
        </w:rPr>
        <w:t>131</w:t>
      </w:r>
      <w:r w:rsidR="002C1A37">
        <w:rPr>
          <w:noProof/>
          <w:lang w:val="fr-FR"/>
        </w:rPr>
        <w:t> </w:t>
      </w:r>
      <w:r>
        <w:rPr>
          <w:noProof/>
          <w:lang w:val="fr-FR"/>
        </w:rPr>
        <w:t>peines seulement et qu’en moyenne, il ne l’a été simultanément que 70</w:t>
      </w:r>
      <w:r w:rsidR="002C1A37">
        <w:rPr>
          <w:noProof/>
          <w:lang w:val="fr-FR"/>
        </w:rPr>
        <w:t> </w:t>
      </w:r>
      <w:r>
        <w:rPr>
          <w:noProof/>
          <w:lang w:val="fr-FR"/>
        </w:rPr>
        <w:t xml:space="preserve">fois, entre le </w:t>
      </w:r>
      <w:r w:rsidRPr="00AF434B">
        <w:rPr>
          <w:noProof/>
          <w:lang w:val="fr-FR"/>
        </w:rPr>
        <w:t>21</w:t>
      </w:r>
      <w:r w:rsidR="002C1A37">
        <w:rPr>
          <w:noProof/>
          <w:lang w:val="fr-FR"/>
        </w:rPr>
        <w:t> </w:t>
      </w:r>
      <w:r>
        <w:rPr>
          <w:noProof/>
          <w:lang w:val="fr-FR"/>
        </w:rPr>
        <w:t>n</w:t>
      </w:r>
      <w:r w:rsidRPr="00AF434B">
        <w:rPr>
          <w:noProof/>
          <w:lang w:val="fr-FR"/>
        </w:rPr>
        <w:t>ovemb</w:t>
      </w:r>
      <w:r>
        <w:rPr>
          <w:noProof/>
          <w:lang w:val="fr-FR"/>
        </w:rPr>
        <w:t>re</w:t>
      </w:r>
      <w:r w:rsidRPr="00AF434B">
        <w:rPr>
          <w:noProof/>
          <w:lang w:val="fr-FR"/>
        </w:rPr>
        <w:t xml:space="preserve"> 2017 </w:t>
      </w:r>
      <w:r>
        <w:rPr>
          <w:noProof/>
          <w:lang w:val="fr-FR"/>
        </w:rPr>
        <w:t xml:space="preserve">et le </w:t>
      </w:r>
      <w:r w:rsidRPr="00AF434B">
        <w:rPr>
          <w:noProof/>
          <w:lang w:val="fr-FR"/>
        </w:rPr>
        <w:t>30</w:t>
      </w:r>
      <w:r w:rsidR="002C1A37">
        <w:rPr>
          <w:noProof/>
          <w:lang w:val="fr-FR"/>
        </w:rPr>
        <w:t> </w:t>
      </w:r>
      <w:r>
        <w:rPr>
          <w:noProof/>
          <w:lang w:val="fr-FR"/>
        </w:rPr>
        <w:t>av</w:t>
      </w:r>
      <w:r w:rsidRPr="00AF434B">
        <w:rPr>
          <w:noProof/>
          <w:lang w:val="fr-FR"/>
        </w:rPr>
        <w:t xml:space="preserve">ril 2018, </w:t>
      </w:r>
      <w:r>
        <w:rPr>
          <w:noProof/>
          <w:lang w:val="fr-FR"/>
        </w:rPr>
        <w:t xml:space="preserve">il l’a été dans </w:t>
      </w:r>
      <w:r w:rsidRPr="00AF434B">
        <w:rPr>
          <w:noProof/>
          <w:lang w:val="fr-FR"/>
        </w:rPr>
        <w:t>306</w:t>
      </w:r>
      <w:r w:rsidR="002C1A37">
        <w:rPr>
          <w:noProof/>
          <w:lang w:val="fr-FR"/>
        </w:rPr>
        <w:t> </w:t>
      </w:r>
      <w:r>
        <w:rPr>
          <w:noProof/>
          <w:lang w:val="fr-FR"/>
        </w:rPr>
        <w:t>nouveaux cas</w:t>
      </w:r>
      <w:r w:rsidRPr="00AF434B">
        <w:rPr>
          <w:noProof/>
          <w:lang w:val="fr-FR"/>
        </w:rPr>
        <w:t xml:space="preserve">. </w:t>
      </w:r>
      <w:r>
        <w:rPr>
          <w:noProof/>
          <w:lang w:val="fr-FR"/>
        </w:rPr>
        <w:t xml:space="preserve">Compte tenu de la moyenne des cas d’utilisation de ce régime vérifiés entre janvier et octobre </w:t>
      </w:r>
      <w:r w:rsidRPr="00AF434B">
        <w:rPr>
          <w:noProof/>
          <w:lang w:val="fr-FR"/>
        </w:rPr>
        <w:t>2017 (</w:t>
      </w:r>
      <w:r>
        <w:rPr>
          <w:noProof/>
          <w:lang w:val="fr-FR"/>
        </w:rPr>
        <w:t>huit</w:t>
      </w:r>
      <w:r w:rsidRPr="00AF434B">
        <w:rPr>
          <w:noProof/>
          <w:lang w:val="fr-FR"/>
        </w:rPr>
        <w:t xml:space="preserve">), </w:t>
      </w:r>
      <w:r>
        <w:rPr>
          <w:noProof/>
          <w:lang w:val="fr-FR"/>
        </w:rPr>
        <w:t xml:space="preserve">les </w:t>
      </w:r>
      <w:r w:rsidRPr="00AF434B">
        <w:rPr>
          <w:noProof/>
          <w:lang w:val="fr-FR"/>
        </w:rPr>
        <w:t>306 pe</w:t>
      </w:r>
      <w:r>
        <w:rPr>
          <w:noProof/>
          <w:lang w:val="fr-FR"/>
        </w:rPr>
        <w:t xml:space="preserve">ines en question </w:t>
      </w:r>
      <w:r w:rsidRPr="00AF434B">
        <w:rPr>
          <w:noProof/>
          <w:lang w:val="fr-FR"/>
        </w:rPr>
        <w:t>repr</w:t>
      </w:r>
      <w:r>
        <w:rPr>
          <w:noProof/>
          <w:lang w:val="fr-FR"/>
        </w:rPr>
        <w:t>é</w:t>
      </w:r>
      <w:r w:rsidRPr="00AF434B">
        <w:rPr>
          <w:noProof/>
          <w:lang w:val="fr-FR"/>
        </w:rPr>
        <w:t>sent</w:t>
      </w:r>
      <w:r>
        <w:rPr>
          <w:noProof/>
          <w:lang w:val="fr-FR"/>
        </w:rPr>
        <w:t xml:space="preserve">ent une progression de </w:t>
      </w:r>
      <w:r w:rsidRPr="00AF434B">
        <w:rPr>
          <w:noProof/>
          <w:lang w:val="fr-FR"/>
        </w:rPr>
        <w:t>3</w:t>
      </w:r>
      <w:r w:rsidR="002C1A37">
        <w:rPr>
          <w:noProof/>
          <w:lang w:val="fr-FR"/>
        </w:rPr>
        <w:t> </w:t>
      </w:r>
      <w:r w:rsidRPr="00AF434B">
        <w:rPr>
          <w:noProof/>
          <w:lang w:val="fr-FR"/>
        </w:rPr>
        <w:t>725</w:t>
      </w:r>
      <w:r w:rsidR="002C1A37">
        <w:rPr>
          <w:noProof/>
          <w:lang w:val="fr-FR"/>
        </w:rPr>
        <w:t> </w:t>
      </w:r>
      <w:r w:rsidRPr="00AF434B">
        <w:rPr>
          <w:noProof/>
          <w:lang w:val="fr-FR"/>
        </w:rPr>
        <w:t>%.</w:t>
      </w:r>
    </w:p>
    <w:p w14:paraId="1C8A4303" w14:textId="77777777" w:rsidR="00BF0619" w:rsidRPr="00AF434B" w:rsidRDefault="00BF0619" w:rsidP="00BF0619">
      <w:pPr>
        <w:pStyle w:val="SingleTxtG"/>
        <w:rPr>
          <w:noProof/>
          <w:lang w:val="fr-FR"/>
        </w:rPr>
      </w:pPr>
      <w:r w:rsidRPr="00AF434B">
        <w:rPr>
          <w:noProof/>
          <w:lang w:val="fr-FR"/>
        </w:rPr>
        <w:t>201.</w:t>
      </w:r>
      <w:r w:rsidRPr="00AF434B">
        <w:rPr>
          <w:noProof/>
          <w:lang w:val="fr-FR"/>
        </w:rPr>
        <w:tab/>
      </w:r>
      <w:r>
        <w:rPr>
          <w:noProof/>
          <w:lang w:val="fr-FR"/>
        </w:rPr>
        <w:t>E</w:t>
      </w:r>
      <w:r w:rsidRPr="00AF434B">
        <w:rPr>
          <w:noProof/>
          <w:lang w:val="fr-FR"/>
        </w:rPr>
        <w:t xml:space="preserve">n conclusion, </w:t>
      </w:r>
      <w:r>
        <w:rPr>
          <w:noProof/>
          <w:lang w:val="fr-FR"/>
        </w:rPr>
        <w:t xml:space="preserve">cette analyse préliminaire permet de prévoir l’importance de l’impact que l’utilisation de ce nouveau régime d’assignation à résidence aura sur le système national de surveillance électronique, tout en contribuant dans une très large mesure à décongestioner le système pénitentiaire.  </w:t>
      </w:r>
    </w:p>
    <w:p w14:paraId="7F39910B" w14:textId="77777777" w:rsidR="00BF0619" w:rsidRPr="00AF434B" w:rsidRDefault="00BF0619" w:rsidP="00BF0619">
      <w:pPr>
        <w:pStyle w:val="SingleTxtG"/>
        <w:rPr>
          <w:noProof/>
          <w:lang w:val="fr-FR"/>
        </w:rPr>
      </w:pPr>
      <w:r w:rsidRPr="00AF434B">
        <w:rPr>
          <w:noProof/>
          <w:lang w:val="fr-FR"/>
        </w:rPr>
        <w:t>202.</w:t>
      </w:r>
      <w:r w:rsidRPr="00AF434B">
        <w:rPr>
          <w:noProof/>
          <w:lang w:val="fr-FR"/>
        </w:rPr>
        <w:tab/>
      </w:r>
      <w:r>
        <w:rPr>
          <w:noProof/>
          <w:lang w:val="fr-FR"/>
        </w:rPr>
        <w:t>En même temps, il importe de souligner que ces modifications vont de pair avec de très importants avantages sur les plans social et humain</w:t>
      </w:r>
      <w:r w:rsidRPr="00AF434B">
        <w:rPr>
          <w:noProof/>
          <w:lang w:val="fr-FR"/>
        </w:rPr>
        <w:t xml:space="preserve">. </w:t>
      </w:r>
      <w:r>
        <w:rPr>
          <w:noProof/>
          <w:lang w:val="fr-FR"/>
        </w:rPr>
        <w:t>E</w:t>
      </w:r>
      <w:r w:rsidRPr="00AF434B">
        <w:rPr>
          <w:noProof/>
          <w:lang w:val="fr-FR"/>
        </w:rPr>
        <w:t>n fa</w:t>
      </w:r>
      <w:r>
        <w:rPr>
          <w:noProof/>
          <w:lang w:val="fr-FR"/>
        </w:rPr>
        <w:t>i</w:t>
      </w:r>
      <w:r w:rsidRPr="00AF434B">
        <w:rPr>
          <w:noProof/>
          <w:lang w:val="fr-FR"/>
        </w:rPr>
        <w:t xml:space="preserve">t, </w:t>
      </w:r>
      <w:r>
        <w:rPr>
          <w:noProof/>
          <w:lang w:val="fr-FR"/>
        </w:rPr>
        <w:t xml:space="preserve">ce nouveau </w:t>
      </w:r>
      <w:r w:rsidRPr="00AF434B">
        <w:rPr>
          <w:noProof/>
          <w:lang w:val="fr-FR"/>
        </w:rPr>
        <w:t>r</w:t>
      </w:r>
      <w:r>
        <w:rPr>
          <w:noProof/>
          <w:lang w:val="fr-FR"/>
        </w:rPr>
        <w:t>é</w:t>
      </w:r>
      <w:r w:rsidRPr="00AF434B">
        <w:rPr>
          <w:noProof/>
          <w:lang w:val="fr-FR"/>
        </w:rPr>
        <w:t xml:space="preserve">gime </w:t>
      </w:r>
      <w:r>
        <w:rPr>
          <w:noProof/>
          <w:lang w:val="fr-FR"/>
        </w:rPr>
        <w:t>permet à la personne condamnée de maintenir ses liens avec sa famille et avec la société si le tribunal l’y autorise et, dans le but de la faire renoncer à la criminalité, d’exercer des activités qui sont utiles et appropriées pour le processus de resocialis</w:t>
      </w:r>
      <w:r w:rsidRPr="00AF434B">
        <w:rPr>
          <w:noProof/>
          <w:lang w:val="fr-FR"/>
        </w:rPr>
        <w:t>ation.</w:t>
      </w:r>
    </w:p>
    <w:p w14:paraId="5E7E53B9" w14:textId="77777777" w:rsidR="00BF0619" w:rsidRPr="00AF434B" w:rsidRDefault="00BF0619" w:rsidP="00BF0619">
      <w:pPr>
        <w:pStyle w:val="SingleTxtG"/>
        <w:rPr>
          <w:noProof/>
          <w:lang w:val="fr-FR"/>
        </w:rPr>
      </w:pPr>
      <w:r w:rsidRPr="00AF434B">
        <w:rPr>
          <w:noProof/>
          <w:lang w:val="fr-FR"/>
        </w:rPr>
        <w:t>203.</w:t>
      </w:r>
      <w:r w:rsidRPr="00AF434B">
        <w:rPr>
          <w:noProof/>
          <w:lang w:val="fr-FR"/>
        </w:rPr>
        <w:tab/>
      </w:r>
      <w:r>
        <w:rPr>
          <w:noProof/>
          <w:lang w:val="fr-FR"/>
        </w:rPr>
        <w:t xml:space="preserve">De plus, il convient de mentionner le plan élaboré par la </w:t>
      </w:r>
      <w:r w:rsidRPr="00812F06">
        <w:rPr>
          <w:noProof/>
          <w:lang w:val="fr-FR"/>
        </w:rPr>
        <w:t>Direction générale des services pénitentiaires et de la réinsertion</w:t>
      </w:r>
      <w:r w:rsidRPr="00AF434B">
        <w:rPr>
          <w:noProof/>
          <w:lang w:val="fr-FR"/>
        </w:rPr>
        <w:t xml:space="preserve"> </w:t>
      </w:r>
      <w:r>
        <w:rPr>
          <w:noProof/>
          <w:lang w:val="fr-FR"/>
        </w:rPr>
        <w:t>pour sensibiliser les juges et les procureurs à cette question et leur faire mieux comprendre le fonctionnement des dispositifs de surveillance et du système, l’objectif étant de recourir sur une plus grande échelle aux mesures de substitution à l’emprisonnement</w:t>
      </w:r>
      <w:r w:rsidRPr="00AF434B">
        <w:rPr>
          <w:noProof/>
          <w:lang w:val="fr-FR"/>
        </w:rPr>
        <w:t xml:space="preserve">. </w:t>
      </w:r>
    </w:p>
    <w:p w14:paraId="2F5EBC72" w14:textId="77777777" w:rsidR="00BF0619" w:rsidRPr="00AF434B" w:rsidRDefault="00BF0619" w:rsidP="00BF0619">
      <w:pPr>
        <w:pStyle w:val="SingleTxtG"/>
        <w:rPr>
          <w:noProof/>
          <w:lang w:val="fr-FR"/>
        </w:rPr>
      </w:pPr>
      <w:r w:rsidRPr="00AF434B">
        <w:rPr>
          <w:noProof/>
          <w:lang w:val="fr-FR"/>
        </w:rPr>
        <w:t>204.</w:t>
      </w:r>
      <w:r w:rsidRPr="00AF434B">
        <w:rPr>
          <w:noProof/>
          <w:lang w:val="fr-FR"/>
        </w:rPr>
        <w:tab/>
      </w:r>
      <w:r>
        <w:rPr>
          <w:noProof/>
          <w:lang w:val="fr-FR"/>
        </w:rPr>
        <w:t>La conjonction de ces diverses mesures et démarches a permis, il importe de le souligner, d’enregistrer une diminution régulière et sensible de la population carcérale</w:t>
      </w:r>
      <w:r w:rsidRPr="00AF434B">
        <w:rPr>
          <w:noProof/>
          <w:lang w:val="fr-FR"/>
        </w:rPr>
        <w:t xml:space="preserve">. </w:t>
      </w:r>
      <w:r>
        <w:rPr>
          <w:noProof/>
          <w:lang w:val="fr-FR"/>
        </w:rPr>
        <w:t>De fait, au 1</w:t>
      </w:r>
      <w:r w:rsidRPr="00114D74">
        <w:rPr>
          <w:noProof/>
          <w:vertAlign w:val="superscript"/>
          <w:lang w:val="fr-FR"/>
        </w:rPr>
        <w:t>er</w:t>
      </w:r>
      <w:r>
        <w:rPr>
          <w:noProof/>
          <w:lang w:val="fr-FR"/>
        </w:rPr>
        <w:t xml:space="preserve"> août, le taux de surpeuplement était, au niveau national, de </w:t>
      </w:r>
      <w:r w:rsidRPr="00AF434B">
        <w:rPr>
          <w:noProof/>
          <w:lang w:val="fr-FR"/>
        </w:rPr>
        <w:t>0</w:t>
      </w:r>
      <w:r>
        <w:rPr>
          <w:noProof/>
          <w:lang w:val="fr-FR"/>
        </w:rPr>
        <w:t>,</w:t>
      </w:r>
      <w:r w:rsidRPr="00AF434B">
        <w:rPr>
          <w:noProof/>
          <w:lang w:val="fr-FR"/>
        </w:rPr>
        <w:t>2</w:t>
      </w:r>
      <w:r w:rsidR="002C1A37">
        <w:rPr>
          <w:noProof/>
          <w:lang w:val="fr-FR"/>
        </w:rPr>
        <w:t> </w:t>
      </w:r>
      <w:r w:rsidRPr="00AF434B">
        <w:rPr>
          <w:noProof/>
          <w:lang w:val="fr-FR"/>
        </w:rPr>
        <w:t xml:space="preserve">% </w:t>
      </w:r>
      <w:r>
        <w:rPr>
          <w:noProof/>
          <w:lang w:val="fr-FR"/>
        </w:rPr>
        <w:t>et</w:t>
      </w:r>
      <w:r w:rsidRPr="00AF434B">
        <w:rPr>
          <w:noProof/>
          <w:lang w:val="fr-FR"/>
        </w:rPr>
        <w:t xml:space="preserve">, </w:t>
      </w:r>
      <w:r>
        <w:rPr>
          <w:noProof/>
          <w:lang w:val="fr-FR"/>
        </w:rPr>
        <w:t xml:space="preserve">si l’on exclut les personnes qui purgent une peine de </w:t>
      </w:r>
      <w:r w:rsidRPr="00AF434B">
        <w:rPr>
          <w:noProof/>
          <w:lang w:val="fr-FR"/>
        </w:rPr>
        <w:t>semi-d</w:t>
      </w:r>
      <w:r>
        <w:rPr>
          <w:noProof/>
          <w:lang w:val="fr-FR"/>
        </w:rPr>
        <w:t>é</w:t>
      </w:r>
      <w:r w:rsidRPr="00AF434B">
        <w:rPr>
          <w:noProof/>
          <w:lang w:val="fr-FR"/>
        </w:rPr>
        <w:t>tention (r</w:t>
      </w:r>
      <w:r>
        <w:rPr>
          <w:noProof/>
          <w:lang w:val="fr-FR"/>
        </w:rPr>
        <w:t>é</w:t>
      </w:r>
      <w:r w:rsidRPr="00AF434B">
        <w:rPr>
          <w:noProof/>
          <w:lang w:val="fr-FR"/>
        </w:rPr>
        <w:t xml:space="preserve">gime </w:t>
      </w:r>
      <w:r>
        <w:rPr>
          <w:noProof/>
          <w:lang w:val="fr-FR"/>
        </w:rPr>
        <w:t>qui a été supprimé du Code pénal</w:t>
      </w:r>
      <w:r w:rsidRPr="00AF434B">
        <w:rPr>
          <w:noProof/>
          <w:lang w:val="fr-FR"/>
        </w:rPr>
        <w:t xml:space="preserve">), </w:t>
      </w:r>
      <w:r>
        <w:rPr>
          <w:noProof/>
          <w:lang w:val="fr-FR"/>
        </w:rPr>
        <w:t>le taux d’</w:t>
      </w:r>
      <w:r w:rsidRPr="00AF434B">
        <w:rPr>
          <w:noProof/>
          <w:lang w:val="fr-FR"/>
        </w:rPr>
        <w:t>occupa</w:t>
      </w:r>
      <w:r>
        <w:rPr>
          <w:noProof/>
          <w:lang w:val="fr-FR"/>
        </w:rPr>
        <w:t xml:space="preserve">tion des établissements pénitentiaires est de </w:t>
      </w:r>
      <w:r w:rsidRPr="00AF434B">
        <w:rPr>
          <w:noProof/>
          <w:lang w:val="fr-FR"/>
        </w:rPr>
        <w:t>98</w:t>
      </w:r>
      <w:r w:rsidR="002C1A37">
        <w:rPr>
          <w:noProof/>
          <w:lang w:val="fr-FR"/>
        </w:rPr>
        <w:t> </w:t>
      </w:r>
      <w:r w:rsidRPr="00AF434B">
        <w:rPr>
          <w:noProof/>
          <w:lang w:val="fr-FR"/>
        </w:rPr>
        <w:t xml:space="preserve">%. </w:t>
      </w:r>
      <w:r>
        <w:rPr>
          <w:noProof/>
          <w:lang w:val="fr-FR"/>
        </w:rPr>
        <w:t>On voit que le système pénitentiaire n’est plus surpeuplé</w:t>
      </w:r>
      <w:r w:rsidRPr="00AF434B">
        <w:rPr>
          <w:noProof/>
          <w:lang w:val="fr-FR"/>
        </w:rPr>
        <w:t xml:space="preserve">. </w:t>
      </w:r>
    </w:p>
    <w:p w14:paraId="60702BE4" w14:textId="77777777" w:rsidR="00BF0619" w:rsidRPr="00AF434B" w:rsidRDefault="00BF0619" w:rsidP="00BF0619">
      <w:pPr>
        <w:pStyle w:val="SingleTxtG"/>
        <w:rPr>
          <w:noProof/>
          <w:lang w:val="fr-FR"/>
        </w:rPr>
      </w:pPr>
      <w:r w:rsidRPr="00AF434B">
        <w:rPr>
          <w:noProof/>
          <w:lang w:val="fr-FR"/>
        </w:rPr>
        <w:t>205.</w:t>
      </w:r>
      <w:r w:rsidRPr="00AF434B">
        <w:rPr>
          <w:noProof/>
          <w:lang w:val="fr-FR"/>
        </w:rPr>
        <w:tab/>
      </w:r>
      <w:r>
        <w:rPr>
          <w:noProof/>
          <w:lang w:val="fr-FR"/>
        </w:rPr>
        <w:t xml:space="preserve">De plus, si certains établissements </w:t>
      </w:r>
      <w:r w:rsidRPr="00AF434B">
        <w:rPr>
          <w:noProof/>
          <w:lang w:val="fr-FR"/>
        </w:rPr>
        <w:t>continue</w:t>
      </w:r>
      <w:r>
        <w:rPr>
          <w:noProof/>
          <w:lang w:val="fr-FR"/>
        </w:rPr>
        <w:t>nt d’enregistrer des taux de surpeuplement, une baisse continue et durable a été relevée</w:t>
      </w:r>
      <w:r w:rsidRPr="00AF434B">
        <w:rPr>
          <w:noProof/>
          <w:lang w:val="fr-FR"/>
        </w:rPr>
        <w:t xml:space="preserve">. </w:t>
      </w:r>
      <w:r>
        <w:rPr>
          <w:noProof/>
          <w:lang w:val="fr-FR"/>
        </w:rPr>
        <w:t>Le 1</w:t>
      </w:r>
      <w:r w:rsidRPr="000B3865">
        <w:rPr>
          <w:noProof/>
          <w:vertAlign w:val="superscript"/>
          <w:lang w:val="fr-FR"/>
        </w:rPr>
        <w:t>er</w:t>
      </w:r>
      <w:r w:rsidR="002C1A37">
        <w:rPr>
          <w:noProof/>
          <w:lang w:val="fr-FR"/>
        </w:rPr>
        <w:t> </w:t>
      </w:r>
      <w:r>
        <w:rPr>
          <w:noProof/>
          <w:lang w:val="fr-FR"/>
        </w:rPr>
        <w:t xml:space="preserve">août </w:t>
      </w:r>
      <w:r w:rsidRPr="00AF434B">
        <w:rPr>
          <w:noProof/>
          <w:lang w:val="fr-FR"/>
        </w:rPr>
        <w:t>2018</w:t>
      </w:r>
      <w:r>
        <w:rPr>
          <w:noProof/>
          <w:lang w:val="fr-FR"/>
        </w:rPr>
        <w:t>,</w:t>
      </w:r>
      <w:r w:rsidRPr="00AF434B">
        <w:rPr>
          <w:noProof/>
          <w:lang w:val="fr-FR"/>
        </w:rPr>
        <w:t xml:space="preserve"> </w:t>
      </w:r>
      <w:r w:rsidR="00551C82">
        <w:rPr>
          <w:noProof/>
          <w:lang w:val="fr-FR"/>
        </w:rPr>
        <w:t>7 </w:t>
      </w:r>
      <w:r>
        <w:rPr>
          <w:noProof/>
          <w:lang w:val="fr-FR"/>
        </w:rPr>
        <w:t xml:space="preserve">seulement des </w:t>
      </w:r>
      <w:r w:rsidRPr="00AF434B">
        <w:rPr>
          <w:noProof/>
          <w:lang w:val="fr-FR"/>
        </w:rPr>
        <w:t>21</w:t>
      </w:r>
      <w:r w:rsidR="002C1A37">
        <w:rPr>
          <w:noProof/>
          <w:lang w:val="fr-FR"/>
        </w:rPr>
        <w:t> </w:t>
      </w:r>
      <w:r>
        <w:rPr>
          <w:noProof/>
          <w:lang w:val="fr-FR"/>
        </w:rPr>
        <w:t>prisons de complexité haute étaient surpeuplées</w:t>
      </w:r>
      <w:r w:rsidR="00755A3A">
        <w:rPr>
          <w:noProof/>
          <w:lang w:val="fr-FR"/>
        </w:rPr>
        <w:t> </w:t>
      </w:r>
      <w:r w:rsidRPr="00AF434B">
        <w:rPr>
          <w:noProof/>
          <w:lang w:val="fr-FR"/>
        </w:rPr>
        <w:t xml:space="preserve">; </w:t>
      </w:r>
      <w:r>
        <w:rPr>
          <w:noProof/>
          <w:lang w:val="fr-FR"/>
        </w:rPr>
        <w:t xml:space="preserve">aucune des </w:t>
      </w:r>
      <w:r w:rsidRPr="00AF434B">
        <w:rPr>
          <w:noProof/>
          <w:lang w:val="fr-FR"/>
        </w:rPr>
        <w:t>28</w:t>
      </w:r>
      <w:r w:rsidR="002C1A37">
        <w:rPr>
          <w:noProof/>
          <w:lang w:val="fr-FR"/>
        </w:rPr>
        <w:t> </w:t>
      </w:r>
      <w:r>
        <w:rPr>
          <w:noProof/>
          <w:lang w:val="fr-FR"/>
        </w:rPr>
        <w:t xml:space="preserve">prisons de complexité moyenne </w:t>
      </w:r>
      <w:r w:rsidR="002C1A37">
        <w:rPr>
          <w:noProof/>
          <w:lang w:val="fr-FR"/>
        </w:rPr>
        <w:t>− </w:t>
      </w:r>
      <w:r>
        <w:rPr>
          <w:noProof/>
          <w:lang w:val="fr-FR"/>
        </w:rPr>
        <w:t>que le CPT appelle « prisons régionales de taille moyenne »</w:t>
      </w:r>
      <w:r w:rsidR="002C1A37">
        <w:rPr>
          <w:noProof/>
          <w:lang w:val="fr-FR"/>
        </w:rPr>
        <w:t> −</w:t>
      </w:r>
      <w:r w:rsidRPr="00AF434B">
        <w:rPr>
          <w:noProof/>
          <w:lang w:val="fr-FR"/>
        </w:rPr>
        <w:t xml:space="preserve">, </w:t>
      </w:r>
      <w:r>
        <w:rPr>
          <w:noProof/>
          <w:lang w:val="fr-FR"/>
        </w:rPr>
        <w:t xml:space="preserve">n’avait un taux de surpeuplement supérieur à </w:t>
      </w:r>
      <w:r w:rsidRPr="00AF434B">
        <w:rPr>
          <w:noProof/>
          <w:lang w:val="fr-FR"/>
        </w:rPr>
        <w:t>200</w:t>
      </w:r>
      <w:r w:rsidR="002C1A37">
        <w:rPr>
          <w:noProof/>
          <w:lang w:val="fr-FR"/>
        </w:rPr>
        <w:t> </w:t>
      </w:r>
      <w:r w:rsidRPr="00AF434B">
        <w:rPr>
          <w:noProof/>
          <w:lang w:val="fr-FR"/>
        </w:rPr>
        <w:t xml:space="preserve">% </w:t>
      </w:r>
      <w:r>
        <w:rPr>
          <w:noProof/>
          <w:lang w:val="fr-FR"/>
        </w:rPr>
        <w:t>et ce taux n’était supérieur à 140</w:t>
      </w:r>
      <w:r w:rsidR="002C1A37">
        <w:rPr>
          <w:noProof/>
          <w:lang w:val="fr-FR"/>
        </w:rPr>
        <w:t> </w:t>
      </w:r>
      <w:r>
        <w:rPr>
          <w:noProof/>
          <w:lang w:val="fr-FR"/>
        </w:rPr>
        <w:t>% que dans</w:t>
      </w:r>
      <w:r w:rsidR="002E5FC5">
        <w:rPr>
          <w:noProof/>
          <w:lang w:val="fr-FR"/>
        </w:rPr>
        <w:t> 8</w:t>
      </w:r>
      <w:r>
        <w:rPr>
          <w:noProof/>
          <w:lang w:val="fr-FR"/>
        </w:rPr>
        <w:t xml:space="preserve"> d’entre elles</w:t>
      </w:r>
      <w:r w:rsidRPr="00AF434B">
        <w:rPr>
          <w:noProof/>
          <w:lang w:val="fr-FR"/>
        </w:rPr>
        <w:t xml:space="preserve">. </w:t>
      </w:r>
      <w:r>
        <w:rPr>
          <w:noProof/>
          <w:lang w:val="fr-FR"/>
        </w:rPr>
        <w:t xml:space="preserve">Cette baisse des taux de surpeuplement de l’ensemble des établissements pénitentiaires correspond à une tendance qui s’est maintenue plus de deux ans et qui, selon toute probabilité et compte tenu du fait que la loi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sidRPr="00AF434B">
        <w:rPr>
          <w:noProof/>
          <w:lang w:val="fr-FR"/>
        </w:rPr>
        <w:t xml:space="preserve">94/2017 </w:t>
      </w:r>
      <w:r>
        <w:rPr>
          <w:noProof/>
          <w:lang w:val="fr-FR"/>
        </w:rPr>
        <w:t>n’est entrée en vigueur qu’à la fin</w:t>
      </w:r>
      <w:r w:rsidR="002C1A37">
        <w:rPr>
          <w:noProof/>
          <w:lang w:val="fr-FR"/>
        </w:rPr>
        <w:t> </w:t>
      </w:r>
      <w:r w:rsidRPr="00AF434B">
        <w:rPr>
          <w:noProof/>
          <w:lang w:val="fr-FR"/>
        </w:rPr>
        <w:t xml:space="preserve">2017, </w:t>
      </w:r>
      <w:r>
        <w:rPr>
          <w:noProof/>
          <w:lang w:val="fr-FR"/>
        </w:rPr>
        <w:t>ne fera que s’accentuer dans les mois qui viennent</w:t>
      </w:r>
      <w:r w:rsidRPr="00AF434B">
        <w:rPr>
          <w:noProof/>
          <w:lang w:val="fr-FR"/>
        </w:rPr>
        <w:t>.</w:t>
      </w:r>
    </w:p>
    <w:p w14:paraId="4A50B8CC" w14:textId="77777777" w:rsidR="00BF0619" w:rsidRPr="00AF434B" w:rsidRDefault="00BF0619" w:rsidP="00BF0619">
      <w:pPr>
        <w:pStyle w:val="SingleTxtG"/>
        <w:rPr>
          <w:noProof/>
          <w:lang w:val="fr-FR"/>
        </w:rPr>
      </w:pPr>
      <w:r>
        <w:rPr>
          <w:noProof/>
          <w:lang w:val="fr-FR"/>
        </w:rPr>
        <w:t>206.</w:t>
      </w:r>
      <w:r>
        <w:rPr>
          <w:noProof/>
          <w:lang w:val="fr-FR"/>
        </w:rPr>
        <w:tab/>
        <w:t xml:space="preserve">Il convient d’ajouter qu’en 2017, le Gouvernement a adopté un rapport sur le système pénitentiaire et les établissements pénitentiaires pour mineurs, dans lequel il trace pour les </w:t>
      </w:r>
      <w:r w:rsidR="002C1A37">
        <w:rPr>
          <w:noProof/>
          <w:lang w:val="fr-FR"/>
        </w:rPr>
        <w:t xml:space="preserve">dix </w:t>
      </w:r>
      <w:r>
        <w:rPr>
          <w:noProof/>
          <w:lang w:val="fr-FR"/>
        </w:rPr>
        <w:t>années à venir une vision stratégique du système d’exécution des peines, des procédures pénales et des mesures d’assistance pédagogique aux mineurs incarcérés, ainsi qu’un état des besoins en ressources humaines et matérielles</w:t>
      </w:r>
      <w:r w:rsidRPr="00AF434B">
        <w:rPr>
          <w:noProof/>
          <w:lang w:val="fr-FR"/>
        </w:rPr>
        <w:t>.</w:t>
      </w:r>
    </w:p>
    <w:p w14:paraId="15CE4453" w14:textId="77777777" w:rsidR="00BF0619" w:rsidRPr="00AF434B" w:rsidRDefault="00BF0619" w:rsidP="00BF0619">
      <w:pPr>
        <w:pStyle w:val="SingleTxtG"/>
        <w:rPr>
          <w:noProof/>
          <w:lang w:val="fr-FR"/>
        </w:rPr>
      </w:pPr>
      <w:r w:rsidRPr="00AF434B">
        <w:rPr>
          <w:noProof/>
          <w:lang w:val="fr-FR"/>
        </w:rPr>
        <w:t>207.</w:t>
      </w:r>
      <w:r w:rsidRPr="00AF434B">
        <w:rPr>
          <w:noProof/>
          <w:lang w:val="fr-FR"/>
        </w:rPr>
        <w:tab/>
      </w:r>
      <w:r>
        <w:rPr>
          <w:noProof/>
          <w:lang w:val="fr-FR"/>
        </w:rPr>
        <w:t xml:space="preserve">Le Groupe de travail sur l’amélioration de l’accès des détenus au Service national de santé publique créé en </w:t>
      </w:r>
      <w:r w:rsidRPr="00AF434B">
        <w:rPr>
          <w:noProof/>
          <w:lang w:val="fr-FR"/>
        </w:rPr>
        <w:t xml:space="preserve">2017 </w:t>
      </w:r>
      <w:r>
        <w:rPr>
          <w:noProof/>
          <w:lang w:val="fr-FR"/>
        </w:rPr>
        <w:t>a d’ores et déjà engagé les activités suivantes</w:t>
      </w:r>
      <w:r w:rsidR="002C1A37">
        <w:rPr>
          <w:noProof/>
          <w:lang w:val="fr-FR"/>
        </w:rPr>
        <w:t> :</w:t>
      </w:r>
    </w:p>
    <w:p w14:paraId="251FF24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Pr</w:t>
      </w:r>
      <w:r>
        <w:rPr>
          <w:noProof/>
          <w:lang w:val="fr-FR"/>
        </w:rPr>
        <w:t>é</w:t>
      </w:r>
      <w:r w:rsidRPr="00AF434B">
        <w:rPr>
          <w:noProof/>
          <w:lang w:val="fr-FR"/>
        </w:rPr>
        <w:t xml:space="preserve">paration </w:t>
      </w:r>
      <w:r>
        <w:rPr>
          <w:noProof/>
          <w:lang w:val="fr-FR"/>
        </w:rPr>
        <w:t xml:space="preserve">d’une </w:t>
      </w:r>
      <w:r w:rsidRPr="00AF434B">
        <w:rPr>
          <w:noProof/>
          <w:lang w:val="fr-FR"/>
        </w:rPr>
        <w:t xml:space="preserve">publication </w:t>
      </w:r>
      <w:r>
        <w:rPr>
          <w:noProof/>
          <w:lang w:val="fr-FR"/>
        </w:rPr>
        <w:t>sur le réseau d’orientation pour la prise en charge hospitalière au sein du Service national de santé publique</w:t>
      </w:r>
      <w:r w:rsidRPr="00AF434B">
        <w:rPr>
          <w:noProof/>
          <w:lang w:val="fr-FR"/>
        </w:rPr>
        <w:t xml:space="preserve"> </w:t>
      </w:r>
      <w:r>
        <w:rPr>
          <w:noProof/>
          <w:lang w:val="fr-FR"/>
        </w:rPr>
        <w:t xml:space="preserve">des détenus présentant une séropositivité VIH ou atteints d’hépatite virale </w:t>
      </w:r>
      <w:r w:rsidRPr="00AF434B">
        <w:rPr>
          <w:noProof/>
          <w:lang w:val="fr-FR"/>
        </w:rPr>
        <w:t>(</w:t>
      </w:r>
      <w:r>
        <w:rPr>
          <w:noProof/>
          <w:lang w:val="fr-FR"/>
        </w:rPr>
        <w:t xml:space="preserve">ordonnance conjointe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sidRPr="00AF434B">
        <w:rPr>
          <w:noProof/>
          <w:lang w:val="fr-FR"/>
        </w:rPr>
        <w:t xml:space="preserve">283/2018 </w:t>
      </w:r>
      <w:r>
        <w:rPr>
          <w:noProof/>
          <w:lang w:val="fr-FR"/>
        </w:rPr>
        <w:t>du</w:t>
      </w:r>
      <w:r w:rsidRPr="00AF434B">
        <w:rPr>
          <w:noProof/>
          <w:lang w:val="fr-FR"/>
        </w:rPr>
        <w:t xml:space="preserve"> 29</w:t>
      </w:r>
      <w:r w:rsidR="002C1A37">
        <w:rPr>
          <w:noProof/>
          <w:lang w:val="fr-FR"/>
        </w:rPr>
        <w:t> </w:t>
      </w:r>
      <w:r>
        <w:rPr>
          <w:noProof/>
          <w:lang w:val="fr-FR"/>
        </w:rPr>
        <w:t>dé</w:t>
      </w:r>
      <w:r w:rsidRPr="00AF434B">
        <w:rPr>
          <w:noProof/>
          <w:lang w:val="fr-FR"/>
        </w:rPr>
        <w:t>cemb</w:t>
      </w:r>
      <w:r>
        <w:rPr>
          <w:noProof/>
          <w:lang w:val="fr-FR"/>
        </w:rPr>
        <w:t>re</w:t>
      </w:r>
      <w:r w:rsidRPr="00AF434B">
        <w:rPr>
          <w:noProof/>
          <w:lang w:val="fr-FR"/>
        </w:rPr>
        <w:t xml:space="preserve"> 2017).</w:t>
      </w:r>
    </w:p>
    <w:p w14:paraId="559F5F1E" w14:textId="77777777" w:rsidR="00BF0619" w:rsidRPr="00AF434B" w:rsidRDefault="00BF0619" w:rsidP="00BF0619">
      <w:pPr>
        <w:pStyle w:val="SingleTxtG"/>
        <w:rPr>
          <w:noProof/>
          <w:lang w:val="fr-FR"/>
        </w:rPr>
      </w:pPr>
      <w:r w:rsidRPr="00AF434B">
        <w:rPr>
          <w:noProof/>
          <w:lang w:val="fr-FR"/>
        </w:rPr>
        <w:t>208.</w:t>
      </w:r>
      <w:r w:rsidRPr="00AF434B">
        <w:rPr>
          <w:noProof/>
          <w:lang w:val="fr-FR"/>
        </w:rPr>
        <w:tab/>
      </w:r>
      <w:r>
        <w:rPr>
          <w:noProof/>
          <w:lang w:val="fr-FR"/>
        </w:rPr>
        <w:t xml:space="preserve">En ce qui concerne la </w:t>
      </w:r>
      <w:r w:rsidRPr="00AF434B">
        <w:rPr>
          <w:noProof/>
          <w:lang w:val="fr-FR"/>
        </w:rPr>
        <w:t>pr</w:t>
      </w:r>
      <w:r>
        <w:rPr>
          <w:noProof/>
          <w:lang w:val="fr-FR"/>
        </w:rPr>
        <w:t>é</w:t>
      </w:r>
      <w:r w:rsidRPr="00AF434B">
        <w:rPr>
          <w:noProof/>
          <w:lang w:val="fr-FR"/>
        </w:rPr>
        <w:t xml:space="preserve">vention </w:t>
      </w:r>
      <w:r>
        <w:rPr>
          <w:noProof/>
          <w:lang w:val="fr-FR"/>
        </w:rPr>
        <w:t xml:space="preserve">et le traitement des </w:t>
      </w:r>
      <w:r w:rsidRPr="00AF434B">
        <w:rPr>
          <w:noProof/>
          <w:lang w:val="fr-FR"/>
        </w:rPr>
        <w:t xml:space="preserve">infections </w:t>
      </w:r>
      <w:r>
        <w:rPr>
          <w:noProof/>
          <w:lang w:val="fr-FR"/>
        </w:rPr>
        <w:t xml:space="preserve">à </w:t>
      </w:r>
      <w:r w:rsidRPr="00AF434B">
        <w:rPr>
          <w:noProof/>
          <w:lang w:val="fr-FR"/>
        </w:rPr>
        <w:t xml:space="preserve">HIV </w:t>
      </w:r>
      <w:r>
        <w:rPr>
          <w:noProof/>
          <w:lang w:val="fr-FR"/>
        </w:rPr>
        <w:t>et de l’</w:t>
      </w:r>
      <w:r w:rsidRPr="00AF434B">
        <w:rPr>
          <w:noProof/>
          <w:lang w:val="fr-FR"/>
        </w:rPr>
        <w:t>h</w:t>
      </w:r>
      <w:r>
        <w:rPr>
          <w:noProof/>
          <w:lang w:val="fr-FR"/>
        </w:rPr>
        <w:t>é</w:t>
      </w:r>
      <w:r w:rsidRPr="00AF434B">
        <w:rPr>
          <w:noProof/>
          <w:lang w:val="fr-FR"/>
        </w:rPr>
        <w:t>patit</w:t>
      </w:r>
      <w:r>
        <w:rPr>
          <w:noProof/>
          <w:lang w:val="fr-FR"/>
        </w:rPr>
        <w:t>e parmi la population carcérale</w:t>
      </w:r>
      <w:r w:rsidRPr="00AF434B">
        <w:rPr>
          <w:noProof/>
          <w:lang w:val="fr-FR"/>
        </w:rPr>
        <w:t xml:space="preserve">, </w:t>
      </w:r>
      <w:r>
        <w:rPr>
          <w:noProof/>
          <w:lang w:val="fr-FR"/>
        </w:rPr>
        <w:t>le projet intitulé « É</w:t>
      </w:r>
      <w:r w:rsidRPr="00AF434B">
        <w:rPr>
          <w:noProof/>
          <w:lang w:val="fr-FR"/>
        </w:rPr>
        <w:t>liminati</w:t>
      </w:r>
      <w:r>
        <w:rPr>
          <w:noProof/>
          <w:lang w:val="fr-FR"/>
        </w:rPr>
        <w:t>on de l’hé</w:t>
      </w:r>
      <w:r w:rsidRPr="00AF434B">
        <w:rPr>
          <w:noProof/>
          <w:lang w:val="fr-FR"/>
        </w:rPr>
        <w:t>patit</w:t>
      </w:r>
      <w:r>
        <w:rPr>
          <w:noProof/>
          <w:lang w:val="fr-FR"/>
        </w:rPr>
        <w:t>e</w:t>
      </w:r>
      <w:r w:rsidRPr="00AF434B">
        <w:rPr>
          <w:noProof/>
          <w:lang w:val="fr-FR"/>
        </w:rPr>
        <w:t xml:space="preserve"> C </w:t>
      </w:r>
      <w:r>
        <w:rPr>
          <w:noProof/>
          <w:lang w:val="fr-FR"/>
        </w:rPr>
        <w:t xml:space="preserve">dans les prisons d’ici à </w:t>
      </w:r>
      <w:r w:rsidRPr="00AF434B">
        <w:rPr>
          <w:noProof/>
          <w:lang w:val="fr-FR"/>
        </w:rPr>
        <w:t>2020</w:t>
      </w:r>
      <w:r>
        <w:rPr>
          <w:noProof/>
          <w:lang w:val="fr-FR"/>
        </w:rPr>
        <w:t> » a donné lieu à la signature de</w:t>
      </w:r>
      <w:r w:rsidRPr="00AF434B">
        <w:rPr>
          <w:noProof/>
          <w:lang w:val="fr-FR"/>
        </w:rPr>
        <w:t xml:space="preserve"> protocol</w:t>
      </w:r>
      <w:r>
        <w:rPr>
          <w:noProof/>
          <w:lang w:val="fr-FR"/>
        </w:rPr>
        <w:t>e</w:t>
      </w:r>
      <w:r w:rsidRPr="00AF434B">
        <w:rPr>
          <w:noProof/>
          <w:lang w:val="fr-FR"/>
        </w:rPr>
        <w:t xml:space="preserve">s </w:t>
      </w:r>
      <w:r>
        <w:rPr>
          <w:noProof/>
          <w:lang w:val="fr-FR"/>
        </w:rPr>
        <w:t>entre les 45</w:t>
      </w:r>
      <w:r w:rsidR="002C1A37">
        <w:rPr>
          <w:noProof/>
          <w:lang w:val="fr-FR"/>
        </w:rPr>
        <w:t> </w:t>
      </w:r>
      <w:r>
        <w:rPr>
          <w:noProof/>
          <w:lang w:val="fr-FR"/>
        </w:rPr>
        <w:t>établissements pénitentiaires du pays et les 26 hôpitaux</w:t>
      </w:r>
      <w:r w:rsidRPr="00AF434B">
        <w:rPr>
          <w:noProof/>
          <w:lang w:val="fr-FR"/>
        </w:rPr>
        <w:t>/</w:t>
      </w:r>
      <w:r>
        <w:rPr>
          <w:noProof/>
          <w:lang w:val="fr-FR"/>
        </w:rPr>
        <w:t>unités locales de santé</w:t>
      </w:r>
      <w:r w:rsidRPr="00AF434B">
        <w:rPr>
          <w:noProof/>
          <w:lang w:val="fr-FR"/>
        </w:rPr>
        <w:t>/</w:t>
      </w:r>
      <w:r>
        <w:rPr>
          <w:noProof/>
          <w:lang w:val="fr-FR"/>
        </w:rPr>
        <w:t xml:space="preserve">hôpitaux de </w:t>
      </w:r>
      <w:r w:rsidRPr="00AF434B">
        <w:rPr>
          <w:noProof/>
          <w:lang w:val="fr-FR"/>
        </w:rPr>
        <w:t>r</w:t>
      </w:r>
      <w:r>
        <w:rPr>
          <w:noProof/>
          <w:lang w:val="fr-FR"/>
        </w:rPr>
        <w:t>é</w:t>
      </w:r>
      <w:r w:rsidRPr="00AF434B">
        <w:rPr>
          <w:noProof/>
          <w:lang w:val="fr-FR"/>
        </w:rPr>
        <w:t>f</w:t>
      </w:r>
      <w:r>
        <w:rPr>
          <w:noProof/>
          <w:lang w:val="fr-FR"/>
        </w:rPr>
        <w:t>é</w:t>
      </w:r>
      <w:r w:rsidRPr="00AF434B">
        <w:rPr>
          <w:noProof/>
          <w:lang w:val="fr-FR"/>
        </w:rPr>
        <w:t>rence</w:t>
      </w:r>
      <w:r>
        <w:rPr>
          <w:noProof/>
          <w:lang w:val="fr-FR"/>
        </w:rPr>
        <w:t xml:space="preserve"> correspondants, en application de l’ordonnance conjointe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sidRPr="00AF434B">
        <w:rPr>
          <w:noProof/>
          <w:lang w:val="fr-FR"/>
        </w:rPr>
        <w:t>283/2018</w:t>
      </w:r>
      <w:r>
        <w:rPr>
          <w:noProof/>
          <w:lang w:val="fr-FR"/>
        </w:rPr>
        <w:t xml:space="preserve"> du Secrétaire d’État adjoint à la justice et du</w:t>
      </w:r>
      <w:r w:rsidRPr="00054938">
        <w:rPr>
          <w:noProof/>
          <w:lang w:val="fr-FR"/>
        </w:rPr>
        <w:t xml:space="preserve"> </w:t>
      </w:r>
      <w:r>
        <w:rPr>
          <w:noProof/>
          <w:lang w:val="fr-FR"/>
        </w:rPr>
        <w:t>Secrétaire d’État adjoint à la santé, qui a mis sur pied le réseau de services de soins de santé à la population carcérale, afin d’organiser le traitement de ces maladies en adressant les cas aux unités de santé du Service national de santé publique</w:t>
      </w:r>
      <w:r w:rsidRPr="00AF434B">
        <w:rPr>
          <w:noProof/>
          <w:lang w:val="fr-FR"/>
        </w:rPr>
        <w:t>.</w:t>
      </w:r>
    </w:p>
    <w:p w14:paraId="5E10F85C" w14:textId="77777777" w:rsidR="00BF0619" w:rsidRPr="00AF434B" w:rsidRDefault="00BF0619" w:rsidP="00BF0619">
      <w:pPr>
        <w:pStyle w:val="SingleTxtG"/>
        <w:rPr>
          <w:noProof/>
          <w:lang w:val="fr-FR"/>
        </w:rPr>
      </w:pPr>
      <w:r>
        <w:rPr>
          <w:noProof/>
          <w:lang w:val="fr-FR"/>
        </w:rPr>
        <w:t>209.</w:t>
      </w:r>
      <w:r>
        <w:rPr>
          <w:noProof/>
          <w:lang w:val="fr-FR"/>
        </w:rPr>
        <w:tab/>
        <w:t>En</w:t>
      </w:r>
      <w:r w:rsidRPr="00AF434B">
        <w:rPr>
          <w:noProof/>
          <w:lang w:val="fr-FR"/>
        </w:rPr>
        <w:t xml:space="preserve"> fa</w:t>
      </w:r>
      <w:r>
        <w:rPr>
          <w:noProof/>
          <w:lang w:val="fr-FR"/>
        </w:rPr>
        <w:t>i</w:t>
      </w:r>
      <w:r w:rsidRPr="00AF434B">
        <w:rPr>
          <w:noProof/>
          <w:lang w:val="fr-FR"/>
        </w:rPr>
        <w:t xml:space="preserve">t, </w:t>
      </w:r>
      <w:r>
        <w:rPr>
          <w:noProof/>
          <w:lang w:val="fr-FR"/>
        </w:rPr>
        <w:t xml:space="preserve">la lutte contre les </w:t>
      </w:r>
      <w:r w:rsidRPr="00AF434B">
        <w:rPr>
          <w:noProof/>
          <w:lang w:val="fr-FR"/>
        </w:rPr>
        <w:t xml:space="preserve">infections </w:t>
      </w:r>
      <w:r>
        <w:rPr>
          <w:noProof/>
          <w:lang w:val="fr-FR"/>
        </w:rPr>
        <w:t>à</w:t>
      </w:r>
      <w:r w:rsidRPr="00AF434B">
        <w:rPr>
          <w:noProof/>
          <w:lang w:val="fr-FR"/>
        </w:rPr>
        <w:t xml:space="preserve"> HIV </w:t>
      </w:r>
      <w:r>
        <w:rPr>
          <w:noProof/>
          <w:lang w:val="fr-FR"/>
        </w:rPr>
        <w:t xml:space="preserve">et l’hépatite virale est un problème de santé publique qui est considéré comme une priorité à l’échelle mondiale et pour lequel la détection et le traitement revêtent une importance particulière. Ces </w:t>
      </w:r>
      <w:r w:rsidRPr="00AF434B">
        <w:rPr>
          <w:noProof/>
          <w:lang w:val="fr-FR"/>
        </w:rPr>
        <w:t xml:space="preserve">infections </w:t>
      </w:r>
      <w:r>
        <w:rPr>
          <w:noProof/>
          <w:lang w:val="fr-FR"/>
        </w:rPr>
        <w:t>sont plus présentes parmi la population carcérale</w:t>
      </w:r>
      <w:r w:rsidRPr="00AF434B">
        <w:rPr>
          <w:noProof/>
          <w:lang w:val="fr-FR"/>
        </w:rPr>
        <w:t xml:space="preserve">. </w:t>
      </w:r>
      <w:r>
        <w:rPr>
          <w:noProof/>
          <w:lang w:val="fr-FR"/>
        </w:rPr>
        <w:t>Étant donné que les</w:t>
      </w:r>
      <w:r w:rsidRPr="00AF434B">
        <w:rPr>
          <w:noProof/>
          <w:lang w:val="fr-FR"/>
        </w:rPr>
        <w:t xml:space="preserve"> proc</w:t>
      </w:r>
      <w:r>
        <w:rPr>
          <w:noProof/>
          <w:lang w:val="fr-FR"/>
        </w:rPr>
        <w:t>é</w:t>
      </w:r>
      <w:r w:rsidRPr="00AF434B">
        <w:rPr>
          <w:noProof/>
          <w:lang w:val="fr-FR"/>
        </w:rPr>
        <w:t xml:space="preserve">dures </w:t>
      </w:r>
      <w:r>
        <w:rPr>
          <w:noProof/>
          <w:lang w:val="fr-FR"/>
        </w:rPr>
        <w:t>de sécurité qui doivent être suivies chaque fois qu’un détenu quitte la prison créent souvent des obstacles à l’observation clinique et que, à l’inverse, si l’observation clinique a lieu à l’intérieur de la prison, on peut se passer de ces procédures, les initiatives susmentionnées visent à rationaliser l’organisation du temps et l’utilisation des ressources humaines et matérielles, ce qui a des effets bénéfiques directs sur les plans humain et économique</w:t>
      </w:r>
      <w:r w:rsidR="002C1A37">
        <w:rPr>
          <w:noProof/>
          <w:lang w:val="fr-FR"/>
        </w:rPr>
        <w:t> :</w:t>
      </w:r>
    </w:p>
    <w:p w14:paraId="4C14C1EE"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Coopération avec un </w:t>
      </w:r>
      <w:r w:rsidRPr="00AF434B">
        <w:rPr>
          <w:noProof/>
          <w:lang w:val="fr-FR"/>
        </w:rPr>
        <w:t>repr</w:t>
      </w:r>
      <w:r>
        <w:rPr>
          <w:noProof/>
          <w:lang w:val="fr-FR"/>
        </w:rPr>
        <w:t>é</w:t>
      </w:r>
      <w:r w:rsidRPr="00AF434B">
        <w:rPr>
          <w:noProof/>
          <w:lang w:val="fr-FR"/>
        </w:rPr>
        <w:t>senta</w:t>
      </w:r>
      <w:r>
        <w:rPr>
          <w:noProof/>
          <w:lang w:val="fr-FR"/>
        </w:rPr>
        <w:t xml:space="preserve">nt de la </w:t>
      </w:r>
      <w:r w:rsidRPr="00AF434B">
        <w:rPr>
          <w:noProof/>
          <w:lang w:val="fr-FR"/>
        </w:rPr>
        <w:t xml:space="preserve">Coordination </w:t>
      </w:r>
      <w:r>
        <w:rPr>
          <w:noProof/>
          <w:lang w:val="fr-FR"/>
        </w:rPr>
        <w:t>nationale des soins de santé primaires au sujet des solutions flexibles à trouver pour répondre aux besoins de la population carcérale en matière de soins de santé primaires</w:t>
      </w:r>
      <w:r w:rsidR="002C1A37">
        <w:rPr>
          <w:noProof/>
          <w:lang w:val="fr-FR"/>
        </w:rPr>
        <w:t> ;</w:t>
      </w:r>
    </w:p>
    <w:p w14:paraId="53609F8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Rôle du Programme n</w:t>
      </w:r>
      <w:r w:rsidRPr="00AF434B">
        <w:rPr>
          <w:noProof/>
          <w:lang w:val="fr-FR"/>
        </w:rPr>
        <w:t xml:space="preserve">ational </w:t>
      </w:r>
      <w:r>
        <w:rPr>
          <w:noProof/>
          <w:lang w:val="fr-FR"/>
        </w:rPr>
        <w:t>de santé mentale</w:t>
      </w:r>
      <w:r w:rsidRPr="00AF434B">
        <w:rPr>
          <w:noProof/>
          <w:lang w:val="fr-FR"/>
        </w:rPr>
        <w:t xml:space="preserve">, </w:t>
      </w:r>
      <w:r>
        <w:rPr>
          <w:noProof/>
          <w:lang w:val="fr-FR"/>
        </w:rPr>
        <w:t>l’objectif étant de formuler une stratégie permettant d’améliorer l’accès de la population carcérale aux soins de santé mentale, la priorité étant donnée aux jeunes isolés dans six centres de rééducation pour jeunes délinquants</w:t>
      </w:r>
      <w:r w:rsidRPr="00AF434B">
        <w:rPr>
          <w:noProof/>
          <w:lang w:val="fr-FR"/>
        </w:rPr>
        <w:t xml:space="preserve">. </w:t>
      </w:r>
      <w:r>
        <w:rPr>
          <w:noProof/>
          <w:lang w:val="fr-FR"/>
        </w:rPr>
        <w:t>À ce niveau, une rencontre a également été organisée avec les hôpitaux dont les services de psychiatrie de l’enfant appuient ce groupe particulier de la population carcérale</w:t>
      </w:r>
      <w:r w:rsidR="002C1A37">
        <w:rPr>
          <w:noProof/>
          <w:lang w:val="fr-FR"/>
        </w:rPr>
        <w:t> ;</w:t>
      </w:r>
    </w:p>
    <w:p w14:paraId="3CD3DBC0"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Sensibiliser, de concert avec la </w:t>
      </w:r>
      <w:r w:rsidRPr="00AF434B">
        <w:rPr>
          <w:noProof/>
          <w:lang w:val="fr-FR"/>
        </w:rPr>
        <w:t xml:space="preserve">Coordination </w:t>
      </w:r>
      <w:r>
        <w:rPr>
          <w:noProof/>
          <w:lang w:val="fr-FR"/>
        </w:rPr>
        <w:t>du Plan national de la santé</w:t>
      </w:r>
      <w:r w:rsidRPr="00AF434B">
        <w:rPr>
          <w:noProof/>
          <w:lang w:val="fr-FR"/>
        </w:rPr>
        <w:t xml:space="preserve">, </w:t>
      </w:r>
      <w:r>
        <w:rPr>
          <w:noProof/>
          <w:lang w:val="fr-FR"/>
        </w:rPr>
        <w:t>à la nécessité de faire en sorte que le thème « La santé en prison » soit clairement et systématiquement, et à titre prioritaire, inscrit au programme du Plan national de la santé</w:t>
      </w:r>
      <w:r w:rsidR="002C1A37">
        <w:rPr>
          <w:noProof/>
          <w:lang w:val="fr-FR"/>
        </w:rPr>
        <w:t> ;</w:t>
      </w:r>
    </w:p>
    <w:p w14:paraId="26A21DF5"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Pré</w:t>
      </w:r>
      <w:r w:rsidRPr="00AF434B">
        <w:rPr>
          <w:noProof/>
          <w:lang w:val="fr-FR"/>
        </w:rPr>
        <w:t>par</w:t>
      </w:r>
      <w:r>
        <w:rPr>
          <w:noProof/>
          <w:lang w:val="fr-FR"/>
        </w:rPr>
        <w:t>er une proposition</w:t>
      </w:r>
      <w:r w:rsidRPr="00AF434B">
        <w:rPr>
          <w:noProof/>
          <w:lang w:val="fr-FR"/>
        </w:rPr>
        <w:t>, coord</w:t>
      </w:r>
      <w:r>
        <w:rPr>
          <w:noProof/>
          <w:lang w:val="fr-FR"/>
        </w:rPr>
        <w:t xml:space="preserve">onnée par la </w:t>
      </w:r>
      <w:r w:rsidRPr="00AF434B">
        <w:rPr>
          <w:noProof/>
          <w:lang w:val="fr-FR"/>
        </w:rPr>
        <w:t>Direct</w:t>
      </w:r>
      <w:r>
        <w:rPr>
          <w:noProof/>
          <w:lang w:val="fr-FR"/>
        </w:rPr>
        <w:t xml:space="preserve">ion générale de la santé agissant en coopération avec la </w:t>
      </w:r>
      <w:r w:rsidRPr="00812F06">
        <w:rPr>
          <w:noProof/>
          <w:lang w:val="fr-FR"/>
        </w:rPr>
        <w:t>Direction générale des services pénitentiaires et de la réinsertion</w:t>
      </w:r>
      <w:r w:rsidRPr="00AF434B">
        <w:rPr>
          <w:noProof/>
          <w:lang w:val="fr-FR"/>
        </w:rPr>
        <w:t xml:space="preserve"> </w:t>
      </w:r>
      <w:r>
        <w:rPr>
          <w:noProof/>
          <w:lang w:val="fr-FR"/>
        </w:rPr>
        <w:t>et l’Ordre des dentistes, visant à améliorer l’accès des détenus à la santé bucco-dentaire</w:t>
      </w:r>
      <w:r w:rsidR="002C1A37">
        <w:rPr>
          <w:noProof/>
          <w:lang w:val="fr-FR"/>
        </w:rPr>
        <w:t> ;</w:t>
      </w:r>
    </w:p>
    <w:p w14:paraId="3464053D"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 xml:space="preserve">Mobilisation des services partagés du Ministère de la santé et de la </w:t>
      </w:r>
      <w:r w:rsidRPr="00812F06">
        <w:rPr>
          <w:noProof/>
          <w:lang w:val="fr-FR"/>
        </w:rPr>
        <w:t>Direction générale des services pénitentiaires et de la réinsertion</w:t>
      </w:r>
      <w:r w:rsidRPr="00AF434B">
        <w:rPr>
          <w:noProof/>
          <w:lang w:val="fr-FR"/>
        </w:rPr>
        <w:t xml:space="preserve"> </w:t>
      </w:r>
      <w:r>
        <w:rPr>
          <w:noProof/>
          <w:lang w:val="fr-FR"/>
        </w:rPr>
        <w:t>en vue de garantir l’accès à distance, en milieu carcéral, aux systèmes d’information du Service national de santé publique</w:t>
      </w:r>
      <w:r w:rsidRPr="00AF434B">
        <w:rPr>
          <w:noProof/>
          <w:lang w:val="fr-FR"/>
        </w:rPr>
        <w:t>.</w:t>
      </w:r>
    </w:p>
    <w:p w14:paraId="7C29C8B4" w14:textId="77777777" w:rsidR="00BF0619" w:rsidRPr="00AF434B" w:rsidRDefault="00BF0619" w:rsidP="00BF0619">
      <w:pPr>
        <w:pStyle w:val="SingleTxtG"/>
        <w:rPr>
          <w:noProof/>
          <w:lang w:val="fr-FR"/>
        </w:rPr>
      </w:pPr>
      <w:r>
        <w:rPr>
          <w:noProof/>
          <w:lang w:val="fr-FR"/>
        </w:rPr>
        <w:t>210.</w:t>
      </w:r>
      <w:r>
        <w:rPr>
          <w:noProof/>
          <w:lang w:val="fr-FR"/>
        </w:rPr>
        <w:tab/>
        <w:t>E</w:t>
      </w:r>
      <w:r w:rsidRPr="00AF434B">
        <w:rPr>
          <w:noProof/>
          <w:lang w:val="fr-FR"/>
        </w:rPr>
        <w:t xml:space="preserve">n </w:t>
      </w:r>
      <w:r>
        <w:rPr>
          <w:noProof/>
          <w:lang w:val="fr-FR"/>
        </w:rPr>
        <w:t>outre</w:t>
      </w:r>
      <w:r w:rsidRPr="00AF434B">
        <w:rPr>
          <w:noProof/>
          <w:lang w:val="fr-FR"/>
        </w:rPr>
        <w:t>, i</w:t>
      </w:r>
      <w:r>
        <w:rPr>
          <w:noProof/>
          <w:lang w:val="fr-FR"/>
        </w:rPr>
        <w:t xml:space="preserve">l y a lieu de mentionner la signature, en janvier </w:t>
      </w:r>
      <w:r w:rsidRPr="00AF434B">
        <w:rPr>
          <w:noProof/>
          <w:lang w:val="fr-FR"/>
        </w:rPr>
        <w:t xml:space="preserve">2017, </w:t>
      </w:r>
      <w:r>
        <w:rPr>
          <w:noProof/>
          <w:lang w:val="fr-FR"/>
        </w:rPr>
        <w:t xml:space="preserve">d’un </w:t>
      </w:r>
      <w:r w:rsidRPr="00AF434B">
        <w:rPr>
          <w:noProof/>
          <w:lang w:val="fr-FR"/>
        </w:rPr>
        <w:t>protocol</w:t>
      </w:r>
      <w:r>
        <w:rPr>
          <w:noProof/>
          <w:lang w:val="fr-FR"/>
        </w:rPr>
        <w:t>e</w:t>
      </w:r>
      <w:r w:rsidRPr="00AF434B">
        <w:rPr>
          <w:noProof/>
          <w:lang w:val="fr-FR"/>
        </w:rPr>
        <w:t xml:space="preserve"> </w:t>
      </w:r>
      <w:r>
        <w:rPr>
          <w:noProof/>
          <w:lang w:val="fr-FR"/>
        </w:rPr>
        <w:t xml:space="preserve">entre la </w:t>
      </w:r>
      <w:r w:rsidRPr="00812F06">
        <w:rPr>
          <w:noProof/>
          <w:lang w:val="fr-FR"/>
        </w:rPr>
        <w:t>Direction générale des services pénitentiaires et de la réinsertion</w:t>
      </w:r>
      <w:r w:rsidRPr="00AF434B">
        <w:rPr>
          <w:noProof/>
          <w:lang w:val="fr-FR"/>
        </w:rPr>
        <w:t xml:space="preserve"> </w:t>
      </w:r>
      <w:r>
        <w:rPr>
          <w:noProof/>
          <w:lang w:val="fr-FR"/>
        </w:rPr>
        <w:t xml:space="preserve">et le Centre hospitalier </w:t>
      </w:r>
      <w:r w:rsidRPr="00AF434B">
        <w:rPr>
          <w:noProof/>
          <w:lang w:val="fr-FR"/>
        </w:rPr>
        <w:t xml:space="preserve">São João </w:t>
      </w:r>
      <w:r>
        <w:rPr>
          <w:noProof/>
          <w:lang w:val="fr-FR"/>
        </w:rPr>
        <w:t>de g</w:t>
      </w:r>
      <w:r w:rsidRPr="00AF434B">
        <w:rPr>
          <w:noProof/>
          <w:lang w:val="fr-FR"/>
        </w:rPr>
        <w:t>astroent</w:t>
      </w:r>
      <w:r>
        <w:rPr>
          <w:noProof/>
          <w:lang w:val="fr-FR"/>
        </w:rPr>
        <w:t>é</w:t>
      </w:r>
      <w:r w:rsidRPr="00AF434B">
        <w:rPr>
          <w:noProof/>
          <w:lang w:val="fr-FR"/>
        </w:rPr>
        <w:t>rolog</w:t>
      </w:r>
      <w:r>
        <w:rPr>
          <w:noProof/>
          <w:lang w:val="fr-FR"/>
        </w:rPr>
        <w:t>ie</w:t>
      </w:r>
      <w:r w:rsidRPr="00AF434B">
        <w:rPr>
          <w:noProof/>
          <w:lang w:val="fr-FR"/>
        </w:rPr>
        <w:t>/</w:t>
      </w:r>
      <w:r>
        <w:rPr>
          <w:noProof/>
          <w:lang w:val="fr-FR"/>
        </w:rPr>
        <w:t>hé</w:t>
      </w:r>
      <w:r w:rsidRPr="00AF434B">
        <w:rPr>
          <w:noProof/>
          <w:lang w:val="fr-FR"/>
        </w:rPr>
        <w:t>patolog</w:t>
      </w:r>
      <w:r>
        <w:rPr>
          <w:noProof/>
          <w:lang w:val="fr-FR"/>
        </w:rPr>
        <w:t>ie en vue de faire subir des examens médicaux aux détenus atteints d’hé</w:t>
      </w:r>
      <w:r w:rsidRPr="00AF434B">
        <w:rPr>
          <w:noProof/>
          <w:lang w:val="fr-FR"/>
        </w:rPr>
        <w:t>patit</w:t>
      </w:r>
      <w:r>
        <w:rPr>
          <w:noProof/>
          <w:lang w:val="fr-FR"/>
        </w:rPr>
        <w:t>e</w:t>
      </w:r>
      <w:r w:rsidRPr="00AF434B">
        <w:rPr>
          <w:noProof/>
          <w:lang w:val="fr-FR"/>
        </w:rPr>
        <w:t xml:space="preserve"> C </w:t>
      </w:r>
      <w:r>
        <w:rPr>
          <w:noProof/>
          <w:lang w:val="fr-FR"/>
        </w:rPr>
        <w:t>dans la prison de P</w:t>
      </w:r>
      <w:r w:rsidRPr="00AF434B">
        <w:rPr>
          <w:noProof/>
          <w:lang w:val="fr-FR"/>
        </w:rPr>
        <w:t xml:space="preserve">orto. </w:t>
      </w:r>
      <w:r>
        <w:rPr>
          <w:noProof/>
          <w:lang w:val="fr-FR"/>
        </w:rPr>
        <w:t>E</w:t>
      </w:r>
      <w:r w:rsidRPr="00AF434B">
        <w:rPr>
          <w:noProof/>
          <w:lang w:val="fr-FR"/>
        </w:rPr>
        <w:t xml:space="preserve">n </w:t>
      </w:r>
      <w:r>
        <w:rPr>
          <w:noProof/>
          <w:lang w:val="fr-FR"/>
        </w:rPr>
        <w:t xml:space="preserve">mars </w:t>
      </w:r>
      <w:r w:rsidRPr="00AF434B">
        <w:rPr>
          <w:noProof/>
          <w:lang w:val="fr-FR"/>
        </w:rPr>
        <w:t xml:space="preserve">2017, </w:t>
      </w:r>
      <w:r>
        <w:rPr>
          <w:noProof/>
          <w:lang w:val="fr-FR"/>
        </w:rPr>
        <w:t>ce protocole a été étendu à la p</w:t>
      </w:r>
      <w:r w:rsidRPr="00AF434B">
        <w:rPr>
          <w:noProof/>
          <w:lang w:val="fr-FR"/>
        </w:rPr>
        <w:t xml:space="preserve">rison </w:t>
      </w:r>
      <w:r>
        <w:rPr>
          <w:noProof/>
          <w:lang w:val="fr-FR"/>
        </w:rPr>
        <w:t xml:space="preserve">de </w:t>
      </w:r>
      <w:r w:rsidRPr="00AF434B">
        <w:rPr>
          <w:noProof/>
          <w:lang w:val="fr-FR"/>
        </w:rPr>
        <w:t>Santa Cruz do Bispo (</w:t>
      </w:r>
      <w:r>
        <w:rPr>
          <w:noProof/>
          <w:lang w:val="fr-FR"/>
        </w:rPr>
        <w:t>pour femmes</w:t>
      </w:r>
      <w:r w:rsidRPr="00AF434B">
        <w:rPr>
          <w:noProof/>
          <w:lang w:val="fr-FR"/>
        </w:rPr>
        <w:t xml:space="preserve">). </w:t>
      </w:r>
      <w:r>
        <w:rPr>
          <w:noProof/>
          <w:lang w:val="fr-FR"/>
        </w:rPr>
        <w:t xml:space="preserve">Depuis, les spécialistes du Centre hospitalier </w:t>
      </w:r>
      <w:r w:rsidRPr="00AF434B">
        <w:rPr>
          <w:noProof/>
          <w:lang w:val="fr-FR"/>
        </w:rPr>
        <w:t xml:space="preserve">São João do Porto </w:t>
      </w:r>
      <w:r>
        <w:rPr>
          <w:noProof/>
          <w:lang w:val="fr-FR"/>
        </w:rPr>
        <w:t>ont commencé d’effectué des visites dans ces prisons pour donner des consultations spécialisées aux détenus</w:t>
      </w:r>
      <w:r w:rsidRPr="00AF434B">
        <w:rPr>
          <w:noProof/>
          <w:lang w:val="fr-FR"/>
        </w:rPr>
        <w:t>.</w:t>
      </w:r>
    </w:p>
    <w:p w14:paraId="6A058F88" w14:textId="77777777" w:rsidR="00BF0619" w:rsidRPr="00AF434B" w:rsidRDefault="00BF0619" w:rsidP="00BF0619">
      <w:pPr>
        <w:pStyle w:val="SingleTxtG"/>
        <w:rPr>
          <w:noProof/>
          <w:lang w:val="fr-FR"/>
        </w:rPr>
      </w:pPr>
      <w:r>
        <w:rPr>
          <w:noProof/>
          <w:lang w:val="fr-FR"/>
        </w:rPr>
        <w:t>211.</w:t>
      </w:r>
      <w:r>
        <w:rPr>
          <w:noProof/>
          <w:lang w:val="fr-FR"/>
        </w:rPr>
        <w:tab/>
        <w:t>E</w:t>
      </w:r>
      <w:r w:rsidRPr="00AF434B">
        <w:rPr>
          <w:noProof/>
          <w:lang w:val="fr-FR"/>
        </w:rPr>
        <w:t xml:space="preserve">n conclusion, </w:t>
      </w:r>
      <w:r>
        <w:rPr>
          <w:noProof/>
          <w:lang w:val="fr-FR"/>
        </w:rPr>
        <w:t xml:space="preserve">les </w:t>
      </w:r>
      <w:r w:rsidRPr="00AF434B">
        <w:rPr>
          <w:noProof/>
          <w:lang w:val="fr-FR"/>
        </w:rPr>
        <w:t xml:space="preserve">conditions </w:t>
      </w:r>
      <w:r>
        <w:rPr>
          <w:noProof/>
          <w:lang w:val="fr-FR"/>
        </w:rPr>
        <w:t>d’accès aux consultations médicales pour l’infection à VIH et l’hépatite virale ont été mises en place pour tous les détenus</w:t>
      </w:r>
      <w:r w:rsidRPr="00AF434B">
        <w:rPr>
          <w:noProof/>
          <w:lang w:val="fr-FR"/>
        </w:rPr>
        <w:t>.</w:t>
      </w:r>
    </w:p>
    <w:p w14:paraId="72605535" w14:textId="77777777" w:rsidR="00BF0619" w:rsidRPr="00AF434B" w:rsidRDefault="00BF0619" w:rsidP="00BF0619">
      <w:pPr>
        <w:pStyle w:val="H1G"/>
        <w:rPr>
          <w:noProof/>
          <w:lang w:val="fr-FR"/>
        </w:rPr>
      </w:pPr>
      <w:r w:rsidRPr="00AF434B">
        <w:rPr>
          <w:noProof/>
          <w:lang w:val="fr-FR"/>
        </w:rPr>
        <w:tab/>
      </w:r>
      <w:r w:rsidRPr="00AF434B">
        <w:rPr>
          <w:noProof/>
          <w:lang w:val="fr-FR"/>
        </w:rPr>
        <w:tab/>
        <w:t>Article</w:t>
      </w:r>
      <w:r w:rsidR="002C1A37">
        <w:rPr>
          <w:noProof/>
          <w:lang w:val="fr-FR"/>
        </w:rPr>
        <w:t> </w:t>
      </w:r>
      <w:r w:rsidRPr="00AF434B">
        <w:rPr>
          <w:noProof/>
          <w:lang w:val="fr-FR"/>
        </w:rPr>
        <w:t>8</w:t>
      </w:r>
    </w:p>
    <w:p w14:paraId="74B1B54E" w14:textId="77777777" w:rsidR="00BF0619" w:rsidRPr="00C15B17" w:rsidRDefault="00BF0619" w:rsidP="00BF0619">
      <w:pPr>
        <w:pStyle w:val="H23G"/>
        <w:rPr>
          <w:noProof/>
          <w:lang w:val="fr-FR"/>
        </w:rPr>
      </w:pPr>
      <w:r w:rsidRPr="00AF434B">
        <w:rPr>
          <w:noProof/>
          <w:lang w:val="fr-FR"/>
        </w:rPr>
        <w:tab/>
      </w:r>
      <w:r w:rsidRPr="00AF434B">
        <w:rPr>
          <w:noProof/>
          <w:lang w:val="fr-FR"/>
        </w:rPr>
        <w:tab/>
      </w:r>
      <w:r w:rsidRPr="00C15B17">
        <w:rPr>
          <w:noProof/>
          <w:lang w:val="fr-FR"/>
        </w:rPr>
        <w:t>Le Comité est préoccupé par le fait que l’État partie continue d’être un lieu de destination, de transit et d’origine pour les femmes, les hommes et les enfants victimes</w:t>
      </w:r>
      <w:r w:rsidR="002C1A37">
        <w:rPr>
          <w:noProof/>
          <w:lang w:val="fr-FR"/>
        </w:rPr>
        <w:t> </w:t>
      </w:r>
      <w:r w:rsidRPr="00C15B17">
        <w:rPr>
          <w:noProof/>
          <w:lang w:val="fr-FR"/>
        </w:rPr>
        <w:t>de la traite à des fins d’exploitation sexuelle et de travail forcé. Il note avec préoccupation que l’article 160 du Code pénal donne une définition trop générale de</w:t>
      </w:r>
      <w:r w:rsidR="002C1A37">
        <w:rPr>
          <w:noProof/>
          <w:lang w:val="fr-FR"/>
        </w:rPr>
        <w:t> </w:t>
      </w:r>
      <w:r w:rsidRPr="00C15B17">
        <w:rPr>
          <w:noProof/>
          <w:lang w:val="fr-FR"/>
        </w:rPr>
        <w:t>la traite incluant des infractions de moindre gravité, ce qui rend difficile l’évaluation des poursuites engagées contre les trafiquants et des condamnations et</w:t>
      </w:r>
      <w:r w:rsidR="002C1A37">
        <w:rPr>
          <w:noProof/>
          <w:lang w:val="fr-FR"/>
        </w:rPr>
        <w:t> </w:t>
      </w:r>
      <w:r w:rsidRPr="00C15B17">
        <w:rPr>
          <w:noProof/>
          <w:lang w:val="fr-FR"/>
        </w:rPr>
        <w:t xml:space="preserve">des peines prononcées  </w:t>
      </w:r>
    </w:p>
    <w:p w14:paraId="608576A2" w14:textId="77777777" w:rsidR="00BF0619" w:rsidRPr="00AF434B" w:rsidRDefault="00BF0619" w:rsidP="00BF0619">
      <w:pPr>
        <w:pStyle w:val="SingleTxtG"/>
        <w:rPr>
          <w:noProof/>
          <w:lang w:val="fr-FR"/>
        </w:rPr>
      </w:pPr>
      <w:r w:rsidRPr="00AF434B">
        <w:rPr>
          <w:noProof/>
          <w:lang w:val="fr-FR"/>
        </w:rPr>
        <w:t>212.</w:t>
      </w:r>
      <w:r w:rsidRPr="00AF434B">
        <w:rPr>
          <w:noProof/>
          <w:lang w:val="fr-FR"/>
        </w:rPr>
        <w:tab/>
      </w:r>
      <w:r>
        <w:rPr>
          <w:noProof/>
          <w:lang w:val="fr-FR"/>
        </w:rPr>
        <w:t>L’a</w:t>
      </w:r>
      <w:r w:rsidRPr="00AF434B">
        <w:rPr>
          <w:noProof/>
          <w:lang w:val="fr-FR"/>
        </w:rPr>
        <w:t>rticle</w:t>
      </w:r>
      <w:r w:rsidR="002C1A37">
        <w:rPr>
          <w:noProof/>
          <w:lang w:val="fr-FR"/>
        </w:rPr>
        <w:t> </w:t>
      </w:r>
      <w:r w:rsidRPr="00AF434B">
        <w:rPr>
          <w:noProof/>
          <w:lang w:val="fr-FR"/>
        </w:rPr>
        <w:t>160 (tra</w:t>
      </w:r>
      <w:r>
        <w:rPr>
          <w:noProof/>
          <w:lang w:val="fr-FR"/>
        </w:rPr>
        <w:t>ite des personnes</w:t>
      </w:r>
      <w:r w:rsidRPr="00AF434B">
        <w:rPr>
          <w:noProof/>
          <w:lang w:val="fr-FR"/>
        </w:rPr>
        <w:t xml:space="preserve">) </w:t>
      </w:r>
      <w:r>
        <w:rPr>
          <w:noProof/>
          <w:lang w:val="fr-FR"/>
        </w:rPr>
        <w:t xml:space="preserve">du Code pénal a été modifié par la loi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Pr>
          <w:noProof/>
          <w:lang w:val="fr-FR"/>
        </w:rPr>
        <w:t>60/2013</w:t>
      </w:r>
      <w:r w:rsidRPr="00AF434B">
        <w:rPr>
          <w:noProof/>
          <w:lang w:val="fr-FR"/>
        </w:rPr>
        <w:t xml:space="preserve"> </w:t>
      </w:r>
      <w:r>
        <w:rPr>
          <w:noProof/>
          <w:lang w:val="fr-FR"/>
        </w:rPr>
        <w:t xml:space="preserve">du </w:t>
      </w:r>
      <w:r w:rsidRPr="00AF434B">
        <w:rPr>
          <w:noProof/>
          <w:lang w:val="fr-FR"/>
        </w:rPr>
        <w:t>23</w:t>
      </w:r>
      <w:r w:rsidR="002C1A37">
        <w:rPr>
          <w:noProof/>
          <w:lang w:val="fr-FR"/>
        </w:rPr>
        <w:t> </w:t>
      </w:r>
      <w:r>
        <w:rPr>
          <w:noProof/>
          <w:lang w:val="fr-FR"/>
        </w:rPr>
        <w:t>août</w:t>
      </w:r>
      <w:r w:rsidRPr="00AF434B">
        <w:rPr>
          <w:noProof/>
          <w:lang w:val="fr-FR"/>
        </w:rPr>
        <w:t xml:space="preserve">. </w:t>
      </w:r>
      <w:r>
        <w:rPr>
          <w:noProof/>
          <w:lang w:val="fr-FR"/>
        </w:rPr>
        <w:t>La dé</w:t>
      </w:r>
      <w:r w:rsidRPr="00AF434B">
        <w:rPr>
          <w:noProof/>
          <w:lang w:val="fr-FR"/>
        </w:rPr>
        <w:t xml:space="preserve">finition </w:t>
      </w:r>
      <w:r>
        <w:rPr>
          <w:noProof/>
          <w:lang w:val="fr-FR"/>
        </w:rPr>
        <w:t>de l’infraction pénale pertinente englobe désormais le recrutement d’une personne</w:t>
      </w:r>
      <w:r w:rsidRPr="00AF434B">
        <w:rPr>
          <w:noProof/>
          <w:lang w:val="fr-FR"/>
        </w:rPr>
        <w:t xml:space="preserve">. </w:t>
      </w:r>
      <w:r>
        <w:rPr>
          <w:noProof/>
          <w:lang w:val="fr-FR"/>
        </w:rPr>
        <w:t>Il a également été clarifié que la traite s’entend de la commission des infractions visées aux fins de toute forme d’exploitation, notamment l’</w:t>
      </w:r>
      <w:r w:rsidRPr="00AF434B">
        <w:rPr>
          <w:noProof/>
          <w:lang w:val="fr-FR"/>
        </w:rPr>
        <w:t>exploitation</w:t>
      </w:r>
      <w:r>
        <w:rPr>
          <w:noProof/>
          <w:lang w:val="fr-FR"/>
        </w:rPr>
        <w:t xml:space="preserve"> sexuelle</w:t>
      </w:r>
      <w:r w:rsidRPr="00AF434B">
        <w:rPr>
          <w:noProof/>
          <w:lang w:val="fr-FR"/>
        </w:rPr>
        <w:t xml:space="preserve">, </w:t>
      </w:r>
      <w:r>
        <w:rPr>
          <w:noProof/>
          <w:lang w:val="fr-FR"/>
        </w:rPr>
        <w:t>l’</w:t>
      </w:r>
      <w:r w:rsidRPr="00AF434B">
        <w:rPr>
          <w:noProof/>
          <w:lang w:val="fr-FR"/>
        </w:rPr>
        <w:t>exploitation</w:t>
      </w:r>
      <w:r>
        <w:rPr>
          <w:noProof/>
          <w:lang w:val="fr-FR"/>
        </w:rPr>
        <w:t xml:space="preserve"> du travail</w:t>
      </w:r>
      <w:r w:rsidRPr="00AF434B">
        <w:rPr>
          <w:noProof/>
          <w:lang w:val="fr-FR"/>
        </w:rPr>
        <w:t xml:space="preserve">, </w:t>
      </w:r>
      <w:r>
        <w:rPr>
          <w:noProof/>
          <w:lang w:val="fr-FR"/>
        </w:rPr>
        <w:t>la mendicité</w:t>
      </w:r>
      <w:r w:rsidRPr="00AF434B">
        <w:rPr>
          <w:noProof/>
          <w:lang w:val="fr-FR"/>
        </w:rPr>
        <w:t xml:space="preserve">, </w:t>
      </w:r>
      <w:r>
        <w:rPr>
          <w:noProof/>
          <w:lang w:val="fr-FR"/>
        </w:rPr>
        <w:t>l’esclavage ou les pratiques analogues à l’esclavage</w:t>
      </w:r>
      <w:r w:rsidRPr="00AF434B">
        <w:rPr>
          <w:noProof/>
          <w:lang w:val="fr-FR"/>
        </w:rPr>
        <w:t xml:space="preserve">, </w:t>
      </w:r>
      <w:r>
        <w:rPr>
          <w:noProof/>
          <w:lang w:val="fr-FR"/>
        </w:rPr>
        <w:t>le prélèvement d’organes ou l’</w:t>
      </w:r>
      <w:r w:rsidRPr="00AF434B">
        <w:rPr>
          <w:noProof/>
          <w:lang w:val="fr-FR"/>
        </w:rPr>
        <w:t xml:space="preserve">exploitation </w:t>
      </w:r>
      <w:r>
        <w:rPr>
          <w:noProof/>
          <w:lang w:val="fr-FR"/>
        </w:rPr>
        <w:t>d’autres activités criminelles</w:t>
      </w:r>
      <w:r w:rsidRPr="00AF434B">
        <w:rPr>
          <w:noProof/>
          <w:lang w:val="fr-FR"/>
        </w:rPr>
        <w:t xml:space="preserve">. </w:t>
      </w:r>
      <w:r>
        <w:rPr>
          <w:noProof/>
          <w:lang w:val="fr-FR"/>
        </w:rPr>
        <w:t>Si la victime de la traite est mineure, son adoption peut être l’une des fins de la traite</w:t>
      </w:r>
      <w:r w:rsidRPr="00AF434B">
        <w:rPr>
          <w:noProof/>
          <w:lang w:val="fr-FR"/>
        </w:rPr>
        <w:t xml:space="preserve">. </w:t>
      </w:r>
      <w:r>
        <w:rPr>
          <w:noProof/>
          <w:lang w:val="fr-FR"/>
        </w:rPr>
        <w:t>De plus</w:t>
      </w:r>
      <w:r w:rsidRPr="00AF434B">
        <w:rPr>
          <w:noProof/>
          <w:lang w:val="fr-FR"/>
        </w:rPr>
        <w:t xml:space="preserve">, </w:t>
      </w:r>
      <w:r>
        <w:rPr>
          <w:noProof/>
          <w:lang w:val="fr-FR"/>
        </w:rPr>
        <w:t>l’</w:t>
      </w:r>
      <w:r w:rsidRPr="00AF434B">
        <w:rPr>
          <w:noProof/>
          <w:lang w:val="fr-FR"/>
        </w:rPr>
        <w:t xml:space="preserve">article </w:t>
      </w:r>
      <w:r>
        <w:rPr>
          <w:noProof/>
          <w:lang w:val="fr-FR"/>
        </w:rPr>
        <w:t>prévoit désormais les circonstances aggravantes ci-après : la vie de la personne a été mise en danger</w:t>
      </w:r>
      <w:r w:rsidR="00F678BA">
        <w:rPr>
          <w:noProof/>
          <w:lang w:val="fr-FR"/>
        </w:rPr>
        <w:t> </w:t>
      </w:r>
      <w:r w:rsidRPr="00AF434B">
        <w:rPr>
          <w:noProof/>
          <w:lang w:val="fr-FR"/>
        </w:rPr>
        <w:t xml:space="preserve">; </w:t>
      </w:r>
      <w:r>
        <w:rPr>
          <w:noProof/>
          <w:lang w:val="fr-FR"/>
        </w:rPr>
        <w:t>l’infraction a été commise avec une violence particulière ou a porté un préjudice particulièrement grave à la victime</w:t>
      </w:r>
      <w:r w:rsidR="002C1A37">
        <w:rPr>
          <w:noProof/>
          <w:lang w:val="fr-FR"/>
        </w:rPr>
        <w:t> </w:t>
      </w:r>
      <w:r w:rsidRPr="00AF434B">
        <w:rPr>
          <w:noProof/>
          <w:lang w:val="fr-FR"/>
        </w:rPr>
        <w:t xml:space="preserve">; </w:t>
      </w:r>
      <w:r>
        <w:rPr>
          <w:noProof/>
          <w:lang w:val="fr-FR"/>
        </w:rPr>
        <w:t>l’infraction a été commise par un agent public dans l’exercice de ses fonctions</w:t>
      </w:r>
      <w:r w:rsidR="002C1A37">
        <w:rPr>
          <w:noProof/>
          <w:lang w:val="fr-FR"/>
        </w:rPr>
        <w:t> </w:t>
      </w:r>
      <w:r w:rsidRPr="00AF434B">
        <w:rPr>
          <w:noProof/>
          <w:lang w:val="fr-FR"/>
        </w:rPr>
        <w:t xml:space="preserve">; </w:t>
      </w:r>
      <w:r>
        <w:rPr>
          <w:noProof/>
          <w:lang w:val="fr-FR"/>
        </w:rPr>
        <w:t>l’infraction a été commise en bande organisée</w:t>
      </w:r>
      <w:r w:rsidR="002C1A37">
        <w:rPr>
          <w:noProof/>
          <w:lang w:val="fr-FR"/>
        </w:rPr>
        <w:t> </w:t>
      </w:r>
      <w:r w:rsidRPr="00AF434B">
        <w:rPr>
          <w:noProof/>
          <w:lang w:val="fr-FR"/>
        </w:rPr>
        <w:t xml:space="preserve">; </w:t>
      </w:r>
      <w:r>
        <w:rPr>
          <w:noProof/>
          <w:lang w:val="fr-FR"/>
        </w:rPr>
        <w:t xml:space="preserve">et l’infraction a été suivie par le suicide de la </w:t>
      </w:r>
      <w:r w:rsidRPr="00AF434B">
        <w:rPr>
          <w:noProof/>
          <w:lang w:val="fr-FR"/>
        </w:rPr>
        <w:t>victim</w:t>
      </w:r>
      <w:r>
        <w:rPr>
          <w:noProof/>
          <w:lang w:val="fr-FR"/>
        </w:rPr>
        <w:t>e</w:t>
      </w:r>
      <w:r w:rsidRPr="00AF434B">
        <w:rPr>
          <w:noProof/>
          <w:lang w:val="fr-FR"/>
        </w:rPr>
        <w:t xml:space="preserve">. </w:t>
      </w:r>
      <w:r>
        <w:rPr>
          <w:noProof/>
          <w:lang w:val="fr-FR"/>
        </w:rPr>
        <w:t>Par ailleurs, l’article précise que le consentement de la victime est indifférent s’agissant d’établir la punissabilité du comportement</w:t>
      </w:r>
      <w:r w:rsidRPr="00AF434B">
        <w:rPr>
          <w:noProof/>
          <w:lang w:val="fr-FR"/>
        </w:rPr>
        <w:t>.</w:t>
      </w:r>
    </w:p>
    <w:p w14:paraId="7B250415" w14:textId="77777777" w:rsidR="00BF0619" w:rsidRPr="00AF434B" w:rsidRDefault="00BF0619" w:rsidP="00BF0619">
      <w:pPr>
        <w:pStyle w:val="SingleTxtG"/>
        <w:rPr>
          <w:noProof/>
          <w:lang w:val="fr-FR"/>
        </w:rPr>
      </w:pPr>
      <w:r w:rsidRPr="00AF434B">
        <w:rPr>
          <w:noProof/>
          <w:lang w:val="fr-FR"/>
        </w:rPr>
        <w:t>213.</w:t>
      </w:r>
      <w:r w:rsidRPr="00AF434B">
        <w:rPr>
          <w:noProof/>
          <w:lang w:val="fr-FR"/>
        </w:rPr>
        <w:tab/>
      </w:r>
      <w:r>
        <w:rPr>
          <w:noProof/>
          <w:lang w:val="fr-FR"/>
        </w:rPr>
        <w:t>On voit que la législation portugaise fournit un cadre juridique complet et détaillé sur la question</w:t>
      </w:r>
      <w:r w:rsidRPr="00AF434B">
        <w:rPr>
          <w:noProof/>
          <w:lang w:val="fr-FR"/>
        </w:rPr>
        <w:t xml:space="preserve">. </w:t>
      </w:r>
      <w:r>
        <w:rPr>
          <w:noProof/>
          <w:lang w:val="fr-FR"/>
        </w:rPr>
        <w:t>La</w:t>
      </w:r>
      <w:r w:rsidRPr="00AF434B">
        <w:rPr>
          <w:noProof/>
          <w:lang w:val="fr-FR"/>
        </w:rPr>
        <w:t xml:space="preserve"> d</w:t>
      </w:r>
      <w:r>
        <w:rPr>
          <w:noProof/>
          <w:lang w:val="fr-FR"/>
        </w:rPr>
        <w:t>é</w:t>
      </w:r>
      <w:r w:rsidRPr="00AF434B">
        <w:rPr>
          <w:noProof/>
          <w:lang w:val="fr-FR"/>
        </w:rPr>
        <w:t xml:space="preserve">finition </w:t>
      </w:r>
      <w:r>
        <w:rPr>
          <w:noProof/>
          <w:lang w:val="fr-FR"/>
        </w:rPr>
        <w:t>de l’infraction est conforme aux instruments internationaux et n’entrave nullement l’évaluation des poursuites engagées contre les auteurs de la traite et des condamnations et des peines prononcées contre eux</w:t>
      </w:r>
      <w:r w:rsidRPr="00AF434B">
        <w:rPr>
          <w:noProof/>
          <w:lang w:val="fr-FR"/>
        </w:rPr>
        <w:t xml:space="preserve">. </w:t>
      </w:r>
      <w:r>
        <w:rPr>
          <w:noProof/>
          <w:lang w:val="fr-FR"/>
        </w:rPr>
        <w:t>En matière d’enquêtes pénales et de prévention, la traite des personnes est érigée en priorité</w:t>
      </w:r>
      <w:r w:rsidRPr="00AF434B">
        <w:rPr>
          <w:noProof/>
          <w:lang w:val="fr-FR"/>
        </w:rPr>
        <w:t xml:space="preserve">. </w:t>
      </w:r>
      <w:r>
        <w:rPr>
          <w:noProof/>
          <w:lang w:val="fr-FR"/>
        </w:rPr>
        <w:t>Les directives et instructions générales à l’intention des procureurs prévoient notamment que les affaires d’immigration illégale doivent être spécifiquement analysées pour établir l’existence d’éléments de preuve de la pratique de la traite des personnes.</w:t>
      </w:r>
      <w:r w:rsidRPr="00AF434B">
        <w:rPr>
          <w:noProof/>
          <w:lang w:val="fr-FR"/>
        </w:rPr>
        <w:t xml:space="preserve"> </w:t>
      </w:r>
      <w:r>
        <w:rPr>
          <w:noProof/>
          <w:lang w:val="fr-FR"/>
        </w:rPr>
        <w:t>Afin de détecter et signaler les infractions de traite, le ministère public coordonne son action avec celle des institutions de protection sociale et des ONG à l’échelon local</w:t>
      </w:r>
      <w:r w:rsidRPr="00AF434B">
        <w:rPr>
          <w:noProof/>
          <w:lang w:val="fr-FR"/>
        </w:rPr>
        <w:t>.</w:t>
      </w:r>
    </w:p>
    <w:p w14:paraId="561A94A9" w14:textId="77777777" w:rsidR="00BF0619" w:rsidRPr="00AF434B" w:rsidRDefault="00BF0619" w:rsidP="00BF0619">
      <w:pPr>
        <w:pStyle w:val="SingleTxtG"/>
        <w:rPr>
          <w:noProof/>
          <w:lang w:val="fr-FR"/>
        </w:rPr>
      </w:pPr>
      <w:r w:rsidRPr="00AF434B">
        <w:rPr>
          <w:noProof/>
          <w:lang w:val="fr-FR"/>
        </w:rPr>
        <w:t>214.</w:t>
      </w:r>
      <w:r w:rsidRPr="00AF434B">
        <w:rPr>
          <w:noProof/>
          <w:lang w:val="fr-FR"/>
        </w:rPr>
        <w:tab/>
      </w:r>
      <w:r>
        <w:rPr>
          <w:noProof/>
          <w:lang w:val="fr-FR"/>
        </w:rPr>
        <w:t>La traite des personnes</w:t>
      </w:r>
      <w:r w:rsidRPr="00AF434B">
        <w:rPr>
          <w:noProof/>
          <w:lang w:val="fr-FR"/>
        </w:rPr>
        <w:t xml:space="preserve">, </w:t>
      </w:r>
      <w:r>
        <w:rPr>
          <w:noProof/>
          <w:lang w:val="fr-FR"/>
        </w:rPr>
        <w:t xml:space="preserve">le trafic de </w:t>
      </w:r>
      <w:r w:rsidRPr="00AF434B">
        <w:rPr>
          <w:noProof/>
          <w:lang w:val="fr-FR"/>
        </w:rPr>
        <w:t>migrant</w:t>
      </w:r>
      <w:r>
        <w:rPr>
          <w:noProof/>
          <w:lang w:val="fr-FR"/>
        </w:rPr>
        <w:t>s</w:t>
      </w:r>
      <w:r w:rsidRPr="00AF434B">
        <w:rPr>
          <w:noProof/>
          <w:lang w:val="fr-FR"/>
        </w:rPr>
        <w:t xml:space="preserve"> </w:t>
      </w:r>
      <w:r>
        <w:rPr>
          <w:noProof/>
          <w:lang w:val="fr-FR"/>
        </w:rPr>
        <w:t>et</w:t>
      </w:r>
      <w:r w:rsidRPr="00AF434B">
        <w:rPr>
          <w:noProof/>
          <w:lang w:val="fr-FR"/>
        </w:rPr>
        <w:t>/o</w:t>
      </w:r>
      <w:r>
        <w:rPr>
          <w:noProof/>
          <w:lang w:val="fr-FR"/>
        </w:rPr>
        <w:t>u</w:t>
      </w:r>
      <w:r w:rsidRPr="00AF434B">
        <w:rPr>
          <w:noProof/>
          <w:lang w:val="fr-FR"/>
        </w:rPr>
        <w:t xml:space="preserve"> </w:t>
      </w:r>
      <w:r>
        <w:rPr>
          <w:noProof/>
          <w:lang w:val="fr-FR"/>
        </w:rPr>
        <w:t>la lutte contre la criminalité transnationale organisée sont des questions sur lesquelles portent encore les protocoles de coopération que le Procureur général a récemment signés avec ses homologues étrangers</w:t>
      </w:r>
      <w:r w:rsidRPr="00AF434B">
        <w:rPr>
          <w:noProof/>
          <w:lang w:val="fr-FR"/>
        </w:rPr>
        <w:t xml:space="preserve">. </w:t>
      </w:r>
      <w:r>
        <w:rPr>
          <w:noProof/>
          <w:lang w:val="fr-FR"/>
        </w:rPr>
        <w:t>E</w:t>
      </w:r>
      <w:r w:rsidRPr="00AF434B">
        <w:rPr>
          <w:noProof/>
          <w:lang w:val="fr-FR"/>
        </w:rPr>
        <w:t xml:space="preserve">n </w:t>
      </w:r>
      <w:r>
        <w:rPr>
          <w:noProof/>
          <w:lang w:val="fr-FR"/>
        </w:rPr>
        <w:t>septemb</w:t>
      </w:r>
      <w:r w:rsidRPr="00AF434B">
        <w:rPr>
          <w:noProof/>
          <w:lang w:val="fr-FR"/>
        </w:rPr>
        <w:t>r</w:t>
      </w:r>
      <w:r>
        <w:rPr>
          <w:noProof/>
          <w:lang w:val="fr-FR"/>
        </w:rPr>
        <w:t>e</w:t>
      </w:r>
      <w:r w:rsidRPr="00AF434B">
        <w:rPr>
          <w:noProof/>
          <w:lang w:val="fr-FR"/>
        </w:rPr>
        <w:t xml:space="preserve"> 2018, </w:t>
      </w:r>
      <w:r>
        <w:rPr>
          <w:noProof/>
          <w:lang w:val="fr-FR"/>
        </w:rPr>
        <w:t xml:space="preserve">un nouveau </w:t>
      </w:r>
      <w:r w:rsidRPr="00AF434B">
        <w:rPr>
          <w:noProof/>
          <w:lang w:val="fr-FR"/>
        </w:rPr>
        <w:t>protocol</w:t>
      </w:r>
      <w:r>
        <w:rPr>
          <w:noProof/>
          <w:lang w:val="fr-FR"/>
        </w:rPr>
        <w:t xml:space="preserve">e a été signé concernant un système intégré d’informations de procédure devant permettre aux procureurs et à d’autres juristes d’accéder </w:t>
      </w:r>
      <w:r w:rsidRPr="00AF434B">
        <w:rPr>
          <w:noProof/>
          <w:lang w:val="fr-FR"/>
        </w:rPr>
        <w:t xml:space="preserve"> </w:t>
      </w:r>
      <w:r>
        <w:rPr>
          <w:noProof/>
          <w:lang w:val="fr-FR"/>
        </w:rPr>
        <w:t>simplement et rapidement à tous les éléments de preuve en rapport avec les procédures pénales, quelle que soit la complexité de ces dernières</w:t>
      </w:r>
      <w:r w:rsidRPr="00AF434B">
        <w:rPr>
          <w:noProof/>
          <w:lang w:val="fr-FR"/>
        </w:rPr>
        <w:t xml:space="preserve">. </w:t>
      </w:r>
      <w:r>
        <w:rPr>
          <w:noProof/>
          <w:lang w:val="fr-FR"/>
        </w:rPr>
        <w:t>Ce protocole devrait faciliter la poursuite d’infractions de grande complexité, telles que la traite</w:t>
      </w:r>
      <w:r w:rsidRPr="00AF434B">
        <w:rPr>
          <w:noProof/>
          <w:lang w:val="fr-FR"/>
        </w:rPr>
        <w:t>.</w:t>
      </w:r>
    </w:p>
    <w:p w14:paraId="54C5FB20" w14:textId="77777777" w:rsidR="00BF0619" w:rsidRPr="00AF434B" w:rsidRDefault="00BF0619" w:rsidP="00BF0619">
      <w:pPr>
        <w:pStyle w:val="SingleTxtG"/>
        <w:rPr>
          <w:noProof/>
          <w:lang w:val="fr-FR"/>
        </w:rPr>
      </w:pPr>
      <w:r>
        <w:rPr>
          <w:noProof/>
          <w:lang w:val="fr-FR"/>
        </w:rPr>
        <w:t>215.</w:t>
      </w:r>
      <w:r>
        <w:rPr>
          <w:noProof/>
          <w:lang w:val="fr-FR"/>
        </w:rPr>
        <w:tab/>
        <w:t>Le Portugal a montré sur plusieurs plans sa détermination à combattre la traite des personnes</w:t>
      </w:r>
      <w:r w:rsidRPr="00AF434B">
        <w:rPr>
          <w:noProof/>
          <w:lang w:val="fr-FR"/>
        </w:rPr>
        <w:t xml:space="preserve">, </w:t>
      </w:r>
      <w:r>
        <w:rPr>
          <w:noProof/>
          <w:lang w:val="fr-FR"/>
        </w:rPr>
        <w:t xml:space="preserve">notamment en créant le réseau </w:t>
      </w:r>
      <w:r w:rsidRPr="00AF434B">
        <w:rPr>
          <w:noProof/>
          <w:lang w:val="fr-FR"/>
        </w:rPr>
        <w:t xml:space="preserve">national </w:t>
      </w:r>
      <w:r>
        <w:rPr>
          <w:noProof/>
          <w:lang w:val="fr-FR"/>
        </w:rPr>
        <w:t>de prise en charge et de protection des victimes de la traite</w:t>
      </w:r>
      <w:r w:rsidRPr="00AF434B">
        <w:rPr>
          <w:noProof/>
          <w:lang w:val="fr-FR"/>
        </w:rPr>
        <w:t>.</w:t>
      </w:r>
    </w:p>
    <w:p w14:paraId="4A3FCB66" w14:textId="77777777" w:rsidR="00BF0619" w:rsidRPr="00AF434B" w:rsidRDefault="00BF0619" w:rsidP="00BF0619">
      <w:pPr>
        <w:pStyle w:val="SingleTxtG"/>
        <w:rPr>
          <w:noProof/>
          <w:lang w:val="fr-FR"/>
        </w:rPr>
      </w:pPr>
      <w:r w:rsidRPr="00AF434B">
        <w:rPr>
          <w:noProof/>
          <w:lang w:val="fr-FR"/>
        </w:rPr>
        <w:t>216.</w:t>
      </w:r>
      <w:r w:rsidRPr="00AF434B">
        <w:rPr>
          <w:noProof/>
          <w:lang w:val="fr-FR"/>
        </w:rPr>
        <w:tab/>
      </w:r>
      <w:r>
        <w:rPr>
          <w:noProof/>
          <w:lang w:val="fr-FR"/>
        </w:rPr>
        <w:t>La Garde nationale républicaine, la Police de sécurité publique et le Service de l’immigration et des frontières sont membres de la commission technique qui aide la Commission pour la citoyenneté et l’égalité des sexe à coordonner la mise en œuvre des plans nationaux d’action préventive et de lutte contre la traite des personnes.</w:t>
      </w:r>
    </w:p>
    <w:p w14:paraId="0C6ADA8E" w14:textId="77777777" w:rsidR="00BF0619" w:rsidRPr="00AF434B" w:rsidRDefault="00BF0619" w:rsidP="00BF0619">
      <w:pPr>
        <w:pStyle w:val="SingleTxtG"/>
        <w:rPr>
          <w:noProof/>
          <w:lang w:val="fr-FR"/>
        </w:rPr>
      </w:pPr>
      <w:r w:rsidRPr="00AF434B">
        <w:rPr>
          <w:noProof/>
          <w:lang w:val="fr-FR"/>
        </w:rPr>
        <w:t>217.</w:t>
      </w:r>
      <w:r w:rsidRPr="00AF434B">
        <w:rPr>
          <w:noProof/>
          <w:lang w:val="fr-FR"/>
        </w:rPr>
        <w:tab/>
      </w:r>
      <w:r>
        <w:rPr>
          <w:noProof/>
          <w:lang w:val="fr-FR"/>
        </w:rPr>
        <w:t xml:space="preserve">À cet égard, les actions les plus visibles menées par la Garde nationale républicaine sont les suivantes </w:t>
      </w:r>
      <w:r w:rsidRPr="00AF434B">
        <w:rPr>
          <w:noProof/>
          <w:lang w:val="fr-FR"/>
        </w:rPr>
        <w:t xml:space="preserve">: </w:t>
      </w:r>
      <w:r>
        <w:rPr>
          <w:noProof/>
          <w:lang w:val="fr-FR"/>
        </w:rPr>
        <w:t xml:space="preserve">opérations de surveillance menées de sa propre </w:t>
      </w:r>
      <w:r w:rsidRPr="00AF434B">
        <w:rPr>
          <w:noProof/>
          <w:lang w:val="fr-FR"/>
        </w:rPr>
        <w:t>initiative</w:t>
      </w:r>
      <w:r w:rsidR="00F678BA">
        <w:rPr>
          <w:noProof/>
          <w:lang w:val="fr-FR"/>
        </w:rPr>
        <w:t> </w:t>
      </w:r>
      <w:r w:rsidRPr="00AF434B">
        <w:rPr>
          <w:noProof/>
          <w:lang w:val="fr-FR"/>
        </w:rPr>
        <w:t xml:space="preserve">; participation </w:t>
      </w:r>
      <w:r>
        <w:rPr>
          <w:noProof/>
          <w:lang w:val="fr-FR"/>
        </w:rPr>
        <w:t xml:space="preserve">à des opérations conjointes et signalement des victimes de la traite sur </w:t>
      </w:r>
      <w:r w:rsidRPr="00AF434B">
        <w:rPr>
          <w:noProof/>
          <w:lang w:val="fr-FR"/>
        </w:rPr>
        <w:t xml:space="preserve">GUR, </w:t>
      </w:r>
      <w:r>
        <w:rPr>
          <w:noProof/>
          <w:lang w:val="fr-FR"/>
        </w:rPr>
        <w:t xml:space="preserve">plateforme spécialisée qui sera remplacée par une autre, </w:t>
      </w:r>
      <w:r w:rsidRPr="00AF434B">
        <w:rPr>
          <w:noProof/>
          <w:lang w:val="fr-FR"/>
        </w:rPr>
        <w:t>MoSy.</w:t>
      </w:r>
    </w:p>
    <w:p w14:paraId="7A4F2C89" w14:textId="77777777" w:rsidR="00BF0619" w:rsidRPr="00AF434B" w:rsidRDefault="00BF0619" w:rsidP="00BF0619">
      <w:pPr>
        <w:pStyle w:val="SingleTxtG"/>
        <w:rPr>
          <w:noProof/>
          <w:lang w:val="fr-FR"/>
        </w:rPr>
      </w:pPr>
      <w:r w:rsidRPr="00AF434B">
        <w:rPr>
          <w:noProof/>
          <w:lang w:val="fr-FR"/>
        </w:rPr>
        <w:t>218.</w:t>
      </w:r>
      <w:r w:rsidRPr="00AF434B">
        <w:rPr>
          <w:noProof/>
          <w:lang w:val="fr-FR"/>
        </w:rPr>
        <w:tab/>
      </w:r>
      <w:r>
        <w:rPr>
          <w:noProof/>
          <w:lang w:val="fr-FR"/>
        </w:rPr>
        <w:t xml:space="preserve">En outre, par sa résolution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noProof/>
          <w:lang w:val="fr-FR"/>
        </w:rPr>
        <w:t> </w:t>
      </w:r>
      <w:r w:rsidRPr="00AF434B">
        <w:rPr>
          <w:noProof/>
          <w:lang w:val="fr-FR"/>
        </w:rPr>
        <w:t xml:space="preserve">80/2018 </w:t>
      </w:r>
      <w:r>
        <w:rPr>
          <w:noProof/>
          <w:lang w:val="fr-FR"/>
        </w:rPr>
        <w:t>du</w:t>
      </w:r>
      <w:r w:rsidRPr="00AF434B">
        <w:rPr>
          <w:noProof/>
          <w:lang w:val="fr-FR"/>
        </w:rPr>
        <w:t xml:space="preserve"> 18</w:t>
      </w:r>
      <w:r w:rsidR="002C1A37">
        <w:rPr>
          <w:noProof/>
          <w:lang w:val="fr-FR"/>
        </w:rPr>
        <w:t> </w:t>
      </w:r>
      <w:r>
        <w:rPr>
          <w:noProof/>
          <w:lang w:val="fr-FR"/>
        </w:rPr>
        <w:t>juin</w:t>
      </w:r>
      <w:r w:rsidRPr="00AF434B">
        <w:rPr>
          <w:noProof/>
          <w:lang w:val="fr-FR"/>
        </w:rPr>
        <w:t xml:space="preserve">, </w:t>
      </w:r>
      <w:r>
        <w:rPr>
          <w:noProof/>
          <w:lang w:val="fr-FR"/>
        </w:rPr>
        <w:t xml:space="preserve">le Conseil a adopté le </w:t>
      </w:r>
      <w:r w:rsidRPr="00AF434B">
        <w:rPr>
          <w:noProof/>
          <w:lang w:val="fr-FR"/>
        </w:rPr>
        <w:t>IV</w:t>
      </w:r>
      <w:r w:rsidRPr="002C1A37">
        <w:rPr>
          <w:noProof/>
          <w:vertAlign w:val="superscript"/>
          <w:lang w:val="fr-FR"/>
        </w:rPr>
        <w:t>e</w:t>
      </w:r>
      <w:r w:rsidR="002C1A37">
        <w:rPr>
          <w:noProof/>
          <w:vertAlign w:val="superscript"/>
          <w:lang w:val="fr-FR"/>
        </w:rPr>
        <w:t> </w:t>
      </w:r>
      <w:r>
        <w:rPr>
          <w:noProof/>
          <w:lang w:val="fr-FR"/>
        </w:rPr>
        <w:t xml:space="preserve">Plan d’action préventive et de lutte contre la traite des personnes pour </w:t>
      </w:r>
      <w:r w:rsidRPr="00AF434B">
        <w:rPr>
          <w:noProof/>
          <w:lang w:val="fr-FR"/>
        </w:rPr>
        <w:t>2018</w:t>
      </w:r>
      <w:r>
        <w:rPr>
          <w:noProof/>
          <w:lang w:val="fr-FR"/>
        </w:rPr>
        <w:t>-</w:t>
      </w:r>
      <w:r w:rsidRPr="00AF434B">
        <w:rPr>
          <w:noProof/>
          <w:lang w:val="fr-FR"/>
        </w:rPr>
        <w:t xml:space="preserve">2021, </w:t>
      </w:r>
      <w:r>
        <w:rPr>
          <w:noProof/>
          <w:lang w:val="fr-FR"/>
        </w:rPr>
        <w:t xml:space="preserve">dont les objectifs </w:t>
      </w:r>
      <w:r w:rsidRPr="00AF434B">
        <w:rPr>
          <w:noProof/>
          <w:lang w:val="fr-FR"/>
        </w:rPr>
        <w:t>strat</w:t>
      </w:r>
      <w:r>
        <w:rPr>
          <w:noProof/>
          <w:lang w:val="fr-FR"/>
        </w:rPr>
        <w:t>é</w:t>
      </w:r>
      <w:r w:rsidRPr="00AF434B">
        <w:rPr>
          <w:noProof/>
          <w:lang w:val="fr-FR"/>
        </w:rPr>
        <w:t>gi</w:t>
      </w:r>
      <w:r>
        <w:rPr>
          <w:noProof/>
          <w:lang w:val="fr-FR"/>
        </w:rPr>
        <w:t>ques sont les suivants</w:t>
      </w:r>
      <w:r w:rsidR="002C1A37">
        <w:rPr>
          <w:noProof/>
          <w:lang w:val="fr-FR"/>
        </w:rPr>
        <w:t> :</w:t>
      </w:r>
    </w:p>
    <w:p w14:paraId="4A6C7164"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t>Consolid</w:t>
      </w:r>
      <w:r>
        <w:rPr>
          <w:noProof/>
          <w:lang w:val="fr-FR"/>
        </w:rPr>
        <w:t>er et renforcer la connaissance de la traite des personnes, et informer et faire œuvre de sensibilisation à ce sujet</w:t>
      </w:r>
      <w:r w:rsidR="002C1A37">
        <w:rPr>
          <w:noProof/>
          <w:lang w:val="fr-FR"/>
        </w:rPr>
        <w:t> ;</w:t>
      </w:r>
    </w:p>
    <w:p w14:paraId="3D46D947"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Assurer aux victimes de la traite un meilleur accès à leurs droits, et consolider et renforcer les compétences conférées au niveau des interventions</w:t>
      </w:r>
      <w:r w:rsidR="002C1A37">
        <w:rPr>
          <w:noProof/>
          <w:lang w:val="fr-FR"/>
        </w:rPr>
        <w:t> ;</w:t>
      </w:r>
      <w:r w:rsidRPr="00AF434B">
        <w:rPr>
          <w:noProof/>
          <w:lang w:val="fr-FR"/>
        </w:rPr>
        <w:t xml:space="preserve"> </w:t>
      </w:r>
      <w:r>
        <w:rPr>
          <w:noProof/>
          <w:lang w:val="fr-FR"/>
        </w:rPr>
        <w:t>et</w:t>
      </w:r>
    </w:p>
    <w:p w14:paraId="620A4B5D"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Renforcer la lutte contre les réseaux criminels organisés afin de démanteler le modèle économique et la</w:t>
      </w:r>
      <w:r w:rsidRPr="00AF434B">
        <w:rPr>
          <w:noProof/>
          <w:lang w:val="fr-FR"/>
        </w:rPr>
        <w:t xml:space="preserve"> cha</w:t>
      </w:r>
      <w:r>
        <w:rPr>
          <w:noProof/>
          <w:lang w:val="fr-FR"/>
        </w:rPr>
        <w:t>îne de la traite</w:t>
      </w:r>
      <w:r w:rsidRPr="00AF434B">
        <w:rPr>
          <w:noProof/>
          <w:lang w:val="fr-FR"/>
        </w:rPr>
        <w:t>.</w:t>
      </w:r>
    </w:p>
    <w:p w14:paraId="3FFA0F11" w14:textId="77777777" w:rsidR="00BF0619" w:rsidRPr="00AF434B" w:rsidRDefault="00BF0619" w:rsidP="00BF0619">
      <w:pPr>
        <w:pStyle w:val="SingleTxtG"/>
        <w:rPr>
          <w:noProof/>
          <w:lang w:val="fr-FR"/>
        </w:rPr>
      </w:pPr>
      <w:r w:rsidRPr="00AF434B">
        <w:rPr>
          <w:noProof/>
          <w:lang w:val="fr-FR"/>
        </w:rPr>
        <w:t>219.</w:t>
      </w:r>
      <w:r w:rsidRPr="00AF434B">
        <w:rPr>
          <w:noProof/>
          <w:lang w:val="fr-FR"/>
        </w:rPr>
        <w:tab/>
      </w:r>
      <w:r>
        <w:rPr>
          <w:noProof/>
          <w:lang w:val="fr-FR"/>
        </w:rPr>
        <w:t>Dans le cadre de ce Plan d’action, une série de mesures ont déjà été mises en œuvre, à savoir notamment : surveillance de la traite des personnes et préparation de</w:t>
      </w:r>
      <w:r w:rsidRPr="00AF434B">
        <w:rPr>
          <w:noProof/>
          <w:lang w:val="fr-FR"/>
        </w:rPr>
        <w:t xml:space="preserve"> </w:t>
      </w:r>
      <w:r>
        <w:rPr>
          <w:noProof/>
          <w:lang w:val="fr-FR"/>
        </w:rPr>
        <w:t>supports d’</w:t>
      </w:r>
      <w:r w:rsidRPr="00AF434B">
        <w:rPr>
          <w:noProof/>
          <w:lang w:val="fr-FR"/>
        </w:rPr>
        <w:t>information</w:t>
      </w:r>
      <w:r>
        <w:rPr>
          <w:noProof/>
          <w:lang w:val="fr-FR"/>
        </w:rPr>
        <w:t>s</w:t>
      </w:r>
      <w:r w:rsidRPr="00AF434B">
        <w:rPr>
          <w:noProof/>
          <w:lang w:val="fr-FR"/>
        </w:rPr>
        <w:t xml:space="preserve"> </w:t>
      </w:r>
      <w:r>
        <w:rPr>
          <w:noProof/>
          <w:lang w:val="fr-FR"/>
        </w:rPr>
        <w:t>sur la traite</w:t>
      </w:r>
      <w:r w:rsidR="002C1A37">
        <w:rPr>
          <w:noProof/>
          <w:lang w:val="fr-FR"/>
        </w:rPr>
        <w:t> ;</w:t>
      </w:r>
      <w:r w:rsidRPr="00AF434B">
        <w:rPr>
          <w:noProof/>
          <w:lang w:val="fr-FR"/>
        </w:rPr>
        <w:t xml:space="preserve"> produc</w:t>
      </w:r>
      <w:r>
        <w:rPr>
          <w:noProof/>
          <w:lang w:val="fr-FR"/>
        </w:rPr>
        <w:t>tion de connaissances sur la traite</w:t>
      </w:r>
      <w:r w:rsidR="002C1A37">
        <w:rPr>
          <w:noProof/>
          <w:lang w:val="fr-FR"/>
        </w:rPr>
        <w:t> </w:t>
      </w:r>
      <w:r w:rsidRPr="00AF434B">
        <w:rPr>
          <w:noProof/>
          <w:lang w:val="fr-FR"/>
        </w:rPr>
        <w:t xml:space="preserve">; </w:t>
      </w:r>
      <w:r>
        <w:rPr>
          <w:noProof/>
          <w:lang w:val="fr-FR"/>
        </w:rPr>
        <w:t>activités d’information et de sensibilisation concernant ce phénomène</w:t>
      </w:r>
      <w:r w:rsidRPr="00AF434B">
        <w:rPr>
          <w:noProof/>
          <w:lang w:val="fr-FR"/>
        </w:rPr>
        <w:t xml:space="preserve">. </w:t>
      </w:r>
    </w:p>
    <w:p w14:paraId="7720E8AC" w14:textId="77777777" w:rsidR="00BF0619" w:rsidRPr="00AF434B" w:rsidRDefault="00BF0619" w:rsidP="00BF0619">
      <w:pPr>
        <w:pStyle w:val="SingleTxtG"/>
        <w:rPr>
          <w:noProof/>
          <w:lang w:val="fr-FR"/>
        </w:rPr>
      </w:pPr>
      <w:r w:rsidRPr="00AF434B">
        <w:rPr>
          <w:noProof/>
          <w:lang w:val="fr-FR"/>
        </w:rPr>
        <w:t>220.</w:t>
      </w:r>
      <w:r w:rsidRPr="00AF434B">
        <w:rPr>
          <w:noProof/>
          <w:lang w:val="fr-FR"/>
        </w:rPr>
        <w:tab/>
      </w:r>
      <w:r>
        <w:rPr>
          <w:noProof/>
          <w:lang w:val="fr-FR"/>
        </w:rPr>
        <w:t xml:space="preserve">Dans le même </w:t>
      </w:r>
      <w:r w:rsidRPr="00AF434B">
        <w:rPr>
          <w:noProof/>
          <w:lang w:val="fr-FR"/>
        </w:rPr>
        <w:t>context</w:t>
      </w:r>
      <w:r>
        <w:rPr>
          <w:noProof/>
          <w:lang w:val="fr-FR"/>
        </w:rPr>
        <w:t>e</w:t>
      </w:r>
      <w:r w:rsidRPr="00AF434B">
        <w:rPr>
          <w:noProof/>
          <w:lang w:val="fr-FR"/>
        </w:rPr>
        <w:t xml:space="preserve">, </w:t>
      </w:r>
      <w:r>
        <w:rPr>
          <w:noProof/>
          <w:lang w:val="fr-FR"/>
        </w:rPr>
        <w:t>d’autres mesures sont prévues, comme la mise en place d’actions de formation spécialisée à l’intention des professionnels qui interviennent dans le domaine de la traite, à savoir notamment les magistrat</w:t>
      </w:r>
      <w:r w:rsidRPr="00AF434B">
        <w:rPr>
          <w:noProof/>
          <w:lang w:val="fr-FR"/>
        </w:rPr>
        <w:t xml:space="preserve">s, </w:t>
      </w:r>
      <w:r>
        <w:rPr>
          <w:noProof/>
          <w:lang w:val="fr-FR"/>
        </w:rPr>
        <w:t>les autres acteurs de la justice et les membres des forces de sécurité</w:t>
      </w:r>
      <w:r w:rsidRPr="00AF434B">
        <w:rPr>
          <w:noProof/>
          <w:lang w:val="fr-FR"/>
        </w:rPr>
        <w:t>.</w:t>
      </w:r>
    </w:p>
    <w:p w14:paraId="448B0519" w14:textId="77777777" w:rsidR="00BF0619" w:rsidRPr="00AF434B" w:rsidRDefault="00BF0619" w:rsidP="00BF0619">
      <w:pPr>
        <w:pStyle w:val="SingleTxtG"/>
        <w:rPr>
          <w:noProof/>
          <w:lang w:val="fr-FR"/>
        </w:rPr>
      </w:pPr>
      <w:r w:rsidRPr="00AF434B">
        <w:rPr>
          <w:noProof/>
          <w:lang w:val="fr-FR"/>
        </w:rPr>
        <w:t>221.</w:t>
      </w:r>
      <w:r w:rsidRPr="00AF434B">
        <w:rPr>
          <w:noProof/>
          <w:lang w:val="fr-FR"/>
        </w:rPr>
        <w:tab/>
      </w:r>
      <w:r>
        <w:rPr>
          <w:noProof/>
          <w:lang w:val="fr-FR"/>
        </w:rPr>
        <w:t xml:space="preserve">Il ressort d’une analyse globale des données que le </w:t>
      </w:r>
      <w:r w:rsidRPr="00AF434B">
        <w:rPr>
          <w:noProof/>
          <w:lang w:val="fr-FR"/>
        </w:rPr>
        <w:t xml:space="preserve">Portugal </w:t>
      </w:r>
      <w:r>
        <w:rPr>
          <w:noProof/>
          <w:lang w:val="fr-FR"/>
        </w:rPr>
        <w:t xml:space="preserve">est principalement un pays de </w:t>
      </w:r>
      <w:r w:rsidRPr="00AF434B">
        <w:rPr>
          <w:noProof/>
          <w:lang w:val="fr-FR"/>
        </w:rPr>
        <w:t xml:space="preserve">destination </w:t>
      </w:r>
      <w:r>
        <w:rPr>
          <w:noProof/>
          <w:lang w:val="fr-FR"/>
        </w:rPr>
        <w:t>des victimes étrangères, qui sont en majorité originaires d’États membres de l’Union européenne et dont la traite est organisée à des fins d’exploitation du travail, par exemple dans le secteur de l’agriculture, dont la demande plus importante de main-d’œuvre explique en partie la fréquence du phénomène</w:t>
      </w:r>
      <w:r w:rsidRPr="00AF434B">
        <w:rPr>
          <w:noProof/>
          <w:lang w:val="fr-FR"/>
        </w:rPr>
        <w:t>.</w:t>
      </w:r>
    </w:p>
    <w:p w14:paraId="244F583D" w14:textId="77777777" w:rsidR="00BF0619" w:rsidRPr="00AF434B" w:rsidRDefault="00BF0619" w:rsidP="00BF0619">
      <w:pPr>
        <w:pStyle w:val="SingleTxtG"/>
        <w:rPr>
          <w:noProof/>
          <w:lang w:val="fr-FR"/>
        </w:rPr>
      </w:pPr>
      <w:r w:rsidRPr="00AF434B">
        <w:rPr>
          <w:noProof/>
          <w:lang w:val="fr-FR"/>
        </w:rPr>
        <w:t>222.</w:t>
      </w:r>
      <w:r w:rsidRPr="00AF434B">
        <w:rPr>
          <w:noProof/>
          <w:lang w:val="fr-FR"/>
        </w:rPr>
        <w:tab/>
      </w:r>
      <w:r>
        <w:rPr>
          <w:noProof/>
          <w:lang w:val="fr-FR"/>
        </w:rPr>
        <w:t>Outre les statistiques annuelles sur la traite des personnes, l’Observatoire de la traite des personnes a produit de brefs bulletins statistiques qui font office de réserve pour les statistiques judiciaires sur l’infraction de traite des personnes et infractions connexes</w:t>
      </w:r>
      <w:r w:rsidRPr="00AF434B">
        <w:rPr>
          <w:noProof/>
          <w:lang w:val="fr-FR"/>
        </w:rPr>
        <w:t xml:space="preserve">. </w:t>
      </w:r>
      <w:r>
        <w:rPr>
          <w:noProof/>
          <w:lang w:val="fr-FR"/>
        </w:rPr>
        <w:t>Ces</w:t>
      </w:r>
      <w:r w:rsidR="002C1A37">
        <w:rPr>
          <w:noProof/>
          <w:lang w:val="fr-FR"/>
        </w:rPr>
        <w:t> </w:t>
      </w:r>
      <w:r w:rsidRPr="00AF434B">
        <w:rPr>
          <w:noProof/>
          <w:lang w:val="fr-FR"/>
        </w:rPr>
        <w:t xml:space="preserve">bulletins </w:t>
      </w:r>
      <w:r>
        <w:rPr>
          <w:noProof/>
          <w:lang w:val="fr-FR"/>
        </w:rPr>
        <w:t xml:space="preserve">sont le fruit d’une coopération permanente ayant démarré en </w:t>
      </w:r>
      <w:r w:rsidRPr="00AF434B">
        <w:rPr>
          <w:noProof/>
          <w:lang w:val="fr-FR"/>
        </w:rPr>
        <w:t>2016</w:t>
      </w:r>
      <w:r>
        <w:rPr>
          <w:noProof/>
          <w:lang w:val="fr-FR"/>
        </w:rPr>
        <w:t xml:space="preserve"> entre l’Observatoire et la </w:t>
      </w:r>
      <w:r w:rsidRPr="004B2407">
        <w:rPr>
          <w:noProof/>
          <w:lang w:val="fr-FR"/>
        </w:rPr>
        <w:t>Direction générale de la politique de justice (</w:t>
      </w:r>
      <w:r w:rsidRPr="004B2407">
        <w:rPr>
          <w:i/>
          <w:noProof/>
          <w:lang w:val="fr-FR"/>
        </w:rPr>
        <w:t>Direção-Geral da Política de Justiça</w:t>
      </w:r>
      <w:r w:rsidRPr="00BB3DD1">
        <w:t xml:space="preserve">) et le </w:t>
      </w:r>
      <w:r w:rsidRPr="004B2407">
        <w:rPr>
          <w:noProof/>
          <w:lang w:val="fr-FR"/>
        </w:rPr>
        <w:t xml:space="preserve">Ministère </w:t>
      </w:r>
      <w:r w:rsidRPr="00BB3DD1">
        <w:t>de la</w:t>
      </w:r>
      <w:r w:rsidRPr="00AF434B">
        <w:rPr>
          <w:noProof/>
          <w:lang w:val="fr-FR"/>
        </w:rPr>
        <w:t xml:space="preserve"> </w:t>
      </w:r>
      <w:r>
        <w:rPr>
          <w:noProof/>
          <w:lang w:val="fr-FR"/>
        </w:rPr>
        <w:t>j</w:t>
      </w:r>
      <w:r w:rsidRPr="00AF434B">
        <w:rPr>
          <w:noProof/>
          <w:lang w:val="fr-FR"/>
        </w:rPr>
        <w:t xml:space="preserve">ustice, </w:t>
      </w:r>
      <w:r>
        <w:rPr>
          <w:noProof/>
          <w:lang w:val="fr-FR"/>
        </w:rPr>
        <w:t>ces deux dernières entités servant de sources de données</w:t>
      </w:r>
      <w:r w:rsidRPr="00AF434B">
        <w:rPr>
          <w:noProof/>
          <w:lang w:val="fr-FR"/>
        </w:rPr>
        <w:t>.</w:t>
      </w:r>
    </w:p>
    <w:p w14:paraId="12F8F2EE" w14:textId="77777777" w:rsidR="00BF0619" w:rsidRPr="00AF434B" w:rsidRDefault="00BF0619" w:rsidP="00BF0619">
      <w:pPr>
        <w:pStyle w:val="SingleTxtG"/>
        <w:rPr>
          <w:noProof/>
          <w:lang w:val="fr-FR"/>
        </w:rPr>
      </w:pPr>
      <w:r w:rsidRPr="00AF434B">
        <w:rPr>
          <w:noProof/>
          <w:lang w:val="fr-FR"/>
        </w:rPr>
        <w:t>223.</w:t>
      </w:r>
      <w:r w:rsidRPr="00AF434B">
        <w:rPr>
          <w:noProof/>
          <w:lang w:val="fr-FR"/>
        </w:rPr>
        <w:tab/>
      </w:r>
      <w:r>
        <w:rPr>
          <w:noProof/>
          <w:lang w:val="fr-FR"/>
        </w:rPr>
        <w:t xml:space="preserve">Le premier </w:t>
      </w:r>
      <w:r w:rsidRPr="00AF434B">
        <w:rPr>
          <w:noProof/>
          <w:lang w:val="fr-FR"/>
        </w:rPr>
        <w:t xml:space="preserve">bulletin </w:t>
      </w:r>
      <w:r>
        <w:rPr>
          <w:noProof/>
          <w:lang w:val="fr-FR"/>
        </w:rPr>
        <w:t xml:space="preserve">a porté sur la période </w:t>
      </w:r>
      <w:r w:rsidRPr="00AF434B">
        <w:rPr>
          <w:noProof/>
          <w:lang w:val="fr-FR"/>
        </w:rPr>
        <w:t>2008</w:t>
      </w:r>
      <w:r>
        <w:rPr>
          <w:noProof/>
          <w:lang w:val="fr-FR"/>
        </w:rPr>
        <w:t>-</w:t>
      </w:r>
      <w:r w:rsidRPr="00AF434B">
        <w:rPr>
          <w:noProof/>
          <w:lang w:val="fr-FR"/>
        </w:rPr>
        <w:t xml:space="preserve">2015, </w:t>
      </w:r>
      <w:r>
        <w:rPr>
          <w:noProof/>
          <w:lang w:val="fr-FR"/>
        </w:rPr>
        <w:t xml:space="preserve">le deuxième sur la période </w:t>
      </w:r>
      <w:r w:rsidRPr="00AF434B">
        <w:rPr>
          <w:noProof/>
          <w:lang w:val="fr-FR"/>
        </w:rPr>
        <w:t>2008</w:t>
      </w:r>
      <w:r>
        <w:rPr>
          <w:noProof/>
          <w:lang w:val="fr-FR"/>
        </w:rPr>
        <w:t>-</w:t>
      </w:r>
      <w:r w:rsidRPr="00AF434B">
        <w:rPr>
          <w:noProof/>
          <w:lang w:val="fr-FR"/>
        </w:rPr>
        <w:t xml:space="preserve">2016 </w:t>
      </w:r>
      <w:r>
        <w:rPr>
          <w:noProof/>
          <w:lang w:val="fr-FR"/>
        </w:rPr>
        <w:t>et le troisième, réalisé d’ici à la fin</w:t>
      </w:r>
      <w:r w:rsidR="002C1A37">
        <w:rPr>
          <w:noProof/>
          <w:lang w:val="fr-FR"/>
        </w:rPr>
        <w:t> </w:t>
      </w:r>
      <w:r>
        <w:rPr>
          <w:noProof/>
          <w:lang w:val="fr-FR"/>
        </w:rPr>
        <w:t xml:space="preserve">2018, portera sur la période </w:t>
      </w:r>
      <w:r w:rsidRPr="00AF434B">
        <w:rPr>
          <w:noProof/>
          <w:lang w:val="fr-FR"/>
        </w:rPr>
        <w:t>2008</w:t>
      </w:r>
      <w:r>
        <w:rPr>
          <w:noProof/>
          <w:lang w:val="fr-FR"/>
        </w:rPr>
        <w:t>-</w:t>
      </w:r>
      <w:r w:rsidRPr="00AF434B">
        <w:rPr>
          <w:noProof/>
          <w:lang w:val="fr-FR"/>
        </w:rPr>
        <w:t xml:space="preserve">2017. </w:t>
      </w:r>
    </w:p>
    <w:p w14:paraId="738C54F9" w14:textId="77777777" w:rsidR="00BF0619" w:rsidRPr="00AF434B" w:rsidRDefault="00BF0619" w:rsidP="00BF0619">
      <w:pPr>
        <w:pStyle w:val="SingleTxtG"/>
        <w:rPr>
          <w:noProof/>
          <w:lang w:val="fr-FR"/>
        </w:rPr>
      </w:pPr>
      <w:r w:rsidRPr="00AF434B">
        <w:rPr>
          <w:noProof/>
          <w:lang w:val="fr-FR"/>
        </w:rPr>
        <w:t>224.</w:t>
      </w:r>
      <w:r w:rsidRPr="00AF434B">
        <w:rPr>
          <w:noProof/>
          <w:lang w:val="fr-FR"/>
        </w:rPr>
        <w:tab/>
      </w:r>
      <w:r>
        <w:rPr>
          <w:noProof/>
          <w:lang w:val="fr-FR"/>
        </w:rPr>
        <w:t xml:space="preserve">Les </w:t>
      </w:r>
      <w:r w:rsidRPr="00AF434B">
        <w:rPr>
          <w:noProof/>
          <w:lang w:val="fr-FR"/>
        </w:rPr>
        <w:t xml:space="preserve">variables </w:t>
      </w:r>
      <w:r>
        <w:rPr>
          <w:noProof/>
          <w:lang w:val="fr-FR"/>
        </w:rPr>
        <w:t>présentées dans le deuxième se rapportent aux phases de la procédure pénale concernant les infractions enregistrées par les services de police, depuis la phase de l’enquête jusqu’au prononcé de la peine (condamnation)</w:t>
      </w:r>
      <w:r w:rsidRPr="00AF434B">
        <w:rPr>
          <w:noProof/>
          <w:lang w:val="fr-FR"/>
        </w:rPr>
        <w:t xml:space="preserve">. </w:t>
      </w:r>
    </w:p>
    <w:p w14:paraId="69A4BD5B" w14:textId="77777777" w:rsidR="00BF0619" w:rsidRPr="00AF434B" w:rsidRDefault="00BF0619" w:rsidP="00BF0619">
      <w:pPr>
        <w:pStyle w:val="SingleTxtG"/>
        <w:rPr>
          <w:noProof/>
          <w:lang w:val="fr-FR"/>
        </w:rPr>
      </w:pPr>
      <w:r w:rsidRPr="00AF434B">
        <w:rPr>
          <w:noProof/>
          <w:lang w:val="fr-FR"/>
        </w:rPr>
        <w:t>225.</w:t>
      </w:r>
      <w:r w:rsidRPr="00AF434B">
        <w:rPr>
          <w:noProof/>
          <w:lang w:val="fr-FR"/>
        </w:rPr>
        <w:tab/>
      </w:r>
      <w:r>
        <w:rPr>
          <w:noProof/>
          <w:lang w:val="fr-FR"/>
        </w:rPr>
        <w:t>Enfin, s’agissant des données disponibles sur les procédures judiciaires, il convient de noter ce qui suit</w:t>
      </w:r>
      <w:r w:rsidR="002C1A37">
        <w:rPr>
          <w:noProof/>
          <w:lang w:val="fr-FR"/>
        </w:rPr>
        <w:t> :</w:t>
      </w:r>
    </w:p>
    <w:p w14:paraId="70013149"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Les valeurs de données inférieures à</w:t>
      </w:r>
      <w:r w:rsidR="002C1A37">
        <w:rPr>
          <w:noProof/>
          <w:lang w:val="fr-FR"/>
        </w:rPr>
        <w:t> </w:t>
      </w:r>
      <w:r w:rsidRPr="00AF434B">
        <w:rPr>
          <w:noProof/>
          <w:lang w:val="fr-FR"/>
        </w:rPr>
        <w:t xml:space="preserve">3 </w:t>
      </w:r>
      <w:r>
        <w:rPr>
          <w:noProof/>
          <w:lang w:val="fr-FR"/>
        </w:rPr>
        <w:t>sont protégées par la confidentialité des données statistiques et ne sont pas divulguées, conformément à l’a</w:t>
      </w:r>
      <w:r w:rsidRPr="00AF434B">
        <w:rPr>
          <w:noProof/>
          <w:lang w:val="fr-FR"/>
        </w:rPr>
        <w:t>rticle</w:t>
      </w:r>
      <w:r w:rsidR="002C1A37">
        <w:rPr>
          <w:noProof/>
          <w:lang w:val="fr-FR"/>
        </w:rPr>
        <w:t> </w:t>
      </w:r>
      <w:r w:rsidRPr="00AF434B">
        <w:rPr>
          <w:noProof/>
          <w:lang w:val="fr-FR"/>
        </w:rPr>
        <w:t xml:space="preserve">6 </w:t>
      </w:r>
      <w:r>
        <w:rPr>
          <w:noProof/>
          <w:lang w:val="fr-FR"/>
        </w:rPr>
        <w:t xml:space="preserve">de la loi </w:t>
      </w:r>
      <w:r w:rsidR="002C1A37" w:rsidRPr="002C1A37">
        <w:rPr>
          <w:rFonts w:eastAsia="MS Mincho"/>
          <w:noProof/>
          <w:szCs w:val="22"/>
          <w:lang w:val="fr-FR"/>
        </w:rPr>
        <w:t>n</w:t>
      </w:r>
      <w:r w:rsidR="002C1A37" w:rsidRPr="002C1A37">
        <w:rPr>
          <w:rFonts w:eastAsia="MS Mincho"/>
          <w:noProof/>
          <w:szCs w:val="22"/>
          <w:vertAlign w:val="superscript"/>
          <w:lang w:val="fr-FR"/>
        </w:rPr>
        <w:t>o</w:t>
      </w:r>
      <w:r w:rsidR="002C1A37">
        <w:rPr>
          <w:rFonts w:eastAsia="MS Mincho"/>
          <w:noProof/>
          <w:szCs w:val="22"/>
          <w:vertAlign w:val="superscript"/>
          <w:lang w:val="fr-FR"/>
        </w:rPr>
        <w:t> </w:t>
      </w:r>
      <w:r>
        <w:rPr>
          <w:noProof/>
          <w:lang w:val="fr-FR"/>
        </w:rPr>
        <w:t>22/2008 du</w:t>
      </w:r>
      <w:r w:rsidRPr="00AF434B">
        <w:rPr>
          <w:noProof/>
          <w:lang w:val="fr-FR"/>
        </w:rPr>
        <w:t xml:space="preserve"> 13</w:t>
      </w:r>
      <w:r w:rsidR="002C1A37">
        <w:rPr>
          <w:noProof/>
          <w:lang w:val="fr-FR"/>
        </w:rPr>
        <w:t> </w:t>
      </w:r>
      <w:r>
        <w:rPr>
          <w:noProof/>
          <w:lang w:val="fr-FR"/>
        </w:rPr>
        <w:t>mai, qui consacre le principe de la confidentialité en statistique</w:t>
      </w:r>
      <w:r w:rsidRPr="00AF434B">
        <w:rPr>
          <w:noProof/>
          <w:lang w:val="fr-FR"/>
        </w:rPr>
        <w:t xml:space="preserve">. </w:t>
      </w:r>
      <w:r>
        <w:rPr>
          <w:noProof/>
          <w:lang w:val="fr-FR"/>
        </w:rPr>
        <w:t>Figurant parmi les principes fondamentaux du système statistique portugais, le principe de la confidentialité en statistique</w:t>
      </w:r>
      <w:r w:rsidRPr="00AF434B">
        <w:rPr>
          <w:noProof/>
          <w:lang w:val="fr-FR"/>
        </w:rPr>
        <w:t xml:space="preserve"> </w:t>
      </w:r>
      <w:r>
        <w:rPr>
          <w:noProof/>
          <w:lang w:val="fr-FR"/>
        </w:rPr>
        <w:t>vise à protéger la vie privée des citoyens et à maintenir la confiance dans ce système</w:t>
      </w:r>
      <w:r w:rsidR="002C1A37">
        <w:rPr>
          <w:noProof/>
          <w:lang w:val="fr-FR"/>
        </w:rPr>
        <w:t> ;</w:t>
      </w:r>
    </w:p>
    <w:p w14:paraId="78CCA691" w14:textId="77777777" w:rsidR="00BF0619" w:rsidRPr="00AF434B" w:rsidRDefault="00BF0619" w:rsidP="00BF0619">
      <w:pPr>
        <w:pStyle w:val="Bullet1G"/>
        <w:numPr>
          <w:ilvl w:val="0"/>
          <w:numId w:val="0"/>
        </w:numPr>
        <w:tabs>
          <w:tab w:val="left" w:pos="1701"/>
        </w:tabs>
        <w:ind w:left="1701" w:hanging="170"/>
        <w:rPr>
          <w:noProof/>
          <w:lang w:val="fr-FR"/>
        </w:rPr>
      </w:pPr>
      <w:r w:rsidRPr="00AF434B">
        <w:rPr>
          <w:noProof/>
          <w:lang w:val="fr-FR"/>
        </w:rPr>
        <w:t>•</w:t>
      </w:r>
      <w:r w:rsidRPr="00AF434B">
        <w:rPr>
          <w:noProof/>
          <w:lang w:val="fr-FR"/>
        </w:rPr>
        <w:tab/>
      </w:r>
      <w:r>
        <w:rPr>
          <w:noProof/>
          <w:lang w:val="fr-FR"/>
        </w:rPr>
        <w:t>Les données s</w:t>
      </w:r>
      <w:r w:rsidRPr="00AF434B">
        <w:rPr>
          <w:noProof/>
          <w:lang w:val="fr-FR"/>
        </w:rPr>
        <w:t>tatisti</w:t>
      </w:r>
      <w:r>
        <w:rPr>
          <w:noProof/>
          <w:lang w:val="fr-FR"/>
        </w:rPr>
        <w:t>ques sur les procédures engagées devant les tribunaux de première instance sont collectées dans le système informatique des tribunaux et représentent l’état d’avancement des procédures qui y sont enregistrées</w:t>
      </w:r>
      <w:r w:rsidRPr="00AF434B">
        <w:rPr>
          <w:noProof/>
          <w:lang w:val="fr-FR"/>
        </w:rPr>
        <w:t>.</w:t>
      </w:r>
    </w:p>
    <w:p w14:paraId="5E1EFBFD" w14:textId="77777777" w:rsidR="00BF0619" w:rsidRPr="00AF434B" w:rsidRDefault="00BF0619" w:rsidP="00BF0619">
      <w:pPr>
        <w:pStyle w:val="SingleTxtG"/>
        <w:rPr>
          <w:noProof/>
          <w:lang w:val="fr-FR"/>
        </w:rPr>
      </w:pPr>
      <w:r w:rsidRPr="00AF434B">
        <w:rPr>
          <w:noProof/>
          <w:lang w:val="fr-FR"/>
        </w:rPr>
        <w:t>226.</w:t>
      </w:r>
      <w:r w:rsidRPr="00AF434B">
        <w:rPr>
          <w:noProof/>
          <w:lang w:val="fr-FR"/>
        </w:rPr>
        <w:tab/>
      </w:r>
      <w:r>
        <w:rPr>
          <w:noProof/>
          <w:lang w:val="fr-FR"/>
        </w:rPr>
        <w:t>E</w:t>
      </w:r>
      <w:r w:rsidRPr="00AF434B">
        <w:rPr>
          <w:noProof/>
          <w:lang w:val="fr-FR"/>
        </w:rPr>
        <w:t xml:space="preserve">n </w:t>
      </w:r>
      <w:r>
        <w:rPr>
          <w:noProof/>
          <w:lang w:val="fr-FR"/>
        </w:rPr>
        <w:t xml:space="preserve">ce qui concerne les </w:t>
      </w:r>
      <w:r w:rsidRPr="00AF434B">
        <w:rPr>
          <w:noProof/>
          <w:lang w:val="fr-FR"/>
        </w:rPr>
        <w:t>information</w:t>
      </w:r>
      <w:r>
        <w:rPr>
          <w:noProof/>
          <w:lang w:val="fr-FR"/>
        </w:rPr>
        <w:t>s</w:t>
      </w:r>
      <w:r w:rsidRPr="00AF434B">
        <w:rPr>
          <w:noProof/>
          <w:lang w:val="fr-FR"/>
        </w:rPr>
        <w:t xml:space="preserve"> </w:t>
      </w:r>
      <w:r>
        <w:rPr>
          <w:noProof/>
          <w:lang w:val="fr-FR"/>
        </w:rPr>
        <w:t>demandées</w:t>
      </w:r>
      <w:r w:rsidRPr="00AF434B">
        <w:rPr>
          <w:noProof/>
          <w:lang w:val="fr-FR"/>
        </w:rPr>
        <w:t xml:space="preserve">, </w:t>
      </w:r>
      <w:r>
        <w:rPr>
          <w:noProof/>
          <w:lang w:val="fr-FR"/>
        </w:rPr>
        <w:t xml:space="preserve">on trouvera ci-après les données </w:t>
      </w:r>
      <w:r w:rsidRPr="00AF434B">
        <w:rPr>
          <w:noProof/>
          <w:lang w:val="fr-FR"/>
        </w:rPr>
        <w:t>statisti</w:t>
      </w:r>
      <w:r>
        <w:rPr>
          <w:noProof/>
          <w:lang w:val="fr-FR"/>
        </w:rPr>
        <w:t xml:space="preserve">ques disponibles pour la période allant de </w:t>
      </w:r>
      <w:r w:rsidRPr="00AF434B">
        <w:rPr>
          <w:noProof/>
          <w:lang w:val="fr-FR"/>
        </w:rPr>
        <w:t xml:space="preserve">2011 </w:t>
      </w:r>
      <w:r>
        <w:rPr>
          <w:noProof/>
          <w:lang w:val="fr-FR"/>
        </w:rPr>
        <w:t>à</w:t>
      </w:r>
      <w:r w:rsidRPr="00AF434B">
        <w:rPr>
          <w:noProof/>
          <w:lang w:val="fr-FR"/>
        </w:rPr>
        <w:t xml:space="preserve"> 2017</w:t>
      </w:r>
      <w:r>
        <w:rPr>
          <w:noProof/>
          <w:lang w:val="fr-FR"/>
        </w:rPr>
        <w:t>.</w:t>
      </w:r>
    </w:p>
    <w:p w14:paraId="65B607BA" w14:textId="77777777" w:rsidR="00BF0619" w:rsidRPr="00AF434B" w:rsidRDefault="00BF0619" w:rsidP="00BF0619">
      <w:pPr>
        <w:pStyle w:val="H23G"/>
        <w:rPr>
          <w:noProof/>
          <w:lang w:val="fr-FR"/>
        </w:rPr>
      </w:pPr>
      <w:r w:rsidRPr="00AF434B">
        <w:rPr>
          <w:noProof/>
          <w:lang w:val="fr-FR"/>
        </w:rPr>
        <w:tab/>
      </w:r>
      <w:r w:rsidRPr="00AF434B">
        <w:rPr>
          <w:noProof/>
          <w:lang w:val="fr-FR"/>
        </w:rPr>
        <w:tab/>
      </w:r>
      <w:r>
        <w:rPr>
          <w:noProof/>
          <w:lang w:val="fr-FR"/>
        </w:rPr>
        <w:t xml:space="preserve">Infraction de traite des personnes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40"/>
        <w:gridCol w:w="490"/>
        <w:gridCol w:w="490"/>
        <w:gridCol w:w="490"/>
        <w:gridCol w:w="490"/>
        <w:gridCol w:w="490"/>
        <w:gridCol w:w="490"/>
        <w:gridCol w:w="490"/>
      </w:tblGrid>
      <w:tr w:rsidR="00BF0619" w:rsidRPr="00AF434B" w14:paraId="4F610863" w14:textId="77777777" w:rsidTr="005A4D3A">
        <w:trPr>
          <w:cantSplit/>
          <w:tblHeader/>
        </w:trPr>
        <w:tc>
          <w:tcPr>
            <w:tcW w:w="3940" w:type="dxa"/>
            <w:tcBorders>
              <w:top w:val="single" w:sz="4" w:space="0" w:color="auto"/>
              <w:bottom w:val="single" w:sz="12" w:space="0" w:color="auto"/>
            </w:tcBorders>
            <w:shd w:val="clear" w:color="auto" w:fill="auto"/>
            <w:vAlign w:val="bottom"/>
          </w:tcPr>
          <w:p w14:paraId="13535D37" w14:textId="77777777" w:rsidR="00BF0619" w:rsidRPr="00AF434B" w:rsidRDefault="00BF0619" w:rsidP="005A4D3A">
            <w:pPr>
              <w:pStyle w:val="SingleTxtG"/>
              <w:spacing w:before="80" w:after="80" w:line="200" w:lineRule="exact"/>
              <w:ind w:left="0" w:right="113"/>
              <w:jc w:val="left"/>
              <w:rPr>
                <w:i/>
                <w:noProof/>
                <w:sz w:val="16"/>
                <w:lang w:val="fr-FR"/>
              </w:rPr>
            </w:pPr>
            <w:r>
              <w:rPr>
                <w:i/>
                <w:noProof/>
                <w:sz w:val="16"/>
                <w:lang w:val="fr-FR"/>
              </w:rPr>
              <w:t>Année</w:t>
            </w:r>
          </w:p>
        </w:tc>
        <w:tc>
          <w:tcPr>
            <w:tcW w:w="490" w:type="dxa"/>
            <w:tcBorders>
              <w:top w:val="single" w:sz="4" w:space="0" w:color="auto"/>
              <w:bottom w:val="single" w:sz="12" w:space="0" w:color="auto"/>
            </w:tcBorders>
            <w:shd w:val="clear" w:color="auto" w:fill="auto"/>
            <w:vAlign w:val="bottom"/>
          </w:tcPr>
          <w:p w14:paraId="002BB704"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2011</w:t>
            </w:r>
          </w:p>
        </w:tc>
        <w:tc>
          <w:tcPr>
            <w:tcW w:w="490" w:type="dxa"/>
            <w:tcBorders>
              <w:top w:val="single" w:sz="4" w:space="0" w:color="auto"/>
              <w:bottom w:val="single" w:sz="12" w:space="0" w:color="auto"/>
            </w:tcBorders>
            <w:shd w:val="clear" w:color="auto" w:fill="auto"/>
            <w:vAlign w:val="bottom"/>
          </w:tcPr>
          <w:p w14:paraId="2818B220"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2012</w:t>
            </w:r>
          </w:p>
        </w:tc>
        <w:tc>
          <w:tcPr>
            <w:tcW w:w="490" w:type="dxa"/>
            <w:tcBorders>
              <w:top w:val="single" w:sz="4" w:space="0" w:color="auto"/>
              <w:bottom w:val="single" w:sz="12" w:space="0" w:color="auto"/>
            </w:tcBorders>
            <w:shd w:val="clear" w:color="auto" w:fill="auto"/>
            <w:vAlign w:val="bottom"/>
          </w:tcPr>
          <w:p w14:paraId="56764CC4"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2013</w:t>
            </w:r>
          </w:p>
        </w:tc>
        <w:tc>
          <w:tcPr>
            <w:tcW w:w="490" w:type="dxa"/>
            <w:tcBorders>
              <w:top w:val="single" w:sz="4" w:space="0" w:color="auto"/>
              <w:bottom w:val="single" w:sz="12" w:space="0" w:color="auto"/>
            </w:tcBorders>
            <w:shd w:val="clear" w:color="auto" w:fill="auto"/>
            <w:vAlign w:val="bottom"/>
          </w:tcPr>
          <w:p w14:paraId="136BECF3"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2014</w:t>
            </w:r>
          </w:p>
        </w:tc>
        <w:tc>
          <w:tcPr>
            <w:tcW w:w="490" w:type="dxa"/>
            <w:tcBorders>
              <w:top w:val="single" w:sz="4" w:space="0" w:color="auto"/>
              <w:bottom w:val="single" w:sz="12" w:space="0" w:color="auto"/>
            </w:tcBorders>
            <w:shd w:val="clear" w:color="auto" w:fill="auto"/>
            <w:vAlign w:val="bottom"/>
          </w:tcPr>
          <w:p w14:paraId="2E6DCF6A"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2015</w:t>
            </w:r>
          </w:p>
        </w:tc>
        <w:tc>
          <w:tcPr>
            <w:tcW w:w="490" w:type="dxa"/>
            <w:tcBorders>
              <w:top w:val="single" w:sz="4" w:space="0" w:color="auto"/>
              <w:bottom w:val="single" w:sz="12" w:space="0" w:color="auto"/>
            </w:tcBorders>
            <w:shd w:val="clear" w:color="auto" w:fill="auto"/>
            <w:vAlign w:val="bottom"/>
          </w:tcPr>
          <w:p w14:paraId="45BAE4A2"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2016</w:t>
            </w:r>
          </w:p>
        </w:tc>
        <w:tc>
          <w:tcPr>
            <w:tcW w:w="490" w:type="dxa"/>
            <w:tcBorders>
              <w:top w:val="single" w:sz="4" w:space="0" w:color="auto"/>
              <w:bottom w:val="single" w:sz="12" w:space="0" w:color="auto"/>
            </w:tcBorders>
            <w:shd w:val="clear" w:color="auto" w:fill="auto"/>
            <w:vAlign w:val="bottom"/>
          </w:tcPr>
          <w:p w14:paraId="2DE1ED80" w14:textId="77777777" w:rsidR="00BF0619" w:rsidRPr="00AF434B" w:rsidRDefault="00BF0619" w:rsidP="005A4D3A">
            <w:pPr>
              <w:pStyle w:val="SingleTxtG"/>
              <w:spacing w:before="80" w:after="80" w:line="200" w:lineRule="exact"/>
              <w:ind w:left="0" w:right="113"/>
              <w:jc w:val="right"/>
              <w:rPr>
                <w:i/>
                <w:noProof/>
                <w:sz w:val="16"/>
                <w:lang w:val="fr-FR"/>
              </w:rPr>
            </w:pPr>
            <w:r w:rsidRPr="00AF434B">
              <w:rPr>
                <w:i/>
                <w:noProof/>
                <w:sz w:val="16"/>
                <w:lang w:val="fr-FR"/>
              </w:rPr>
              <w:t>2017</w:t>
            </w:r>
          </w:p>
        </w:tc>
      </w:tr>
      <w:tr w:rsidR="00BF0619" w:rsidRPr="00AF434B" w14:paraId="1D9988CC" w14:textId="77777777" w:rsidTr="005A4D3A">
        <w:trPr>
          <w:cantSplit/>
        </w:trPr>
        <w:tc>
          <w:tcPr>
            <w:tcW w:w="3940" w:type="dxa"/>
            <w:tcBorders>
              <w:top w:val="single" w:sz="12" w:space="0" w:color="auto"/>
            </w:tcBorders>
            <w:shd w:val="clear" w:color="auto" w:fill="auto"/>
          </w:tcPr>
          <w:p w14:paraId="588BA357"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 xml:space="preserve">ombre de </w:t>
            </w:r>
            <w:r w:rsidRPr="00AF434B">
              <w:rPr>
                <w:noProof/>
                <w:sz w:val="18"/>
                <w:lang w:val="fr-FR"/>
              </w:rPr>
              <w:t>victim</w:t>
            </w:r>
            <w:r>
              <w:rPr>
                <w:noProof/>
                <w:sz w:val="18"/>
                <w:lang w:val="fr-FR"/>
              </w:rPr>
              <w:t>e</w:t>
            </w:r>
            <w:r w:rsidRPr="00AF434B">
              <w:rPr>
                <w:noProof/>
                <w:sz w:val="18"/>
                <w:lang w:val="fr-FR"/>
              </w:rPr>
              <w:t>s</w:t>
            </w:r>
          </w:p>
        </w:tc>
        <w:tc>
          <w:tcPr>
            <w:tcW w:w="490" w:type="dxa"/>
            <w:tcBorders>
              <w:top w:val="single" w:sz="12" w:space="0" w:color="auto"/>
            </w:tcBorders>
            <w:shd w:val="clear" w:color="auto" w:fill="auto"/>
            <w:vAlign w:val="bottom"/>
          </w:tcPr>
          <w:p w14:paraId="0006379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7</w:t>
            </w:r>
          </w:p>
        </w:tc>
        <w:tc>
          <w:tcPr>
            <w:tcW w:w="490" w:type="dxa"/>
            <w:tcBorders>
              <w:top w:val="single" w:sz="12" w:space="0" w:color="auto"/>
            </w:tcBorders>
            <w:shd w:val="clear" w:color="auto" w:fill="auto"/>
            <w:vAlign w:val="bottom"/>
          </w:tcPr>
          <w:p w14:paraId="098F86C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w:t>
            </w:r>
          </w:p>
        </w:tc>
        <w:tc>
          <w:tcPr>
            <w:tcW w:w="490" w:type="dxa"/>
            <w:tcBorders>
              <w:top w:val="single" w:sz="12" w:space="0" w:color="auto"/>
            </w:tcBorders>
            <w:shd w:val="clear" w:color="auto" w:fill="auto"/>
            <w:vAlign w:val="bottom"/>
          </w:tcPr>
          <w:p w14:paraId="623261D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12</w:t>
            </w:r>
          </w:p>
        </w:tc>
        <w:tc>
          <w:tcPr>
            <w:tcW w:w="490" w:type="dxa"/>
            <w:tcBorders>
              <w:top w:val="single" w:sz="12" w:space="0" w:color="auto"/>
            </w:tcBorders>
            <w:shd w:val="clear" w:color="auto" w:fill="auto"/>
            <w:vAlign w:val="bottom"/>
          </w:tcPr>
          <w:p w14:paraId="41E0BC5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86</w:t>
            </w:r>
          </w:p>
        </w:tc>
        <w:tc>
          <w:tcPr>
            <w:tcW w:w="490" w:type="dxa"/>
            <w:tcBorders>
              <w:top w:val="single" w:sz="12" w:space="0" w:color="auto"/>
            </w:tcBorders>
            <w:shd w:val="clear" w:color="auto" w:fill="auto"/>
            <w:vAlign w:val="bottom"/>
          </w:tcPr>
          <w:p w14:paraId="65A6E6B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23</w:t>
            </w:r>
          </w:p>
        </w:tc>
        <w:tc>
          <w:tcPr>
            <w:tcW w:w="490" w:type="dxa"/>
            <w:tcBorders>
              <w:top w:val="single" w:sz="12" w:space="0" w:color="auto"/>
            </w:tcBorders>
            <w:shd w:val="clear" w:color="auto" w:fill="auto"/>
            <w:vAlign w:val="bottom"/>
          </w:tcPr>
          <w:p w14:paraId="4EEDFDC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36</w:t>
            </w:r>
          </w:p>
        </w:tc>
        <w:tc>
          <w:tcPr>
            <w:tcW w:w="490" w:type="dxa"/>
            <w:tcBorders>
              <w:top w:val="single" w:sz="12" w:space="0" w:color="auto"/>
            </w:tcBorders>
            <w:shd w:val="clear" w:color="auto" w:fill="auto"/>
            <w:vAlign w:val="bottom"/>
          </w:tcPr>
          <w:p w14:paraId="1B2CB7F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36</w:t>
            </w:r>
          </w:p>
        </w:tc>
      </w:tr>
      <w:tr w:rsidR="00BF0619" w:rsidRPr="00AF434B" w14:paraId="6160A48E" w14:textId="77777777" w:rsidTr="005A4D3A">
        <w:trPr>
          <w:cantSplit/>
        </w:trPr>
        <w:tc>
          <w:tcPr>
            <w:tcW w:w="3940" w:type="dxa"/>
            <w:shd w:val="clear" w:color="auto" w:fill="auto"/>
          </w:tcPr>
          <w:p w14:paraId="2621B155"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 xml:space="preserve">ombre de </w:t>
            </w:r>
            <w:r w:rsidRPr="00AF434B">
              <w:rPr>
                <w:noProof/>
                <w:sz w:val="18"/>
                <w:lang w:val="fr-FR"/>
              </w:rPr>
              <w:t xml:space="preserve">suspects </w:t>
            </w:r>
          </w:p>
        </w:tc>
        <w:tc>
          <w:tcPr>
            <w:tcW w:w="490" w:type="dxa"/>
            <w:shd w:val="clear" w:color="auto" w:fill="auto"/>
            <w:vAlign w:val="bottom"/>
          </w:tcPr>
          <w:p w14:paraId="759CDEB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21</w:t>
            </w:r>
          </w:p>
        </w:tc>
        <w:tc>
          <w:tcPr>
            <w:tcW w:w="490" w:type="dxa"/>
            <w:shd w:val="clear" w:color="auto" w:fill="auto"/>
            <w:vAlign w:val="bottom"/>
          </w:tcPr>
          <w:p w14:paraId="1E18442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17</w:t>
            </w:r>
          </w:p>
        </w:tc>
        <w:tc>
          <w:tcPr>
            <w:tcW w:w="490" w:type="dxa"/>
            <w:shd w:val="clear" w:color="auto" w:fill="auto"/>
            <w:vAlign w:val="bottom"/>
          </w:tcPr>
          <w:p w14:paraId="23FC79B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36</w:t>
            </w:r>
          </w:p>
        </w:tc>
        <w:tc>
          <w:tcPr>
            <w:tcW w:w="490" w:type="dxa"/>
            <w:shd w:val="clear" w:color="auto" w:fill="auto"/>
            <w:vAlign w:val="bottom"/>
          </w:tcPr>
          <w:p w14:paraId="27D7507B"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43</w:t>
            </w:r>
          </w:p>
        </w:tc>
        <w:tc>
          <w:tcPr>
            <w:tcW w:w="490" w:type="dxa"/>
            <w:shd w:val="clear" w:color="auto" w:fill="auto"/>
            <w:vAlign w:val="bottom"/>
          </w:tcPr>
          <w:p w14:paraId="0A374C1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30</w:t>
            </w:r>
          </w:p>
        </w:tc>
        <w:tc>
          <w:tcPr>
            <w:tcW w:w="490" w:type="dxa"/>
            <w:shd w:val="clear" w:color="auto" w:fill="auto"/>
            <w:vAlign w:val="bottom"/>
          </w:tcPr>
          <w:p w14:paraId="066EB3D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20</w:t>
            </w:r>
          </w:p>
        </w:tc>
        <w:tc>
          <w:tcPr>
            <w:tcW w:w="490" w:type="dxa"/>
            <w:shd w:val="clear" w:color="auto" w:fill="auto"/>
            <w:vAlign w:val="bottom"/>
          </w:tcPr>
          <w:p w14:paraId="5FF5523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30</w:t>
            </w:r>
          </w:p>
        </w:tc>
      </w:tr>
      <w:tr w:rsidR="00BF0619" w:rsidRPr="00AF434B" w14:paraId="08032FCF" w14:textId="77777777" w:rsidTr="005A4D3A">
        <w:trPr>
          <w:cantSplit/>
        </w:trPr>
        <w:tc>
          <w:tcPr>
            <w:tcW w:w="3940" w:type="dxa"/>
            <w:shd w:val="clear" w:color="auto" w:fill="auto"/>
          </w:tcPr>
          <w:p w14:paraId="5395D6D8"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ombre d’infractions enregistrées</w:t>
            </w:r>
          </w:p>
        </w:tc>
        <w:tc>
          <w:tcPr>
            <w:tcW w:w="490" w:type="dxa"/>
            <w:shd w:val="clear" w:color="auto" w:fill="auto"/>
            <w:vAlign w:val="bottom"/>
          </w:tcPr>
          <w:p w14:paraId="365FEE9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25</w:t>
            </w:r>
          </w:p>
        </w:tc>
        <w:tc>
          <w:tcPr>
            <w:tcW w:w="490" w:type="dxa"/>
            <w:shd w:val="clear" w:color="auto" w:fill="auto"/>
            <w:vAlign w:val="bottom"/>
          </w:tcPr>
          <w:p w14:paraId="1950F3B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22</w:t>
            </w:r>
          </w:p>
        </w:tc>
        <w:tc>
          <w:tcPr>
            <w:tcW w:w="490" w:type="dxa"/>
            <w:shd w:val="clear" w:color="auto" w:fill="auto"/>
            <w:vAlign w:val="bottom"/>
          </w:tcPr>
          <w:p w14:paraId="51A1A92A"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28</w:t>
            </w:r>
          </w:p>
        </w:tc>
        <w:tc>
          <w:tcPr>
            <w:tcW w:w="490" w:type="dxa"/>
            <w:shd w:val="clear" w:color="auto" w:fill="auto"/>
            <w:vAlign w:val="bottom"/>
          </w:tcPr>
          <w:p w14:paraId="41E37E42"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48</w:t>
            </w:r>
          </w:p>
        </w:tc>
        <w:tc>
          <w:tcPr>
            <w:tcW w:w="490" w:type="dxa"/>
            <w:shd w:val="clear" w:color="auto" w:fill="auto"/>
            <w:vAlign w:val="bottom"/>
          </w:tcPr>
          <w:p w14:paraId="4F6F873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53</w:t>
            </w:r>
          </w:p>
        </w:tc>
        <w:tc>
          <w:tcPr>
            <w:tcW w:w="490" w:type="dxa"/>
            <w:shd w:val="clear" w:color="auto" w:fill="auto"/>
            <w:vAlign w:val="bottom"/>
          </w:tcPr>
          <w:p w14:paraId="04A214C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51</w:t>
            </w:r>
          </w:p>
        </w:tc>
        <w:tc>
          <w:tcPr>
            <w:tcW w:w="490" w:type="dxa"/>
            <w:shd w:val="clear" w:color="auto" w:fill="auto"/>
            <w:vAlign w:val="bottom"/>
          </w:tcPr>
          <w:p w14:paraId="5903F60D"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40</w:t>
            </w:r>
          </w:p>
        </w:tc>
      </w:tr>
      <w:tr w:rsidR="00BF0619" w:rsidRPr="00AF434B" w14:paraId="124E466D" w14:textId="77777777" w:rsidTr="005A4D3A">
        <w:trPr>
          <w:cantSplit/>
        </w:trPr>
        <w:tc>
          <w:tcPr>
            <w:tcW w:w="3940" w:type="dxa"/>
            <w:tcBorders>
              <w:bottom w:val="nil"/>
            </w:tcBorders>
            <w:shd w:val="clear" w:color="auto" w:fill="auto"/>
          </w:tcPr>
          <w:p w14:paraId="7D4DDEEE"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ombre de procédures</w:t>
            </w:r>
          </w:p>
        </w:tc>
        <w:tc>
          <w:tcPr>
            <w:tcW w:w="490" w:type="dxa"/>
            <w:tcBorders>
              <w:bottom w:val="nil"/>
            </w:tcBorders>
            <w:shd w:val="clear" w:color="auto" w:fill="auto"/>
            <w:vAlign w:val="bottom"/>
          </w:tcPr>
          <w:p w14:paraId="2F6E3C49"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w:t>
            </w:r>
          </w:p>
        </w:tc>
        <w:tc>
          <w:tcPr>
            <w:tcW w:w="490" w:type="dxa"/>
            <w:tcBorders>
              <w:bottom w:val="nil"/>
            </w:tcBorders>
            <w:shd w:val="clear" w:color="auto" w:fill="auto"/>
            <w:vAlign w:val="bottom"/>
          </w:tcPr>
          <w:p w14:paraId="330B7EA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w:t>
            </w:r>
          </w:p>
        </w:tc>
        <w:tc>
          <w:tcPr>
            <w:tcW w:w="490" w:type="dxa"/>
            <w:tcBorders>
              <w:bottom w:val="nil"/>
            </w:tcBorders>
            <w:shd w:val="clear" w:color="auto" w:fill="auto"/>
            <w:vAlign w:val="bottom"/>
          </w:tcPr>
          <w:p w14:paraId="5B07C1F6"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w:t>
            </w:r>
          </w:p>
        </w:tc>
        <w:tc>
          <w:tcPr>
            <w:tcW w:w="490" w:type="dxa"/>
            <w:tcBorders>
              <w:bottom w:val="nil"/>
            </w:tcBorders>
            <w:shd w:val="clear" w:color="auto" w:fill="auto"/>
            <w:vAlign w:val="bottom"/>
          </w:tcPr>
          <w:p w14:paraId="53A8D1A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4</w:t>
            </w:r>
          </w:p>
        </w:tc>
        <w:tc>
          <w:tcPr>
            <w:tcW w:w="490" w:type="dxa"/>
            <w:tcBorders>
              <w:bottom w:val="nil"/>
            </w:tcBorders>
            <w:shd w:val="clear" w:color="auto" w:fill="auto"/>
            <w:vAlign w:val="bottom"/>
          </w:tcPr>
          <w:p w14:paraId="0E800B5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w:t>
            </w:r>
          </w:p>
        </w:tc>
        <w:tc>
          <w:tcPr>
            <w:tcW w:w="490" w:type="dxa"/>
            <w:tcBorders>
              <w:bottom w:val="nil"/>
            </w:tcBorders>
            <w:shd w:val="clear" w:color="auto" w:fill="auto"/>
            <w:vAlign w:val="bottom"/>
          </w:tcPr>
          <w:p w14:paraId="613F3B34"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5</w:t>
            </w:r>
          </w:p>
        </w:tc>
        <w:tc>
          <w:tcPr>
            <w:tcW w:w="490" w:type="dxa"/>
            <w:tcBorders>
              <w:bottom w:val="nil"/>
            </w:tcBorders>
            <w:shd w:val="clear" w:color="auto" w:fill="auto"/>
            <w:vAlign w:val="bottom"/>
          </w:tcPr>
          <w:p w14:paraId="51CF21BE" w14:textId="77777777" w:rsidR="00BF0619" w:rsidRPr="00AF434B" w:rsidRDefault="00BF0619" w:rsidP="005A4D3A">
            <w:pPr>
              <w:pStyle w:val="SingleTxtG"/>
              <w:spacing w:before="40" w:after="40" w:line="220" w:lineRule="exact"/>
              <w:ind w:left="0" w:right="113"/>
              <w:jc w:val="right"/>
              <w:rPr>
                <w:noProof/>
                <w:sz w:val="18"/>
                <w:lang w:val="fr-FR"/>
              </w:rPr>
            </w:pPr>
            <w:r>
              <w:rPr>
                <w:noProof/>
                <w:sz w:val="18"/>
                <w:lang w:val="fr-FR"/>
              </w:rPr>
              <w:t>n.d.</w:t>
            </w:r>
          </w:p>
        </w:tc>
      </w:tr>
      <w:tr w:rsidR="00BF0619" w:rsidRPr="00AF434B" w14:paraId="0AC40F42" w14:textId="77777777" w:rsidTr="005A4D3A">
        <w:trPr>
          <w:cantSplit/>
        </w:trPr>
        <w:tc>
          <w:tcPr>
            <w:tcW w:w="3940" w:type="dxa"/>
            <w:tcBorders>
              <w:top w:val="nil"/>
              <w:bottom w:val="nil"/>
            </w:tcBorders>
            <w:shd w:val="clear" w:color="auto" w:fill="auto"/>
          </w:tcPr>
          <w:p w14:paraId="5FF07340"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 xml:space="preserve">ombre de personnes </w:t>
            </w:r>
            <w:r w:rsidRPr="00AF434B">
              <w:rPr>
                <w:noProof/>
                <w:sz w:val="18"/>
                <w:lang w:val="fr-FR"/>
              </w:rPr>
              <w:t>accus</w:t>
            </w:r>
            <w:r>
              <w:rPr>
                <w:noProof/>
                <w:sz w:val="18"/>
                <w:lang w:val="fr-FR"/>
              </w:rPr>
              <w:t>é</w:t>
            </w:r>
            <w:r w:rsidRPr="00AF434B">
              <w:rPr>
                <w:noProof/>
                <w:sz w:val="18"/>
                <w:lang w:val="fr-FR"/>
              </w:rPr>
              <w:t>e</w:t>
            </w:r>
            <w:r>
              <w:rPr>
                <w:noProof/>
                <w:sz w:val="18"/>
                <w:lang w:val="fr-FR"/>
              </w:rPr>
              <w:t>s de cette</w:t>
            </w:r>
            <w:r w:rsidRPr="00AF434B">
              <w:rPr>
                <w:noProof/>
                <w:sz w:val="18"/>
                <w:lang w:val="fr-FR"/>
              </w:rPr>
              <w:t xml:space="preserve"> </w:t>
            </w:r>
            <w:r>
              <w:rPr>
                <w:noProof/>
                <w:sz w:val="18"/>
                <w:lang w:val="fr-FR"/>
              </w:rPr>
              <w:t>infraction</w:t>
            </w:r>
          </w:p>
        </w:tc>
        <w:tc>
          <w:tcPr>
            <w:tcW w:w="490" w:type="dxa"/>
            <w:tcBorders>
              <w:top w:val="nil"/>
              <w:bottom w:val="nil"/>
            </w:tcBorders>
            <w:shd w:val="clear" w:color="auto" w:fill="auto"/>
            <w:vAlign w:val="bottom"/>
          </w:tcPr>
          <w:p w14:paraId="26824C2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10</w:t>
            </w:r>
          </w:p>
        </w:tc>
        <w:tc>
          <w:tcPr>
            <w:tcW w:w="490" w:type="dxa"/>
            <w:tcBorders>
              <w:top w:val="nil"/>
              <w:bottom w:val="nil"/>
            </w:tcBorders>
            <w:shd w:val="clear" w:color="auto" w:fill="auto"/>
            <w:vAlign w:val="bottom"/>
          </w:tcPr>
          <w:p w14:paraId="6FB0F95E"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14</w:t>
            </w:r>
          </w:p>
        </w:tc>
        <w:tc>
          <w:tcPr>
            <w:tcW w:w="490" w:type="dxa"/>
            <w:tcBorders>
              <w:top w:val="nil"/>
              <w:bottom w:val="nil"/>
            </w:tcBorders>
            <w:shd w:val="clear" w:color="auto" w:fill="auto"/>
            <w:vAlign w:val="bottom"/>
          </w:tcPr>
          <w:p w14:paraId="735B6CA1"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28</w:t>
            </w:r>
          </w:p>
        </w:tc>
        <w:tc>
          <w:tcPr>
            <w:tcW w:w="490" w:type="dxa"/>
            <w:tcBorders>
              <w:top w:val="nil"/>
              <w:bottom w:val="nil"/>
            </w:tcBorders>
            <w:shd w:val="clear" w:color="auto" w:fill="auto"/>
            <w:vAlign w:val="bottom"/>
          </w:tcPr>
          <w:p w14:paraId="15634278"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31</w:t>
            </w:r>
          </w:p>
        </w:tc>
        <w:tc>
          <w:tcPr>
            <w:tcW w:w="490" w:type="dxa"/>
            <w:tcBorders>
              <w:top w:val="nil"/>
              <w:bottom w:val="nil"/>
            </w:tcBorders>
            <w:shd w:val="clear" w:color="auto" w:fill="auto"/>
            <w:vAlign w:val="bottom"/>
          </w:tcPr>
          <w:p w14:paraId="1BF9B150"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6</w:t>
            </w:r>
          </w:p>
        </w:tc>
        <w:tc>
          <w:tcPr>
            <w:tcW w:w="490" w:type="dxa"/>
            <w:tcBorders>
              <w:top w:val="nil"/>
              <w:bottom w:val="nil"/>
            </w:tcBorders>
            <w:shd w:val="clear" w:color="auto" w:fill="auto"/>
            <w:vAlign w:val="bottom"/>
          </w:tcPr>
          <w:p w14:paraId="55141AFC"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19</w:t>
            </w:r>
          </w:p>
        </w:tc>
        <w:tc>
          <w:tcPr>
            <w:tcW w:w="490" w:type="dxa"/>
            <w:tcBorders>
              <w:top w:val="nil"/>
              <w:bottom w:val="nil"/>
            </w:tcBorders>
            <w:shd w:val="clear" w:color="auto" w:fill="auto"/>
            <w:vAlign w:val="bottom"/>
          </w:tcPr>
          <w:p w14:paraId="7F5C15FA" w14:textId="77777777" w:rsidR="00BF0619" w:rsidRPr="00AF434B" w:rsidRDefault="00BF0619" w:rsidP="005A4D3A">
            <w:pPr>
              <w:pStyle w:val="SingleTxtG"/>
              <w:spacing w:before="40" w:after="40" w:line="220" w:lineRule="exact"/>
              <w:ind w:left="0" w:right="113"/>
              <w:jc w:val="right"/>
              <w:rPr>
                <w:noProof/>
                <w:sz w:val="18"/>
                <w:lang w:val="fr-FR"/>
              </w:rPr>
            </w:pPr>
            <w:r>
              <w:rPr>
                <w:noProof/>
                <w:sz w:val="18"/>
                <w:lang w:val="fr-FR"/>
              </w:rPr>
              <w:t>n.d.</w:t>
            </w:r>
          </w:p>
        </w:tc>
      </w:tr>
      <w:tr w:rsidR="00BF0619" w:rsidRPr="00AF434B" w14:paraId="0E28F795" w14:textId="77777777" w:rsidTr="005A4D3A">
        <w:trPr>
          <w:cantSplit/>
        </w:trPr>
        <w:tc>
          <w:tcPr>
            <w:tcW w:w="3940" w:type="dxa"/>
            <w:tcBorders>
              <w:top w:val="nil"/>
            </w:tcBorders>
            <w:shd w:val="clear" w:color="auto" w:fill="auto"/>
          </w:tcPr>
          <w:p w14:paraId="1E8A1F23" w14:textId="77777777" w:rsidR="00BF0619" w:rsidRPr="00AF434B" w:rsidRDefault="00BF0619" w:rsidP="005A4D3A">
            <w:pPr>
              <w:pStyle w:val="SingleTxtG"/>
              <w:spacing w:before="40" w:after="40" w:line="220" w:lineRule="exact"/>
              <w:ind w:left="0" w:right="113"/>
              <w:jc w:val="left"/>
              <w:rPr>
                <w:noProof/>
                <w:sz w:val="18"/>
                <w:lang w:val="fr-FR"/>
              </w:rPr>
            </w:pPr>
            <w:r w:rsidRPr="00AF434B">
              <w:rPr>
                <w:noProof/>
                <w:sz w:val="18"/>
                <w:lang w:val="fr-FR"/>
              </w:rPr>
              <w:t>N</w:t>
            </w:r>
            <w:r>
              <w:rPr>
                <w:noProof/>
                <w:sz w:val="18"/>
                <w:lang w:val="fr-FR"/>
              </w:rPr>
              <w:t>ombre d’auteurs condamnés</w:t>
            </w:r>
          </w:p>
        </w:tc>
        <w:tc>
          <w:tcPr>
            <w:tcW w:w="490" w:type="dxa"/>
            <w:tcBorders>
              <w:top w:val="nil"/>
            </w:tcBorders>
            <w:shd w:val="clear" w:color="auto" w:fill="auto"/>
            <w:vAlign w:val="bottom"/>
          </w:tcPr>
          <w:p w14:paraId="33D9321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w:t>
            </w:r>
          </w:p>
        </w:tc>
        <w:tc>
          <w:tcPr>
            <w:tcW w:w="490" w:type="dxa"/>
            <w:tcBorders>
              <w:top w:val="nil"/>
            </w:tcBorders>
            <w:shd w:val="clear" w:color="auto" w:fill="auto"/>
            <w:vAlign w:val="bottom"/>
          </w:tcPr>
          <w:p w14:paraId="2E648FC7"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10</w:t>
            </w:r>
          </w:p>
        </w:tc>
        <w:tc>
          <w:tcPr>
            <w:tcW w:w="490" w:type="dxa"/>
            <w:tcBorders>
              <w:top w:val="nil"/>
            </w:tcBorders>
            <w:shd w:val="clear" w:color="auto" w:fill="auto"/>
            <w:vAlign w:val="bottom"/>
          </w:tcPr>
          <w:p w14:paraId="62EC87D4"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9</w:t>
            </w:r>
          </w:p>
        </w:tc>
        <w:tc>
          <w:tcPr>
            <w:tcW w:w="490" w:type="dxa"/>
            <w:tcBorders>
              <w:top w:val="nil"/>
            </w:tcBorders>
            <w:shd w:val="clear" w:color="auto" w:fill="auto"/>
            <w:vAlign w:val="bottom"/>
          </w:tcPr>
          <w:p w14:paraId="2723B53F"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22</w:t>
            </w:r>
          </w:p>
        </w:tc>
        <w:tc>
          <w:tcPr>
            <w:tcW w:w="490" w:type="dxa"/>
            <w:tcBorders>
              <w:top w:val="nil"/>
            </w:tcBorders>
            <w:shd w:val="clear" w:color="auto" w:fill="auto"/>
            <w:vAlign w:val="bottom"/>
          </w:tcPr>
          <w:p w14:paraId="1FECF493"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w:t>
            </w:r>
          </w:p>
        </w:tc>
        <w:tc>
          <w:tcPr>
            <w:tcW w:w="490" w:type="dxa"/>
            <w:tcBorders>
              <w:top w:val="nil"/>
            </w:tcBorders>
            <w:shd w:val="clear" w:color="auto" w:fill="auto"/>
            <w:vAlign w:val="bottom"/>
          </w:tcPr>
          <w:p w14:paraId="606F7834" w14:textId="77777777" w:rsidR="00BF0619" w:rsidRPr="00AF434B" w:rsidRDefault="00BF0619" w:rsidP="005A4D3A">
            <w:pPr>
              <w:pStyle w:val="SingleTxtG"/>
              <w:spacing w:before="40" w:after="40" w:line="220" w:lineRule="exact"/>
              <w:ind w:left="0" w:right="113"/>
              <w:jc w:val="right"/>
              <w:rPr>
                <w:noProof/>
                <w:sz w:val="18"/>
                <w:lang w:val="fr-FR"/>
              </w:rPr>
            </w:pPr>
            <w:r w:rsidRPr="00AF434B">
              <w:rPr>
                <w:noProof/>
                <w:sz w:val="18"/>
                <w:lang w:val="fr-FR"/>
              </w:rPr>
              <w:t>10</w:t>
            </w:r>
          </w:p>
        </w:tc>
        <w:tc>
          <w:tcPr>
            <w:tcW w:w="490" w:type="dxa"/>
            <w:tcBorders>
              <w:top w:val="nil"/>
            </w:tcBorders>
            <w:shd w:val="clear" w:color="auto" w:fill="auto"/>
            <w:vAlign w:val="bottom"/>
          </w:tcPr>
          <w:p w14:paraId="2F6343B3" w14:textId="77777777" w:rsidR="00BF0619" w:rsidRPr="00AF434B" w:rsidRDefault="00BF0619" w:rsidP="005A4D3A">
            <w:pPr>
              <w:pStyle w:val="SingleTxtG"/>
              <w:spacing w:before="40" w:after="40" w:line="220" w:lineRule="exact"/>
              <w:ind w:left="0" w:right="113"/>
              <w:jc w:val="right"/>
              <w:rPr>
                <w:noProof/>
                <w:sz w:val="18"/>
                <w:lang w:val="fr-FR"/>
              </w:rPr>
            </w:pPr>
            <w:r>
              <w:rPr>
                <w:noProof/>
                <w:sz w:val="18"/>
                <w:lang w:val="fr-FR"/>
              </w:rPr>
              <w:t>n.d.</w:t>
            </w:r>
          </w:p>
        </w:tc>
      </w:tr>
    </w:tbl>
    <w:p w14:paraId="54AEC287" w14:textId="77777777" w:rsidR="00BF0619" w:rsidRPr="00AF434B" w:rsidRDefault="00BF0619" w:rsidP="00BF0619">
      <w:pPr>
        <w:pStyle w:val="SingleTxtG"/>
        <w:spacing w:before="120" w:after="240"/>
        <w:ind w:firstLine="170"/>
        <w:jc w:val="left"/>
        <w:rPr>
          <w:noProof/>
          <w:sz w:val="18"/>
          <w:lang w:val="fr-FR"/>
        </w:rPr>
      </w:pPr>
      <w:r w:rsidRPr="00AF434B">
        <w:rPr>
          <w:noProof/>
          <w:sz w:val="18"/>
          <w:lang w:val="fr-FR"/>
        </w:rPr>
        <w:t>* --</w:t>
      </w:r>
      <w:r w:rsidR="002C1A37">
        <w:rPr>
          <w:noProof/>
          <w:sz w:val="18"/>
          <w:lang w:val="fr-FR"/>
        </w:rPr>
        <w:t> </w:t>
      </w:r>
      <w:r w:rsidRPr="00AF434B">
        <w:rPr>
          <w:noProof/>
          <w:sz w:val="18"/>
          <w:lang w:val="fr-FR"/>
        </w:rPr>
        <w:t>: Information</w:t>
      </w:r>
      <w:r>
        <w:rPr>
          <w:noProof/>
          <w:sz w:val="18"/>
          <w:lang w:val="fr-FR"/>
        </w:rPr>
        <w:t>s</w:t>
      </w:r>
      <w:r w:rsidRPr="00AF434B">
        <w:rPr>
          <w:noProof/>
          <w:sz w:val="18"/>
          <w:lang w:val="fr-FR"/>
        </w:rPr>
        <w:t xml:space="preserve"> </w:t>
      </w:r>
      <w:r>
        <w:rPr>
          <w:noProof/>
          <w:sz w:val="18"/>
          <w:lang w:val="fr-FR"/>
        </w:rPr>
        <w:t>couvertes par le secret statistique</w:t>
      </w:r>
      <w:r w:rsidRPr="00AF434B">
        <w:rPr>
          <w:noProof/>
          <w:sz w:val="18"/>
          <w:lang w:val="fr-FR"/>
        </w:rPr>
        <w:t xml:space="preserve">; </w:t>
      </w:r>
      <w:r>
        <w:rPr>
          <w:noProof/>
          <w:sz w:val="18"/>
          <w:lang w:val="fr-FR"/>
        </w:rPr>
        <w:t>n.d.</w:t>
      </w:r>
      <w:r w:rsidR="002C1A37">
        <w:rPr>
          <w:noProof/>
          <w:sz w:val="18"/>
          <w:lang w:val="fr-FR"/>
        </w:rPr>
        <w:t> </w:t>
      </w:r>
      <w:r w:rsidRPr="00AF434B">
        <w:rPr>
          <w:noProof/>
          <w:sz w:val="18"/>
          <w:lang w:val="fr-FR"/>
        </w:rPr>
        <w:t>: information</w:t>
      </w:r>
      <w:r>
        <w:rPr>
          <w:noProof/>
          <w:sz w:val="18"/>
          <w:lang w:val="fr-FR"/>
        </w:rPr>
        <w:t>s</w:t>
      </w:r>
      <w:r w:rsidRPr="00AF434B">
        <w:rPr>
          <w:noProof/>
          <w:sz w:val="18"/>
          <w:lang w:val="fr-FR"/>
        </w:rPr>
        <w:t xml:space="preserve"> no</w:t>
      </w:r>
      <w:r>
        <w:rPr>
          <w:noProof/>
          <w:sz w:val="18"/>
          <w:lang w:val="fr-FR"/>
        </w:rPr>
        <w:t>n encore disponibles</w:t>
      </w:r>
      <w:r w:rsidRPr="00AF434B">
        <w:rPr>
          <w:noProof/>
          <w:sz w:val="18"/>
          <w:lang w:val="fr-FR"/>
        </w:rPr>
        <w:t xml:space="preserve">. </w:t>
      </w:r>
      <w:r>
        <w:rPr>
          <w:noProof/>
          <w:sz w:val="18"/>
          <w:lang w:val="fr-FR"/>
        </w:rPr>
        <w:t xml:space="preserve">Les données relatives aux affaires clôturées devant les tribunaux de première instance en </w:t>
      </w:r>
      <w:r w:rsidRPr="00AF434B">
        <w:rPr>
          <w:noProof/>
          <w:sz w:val="18"/>
          <w:lang w:val="fr-FR"/>
        </w:rPr>
        <w:t xml:space="preserve">2017 </w:t>
      </w:r>
      <w:r>
        <w:rPr>
          <w:noProof/>
          <w:sz w:val="18"/>
          <w:lang w:val="fr-FR"/>
        </w:rPr>
        <w:t>ne deviendront disponibles que le 31</w:t>
      </w:r>
      <w:r w:rsidR="002C1A37">
        <w:rPr>
          <w:noProof/>
          <w:sz w:val="18"/>
          <w:lang w:val="fr-FR"/>
        </w:rPr>
        <w:t> </w:t>
      </w:r>
      <w:r>
        <w:rPr>
          <w:noProof/>
          <w:sz w:val="18"/>
          <w:lang w:val="fr-FR"/>
        </w:rPr>
        <w:t>o</w:t>
      </w:r>
      <w:r w:rsidRPr="00AF434B">
        <w:rPr>
          <w:noProof/>
          <w:sz w:val="18"/>
          <w:lang w:val="fr-FR"/>
        </w:rPr>
        <w:t>ctob</w:t>
      </w:r>
      <w:r>
        <w:rPr>
          <w:noProof/>
          <w:sz w:val="18"/>
          <w:lang w:val="fr-FR"/>
        </w:rPr>
        <w:t>re</w:t>
      </w:r>
      <w:r w:rsidRPr="00AF434B">
        <w:rPr>
          <w:noProof/>
          <w:sz w:val="18"/>
          <w:lang w:val="fr-FR"/>
        </w:rPr>
        <w:t xml:space="preserve"> 2018.</w:t>
      </w:r>
    </w:p>
    <w:p w14:paraId="4F69A61C" w14:textId="77777777" w:rsidR="00BF0619" w:rsidRPr="00AF434B" w:rsidRDefault="00BF0619" w:rsidP="00BF0619">
      <w:pPr>
        <w:pStyle w:val="SingleTxtG"/>
        <w:rPr>
          <w:noProof/>
          <w:lang w:val="fr-FR"/>
        </w:rPr>
      </w:pPr>
      <w:r w:rsidRPr="00AF434B">
        <w:rPr>
          <w:noProof/>
          <w:lang w:val="fr-FR"/>
        </w:rPr>
        <w:t>227.</w:t>
      </w:r>
      <w:r w:rsidRPr="00AF434B">
        <w:rPr>
          <w:noProof/>
          <w:lang w:val="fr-FR"/>
        </w:rPr>
        <w:tab/>
      </w:r>
      <w:r>
        <w:rPr>
          <w:noProof/>
          <w:lang w:val="fr-FR"/>
        </w:rPr>
        <w:t xml:space="preserve">Les </w:t>
      </w:r>
      <w:r w:rsidRPr="00AF434B">
        <w:rPr>
          <w:noProof/>
          <w:lang w:val="fr-FR"/>
        </w:rPr>
        <w:t>m</w:t>
      </w:r>
      <w:r>
        <w:rPr>
          <w:noProof/>
          <w:lang w:val="fr-FR"/>
        </w:rPr>
        <w:t>é</w:t>
      </w:r>
      <w:r w:rsidRPr="00AF434B">
        <w:rPr>
          <w:noProof/>
          <w:lang w:val="fr-FR"/>
        </w:rPr>
        <w:t>thod</w:t>
      </w:r>
      <w:r>
        <w:rPr>
          <w:noProof/>
          <w:lang w:val="fr-FR"/>
        </w:rPr>
        <w:t>e</w:t>
      </w:r>
      <w:r w:rsidRPr="00AF434B">
        <w:rPr>
          <w:noProof/>
          <w:lang w:val="fr-FR"/>
        </w:rPr>
        <w:t xml:space="preserve">s </w:t>
      </w:r>
      <w:r>
        <w:rPr>
          <w:noProof/>
          <w:lang w:val="fr-FR"/>
        </w:rPr>
        <w:t xml:space="preserve">de collecte et de présentation des données statistiques actuellement utilisées fournissent toutes les informations nécessaires à l’établissement du nombre de victimes de l’infraction de traite </w:t>
      </w:r>
      <w:r w:rsidRPr="00BB3DD1">
        <w:t xml:space="preserve">à des fins </w:t>
      </w:r>
      <w:r w:rsidRPr="00E00C95">
        <w:rPr>
          <w:noProof/>
          <w:lang w:val="fr-FR"/>
        </w:rPr>
        <w:t>d’exploitation sexuelle ou d’autres formes d’exploitation comme le travail forcé, ainsi que du nombre de personnes poursuivies et condamnées pour ces actes.</w:t>
      </w:r>
    </w:p>
    <w:p w14:paraId="23165DAF" w14:textId="77777777" w:rsidR="00BF0619" w:rsidRPr="00AF434B" w:rsidRDefault="00BF0619" w:rsidP="00BF0619">
      <w:pPr>
        <w:pStyle w:val="H1G"/>
        <w:rPr>
          <w:noProof/>
          <w:lang w:val="fr-FR"/>
        </w:rPr>
      </w:pPr>
      <w:r w:rsidRPr="00AF434B">
        <w:rPr>
          <w:noProof/>
          <w:lang w:val="fr-FR"/>
        </w:rPr>
        <w:tab/>
      </w:r>
      <w:r w:rsidRPr="00AF434B">
        <w:rPr>
          <w:noProof/>
          <w:lang w:val="fr-FR"/>
        </w:rPr>
        <w:tab/>
        <w:t>Articles</w:t>
      </w:r>
      <w:r w:rsidR="002C1A37">
        <w:rPr>
          <w:noProof/>
          <w:lang w:val="fr-FR"/>
        </w:rPr>
        <w:t> </w:t>
      </w:r>
      <w:r w:rsidRPr="00AF434B">
        <w:rPr>
          <w:noProof/>
          <w:lang w:val="fr-FR"/>
        </w:rPr>
        <w:t xml:space="preserve">9 </w:t>
      </w:r>
      <w:r>
        <w:rPr>
          <w:noProof/>
          <w:lang w:val="fr-FR"/>
        </w:rPr>
        <w:t>et</w:t>
      </w:r>
      <w:r w:rsidRPr="00AF434B">
        <w:rPr>
          <w:noProof/>
          <w:lang w:val="fr-FR"/>
        </w:rPr>
        <w:t xml:space="preserve"> 10</w:t>
      </w:r>
    </w:p>
    <w:p w14:paraId="2C14D06D" w14:textId="77777777" w:rsidR="00BF0619" w:rsidRPr="00AF434B" w:rsidRDefault="00BF0619" w:rsidP="00BF0619">
      <w:pPr>
        <w:pStyle w:val="H23G"/>
        <w:rPr>
          <w:noProof/>
          <w:lang w:val="fr-FR"/>
        </w:rPr>
      </w:pPr>
      <w:r w:rsidRPr="00AF434B">
        <w:rPr>
          <w:noProof/>
          <w:lang w:val="fr-FR"/>
        </w:rPr>
        <w:tab/>
      </w:r>
      <w:r w:rsidRPr="00AF434B">
        <w:rPr>
          <w:noProof/>
          <w:lang w:val="fr-FR"/>
        </w:rPr>
        <w:tab/>
      </w:r>
      <w:r w:rsidRPr="00BB3DD1">
        <w:t xml:space="preserve">Le </w:t>
      </w:r>
      <w:r w:rsidRPr="00E00C95">
        <w:rPr>
          <w:noProof/>
          <w:lang w:val="fr-FR"/>
        </w:rPr>
        <w:t>Comité craint que la durée moyenne de la détention avant jugement ne soit excessivement longue, puisque pour près de 20 % des détenus elle est supérieure à une</w:t>
      </w:r>
      <w:r w:rsidR="002C1A37">
        <w:rPr>
          <w:noProof/>
          <w:lang w:val="fr-FR"/>
        </w:rPr>
        <w:t> </w:t>
      </w:r>
      <w:r w:rsidRPr="00E00C95">
        <w:rPr>
          <w:noProof/>
          <w:lang w:val="fr-FR"/>
        </w:rPr>
        <w:t>année. Il constate aussi avec préoccupation que les prévenus ne sont pas séparés des condamnés</w:t>
      </w:r>
      <w:r w:rsidRPr="00BB3DD1">
        <w:t xml:space="preserve">  </w:t>
      </w:r>
    </w:p>
    <w:p w14:paraId="358CB4DF" w14:textId="77777777" w:rsidR="00BF0619" w:rsidRPr="00AF434B" w:rsidRDefault="00BF0619" w:rsidP="00BF0619">
      <w:pPr>
        <w:pStyle w:val="SingleTxtG"/>
        <w:rPr>
          <w:noProof/>
          <w:lang w:val="fr-FR"/>
        </w:rPr>
      </w:pPr>
      <w:r w:rsidRPr="00AF434B">
        <w:rPr>
          <w:noProof/>
          <w:lang w:val="fr-FR"/>
        </w:rPr>
        <w:t>228.</w:t>
      </w:r>
      <w:r w:rsidRPr="00AF434B">
        <w:rPr>
          <w:noProof/>
          <w:lang w:val="fr-FR"/>
        </w:rPr>
        <w:tab/>
      </w:r>
      <w:r>
        <w:rPr>
          <w:noProof/>
          <w:lang w:val="fr-FR"/>
        </w:rPr>
        <w:t>En vertu de la législation portugaise relative à la procédure pénale</w:t>
      </w:r>
      <w:r w:rsidRPr="00AF434B">
        <w:rPr>
          <w:noProof/>
          <w:lang w:val="fr-FR"/>
        </w:rPr>
        <w:t xml:space="preserve">, </w:t>
      </w:r>
      <w:r>
        <w:rPr>
          <w:noProof/>
          <w:lang w:val="fr-FR"/>
        </w:rPr>
        <w:t>la détention avant jugement est une mesure coercitive de caractère exceptionnel</w:t>
      </w:r>
      <w:r w:rsidRPr="00AF434B">
        <w:rPr>
          <w:noProof/>
          <w:lang w:val="fr-FR"/>
        </w:rPr>
        <w:t xml:space="preserve">. </w:t>
      </w:r>
      <w:r>
        <w:rPr>
          <w:noProof/>
          <w:lang w:val="fr-FR"/>
        </w:rPr>
        <w:t xml:space="preserve">La </w:t>
      </w:r>
      <w:r w:rsidRPr="00AF434B">
        <w:rPr>
          <w:noProof/>
          <w:lang w:val="fr-FR"/>
        </w:rPr>
        <w:t>d</w:t>
      </w:r>
      <w:r>
        <w:rPr>
          <w:noProof/>
          <w:lang w:val="fr-FR"/>
        </w:rPr>
        <w:t>é</w:t>
      </w:r>
      <w:r w:rsidRPr="00AF434B">
        <w:rPr>
          <w:noProof/>
          <w:lang w:val="fr-FR"/>
        </w:rPr>
        <w:t xml:space="preserve">cision </w:t>
      </w:r>
      <w:r>
        <w:rPr>
          <w:noProof/>
          <w:lang w:val="fr-FR"/>
        </w:rPr>
        <w:t>d’appliquer et/ou de modifier cette mesure est soumise à des conditions, garanties et délais stricts et relève de la compétence des tribunaux</w:t>
      </w:r>
      <w:r w:rsidRPr="00AF434B">
        <w:rPr>
          <w:noProof/>
          <w:lang w:val="fr-FR"/>
        </w:rPr>
        <w:t xml:space="preserve">. </w:t>
      </w:r>
    </w:p>
    <w:p w14:paraId="7203AF97" w14:textId="77777777" w:rsidR="00BF0619" w:rsidRPr="00AF434B" w:rsidRDefault="00BF0619" w:rsidP="00BF0619">
      <w:pPr>
        <w:pStyle w:val="SingleTxtG"/>
        <w:rPr>
          <w:noProof/>
          <w:lang w:val="fr-FR"/>
        </w:rPr>
      </w:pPr>
      <w:r w:rsidRPr="00AF434B">
        <w:rPr>
          <w:noProof/>
          <w:lang w:val="fr-FR"/>
        </w:rPr>
        <w:t>229.</w:t>
      </w:r>
      <w:r w:rsidRPr="00AF434B">
        <w:rPr>
          <w:noProof/>
          <w:lang w:val="fr-FR"/>
        </w:rPr>
        <w:tab/>
      </w:r>
      <w:r>
        <w:rPr>
          <w:noProof/>
          <w:lang w:val="fr-FR"/>
        </w:rPr>
        <w:t>Selon les données disponibles les plus récentes, le taux de détention avant jugement était de</w:t>
      </w:r>
      <w:r w:rsidRPr="00AF434B">
        <w:rPr>
          <w:noProof/>
          <w:lang w:val="fr-FR"/>
        </w:rPr>
        <w:t xml:space="preserve"> 16</w:t>
      </w:r>
      <w:r>
        <w:rPr>
          <w:noProof/>
          <w:lang w:val="fr-FR"/>
        </w:rPr>
        <w:t>,</w:t>
      </w:r>
      <w:r w:rsidRPr="00AF434B">
        <w:rPr>
          <w:noProof/>
          <w:lang w:val="fr-FR"/>
        </w:rPr>
        <w:t>6</w:t>
      </w:r>
      <w:r w:rsidR="002C1A37">
        <w:rPr>
          <w:noProof/>
          <w:lang w:val="fr-FR"/>
        </w:rPr>
        <w:t> </w:t>
      </w:r>
      <w:r w:rsidRPr="00AF434B">
        <w:rPr>
          <w:noProof/>
          <w:lang w:val="fr-FR"/>
        </w:rPr>
        <w:t xml:space="preserve">%, </w:t>
      </w:r>
      <w:r>
        <w:rPr>
          <w:noProof/>
          <w:lang w:val="fr-FR"/>
        </w:rPr>
        <w:t xml:space="preserve">ce qui le place à un niveau sensiblement inférieur au taux moyen des pays membres du Conseil de l’Europe, soit </w:t>
      </w:r>
      <w:r w:rsidRPr="00AF434B">
        <w:rPr>
          <w:noProof/>
          <w:lang w:val="fr-FR"/>
        </w:rPr>
        <w:t>23</w:t>
      </w:r>
      <w:r>
        <w:rPr>
          <w:noProof/>
          <w:lang w:val="fr-FR"/>
        </w:rPr>
        <w:t>,</w:t>
      </w:r>
      <w:r w:rsidRPr="00AF434B">
        <w:rPr>
          <w:noProof/>
          <w:lang w:val="fr-FR"/>
        </w:rPr>
        <w:t>7</w:t>
      </w:r>
      <w:r w:rsidR="002C1A37">
        <w:rPr>
          <w:noProof/>
          <w:lang w:val="fr-FR"/>
        </w:rPr>
        <w:t> </w:t>
      </w:r>
      <w:r w:rsidRPr="00AF434B">
        <w:rPr>
          <w:noProof/>
          <w:lang w:val="fr-FR"/>
        </w:rPr>
        <w:t>% (</w:t>
      </w:r>
      <w:r>
        <w:rPr>
          <w:noProof/>
          <w:lang w:val="fr-FR"/>
        </w:rPr>
        <w:t xml:space="preserve">projet </w:t>
      </w:r>
      <w:r w:rsidRPr="00AF434B">
        <w:rPr>
          <w:noProof/>
          <w:lang w:val="fr-FR"/>
        </w:rPr>
        <w:t>SPACE</w:t>
      </w:r>
      <w:r w:rsidR="002C1A37">
        <w:rPr>
          <w:noProof/>
          <w:lang w:val="fr-FR"/>
        </w:rPr>
        <w:t> </w:t>
      </w:r>
      <w:r w:rsidRPr="00AF434B">
        <w:rPr>
          <w:noProof/>
          <w:lang w:val="fr-FR"/>
        </w:rPr>
        <w:t>I</w:t>
      </w:r>
      <w:r w:rsidR="00F678BA">
        <w:rPr>
          <w:noProof/>
          <w:lang w:val="fr-FR"/>
        </w:rPr>
        <w:t xml:space="preserve"> − </w:t>
      </w:r>
      <w:r>
        <w:rPr>
          <w:noProof/>
          <w:lang w:val="fr-FR"/>
        </w:rPr>
        <w:t>2016, p</w:t>
      </w:r>
      <w:r w:rsidRPr="00AF434B">
        <w:rPr>
          <w:noProof/>
          <w:lang w:val="fr-FR"/>
        </w:rPr>
        <w:t>.</w:t>
      </w:r>
      <w:r w:rsidR="002C1A37">
        <w:rPr>
          <w:noProof/>
          <w:lang w:val="fr-FR"/>
        </w:rPr>
        <w:t> </w:t>
      </w:r>
      <w:r w:rsidRPr="00AF434B">
        <w:rPr>
          <w:noProof/>
          <w:lang w:val="fr-FR"/>
        </w:rPr>
        <w:t>76).</w:t>
      </w:r>
    </w:p>
    <w:p w14:paraId="1274393B" w14:textId="77777777" w:rsidR="00BF0619" w:rsidRPr="00AF434B" w:rsidRDefault="00BF0619" w:rsidP="00BF0619">
      <w:pPr>
        <w:pStyle w:val="SingleTxtG"/>
        <w:rPr>
          <w:noProof/>
          <w:lang w:val="fr-FR"/>
        </w:rPr>
      </w:pPr>
      <w:r w:rsidRPr="00AF434B">
        <w:rPr>
          <w:noProof/>
          <w:lang w:val="fr-FR"/>
        </w:rPr>
        <w:t>230.</w:t>
      </w:r>
      <w:r w:rsidRPr="00AF434B">
        <w:rPr>
          <w:noProof/>
          <w:lang w:val="fr-FR"/>
        </w:rPr>
        <w:tab/>
      </w:r>
      <w:r>
        <w:rPr>
          <w:noProof/>
          <w:lang w:val="fr-FR"/>
        </w:rPr>
        <w:t>En ce qui concerne la deuxième partie de la recomma</w:t>
      </w:r>
      <w:r w:rsidRPr="00AF434B">
        <w:rPr>
          <w:noProof/>
          <w:lang w:val="fr-FR"/>
        </w:rPr>
        <w:t>ndation</w:t>
      </w:r>
      <w:r>
        <w:rPr>
          <w:noProof/>
          <w:lang w:val="fr-FR"/>
        </w:rPr>
        <w:t xml:space="preserve"> du Comité</w:t>
      </w:r>
      <w:r w:rsidRPr="00AF434B">
        <w:rPr>
          <w:noProof/>
          <w:lang w:val="fr-FR"/>
        </w:rPr>
        <w:t xml:space="preserve">, </w:t>
      </w:r>
      <w:r>
        <w:rPr>
          <w:noProof/>
          <w:lang w:val="fr-FR"/>
        </w:rPr>
        <w:t>on notera que le système pénitentiaire portugais dispose d’établissements et d’unités de détention spécialisées utilisés pour les prévenus. De plus, dans les établissementes pénitentiaires accueillant des prévenus et des condamnés, ces détenus sont séparés et placés dans des quartiers différents</w:t>
      </w:r>
      <w:r w:rsidRPr="00AF434B">
        <w:rPr>
          <w:noProof/>
          <w:lang w:val="fr-FR"/>
        </w:rPr>
        <w:t>.</w:t>
      </w:r>
    </w:p>
    <w:p w14:paraId="0FC44C33" w14:textId="77777777" w:rsidR="00BF0619" w:rsidRPr="00AF434B" w:rsidRDefault="00BF0619" w:rsidP="00BF0619">
      <w:pPr>
        <w:pStyle w:val="H1G"/>
        <w:rPr>
          <w:noProof/>
          <w:lang w:val="fr-FR"/>
        </w:rPr>
      </w:pPr>
      <w:r w:rsidRPr="00AF434B">
        <w:rPr>
          <w:noProof/>
          <w:lang w:val="fr-FR"/>
        </w:rPr>
        <w:tab/>
      </w:r>
      <w:r w:rsidRPr="00AF434B">
        <w:rPr>
          <w:noProof/>
          <w:lang w:val="fr-FR"/>
        </w:rPr>
        <w:tab/>
        <w:t>Article 14</w:t>
      </w:r>
    </w:p>
    <w:p w14:paraId="78AC0A1B" w14:textId="77777777" w:rsidR="00BF0619" w:rsidRPr="00B52706" w:rsidRDefault="00BF0619" w:rsidP="00BF0619">
      <w:pPr>
        <w:pStyle w:val="H23G"/>
        <w:rPr>
          <w:noProof/>
        </w:rPr>
      </w:pPr>
      <w:r w:rsidRPr="00AF434B">
        <w:rPr>
          <w:noProof/>
          <w:lang w:val="fr-FR"/>
        </w:rPr>
        <w:tab/>
      </w:r>
      <w:r w:rsidRPr="00AF434B">
        <w:rPr>
          <w:noProof/>
          <w:lang w:val="fr-FR"/>
        </w:rPr>
        <w:tab/>
      </w:r>
      <w:r w:rsidRPr="00271401">
        <w:rPr>
          <w:noProof/>
          <w:lang w:val="fr-FR"/>
        </w:rPr>
        <w:t>Le Comité note avec préoccupation que les particuliers n’ont pas le droit d’assurer eux-mêmes leur défense dans une procédure pénale, puisque le ministère d’un avocat est obligatoire, en violation du paragraphe 3 d) de l’article 14 du Pacte (voir communication n</w:t>
      </w:r>
      <w:r w:rsidRPr="00271401">
        <w:rPr>
          <w:noProof/>
          <w:vertAlign w:val="superscript"/>
          <w:lang w:val="fr-FR"/>
        </w:rPr>
        <w:t>o</w:t>
      </w:r>
      <w:r w:rsidRPr="00271401">
        <w:rPr>
          <w:noProof/>
          <w:lang w:val="fr-FR"/>
        </w:rPr>
        <w:t xml:space="preserve"> 1123/2002, </w:t>
      </w:r>
      <w:r w:rsidRPr="00271401">
        <w:rPr>
          <w:i/>
          <w:noProof/>
          <w:lang w:val="fr-FR"/>
        </w:rPr>
        <w:t>Correia de Matas</w:t>
      </w:r>
      <w:r w:rsidRPr="00271401">
        <w:rPr>
          <w:noProof/>
          <w:lang w:val="fr-FR"/>
        </w:rPr>
        <w:t xml:space="preserve"> c.</w:t>
      </w:r>
      <w:r w:rsidR="00B52706">
        <w:rPr>
          <w:i/>
          <w:noProof/>
          <w:lang w:val="fr-FR"/>
        </w:rPr>
        <w:t> </w:t>
      </w:r>
      <w:r w:rsidRPr="00271401">
        <w:rPr>
          <w:i/>
          <w:noProof/>
          <w:lang w:val="fr-FR"/>
        </w:rPr>
        <w:t>Portugal</w:t>
      </w:r>
      <w:r w:rsidRPr="00271401">
        <w:rPr>
          <w:noProof/>
          <w:lang w:val="fr-FR"/>
        </w:rPr>
        <w:t>, constatations adoptées le</w:t>
      </w:r>
      <w:r w:rsidR="00B52706">
        <w:rPr>
          <w:noProof/>
          <w:lang w:val="fr-FR"/>
        </w:rPr>
        <w:t> </w:t>
      </w:r>
      <w:r w:rsidRPr="00271401">
        <w:rPr>
          <w:noProof/>
          <w:lang w:val="fr-FR"/>
        </w:rPr>
        <w:t>28 mars 2006</w:t>
      </w:r>
      <w:r w:rsidRPr="00BB3DD1">
        <w:t>)</w:t>
      </w:r>
    </w:p>
    <w:p w14:paraId="7B0C95E1" w14:textId="77777777" w:rsidR="00BF0619" w:rsidRPr="00AF434B" w:rsidRDefault="00BF0619" w:rsidP="00BF0619">
      <w:pPr>
        <w:pStyle w:val="SingleTxtG"/>
        <w:rPr>
          <w:noProof/>
          <w:lang w:val="fr-FR"/>
        </w:rPr>
      </w:pPr>
      <w:r w:rsidRPr="00AF434B">
        <w:rPr>
          <w:noProof/>
          <w:lang w:val="fr-FR"/>
        </w:rPr>
        <w:t>231.</w:t>
      </w:r>
      <w:r w:rsidRPr="00AF434B">
        <w:rPr>
          <w:noProof/>
          <w:lang w:val="fr-FR"/>
        </w:rPr>
        <w:tab/>
      </w:r>
      <w:r>
        <w:rPr>
          <w:noProof/>
          <w:lang w:val="fr-FR"/>
        </w:rPr>
        <w:t xml:space="preserve">En vertu de la législation portugaise, les prévenus jouent un rôle actif dans la procédure pénale, indépendamment de la défense technique qui est assurée par leur avocat. En fait, le prévenu a notamment le droit d’assister à tous les actes de procédure qui le concernent directement et de se faire entendre du tribunal ou du juge d’instruction chaque </w:t>
      </w:r>
      <w:r w:rsidR="00F678BA">
        <w:rPr>
          <w:noProof/>
          <w:lang w:val="fr-FR"/>
        </w:rPr>
        <w:t xml:space="preserve">fois </w:t>
      </w:r>
      <w:r>
        <w:rPr>
          <w:noProof/>
          <w:lang w:val="fr-FR"/>
        </w:rPr>
        <w:t xml:space="preserve">que celui-ci doit rendre une </w:t>
      </w:r>
      <w:r w:rsidRPr="00AF434B">
        <w:rPr>
          <w:noProof/>
          <w:lang w:val="fr-FR"/>
        </w:rPr>
        <w:t>d</w:t>
      </w:r>
      <w:r>
        <w:rPr>
          <w:noProof/>
          <w:lang w:val="fr-FR"/>
        </w:rPr>
        <w:t>é</w:t>
      </w:r>
      <w:r w:rsidRPr="00AF434B">
        <w:rPr>
          <w:noProof/>
          <w:lang w:val="fr-FR"/>
        </w:rPr>
        <w:t xml:space="preserve">cision </w:t>
      </w:r>
      <w:r>
        <w:rPr>
          <w:noProof/>
          <w:lang w:val="fr-FR"/>
        </w:rPr>
        <w:t>susceptible de l’affecter personnellement</w:t>
      </w:r>
      <w:r w:rsidRPr="00AF434B">
        <w:rPr>
          <w:noProof/>
          <w:lang w:val="fr-FR"/>
        </w:rPr>
        <w:t xml:space="preserve"> (art</w:t>
      </w:r>
      <w:r>
        <w:rPr>
          <w:noProof/>
          <w:lang w:val="fr-FR"/>
        </w:rPr>
        <w:t>.</w:t>
      </w:r>
      <w:r w:rsidR="00F678BA">
        <w:rPr>
          <w:noProof/>
          <w:lang w:val="fr-FR"/>
        </w:rPr>
        <w:t> </w:t>
      </w:r>
      <w:r w:rsidRPr="00AF434B">
        <w:rPr>
          <w:noProof/>
          <w:lang w:val="fr-FR"/>
        </w:rPr>
        <w:t xml:space="preserve">61 </w:t>
      </w:r>
      <w:r>
        <w:rPr>
          <w:noProof/>
          <w:lang w:val="fr-FR"/>
        </w:rPr>
        <w:t>du Code de procédure pénale</w:t>
      </w:r>
      <w:r w:rsidRPr="00AF434B">
        <w:rPr>
          <w:noProof/>
          <w:lang w:val="fr-FR"/>
        </w:rPr>
        <w:t xml:space="preserve">). </w:t>
      </w:r>
      <w:r>
        <w:rPr>
          <w:noProof/>
          <w:lang w:val="fr-FR"/>
        </w:rPr>
        <w:t>Si l’avocat représente bien le prévenu et, à ce titre, exerce les droits que la loi reconnaît aux prévenus, il ne peut pas exercer les droits conférés au prévenu à titre personnel</w:t>
      </w:r>
      <w:r w:rsidRPr="00AF434B">
        <w:rPr>
          <w:noProof/>
          <w:lang w:val="fr-FR"/>
        </w:rPr>
        <w:t xml:space="preserve">. </w:t>
      </w:r>
      <w:r>
        <w:rPr>
          <w:noProof/>
          <w:lang w:val="fr-FR"/>
        </w:rPr>
        <w:t xml:space="preserve">Qui plus est, s’il n’est pas d’accord avec un acte que l’avocat a accompli en son nom, le prévenu peut le rendre sans effet juridique </w:t>
      </w:r>
      <w:r w:rsidR="00B52706">
        <w:rPr>
          <w:noProof/>
          <w:lang w:val="fr-FR"/>
        </w:rPr>
        <w:t>− </w:t>
      </w:r>
      <w:r>
        <w:rPr>
          <w:noProof/>
          <w:lang w:val="fr-FR"/>
        </w:rPr>
        <w:t xml:space="preserve">il suffit pour cela qu’il fasse une déclaration expresse avant qu’une décision ne soit rendue sur l’acte en question </w:t>
      </w:r>
      <w:r w:rsidRPr="00AF434B">
        <w:rPr>
          <w:noProof/>
          <w:lang w:val="fr-FR"/>
        </w:rPr>
        <w:t>(art</w:t>
      </w:r>
      <w:r>
        <w:rPr>
          <w:noProof/>
          <w:lang w:val="fr-FR"/>
        </w:rPr>
        <w:t>.</w:t>
      </w:r>
      <w:r w:rsidR="00B52706">
        <w:rPr>
          <w:noProof/>
          <w:lang w:val="fr-FR"/>
        </w:rPr>
        <w:t> </w:t>
      </w:r>
      <w:r w:rsidRPr="00AF434B">
        <w:rPr>
          <w:noProof/>
          <w:lang w:val="fr-FR"/>
        </w:rPr>
        <w:t xml:space="preserve">63 </w:t>
      </w:r>
      <w:r>
        <w:rPr>
          <w:noProof/>
          <w:lang w:val="fr-FR"/>
        </w:rPr>
        <w:t>du Code de procédure pénale</w:t>
      </w:r>
      <w:r w:rsidRPr="00AF434B">
        <w:rPr>
          <w:noProof/>
          <w:lang w:val="fr-FR"/>
        </w:rPr>
        <w:t>).</w:t>
      </w:r>
    </w:p>
    <w:p w14:paraId="2CDEE47B" w14:textId="77777777" w:rsidR="00BF0619" w:rsidRPr="00AF434B" w:rsidRDefault="00BF0619" w:rsidP="00BF0619">
      <w:pPr>
        <w:pStyle w:val="SingleTxtG"/>
        <w:rPr>
          <w:noProof/>
          <w:lang w:val="fr-FR"/>
        </w:rPr>
      </w:pPr>
      <w:r w:rsidRPr="00AF434B">
        <w:rPr>
          <w:noProof/>
          <w:lang w:val="fr-FR"/>
        </w:rPr>
        <w:t>232.</w:t>
      </w:r>
      <w:r w:rsidRPr="00AF434B">
        <w:rPr>
          <w:noProof/>
          <w:lang w:val="fr-FR"/>
        </w:rPr>
        <w:tab/>
      </w:r>
      <w:r>
        <w:rPr>
          <w:noProof/>
          <w:lang w:val="fr-FR"/>
        </w:rPr>
        <w:t>Conformément à l’</w:t>
      </w:r>
      <w:r w:rsidRPr="00AF434B">
        <w:rPr>
          <w:noProof/>
          <w:lang w:val="fr-FR"/>
        </w:rPr>
        <w:t>article</w:t>
      </w:r>
      <w:r w:rsidR="00B52706">
        <w:rPr>
          <w:noProof/>
          <w:lang w:val="fr-FR"/>
        </w:rPr>
        <w:t> </w:t>
      </w:r>
      <w:r w:rsidRPr="00AF434B">
        <w:rPr>
          <w:noProof/>
          <w:lang w:val="fr-FR"/>
        </w:rPr>
        <w:t xml:space="preserve">98 </w:t>
      </w:r>
      <w:r>
        <w:rPr>
          <w:noProof/>
          <w:lang w:val="fr-FR"/>
        </w:rPr>
        <w:t>du Code de procédure pénale</w:t>
      </w:r>
      <w:r w:rsidRPr="00AF434B">
        <w:rPr>
          <w:noProof/>
          <w:lang w:val="fr-FR"/>
        </w:rPr>
        <w:t xml:space="preserve">, </w:t>
      </w:r>
      <w:r>
        <w:rPr>
          <w:noProof/>
          <w:lang w:val="fr-FR"/>
        </w:rPr>
        <w:t xml:space="preserve">le prévenu peut, à n’importe quel stade de la </w:t>
      </w:r>
      <w:r w:rsidRPr="00AF434B">
        <w:rPr>
          <w:noProof/>
          <w:lang w:val="fr-FR"/>
        </w:rPr>
        <w:t>proc</w:t>
      </w:r>
      <w:r>
        <w:rPr>
          <w:noProof/>
          <w:lang w:val="fr-FR"/>
        </w:rPr>
        <w:t>é</w:t>
      </w:r>
      <w:r w:rsidRPr="00AF434B">
        <w:rPr>
          <w:noProof/>
          <w:lang w:val="fr-FR"/>
        </w:rPr>
        <w:t xml:space="preserve">dure, </w:t>
      </w:r>
      <w:r>
        <w:rPr>
          <w:noProof/>
          <w:lang w:val="fr-FR"/>
        </w:rPr>
        <w:t xml:space="preserve">s’adresser au tribunal, déposer des </w:t>
      </w:r>
      <w:r w:rsidRPr="00AF434B">
        <w:rPr>
          <w:noProof/>
          <w:lang w:val="fr-FR"/>
        </w:rPr>
        <w:t xml:space="preserve">observations, </w:t>
      </w:r>
      <w:r>
        <w:rPr>
          <w:noProof/>
          <w:lang w:val="fr-FR"/>
        </w:rPr>
        <w:t>des déclarations et des demandes</w:t>
      </w:r>
      <w:r w:rsidRPr="00AF434B">
        <w:rPr>
          <w:noProof/>
          <w:lang w:val="fr-FR"/>
        </w:rPr>
        <w:t xml:space="preserve">, </w:t>
      </w:r>
      <w:r>
        <w:rPr>
          <w:noProof/>
          <w:lang w:val="fr-FR"/>
        </w:rPr>
        <w:t>afin de protéger ses droits fondamentaux</w:t>
      </w:r>
      <w:r w:rsidRPr="00AF434B">
        <w:rPr>
          <w:noProof/>
          <w:lang w:val="fr-FR"/>
        </w:rPr>
        <w:t xml:space="preserve">. </w:t>
      </w:r>
      <w:r>
        <w:rPr>
          <w:noProof/>
          <w:lang w:val="fr-FR"/>
        </w:rPr>
        <w:t>Il peut exercer ce droit même dans les cas où le ministère d’un avocat est obligatoire</w:t>
      </w:r>
      <w:r w:rsidRPr="00AF434B">
        <w:rPr>
          <w:noProof/>
          <w:lang w:val="fr-FR"/>
        </w:rPr>
        <w:t xml:space="preserve">. </w:t>
      </w:r>
      <w:r>
        <w:rPr>
          <w:noProof/>
          <w:lang w:val="fr-FR"/>
        </w:rPr>
        <w:t>Par exemple, lors de son premier interrogatoire judiciaire, il a le droit d’exprimer personnellement et directement, devant la tribunal, sa position concernant les faits qui lui sont reprochés et d’indiquer tous faits supplémentaires pouvant être utiles à l’évaluation de sa</w:t>
      </w:r>
      <w:r w:rsidRPr="00AF434B">
        <w:rPr>
          <w:noProof/>
          <w:lang w:val="fr-FR"/>
        </w:rPr>
        <w:t xml:space="preserve"> participation, </w:t>
      </w:r>
      <w:r>
        <w:rPr>
          <w:noProof/>
          <w:lang w:val="fr-FR"/>
        </w:rPr>
        <w:t xml:space="preserve">responsabilité ou culpabilité </w:t>
      </w:r>
      <w:r w:rsidRPr="00AF434B">
        <w:rPr>
          <w:noProof/>
          <w:lang w:val="fr-FR"/>
        </w:rPr>
        <w:t>(art</w:t>
      </w:r>
      <w:r>
        <w:rPr>
          <w:noProof/>
          <w:lang w:val="fr-FR"/>
        </w:rPr>
        <w:t>.</w:t>
      </w:r>
      <w:r w:rsidR="00B52706">
        <w:rPr>
          <w:noProof/>
          <w:lang w:val="fr-FR"/>
        </w:rPr>
        <w:t> </w:t>
      </w:r>
      <w:r w:rsidRPr="00AF434B">
        <w:rPr>
          <w:noProof/>
          <w:lang w:val="fr-FR"/>
        </w:rPr>
        <w:t xml:space="preserve">141 </w:t>
      </w:r>
      <w:r>
        <w:rPr>
          <w:noProof/>
          <w:lang w:val="fr-FR"/>
        </w:rPr>
        <w:t>du Code de procédure pénale</w:t>
      </w:r>
      <w:r w:rsidRPr="00AF434B">
        <w:rPr>
          <w:noProof/>
          <w:lang w:val="fr-FR"/>
        </w:rPr>
        <w:t xml:space="preserve">). </w:t>
      </w:r>
      <w:r>
        <w:rPr>
          <w:noProof/>
          <w:lang w:val="fr-FR"/>
        </w:rPr>
        <w:t>L’avocat s’abstient d’intervenir durant cet interrogatoire</w:t>
      </w:r>
      <w:r w:rsidRPr="00AF434B">
        <w:rPr>
          <w:noProof/>
          <w:lang w:val="fr-FR"/>
        </w:rPr>
        <w:t xml:space="preserve">. </w:t>
      </w:r>
      <w:r>
        <w:rPr>
          <w:noProof/>
          <w:lang w:val="fr-FR"/>
        </w:rPr>
        <w:t xml:space="preserve">De même, à l’audience </w:t>
      </w:r>
      <w:r w:rsidR="00B52706">
        <w:rPr>
          <w:noProof/>
          <w:lang w:val="fr-FR"/>
        </w:rPr>
        <w:t>− </w:t>
      </w:r>
      <w:r>
        <w:rPr>
          <w:noProof/>
          <w:lang w:val="fr-FR"/>
        </w:rPr>
        <w:t>où sa présence est obligatoire</w:t>
      </w:r>
      <w:r w:rsidRPr="00AF434B">
        <w:rPr>
          <w:noProof/>
          <w:lang w:val="fr-FR"/>
        </w:rPr>
        <w:t xml:space="preserve"> (art</w:t>
      </w:r>
      <w:r>
        <w:rPr>
          <w:noProof/>
          <w:lang w:val="fr-FR"/>
        </w:rPr>
        <w:t>.</w:t>
      </w:r>
      <w:r w:rsidR="00B52706">
        <w:rPr>
          <w:noProof/>
          <w:lang w:val="fr-FR"/>
        </w:rPr>
        <w:t> </w:t>
      </w:r>
      <w:r w:rsidRPr="00AF434B">
        <w:rPr>
          <w:noProof/>
          <w:lang w:val="fr-FR"/>
        </w:rPr>
        <w:t xml:space="preserve">332 </w:t>
      </w:r>
      <w:r>
        <w:rPr>
          <w:noProof/>
          <w:lang w:val="fr-FR"/>
        </w:rPr>
        <w:t>du Code de procédure pénale</w:t>
      </w:r>
      <w:r w:rsidRPr="00AF434B">
        <w:rPr>
          <w:noProof/>
          <w:lang w:val="fr-FR"/>
        </w:rPr>
        <w:t>)</w:t>
      </w:r>
      <w:r w:rsidR="00B52706">
        <w:rPr>
          <w:noProof/>
          <w:lang w:val="fr-FR"/>
        </w:rPr>
        <w:t> −</w:t>
      </w:r>
      <w:r>
        <w:rPr>
          <w:noProof/>
          <w:lang w:val="fr-FR"/>
        </w:rPr>
        <w:t>, le prévenu a à tout moment le droit d’</w:t>
      </w:r>
      <w:r w:rsidRPr="00AF434B">
        <w:rPr>
          <w:noProof/>
          <w:lang w:val="fr-FR"/>
        </w:rPr>
        <w:t>interven</w:t>
      </w:r>
      <w:r>
        <w:rPr>
          <w:noProof/>
          <w:lang w:val="fr-FR"/>
        </w:rPr>
        <w:t>ir</w:t>
      </w:r>
      <w:r w:rsidRPr="00AF434B">
        <w:rPr>
          <w:noProof/>
          <w:lang w:val="fr-FR"/>
        </w:rPr>
        <w:t xml:space="preserve"> </w:t>
      </w:r>
      <w:r>
        <w:rPr>
          <w:noProof/>
          <w:lang w:val="fr-FR"/>
        </w:rPr>
        <w:t>et de faire une déclaration</w:t>
      </w:r>
      <w:r w:rsidRPr="00AF434B">
        <w:rPr>
          <w:noProof/>
          <w:lang w:val="fr-FR"/>
        </w:rPr>
        <w:t xml:space="preserve">. </w:t>
      </w:r>
      <w:r>
        <w:rPr>
          <w:noProof/>
          <w:lang w:val="fr-FR"/>
        </w:rPr>
        <w:t xml:space="preserve">L’avocat ne peut pas intervenir à l’occasion de ces déclarations, sans préjudice du droit du prévenu de le consulter au moment où il doit répondre à des questions ou à des demandes d’éclaircissements au sujet de ces déclarations </w:t>
      </w:r>
      <w:r w:rsidRPr="00AF434B">
        <w:rPr>
          <w:noProof/>
          <w:lang w:val="fr-FR"/>
        </w:rPr>
        <w:t>(art</w:t>
      </w:r>
      <w:r>
        <w:rPr>
          <w:noProof/>
          <w:lang w:val="fr-FR"/>
        </w:rPr>
        <w:t>.</w:t>
      </w:r>
      <w:r w:rsidR="00B52706">
        <w:rPr>
          <w:noProof/>
          <w:lang w:val="fr-FR"/>
        </w:rPr>
        <w:t> </w:t>
      </w:r>
      <w:r w:rsidRPr="00AF434B">
        <w:rPr>
          <w:noProof/>
          <w:lang w:val="fr-FR"/>
        </w:rPr>
        <w:t xml:space="preserve">343 </w:t>
      </w:r>
      <w:r>
        <w:rPr>
          <w:noProof/>
          <w:lang w:val="fr-FR"/>
        </w:rPr>
        <w:t>et</w:t>
      </w:r>
      <w:r w:rsidRPr="00AF434B">
        <w:rPr>
          <w:noProof/>
          <w:lang w:val="fr-FR"/>
        </w:rPr>
        <w:t xml:space="preserve"> 345 </w:t>
      </w:r>
      <w:r>
        <w:rPr>
          <w:noProof/>
          <w:lang w:val="fr-FR"/>
        </w:rPr>
        <w:t>du Code de procédure pénale</w:t>
      </w:r>
      <w:r w:rsidRPr="00AF434B">
        <w:rPr>
          <w:noProof/>
          <w:lang w:val="fr-FR"/>
        </w:rPr>
        <w:t xml:space="preserve">). </w:t>
      </w:r>
      <w:r>
        <w:rPr>
          <w:noProof/>
          <w:lang w:val="fr-FR"/>
        </w:rPr>
        <w:t>À la clôture de l’audience, le juge demande au prévenu s’il veut s’adresser au tribunal et faire une déclaration finale</w:t>
      </w:r>
      <w:r w:rsidRPr="00AF434B">
        <w:rPr>
          <w:noProof/>
          <w:lang w:val="fr-FR"/>
        </w:rPr>
        <w:t>.</w:t>
      </w:r>
    </w:p>
    <w:p w14:paraId="7DF01361" w14:textId="77777777" w:rsidR="00BF0619" w:rsidRPr="00AF434B" w:rsidRDefault="00BF0619" w:rsidP="00BF0619">
      <w:pPr>
        <w:pStyle w:val="SingleTxtG"/>
        <w:rPr>
          <w:noProof/>
          <w:lang w:val="fr-FR"/>
        </w:rPr>
      </w:pPr>
      <w:r w:rsidRPr="00AF434B">
        <w:rPr>
          <w:noProof/>
          <w:lang w:val="fr-FR"/>
        </w:rPr>
        <w:t>233.</w:t>
      </w:r>
      <w:r w:rsidRPr="00AF434B">
        <w:rPr>
          <w:noProof/>
          <w:lang w:val="fr-FR"/>
        </w:rPr>
        <w:tab/>
      </w:r>
      <w:r>
        <w:rPr>
          <w:noProof/>
          <w:lang w:val="fr-FR"/>
        </w:rPr>
        <w:t>La législation portugaise n’impose pas le ministère d’un avocat à toutes les étapes de la procédure</w:t>
      </w:r>
      <w:r w:rsidRPr="00AF434B">
        <w:rPr>
          <w:noProof/>
          <w:lang w:val="fr-FR"/>
        </w:rPr>
        <w:t xml:space="preserve">. </w:t>
      </w:r>
      <w:r>
        <w:rPr>
          <w:noProof/>
          <w:lang w:val="fr-FR"/>
        </w:rPr>
        <w:t>E</w:t>
      </w:r>
      <w:r w:rsidRPr="00AF434B">
        <w:rPr>
          <w:noProof/>
          <w:lang w:val="fr-FR"/>
        </w:rPr>
        <w:t>n fa</w:t>
      </w:r>
      <w:r>
        <w:rPr>
          <w:noProof/>
          <w:lang w:val="fr-FR"/>
        </w:rPr>
        <w:t>i</w:t>
      </w:r>
      <w:r w:rsidRPr="00AF434B">
        <w:rPr>
          <w:noProof/>
          <w:lang w:val="fr-FR"/>
        </w:rPr>
        <w:t xml:space="preserve">t, </w:t>
      </w:r>
      <w:r>
        <w:rPr>
          <w:noProof/>
          <w:lang w:val="fr-FR"/>
        </w:rPr>
        <w:t>ce ministère n’est obligatoire que dans certains cas précis et pour certains actes de procédure revêtant une importance particulière pour l’issue de la procédure</w:t>
      </w:r>
      <w:r w:rsidRPr="00AF434B">
        <w:rPr>
          <w:noProof/>
          <w:lang w:val="fr-FR"/>
        </w:rPr>
        <w:t>,</w:t>
      </w:r>
      <w:r>
        <w:rPr>
          <w:noProof/>
          <w:lang w:val="fr-FR"/>
        </w:rPr>
        <w:t xml:space="preserve"> à savoir, par exemple, lorsque la privation de liberté est en jeu ou que le prévenu est particulièrement vulnérable </w:t>
      </w:r>
      <w:r w:rsidR="00B52706">
        <w:rPr>
          <w:noProof/>
          <w:lang w:val="fr-FR"/>
        </w:rPr>
        <w:t>− </w:t>
      </w:r>
      <w:r>
        <w:rPr>
          <w:noProof/>
          <w:lang w:val="fr-FR"/>
        </w:rPr>
        <w:t>cas que prévoit le paragraphe</w:t>
      </w:r>
      <w:r w:rsidR="00B52706">
        <w:rPr>
          <w:noProof/>
          <w:lang w:val="fr-FR"/>
        </w:rPr>
        <w:t> </w:t>
      </w:r>
      <w:r>
        <w:rPr>
          <w:noProof/>
          <w:lang w:val="fr-FR"/>
        </w:rPr>
        <w:t>1 de l’</w:t>
      </w:r>
      <w:r w:rsidRPr="00AF434B">
        <w:rPr>
          <w:noProof/>
          <w:lang w:val="fr-FR"/>
        </w:rPr>
        <w:t>article</w:t>
      </w:r>
      <w:r w:rsidR="00B52706">
        <w:rPr>
          <w:noProof/>
          <w:lang w:val="fr-FR"/>
        </w:rPr>
        <w:t> </w:t>
      </w:r>
      <w:r w:rsidRPr="00AF434B">
        <w:rPr>
          <w:noProof/>
          <w:lang w:val="fr-FR"/>
        </w:rPr>
        <w:t xml:space="preserve">64 </w:t>
      </w:r>
      <w:r>
        <w:rPr>
          <w:noProof/>
          <w:lang w:val="fr-FR"/>
        </w:rPr>
        <w:t>du Code de procédure pénale</w:t>
      </w:r>
      <w:r w:rsidRPr="00AF434B">
        <w:rPr>
          <w:noProof/>
          <w:lang w:val="fr-FR"/>
        </w:rPr>
        <w:t xml:space="preserve">. </w:t>
      </w:r>
      <w:r>
        <w:rPr>
          <w:noProof/>
          <w:lang w:val="fr-FR"/>
        </w:rPr>
        <w:t>De plus, en dehors de ces cas, le paragraphe</w:t>
      </w:r>
      <w:r w:rsidR="00B52706">
        <w:rPr>
          <w:noProof/>
          <w:lang w:val="fr-FR"/>
        </w:rPr>
        <w:t> </w:t>
      </w:r>
      <w:r>
        <w:rPr>
          <w:noProof/>
          <w:lang w:val="fr-FR"/>
        </w:rPr>
        <w:t>2 du même article prévoit également la possibilité pour le tribunal de nommer un défenseur lorsque les circonstances de la cause montrent la nécessité ou l’avantage de faire assister le prévenu</w:t>
      </w:r>
      <w:r w:rsidRPr="00AF434B">
        <w:rPr>
          <w:noProof/>
          <w:lang w:val="fr-FR"/>
        </w:rPr>
        <w:t>.</w:t>
      </w:r>
    </w:p>
    <w:p w14:paraId="7E246220" w14:textId="77777777" w:rsidR="00BF0619" w:rsidRPr="00AF434B" w:rsidRDefault="00BF0619" w:rsidP="00BF0619">
      <w:pPr>
        <w:pStyle w:val="SingleTxtG"/>
        <w:rPr>
          <w:noProof/>
          <w:lang w:val="fr-FR"/>
        </w:rPr>
      </w:pPr>
      <w:r w:rsidRPr="00AF434B">
        <w:rPr>
          <w:noProof/>
          <w:lang w:val="fr-FR"/>
        </w:rPr>
        <w:t>234.</w:t>
      </w:r>
      <w:r w:rsidRPr="00AF434B">
        <w:rPr>
          <w:noProof/>
          <w:lang w:val="fr-FR"/>
        </w:rPr>
        <w:tab/>
      </w:r>
      <w:r>
        <w:rPr>
          <w:noProof/>
          <w:lang w:val="fr-FR"/>
        </w:rPr>
        <w:t xml:space="preserve">Le ministère obligatoire répond à un objectif et </w:t>
      </w:r>
      <w:r w:rsidR="00F678BA">
        <w:rPr>
          <w:noProof/>
          <w:lang w:val="fr-FR"/>
        </w:rPr>
        <w:t>à</w:t>
      </w:r>
      <w:r>
        <w:rPr>
          <w:noProof/>
          <w:lang w:val="fr-FR"/>
        </w:rPr>
        <w:t xml:space="preserve"> une finalité très sérieux, qui sont de garantir le droit du prévenu d’être efficacement défendu</w:t>
      </w:r>
      <w:r w:rsidRPr="00AF434B">
        <w:rPr>
          <w:noProof/>
          <w:lang w:val="fr-FR"/>
        </w:rPr>
        <w:t xml:space="preserve">. </w:t>
      </w:r>
      <w:r>
        <w:rPr>
          <w:noProof/>
          <w:lang w:val="fr-FR"/>
        </w:rPr>
        <w:t>Ce ministère vise à atténuer une inégalité des armes qui est naturelle dans le contexte de la procédure pénale et à compenser la plus grande vulnérabilité de la position du prévenu</w:t>
      </w:r>
      <w:r w:rsidRPr="00AF434B">
        <w:rPr>
          <w:noProof/>
          <w:lang w:val="fr-FR"/>
        </w:rPr>
        <w:t xml:space="preserve">. </w:t>
      </w:r>
      <w:r>
        <w:rPr>
          <w:noProof/>
          <w:lang w:val="fr-FR"/>
        </w:rPr>
        <w:t>La procédure pénale est complexe et parsemée de subtilités juridiques qui exigent des connaissances juridiques et techniques spécifiques pour garantir l’efficacité de la défense</w:t>
      </w:r>
      <w:r w:rsidRPr="00AF434B">
        <w:rPr>
          <w:noProof/>
          <w:lang w:val="fr-FR"/>
        </w:rPr>
        <w:t xml:space="preserve">. </w:t>
      </w:r>
      <w:r>
        <w:rPr>
          <w:noProof/>
          <w:lang w:val="fr-FR"/>
        </w:rPr>
        <w:t>À cet égard, l’a</w:t>
      </w:r>
      <w:r w:rsidRPr="00AF434B">
        <w:rPr>
          <w:noProof/>
          <w:lang w:val="fr-FR"/>
        </w:rPr>
        <w:t xml:space="preserve">ssistance </w:t>
      </w:r>
      <w:r>
        <w:rPr>
          <w:noProof/>
          <w:lang w:val="fr-FR"/>
        </w:rPr>
        <w:t xml:space="preserve">d’un avocat a pour </w:t>
      </w:r>
      <w:r w:rsidRPr="00AF434B">
        <w:rPr>
          <w:noProof/>
          <w:lang w:val="fr-FR"/>
        </w:rPr>
        <w:t>f</w:t>
      </w:r>
      <w:r>
        <w:rPr>
          <w:noProof/>
          <w:lang w:val="fr-FR"/>
        </w:rPr>
        <w:t>o</w:t>
      </w:r>
      <w:r w:rsidRPr="00AF434B">
        <w:rPr>
          <w:noProof/>
          <w:lang w:val="fr-FR"/>
        </w:rPr>
        <w:t xml:space="preserve">nction </w:t>
      </w:r>
      <w:r>
        <w:rPr>
          <w:noProof/>
          <w:lang w:val="fr-FR"/>
        </w:rPr>
        <w:t>de garantir un contrôle approprié de la légalité et de la proportionnalité des actes effectués au regard des intérêts du prévenu et de veiller à ce que ce dernier soit à tout moment correctement informé, conscients des enjeux et préparé pour les différentes phases de la procédure</w:t>
      </w:r>
      <w:r w:rsidRPr="00AF434B">
        <w:rPr>
          <w:noProof/>
          <w:lang w:val="fr-FR"/>
        </w:rPr>
        <w:t xml:space="preserve">. </w:t>
      </w:r>
      <w:r>
        <w:rPr>
          <w:noProof/>
          <w:lang w:val="fr-FR"/>
        </w:rPr>
        <w:t>E</w:t>
      </w:r>
      <w:r w:rsidRPr="00AF434B">
        <w:rPr>
          <w:noProof/>
          <w:lang w:val="fr-FR"/>
        </w:rPr>
        <w:t xml:space="preserve">n </w:t>
      </w:r>
      <w:r>
        <w:rPr>
          <w:noProof/>
          <w:lang w:val="fr-FR"/>
        </w:rPr>
        <w:t>outre, le prévenu, en tant que partie directement intéressée par l’issue de la procédure, est réputé ne pas être en mesure d’assurer sa propre défense d’une manière objective et sereine</w:t>
      </w:r>
      <w:r w:rsidRPr="00AF434B">
        <w:rPr>
          <w:noProof/>
          <w:lang w:val="fr-FR"/>
        </w:rPr>
        <w:t>.</w:t>
      </w:r>
    </w:p>
    <w:p w14:paraId="54D5696C" w14:textId="77777777" w:rsidR="00BF0619" w:rsidRPr="00AF434B" w:rsidRDefault="00BF0619" w:rsidP="00BF0619">
      <w:pPr>
        <w:pStyle w:val="SingleTxtG"/>
        <w:rPr>
          <w:noProof/>
          <w:lang w:val="fr-FR"/>
        </w:rPr>
      </w:pPr>
      <w:r w:rsidRPr="00AF434B">
        <w:rPr>
          <w:noProof/>
          <w:lang w:val="fr-FR"/>
        </w:rPr>
        <w:t>235.</w:t>
      </w:r>
      <w:r w:rsidRPr="00AF434B">
        <w:rPr>
          <w:noProof/>
          <w:lang w:val="fr-FR"/>
        </w:rPr>
        <w:tab/>
      </w:r>
      <w:r>
        <w:rPr>
          <w:noProof/>
          <w:lang w:val="fr-FR"/>
        </w:rPr>
        <w:t>Dans certaines situations prévues par la loi, le ministère obligatoire a donc pour objectif de garantir le droit à un procès équitable et, à ce titre, de servir un intérêt public primordial en assurant une bonne administration de la justice</w:t>
      </w:r>
      <w:r w:rsidRPr="00AF434B">
        <w:rPr>
          <w:noProof/>
          <w:lang w:val="fr-FR"/>
        </w:rPr>
        <w:t>.</w:t>
      </w:r>
    </w:p>
    <w:p w14:paraId="1A3A418F" w14:textId="77777777" w:rsidR="00BF0619" w:rsidRPr="00AF434B" w:rsidRDefault="00BF0619" w:rsidP="00BF0619">
      <w:pPr>
        <w:pStyle w:val="SingleTxtG"/>
        <w:rPr>
          <w:noProof/>
          <w:lang w:val="fr-FR"/>
        </w:rPr>
      </w:pPr>
      <w:r w:rsidRPr="00AF434B">
        <w:rPr>
          <w:noProof/>
          <w:lang w:val="fr-FR"/>
        </w:rPr>
        <w:t>236.</w:t>
      </w:r>
      <w:r w:rsidRPr="00AF434B">
        <w:rPr>
          <w:noProof/>
          <w:lang w:val="fr-FR"/>
        </w:rPr>
        <w:tab/>
      </w:r>
      <w:r>
        <w:rPr>
          <w:noProof/>
          <w:lang w:val="fr-FR"/>
        </w:rPr>
        <w:t xml:space="preserve">Le ministère obligatoire est </w:t>
      </w:r>
      <w:r w:rsidRPr="00AF434B">
        <w:rPr>
          <w:noProof/>
          <w:lang w:val="fr-FR"/>
        </w:rPr>
        <w:t>temp</w:t>
      </w:r>
      <w:r>
        <w:rPr>
          <w:noProof/>
          <w:lang w:val="fr-FR"/>
        </w:rPr>
        <w:t>é</w:t>
      </w:r>
      <w:r w:rsidRPr="00AF434B">
        <w:rPr>
          <w:noProof/>
          <w:lang w:val="fr-FR"/>
        </w:rPr>
        <w:t>r</w:t>
      </w:r>
      <w:r>
        <w:rPr>
          <w:noProof/>
          <w:lang w:val="fr-FR"/>
        </w:rPr>
        <w:t>é par d’autres é</w:t>
      </w:r>
      <w:r w:rsidRPr="00AF434B">
        <w:rPr>
          <w:noProof/>
          <w:lang w:val="fr-FR"/>
        </w:rPr>
        <w:t>l</w:t>
      </w:r>
      <w:r>
        <w:rPr>
          <w:noProof/>
          <w:lang w:val="fr-FR"/>
        </w:rPr>
        <w:t>é</w:t>
      </w:r>
      <w:r w:rsidRPr="00AF434B">
        <w:rPr>
          <w:noProof/>
          <w:lang w:val="fr-FR"/>
        </w:rPr>
        <w:t xml:space="preserve">ments </w:t>
      </w:r>
      <w:r>
        <w:rPr>
          <w:noProof/>
          <w:lang w:val="fr-FR"/>
        </w:rPr>
        <w:t>et garanties en faveur du prévenu</w:t>
      </w:r>
      <w:r w:rsidRPr="00AF434B">
        <w:rPr>
          <w:noProof/>
          <w:lang w:val="fr-FR"/>
        </w:rPr>
        <w:t xml:space="preserve">. </w:t>
      </w:r>
      <w:r>
        <w:rPr>
          <w:noProof/>
          <w:lang w:val="fr-FR"/>
        </w:rPr>
        <w:t>Ce sont, en particulier, les droits très étendus permettant à celui-ci d’intervenir lui-même au cours de la procédure et la faculté de rendre sans effet juridique tout acte effectué en son nom par l’avocat, dont il a été question plus haut</w:t>
      </w:r>
      <w:r w:rsidRPr="00AF434B">
        <w:rPr>
          <w:noProof/>
          <w:lang w:val="fr-FR"/>
        </w:rPr>
        <w:t xml:space="preserve">. </w:t>
      </w:r>
      <w:r>
        <w:rPr>
          <w:noProof/>
          <w:lang w:val="fr-FR"/>
        </w:rPr>
        <w:t>De plus, le ministère obligatoire ne prive pas le prévenu de la possibilité de faire des choix.</w:t>
      </w:r>
      <w:r w:rsidRPr="00AF434B">
        <w:rPr>
          <w:noProof/>
          <w:lang w:val="fr-FR"/>
        </w:rPr>
        <w:t xml:space="preserve"> </w:t>
      </w:r>
      <w:r>
        <w:rPr>
          <w:noProof/>
          <w:lang w:val="fr-FR"/>
        </w:rPr>
        <w:t xml:space="preserve">Il a le droit de nommer un défenseur de son choix. Ce n’est que s’il s’abstient de le faire qu’un défenseur lui est commis d’office </w:t>
      </w:r>
      <w:r w:rsidRPr="00AF434B">
        <w:rPr>
          <w:noProof/>
          <w:lang w:val="fr-FR"/>
        </w:rPr>
        <w:t>(</w:t>
      </w:r>
      <w:r w:rsidRPr="00136FEA">
        <w:rPr>
          <w:i/>
          <w:noProof/>
          <w:lang w:val="fr-FR"/>
        </w:rPr>
        <w:t>advogado oficioso</w:t>
      </w:r>
      <w:r w:rsidRPr="00AF434B">
        <w:rPr>
          <w:noProof/>
          <w:lang w:val="fr-FR"/>
        </w:rPr>
        <w:t xml:space="preserve">), </w:t>
      </w:r>
      <w:r>
        <w:rPr>
          <w:noProof/>
          <w:lang w:val="fr-FR"/>
        </w:rPr>
        <w:t>défenseur qu’en tout état de cause, il conserve le droit de remplacer en nommant un autre défenseur de son choix</w:t>
      </w:r>
      <w:r w:rsidRPr="00AF434B">
        <w:rPr>
          <w:noProof/>
          <w:lang w:val="fr-FR"/>
        </w:rPr>
        <w:t xml:space="preserve">. </w:t>
      </w:r>
    </w:p>
    <w:p w14:paraId="47F1BEF3" w14:textId="77777777" w:rsidR="00BF0619" w:rsidRPr="00AF434B" w:rsidRDefault="00BF0619" w:rsidP="00BF0619">
      <w:pPr>
        <w:pStyle w:val="SingleTxtG"/>
        <w:rPr>
          <w:noProof/>
          <w:lang w:val="fr-FR"/>
        </w:rPr>
      </w:pPr>
      <w:r w:rsidRPr="00AF434B">
        <w:rPr>
          <w:noProof/>
          <w:lang w:val="fr-FR"/>
        </w:rPr>
        <w:t>237.</w:t>
      </w:r>
      <w:r w:rsidRPr="00AF434B">
        <w:rPr>
          <w:noProof/>
          <w:lang w:val="fr-FR"/>
        </w:rPr>
        <w:tab/>
      </w:r>
      <w:r>
        <w:rPr>
          <w:noProof/>
          <w:lang w:val="fr-FR"/>
        </w:rPr>
        <w:t>Au vu de ce qui précède, on peut conclure que sur ce point, le cadre juridique portugais est proportionné et maintient un bon équilibre entre les intérêts en jeu.</w:t>
      </w:r>
    </w:p>
    <w:p w14:paraId="20374C5E" w14:textId="77777777" w:rsidR="00BF0619" w:rsidRPr="00AF434B" w:rsidRDefault="00BF0619" w:rsidP="00BF0619">
      <w:pPr>
        <w:pStyle w:val="SingleTxtG"/>
        <w:rPr>
          <w:noProof/>
          <w:lang w:val="fr-FR"/>
        </w:rPr>
      </w:pPr>
      <w:r w:rsidRPr="00AF434B">
        <w:rPr>
          <w:noProof/>
          <w:lang w:val="fr-FR"/>
        </w:rPr>
        <w:t>238.</w:t>
      </w:r>
      <w:r w:rsidRPr="00AF434B">
        <w:rPr>
          <w:noProof/>
          <w:lang w:val="fr-FR"/>
        </w:rPr>
        <w:tab/>
      </w:r>
      <w:r>
        <w:rPr>
          <w:noProof/>
          <w:lang w:val="fr-FR"/>
        </w:rPr>
        <w:t xml:space="preserve">On peut noter par ailleurs qu’après la communication </w:t>
      </w:r>
      <w:r w:rsidR="00B52706" w:rsidRPr="00B52706">
        <w:rPr>
          <w:rFonts w:eastAsia="MS Mincho"/>
          <w:noProof/>
          <w:szCs w:val="22"/>
          <w:lang w:val="fr-FR"/>
        </w:rPr>
        <w:t>n</w:t>
      </w:r>
      <w:r w:rsidR="00B52706" w:rsidRPr="00B52706">
        <w:rPr>
          <w:rFonts w:eastAsia="MS Mincho"/>
          <w:noProof/>
          <w:szCs w:val="22"/>
          <w:vertAlign w:val="superscript"/>
          <w:lang w:val="fr-FR"/>
        </w:rPr>
        <w:t>o</w:t>
      </w:r>
      <w:r w:rsidR="00B52706">
        <w:rPr>
          <w:noProof/>
          <w:lang w:val="fr-FR"/>
        </w:rPr>
        <w:t> </w:t>
      </w:r>
      <w:r w:rsidRPr="00AF434B">
        <w:rPr>
          <w:noProof/>
          <w:lang w:val="fr-FR"/>
        </w:rPr>
        <w:t>1123/2002</w:t>
      </w:r>
      <w:r>
        <w:rPr>
          <w:noProof/>
          <w:lang w:val="fr-FR"/>
        </w:rPr>
        <w:t xml:space="preserve"> présentée au Comité, le même requérant, </w:t>
      </w:r>
      <w:r w:rsidRPr="00AF434B">
        <w:rPr>
          <w:noProof/>
          <w:lang w:val="fr-FR"/>
        </w:rPr>
        <w:t xml:space="preserve">Carlos Correia de Matos, </w:t>
      </w:r>
      <w:r>
        <w:rPr>
          <w:noProof/>
          <w:lang w:val="fr-FR"/>
        </w:rPr>
        <w:t>a engagé une nouvelle procédure au sujet de la même question devant les juridictions portugaises</w:t>
      </w:r>
      <w:r w:rsidRPr="00AF434B">
        <w:rPr>
          <w:noProof/>
          <w:lang w:val="fr-FR"/>
        </w:rPr>
        <w:t xml:space="preserve">. </w:t>
      </w:r>
      <w:r>
        <w:rPr>
          <w:noProof/>
          <w:lang w:val="fr-FR"/>
        </w:rPr>
        <w:t xml:space="preserve">N’ayant pas obtenu gain de cause, il a présenté une requête à la Cour européenne des droits de l’homme, en invoquant une </w:t>
      </w:r>
      <w:r w:rsidRPr="00AF434B">
        <w:rPr>
          <w:noProof/>
          <w:lang w:val="fr-FR"/>
        </w:rPr>
        <w:t xml:space="preserve">violation </w:t>
      </w:r>
      <w:r>
        <w:rPr>
          <w:noProof/>
          <w:lang w:val="fr-FR"/>
        </w:rPr>
        <w:t>de l’</w:t>
      </w:r>
      <w:r w:rsidRPr="00AF434B">
        <w:rPr>
          <w:noProof/>
          <w:lang w:val="fr-FR"/>
        </w:rPr>
        <w:t>article</w:t>
      </w:r>
      <w:r w:rsidR="00B52706">
        <w:rPr>
          <w:noProof/>
          <w:lang w:val="fr-FR"/>
        </w:rPr>
        <w:t> </w:t>
      </w:r>
      <w:r w:rsidRPr="00AF434B">
        <w:rPr>
          <w:noProof/>
          <w:lang w:val="fr-FR"/>
        </w:rPr>
        <w:t>6</w:t>
      </w:r>
      <w:r w:rsidR="00B52706">
        <w:rPr>
          <w:noProof/>
          <w:lang w:val="fr-FR"/>
        </w:rPr>
        <w:t>,</w:t>
      </w:r>
      <w:r w:rsidRPr="00AF434B">
        <w:rPr>
          <w:noProof/>
          <w:lang w:val="fr-FR"/>
        </w:rPr>
        <w:t xml:space="preserve"> </w:t>
      </w:r>
      <w:r w:rsidR="00B52706">
        <w:rPr>
          <w:noProof/>
          <w:lang w:val="fr-FR"/>
        </w:rPr>
        <w:t>paragraphes </w:t>
      </w:r>
      <w:r w:rsidRPr="00AF434B">
        <w:rPr>
          <w:noProof/>
          <w:lang w:val="fr-FR"/>
        </w:rPr>
        <w:t xml:space="preserve">1 </w:t>
      </w:r>
      <w:r>
        <w:rPr>
          <w:noProof/>
          <w:lang w:val="fr-FR"/>
        </w:rPr>
        <w:t>et</w:t>
      </w:r>
      <w:r w:rsidR="00B52706">
        <w:rPr>
          <w:noProof/>
          <w:lang w:val="fr-FR"/>
        </w:rPr>
        <w:t> </w:t>
      </w:r>
      <w:r w:rsidRPr="00AF434B">
        <w:rPr>
          <w:noProof/>
          <w:lang w:val="fr-FR"/>
        </w:rPr>
        <w:t>3</w:t>
      </w:r>
      <w:r w:rsidR="00B52706">
        <w:rPr>
          <w:noProof/>
          <w:lang w:val="fr-FR"/>
        </w:rPr>
        <w:t> </w:t>
      </w:r>
      <w:r w:rsidRPr="00AF434B">
        <w:rPr>
          <w:noProof/>
          <w:lang w:val="fr-FR"/>
        </w:rPr>
        <w:t>c)</w:t>
      </w:r>
      <w:r w:rsidR="00B52706">
        <w:rPr>
          <w:noProof/>
          <w:lang w:val="fr-FR"/>
        </w:rPr>
        <w:t>,</w:t>
      </w:r>
      <w:r w:rsidRPr="00AF434B">
        <w:rPr>
          <w:noProof/>
          <w:lang w:val="fr-FR"/>
        </w:rPr>
        <w:t xml:space="preserve"> </w:t>
      </w:r>
      <w:r>
        <w:rPr>
          <w:noProof/>
          <w:lang w:val="fr-FR"/>
        </w:rPr>
        <w:t>de la Convention européenne des droits de l’homme au sujet du droit d’assurer sa propre défense</w:t>
      </w:r>
      <w:r w:rsidRPr="00AF434B">
        <w:rPr>
          <w:noProof/>
          <w:lang w:val="fr-FR"/>
        </w:rPr>
        <w:t xml:space="preserve">. </w:t>
      </w:r>
      <w:r>
        <w:rPr>
          <w:noProof/>
          <w:lang w:val="fr-FR"/>
        </w:rPr>
        <w:t>Dans cette nouvelle requête, il a expressément mentionné la décision du Comité</w:t>
      </w:r>
      <w:r w:rsidRPr="00AF434B">
        <w:rPr>
          <w:noProof/>
          <w:lang w:val="fr-FR"/>
        </w:rPr>
        <w:t>.</w:t>
      </w:r>
    </w:p>
    <w:p w14:paraId="04796EB2" w14:textId="77777777" w:rsidR="00BF0619" w:rsidRPr="00AF434B" w:rsidRDefault="00BF0619" w:rsidP="00BF0619">
      <w:pPr>
        <w:pStyle w:val="SingleTxtG"/>
        <w:rPr>
          <w:noProof/>
          <w:lang w:val="fr-FR"/>
        </w:rPr>
      </w:pPr>
      <w:r w:rsidRPr="00AF434B">
        <w:rPr>
          <w:noProof/>
          <w:lang w:val="fr-FR"/>
        </w:rPr>
        <w:t>239.</w:t>
      </w:r>
      <w:r w:rsidRPr="00AF434B">
        <w:rPr>
          <w:noProof/>
          <w:lang w:val="fr-FR"/>
        </w:rPr>
        <w:tab/>
      </w:r>
      <w:r>
        <w:rPr>
          <w:noProof/>
          <w:lang w:val="fr-FR"/>
        </w:rPr>
        <w:t xml:space="preserve">La </w:t>
      </w:r>
      <w:r w:rsidRPr="00AF434B">
        <w:rPr>
          <w:noProof/>
          <w:lang w:val="fr-FR"/>
        </w:rPr>
        <w:t>Grande Chamb</w:t>
      </w:r>
      <w:r>
        <w:rPr>
          <w:noProof/>
          <w:lang w:val="fr-FR"/>
        </w:rPr>
        <w:t>re</w:t>
      </w:r>
      <w:r w:rsidRPr="00AF434B">
        <w:rPr>
          <w:noProof/>
          <w:lang w:val="fr-FR"/>
        </w:rPr>
        <w:t xml:space="preserve"> </w:t>
      </w:r>
      <w:r w:rsidR="00B52706">
        <w:rPr>
          <w:noProof/>
          <w:lang w:val="fr-FR"/>
        </w:rPr>
        <w:t>− </w:t>
      </w:r>
      <w:r>
        <w:rPr>
          <w:noProof/>
          <w:lang w:val="fr-FR"/>
        </w:rPr>
        <w:t xml:space="preserve">composée de </w:t>
      </w:r>
      <w:r w:rsidRPr="00AF434B">
        <w:rPr>
          <w:noProof/>
          <w:lang w:val="fr-FR"/>
        </w:rPr>
        <w:t>17</w:t>
      </w:r>
      <w:r w:rsidR="00B52706">
        <w:rPr>
          <w:noProof/>
          <w:lang w:val="fr-FR"/>
        </w:rPr>
        <w:t> </w:t>
      </w:r>
      <w:r w:rsidRPr="00AF434B">
        <w:rPr>
          <w:noProof/>
          <w:lang w:val="fr-FR"/>
        </w:rPr>
        <w:t>juges</w:t>
      </w:r>
      <w:r w:rsidR="00B52706">
        <w:rPr>
          <w:noProof/>
          <w:lang w:val="fr-FR"/>
        </w:rPr>
        <w:t> −</w:t>
      </w:r>
      <w:r>
        <w:rPr>
          <w:noProof/>
          <w:lang w:val="fr-FR"/>
        </w:rPr>
        <w:t xml:space="preserve"> a rendu son arrêt définitif concernant cette affaire </w:t>
      </w:r>
      <w:r w:rsidRPr="00AF434B">
        <w:rPr>
          <w:noProof/>
          <w:lang w:val="fr-FR"/>
        </w:rPr>
        <w:t>(</w:t>
      </w:r>
      <w:r>
        <w:rPr>
          <w:noProof/>
          <w:lang w:val="fr-FR"/>
        </w:rPr>
        <w:t xml:space="preserve">requête </w:t>
      </w:r>
      <w:r w:rsidR="00B52706" w:rsidRPr="002C1A37">
        <w:rPr>
          <w:rFonts w:eastAsia="MS Mincho"/>
          <w:noProof/>
          <w:szCs w:val="22"/>
          <w:lang w:val="fr-FR"/>
        </w:rPr>
        <w:t>n</w:t>
      </w:r>
      <w:r w:rsidR="00B52706" w:rsidRPr="002C1A37">
        <w:rPr>
          <w:rFonts w:eastAsia="MS Mincho"/>
          <w:noProof/>
          <w:szCs w:val="22"/>
          <w:vertAlign w:val="superscript"/>
          <w:lang w:val="fr-FR"/>
        </w:rPr>
        <w:t>o</w:t>
      </w:r>
      <w:r w:rsidR="00B52706">
        <w:rPr>
          <w:noProof/>
          <w:lang w:val="fr-FR"/>
        </w:rPr>
        <w:t> </w:t>
      </w:r>
      <w:r w:rsidRPr="00AF434B">
        <w:rPr>
          <w:noProof/>
          <w:lang w:val="fr-FR"/>
        </w:rPr>
        <w:t xml:space="preserve">56402/12) </w:t>
      </w:r>
      <w:r>
        <w:rPr>
          <w:noProof/>
          <w:lang w:val="fr-FR"/>
        </w:rPr>
        <w:t xml:space="preserve">le </w:t>
      </w:r>
      <w:r w:rsidRPr="00AF434B">
        <w:rPr>
          <w:noProof/>
          <w:lang w:val="fr-FR"/>
        </w:rPr>
        <w:t>4</w:t>
      </w:r>
      <w:r w:rsidR="00B52706">
        <w:rPr>
          <w:noProof/>
          <w:lang w:val="fr-FR"/>
        </w:rPr>
        <w:t> </w:t>
      </w:r>
      <w:r>
        <w:rPr>
          <w:noProof/>
          <w:lang w:val="fr-FR"/>
        </w:rPr>
        <w:t>av</w:t>
      </w:r>
      <w:r w:rsidRPr="00AF434B">
        <w:rPr>
          <w:noProof/>
          <w:lang w:val="fr-FR"/>
        </w:rPr>
        <w:t>ril 2018</w:t>
      </w:r>
      <w:r>
        <w:rPr>
          <w:noProof/>
          <w:lang w:val="fr-FR"/>
        </w:rPr>
        <w:t xml:space="preserve">, après avoir examiné le caractère équitable de la procédure et analysé de façon détaillée le droit et la jurisprudence internes ainsi que la pratique des juridictions portugaises </w:t>
      </w:r>
      <w:r w:rsidRPr="00AF434B">
        <w:rPr>
          <w:noProof/>
          <w:lang w:val="fr-FR"/>
        </w:rPr>
        <w:t>(</w:t>
      </w:r>
      <w:r>
        <w:rPr>
          <w:noProof/>
          <w:lang w:val="fr-FR"/>
        </w:rPr>
        <w:t>e</w:t>
      </w:r>
      <w:r w:rsidRPr="00AF434B">
        <w:rPr>
          <w:noProof/>
          <w:lang w:val="fr-FR"/>
        </w:rPr>
        <w:t>n particul</w:t>
      </w:r>
      <w:r>
        <w:rPr>
          <w:noProof/>
          <w:lang w:val="fr-FR"/>
        </w:rPr>
        <w:t>ie</w:t>
      </w:r>
      <w:r w:rsidRPr="00AF434B">
        <w:rPr>
          <w:noProof/>
          <w:lang w:val="fr-FR"/>
        </w:rPr>
        <w:t xml:space="preserve">r, </w:t>
      </w:r>
      <w:r>
        <w:rPr>
          <w:noProof/>
          <w:lang w:val="fr-FR"/>
        </w:rPr>
        <w:t xml:space="preserve">la Cour suprême et la Cour </w:t>
      </w:r>
      <w:r w:rsidRPr="00AF434B">
        <w:rPr>
          <w:noProof/>
          <w:lang w:val="fr-FR"/>
        </w:rPr>
        <w:t>Constitution</w:t>
      </w:r>
      <w:r>
        <w:rPr>
          <w:noProof/>
          <w:lang w:val="fr-FR"/>
        </w:rPr>
        <w:t>nelle</w:t>
      </w:r>
      <w:r w:rsidRPr="00AF434B">
        <w:rPr>
          <w:noProof/>
          <w:lang w:val="fr-FR"/>
        </w:rPr>
        <w:t xml:space="preserve">). </w:t>
      </w:r>
      <w:r>
        <w:rPr>
          <w:noProof/>
          <w:lang w:val="fr-FR"/>
        </w:rPr>
        <w:t>Elle a conclu à la majorité à l’absence de violation de l’article</w:t>
      </w:r>
      <w:r w:rsidR="00B52706">
        <w:rPr>
          <w:noProof/>
          <w:lang w:val="fr-FR"/>
        </w:rPr>
        <w:t> </w:t>
      </w:r>
      <w:r w:rsidRPr="00AF434B">
        <w:rPr>
          <w:noProof/>
          <w:lang w:val="fr-FR"/>
        </w:rPr>
        <w:t>6</w:t>
      </w:r>
      <w:r w:rsidR="00B52706">
        <w:rPr>
          <w:noProof/>
          <w:lang w:val="fr-FR"/>
        </w:rPr>
        <w:t>, paragraphes </w:t>
      </w:r>
      <w:r w:rsidRPr="00AF434B">
        <w:rPr>
          <w:noProof/>
          <w:lang w:val="fr-FR"/>
        </w:rPr>
        <w:t xml:space="preserve">1 </w:t>
      </w:r>
      <w:r>
        <w:rPr>
          <w:noProof/>
          <w:lang w:val="fr-FR"/>
        </w:rPr>
        <w:t xml:space="preserve">et </w:t>
      </w:r>
      <w:r w:rsidRPr="00AF434B">
        <w:rPr>
          <w:noProof/>
          <w:lang w:val="fr-FR"/>
        </w:rPr>
        <w:t>3</w:t>
      </w:r>
      <w:r w:rsidR="00B52706">
        <w:rPr>
          <w:noProof/>
          <w:lang w:val="fr-FR"/>
        </w:rPr>
        <w:t> </w:t>
      </w:r>
      <w:r w:rsidRPr="00AF434B">
        <w:rPr>
          <w:noProof/>
          <w:lang w:val="fr-FR"/>
        </w:rPr>
        <w:t>c)</w:t>
      </w:r>
      <w:r w:rsidR="00B52706">
        <w:rPr>
          <w:noProof/>
          <w:lang w:val="fr-FR"/>
        </w:rPr>
        <w:t>,</w:t>
      </w:r>
      <w:r w:rsidRPr="00AF434B">
        <w:rPr>
          <w:noProof/>
          <w:lang w:val="fr-FR"/>
        </w:rPr>
        <w:t xml:space="preserve"> </w:t>
      </w:r>
      <w:r>
        <w:rPr>
          <w:noProof/>
          <w:lang w:val="fr-FR"/>
        </w:rPr>
        <w:t xml:space="preserve">de la </w:t>
      </w:r>
      <w:r w:rsidRPr="00AF434B">
        <w:rPr>
          <w:noProof/>
          <w:lang w:val="fr-FR"/>
        </w:rPr>
        <w:t xml:space="preserve">Convention. </w:t>
      </w:r>
    </w:p>
    <w:p w14:paraId="41984D26" w14:textId="77777777" w:rsidR="00BF0619" w:rsidRPr="00AF434B" w:rsidRDefault="00BF0619" w:rsidP="00BF0619">
      <w:pPr>
        <w:pStyle w:val="SingleTxtG"/>
        <w:rPr>
          <w:noProof/>
          <w:lang w:val="fr-FR"/>
        </w:rPr>
      </w:pPr>
      <w:r w:rsidRPr="00AF434B">
        <w:rPr>
          <w:noProof/>
          <w:lang w:val="fr-FR"/>
        </w:rPr>
        <w:t>240.</w:t>
      </w:r>
      <w:r w:rsidRPr="00AF434B">
        <w:rPr>
          <w:noProof/>
          <w:lang w:val="fr-FR"/>
        </w:rPr>
        <w:tab/>
      </w:r>
      <w:r>
        <w:rPr>
          <w:noProof/>
          <w:lang w:val="fr-FR"/>
        </w:rPr>
        <w:t>Pour la Cour européenne des droits de l’homme, l’étendue du droit de se défendre soi-même est un aspect du droit à un procès équitable</w:t>
      </w:r>
      <w:r w:rsidRPr="00AF434B">
        <w:rPr>
          <w:noProof/>
          <w:lang w:val="fr-FR"/>
        </w:rPr>
        <w:t xml:space="preserve">. </w:t>
      </w:r>
      <w:r>
        <w:rPr>
          <w:noProof/>
          <w:lang w:val="fr-FR"/>
        </w:rPr>
        <w:t xml:space="preserve">Les limitations imposées par l’ordre juridique à ce droit doivent donc être reconnues, au point, éventuellement, que la possibilité d’assurer soi-même sa défense puisse, dans certains cas, ne pas être autorisée (par. </w:t>
      </w:r>
      <w:r w:rsidRPr="00AF434B">
        <w:rPr>
          <w:noProof/>
          <w:lang w:val="fr-FR"/>
        </w:rPr>
        <w:t>119 et s</w:t>
      </w:r>
      <w:r>
        <w:rPr>
          <w:noProof/>
          <w:lang w:val="fr-FR"/>
        </w:rPr>
        <w:t>uiv</w:t>
      </w:r>
      <w:r w:rsidRPr="00AF434B">
        <w:rPr>
          <w:noProof/>
          <w:lang w:val="fr-FR"/>
        </w:rPr>
        <w:t xml:space="preserve">.). </w:t>
      </w:r>
      <w:r w:rsidRPr="003C444C">
        <w:rPr>
          <w:noProof/>
          <w:lang w:val="fr-FR"/>
        </w:rPr>
        <w:t>L</w:t>
      </w:r>
      <w:r w:rsidRPr="003C444C">
        <w:rPr>
          <w:rStyle w:val="sb8d990e2"/>
          <w:noProof/>
          <w:lang w:val="fr-FR"/>
        </w:rPr>
        <w:t xml:space="preserve">a mesure consistant à imposer la représentation par un avocat au lieu de permettre à la personne concernée d’assurer elle-même sa défense peut être plus conforme aux </w:t>
      </w:r>
      <w:r>
        <w:rPr>
          <w:rStyle w:val="sb8d990e2"/>
          <w:noProof/>
          <w:lang w:val="fr-FR"/>
        </w:rPr>
        <w:t>intérêts</w:t>
      </w:r>
      <w:r w:rsidRPr="003C444C">
        <w:rPr>
          <w:rStyle w:val="sb8d990e2"/>
          <w:noProof/>
          <w:lang w:val="fr-FR"/>
        </w:rPr>
        <w:t xml:space="preserve"> de la défense</w:t>
      </w:r>
      <w:r w:rsidRPr="00BB3DD1">
        <w:rPr>
          <w:rStyle w:val="sb8d990e2"/>
        </w:rPr>
        <w:t xml:space="preserve"> </w:t>
      </w:r>
      <w:r w:rsidRPr="00AF434B">
        <w:rPr>
          <w:noProof/>
          <w:lang w:val="fr-FR"/>
        </w:rPr>
        <w:t>(</w:t>
      </w:r>
      <w:r>
        <w:rPr>
          <w:noProof/>
          <w:lang w:val="fr-FR"/>
        </w:rPr>
        <w:t>par.</w:t>
      </w:r>
      <w:r w:rsidR="00B52706">
        <w:rPr>
          <w:noProof/>
          <w:lang w:val="fr-FR"/>
        </w:rPr>
        <w:t> </w:t>
      </w:r>
      <w:r w:rsidRPr="00AF434B">
        <w:rPr>
          <w:noProof/>
          <w:lang w:val="fr-FR"/>
        </w:rPr>
        <w:t xml:space="preserve">124). </w:t>
      </w:r>
      <w:r>
        <w:rPr>
          <w:noProof/>
          <w:lang w:val="fr-FR"/>
        </w:rPr>
        <w:t>Ces questions relèvent de la marge d’appréciation de l’État</w:t>
      </w:r>
      <w:r w:rsidRPr="00AF434B">
        <w:rPr>
          <w:noProof/>
          <w:lang w:val="fr-FR"/>
        </w:rPr>
        <w:t xml:space="preserve">. </w:t>
      </w:r>
      <w:r>
        <w:rPr>
          <w:noProof/>
          <w:lang w:val="fr-FR"/>
        </w:rPr>
        <w:t xml:space="preserve">Après avoir analysé les solutions européennes en la matière, la Cour a conclu à l’absence de  consensus en Europe à ce sujet </w:t>
      </w:r>
      <w:r w:rsidRPr="00AF434B">
        <w:rPr>
          <w:noProof/>
          <w:lang w:val="fr-FR"/>
        </w:rPr>
        <w:t>(</w:t>
      </w:r>
      <w:r>
        <w:rPr>
          <w:noProof/>
          <w:lang w:val="fr-FR"/>
        </w:rPr>
        <w:t>par.</w:t>
      </w:r>
      <w:r w:rsidR="00B52706">
        <w:rPr>
          <w:noProof/>
          <w:lang w:val="fr-FR"/>
        </w:rPr>
        <w:t> </w:t>
      </w:r>
      <w:r w:rsidRPr="00AF434B">
        <w:rPr>
          <w:noProof/>
          <w:lang w:val="fr-FR"/>
        </w:rPr>
        <w:t>137).</w:t>
      </w:r>
    </w:p>
    <w:p w14:paraId="0AD48446" w14:textId="77777777" w:rsidR="00BF0619" w:rsidRPr="00AF434B" w:rsidRDefault="00BF0619" w:rsidP="00BF0619">
      <w:pPr>
        <w:pStyle w:val="SingleTxtG"/>
        <w:rPr>
          <w:noProof/>
          <w:lang w:val="fr-FR"/>
        </w:rPr>
      </w:pPr>
      <w:r w:rsidRPr="00AF434B">
        <w:rPr>
          <w:noProof/>
          <w:lang w:val="fr-FR"/>
        </w:rPr>
        <w:t>241.</w:t>
      </w:r>
      <w:r w:rsidRPr="00AF434B">
        <w:rPr>
          <w:noProof/>
          <w:lang w:val="fr-FR"/>
        </w:rPr>
        <w:tab/>
      </w:r>
      <w:r>
        <w:rPr>
          <w:noProof/>
          <w:lang w:val="fr-FR"/>
        </w:rPr>
        <w:t xml:space="preserve">De l’avis de la Cour, le risque d’une peine d’emprisonnement et la nécessité d’une défense dépassionnée et efficace justifient, dans une procédure pénale, l’option de la représentation obligatoire par un défenseur qui ne soit pas l’accusé </w:t>
      </w:r>
      <w:r w:rsidRPr="00AF434B">
        <w:rPr>
          <w:noProof/>
          <w:lang w:val="fr-FR"/>
        </w:rPr>
        <w:t>(</w:t>
      </w:r>
      <w:r>
        <w:rPr>
          <w:noProof/>
          <w:lang w:val="fr-FR"/>
        </w:rPr>
        <w:t>par.</w:t>
      </w:r>
      <w:r w:rsidR="00B52706">
        <w:rPr>
          <w:noProof/>
          <w:lang w:val="fr-FR"/>
        </w:rPr>
        <w:t> </w:t>
      </w:r>
      <w:r w:rsidRPr="00AF434B">
        <w:rPr>
          <w:noProof/>
          <w:lang w:val="fr-FR"/>
        </w:rPr>
        <w:t xml:space="preserve">153). </w:t>
      </w:r>
      <w:r>
        <w:rPr>
          <w:noProof/>
          <w:lang w:val="fr-FR"/>
        </w:rPr>
        <w:t>De plus, la</w:t>
      </w:r>
      <w:r w:rsidR="00B52706">
        <w:rPr>
          <w:noProof/>
          <w:lang w:val="fr-FR"/>
        </w:rPr>
        <w:t> </w:t>
      </w:r>
      <w:r>
        <w:rPr>
          <w:noProof/>
          <w:lang w:val="fr-FR"/>
        </w:rPr>
        <w:t>Cour a noté que, s’il</w:t>
      </w:r>
      <w:r w:rsidRPr="00542E3D">
        <w:rPr>
          <w:rStyle w:val="sb8d990e2"/>
          <w:noProof/>
          <w:lang w:val="fr-FR"/>
        </w:rPr>
        <w:t xml:space="preserve"> réserv</w:t>
      </w:r>
      <w:r>
        <w:rPr>
          <w:rStyle w:val="sb8d990e2"/>
          <w:noProof/>
          <w:lang w:val="fr-FR"/>
        </w:rPr>
        <w:t>ait</w:t>
      </w:r>
      <w:r w:rsidRPr="00542E3D">
        <w:rPr>
          <w:rStyle w:val="sb8d990e2"/>
          <w:noProof/>
          <w:lang w:val="fr-FR"/>
        </w:rPr>
        <w:t xml:space="preserve"> à l’avocat les aspects techniques de la défense juridique, l</w:t>
      </w:r>
      <w:r>
        <w:rPr>
          <w:rStyle w:val="sb8d990e2"/>
          <w:noProof/>
          <w:lang w:val="fr-FR"/>
        </w:rPr>
        <w:t>e</w:t>
      </w:r>
      <w:r w:rsidR="00B52706">
        <w:rPr>
          <w:rStyle w:val="sb8d990e2"/>
          <w:noProof/>
          <w:lang w:val="fr-FR"/>
        </w:rPr>
        <w:t> </w:t>
      </w:r>
      <w:r>
        <w:rPr>
          <w:rStyle w:val="sb8d990e2"/>
          <w:noProof/>
          <w:lang w:val="fr-FR"/>
        </w:rPr>
        <w:t>cadre juridique portugais</w:t>
      </w:r>
      <w:r w:rsidRPr="00542E3D">
        <w:rPr>
          <w:rStyle w:val="sb8d990e2"/>
          <w:noProof/>
          <w:lang w:val="fr-FR"/>
        </w:rPr>
        <w:t xml:space="preserve"> donnait à l’accusé plusieurs moyens de participer à la procédure et d’y intervenir en personne</w:t>
      </w:r>
      <w:r>
        <w:rPr>
          <w:noProof/>
          <w:lang w:val="fr-FR"/>
        </w:rPr>
        <w:t xml:space="preserve"> </w:t>
      </w:r>
      <w:r w:rsidRPr="00AF434B">
        <w:rPr>
          <w:noProof/>
          <w:lang w:val="fr-FR"/>
        </w:rPr>
        <w:t>(</w:t>
      </w:r>
      <w:r>
        <w:rPr>
          <w:noProof/>
          <w:lang w:val="fr-FR"/>
        </w:rPr>
        <w:t>par.</w:t>
      </w:r>
      <w:r w:rsidR="00B52706">
        <w:rPr>
          <w:noProof/>
          <w:lang w:val="fr-FR"/>
        </w:rPr>
        <w:t> </w:t>
      </w:r>
      <w:r w:rsidRPr="00AF434B">
        <w:rPr>
          <w:noProof/>
          <w:lang w:val="fr-FR"/>
        </w:rPr>
        <w:t>155).</w:t>
      </w:r>
    </w:p>
    <w:p w14:paraId="15E32043" w14:textId="77777777" w:rsidR="00BF0619" w:rsidRPr="00AF434B" w:rsidRDefault="00BF0619" w:rsidP="00BF0619">
      <w:pPr>
        <w:pStyle w:val="SingleTxtG"/>
        <w:rPr>
          <w:noProof/>
          <w:lang w:val="fr-FR"/>
        </w:rPr>
      </w:pPr>
      <w:r w:rsidRPr="00AF434B">
        <w:rPr>
          <w:noProof/>
          <w:lang w:val="fr-FR"/>
        </w:rPr>
        <w:t>242.</w:t>
      </w:r>
      <w:r w:rsidRPr="00AF434B">
        <w:rPr>
          <w:noProof/>
          <w:lang w:val="fr-FR"/>
        </w:rPr>
        <w:tab/>
      </w:r>
      <w:r>
        <w:rPr>
          <w:noProof/>
          <w:lang w:val="fr-FR"/>
        </w:rPr>
        <w:t>En conséquence, la Cour a conclu comme suit</w:t>
      </w:r>
      <w:r w:rsidR="00B52706">
        <w:rPr>
          <w:noProof/>
          <w:lang w:val="fr-FR"/>
        </w:rPr>
        <w:t> </w:t>
      </w:r>
      <w:r w:rsidRPr="00AF434B">
        <w:rPr>
          <w:noProof/>
          <w:lang w:val="fr-FR"/>
        </w:rPr>
        <w:t>: «</w:t>
      </w:r>
      <w:r w:rsidR="00B52706">
        <w:rPr>
          <w:noProof/>
          <w:lang w:val="fr-FR"/>
        </w:rPr>
        <w:t> </w:t>
      </w:r>
      <w:r w:rsidRPr="00542E3D">
        <w:rPr>
          <w:rStyle w:val="sb8d990e2"/>
          <w:noProof/>
          <w:lang w:val="fr-FR"/>
        </w:rPr>
        <w:t>À la lumière de ce qui précède, la Cour observe que la règle portugaise relative à l’obligation d’être représenté par un avocat dans une procédure pénale vise essentiellement à garantir une bonne administration de la justice et un procès équitable respectant le droit de l’accusé à l’égalité des armes. Eu égard à l’ensemble du contexte procédural dans lequel cette obligation de représentation a été imposée et à la marge d’appréciation laissée aux États membres quant au choix des moyens à mettre en œuvre pour garantir la défense d’un accusé, la Cour estime que les raisons fournies à l’appui de l’obligation d’être assisté, en général et en l’espèce, étaient à la fois pertinentes et suffisantes</w:t>
      </w:r>
      <w:r>
        <w:rPr>
          <w:rStyle w:val="sb8d990e2"/>
          <w:noProof/>
          <w:lang w:val="fr-FR"/>
        </w:rPr>
        <w:t> » (par.</w:t>
      </w:r>
      <w:r w:rsidR="00B52706">
        <w:rPr>
          <w:rStyle w:val="sb8d990e2"/>
          <w:noProof/>
          <w:lang w:val="fr-FR"/>
        </w:rPr>
        <w:t> </w:t>
      </w:r>
      <w:r>
        <w:rPr>
          <w:rStyle w:val="sb8d990e2"/>
          <w:noProof/>
          <w:lang w:val="fr-FR"/>
        </w:rPr>
        <w:t>159)</w:t>
      </w:r>
      <w:r w:rsidRPr="00AF434B">
        <w:rPr>
          <w:noProof/>
          <w:lang w:val="fr-FR"/>
        </w:rPr>
        <w:t>.</w:t>
      </w:r>
    </w:p>
    <w:p w14:paraId="455971F9" w14:textId="77777777" w:rsidR="00BF0619" w:rsidRPr="00AF434B" w:rsidRDefault="00BF0619" w:rsidP="00BF0619">
      <w:pPr>
        <w:pStyle w:val="SingleTxtG"/>
        <w:rPr>
          <w:noProof/>
          <w:lang w:val="fr-FR"/>
        </w:rPr>
      </w:pPr>
      <w:r w:rsidRPr="00AF434B">
        <w:rPr>
          <w:noProof/>
          <w:lang w:val="fr-FR"/>
        </w:rPr>
        <w:t>243.</w:t>
      </w:r>
      <w:r w:rsidRPr="00AF434B">
        <w:rPr>
          <w:noProof/>
          <w:lang w:val="fr-FR"/>
        </w:rPr>
        <w:tab/>
      </w:r>
      <w:r>
        <w:rPr>
          <w:noProof/>
          <w:lang w:val="fr-FR"/>
        </w:rPr>
        <w:t xml:space="preserve">L’arrêt rendu très récemment par la Cour européenne des droits de l’homme, qui a analysé de façon détaillée et approfondie la finalité et la </w:t>
      </w:r>
      <w:r w:rsidRPr="00AF434B">
        <w:rPr>
          <w:noProof/>
          <w:lang w:val="fr-FR"/>
        </w:rPr>
        <w:t>proportion</w:t>
      </w:r>
      <w:r>
        <w:rPr>
          <w:noProof/>
          <w:lang w:val="fr-FR"/>
        </w:rPr>
        <w:t>n</w:t>
      </w:r>
      <w:r w:rsidRPr="00AF434B">
        <w:rPr>
          <w:noProof/>
          <w:lang w:val="fr-FR"/>
        </w:rPr>
        <w:t>alit</w:t>
      </w:r>
      <w:r>
        <w:rPr>
          <w:noProof/>
          <w:lang w:val="fr-FR"/>
        </w:rPr>
        <w:t xml:space="preserve">é de cette </w:t>
      </w:r>
      <w:r w:rsidRPr="00AF434B">
        <w:rPr>
          <w:noProof/>
          <w:lang w:val="fr-FR"/>
        </w:rPr>
        <w:t xml:space="preserve">option </w:t>
      </w:r>
      <w:r>
        <w:rPr>
          <w:noProof/>
          <w:lang w:val="fr-FR"/>
        </w:rPr>
        <w:t>consacrée par la procédure pénale portugaise, amène à conclure que le cadre en vigueur est conforme aux normes internationales relatives à un procès équitable</w:t>
      </w:r>
      <w:r w:rsidRPr="00AF434B">
        <w:rPr>
          <w:noProof/>
          <w:lang w:val="fr-FR"/>
        </w:rPr>
        <w:t>.</w:t>
      </w:r>
    </w:p>
    <w:p w14:paraId="137629D0" w14:textId="77777777" w:rsidR="00BF0619" w:rsidRPr="00B52706" w:rsidRDefault="00B52706" w:rsidP="00B52706">
      <w:pPr>
        <w:pStyle w:val="SingleTxtG"/>
        <w:spacing w:before="240" w:after="0"/>
        <w:jc w:val="center"/>
        <w:rPr>
          <w:u w:val="single"/>
        </w:rPr>
      </w:pPr>
      <w:r>
        <w:rPr>
          <w:noProof/>
          <w:u w:val="single"/>
          <w:lang w:val="fr-FR"/>
        </w:rPr>
        <w:tab/>
      </w:r>
      <w:r>
        <w:rPr>
          <w:noProof/>
          <w:u w:val="single"/>
          <w:lang w:val="fr-FR"/>
        </w:rPr>
        <w:tab/>
      </w:r>
      <w:r>
        <w:rPr>
          <w:noProof/>
          <w:u w:val="single"/>
          <w:lang w:val="fr-FR"/>
        </w:rPr>
        <w:tab/>
      </w:r>
    </w:p>
    <w:sectPr w:rsidR="00BF0619" w:rsidRPr="00B52706" w:rsidSect="00A70E0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F417" w14:textId="77777777" w:rsidR="001C4DFC" w:rsidRDefault="001C4DFC" w:rsidP="00F95C08">
      <w:pPr>
        <w:spacing w:line="240" w:lineRule="auto"/>
      </w:pPr>
    </w:p>
  </w:endnote>
  <w:endnote w:type="continuationSeparator" w:id="0">
    <w:p w14:paraId="1727EA93" w14:textId="77777777" w:rsidR="001C4DFC" w:rsidRPr="00AC3823" w:rsidRDefault="001C4DFC" w:rsidP="00AC3823">
      <w:pPr>
        <w:pStyle w:val="Pieddepage"/>
      </w:pPr>
    </w:p>
  </w:endnote>
  <w:endnote w:type="continuationNotice" w:id="1">
    <w:p w14:paraId="59F3FBBF" w14:textId="77777777" w:rsidR="001C4DFC" w:rsidRDefault="001C4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8CA4" w14:textId="77777777" w:rsidR="001C4DFC" w:rsidRPr="00A70E07" w:rsidRDefault="001C4DFC" w:rsidP="00A70E07">
    <w:pPr>
      <w:pStyle w:val="Pieddepage"/>
      <w:tabs>
        <w:tab w:val="right" w:pos="9638"/>
      </w:tabs>
    </w:pPr>
    <w:r w:rsidRPr="00A70E07">
      <w:rPr>
        <w:b/>
        <w:sz w:val="18"/>
      </w:rPr>
      <w:fldChar w:fldCharType="begin"/>
    </w:r>
    <w:r w:rsidRPr="00A70E07">
      <w:rPr>
        <w:b/>
        <w:sz w:val="18"/>
      </w:rPr>
      <w:instrText xml:space="preserve"> PAGE  \* MERGEFORMAT </w:instrText>
    </w:r>
    <w:r w:rsidRPr="00A70E07">
      <w:rPr>
        <w:b/>
        <w:sz w:val="18"/>
      </w:rPr>
      <w:fldChar w:fldCharType="separate"/>
    </w:r>
    <w:r w:rsidRPr="00A70E07">
      <w:rPr>
        <w:b/>
        <w:noProof/>
        <w:sz w:val="18"/>
      </w:rPr>
      <w:t>2</w:t>
    </w:r>
    <w:r w:rsidRPr="00A70E07">
      <w:rPr>
        <w:b/>
        <w:sz w:val="18"/>
      </w:rPr>
      <w:fldChar w:fldCharType="end"/>
    </w:r>
    <w:r>
      <w:rPr>
        <w:b/>
        <w:sz w:val="18"/>
      </w:rPr>
      <w:tab/>
    </w:r>
    <w:r>
      <w:t>GE.18-22086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CD53" w14:textId="77777777" w:rsidR="001C4DFC" w:rsidRPr="00A70E07" w:rsidRDefault="001C4DFC" w:rsidP="00A70E07">
    <w:pPr>
      <w:pStyle w:val="Pieddepage"/>
      <w:tabs>
        <w:tab w:val="right" w:pos="9638"/>
      </w:tabs>
      <w:rPr>
        <w:b/>
        <w:sz w:val="18"/>
      </w:rPr>
    </w:pPr>
    <w:r>
      <w:t>GE.18-22086</w:t>
    </w:r>
    <w:r>
      <w:tab/>
    </w:r>
    <w:r w:rsidRPr="00A70E07">
      <w:rPr>
        <w:b/>
        <w:sz w:val="18"/>
      </w:rPr>
      <w:fldChar w:fldCharType="begin"/>
    </w:r>
    <w:r w:rsidRPr="00A70E07">
      <w:rPr>
        <w:b/>
        <w:sz w:val="18"/>
      </w:rPr>
      <w:instrText xml:space="preserve"> PAGE  \* MERGEFORMAT </w:instrText>
    </w:r>
    <w:r w:rsidRPr="00A70E07">
      <w:rPr>
        <w:b/>
        <w:sz w:val="18"/>
      </w:rPr>
      <w:fldChar w:fldCharType="separate"/>
    </w:r>
    <w:r w:rsidRPr="00A70E07">
      <w:rPr>
        <w:b/>
        <w:noProof/>
        <w:sz w:val="18"/>
      </w:rPr>
      <w:t>3</w:t>
    </w:r>
    <w:r w:rsidRPr="00A70E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5AE9" w14:textId="77777777" w:rsidR="001C4DFC" w:rsidRPr="00A70E07" w:rsidRDefault="001C4DFC" w:rsidP="00A70E0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C8A6D04" wp14:editId="7585196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18-22086  (F)    290319    </w:t>
    </w:r>
    <w:r w:rsidRPr="0064073D">
      <w:rPr>
        <w:sz w:val="20"/>
      </w:rPr>
      <w:t>100419</w:t>
    </w:r>
    <w:r>
      <w:rPr>
        <w:sz w:val="20"/>
      </w:rPr>
      <w:br/>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sidRPr="00A70E07">
      <w:rPr>
        <w:rFonts w:ascii="C39T30Lfz" w:hAnsi="C39T30Lfz"/>
        <w:sz w:val="56"/>
      </w:rPr>
      <w:t></w:t>
    </w:r>
    <w:r>
      <w:rPr>
        <w:noProof/>
        <w:sz w:val="20"/>
      </w:rPr>
      <w:drawing>
        <wp:anchor distT="0" distB="0" distL="114300" distR="114300" simplePos="0" relativeHeight="251658240" behindDoc="1" locked="0" layoutInCell="1" allowOverlap="1" wp14:anchorId="0E2C744A" wp14:editId="5A75F5B3">
          <wp:simplePos x="0" y="0"/>
          <wp:positionH relativeFrom="margin">
            <wp:posOffset>5489575</wp:posOffset>
          </wp:positionH>
          <wp:positionV relativeFrom="margin">
            <wp:posOffset>8891905</wp:posOffset>
          </wp:positionV>
          <wp:extent cx="561975" cy="561975"/>
          <wp:effectExtent l="0" t="0" r="9525" b="9525"/>
          <wp:wrapThrough wrapText="bothSides">
            <wp:wrapPolygon edited="0">
              <wp:start x="0" y="0"/>
              <wp:lineTo x="0" y="21234"/>
              <wp:lineTo x="21234" y="21234"/>
              <wp:lineTo x="21234" y="0"/>
              <wp:lineTo x="0" y="0"/>
            </wp:wrapPolygon>
          </wp:wrapThrough>
          <wp:docPr id="2" name="Image 1" descr="https://undocs.org/m2/QRCode.ashx?DS=CCPR/C/PRT/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8A50" w14:textId="77777777" w:rsidR="001C4DFC" w:rsidRPr="00AC3823" w:rsidRDefault="001C4DFC" w:rsidP="00AC3823">
      <w:pPr>
        <w:pStyle w:val="Pieddepage"/>
        <w:tabs>
          <w:tab w:val="right" w:pos="2155"/>
        </w:tabs>
        <w:spacing w:after="80" w:line="240" w:lineRule="atLeast"/>
        <w:ind w:left="680"/>
        <w:rPr>
          <w:u w:val="single"/>
        </w:rPr>
      </w:pPr>
      <w:r>
        <w:rPr>
          <w:u w:val="single"/>
        </w:rPr>
        <w:tab/>
      </w:r>
    </w:p>
  </w:footnote>
  <w:footnote w:type="continuationSeparator" w:id="0">
    <w:p w14:paraId="5C62F550" w14:textId="77777777" w:rsidR="001C4DFC" w:rsidRPr="00AC3823" w:rsidRDefault="001C4DFC" w:rsidP="00AC3823">
      <w:pPr>
        <w:pStyle w:val="Pieddepage"/>
        <w:tabs>
          <w:tab w:val="right" w:pos="2155"/>
        </w:tabs>
        <w:spacing w:after="80" w:line="240" w:lineRule="atLeast"/>
        <w:ind w:left="680"/>
        <w:rPr>
          <w:u w:val="single"/>
        </w:rPr>
      </w:pPr>
      <w:r>
        <w:rPr>
          <w:u w:val="single"/>
        </w:rPr>
        <w:tab/>
      </w:r>
    </w:p>
  </w:footnote>
  <w:footnote w:type="continuationNotice" w:id="1">
    <w:p w14:paraId="09B44641" w14:textId="77777777" w:rsidR="001C4DFC" w:rsidRPr="00AC3823" w:rsidRDefault="001C4DFC">
      <w:pPr>
        <w:spacing w:line="240" w:lineRule="auto"/>
        <w:rPr>
          <w:sz w:val="2"/>
          <w:szCs w:val="2"/>
        </w:rPr>
      </w:pPr>
    </w:p>
  </w:footnote>
  <w:footnote w:id="2">
    <w:p w14:paraId="7A5FC46B" w14:textId="77777777" w:rsidR="001C4DFC" w:rsidRPr="0064073D" w:rsidRDefault="001C4DFC" w:rsidP="00BF0619">
      <w:pPr>
        <w:pStyle w:val="Notedebasdepage"/>
        <w:rPr>
          <w:noProof/>
          <w:lang w:val="fr-FR"/>
        </w:rPr>
      </w:pPr>
      <w:r w:rsidRPr="0064073D">
        <w:rPr>
          <w:rStyle w:val="Appelnotedebasdep"/>
        </w:rPr>
        <w:tab/>
      </w:r>
      <w:r w:rsidRPr="0064073D">
        <w:rPr>
          <w:rStyle w:val="Appelnotedebasdep"/>
          <w:sz w:val="20"/>
        </w:rPr>
        <w:t>*</w:t>
      </w:r>
      <w:r w:rsidRPr="0064073D">
        <w:rPr>
          <w:rStyle w:val="Appelnotedebasdep"/>
          <w:sz w:val="20"/>
        </w:rPr>
        <w:tab/>
      </w:r>
      <w:r w:rsidRPr="0064073D">
        <w:rPr>
          <w:noProof/>
          <w:lang w:val="fr-FR"/>
        </w:rPr>
        <w:t>La version originale du présent document n’a pas été revue par les services d’édition.</w:t>
      </w:r>
    </w:p>
  </w:footnote>
  <w:footnote w:id="3">
    <w:p w14:paraId="46FF2865" w14:textId="77777777" w:rsidR="001C4DFC" w:rsidRPr="0064073D" w:rsidRDefault="001C4DFC" w:rsidP="00BF0619">
      <w:pPr>
        <w:pStyle w:val="Notedebasdepage"/>
      </w:pPr>
      <w:r w:rsidRPr="0064073D">
        <w:rPr>
          <w:rStyle w:val="Appelnotedebasdep"/>
          <w:noProof/>
          <w:lang w:val="fr-FR"/>
        </w:rPr>
        <w:tab/>
      </w:r>
      <w:r w:rsidRPr="0064073D">
        <w:rPr>
          <w:rStyle w:val="Appelnotedebasdep"/>
          <w:noProof/>
          <w:sz w:val="20"/>
          <w:lang w:val="fr-FR"/>
        </w:rPr>
        <w:t>**</w:t>
      </w:r>
      <w:r w:rsidRPr="0064073D">
        <w:rPr>
          <w:rStyle w:val="Appelnotedebasdep"/>
          <w:noProof/>
          <w:sz w:val="20"/>
          <w:lang w:val="fr-FR"/>
        </w:rPr>
        <w:tab/>
      </w:r>
      <w:r w:rsidRPr="0064073D">
        <w:rPr>
          <w:noProof/>
          <w:lang w:val="fr-FR"/>
        </w:rPr>
        <w:t>Les annexes au présent rapport sont conservées dans les archives du secrétariat, où elles peuvent être consultées. Elles sont également accessibles sur la page Web du Comité des droits de l’homme</w:t>
      </w:r>
      <w:r w:rsidRPr="0064073D">
        <w:t>.</w:t>
      </w:r>
    </w:p>
  </w:footnote>
  <w:footnote w:id="4">
    <w:p w14:paraId="45BD7758" w14:textId="1EF8C805" w:rsidR="001C4DFC" w:rsidRPr="0064073D" w:rsidRDefault="001C4DFC" w:rsidP="00BF0619">
      <w:pPr>
        <w:pStyle w:val="Notedebasdepage"/>
      </w:pPr>
      <w:r w:rsidRPr="0064073D">
        <w:tab/>
      </w:r>
      <w:r w:rsidRPr="0064073D">
        <w:rPr>
          <w:rStyle w:val="Appelnotedebasdep"/>
        </w:rPr>
        <w:footnoteRef/>
      </w:r>
      <w:r w:rsidRPr="0064073D">
        <w:tab/>
      </w:r>
      <w:hyperlink r:id="rId1" w:history="1">
        <w:r w:rsidRPr="0064073D">
          <w:rPr>
            <w:rStyle w:val="Lienhypertexte"/>
            <w:color w:val="auto"/>
          </w:rPr>
          <w:t>http://cite.gov.pt/pt/acite/campanhas.html</w:t>
        </w:r>
      </w:hyperlink>
      <w:r w:rsidRPr="0064073D">
        <w:t>.</w:t>
      </w:r>
    </w:p>
  </w:footnote>
  <w:footnote w:id="5">
    <w:p w14:paraId="10983DD8" w14:textId="491E2974" w:rsidR="001C4DFC" w:rsidRPr="0064073D" w:rsidRDefault="001C4DFC" w:rsidP="00BF0619">
      <w:pPr>
        <w:pStyle w:val="Notedebasdepage"/>
      </w:pPr>
      <w:r w:rsidRPr="0064073D">
        <w:tab/>
      </w:r>
      <w:r w:rsidRPr="0064073D">
        <w:rPr>
          <w:rStyle w:val="Appelnotedebasdep"/>
        </w:rPr>
        <w:footnoteRef/>
      </w:r>
      <w:r w:rsidRPr="0064073D">
        <w:tab/>
      </w:r>
      <w:hyperlink r:id="rId2" w:history="1">
        <w:r w:rsidRPr="0064073D">
          <w:rPr>
            <w:rStyle w:val="Lienhypertexte"/>
            <w:color w:val="auto"/>
          </w:rPr>
          <w:t>http://calculadora.cite.pt/index.php/welcome/home</w:t>
        </w:r>
      </w:hyperlink>
      <w:r w:rsidRPr="0064073D">
        <w:t>.</w:t>
      </w:r>
    </w:p>
  </w:footnote>
  <w:footnote w:id="6">
    <w:p w14:paraId="3B8936E6" w14:textId="2529257A" w:rsidR="001C4DFC" w:rsidRPr="0064073D" w:rsidRDefault="001C4DFC" w:rsidP="00BF0619">
      <w:pPr>
        <w:pStyle w:val="Notedebasdepage"/>
      </w:pPr>
      <w:r w:rsidRPr="0064073D">
        <w:tab/>
      </w:r>
      <w:r w:rsidRPr="0064073D">
        <w:rPr>
          <w:rStyle w:val="Appelnotedebasdep"/>
        </w:rPr>
        <w:footnoteRef/>
      </w:r>
      <w:r w:rsidRPr="0064073D">
        <w:rPr>
          <w:vertAlign w:val="superscript"/>
        </w:rPr>
        <w:tab/>
      </w:r>
      <w:hyperlink r:id="rId3" w:history="1">
        <w:r w:rsidRPr="0064073D">
          <w:rPr>
            <w:rStyle w:val="Lienhypertexte"/>
            <w:color w:val="auto"/>
          </w:rPr>
          <w:t>http://cite.gov.pt/pt/destaques/complementosDestqs/I_Rel_Dif_Sal.pdf</w:t>
        </w:r>
      </w:hyperlink>
      <w:r w:rsidRPr="0064073D">
        <w:t>.</w:t>
      </w:r>
    </w:p>
  </w:footnote>
  <w:footnote w:id="7">
    <w:p w14:paraId="1A0BEE92" w14:textId="368F8719" w:rsidR="001C4DFC" w:rsidRPr="0064073D" w:rsidRDefault="001C4DFC" w:rsidP="00BF0619">
      <w:pPr>
        <w:pStyle w:val="Notedebasdepage"/>
      </w:pPr>
      <w:r w:rsidRPr="0064073D">
        <w:tab/>
      </w:r>
      <w:r w:rsidRPr="0064073D">
        <w:rPr>
          <w:rStyle w:val="Appelnotedebasdep"/>
        </w:rPr>
        <w:footnoteRef/>
      </w:r>
      <w:r w:rsidRPr="0064073D">
        <w:tab/>
      </w:r>
      <w:hyperlink r:id="rId4" w:history="1">
        <w:r w:rsidRPr="0064073D">
          <w:rPr>
            <w:rStyle w:val="Lienhypertexte"/>
            <w:color w:val="auto"/>
          </w:rPr>
          <w:t>http://www.acm.gov.pt/documents/10181/222357/PEM_ACM_final.pdf/9ffb3799-7389-4820-83ba-6dcfe22c13fb</w:t>
        </w:r>
      </w:hyperlink>
      <w:r w:rsidRPr="0064073D">
        <w:t>.</w:t>
      </w:r>
    </w:p>
  </w:footnote>
  <w:footnote w:id="8">
    <w:p w14:paraId="56CC28C9" w14:textId="3B3E9263" w:rsidR="001C4DFC" w:rsidRPr="0064073D" w:rsidRDefault="001C4DFC" w:rsidP="00BF0619">
      <w:pPr>
        <w:pStyle w:val="Notedebasdepage"/>
      </w:pPr>
      <w:r w:rsidRPr="0064073D">
        <w:rPr>
          <w:vertAlign w:val="superscript"/>
        </w:rPr>
        <w:tab/>
      </w:r>
      <w:r w:rsidRPr="0064073D">
        <w:rPr>
          <w:rStyle w:val="Appelnotedebasdep"/>
        </w:rPr>
        <w:footnoteRef/>
      </w:r>
      <w:r w:rsidRPr="0064073D">
        <w:rPr>
          <w:vertAlign w:val="superscript"/>
        </w:rPr>
        <w:t xml:space="preserve"> </w:t>
      </w:r>
      <w:r w:rsidRPr="0064073D">
        <w:rPr>
          <w:vertAlign w:val="superscript"/>
        </w:rPr>
        <w:tab/>
      </w:r>
      <w:hyperlink r:id="rId5" w:history="1">
        <w:r w:rsidRPr="0064073D">
          <w:rPr>
            <w:rStyle w:val="Lienhypertexte"/>
            <w:color w:val="auto"/>
          </w:rPr>
          <w:t>http://www.acm.gov.pt/-/cnai-centro-nacional-de-apoio-ao-imigrante</w:t>
        </w:r>
      </w:hyperlink>
      <w:r w:rsidRPr="0064073D">
        <w:t>.</w:t>
      </w:r>
    </w:p>
  </w:footnote>
  <w:footnote w:id="9">
    <w:p w14:paraId="71458760" w14:textId="6A82C4AB" w:rsidR="001C4DFC" w:rsidRPr="0064073D" w:rsidRDefault="001C4DFC" w:rsidP="00BF0619">
      <w:pPr>
        <w:pStyle w:val="Notedebasdepage"/>
      </w:pPr>
      <w:r w:rsidRPr="0064073D">
        <w:rPr>
          <w:vertAlign w:val="superscript"/>
        </w:rPr>
        <w:tab/>
      </w:r>
      <w:r w:rsidRPr="0064073D">
        <w:rPr>
          <w:rStyle w:val="Appelnotedebasdep"/>
        </w:rPr>
        <w:footnoteRef/>
      </w:r>
      <w:r w:rsidRPr="0064073D">
        <w:rPr>
          <w:vertAlign w:val="superscript"/>
        </w:rPr>
        <w:t xml:space="preserve"> </w:t>
      </w:r>
      <w:r w:rsidRPr="0064073D">
        <w:rPr>
          <w:vertAlign w:val="superscript"/>
        </w:rPr>
        <w:tab/>
      </w:r>
      <w:hyperlink r:id="rId6" w:history="1">
        <w:r w:rsidRPr="0064073D">
          <w:rPr>
            <w:rStyle w:val="Lienhypertexte"/>
            <w:color w:val="auto"/>
          </w:rPr>
          <w:t>https://www.youtube.com/watch?v=OaW_bDKwj4k&amp;t=1s</w:t>
        </w:r>
      </w:hyperlink>
      <w:r w:rsidRPr="0064073D">
        <w:t>.</w:t>
      </w:r>
    </w:p>
  </w:footnote>
  <w:footnote w:id="10">
    <w:p w14:paraId="13675E58" w14:textId="35BFB2C2" w:rsidR="001C4DFC" w:rsidRPr="0064073D" w:rsidRDefault="001C4DFC" w:rsidP="00BF0619">
      <w:pPr>
        <w:pStyle w:val="Notedebasdepage"/>
      </w:pPr>
      <w:r w:rsidRPr="0064073D">
        <w:tab/>
      </w:r>
      <w:r w:rsidRPr="0064073D">
        <w:rPr>
          <w:rStyle w:val="Appelnotedebasdep"/>
        </w:rPr>
        <w:footnoteRef/>
      </w:r>
      <w:r w:rsidRPr="0064073D">
        <w:tab/>
      </w:r>
      <w:hyperlink r:id="rId7" w:history="1">
        <w:r w:rsidRPr="0064073D">
          <w:rPr>
            <w:rStyle w:val="Lienhypertexte"/>
            <w:color w:val="auto"/>
          </w:rPr>
          <w:t>http://www.acm.gov.pt/-/rede-claii-centros-locais-de-apoio-a-integracao-de-imigrant-3</w:t>
        </w:r>
      </w:hyperlink>
      <w:r w:rsidRPr="0064073D">
        <w:t>.</w:t>
      </w:r>
    </w:p>
  </w:footnote>
  <w:footnote w:id="11">
    <w:p w14:paraId="7F9B222B" w14:textId="16397FC4" w:rsidR="001C4DFC" w:rsidRPr="0064073D" w:rsidRDefault="001C4DFC" w:rsidP="00BF0619">
      <w:pPr>
        <w:pStyle w:val="Notedebasdepage"/>
      </w:pPr>
      <w:r w:rsidRPr="0064073D">
        <w:tab/>
      </w:r>
      <w:r w:rsidRPr="0064073D">
        <w:rPr>
          <w:rStyle w:val="Appelnotedebasdep"/>
        </w:rPr>
        <w:footnoteRef/>
      </w:r>
      <w:r w:rsidRPr="0064073D">
        <w:tab/>
      </w:r>
      <w:hyperlink r:id="rId8" w:history="1">
        <w:r w:rsidRPr="0064073D">
          <w:rPr>
            <w:rStyle w:val="Lienhypertexte"/>
            <w:color w:val="auto"/>
          </w:rPr>
          <w:t>http://www.acm.gov.pt/kitrefugiados</w:t>
        </w:r>
      </w:hyperlink>
      <w:r w:rsidRPr="0064073D">
        <w:t>.</w:t>
      </w:r>
    </w:p>
  </w:footnote>
  <w:footnote w:id="12">
    <w:p w14:paraId="7D7AC168" w14:textId="36E73A07" w:rsidR="001C4DFC" w:rsidRPr="0064073D" w:rsidRDefault="001C4DFC" w:rsidP="00BF0619">
      <w:pPr>
        <w:pStyle w:val="Notedebasdepage"/>
      </w:pPr>
      <w:r w:rsidRPr="0064073D">
        <w:rPr>
          <w:vertAlign w:val="superscript"/>
        </w:rPr>
        <w:tab/>
      </w:r>
      <w:r w:rsidRPr="0064073D">
        <w:rPr>
          <w:rStyle w:val="Appelnotedebasdep"/>
        </w:rPr>
        <w:footnoteRef/>
      </w:r>
      <w:r w:rsidRPr="0064073D">
        <w:rPr>
          <w:vertAlign w:val="superscript"/>
        </w:rPr>
        <w:t xml:space="preserve"> </w:t>
      </w:r>
      <w:r w:rsidRPr="0064073D">
        <w:rPr>
          <w:vertAlign w:val="superscript"/>
        </w:rPr>
        <w:tab/>
      </w:r>
      <w:hyperlink r:id="rId9" w:history="1">
        <w:r w:rsidRPr="0064073D">
          <w:rPr>
            <w:rStyle w:val="Lienhypertexte"/>
            <w:color w:val="auto"/>
          </w:rPr>
          <w:t>http://www.dge.mec.pt/agenda-europeia-para-migracoes</w:t>
        </w:r>
      </w:hyperlink>
      <w:r w:rsidRPr="0064073D">
        <w:t>.</w:t>
      </w:r>
    </w:p>
  </w:footnote>
  <w:footnote w:id="13">
    <w:p w14:paraId="695AA14C" w14:textId="5FA9DE61" w:rsidR="001C4DFC" w:rsidRPr="0064073D" w:rsidRDefault="001C4DFC" w:rsidP="00BF0619">
      <w:pPr>
        <w:pStyle w:val="Notedebasdepage"/>
      </w:pPr>
      <w:r w:rsidRPr="0064073D">
        <w:tab/>
      </w:r>
      <w:r w:rsidRPr="0064073D">
        <w:rPr>
          <w:rStyle w:val="Appelnotedebasdep"/>
        </w:rPr>
        <w:footnoteRef/>
      </w:r>
      <w:r w:rsidRPr="0064073D">
        <w:tab/>
      </w:r>
      <w:hyperlink r:id="rId10" w:history="1">
        <w:r w:rsidRPr="0064073D">
          <w:rPr>
            <w:rStyle w:val="Lienhypertexte"/>
            <w:color w:val="auto"/>
          </w:rPr>
          <w:t>www.acm.gov.pt/documents/10181/52642/ENICC_en.pdf/bc4d6288-1626-4fcd-baa0-9feb8da7860d</w:t>
        </w:r>
      </w:hyperlink>
      <w:r w:rsidRPr="0064073D">
        <w:t>.</w:t>
      </w:r>
    </w:p>
  </w:footnote>
  <w:footnote w:id="14">
    <w:p w14:paraId="54EADDD0" w14:textId="12C52627" w:rsidR="001C4DFC" w:rsidRPr="0064073D" w:rsidRDefault="001C4DFC" w:rsidP="00BF0619">
      <w:pPr>
        <w:pStyle w:val="Notedebasdepage"/>
      </w:pPr>
      <w:r w:rsidRPr="0064073D">
        <w:tab/>
      </w:r>
      <w:r w:rsidRPr="0064073D">
        <w:rPr>
          <w:rStyle w:val="Appelnotedebasdep"/>
        </w:rPr>
        <w:footnoteRef/>
      </w:r>
      <w:r w:rsidRPr="0064073D">
        <w:tab/>
      </w:r>
      <w:hyperlink r:id="rId11" w:history="1">
        <w:r w:rsidRPr="0064073D">
          <w:rPr>
            <w:rStyle w:val="Lienhypertexte"/>
            <w:color w:val="auto"/>
          </w:rPr>
          <w:t>www.programaescolhas.pt</w:t>
        </w:r>
      </w:hyperlink>
      <w:r w:rsidRPr="0064073D">
        <w:t>.</w:t>
      </w:r>
    </w:p>
  </w:footnote>
  <w:footnote w:id="15">
    <w:p w14:paraId="514C6268" w14:textId="305563C3" w:rsidR="001C4DFC" w:rsidRPr="0064073D" w:rsidRDefault="001C4DFC" w:rsidP="00BF0619">
      <w:pPr>
        <w:pStyle w:val="Notedebasdepage"/>
      </w:pPr>
      <w:r w:rsidRPr="0064073D">
        <w:tab/>
      </w:r>
      <w:r w:rsidRPr="0064073D">
        <w:rPr>
          <w:rStyle w:val="Appelnotedebasdep"/>
        </w:rPr>
        <w:footnoteRef/>
      </w:r>
      <w:r w:rsidRPr="0064073D">
        <w:tab/>
      </w:r>
      <w:hyperlink r:id="rId12" w:history="1">
        <w:r w:rsidRPr="0064073D">
          <w:rPr>
            <w:rStyle w:val="Lienhypertexte"/>
            <w:color w:val="auto"/>
          </w:rPr>
          <w:t>www.descobreatuacor.pt</w:t>
        </w:r>
      </w:hyperlink>
      <w:r w:rsidRPr="0064073D">
        <w:t>.</w:t>
      </w:r>
    </w:p>
  </w:footnote>
  <w:footnote w:id="16">
    <w:p w14:paraId="7A68148E" w14:textId="56E0EF27" w:rsidR="001C4DFC" w:rsidRPr="0064073D" w:rsidRDefault="001C4DFC" w:rsidP="00BF0619">
      <w:pPr>
        <w:pStyle w:val="Notedebasdepage"/>
      </w:pPr>
      <w:r w:rsidRPr="0064073D">
        <w:tab/>
      </w:r>
      <w:r w:rsidRPr="0064073D">
        <w:rPr>
          <w:rStyle w:val="Appelnotedebasdep"/>
        </w:rPr>
        <w:footnoteRef/>
      </w:r>
      <w:r w:rsidRPr="0064073D">
        <w:tab/>
      </w:r>
      <w:hyperlink r:id="rId13" w:history="1">
        <w:r w:rsidRPr="0064073D">
          <w:rPr>
            <w:rStyle w:val="Lienhypertexte"/>
            <w:color w:val="auto"/>
          </w:rPr>
          <w:t>www.acm.gov.pt/documents/10181/167771/As+Cores+Da+Cidade+Cinzenta_BR.pdf/c740288d-4832-49ff-8cfc-75d14d9b5f9f</w:t>
        </w:r>
      </w:hyperlink>
      <w:r w:rsidRPr="0064073D">
        <w:t>.</w:t>
      </w:r>
    </w:p>
  </w:footnote>
  <w:footnote w:id="17">
    <w:p w14:paraId="05E9978E" w14:textId="0E4397AB" w:rsidR="001C4DFC" w:rsidRPr="0064073D" w:rsidRDefault="001C4DFC" w:rsidP="00BF0619">
      <w:pPr>
        <w:pStyle w:val="Notedebasdepage"/>
      </w:pPr>
      <w:r w:rsidRPr="0064073D">
        <w:rPr>
          <w:vertAlign w:val="superscript"/>
        </w:rPr>
        <w:tab/>
      </w:r>
      <w:r w:rsidRPr="0064073D">
        <w:rPr>
          <w:rStyle w:val="Appelnotedebasdep"/>
        </w:rPr>
        <w:footnoteRef/>
      </w:r>
      <w:r w:rsidRPr="0064073D">
        <w:rPr>
          <w:vertAlign w:val="superscript"/>
        </w:rPr>
        <w:t xml:space="preserve"> </w:t>
      </w:r>
      <w:r w:rsidRPr="0064073D">
        <w:rPr>
          <w:vertAlign w:val="superscript"/>
        </w:rPr>
        <w:tab/>
      </w:r>
      <w:hyperlink r:id="rId14" w:history="1">
        <w:r w:rsidRPr="0064073D">
          <w:rPr>
            <w:rStyle w:val="Lienhypertexte"/>
            <w:color w:val="auto"/>
          </w:rPr>
          <w:t>www.acm.gov.pt/-/dia-internacional-para-a-eliminacao-da-discriminacao-racial-acm-promove-campanha-de-sensibilizacao-em-escolas-do-1-ciclo</w:t>
        </w:r>
      </w:hyperlink>
      <w:r w:rsidRPr="0064073D">
        <w:t>.</w:t>
      </w:r>
    </w:p>
  </w:footnote>
  <w:footnote w:id="18">
    <w:p w14:paraId="6D67E1BF" w14:textId="521E2F32" w:rsidR="001C4DFC" w:rsidRPr="0064073D" w:rsidRDefault="001C4DFC" w:rsidP="00BF0619">
      <w:pPr>
        <w:pStyle w:val="Notedebasdepage"/>
      </w:pPr>
      <w:r w:rsidRPr="0064073D">
        <w:rPr>
          <w:vertAlign w:val="superscript"/>
        </w:rPr>
        <w:tab/>
      </w:r>
      <w:r w:rsidRPr="0064073D">
        <w:rPr>
          <w:rStyle w:val="Appelnotedebasdep"/>
        </w:rPr>
        <w:footnoteRef/>
      </w:r>
      <w:r w:rsidRPr="0064073D">
        <w:rPr>
          <w:vertAlign w:val="superscript"/>
        </w:rPr>
        <w:t xml:space="preserve"> </w:t>
      </w:r>
      <w:r w:rsidRPr="0064073D">
        <w:rPr>
          <w:vertAlign w:val="superscript"/>
        </w:rPr>
        <w:tab/>
      </w:r>
      <w:hyperlink r:id="rId15" w:history="1">
        <w:r w:rsidRPr="0064073D">
          <w:rPr>
            <w:rStyle w:val="Lienhypertexte"/>
            <w:color w:val="auto"/>
          </w:rPr>
          <w:t>www.cicdr.pt/-/77-palavras-contra-a-discriminacao-racial?inheritRedirect=true</w:t>
        </w:r>
      </w:hyperlink>
      <w:r w:rsidRPr="0064073D">
        <w:t>.</w:t>
      </w:r>
    </w:p>
  </w:footnote>
  <w:footnote w:id="19">
    <w:p w14:paraId="454C614F" w14:textId="6B057438" w:rsidR="001C4DFC" w:rsidRPr="0064073D" w:rsidRDefault="001C4DFC" w:rsidP="00BF0619">
      <w:pPr>
        <w:pStyle w:val="Notedebasdepage"/>
      </w:pPr>
      <w:r w:rsidRPr="0064073D">
        <w:tab/>
      </w:r>
      <w:r w:rsidRPr="0064073D">
        <w:rPr>
          <w:rStyle w:val="Appelnotedebasdep"/>
        </w:rPr>
        <w:footnoteRef/>
      </w:r>
      <w:r w:rsidRPr="0064073D">
        <w:tab/>
      </w:r>
      <w:hyperlink r:id="rId16" w:history="1">
        <w:r w:rsidRPr="0064073D">
          <w:rPr>
            <w:rStyle w:val="Lienhypertexte"/>
            <w:color w:val="auto"/>
          </w:rPr>
          <w:t>https://www.acm.gov.pt/-/acm-e-dgrsp-assinam-protocolo-de-colaboracao-capacitar-profissionais-da-reeducacao-e-reinsercao-social-para-a-interculturalidade</w:t>
        </w:r>
      </w:hyperlink>
      <w:r w:rsidRPr="0064073D">
        <w:t>.</w:t>
      </w:r>
    </w:p>
  </w:footnote>
  <w:footnote w:id="20">
    <w:p w14:paraId="1E3DF688" w14:textId="4B486721" w:rsidR="001C4DFC" w:rsidRPr="0064073D" w:rsidRDefault="001C4DFC" w:rsidP="00BF0619">
      <w:pPr>
        <w:pStyle w:val="Notedebasdepage"/>
      </w:pPr>
      <w:r w:rsidRPr="0064073D">
        <w:tab/>
      </w:r>
      <w:r w:rsidRPr="0064073D">
        <w:rPr>
          <w:rStyle w:val="Appelnotedebasdep"/>
        </w:rPr>
        <w:footnoteRef/>
      </w:r>
      <w:r w:rsidRPr="0064073D">
        <w:tab/>
      </w:r>
      <w:hyperlink r:id="rId17" w:history="1">
        <w:r w:rsidRPr="0064073D">
          <w:rPr>
            <w:rStyle w:val="Lienhypertexte"/>
            <w:color w:val="auto"/>
          </w:rPr>
          <w:t>http://www.esefosseeu.pt/</w:t>
        </w:r>
      </w:hyperlink>
      <w:r w:rsidRPr="0064073D">
        <w:t>.</w:t>
      </w:r>
    </w:p>
  </w:footnote>
  <w:footnote w:id="21">
    <w:p w14:paraId="4A278949" w14:textId="33A92E49" w:rsidR="001C4DFC" w:rsidRPr="0064073D" w:rsidRDefault="001C4DFC" w:rsidP="00BF0619">
      <w:pPr>
        <w:pStyle w:val="Notedebasdepage"/>
        <w:rPr>
          <w:noProof/>
          <w:lang w:val="fr-FR"/>
        </w:rPr>
      </w:pPr>
      <w:r w:rsidRPr="0064073D">
        <w:tab/>
      </w:r>
      <w:r w:rsidRPr="0064073D">
        <w:rPr>
          <w:rStyle w:val="Appelnotedebasdep"/>
        </w:rPr>
        <w:footnoteRef/>
      </w:r>
      <w:r w:rsidRPr="0064073D">
        <w:tab/>
      </w:r>
      <w:r w:rsidRPr="0064073D">
        <w:rPr>
          <w:noProof/>
          <w:lang w:val="fr-FR"/>
        </w:rPr>
        <w:t xml:space="preserve">La classe de bienvenue, qui est l’un des éléments de la boîte à outils européenne pour les écoles et établissements, disponible sur la plateforme </w:t>
      </w:r>
      <w:r w:rsidRPr="0064073D">
        <w:rPr>
          <w:i/>
          <w:noProof/>
          <w:lang w:val="fr-FR"/>
        </w:rPr>
        <w:t>School Education Gateway</w:t>
      </w:r>
      <w:r w:rsidRPr="0064073D">
        <w:rPr>
          <w:noProof/>
          <w:lang w:val="fr-FR"/>
        </w:rPr>
        <w:t xml:space="preserve">, est considérée comme une bonne pratique à l’appui des apprenants : </w:t>
      </w:r>
      <w:hyperlink r:id="rId18" w:history="1">
        <w:r w:rsidRPr="0064073D">
          <w:rPr>
            <w:rStyle w:val="Lienhypertexte"/>
            <w:noProof/>
            <w:color w:val="auto"/>
            <w:lang w:val="fr-FR"/>
          </w:rPr>
          <w:t>https://www.schooleducationgateway.eu/fr/pub/</w:t>
        </w:r>
        <w:r w:rsidRPr="0064073D">
          <w:rPr>
            <w:rStyle w:val="Lienhypertexte"/>
            <w:noProof/>
            <w:color w:val="auto"/>
            <w:lang w:val="fr-FR"/>
          </w:rPr>
          <w:br/>
          <w:t>resources/toolkitsforschools/detail.cfm?n=547</w:t>
        </w:r>
      </w:hyperlink>
      <w:r w:rsidRPr="0064073D">
        <w:rPr>
          <w:noProof/>
          <w:lang w:val="fr-FR"/>
        </w:rPr>
        <w:t>.</w:t>
      </w:r>
    </w:p>
  </w:footnote>
  <w:footnote w:id="22">
    <w:p w14:paraId="69CA931A" w14:textId="7C61836D" w:rsidR="001C4DFC" w:rsidRPr="0064073D" w:rsidRDefault="001C4DFC" w:rsidP="00BF0619">
      <w:pPr>
        <w:pStyle w:val="Notedebasdepage"/>
      </w:pPr>
      <w:r w:rsidRPr="0064073D">
        <w:rPr>
          <w:noProof/>
          <w:lang w:val="fr-FR"/>
        </w:rPr>
        <w:tab/>
      </w:r>
      <w:r w:rsidRPr="0064073D">
        <w:rPr>
          <w:rStyle w:val="Appelnotedebasdep"/>
        </w:rPr>
        <w:footnoteRef/>
      </w:r>
      <w:r w:rsidRPr="0064073D">
        <w:rPr>
          <w:noProof/>
          <w:lang w:val="fr-FR"/>
        </w:rPr>
        <w:tab/>
        <w:t xml:space="preserve">D’autres renseignements sont disponibles à l’adresse : </w:t>
      </w:r>
      <w:hyperlink r:id="rId19" w:history="1">
        <w:r w:rsidRPr="0064073D">
          <w:rPr>
            <w:rStyle w:val="Lienhypertexte"/>
            <w:noProof/>
            <w:color w:val="auto"/>
            <w:lang w:val="fr-FR"/>
          </w:rPr>
          <w:t>https://www.schooleducationgateway.eu/</w:t>
        </w:r>
        <w:r w:rsidRPr="0064073D">
          <w:rPr>
            <w:rStyle w:val="Lienhypertexte"/>
            <w:noProof/>
            <w:color w:val="auto"/>
            <w:lang w:val="fr-FR"/>
          </w:rPr>
          <w:br/>
          <w:t>en/pub/resources/toolkitsforschools/detail.cfm?n=320</w:t>
        </w:r>
      </w:hyperlink>
      <w:r w:rsidRPr="006407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39EE" w14:textId="608D501E" w:rsidR="001C4DFC" w:rsidRPr="00A70E07" w:rsidRDefault="001C4DFC">
    <w:pPr>
      <w:pStyle w:val="En-tte"/>
    </w:pPr>
    <w:fldSimple w:instr=" TITLE  \* MERGEFORMAT ">
      <w:r w:rsidR="00590D8D">
        <w:t>CCPR/C/PRT/5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9CBC" w14:textId="59B487DC" w:rsidR="001C4DFC" w:rsidRPr="00A70E07" w:rsidRDefault="001C4DFC" w:rsidP="00A70E07">
    <w:pPr>
      <w:pStyle w:val="En-tte"/>
      <w:jc w:val="right"/>
    </w:pPr>
    <w:fldSimple w:instr=" TITLE  \* MERGEFORMAT ">
      <w:r w:rsidR="00590D8D">
        <w:t>CCPR/C/PRT/5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38F2"/>
    <w:rsid w:val="00017F94"/>
    <w:rsid w:val="00023842"/>
    <w:rsid w:val="000334F9"/>
    <w:rsid w:val="000662AF"/>
    <w:rsid w:val="0007796D"/>
    <w:rsid w:val="000B7790"/>
    <w:rsid w:val="000C2225"/>
    <w:rsid w:val="00111F2F"/>
    <w:rsid w:val="0014365E"/>
    <w:rsid w:val="00176178"/>
    <w:rsid w:val="001B379B"/>
    <w:rsid w:val="001C4DFC"/>
    <w:rsid w:val="001F525A"/>
    <w:rsid w:val="0021448E"/>
    <w:rsid w:val="00223272"/>
    <w:rsid w:val="0024779E"/>
    <w:rsid w:val="002B7BC7"/>
    <w:rsid w:val="002C1A37"/>
    <w:rsid w:val="002C4034"/>
    <w:rsid w:val="002C4D47"/>
    <w:rsid w:val="002E2D46"/>
    <w:rsid w:val="002E5FC5"/>
    <w:rsid w:val="00311684"/>
    <w:rsid w:val="0032225A"/>
    <w:rsid w:val="003402F1"/>
    <w:rsid w:val="00351332"/>
    <w:rsid w:val="0035573C"/>
    <w:rsid w:val="003A6E96"/>
    <w:rsid w:val="003D3209"/>
    <w:rsid w:val="00432A9D"/>
    <w:rsid w:val="00446FE5"/>
    <w:rsid w:val="00452396"/>
    <w:rsid w:val="00460B9A"/>
    <w:rsid w:val="004F188D"/>
    <w:rsid w:val="005505B7"/>
    <w:rsid w:val="00551C82"/>
    <w:rsid w:val="00573BE5"/>
    <w:rsid w:val="00586ED3"/>
    <w:rsid w:val="00590D8D"/>
    <w:rsid w:val="00596AA9"/>
    <w:rsid w:val="005A4D3A"/>
    <w:rsid w:val="005A717F"/>
    <w:rsid w:val="0064073D"/>
    <w:rsid w:val="00644C8E"/>
    <w:rsid w:val="006D0D0D"/>
    <w:rsid w:val="006F7144"/>
    <w:rsid w:val="006F71EA"/>
    <w:rsid w:val="0071601D"/>
    <w:rsid w:val="00755A3A"/>
    <w:rsid w:val="00793E85"/>
    <w:rsid w:val="007A611C"/>
    <w:rsid w:val="007A62E6"/>
    <w:rsid w:val="007A7E52"/>
    <w:rsid w:val="007E2032"/>
    <w:rsid w:val="0080684C"/>
    <w:rsid w:val="00820961"/>
    <w:rsid w:val="008435A2"/>
    <w:rsid w:val="008560DB"/>
    <w:rsid w:val="00871C75"/>
    <w:rsid w:val="008776DC"/>
    <w:rsid w:val="008B2160"/>
    <w:rsid w:val="008B2553"/>
    <w:rsid w:val="00941F5F"/>
    <w:rsid w:val="009638F2"/>
    <w:rsid w:val="009705C8"/>
    <w:rsid w:val="00980D26"/>
    <w:rsid w:val="009A6338"/>
    <w:rsid w:val="009B1E6C"/>
    <w:rsid w:val="009E2C6A"/>
    <w:rsid w:val="009F1E8A"/>
    <w:rsid w:val="00A70E07"/>
    <w:rsid w:val="00A9151D"/>
    <w:rsid w:val="00A962E4"/>
    <w:rsid w:val="00AA6A35"/>
    <w:rsid w:val="00AC3823"/>
    <w:rsid w:val="00AE323C"/>
    <w:rsid w:val="00B00181"/>
    <w:rsid w:val="00B52706"/>
    <w:rsid w:val="00B765F7"/>
    <w:rsid w:val="00B90119"/>
    <w:rsid w:val="00BA0CA9"/>
    <w:rsid w:val="00BC5D7F"/>
    <w:rsid w:val="00BE5017"/>
    <w:rsid w:val="00BF0619"/>
    <w:rsid w:val="00C01ACF"/>
    <w:rsid w:val="00C02897"/>
    <w:rsid w:val="00C03D16"/>
    <w:rsid w:val="00CA7BC4"/>
    <w:rsid w:val="00D05667"/>
    <w:rsid w:val="00D3439C"/>
    <w:rsid w:val="00D744E5"/>
    <w:rsid w:val="00D83177"/>
    <w:rsid w:val="00D96DA3"/>
    <w:rsid w:val="00DB1831"/>
    <w:rsid w:val="00DB2FE9"/>
    <w:rsid w:val="00DC6602"/>
    <w:rsid w:val="00DD0EBD"/>
    <w:rsid w:val="00DD3BFD"/>
    <w:rsid w:val="00DE0409"/>
    <w:rsid w:val="00DF6678"/>
    <w:rsid w:val="00E42E24"/>
    <w:rsid w:val="00E85C42"/>
    <w:rsid w:val="00EB6B20"/>
    <w:rsid w:val="00EC30D5"/>
    <w:rsid w:val="00ED520E"/>
    <w:rsid w:val="00EE1BD4"/>
    <w:rsid w:val="00F12152"/>
    <w:rsid w:val="00F604C4"/>
    <w:rsid w:val="00F660DF"/>
    <w:rsid w:val="00F678BA"/>
    <w:rsid w:val="00F95C08"/>
    <w:rsid w:val="00FD57A3"/>
    <w:rsid w:val="00FD7E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F0D5D"/>
  <w15:docId w15:val="{EED2B86E-1DC0-489C-8B15-BC1F42F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BF0619"/>
    <w:pPr>
      <w:numPr>
        <w:numId w:val="22"/>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BF0619"/>
    <w:pPr>
      <w:numPr>
        <w:numId w:val="27"/>
      </w:numPr>
    </w:pPr>
  </w:style>
  <w:style w:type="numbering" w:styleId="1ai">
    <w:name w:val="Outline List 1"/>
    <w:basedOn w:val="Aucuneliste"/>
    <w:semiHidden/>
    <w:rsid w:val="00BF0619"/>
    <w:pPr>
      <w:numPr>
        <w:numId w:val="25"/>
      </w:numPr>
    </w:pPr>
  </w:style>
  <w:style w:type="character" w:styleId="Titredulivre">
    <w:name w:val="Book Title"/>
    <w:basedOn w:val="Policepardfaut"/>
    <w:uiPriority w:val="33"/>
    <w:semiHidden/>
    <w:rsid w:val="00BF0619"/>
    <w:rPr>
      <w:b/>
      <w:bCs/>
      <w:smallCaps/>
      <w:spacing w:val="5"/>
    </w:rPr>
  </w:style>
  <w:style w:type="character" w:styleId="Marquedecommentaire">
    <w:name w:val="annotation reference"/>
    <w:basedOn w:val="Policepardfaut"/>
    <w:uiPriority w:val="99"/>
    <w:semiHidden/>
    <w:unhideWhenUsed/>
    <w:rsid w:val="00BF0619"/>
    <w:rPr>
      <w:sz w:val="16"/>
      <w:szCs w:val="16"/>
    </w:rPr>
  </w:style>
  <w:style w:type="paragraph" w:styleId="Commentaire">
    <w:name w:val="annotation text"/>
    <w:basedOn w:val="Normal"/>
    <w:link w:val="CommentaireCar"/>
    <w:uiPriority w:val="99"/>
    <w:semiHidden/>
    <w:unhideWhenUsed/>
    <w:rsid w:val="00BF0619"/>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BF0619"/>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BF0619"/>
    <w:rPr>
      <w:b/>
      <w:bCs/>
    </w:rPr>
  </w:style>
  <w:style w:type="character" w:customStyle="1" w:styleId="ObjetducommentaireCar">
    <w:name w:val="Objet du commentaire Car"/>
    <w:basedOn w:val="CommentaireCar"/>
    <w:link w:val="Objetducommentaire"/>
    <w:uiPriority w:val="99"/>
    <w:semiHidden/>
    <w:rsid w:val="00BF0619"/>
    <w:rPr>
      <w:rFonts w:ascii="Times New Roman" w:hAnsi="Times New Roman" w:cs="Times New Roman"/>
      <w:b/>
      <w:bCs/>
      <w:sz w:val="20"/>
      <w:szCs w:val="20"/>
      <w:lang w:val="en-GB" w:eastAsia="en-US"/>
    </w:rPr>
  </w:style>
  <w:style w:type="character" w:styleId="Accentuation">
    <w:name w:val="Emphasis"/>
    <w:basedOn w:val="Policepardfaut"/>
    <w:uiPriority w:val="20"/>
    <w:qFormat/>
    <w:rsid w:val="00BF0619"/>
    <w:rPr>
      <w:i/>
      <w:iCs/>
    </w:rPr>
  </w:style>
  <w:style w:type="character" w:customStyle="1" w:styleId="sb8d990e2">
    <w:name w:val="sb8d990e2"/>
    <w:basedOn w:val="Policepardfaut"/>
    <w:rsid w:val="00BF0619"/>
  </w:style>
  <w:style w:type="character" w:styleId="Mentionnonrsolue">
    <w:name w:val="Unresolved Mention"/>
    <w:basedOn w:val="Policepardfaut"/>
    <w:uiPriority w:val="99"/>
    <w:semiHidden/>
    <w:unhideWhenUsed/>
    <w:rsid w:val="00BE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http:/www.acm.gov.pt/kitrefugiados" TargetMode="External"/><Relationship Id="rId13" Type="http://schemas.openxmlformats.org/officeDocument/2006/relationships/hyperlink" Target="http://www.acm.gov.pt/documents/10181/167771/As+Cores+Da+Cidade+Cinzenta_BR.pdf/c740288d-4832-49ff-8cfc-75d14d9b5f9f" TargetMode="External"/><Relationship Id="rId18" Type="http://schemas.openxmlformats.org/officeDocument/2006/relationships/hyperlink" Target="https://www.schooleducationgateway.eu/fr/pub/resources/toolkitsforschools/detail.cfm?n=547" TargetMode="External"/><Relationship Id="rId3" Type="http://schemas.openxmlformats.org/officeDocument/2006/relationships/hyperlink" Target="http://cite.gov.pt/pt/destaques/complementosDestqs/I_Rel_Dif_Sal.pdf" TargetMode="External"/><Relationship Id="rId7" Type="http://schemas.openxmlformats.org/officeDocument/2006/relationships/hyperlink" Target="http://www.acm.gov.pt/-/rede-claii-centros-locais-de-apoio-a-integracao-de-imigrant-3" TargetMode="External"/><Relationship Id="rId12" Type="http://schemas.openxmlformats.org/officeDocument/2006/relationships/hyperlink" Target="http://www.descobreatuacor.pt" TargetMode="External"/><Relationship Id="rId17" Type="http://schemas.openxmlformats.org/officeDocument/2006/relationships/hyperlink" Target="http://www.esefosseeu.pt/" TargetMode="External"/><Relationship Id="rId2" Type="http://schemas.openxmlformats.org/officeDocument/2006/relationships/hyperlink" Target="http://calculadora.cite.pt/index.php/welcome/home" TargetMode="External"/><Relationship Id="rId16" Type="http://schemas.openxmlformats.org/officeDocument/2006/relationships/hyperlink" Target="https://www.acm.gov.pt/-/acm-e-dgrsp-assinam-protocolo-de-colaboracao-capacitar-profissionais-da-reeducacao-e-reinsercao-social-para-a-interculturalidade" TargetMode="External"/><Relationship Id="rId1" Type="http://schemas.openxmlformats.org/officeDocument/2006/relationships/hyperlink" Target="http://cite.gov.pt/pt/acite/campanhas.html" TargetMode="External"/><Relationship Id="rId6" Type="http://schemas.openxmlformats.org/officeDocument/2006/relationships/hyperlink" Target="https://www.youtube.com/watch?v=OaW_bDKwj4k&amp;t=1s" TargetMode="External"/><Relationship Id="rId11" Type="http://schemas.openxmlformats.org/officeDocument/2006/relationships/hyperlink" Target="http://www.programaescolhas.pt" TargetMode="External"/><Relationship Id="rId5" Type="http://schemas.openxmlformats.org/officeDocument/2006/relationships/hyperlink" Target="http://www.acm.gov.pt/-/cnai-centro-nacional-de-apoio-ao-imigrante" TargetMode="External"/><Relationship Id="rId15" Type="http://schemas.openxmlformats.org/officeDocument/2006/relationships/hyperlink" Target="http://www.cicdr.pt/-/77-palavras-contra-a-discriminacao-racial?inheritRedirect=true" TargetMode="External"/><Relationship Id="rId10" Type="http://schemas.openxmlformats.org/officeDocument/2006/relationships/hyperlink" Target="http://www.acm.gov.pt/documents/10181/52642/ENICC_en.pdf/bc4d6288-1626-4fcd-baa0-9feb8da7860d" TargetMode="External"/><Relationship Id="rId19" Type="http://schemas.openxmlformats.org/officeDocument/2006/relationships/hyperlink" Target="https://www.schooleducationgateway.eu/en/pub/resources/toolkitsforschools/detail.cfm?n=320" TargetMode="External"/><Relationship Id="rId4" Type="http://schemas.openxmlformats.org/officeDocument/2006/relationships/hyperlink" Target="http://www.acm.gov.pt/documents/10181/222357/PEM_ACM_final.pdf/9ffb3799-7389-4820-83ba-6dcfe22c13fb" TargetMode="External"/><Relationship Id="rId9" Type="http://schemas.openxmlformats.org/officeDocument/2006/relationships/hyperlink" Target="http://www.dge.mec.pt/agenda-europeia-para-migracoes" TargetMode="External"/><Relationship Id="rId14" Type="http://schemas.openxmlformats.org/officeDocument/2006/relationships/hyperlink" Target="http://www.acm.gov.pt/-/dia-internacional-para-a-eliminacao-da-discriminacao-racial-acm-promove-campanha-de-sensibilizacao-em-escolas-do-1-cic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cquaresma\Documents\VD-DADOS%20FS%20e%20BDVD\Relat&#243;rios%20VD,%20Apresenta&#231;_u00f5es,%20Comunica&#231;_u00f5es\Relat&#243;rios\2016_elabnov2017\Auxrelvd2016_22_12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manualLayout>
          <c:layoutTarget val="inner"/>
          <c:xMode val="edge"/>
          <c:yMode val="edge"/>
          <c:x val="3.5335733767777253E-2"/>
          <c:y val="4.973199393660041E-2"/>
          <c:w val="0.89631355560108894"/>
          <c:h val="0.8584239556554506"/>
        </c:manualLayout>
      </c:layout>
      <c:scatterChart>
        <c:scatterStyle val="smoothMarker"/>
        <c:varyColors val="0"/>
        <c:ser>
          <c:idx val="0"/>
          <c:order val="0"/>
          <c:tx>
            <c:strRef>
              <c:f>detidos!$N$33</c:f>
              <c:strCache>
                <c:ptCount val="1"/>
                <c:pt idx="0">
                  <c:v>Total</c:v>
                </c:pt>
              </c:strCache>
            </c:strRef>
          </c:tx>
          <c:spPr>
            <a:ln>
              <a:solidFill>
                <a:schemeClr val="tx2">
                  <a:lumMod val="75000"/>
                </a:schemeClr>
              </a:solidFill>
            </a:ln>
          </c:spPr>
          <c:marker>
            <c:symbol val="none"/>
          </c:marker>
          <c:dLbls>
            <c:dLbl>
              <c:idx val="0"/>
              <c:layout>
                <c:manualLayout>
                  <c:x val="-6.2311077286342921E-2"/>
                  <c:y val="-5.85497575514925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45-4150-9930-6650B99B207A}"/>
                </c:ext>
              </c:extLst>
            </c:dLbl>
            <c:spPr>
              <a:noFill/>
              <a:ln>
                <a:noFill/>
              </a:ln>
              <a:effectLst/>
            </c:spPr>
            <c:txPr>
              <a:bodyPr wrap="square" lIns="38100" tIns="19050" rIns="38100" bIns="19050" anchor="ctr">
                <a:spAutoFit/>
              </a:bodyPr>
              <a:lstStyle/>
              <a:p>
                <a:pPr>
                  <a:defRPr sz="800"/>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detidos!$O$30:$V$30</c:f>
              <c:numCache>
                <c:formatCode>General</c:formatCode>
                <c:ptCount val="8"/>
                <c:pt idx="0">
                  <c:v>2009</c:v>
                </c:pt>
                <c:pt idx="1">
                  <c:v>2010</c:v>
                </c:pt>
                <c:pt idx="2">
                  <c:v>2011</c:v>
                </c:pt>
                <c:pt idx="3">
                  <c:v>2012</c:v>
                </c:pt>
                <c:pt idx="4">
                  <c:v>2013</c:v>
                </c:pt>
                <c:pt idx="5">
                  <c:v>2014</c:v>
                </c:pt>
                <c:pt idx="6">
                  <c:v>2015</c:v>
                </c:pt>
                <c:pt idx="7">
                  <c:v>2016</c:v>
                </c:pt>
              </c:numCache>
            </c:numRef>
          </c:xVal>
          <c:yVal>
            <c:numRef>
              <c:f>detidos!$O$33:$V$33</c:f>
              <c:numCache>
                <c:formatCode>General</c:formatCode>
                <c:ptCount val="8"/>
                <c:pt idx="0">
                  <c:v>215</c:v>
                </c:pt>
                <c:pt idx="1">
                  <c:v>441</c:v>
                </c:pt>
                <c:pt idx="2">
                  <c:v>467</c:v>
                </c:pt>
                <c:pt idx="3">
                  <c:v>417</c:v>
                </c:pt>
                <c:pt idx="4">
                  <c:v>510</c:v>
                </c:pt>
                <c:pt idx="5">
                  <c:v>618</c:v>
                </c:pt>
                <c:pt idx="6">
                  <c:v>750</c:v>
                </c:pt>
                <c:pt idx="7">
                  <c:v>730</c:v>
                </c:pt>
              </c:numCache>
            </c:numRef>
          </c:yVal>
          <c:smooth val="1"/>
          <c:extLst>
            <c:ext xmlns:c16="http://schemas.microsoft.com/office/drawing/2014/chart" uri="{C3380CC4-5D6E-409C-BE32-E72D297353CC}">
              <c16:uniqueId val="{00000001-D545-4150-9930-6650B99B207A}"/>
            </c:ext>
          </c:extLst>
        </c:ser>
        <c:dLbls>
          <c:showLegendKey val="0"/>
          <c:showVal val="0"/>
          <c:showCatName val="0"/>
          <c:showSerName val="0"/>
          <c:showPercent val="0"/>
          <c:showBubbleSize val="0"/>
        </c:dLbls>
        <c:axId val="298882944"/>
        <c:axId val="298884480"/>
      </c:scatterChart>
      <c:valAx>
        <c:axId val="298882944"/>
        <c:scaling>
          <c:orientation val="minMax"/>
          <c:max val="2016"/>
          <c:min val="2009"/>
        </c:scaling>
        <c:delete val="0"/>
        <c:axPos val="b"/>
        <c:numFmt formatCode="General" sourceLinked="1"/>
        <c:majorTickMark val="none"/>
        <c:minorTickMark val="none"/>
        <c:tickLblPos val="nextTo"/>
        <c:txPr>
          <a:bodyPr rot="0" vert="horz"/>
          <a:lstStyle/>
          <a:p>
            <a:pPr>
              <a:defRPr sz="800"/>
            </a:pPr>
            <a:endParaRPr lang="fr-FR"/>
          </a:p>
        </c:txPr>
        <c:crossAx val="298884480"/>
        <c:crosses val="autoZero"/>
        <c:crossBetween val="midCat"/>
      </c:valAx>
      <c:valAx>
        <c:axId val="298884480"/>
        <c:scaling>
          <c:orientation val="minMax"/>
          <c:min val="100"/>
        </c:scaling>
        <c:delete val="1"/>
        <c:axPos val="l"/>
        <c:numFmt formatCode="General" sourceLinked="1"/>
        <c:majorTickMark val="out"/>
        <c:minorTickMark val="none"/>
        <c:tickLblPos val="nextTo"/>
        <c:crossAx val="298882944"/>
        <c:crosses val="autoZero"/>
        <c:crossBetween val="midCat"/>
        <c:majorUnit val="50"/>
      </c:valAx>
    </c:plotArea>
    <c:plotVisOnly val="1"/>
    <c:dispBlanksAs val="gap"/>
    <c:showDLblsOverMax val="0"/>
  </c:chart>
  <c:spPr>
    <a:solidFill>
      <a:schemeClr val="lt1"/>
    </a:solidFill>
    <a:ln>
      <a:noFill/>
    </a:ln>
  </c:spPr>
  <c:txPr>
    <a:bodyPr/>
    <a:lstStyle/>
    <a:p>
      <a:pPr>
        <a:defRPr sz="1200" baseline="0">
          <a:latin typeface="Times New Roman" panose="02020603050405020304" pitchFamily="18"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64F4-7AAF-4D34-9D3B-FF2A179F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43</Pages>
  <Words>25298</Words>
  <Characters>139142</Characters>
  <Application>Microsoft Office Word</Application>
  <DocSecurity>0</DocSecurity>
  <Lines>1159</Lines>
  <Paragraphs>328</Paragraphs>
  <ScaleCrop>false</ScaleCrop>
  <HeadingPairs>
    <vt:vector size="2" baseType="variant">
      <vt:variant>
        <vt:lpstr>Titre</vt:lpstr>
      </vt:variant>
      <vt:variant>
        <vt:i4>1</vt:i4>
      </vt:variant>
    </vt:vector>
  </HeadingPairs>
  <TitlesOfParts>
    <vt:vector size="1" baseType="lpstr">
      <vt:lpstr>CCPR/C/PRT/5</vt:lpstr>
    </vt:vector>
  </TitlesOfParts>
  <Company>DCM</Company>
  <LinksUpToDate>false</LinksUpToDate>
  <CharactersWithSpaces>164112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CCPR/C/PRT/5</dc:title>
  <dc:subject/>
  <dc:creator>Edith BOURION</dc:creator>
  <cp:keywords/>
  <cp:lastModifiedBy>Edith Bourion</cp:lastModifiedBy>
  <cp:revision>3</cp:revision>
  <cp:lastPrinted>2019-04-10T09:35:00Z</cp:lastPrinted>
  <dcterms:created xsi:type="dcterms:W3CDTF">2019-04-10T09:35:00Z</dcterms:created>
  <dcterms:modified xsi:type="dcterms:W3CDTF">2019-04-10T09:37:00Z</dcterms:modified>
</cp:coreProperties>
</file>