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22.65pt;width:198pt;height:18pt;z-index:1;mso-position-horizontal-relative:margin" filled="f" stroked="f">
            <v:textbox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GE.07-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40317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(R)</w:t>
                  </w:r>
                  <w:r>
                    <w:t xml:space="preserve">  </w:t>
                  </w:r>
                  <w:r>
                    <w:rPr>
                      <w:lang w:val="en-US"/>
                    </w:rPr>
                    <w:t xml:space="preserve">  020307    070307</w:t>
                  </w:r>
                </w:p>
              </w:txbxContent>
            </v:textbox>
            <w10:wrap anchorx="margin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  <w:lang w:val="en-US"/>
              </w:rPr>
              <w:br/>
            </w: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7"/>
            </w:pPr>
            <w:r>
              <w:t>CAT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9639" w:type="dxa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953"/>
        <w:gridCol w:w="22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bookmarkStart w:id="0" w:name="_MON_1115032092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6014527" r:id="rId8"/>
              </w:objec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>
              <w:rPr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953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 xml:space="preserve">Конвенция против пыток </w:t>
            </w:r>
            <w:r>
              <w:rPr>
                <w:b/>
                <w:sz w:val="30"/>
              </w:rPr>
              <w:br/>
              <w:t xml:space="preserve">и других жестоких, бесчеловечных </w:t>
            </w:r>
            <w:r>
              <w:rPr>
                <w:b/>
                <w:sz w:val="30"/>
              </w:rPr>
              <w:br/>
              <w:t xml:space="preserve">или унижающих достоинство видов </w:t>
            </w:r>
            <w:r>
              <w:rPr>
                <w:b/>
                <w:sz w:val="30"/>
              </w:rPr>
              <w:br/>
              <w:t>обращения и наказания</w:t>
            </w:r>
          </w:p>
        </w:tc>
        <w:tc>
          <w:tcPr>
            <w:tcW w:w="2268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Distr.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  <w:lang w:val="en-US"/>
              </w:rPr>
              <w:t>CAT/C/GUY/CO/1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"Дата документа"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7 December 2006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Original: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3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</w:rPr>
            </w:pPr>
          </w:p>
        </w:tc>
      </w:tr>
    </w:tbl>
    <w:p w:rsidR="00000000" w:rsidRDefault="00000000">
      <w:pPr>
        <w:spacing w:line="240" w:lineRule="auto"/>
      </w:pPr>
    </w:p>
    <w:p w:rsidR="00000000" w:rsidRDefault="00000000">
      <w:r>
        <w:t>КОМИТЕТ ПРОТИВ ПЫТОК</w:t>
      </w:r>
    </w:p>
    <w:p w:rsidR="00000000" w:rsidRDefault="00000000">
      <w:r>
        <w:t>Тридцать седьмая сессия</w:t>
      </w:r>
    </w:p>
    <w:p w:rsidR="00000000" w:rsidRDefault="00000000">
      <w:r>
        <w:t>6-24 ноября 2006 года</w:t>
      </w: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РАССМОТРЕНИЕ ДОКЛАДОВ, ПРЕДСТАВЛЕННЫХ ГОСУДАРСТВАМИ-УЧАСТНИКАМИ В СООТВЕТСТВИИ СО СТАТЬЕЙ 19 КОНВЕНЦИИ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Выводы и рекомендации Комитета против пыток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ГАЙАНА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1.</w:t>
      </w:r>
      <w:r>
        <w:tab/>
        <w:t>Комитет рассмотрел первоначальный доклад Гайаны (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GUY</w:t>
      </w:r>
      <w:r>
        <w:t>/1) на своих 734</w:t>
      </w:r>
      <w:r>
        <w:noBreakHyphen/>
        <w:t>м и 737-м заседаниях (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.734 и 737), состоявшихся 13 и 14 ноября 2006 года, и на своем 748-м заседании 22 ноября 2006 года (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.748) принял следующие выводы и рекомендации.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А.</w:t>
      </w:r>
      <w:r>
        <w:rPr>
          <w:b/>
          <w:bCs/>
        </w:rPr>
        <w:tab/>
        <w:t>Введение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2.</w:t>
      </w:r>
      <w:r>
        <w:tab/>
        <w:t>Комитет приветствует представление первоначального доклада Гайаны, который отчасти соответствует руководящим указаниям Комитета относительно формы и содержания первоначальных докладов, но вместе с тем выражает сожаление по поводу того, что он был представлен с 17-летним опозданием.</w:t>
      </w:r>
    </w:p>
    <w:p w:rsidR="00000000" w:rsidRDefault="00000000"/>
    <w:p w:rsidR="00000000" w:rsidRDefault="00000000">
      <w:r>
        <w:t>3.</w:t>
      </w:r>
      <w:r>
        <w:tab/>
        <w:t>Комитет отмечает откровенный характер доклада и признание государством-участником недостатков в осуществлении Конвенции.  Комитет приветствует конструктивный и искренний диалог, проведенный с представителем государства-участника, и высоко оценивает ответы на вопросы, заданные в ходе диалога.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br w:type="page"/>
        <w:t>В.</w:t>
      </w:r>
      <w:r>
        <w:rPr>
          <w:b/>
          <w:bCs/>
        </w:rPr>
        <w:tab/>
        <w:t>Позитивные аспекты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4.</w:t>
      </w:r>
      <w:r>
        <w:tab/>
        <w:t>Комитет отмечает продолжающиеся усилия государства-участника по реформе своей правовой и организационной системы.  В частности, Комитет с удовлетворением отмечает следующие позитивные события:</w:t>
      </w:r>
    </w:p>
    <w:p w:rsidR="00000000" w:rsidRDefault="00000000"/>
    <w:p w:rsidR="00000000" w:rsidRDefault="00000000">
      <w:r>
        <w:tab/>
        <w:t>а)</w:t>
      </w:r>
      <w:r>
        <w:tab/>
        <w:t>ратификацию государством-участником основных международных договоров по правам человека;</w:t>
      </w:r>
    </w:p>
    <w:p w:rsidR="00000000" w:rsidRDefault="00000000"/>
    <w:p w:rsidR="00000000" w:rsidRDefault="00000000">
      <w:r>
        <w:tab/>
        <w:t>b)</w:t>
      </w:r>
      <w:r>
        <w:tab/>
        <w:t>ратификацию государством-участником 24 июля 2004 года Римского статута Международного уголовного суда;</w:t>
      </w:r>
    </w:p>
    <w:p w:rsidR="00000000" w:rsidRDefault="00000000"/>
    <w:p w:rsidR="00000000" w:rsidRDefault="00000000">
      <w:r>
        <w:tab/>
        <w:t>с)</w:t>
      </w:r>
      <w:r>
        <w:tab/>
        <w:t>недавние усилия, предпринятые с целью реформы проведения и укрепления национальной законодательной базы, включая принятие следующих законодательных актов:</w:t>
      </w:r>
    </w:p>
    <w:p w:rsidR="00000000" w:rsidRDefault="00000000"/>
    <w:p w:rsidR="00000000" w:rsidRDefault="00000000">
      <w:pPr>
        <w:ind w:left="1134" w:hanging="1134"/>
      </w:pPr>
      <w:r>
        <w:tab/>
        <w:t>-</w:t>
      </w:r>
      <w:r>
        <w:tab/>
        <w:t>Закона о борьбе с торговлей людьми 2005 года, который предусматривает меры по борьбе с торговлей людьми;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  <w:t>-</w:t>
      </w:r>
      <w:r>
        <w:tab/>
        <w:t>законопроекта о защите свидетелей от мая 2006 года;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  <w:t>-</w:t>
      </w:r>
      <w:r>
        <w:tab/>
        <w:t>законопроекта о взаимодействии в уголовных делах от апреля 2006 года;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  <w:t>-</w:t>
      </w:r>
      <w:r>
        <w:tab/>
        <w:t>законопроекта о защите судей от мая 2006 года.</w:t>
      </w:r>
    </w:p>
    <w:p w:rsidR="00000000" w:rsidRDefault="00000000">
      <w:pPr>
        <w:ind w:left="1134" w:hanging="1134"/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С.</w:t>
      </w:r>
      <w:r>
        <w:rPr>
          <w:b/>
          <w:bCs/>
        </w:rPr>
        <w:tab/>
        <w:t>Факторы и трудности, препятствующие осуществлению Конвенции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5.</w:t>
      </w:r>
      <w:r>
        <w:tab/>
        <w:t>Комитет отмечает, что государство-участник в течение нескольких лет переживало период экономических трудностей, социального насилия и широко распространенной преступности, что имело и продолжает иметь свои последствия.  Вместе с тем, Комитет указывает, как это отмечается в пункте 2 статьи 2 Конвенции, что никакие исключительные обстоятельства, какими бы они ни были, не могут служить оправданием пыток.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D.</w:t>
      </w:r>
      <w:r>
        <w:rPr>
          <w:b/>
          <w:bCs/>
        </w:rPr>
        <w:tab/>
        <w:t>Вопросы, вызывающие обеспокоенность, и рекомендации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6.</w:t>
      </w:r>
      <w:r>
        <w:tab/>
        <w:t>Комитет отмечает, что ему неясно, квалифицируются ли все акты пыток в качестве преступлений в соответствии с уголовным законодательством государства-участника (статьи 1 и 4).</w:t>
      </w:r>
    </w:p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Государству-участнику следует принять все необходимые законодательные меры для обеспечения того, чтобы все акты пыток квалифицировались в качестве преступлений по его уголовному законодательству в соответствии с определением, содержащимся в статье 1 Конвенции, и чтобы эти преступления предполагали соответствующие меры наказания, учитывающие их тяжкий характер.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7.</w:t>
      </w:r>
      <w:r>
        <w:tab/>
        <w:t>Комитет обеспокоен имевшими место в прошлом нарушениями порядка выдачи разрешений на ношение огнестрельного оружия в Гайане, и, поскольку эти разрешения выдавались всем желающим, огнестрельное оружие использовалось для совершения преступлений, запрещенных Конвенцией (статья 2).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Государству-участнику следует усилить административные меры для контроля за выдачей разрешений на огнестрельное оружие, обеспечив упорядоченную подачу заявлений на право владения оружием и единообразное применение положений об огнестрельном оружии, а при необходимости внесение в них соответствующих изменений.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8.</w:t>
      </w:r>
      <w:r>
        <w:tab/>
        <w:t>Комитет выражает сожаление по поводу отсутствия информации относительно соблюдения государством-участником статьи 3 Конвенции.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Комитету хотелось бы напомнить государству-участнику об абсолютном характере закрепленного в статье 3 Конвенции запрета в отношении высылки, возвращения (</w:t>
      </w:r>
      <w:r>
        <w:rPr>
          <w:b/>
          <w:bCs/>
          <w:lang w:val="en-US"/>
        </w:rPr>
        <w:t>refouler</w:t>
      </w:r>
      <w:r>
        <w:rPr>
          <w:b/>
          <w:bCs/>
        </w:rPr>
        <w:t>) или выдачи какого-либо лица другому государству, если существуют серьезные основания полагать, что этому лицу может угрожать там применение пыток.  В своем следующем периодическом докладе государству-участнику следует представить информацию относительно осуществления положений статьи 3 Конвенции в случаях выдачи, высылки или возвращения (</w:t>
      </w:r>
      <w:r>
        <w:rPr>
          <w:b/>
          <w:bCs/>
          <w:lang w:val="en-US"/>
        </w:rPr>
        <w:t>refoulement</w:t>
      </w:r>
      <w:r>
        <w:rPr>
          <w:b/>
          <w:bCs/>
        </w:rPr>
        <w:t>) иностранцев.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9.</w:t>
      </w:r>
      <w:r>
        <w:tab/>
        <w:t>Отмечая усилия, предпринимаемые государством-участником с целью решения проблемы этнического состава гайанской полиции, Комитет обеспокоен сокращением численности лиц индогайанского происхождения в составе полиции, что, как представляется, является одной из основных причин высокого уровня смертности среди заключенных индогайанского происхождения.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Государству-участнику следует продолжить свои усилия по диверсификации этнического состава сил гайанской полиции и принять соответствующие меры по сокращению смертности среди лиц, содержащихся под стражей.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10.</w:t>
      </w:r>
      <w:r>
        <w:tab/>
        <w:t>Отмечая небольшую численность медицинских работников в стране, Комитет обеспокоен отсутствием подготовки медицинских работников по вопросам, связанным с их обязательствами по Конвенции, в особенности по выявлению и документированию случаев пыток и оказанию помощи в деле реабилитации жертв (статья 10).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Государству-участнику следует предпринять необходимые шаги для организации надлежащей подготовки медицинских работников в связи с выполнением их обязательств в соответствии с Конвенцией и Стамбульским протоколом.  Государству-участнику предлагается использовать международное сотрудничество и техническую помощь для проведения такой подготовки.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11.</w:t>
      </w:r>
      <w:r>
        <w:tab/>
        <w:t>Комитет обеспокоен сообщениями о чрезмерной продолжительности предварительного заключения, которое, несмотря на действующие законы, ограничивающие его сроки, иногда может достигать трех-четырех лет (статья 11).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Государству-участнику следует принять все необходимые меры, гарантирующие соблюдение на практике обязательных сроков, установленных законом, в целях обеспечения того, чтобы предварительное заключение использовалось лишь в качестве исключительной меры в течение ограниченного периода времени.</w:t>
      </w:r>
    </w:p>
    <w:p w:rsidR="00000000" w:rsidRDefault="00000000">
      <w:pPr>
        <w:tabs>
          <w:tab w:val="left" w:pos="0"/>
        </w:tabs>
      </w:pPr>
    </w:p>
    <w:p w:rsidR="00000000" w:rsidRDefault="00000000">
      <w:r>
        <w:t>12.</w:t>
      </w:r>
      <w:r>
        <w:tab/>
        <w:t>Комитет отмечает неприемлемые условия содержания под стражей, существующие в Гайане, в особенности в тюрьмах Джорджтауна и Мазаруни.  Наиболее распространенными проблемами являются переполненность, антисанитария и плохие физические условия содержания, а также дефицит людских, материальных и финансовых ресурсов.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Государству-участнику следует предпринять незамедлительные шаги по сокращению переполненности тюрем посредством улучшения инфраструктуры и санитарных условий, а также предоставления необходимых материальных, людских и бюджетных ресурсов для обеспечения того, чтобы условия содержания под стражей в стране соответствовали минимальным международным стандартам.  Государству-участнику предлагается привлекать и/или направлять на эти цели техническую помощь.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13.</w:t>
      </w:r>
      <w:r>
        <w:tab/>
        <w:t>Обеспокоенность Комитета вызывают дисциплинарные меры, принимаемые по отношению к заключенным, в особенности статья 37 Закона о тюрьмах 1998 года, которая допускает наказание плетью, порку и сокращение рациона питания (статьи 2 и 11).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С учетом заявления представителя государства-участника о том, что эти дисциплинарные меры не применяются, государству-участнику все же следует пересмотреть все правовые положения, допускающие такую практику, с тем чтобы ликвидировать ее в первоочередном порядке.  Государству-участнику напоминается о том, что при обращении с заключенными необходимо гарантировать полное уважение достоинства и прав человека всех заключенных в соответствии с Минимальными стандартными правилами обращения с заключенными.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14.</w:t>
      </w:r>
      <w:r>
        <w:tab/>
        <w:t>Комитет обеспокоен сообщениями о том, что находящиеся под стражей дети (в возрасте 10-16 лет) не всегда содержатся отдельно от взрослых и что условия их содержания являются тяжелыми (статья 11).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Государству-участнику следует принять незамедлительные меры для обеспечения того, чтобы находящиеся под стражей дети (в возрасте 10-16 лет) всегда содержались отдельно от взрослых.  Государству-участнику следует также принять меры с целью приведения условий содержания под стражей в соответствие с Минимальными стандартными правилами, касающимися отправления правосудия в отношении несовершеннолетних (Пекинские правила), Руководящими принципами Организации Объединенных Наций для предупреждения преступности среди несовершеннолетних (Эр-Риядские руководящие принципы) и Правилами Организации Объединенных Наций, касающимися защиты несовершеннолетних, лишенных свободы.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15.</w:t>
      </w:r>
      <w:r>
        <w:tab/>
        <w:t>Комитет особенно обеспокоен сообщениями о широком распространении практики жестокого обращения со стороны полиции, применении полицией силы и огнестрельного оружия, а также отсутствием подотчетности гайанской полиции.  Хотя Комитет приветствует дополнительную информацию, полученную от представителя государства-участника в отношении дел двух сотрудников полиции, которые были обвинены и признаны виновными в злоупотреблениях, он сожалеет по поводу отсутствия данных о расследованиях, делах и осуждениях, связанных со злоупотреблениями со стороны полиции (статьи 11 и 12).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br w:type="page"/>
      </w:r>
      <w:r>
        <w:tab/>
      </w:r>
      <w:r>
        <w:rPr>
          <w:b/>
          <w:bCs/>
        </w:rPr>
        <w:t>Государству-участнику следует: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а)</w:t>
      </w:r>
      <w:r>
        <w:rPr>
          <w:b/>
          <w:bCs/>
        </w:rPr>
        <w:tab/>
        <w:t>добиться того, чтобы обстоятельства, при которых сотрудникам полиции разрешалось бы применять силу и огнестрельное оружие, были исключительными и четко оговоренными и чтобы сотрудники гайанской полиции проходили соответствующую подготовку по надлежащему применению силы и огнестрельного оружия в соответствии с международными нормами, в том числе Основными принципами применения силы и огнестрельного оружия должностными лицами по поддержанию порядка;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b)</w:t>
      </w:r>
      <w:r>
        <w:rPr>
          <w:b/>
          <w:bCs/>
        </w:rPr>
        <w:tab/>
        <w:t>предпринять эффективные шаги, гарантирующие подотчетность гайанской полиции, и в этих целях проводить оперативные, беспристрастные и эффективные расследования, привлекать к суду лиц, виновных в злоупотреблениях, и, в случае признания их виновными, выносить соответствующие приговоры и предоставлять жертвам адекватную компенсацию.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r>
        <w:t>16.</w:t>
      </w:r>
      <w:r>
        <w:tab/>
        <w:t>Комитет обеспокоен утверждениями о совершении полицией внесудебных убийств и о неэффективности усилий полиции по расследованию этих убийств и задержанию виновных (статьи 11 и 12).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Государству-участнику настоятельно предлагается предпринять незамедлительные шаги по предотвращению таких актов, как предполагаемая практика внесудебных убийств, совершаемых сотрудниками полиции.  Государству-участнику следует принять необходимые меры, гарантирующие проведение оперативных и беспристрастных расследований, привлечение виновных к ответственности и предоставление жертвам эффективных средств правовой защиты.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17.</w:t>
      </w:r>
      <w:r>
        <w:tab/>
        <w:t>Комитет обеспокоен наличием конституционного положения, допускающего использование судей на основе неполной занятости, которое может поставить под сомнение их независимость и беспристрастность.  Комитет также обеспокоен сообщениями о том, что это положение используется для разрешения накопившихся дел, ожидающих судебного разбирательства (статьи 12 и 13).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Хотя Комитет принимает к сведению заявление представителя государства-участника о том, что конституционное положение, допускающее использование судей на основе неполной занятости, не применяется, он рекомендует государству-участнику внести поправку в Конституцию и изъять это положение.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18.</w:t>
      </w:r>
      <w:r>
        <w:tab/>
        <w:t>Комитет обеспокоен положением Уголовного кодекса, в соответствии с которым минимальный возраст уголовной ответственности наступает в 10 лет (статья 13).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Государству-участнику следует принять необходимые меры, с тем чтобы повысить минимальный возраст уголовной ответственности до международно приемлемого уровня, что ранее было рекомендовано Комитетом по правам ребенка (</w:t>
      </w:r>
      <w:r>
        <w:rPr>
          <w:b/>
          <w:bCs/>
          <w:lang w:val="en-US"/>
        </w:rPr>
        <w:t>CRC</w:t>
      </w:r>
      <w:r>
        <w:rPr>
          <w:b/>
          <w:bCs/>
        </w:rPr>
        <w:t>/</w:t>
      </w:r>
      <w:r>
        <w:rPr>
          <w:b/>
          <w:bCs/>
          <w:lang w:val="en-US"/>
        </w:rPr>
        <w:t>C</w:t>
      </w:r>
      <w:r>
        <w:rPr>
          <w:b/>
          <w:bCs/>
        </w:rPr>
        <w:t>/15/</w:t>
      </w:r>
      <w:r>
        <w:rPr>
          <w:b/>
          <w:bCs/>
          <w:lang w:val="en-US"/>
        </w:rPr>
        <w:t>Add</w:t>
      </w:r>
      <w:r>
        <w:rPr>
          <w:b/>
          <w:bCs/>
        </w:rPr>
        <w:t>.224).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19.</w:t>
      </w:r>
      <w:r>
        <w:tab/>
        <w:t>Комитет обеспокоен сообщениями о широком распространении сексуального насилия, в том числе в местах содержания под стражей, и незначительным количеством вынесенных в этой связи обвинительных приговоров.  Комитет также обеспокоен сообщениями о множестве случаев запугивания и угроз в адрес жертв сексуального насилия, а также отсутствием программы защиты свидетелей.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Государству-участнику настоятельно предлагается принять эффективные и всесторонние меры по борьбе с сексуальным насилием в стране (статьи 12 и 13), в частности: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ab/>
      </w:r>
      <w:r>
        <w:rPr>
          <w:b/>
          <w:bCs/>
        </w:rPr>
        <w:t>а)</w:t>
      </w:r>
      <w:r>
        <w:rPr>
          <w:b/>
          <w:bCs/>
        </w:rPr>
        <w:tab/>
        <w:t>создать и укреплять эффективный механизм получения жалоб на сексуальное насилие, в том числе в пенитенциарных учреждениях;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ab/>
      </w:r>
      <w:r>
        <w:rPr>
          <w:b/>
          <w:bCs/>
        </w:rPr>
        <w:t>b)</w:t>
      </w:r>
      <w:r>
        <w:rPr>
          <w:b/>
          <w:bCs/>
        </w:rPr>
        <w:tab/>
        <w:t>обеспечить, чтобы сотрудники правоприменительных органов были проинструктированы относительно полного запрещения использования насилия и изнасилований в местах содержания под стражей как одной из форм пыток, а также проходили подготовку по вопросам реагирования на обвинения в сексуальном насилии;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ab/>
      </w:r>
      <w:r>
        <w:rPr>
          <w:b/>
          <w:bCs/>
        </w:rPr>
        <w:t>с)</w:t>
      </w:r>
      <w:r>
        <w:rPr>
          <w:b/>
          <w:bCs/>
        </w:rPr>
        <w:tab/>
        <w:t>проводить оперативные, беспристрастные и эффективные расследования, привлекать к суду лиц, виновных в совершении таких актов, и, в случае признания их виновными, выносить соответствующие приговоры и предоставлять жертвам адекватную компенсацию;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ab/>
      </w:r>
      <w:r>
        <w:rPr>
          <w:b/>
          <w:bCs/>
        </w:rPr>
        <w:t>d)</w:t>
      </w:r>
      <w:r>
        <w:rPr>
          <w:b/>
          <w:bCs/>
        </w:rPr>
        <w:tab/>
        <w:t>обеспечивать, чтобы истец и свидетели были защищены от жестокого обращения и запугивания вследствие подачи жалобы или дачи каких-либо свидетельских показаний;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ind w:left="567" w:hanging="567"/>
      </w:pPr>
      <w:r>
        <w:rPr>
          <w:b/>
          <w:bCs/>
        </w:rPr>
        <w:tab/>
      </w:r>
      <w:r>
        <w:rPr>
          <w:b/>
          <w:bCs/>
          <w:lang w:val="en-US"/>
        </w:rPr>
        <w:tab/>
      </w:r>
      <w:r>
        <w:rPr>
          <w:b/>
          <w:bCs/>
        </w:rPr>
        <w:t>е)</w:t>
      </w:r>
      <w:r>
        <w:rPr>
          <w:b/>
          <w:bCs/>
        </w:rPr>
        <w:tab/>
        <w:t>создать в стране надзорный механизм с целью расследования и разрешения дел, связанных с сексуальным насилием.</w:t>
      </w:r>
    </w:p>
    <w:p w:rsidR="00000000" w:rsidRDefault="00000000">
      <w:pPr>
        <w:ind w:left="1134" w:hanging="1134"/>
      </w:pPr>
    </w:p>
    <w:p w:rsidR="00000000" w:rsidRDefault="00000000">
      <w:r>
        <w:t>20.</w:t>
      </w:r>
      <w:r>
        <w:tab/>
        <w:t>Комитет обеспокоен сообщениями о широком распространении в стране бытового насилия.</w:t>
      </w:r>
    </w:p>
    <w:p w:rsidR="00000000" w:rsidRDefault="00000000"/>
    <w:p w:rsidR="00000000" w:rsidRDefault="00000000">
      <w:pPr>
        <w:ind w:left="567" w:hanging="567"/>
      </w:pPr>
      <w:r>
        <w:tab/>
      </w:r>
      <w:r>
        <w:rPr>
          <w:b/>
          <w:bCs/>
        </w:rPr>
        <w:t>Государству-участнику следует принять незамедлительные меры по сокращению числа случаев бытового насилия, включая подготовку сотрудников полиции, правоприменительных органов и органов здравоохранения, с тем чтобы проводить расследования и принимать меры в отношении подобных случаев.  Государству-участнику следует эффективнее использовать Закон о насилии в семье 1996 года.</w:t>
      </w:r>
    </w:p>
    <w:p w:rsidR="00000000" w:rsidRDefault="00000000">
      <w:pPr>
        <w:ind w:left="567" w:hanging="567"/>
      </w:pPr>
    </w:p>
    <w:p w:rsidR="00000000" w:rsidRDefault="00000000">
      <w:r>
        <w:t>21.</w:t>
      </w:r>
      <w:r>
        <w:tab/>
        <w:t>Хотя Комитет выражает удовлетворение по поводу создания таких учреждений по поощрению и защите прав человека, как Комиссия по правам человека, Комиссия по проблемам женщин и гендерным вопросам, Комиссия по делам коренных народов, Комиссия по правам ребенка, он выражает сожаление в связи с тем, что необходимые назначения, которые позволили бы этим учреждениям начать работу, все еще не были произведены парламентом, что, как представляется, обусловлено политическими причинами (статья 13).</w:t>
      </w:r>
    </w:p>
    <w:p w:rsidR="00000000" w:rsidRDefault="00000000"/>
    <w:p w:rsidR="00000000" w:rsidRDefault="00000000">
      <w:pPr>
        <w:ind w:left="567" w:hanging="567"/>
      </w:pPr>
      <w:r>
        <w:tab/>
      </w:r>
      <w:r>
        <w:rPr>
          <w:b/>
          <w:bCs/>
        </w:rPr>
        <w:t>Государству-участнику настоятельно рекомендуется предпринять эффективные шаги с целью ускорения назначений в эти учреждения в интересах поощрения и защиты прав человека.</w:t>
      </w:r>
    </w:p>
    <w:p w:rsidR="00000000" w:rsidRDefault="00000000">
      <w:pPr>
        <w:ind w:left="567" w:hanging="567"/>
      </w:pPr>
    </w:p>
    <w:p w:rsidR="00000000" w:rsidRDefault="00000000">
      <w:r>
        <w:t>22.</w:t>
      </w:r>
      <w:r>
        <w:tab/>
        <w:t>Комитет выражает свою обеспокоенность в связи с невозможностью Управления омбудсмена продолжать свою работу вследствие того, что в январе 2005 года по политическим причинам омбудсмен не был назначен парламентом (статья 13).</w:t>
      </w:r>
    </w:p>
    <w:p w:rsidR="00000000" w:rsidRDefault="00000000"/>
    <w:p w:rsidR="00000000" w:rsidRDefault="00000000">
      <w:pPr>
        <w:ind w:left="567" w:hanging="567"/>
      </w:pPr>
      <w:r>
        <w:tab/>
      </w:r>
      <w:r>
        <w:rPr>
          <w:b/>
          <w:bCs/>
        </w:rPr>
        <w:t>Государству-участнику настоятельно предлагается принять необходимые меры по обеспечению возобновления деятельности Управления омбудсмена и предоставить ему людские и финансовые ресурсы, с тем чтобы оно могло выполнять свой мандат.</w:t>
      </w:r>
    </w:p>
    <w:p w:rsidR="00000000" w:rsidRDefault="00000000">
      <w:pPr>
        <w:ind w:left="567" w:hanging="567"/>
      </w:pPr>
    </w:p>
    <w:p w:rsidR="00000000" w:rsidRDefault="00000000">
      <w:r>
        <w:t>23.</w:t>
      </w:r>
      <w:r>
        <w:tab/>
        <w:t>Комитет выражает свою обеспокоенность в связи с крайне неблагоприятными условиями содержания под стражей лиц, ожидающих смертной казни, что может быть равносильно жестокому, бесчеловечному или унижающему достоинство обращению (статья 16).</w:t>
      </w:r>
    </w:p>
    <w:p w:rsidR="00000000" w:rsidRDefault="00000000"/>
    <w:p w:rsidR="00000000" w:rsidRDefault="00000000">
      <w:pPr>
        <w:ind w:left="567" w:hanging="567"/>
      </w:pPr>
      <w:r>
        <w:tab/>
      </w:r>
      <w:r>
        <w:rPr>
          <w:b/>
          <w:bCs/>
        </w:rPr>
        <w:t>Государству-участнику следует принять все необходимые меры по улучшению условий содержания под стражей лиц, приговоренных к смертной казни, с тем чтобы гарантировать удовлетворение их основных потребностей и обеспечение основополагающих прав.</w:t>
      </w:r>
    </w:p>
    <w:p w:rsidR="00000000" w:rsidRDefault="00000000">
      <w:pPr>
        <w:ind w:left="567" w:hanging="567"/>
      </w:pPr>
    </w:p>
    <w:p w:rsidR="00000000" w:rsidRDefault="00000000">
      <w:r>
        <w:t>24.</w:t>
      </w:r>
      <w:r>
        <w:tab/>
        <w:t>Комитет с обеспокоенностью отмечает отсутствие статистических данных (особенно в отношении случаев пыток), касающихся жалоб, осуждений виновных и компенсации, предоставляемой жертвам пыток.</w:t>
      </w:r>
    </w:p>
    <w:p w:rsidR="00000000" w:rsidRDefault="00000000"/>
    <w:p w:rsidR="00000000" w:rsidRDefault="00000000">
      <w:pPr>
        <w:ind w:left="567" w:hanging="567"/>
      </w:pPr>
      <w:r>
        <w:tab/>
      </w:r>
      <w:r>
        <w:rPr>
          <w:b/>
          <w:bCs/>
        </w:rPr>
        <w:t>Государству-участнику предлагается включить в свой следующий периодический доклад подробные статистические данные, в разбивке по категориям преступлений, этническому происхождению и полу, о жалобах на акты пыток и жестокое обращение, которые были предположительно совершены сотрудниками правоприменительных органов, а также о расследованиях, судебном преследовании и назначенных уголовных и дисциплинарных наказаниях.  Следует также привести данные о мерах по предоставлению жертвам компенсации и услуг по реабилитации.</w:t>
      </w:r>
    </w:p>
    <w:p w:rsidR="00000000" w:rsidRDefault="00000000">
      <w:pPr>
        <w:ind w:left="567" w:hanging="567"/>
      </w:pPr>
    </w:p>
    <w:p w:rsidR="00000000" w:rsidRDefault="00000000">
      <w:r>
        <w:t>25.</w:t>
      </w:r>
      <w:r>
        <w:tab/>
        <w:t>Комитет рекомендует государству-участнику рассмотреть вопрос о ратификации Факультативного протокола к Конвенции против пыток и других видах жестокого, бесчеловечного или унижающего достоинство обращения и наказания.</w:t>
      </w:r>
    </w:p>
    <w:p w:rsidR="00000000" w:rsidRDefault="00000000"/>
    <w:p w:rsidR="00000000" w:rsidRDefault="00000000">
      <w:r>
        <w:t>26.</w:t>
      </w:r>
      <w:r>
        <w:tab/>
        <w:t>Государству-участнику предлагается обеспечивать широкое распространение представляемых Гайаной Комитету докладов, а также выводов и рекомендаций Комитета на соответствующих языках с помощью официальных вебсайтов, средств массовой информации и неправительственных организаций.</w:t>
      </w:r>
    </w:p>
    <w:p w:rsidR="00000000" w:rsidRDefault="00000000"/>
    <w:p w:rsidR="00000000" w:rsidRDefault="00000000">
      <w:r>
        <w:t>27.</w:t>
      </w:r>
      <w:r>
        <w:tab/>
        <w:t>Комитет просит государство-участник направить ему в течение одного года информацию о мерах, принятых в ответ на рекомендации Комитета, содержащиеся в пунктах 12, 16, 19, 20 и 21 выше.</w:t>
      </w:r>
    </w:p>
    <w:p w:rsidR="00000000" w:rsidRDefault="00000000"/>
    <w:p w:rsidR="00000000" w:rsidRDefault="00000000">
      <w:r>
        <w:t>28.</w:t>
      </w:r>
      <w:r>
        <w:tab/>
        <w:t>Комитет, сделав вывод о том, что во время рассмотрения доклада Гайаны была получена достаточная информация, покрывающая 17-летнюю задержку с представлением первоначального доклада, а также периодических докладов, принял решение просить государство-участник представить второй периодический доклад к 31 декабря 2008 года.</w:t>
      </w:r>
    </w:p>
    <w:p w:rsidR="00000000" w:rsidRDefault="00000000"/>
    <w:p w:rsidR="00000000" w:rsidRDefault="00000000"/>
    <w:p w:rsidR="00000000" w:rsidRDefault="00000000">
      <w:pPr>
        <w:jc w:val="center"/>
      </w:pPr>
      <w:r>
        <w:t>-------</w:t>
      </w:r>
    </w:p>
    <w:p w:rsidR="00000000" w:rsidRDefault="00000000">
      <w:pPr>
        <w:tabs>
          <w:tab w:val="left" w:pos="0"/>
        </w:tabs>
      </w:pPr>
    </w:p>
    <w:sectPr w:rsidR="00000000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CAT/C/GUY/CO/1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52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CAT/C/GUY/CO/1</w:t>
    </w:r>
  </w:p>
  <w:p w:rsidR="00000000" w:rsidRDefault="00000000">
    <w:pPr>
      <w:pStyle w:val="Header"/>
      <w:tabs>
        <w:tab w:val="left" w:pos="6521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9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521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mirrorMargins/>
  <w:activeWritingStyle w:appName="MSWord" w:lang="ru-RU" w:vendorID="1" w:dllVersion="512" w:checkStyle="1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</Pages>
  <Words>2488</Words>
  <Characters>14182</Characters>
  <Application>Microsoft Office Word</Application>
  <DocSecurity>4</DocSecurity>
  <Lines>118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0740317.doc</vt:lpstr>
    </vt:vector>
  </TitlesOfParts>
  <Company> </Company>
  <LinksUpToDate>false</LinksUpToDate>
  <CharactersWithSpaces>17416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0740317.doc</dc:title>
  <dc:subject>Mouraviev</dc:subject>
  <dc:creator>TDm</dc:creator>
  <cp:keywords/>
  <dc:description/>
  <cp:lastModifiedBy>csd</cp:lastModifiedBy>
  <cp:revision>4</cp:revision>
  <cp:lastPrinted>2007-03-07T14:36:00Z</cp:lastPrinted>
  <dcterms:created xsi:type="dcterms:W3CDTF">2007-03-07T14:36:00Z</dcterms:created>
  <dcterms:modified xsi:type="dcterms:W3CDTF">2007-03-09T07:01:00Z</dcterms:modified>
</cp:coreProperties>
</file>