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3BEDA546" w14:textId="77777777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CF821CE" w14:textId="77777777" w:rsidR="002D5AAC" w:rsidRDefault="002D5AAC" w:rsidP="007A4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635C9C2" w14:textId="77777777"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889DCEF" w14:textId="7C64D2C7" w:rsidR="002D5AAC" w:rsidRDefault="007A4125" w:rsidP="007A4125">
            <w:pPr>
              <w:jc w:val="right"/>
            </w:pPr>
            <w:r w:rsidRPr="007A4125">
              <w:rPr>
                <w:sz w:val="40"/>
              </w:rPr>
              <w:t>CRC</w:t>
            </w:r>
            <w:r w:rsidRPr="007A4125">
              <w:t>/C/KGZ/Q/5-6</w:t>
            </w:r>
          </w:p>
        </w:tc>
      </w:tr>
      <w:tr w:rsidR="002D5AAC" w:rsidRPr="00476643" w14:paraId="4BAEC271" w14:textId="77777777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6EA5037" w14:textId="77777777"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F913CF8" wp14:editId="51DCB75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6140309" w14:textId="77777777"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6CD0A28" w14:textId="77777777" w:rsidR="002D5AAC" w:rsidRDefault="007A4125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0B9FB4C" w14:textId="77777777" w:rsidR="007A4125" w:rsidRDefault="007A4125" w:rsidP="007A412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March 2023</w:t>
            </w:r>
          </w:p>
          <w:p w14:paraId="3AA9A261" w14:textId="77777777" w:rsidR="007A4125" w:rsidRDefault="007A4125" w:rsidP="007A412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99A1DCD" w14:textId="77777777" w:rsidR="007A4125" w:rsidRDefault="007A4125" w:rsidP="007A412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  <w:p w14:paraId="48C51476" w14:textId="08761685" w:rsidR="007A4125" w:rsidRPr="007A4125" w:rsidRDefault="007A4125" w:rsidP="007A4125">
            <w:pPr>
              <w:spacing w:line="240" w:lineRule="exact"/>
              <w:rPr>
                <w:lang w:val="en-US"/>
              </w:rPr>
            </w:pPr>
            <w:r w:rsidRPr="007A4125">
              <w:rPr>
                <w:lang w:val="en-US"/>
              </w:rPr>
              <w:t>English, French, Russian and Spanish only</w:t>
            </w:r>
          </w:p>
        </w:tc>
      </w:tr>
    </w:tbl>
    <w:p w14:paraId="6EACB150" w14:textId="77777777" w:rsidR="007A4125" w:rsidRPr="00B731EB" w:rsidRDefault="007A4125" w:rsidP="007A4125">
      <w:pPr>
        <w:spacing w:before="120"/>
        <w:rPr>
          <w:b/>
          <w:sz w:val="24"/>
          <w:szCs w:val="24"/>
        </w:rPr>
      </w:pPr>
      <w:r w:rsidRPr="00B731EB">
        <w:rPr>
          <w:b/>
          <w:bCs/>
          <w:sz w:val="24"/>
          <w:szCs w:val="24"/>
        </w:rPr>
        <w:t>Комитет по правам ребенка</w:t>
      </w:r>
    </w:p>
    <w:p w14:paraId="721B337C" w14:textId="42131DA7" w:rsidR="007A4125" w:rsidRPr="00B731EB" w:rsidRDefault="007A4125" w:rsidP="007A4125">
      <w:pPr>
        <w:pStyle w:val="HChG"/>
      </w:pPr>
      <w:r>
        <w:tab/>
      </w:r>
      <w:r>
        <w:tab/>
      </w:r>
      <w:r>
        <w:rPr>
          <w:bCs/>
        </w:rPr>
        <w:t xml:space="preserve">Перечень вопросов в связи с объединенными пятым </w:t>
      </w:r>
      <w:r>
        <w:rPr>
          <w:bCs/>
        </w:rPr>
        <w:br/>
        <w:t>и шестым периодическими докладами Кыргызстана</w:t>
      </w:r>
      <w:r w:rsidRPr="00A8696A">
        <w:rPr>
          <w:b w:val="0"/>
          <w:bCs/>
          <w:sz w:val="20"/>
        </w:rPr>
        <w:footnoteReference w:customMarkFollows="1" w:id="1"/>
        <w:t>*</w:t>
      </w:r>
    </w:p>
    <w:p w14:paraId="18930BC5" w14:textId="2567B222" w:rsidR="007A4125" w:rsidRPr="00B731EB" w:rsidRDefault="007A4125" w:rsidP="007A4125">
      <w:pPr>
        <w:pStyle w:val="SingleTxtG"/>
      </w:pPr>
      <w:r>
        <w:t>1.</w:t>
      </w:r>
      <w:r>
        <w:tab/>
        <w:t>Государству-участнику предлагается представить в письменном виде дополнительную обновленную информацию (объемом не более 10 700 слов) по возможности до 2 июня 2023 года. В ходе диалога с государством-участником Комитет может затрагивать все аспекты закрепленных в Конвенции прав детей.</w:t>
      </w:r>
    </w:p>
    <w:p w14:paraId="5C373172" w14:textId="77777777" w:rsidR="007A4125" w:rsidRPr="00B731EB" w:rsidRDefault="007A4125" w:rsidP="007A4125">
      <w:pPr>
        <w:pStyle w:val="HChG"/>
      </w:pPr>
      <w:r>
        <w:tab/>
      </w:r>
      <w:r>
        <w:tab/>
      </w:r>
      <w:r>
        <w:tab/>
      </w:r>
      <w:r>
        <w:rPr>
          <w:bCs/>
        </w:rPr>
        <w:t>Часть I</w:t>
      </w:r>
    </w:p>
    <w:p w14:paraId="4C70DB0C" w14:textId="77777777" w:rsidR="007A4125" w:rsidRPr="00B731EB" w:rsidRDefault="007A4125" w:rsidP="007A4125">
      <w:pPr>
        <w:pStyle w:val="SingleTxtG"/>
      </w:pPr>
      <w:r>
        <w:t>2.</w:t>
      </w:r>
      <w:r>
        <w:tab/>
        <w:t>Просьба представить информацию относительно:</w:t>
      </w:r>
    </w:p>
    <w:p w14:paraId="20904622" w14:textId="35065480" w:rsidR="007A4125" w:rsidRPr="00B731EB" w:rsidRDefault="007A4125" w:rsidP="007A4125">
      <w:pPr>
        <w:pStyle w:val="SingleTxtG"/>
      </w:pPr>
      <w:r>
        <w:tab/>
        <w:t>a)</w:t>
      </w:r>
      <w:r>
        <w:tab/>
        <w:t>планов по обеспечению соблюдения Кодекса о детях (2021 год) и перспектив включения законов о правах ребенка в процесс инвентаризации законодательства;</w:t>
      </w:r>
    </w:p>
    <w:p w14:paraId="59DF59F8" w14:textId="4EE476C2" w:rsidR="007A4125" w:rsidRPr="00B731EB" w:rsidRDefault="007A4125" w:rsidP="007A4125">
      <w:pPr>
        <w:pStyle w:val="SingleTxtG"/>
      </w:pPr>
      <w:r>
        <w:tab/>
        <w:t>b)</w:t>
      </w:r>
      <w:r>
        <w:tab/>
        <w:t>мер, принимаемых для усиления координации всей политики, связанной с осуществлением Конвенции на национальном и местном уровнях и во всех секторах, в отсутствие государственного органа, наделенного такими полномочиями;</w:t>
      </w:r>
    </w:p>
    <w:p w14:paraId="688B7434" w14:textId="2DACDC86" w:rsidR="007A4125" w:rsidRPr="00B731EB" w:rsidRDefault="007A4125" w:rsidP="007A4125">
      <w:pPr>
        <w:pStyle w:val="SingleTxtG"/>
      </w:pPr>
      <w:r>
        <w:tab/>
        <w:t>c)</w:t>
      </w:r>
      <w:r>
        <w:tab/>
        <w:t>мандата и ресурсов, выделенных недавно созданному институту Уполномоченного по правам ребенка, и мер, принятых для обеспечения его независимости;</w:t>
      </w:r>
    </w:p>
    <w:p w14:paraId="48F5EB6C" w14:textId="5B94D7AC" w:rsidR="007A4125" w:rsidRPr="00B731EB" w:rsidRDefault="007A4125" w:rsidP="007A4125">
      <w:pPr>
        <w:pStyle w:val="SingleTxtG"/>
      </w:pPr>
      <w:r>
        <w:tab/>
        <w:t>d)</w:t>
      </w:r>
      <w:r>
        <w:tab/>
        <w:t>планов по цифровизации процесса рассмотрения дел;</w:t>
      </w:r>
    </w:p>
    <w:p w14:paraId="1D5563BB" w14:textId="7822B6E6" w:rsidR="007A4125" w:rsidRPr="00B731EB" w:rsidRDefault="007A4125" w:rsidP="007A4125">
      <w:pPr>
        <w:pStyle w:val="SingleTxtG"/>
      </w:pPr>
      <w:r>
        <w:tab/>
        <w:t>e)</w:t>
      </w:r>
      <w:r>
        <w:tab/>
        <w:t>планов проведения конструктивных консультаций с гражданским обществом при разработке законопроектов, затрагивающих права человека и основные свободы, в частности свободу ассоциаций.</w:t>
      </w:r>
    </w:p>
    <w:p w14:paraId="6FDFBA13" w14:textId="77777777" w:rsidR="007A4125" w:rsidRPr="00B731EB" w:rsidRDefault="007A4125" w:rsidP="007A4125">
      <w:pPr>
        <w:pStyle w:val="SingleTxtG"/>
      </w:pPr>
      <w:r>
        <w:t>3.</w:t>
      </w:r>
      <w:r>
        <w:tab/>
        <w:t>Просьба описать существующие механизмы, способствующие осмысленному и полноправному участию детей в разработке затрагивающих их интересы законов и местной политики.</w:t>
      </w:r>
    </w:p>
    <w:p w14:paraId="74F24D21" w14:textId="77777777" w:rsidR="007A4125" w:rsidRPr="00B731EB" w:rsidRDefault="007A4125" w:rsidP="007A4125">
      <w:pPr>
        <w:pStyle w:val="SingleTxtG"/>
      </w:pPr>
      <w:r>
        <w:t>4.</w:t>
      </w:r>
      <w:r>
        <w:tab/>
        <w:t>Просьба представить информацию о мерах, принимаемых с целью:</w:t>
      </w:r>
    </w:p>
    <w:p w14:paraId="0E85F04A" w14:textId="66CF9874" w:rsidR="007A4125" w:rsidRPr="00B731EB" w:rsidRDefault="007A4125" w:rsidP="007A4125">
      <w:pPr>
        <w:pStyle w:val="SingleTxtG"/>
      </w:pPr>
      <w:r>
        <w:tab/>
        <w:t>a)</w:t>
      </w:r>
      <w:r>
        <w:tab/>
        <w:t>внедрения автоматизированной информационной системы по вопросам гражданства</w:t>
      </w:r>
      <w:r w:rsidRPr="00CE0C99">
        <w:rPr>
          <w:rStyle w:val="aa"/>
        </w:rPr>
        <w:footnoteReference w:id="2"/>
      </w:r>
      <w:r>
        <w:t xml:space="preserve">; </w:t>
      </w:r>
    </w:p>
    <w:p w14:paraId="435FFFC1" w14:textId="45188091" w:rsidR="007A4125" w:rsidRPr="00B731EB" w:rsidRDefault="007A4125" w:rsidP="007A4125">
      <w:pPr>
        <w:pStyle w:val="SingleTxtG"/>
      </w:pPr>
      <w:r>
        <w:tab/>
        <w:t>b)</w:t>
      </w:r>
      <w:r>
        <w:tab/>
        <w:t>обеспечения доступа к регистрации рождения для детей, родители которых не имеют постоянного статуса проживания или имеют неопределенное гражданство;</w:t>
      </w:r>
    </w:p>
    <w:p w14:paraId="54E363C8" w14:textId="58092021" w:rsidR="007A4125" w:rsidRPr="00B731EB" w:rsidRDefault="007A4125" w:rsidP="007A4125">
      <w:pPr>
        <w:pStyle w:val="SingleTxtG"/>
      </w:pPr>
      <w:r>
        <w:tab/>
        <w:t>c)</w:t>
      </w:r>
      <w:r>
        <w:tab/>
        <w:t>выявления и защиты детей без гражданства, в частности в рамках процедуры определения наличия или отсутствия у них гражданства.</w:t>
      </w:r>
    </w:p>
    <w:p w14:paraId="3277D33D" w14:textId="77777777" w:rsidR="007A4125" w:rsidRPr="00B731EB" w:rsidRDefault="007A4125" w:rsidP="007A4125">
      <w:pPr>
        <w:pStyle w:val="SingleTxtG"/>
      </w:pPr>
      <w:r>
        <w:lastRenderedPageBreak/>
        <w:t>5.</w:t>
      </w:r>
      <w:r>
        <w:tab/>
        <w:t>Просьба представить информацию о мерах, принятых для обеспечения того, чтобы дети имели возможность и поощрялись к тому, чтобы эффективно осуществлять свои права на свободу выражения мнений, в том числе в школе, и чтобы у них был доступ к информации без ненужных ограничений.</w:t>
      </w:r>
    </w:p>
    <w:p w14:paraId="39EF8DFF" w14:textId="77777777" w:rsidR="007A4125" w:rsidRPr="00B731EB" w:rsidRDefault="007A4125" w:rsidP="007A4125">
      <w:pPr>
        <w:pStyle w:val="SingleTxtG"/>
      </w:pPr>
      <w:r>
        <w:t>6.</w:t>
      </w:r>
      <w:r>
        <w:tab/>
        <w:t>Просьба представить информацию о мерах, принимаемых с целью:</w:t>
      </w:r>
    </w:p>
    <w:p w14:paraId="36274A60" w14:textId="71226994" w:rsidR="007A4125" w:rsidRPr="00B731EB" w:rsidRDefault="007A4125" w:rsidP="007A4125">
      <w:pPr>
        <w:pStyle w:val="SingleTxtG"/>
      </w:pPr>
      <w:r>
        <w:tab/>
        <w:t>a)</w:t>
      </w:r>
      <w:r>
        <w:tab/>
        <w:t xml:space="preserve">искоренения телесных наказаний </w:t>
      </w:r>
      <w:r w:rsidRPr="00FF42D4">
        <w:t>при любых обстоятельствах</w:t>
      </w:r>
      <w:r>
        <w:t>, а также поощрения позитивных и ненасильственных форм воспитания и дисциплины детей и изменения отношения к ним в семье, в пенитенциарных учреждениях и школах, в том числе путем проведения информационно-просветительских кампаний;</w:t>
      </w:r>
    </w:p>
    <w:p w14:paraId="1C5D1D71" w14:textId="50393991" w:rsidR="007A4125" w:rsidRPr="00B731EB" w:rsidRDefault="007A4125" w:rsidP="007A4125">
      <w:pPr>
        <w:pStyle w:val="SingleTxtG"/>
      </w:pPr>
      <w:r>
        <w:tab/>
        <w:t>b)</w:t>
      </w:r>
      <w:r>
        <w:tab/>
        <w:t>предотвращения стигматизации и повторной виктимизации детей, ставших жертвами или свидетелями насилия, в том числе с помощью межсекторальных и учитывающих интересы ребенка процедур и средств правовой защиты;</w:t>
      </w:r>
    </w:p>
    <w:p w14:paraId="3B3F465A" w14:textId="3E62519C" w:rsidR="007A4125" w:rsidRPr="00B731EB" w:rsidRDefault="007A4125" w:rsidP="007A4125">
      <w:pPr>
        <w:pStyle w:val="SingleTxtG"/>
      </w:pPr>
      <w:r>
        <w:tab/>
        <w:t>c)</w:t>
      </w:r>
      <w:r>
        <w:tab/>
        <w:t>предотвращения практики «похищения невест», проведения соответствующих информационно-просветительских мероприятий среди работников судебной системы и правоохранительных органов, а также оказания помощи пострадавшим;</w:t>
      </w:r>
    </w:p>
    <w:p w14:paraId="057ABD6C" w14:textId="5CE190A8" w:rsidR="007A4125" w:rsidRPr="00B731EB" w:rsidRDefault="007A4125" w:rsidP="007A4125">
      <w:pPr>
        <w:pStyle w:val="SingleTxtG"/>
      </w:pPr>
      <w:r>
        <w:tab/>
        <w:t>d)</w:t>
      </w:r>
      <w:r>
        <w:tab/>
        <w:t>укрепления программ профилактики детских браков, включая план по предотвращению ранних браков.</w:t>
      </w:r>
    </w:p>
    <w:p w14:paraId="50C179BA" w14:textId="77777777" w:rsidR="007A4125" w:rsidRPr="00B731EB" w:rsidRDefault="007A4125" w:rsidP="007A4125">
      <w:pPr>
        <w:pStyle w:val="SingleTxtG"/>
      </w:pPr>
      <w:r>
        <w:t>7.</w:t>
      </w:r>
      <w:r>
        <w:tab/>
        <w:t>Просьба подробнее рассказать о мерах, принимаемых с целью:</w:t>
      </w:r>
    </w:p>
    <w:p w14:paraId="2967B5D4" w14:textId="547765B5" w:rsidR="007A4125" w:rsidRPr="00B731EB" w:rsidRDefault="007A4125" w:rsidP="007A4125">
      <w:pPr>
        <w:pStyle w:val="SingleTxtG"/>
      </w:pPr>
      <w:r>
        <w:tab/>
        <w:t>a)</w:t>
      </w:r>
      <w:r>
        <w:tab/>
        <w:t>сокращения числа детей, находящихся в специализированных учреждениях, например путем принятия стратегии деинституционализации;</w:t>
      </w:r>
    </w:p>
    <w:p w14:paraId="0AB75704" w14:textId="0385A115" w:rsidR="007A4125" w:rsidRPr="00B731EB" w:rsidRDefault="007A4125" w:rsidP="007A4125">
      <w:pPr>
        <w:pStyle w:val="SingleTxtG"/>
      </w:pPr>
      <w:r>
        <w:tab/>
        <w:t>b)</w:t>
      </w:r>
      <w:r>
        <w:tab/>
        <w:t>обеспечения достаточных возможностей ухода за детьми, которые не могут оставаться в своих семьях, на базе семьи и общины, включая передачу на воспитание в приемные семьи;</w:t>
      </w:r>
    </w:p>
    <w:p w14:paraId="3691F57E" w14:textId="38814B51" w:rsidR="007A4125" w:rsidRPr="00B731EB" w:rsidRDefault="007A4125" w:rsidP="007A4125">
      <w:pPr>
        <w:pStyle w:val="SingleTxtG"/>
      </w:pPr>
      <w:r>
        <w:tab/>
        <w:t>c)</w:t>
      </w:r>
      <w:r>
        <w:tab/>
        <w:t>оказания поддержки детям, оставленным родителями-мигрантами;</w:t>
      </w:r>
    </w:p>
    <w:p w14:paraId="1883AFBA" w14:textId="53332E1A" w:rsidR="007A4125" w:rsidRPr="00B731EB" w:rsidRDefault="007A4125" w:rsidP="007A4125">
      <w:pPr>
        <w:pStyle w:val="SingleTxtG"/>
      </w:pPr>
      <w:r>
        <w:tab/>
        <w:t>d)</w:t>
      </w:r>
      <w:r>
        <w:tab/>
        <w:t>содействия воссоединению детей с их семьями, когда это возможно;</w:t>
      </w:r>
    </w:p>
    <w:p w14:paraId="0EF93AF4" w14:textId="6D7C86D1" w:rsidR="007A4125" w:rsidRPr="00B731EB" w:rsidRDefault="007A4125" w:rsidP="007A4125">
      <w:pPr>
        <w:pStyle w:val="SingleTxtG"/>
      </w:pPr>
      <w:r>
        <w:tab/>
        <w:t>e)</w:t>
      </w:r>
      <w:r>
        <w:tab/>
        <w:t>создания механизма для обеспечения отчетности, мониторинга и устранения последствий насилия и жестокого обращения с детьми, находящимися в учреждениях альтернативного ухода.</w:t>
      </w:r>
    </w:p>
    <w:p w14:paraId="0A5767F4" w14:textId="77777777" w:rsidR="007A4125" w:rsidRPr="00B731EB" w:rsidRDefault="007A4125" w:rsidP="007A4125">
      <w:pPr>
        <w:pStyle w:val="SingleTxtG"/>
      </w:pPr>
      <w:r>
        <w:t>8.</w:t>
      </w:r>
      <w:r>
        <w:tab/>
        <w:t>Просьба представить информацию о мерах, принимаемых с целью:</w:t>
      </w:r>
    </w:p>
    <w:p w14:paraId="563BAFCA" w14:textId="5D4CE4ED" w:rsidR="007A4125" w:rsidRPr="00B731EB" w:rsidRDefault="007A4125" w:rsidP="007A4125">
      <w:pPr>
        <w:pStyle w:val="SingleTxtG"/>
      </w:pPr>
      <w:r>
        <w:tab/>
        <w:t>a)</w:t>
      </w:r>
      <w:r>
        <w:tab/>
        <w:t>борьбы со стигматизацией и дискриминацией детей с инвалидностью;</w:t>
      </w:r>
    </w:p>
    <w:p w14:paraId="4AD3C268" w14:textId="69F7529A" w:rsidR="007A4125" w:rsidRPr="00B731EB" w:rsidRDefault="007A4125" w:rsidP="007A4125">
      <w:pPr>
        <w:pStyle w:val="SingleTxtG"/>
      </w:pPr>
      <w:r>
        <w:tab/>
        <w:t>b)</w:t>
      </w:r>
      <w:r>
        <w:tab/>
        <w:t>принятия закона о правах людей с инвалидностью;</w:t>
      </w:r>
    </w:p>
    <w:p w14:paraId="38D5EA72" w14:textId="5028DD79" w:rsidR="007A4125" w:rsidRPr="00B731EB" w:rsidRDefault="007A4125" w:rsidP="007A4125">
      <w:pPr>
        <w:pStyle w:val="SingleTxtG"/>
      </w:pPr>
      <w:r>
        <w:tab/>
        <w:t>c)</w:t>
      </w:r>
      <w:r>
        <w:tab/>
        <w:t>обеспечения права детей с инвалидностью на воспитание в семейном окружении;</w:t>
      </w:r>
    </w:p>
    <w:p w14:paraId="018FE904" w14:textId="4AC54AA4" w:rsidR="007A4125" w:rsidRPr="00B731EB" w:rsidRDefault="007A4125" w:rsidP="007A4125">
      <w:pPr>
        <w:pStyle w:val="SingleTxtG"/>
      </w:pPr>
      <w:r>
        <w:tab/>
        <w:t>d)</w:t>
      </w:r>
      <w:r>
        <w:tab/>
        <w:t>расследования случаев сексуальной эксплуатации и надругательства над девочками с инвалидностью.</w:t>
      </w:r>
    </w:p>
    <w:p w14:paraId="08EAEA84" w14:textId="77777777" w:rsidR="007A4125" w:rsidRPr="00B731EB" w:rsidRDefault="007A4125" w:rsidP="007A4125">
      <w:pPr>
        <w:pStyle w:val="SingleTxtG"/>
      </w:pPr>
      <w:r>
        <w:t>9.</w:t>
      </w:r>
      <w:r>
        <w:tab/>
        <w:t xml:space="preserve">Просьба подробнее рассказать о мерах, принимаемых с целью: </w:t>
      </w:r>
    </w:p>
    <w:p w14:paraId="373375F0" w14:textId="0DCD4DB2" w:rsidR="007A4125" w:rsidRPr="00B731EB" w:rsidRDefault="007A4125" w:rsidP="007A4125">
      <w:pPr>
        <w:pStyle w:val="SingleTxtG"/>
      </w:pPr>
      <w:r>
        <w:tab/>
        <w:t>a)</w:t>
      </w:r>
      <w:r>
        <w:tab/>
        <w:t>обеспечения доступа детей, ищущих убежище, детей-беженцев и детей без гражданства, а также детей с инвалидностью к недорогим медицинским услугам;</w:t>
      </w:r>
    </w:p>
    <w:p w14:paraId="4C404F11" w14:textId="182A7085" w:rsidR="007A4125" w:rsidRPr="00B731EB" w:rsidRDefault="007A4125" w:rsidP="007A4125">
      <w:pPr>
        <w:pStyle w:val="SingleTxtG"/>
      </w:pPr>
      <w:r>
        <w:tab/>
        <w:t>b)</w:t>
      </w:r>
      <w:r>
        <w:tab/>
        <w:t>решения проблемы чрезмерной госпитализации детей;</w:t>
      </w:r>
    </w:p>
    <w:p w14:paraId="5A261D49" w14:textId="2F2B6367" w:rsidR="007A4125" w:rsidRPr="00B731EB" w:rsidRDefault="007A4125" w:rsidP="007A4125">
      <w:pPr>
        <w:pStyle w:val="SingleTxtG"/>
      </w:pPr>
      <w:r>
        <w:tab/>
        <w:t>c)</w:t>
      </w:r>
      <w:r>
        <w:tab/>
        <w:t>удовлетворения потребностей детей и подростков в области психического здоровья;</w:t>
      </w:r>
    </w:p>
    <w:p w14:paraId="033E58C2" w14:textId="2E912C07" w:rsidR="007A4125" w:rsidRPr="00B731EB" w:rsidRDefault="007A4125" w:rsidP="007A4125">
      <w:pPr>
        <w:pStyle w:val="SingleTxtG"/>
      </w:pPr>
      <w:r>
        <w:tab/>
        <w:t>d)</w:t>
      </w:r>
      <w:r>
        <w:tab/>
        <w:t>обеспечения подросткам доступа к информации и услугам в области сексуального и репродуктивного здоровья, включая бесплатные контрацептивы и услуги по безопасному прерыванию беременности;</w:t>
      </w:r>
    </w:p>
    <w:p w14:paraId="09DFB8C9" w14:textId="1252D892" w:rsidR="007A4125" w:rsidRPr="00B731EB" w:rsidRDefault="007A4125" w:rsidP="007A4125">
      <w:pPr>
        <w:pStyle w:val="SingleTxtG"/>
      </w:pPr>
      <w:r>
        <w:tab/>
        <w:t>e)</w:t>
      </w:r>
      <w:r>
        <w:tab/>
        <w:t>снижения уровня загрязнения воздуха, которое влияет на здоровье детей, и повышения осведомленности детей об изменении климата и стихийных бедствиях.</w:t>
      </w:r>
    </w:p>
    <w:p w14:paraId="66C0B43C" w14:textId="77777777" w:rsidR="007A4125" w:rsidRPr="00B731EB" w:rsidRDefault="007A4125" w:rsidP="007A4125">
      <w:pPr>
        <w:pStyle w:val="SingleTxtG"/>
      </w:pPr>
      <w:r>
        <w:lastRenderedPageBreak/>
        <w:t>10.</w:t>
      </w:r>
      <w:r>
        <w:tab/>
        <w:t>Просьба представить информацию о политике и мерах, принимаемых для обеспечения права всех детей на достаточный жизненный уровень, в том числе посредством доступа к национальной системе социальной защиты.</w:t>
      </w:r>
    </w:p>
    <w:p w14:paraId="09CF61FE" w14:textId="77777777" w:rsidR="007A4125" w:rsidRPr="00B731EB" w:rsidRDefault="007A4125" w:rsidP="007A4125">
      <w:pPr>
        <w:pStyle w:val="SingleTxtG"/>
      </w:pPr>
      <w:r>
        <w:t>11.</w:t>
      </w:r>
      <w:r>
        <w:tab/>
        <w:t>Просьба представить информацию относительно:</w:t>
      </w:r>
    </w:p>
    <w:p w14:paraId="73EF0FA8" w14:textId="0F4B0C38" w:rsidR="007A4125" w:rsidRPr="00B731EB" w:rsidRDefault="007A4125" w:rsidP="007A4125">
      <w:pPr>
        <w:pStyle w:val="SingleTxtG"/>
      </w:pPr>
      <w:r>
        <w:tab/>
        <w:t>a)</w:t>
      </w:r>
      <w:r>
        <w:tab/>
        <w:t>прогресса в обеспечении доступа всех детей с инвалидностью к инклюзивному образованию в общеобразовательных школах;</w:t>
      </w:r>
    </w:p>
    <w:p w14:paraId="35389DB0" w14:textId="4D207624" w:rsidR="007A4125" w:rsidRPr="00B731EB" w:rsidRDefault="007A4125" w:rsidP="007A4125">
      <w:pPr>
        <w:pStyle w:val="SingleTxtG"/>
      </w:pPr>
      <w:r>
        <w:tab/>
        <w:t>b)</w:t>
      </w:r>
      <w:r>
        <w:tab/>
        <w:t>мерах, принимаемых для обеспечения образования на языках меньшинств;</w:t>
      </w:r>
    </w:p>
    <w:p w14:paraId="580633F1" w14:textId="71612CF3" w:rsidR="007A4125" w:rsidRPr="00B731EB" w:rsidRDefault="007A4125" w:rsidP="007A4125">
      <w:pPr>
        <w:pStyle w:val="SingleTxtG"/>
      </w:pPr>
      <w:r>
        <w:tab/>
        <w:t>c)</w:t>
      </w:r>
      <w:r>
        <w:tab/>
        <w:t>включения образования в области прав человека в обязательную школьную программу;</w:t>
      </w:r>
    </w:p>
    <w:p w14:paraId="01037793" w14:textId="3806595E" w:rsidR="007A4125" w:rsidRPr="00B731EB" w:rsidRDefault="007A4125" w:rsidP="007A4125">
      <w:pPr>
        <w:pStyle w:val="SingleTxtG"/>
      </w:pPr>
      <w:r>
        <w:tab/>
        <w:t>d)</w:t>
      </w:r>
      <w:r>
        <w:tab/>
        <w:t>включения в школьные программы истории религии и подготовки учителей в этом отношении.</w:t>
      </w:r>
    </w:p>
    <w:p w14:paraId="7D0EFFC4" w14:textId="77777777" w:rsidR="007A4125" w:rsidRPr="00B731EB" w:rsidRDefault="007A4125" w:rsidP="007A4125">
      <w:pPr>
        <w:pStyle w:val="SingleTxtG"/>
      </w:pPr>
      <w:r>
        <w:t>12.</w:t>
      </w:r>
      <w:r>
        <w:tab/>
        <w:t>Просьба представить информацию относительно:</w:t>
      </w:r>
    </w:p>
    <w:p w14:paraId="4376F957" w14:textId="669F44FC" w:rsidR="007A4125" w:rsidRPr="00B731EB" w:rsidRDefault="007A4125" w:rsidP="007A4125">
      <w:pPr>
        <w:pStyle w:val="SingleTxtG"/>
      </w:pPr>
      <w:r>
        <w:tab/>
        <w:t>a)</w:t>
      </w:r>
      <w:r>
        <w:tab/>
        <w:t>планов по осуществлению предыдущих рекомендаций Комитета</w:t>
      </w:r>
      <w:r w:rsidRPr="00CE0C99">
        <w:rPr>
          <w:rStyle w:val="aa"/>
        </w:rPr>
        <w:footnoteReference w:id="3"/>
      </w:r>
      <w:r>
        <w:t xml:space="preserve"> по отмене требования о десятидневном предварительном уведомлении о посещении инспекторов по охране труда и организации регулярных необъявленных инспекций частных и государственных предприятий;</w:t>
      </w:r>
    </w:p>
    <w:p w14:paraId="46485CA4" w14:textId="07266F96" w:rsidR="007A4125" w:rsidRPr="00B731EB" w:rsidRDefault="007A4125" w:rsidP="007A4125">
      <w:pPr>
        <w:pStyle w:val="SingleTxtG"/>
      </w:pPr>
      <w:r>
        <w:tab/>
        <w:t>b)</w:t>
      </w:r>
      <w:r>
        <w:tab/>
        <w:t>мер по борьбе с наихудшими формами детского труда, в том числе в сфере добычи урана и работы в качестве домашней прислуги.</w:t>
      </w:r>
    </w:p>
    <w:p w14:paraId="6116D7D8" w14:textId="77777777" w:rsidR="007A4125" w:rsidRPr="00B731EB" w:rsidRDefault="007A4125" w:rsidP="007A4125">
      <w:pPr>
        <w:pStyle w:val="SingleTxtG"/>
      </w:pPr>
      <w:r>
        <w:t>13.</w:t>
      </w:r>
      <w:r>
        <w:tab/>
        <w:t>Просьба подробнее рассказать о мерах, принимаемых с целью:</w:t>
      </w:r>
    </w:p>
    <w:p w14:paraId="44635242" w14:textId="162988DD" w:rsidR="007A4125" w:rsidRPr="00B731EB" w:rsidRDefault="00FB098B" w:rsidP="007A4125">
      <w:pPr>
        <w:pStyle w:val="SingleTxtG"/>
      </w:pPr>
      <w:r>
        <w:tab/>
      </w:r>
      <w:r w:rsidR="007A4125">
        <w:t>a)</w:t>
      </w:r>
      <w:r w:rsidR="007A4125">
        <w:tab/>
        <w:t xml:space="preserve">создания системы правосудия в отношении несовершеннолетних в соответствии с Конвенцией; </w:t>
      </w:r>
    </w:p>
    <w:p w14:paraId="3157912F" w14:textId="68938084" w:rsidR="007A4125" w:rsidRPr="00B731EB" w:rsidRDefault="007A4125" w:rsidP="007A4125">
      <w:pPr>
        <w:pStyle w:val="SingleTxtG"/>
      </w:pPr>
      <w:r>
        <w:tab/>
        <w:t>b)</w:t>
      </w:r>
      <w:r>
        <w:tab/>
        <w:t>принятия новой государственной программы по правосудию в отношении несовершеннолетних и возобновления работы Межведомственного координационного совета по ювенальной юстиции;</w:t>
      </w:r>
    </w:p>
    <w:p w14:paraId="07697E70" w14:textId="7DB63C8A" w:rsidR="007A4125" w:rsidRPr="00B731EB" w:rsidRDefault="007A4125" w:rsidP="007A4125">
      <w:pPr>
        <w:pStyle w:val="SingleTxtG"/>
      </w:pPr>
      <w:r>
        <w:tab/>
        <w:t>c)</w:t>
      </w:r>
      <w:r>
        <w:tab/>
        <w:t>недопущения и ограничения применения досудебного содержания под стражей, в частности обеспечения того, чтобы заключение под стражу до суда использовалось только в качестве крайней меры;</w:t>
      </w:r>
    </w:p>
    <w:p w14:paraId="7524314D" w14:textId="533D6C3F" w:rsidR="007A4125" w:rsidRPr="00B731EB" w:rsidRDefault="007A4125" w:rsidP="007A4125">
      <w:pPr>
        <w:pStyle w:val="SingleTxtG"/>
      </w:pPr>
      <w:r>
        <w:tab/>
        <w:t>d)</w:t>
      </w:r>
      <w:r>
        <w:tab/>
        <w:t>содействия посредничеству и другим альтернативам содержанию под стражей, включая внесудебные меры.</w:t>
      </w:r>
    </w:p>
    <w:p w14:paraId="08845408" w14:textId="77777777" w:rsidR="007A4125" w:rsidRPr="00B731EB" w:rsidRDefault="007A4125" w:rsidP="007A4125">
      <w:pPr>
        <w:pStyle w:val="SingleTxtG"/>
      </w:pPr>
      <w:r>
        <w:t>14.</w:t>
      </w:r>
      <w:r>
        <w:tab/>
        <w:t>В связи с рекомендациями, содержащимися в предыдущих заключительных замечаниях Комитета по объединенным третьему и четвертому периодическим докладам государства-участника</w:t>
      </w:r>
      <w:r w:rsidRPr="00CE0C99">
        <w:rPr>
          <w:rStyle w:val="aa"/>
        </w:rPr>
        <w:footnoteReference w:id="4"/>
      </w:r>
      <w:r>
        <w:t xml:space="preserve"> и заключительных замечаниях Комитета по докладу, представленному государством-участником в соответствии с Факультативным протоколом, касающимся торговли детьми, детской проституции и детской порнографии</w:t>
      </w:r>
      <w:r w:rsidRPr="00CE0C99">
        <w:rPr>
          <w:rStyle w:val="aa"/>
        </w:rPr>
        <w:footnoteReference w:id="5"/>
      </w:r>
      <w:r>
        <w:t>, просьба представить информацию о мерах, принятых с целью:</w:t>
      </w:r>
    </w:p>
    <w:p w14:paraId="57987086" w14:textId="766E9F4D" w:rsidR="007A4125" w:rsidRPr="00B731EB" w:rsidRDefault="007A4125" w:rsidP="007A4125">
      <w:pPr>
        <w:pStyle w:val="SingleTxtG"/>
      </w:pPr>
      <w:r>
        <w:tab/>
        <w:t>a)</w:t>
      </w:r>
      <w:r>
        <w:tab/>
        <w:t>определения всех преступлений, предусмотренных статьями 2 и 3 Факультативного протокола, и установления уголовной ответственности за их совершение;</w:t>
      </w:r>
    </w:p>
    <w:p w14:paraId="0E21B8AC" w14:textId="0CE234D4" w:rsidR="007A4125" w:rsidRPr="00B731EB" w:rsidRDefault="007A4125" w:rsidP="007A4125">
      <w:pPr>
        <w:pStyle w:val="SingleTxtG"/>
      </w:pPr>
      <w:r>
        <w:tab/>
        <w:t>b)</w:t>
      </w:r>
      <w:r>
        <w:tab/>
        <w:t>предотвращения и эффективного расследования всех форм торговли детьми, запрещенных Факультативным протоколом;</w:t>
      </w:r>
    </w:p>
    <w:p w14:paraId="3EB658DB" w14:textId="5D115333" w:rsidR="007A4125" w:rsidRPr="00B731EB" w:rsidRDefault="007A4125" w:rsidP="007A4125">
      <w:pPr>
        <w:pStyle w:val="SingleTxtG"/>
      </w:pPr>
      <w:r>
        <w:tab/>
        <w:t>c)</w:t>
      </w:r>
      <w:r>
        <w:tab/>
        <w:t>установления экстерриториальной юрисдикции в отношении всех преступлений, охваченных Факультативным протоколом.</w:t>
      </w:r>
    </w:p>
    <w:p w14:paraId="747B9023" w14:textId="77777777" w:rsidR="007A4125" w:rsidRPr="00B731EB" w:rsidRDefault="007A4125" w:rsidP="007A4125">
      <w:pPr>
        <w:pStyle w:val="SingleTxtG"/>
      </w:pPr>
      <w:bookmarkStart w:id="0" w:name="_Hlk65649448"/>
      <w:r>
        <w:t>15.</w:t>
      </w:r>
      <w:r>
        <w:tab/>
        <w:t>В связи с рекомендациями, содержащимися в предыдущих заключительных замечаниях Комитета по третьему и четвертому периодическим докладам государства-</w:t>
      </w:r>
      <w:r>
        <w:lastRenderedPageBreak/>
        <w:t>участника</w:t>
      </w:r>
      <w:r w:rsidRPr="00CE0C99">
        <w:rPr>
          <w:rStyle w:val="aa"/>
        </w:rPr>
        <w:footnoteReference w:id="6"/>
      </w:r>
      <w:r>
        <w:t xml:space="preserve"> и заключительных замечаниях Комитета по докладу, представленному государством-участником в соответствии с Факультативным протоколом, касающимся участия детей в вооруженных конфликтах</w:t>
      </w:r>
      <w:r w:rsidRPr="00CE0C99">
        <w:rPr>
          <w:rStyle w:val="aa"/>
        </w:rPr>
        <w:footnoteReference w:id="7"/>
      </w:r>
      <w:r>
        <w:t>, просьба представить информацию о мерах, принятых с целью:</w:t>
      </w:r>
      <w:bookmarkEnd w:id="0"/>
    </w:p>
    <w:p w14:paraId="435592F7" w14:textId="7CB1AF7A" w:rsidR="007A4125" w:rsidRPr="00B731EB" w:rsidRDefault="007A4125" w:rsidP="007A4125">
      <w:pPr>
        <w:pStyle w:val="SingleTxtG"/>
      </w:pPr>
      <w:r>
        <w:tab/>
        <w:t>a)</w:t>
      </w:r>
      <w:r>
        <w:tab/>
        <w:t>установления уголовной ответственности за вербовку детей в возрасте до 18 лет негосударственными вооруженными группами;</w:t>
      </w:r>
    </w:p>
    <w:p w14:paraId="44F3D822" w14:textId="47A5E75C" w:rsidR="007A4125" w:rsidRPr="00B731EB" w:rsidRDefault="007A4125" w:rsidP="007A4125">
      <w:pPr>
        <w:pStyle w:val="SingleTxtG"/>
      </w:pPr>
      <w:r>
        <w:tab/>
        <w:t>b)</w:t>
      </w:r>
      <w:r>
        <w:tab/>
        <w:t>создания механизма раннего выявления детей, которые могли быть вовлечены в вооруженные конфликты за рубежом, при въезде в государство-участник и обеспечения им всей необходимой помощи и поддержки;</w:t>
      </w:r>
    </w:p>
    <w:p w14:paraId="59B7785A" w14:textId="42A9A0FE" w:rsidR="007A4125" w:rsidRPr="00B731EB" w:rsidRDefault="007A4125" w:rsidP="007A4125">
      <w:pPr>
        <w:pStyle w:val="SingleTxtG"/>
      </w:pPr>
      <w:r>
        <w:tab/>
        <w:t>c)</w:t>
      </w:r>
      <w:r>
        <w:tab/>
        <w:t>распространения экстерриториальной юрисдикции на преступления, связанные с вербовкой и вовлечением детей в военные действия;</w:t>
      </w:r>
    </w:p>
    <w:p w14:paraId="6E90F307" w14:textId="009211AF" w:rsidR="007A4125" w:rsidRPr="00B731EB" w:rsidRDefault="007A4125" w:rsidP="007A4125">
      <w:pPr>
        <w:pStyle w:val="SingleTxtG"/>
      </w:pPr>
      <w:r>
        <w:tab/>
        <w:t>d)</w:t>
      </w:r>
      <w:r>
        <w:tab/>
        <w:t>запрещения экспорта оружия, включая стрелковое оружие, в страны, где, как известно, существует практика вербовки или использования детей в военных действиях.</w:t>
      </w:r>
    </w:p>
    <w:p w14:paraId="49C847AE" w14:textId="77777777" w:rsidR="007A4125" w:rsidRPr="00B731EB" w:rsidRDefault="007A4125" w:rsidP="007A4125">
      <w:pPr>
        <w:pStyle w:val="HChG"/>
      </w:pPr>
      <w:r>
        <w:tab/>
      </w:r>
      <w:r>
        <w:tab/>
      </w:r>
      <w:r>
        <w:rPr>
          <w:bCs/>
        </w:rPr>
        <w:t>Часть II</w:t>
      </w:r>
    </w:p>
    <w:p w14:paraId="2372CD08" w14:textId="77777777" w:rsidR="007A4125" w:rsidRPr="00B731EB" w:rsidRDefault="007A4125" w:rsidP="007A4125">
      <w:pPr>
        <w:pStyle w:val="SingleTxtG"/>
      </w:pPr>
      <w:r>
        <w:t>16.</w:t>
      </w:r>
      <w:r>
        <w:tab/>
        <w:t>Комитет предлагает государству-участнику представить краткую обновленную информацию (объемом не более трех страниц) в связи с содержащимися в его докладе сведениями в отношении:</w:t>
      </w:r>
    </w:p>
    <w:p w14:paraId="06307830" w14:textId="7EBD1F24" w:rsidR="007A4125" w:rsidRPr="00B731EB" w:rsidRDefault="007A4125" w:rsidP="007A4125">
      <w:pPr>
        <w:pStyle w:val="SingleTxtG"/>
      </w:pPr>
      <w:r>
        <w:tab/>
        <w:t>a)</w:t>
      </w:r>
      <w:r>
        <w:tab/>
        <w:t>новых законопроектов или законов и соответствующих подзаконных актов;</w:t>
      </w:r>
    </w:p>
    <w:p w14:paraId="0C7F7978" w14:textId="3860AD9A" w:rsidR="007A4125" w:rsidRPr="00B731EB" w:rsidRDefault="007A4125" w:rsidP="007A4125">
      <w:pPr>
        <w:pStyle w:val="SingleTxtG"/>
      </w:pPr>
      <w:r>
        <w:tab/>
        <w:t>b)</w:t>
      </w:r>
      <w:r>
        <w:tab/>
        <w:t>новых учреждений и их мандатов или институциональных реформ;</w:t>
      </w:r>
    </w:p>
    <w:p w14:paraId="1163B4A2" w14:textId="6FF0C62F" w:rsidR="007A4125" w:rsidRPr="00B731EB" w:rsidRDefault="007A4125" w:rsidP="007A4125">
      <w:pPr>
        <w:pStyle w:val="SingleTxtG"/>
      </w:pPr>
      <w:r>
        <w:tab/>
        <w:t>c)</w:t>
      </w:r>
      <w:r>
        <w:tab/>
        <w:t>принятых в последнее время стратегий, программ и планов действий, их соответствующих сфер охвата и финансирования, выделяемого на их осуществление;</w:t>
      </w:r>
    </w:p>
    <w:p w14:paraId="39155BA1" w14:textId="02EFDFBB" w:rsidR="007A4125" w:rsidRPr="00B731EB" w:rsidRDefault="007A4125" w:rsidP="007A4125">
      <w:pPr>
        <w:pStyle w:val="SingleTxtG"/>
      </w:pPr>
      <w:r>
        <w:tab/>
        <w:t>d)</w:t>
      </w:r>
      <w:r>
        <w:tab/>
        <w:t>ратификации в последнее время договоров о правах человека.</w:t>
      </w:r>
    </w:p>
    <w:p w14:paraId="036912D9" w14:textId="77777777" w:rsidR="007A4125" w:rsidRPr="00B731EB" w:rsidRDefault="007A4125" w:rsidP="007A4125">
      <w:pPr>
        <w:pStyle w:val="HChG"/>
      </w:pPr>
      <w:r>
        <w:tab/>
      </w:r>
      <w:r>
        <w:tab/>
      </w:r>
      <w:r>
        <w:rPr>
          <w:bCs/>
        </w:rPr>
        <w:t>Часть III</w:t>
      </w:r>
    </w:p>
    <w:p w14:paraId="7104BCC3" w14:textId="77777777" w:rsidR="007A4125" w:rsidRPr="00B731EB" w:rsidRDefault="007A4125" w:rsidP="007A4125">
      <w:pPr>
        <w:pStyle w:val="H1G"/>
        <w:rPr>
          <w:sz w:val="20"/>
        </w:rPr>
      </w:pPr>
      <w:r>
        <w:tab/>
      </w:r>
      <w:r>
        <w:tab/>
      </w:r>
      <w:r>
        <w:rPr>
          <w:bCs/>
        </w:rPr>
        <w:t>Информация, статистические данные и прочие сведения</w:t>
      </w:r>
    </w:p>
    <w:p w14:paraId="5DCA6BF1" w14:textId="77777777" w:rsidR="007A4125" w:rsidRPr="00B731EB" w:rsidRDefault="007A4125" w:rsidP="007A4125">
      <w:pPr>
        <w:pStyle w:val="SingleTxtG"/>
      </w:pPr>
      <w:r>
        <w:t>17.</w:t>
      </w:r>
      <w:r>
        <w:tab/>
        <w:t>Просьба представить сводную информацию за последние три года относительно статей бюджета, предусматривающих ассигнования в интересах детей и на социальные нужды, указав процентную долю таких ассигнований по каждой статье в общем государственном бюджете и валовом национальном продукте. Просьба также представить информацию о географическом распределении этих средств.</w:t>
      </w:r>
    </w:p>
    <w:p w14:paraId="399BD3FE" w14:textId="77777777" w:rsidR="007A4125" w:rsidRPr="00B731EB" w:rsidRDefault="007A4125" w:rsidP="007A4125">
      <w:pPr>
        <w:pStyle w:val="SingleTxtG"/>
      </w:pPr>
      <w:r>
        <w:t>18.</w:t>
      </w:r>
      <w:r>
        <w:tab/>
        <w:t>Просьба представить актуальные статистические данные за последние три года в разбивке по возрасту, полу, этническому и национальному происхождению, месту проживания и социально-экономическому положению о следующем:</w:t>
      </w:r>
    </w:p>
    <w:p w14:paraId="2A209024" w14:textId="4766B6B7" w:rsidR="007A4125" w:rsidRPr="00B731EB" w:rsidRDefault="007A4125" w:rsidP="007A4125">
      <w:pPr>
        <w:pStyle w:val="SingleTxtG"/>
      </w:pPr>
      <w:r>
        <w:tab/>
        <w:t>a)</w:t>
      </w:r>
      <w:r>
        <w:tab/>
        <w:t>уровне регистрации рождений;</w:t>
      </w:r>
    </w:p>
    <w:p w14:paraId="3E4678E3" w14:textId="4A7C63A6" w:rsidR="007A4125" w:rsidRPr="00B731EB" w:rsidRDefault="007A4125" w:rsidP="007A4125">
      <w:pPr>
        <w:pStyle w:val="SingleTxtG"/>
      </w:pPr>
      <w:r>
        <w:tab/>
        <w:t>b)</w:t>
      </w:r>
      <w:r>
        <w:tab/>
        <w:t>детях, которые были признаны лицами без гражданства;</w:t>
      </w:r>
    </w:p>
    <w:p w14:paraId="30988511" w14:textId="2107A7A1" w:rsidR="007A4125" w:rsidRPr="00B731EB" w:rsidRDefault="007A4125" w:rsidP="007A4125">
      <w:pPr>
        <w:pStyle w:val="SingleTxtG"/>
      </w:pPr>
      <w:r>
        <w:tab/>
        <w:t>c)</w:t>
      </w:r>
      <w:r>
        <w:tab/>
        <w:t>случаях насилия в отношении детей, включая жестокое обращение, отсутствие заботы и сексуальную эксплуатацию и надругательство, о которых было сообщено властям, по которым было проведено расследование и возбуждено уголовное дело, включая информацию о наказаниях, назначенных виновным;</w:t>
      </w:r>
    </w:p>
    <w:p w14:paraId="6635A687" w14:textId="3DB69A8A" w:rsidR="007A4125" w:rsidRPr="00B731EB" w:rsidRDefault="007A4125" w:rsidP="007A4125">
      <w:pPr>
        <w:pStyle w:val="SingleTxtG"/>
      </w:pPr>
      <w:r>
        <w:lastRenderedPageBreak/>
        <w:tab/>
        <w:t>d)</w:t>
      </w:r>
      <w:r>
        <w:tab/>
        <w:t>случаях «похищения невест», о которых было сообщено властям, по которым было проведено расследование и возбуждено уголовное дела, а виновным назначено наказание;</w:t>
      </w:r>
    </w:p>
    <w:p w14:paraId="33428294" w14:textId="21536BD0" w:rsidR="007A4125" w:rsidRPr="00B731EB" w:rsidRDefault="007A4125" w:rsidP="007A4125">
      <w:pPr>
        <w:pStyle w:val="SingleTxtG"/>
      </w:pPr>
      <w:r>
        <w:tab/>
        <w:t>e)</w:t>
      </w:r>
      <w:r>
        <w:tab/>
        <w:t>детях, живущих в условиях нищеты;</w:t>
      </w:r>
    </w:p>
    <w:p w14:paraId="19983312" w14:textId="185BCF93" w:rsidR="007A4125" w:rsidRPr="00B731EB" w:rsidRDefault="007A4125" w:rsidP="007A4125">
      <w:pPr>
        <w:pStyle w:val="SingleTxtG"/>
      </w:pPr>
      <w:r>
        <w:tab/>
        <w:t>f)</w:t>
      </w:r>
      <w:r>
        <w:tab/>
        <w:t>детях с инвалидностью, посещающих общеобразовательную школу, не посещающих школу или сообщивших о том, что подвергались насилию;</w:t>
      </w:r>
    </w:p>
    <w:p w14:paraId="7EEC0211" w14:textId="1536F90C" w:rsidR="007A4125" w:rsidRPr="00B731EB" w:rsidRDefault="007A4125" w:rsidP="007A4125">
      <w:pPr>
        <w:pStyle w:val="SingleTxtG"/>
      </w:pPr>
      <w:r>
        <w:tab/>
        <w:t>g)</w:t>
      </w:r>
      <w:r>
        <w:tab/>
        <w:t>детях в ситуации улицы;</w:t>
      </w:r>
    </w:p>
    <w:p w14:paraId="3F183FC9" w14:textId="78FCEF23" w:rsidR="007A4125" w:rsidRPr="00B731EB" w:rsidRDefault="007A4125" w:rsidP="007A4125">
      <w:pPr>
        <w:pStyle w:val="SingleTxtG"/>
      </w:pPr>
      <w:r>
        <w:tab/>
        <w:t>h)</w:t>
      </w:r>
      <w:r>
        <w:tab/>
        <w:t>детях, ищущих убежище, детях-беженцах и детях-мигрантах, въезжающих в государство-участник из регионов, где возможны случаи вербовки и использования детей в военных действиях.</w:t>
      </w:r>
    </w:p>
    <w:p w14:paraId="2053D45E" w14:textId="77777777" w:rsidR="007A4125" w:rsidRPr="00B731EB" w:rsidRDefault="007A4125" w:rsidP="007A4125">
      <w:pPr>
        <w:pStyle w:val="SingleTxtG"/>
      </w:pPr>
      <w:r>
        <w:t>19.</w:t>
      </w:r>
      <w:r>
        <w:tab/>
        <w:t>Просьба представить информацию о том, каким образом подход, обеспечивающий учет прав детей, интегрирован в процесс планирования, осуществления и мониторинга мер, направленных на достижение целей в области устойчивого развития, в том числе в том, что касается участия детей и сбора данных, и каким образом эти меры способствуют реализации прав детей, закрепленных в Конвенции и Факультативных протоколах к ней.</w:t>
      </w:r>
    </w:p>
    <w:p w14:paraId="4B06E587" w14:textId="77777777" w:rsidR="007A4125" w:rsidRPr="00B731EB" w:rsidRDefault="007A4125" w:rsidP="007A4125">
      <w:pPr>
        <w:pStyle w:val="SingleTxtG"/>
      </w:pPr>
      <w:r>
        <w:t>20.</w:t>
      </w:r>
      <w:r>
        <w:tab/>
        <w:t>Просьба представить Комитету обновленную информацию взамен любых сведений в докладе, которые могли устареть в связи со сбором более свежих данных или другими изменениями.</w:t>
      </w:r>
    </w:p>
    <w:p w14:paraId="62A03B8A" w14:textId="77777777" w:rsidR="007A4125" w:rsidRPr="00B731EB" w:rsidRDefault="007A4125" w:rsidP="007A4125">
      <w:pPr>
        <w:pStyle w:val="SingleTxtG"/>
      </w:pPr>
      <w:r>
        <w:t>21.</w:t>
      </w:r>
      <w:r>
        <w:tab/>
        <w:t>Помимо этого, государство-участник может перечислить сферы, в которых затрагиваются интересы детей и которые оно считает приоритетными в связи с осуществлением Конвенции.</w:t>
      </w:r>
    </w:p>
    <w:p w14:paraId="3819129F" w14:textId="77777777" w:rsidR="007A4125" w:rsidRPr="00B731EB" w:rsidRDefault="007A4125" w:rsidP="007A4125">
      <w:pPr>
        <w:pStyle w:val="SingleTxtG"/>
        <w:spacing w:before="240"/>
        <w:jc w:val="center"/>
        <w:rPr>
          <w:rFonts w:eastAsiaTheme="minorEastAsia"/>
        </w:rPr>
      </w:pPr>
      <w:r w:rsidRPr="00B731EB">
        <w:rPr>
          <w:rFonts w:eastAsiaTheme="minorEastAsia"/>
          <w:u w:val="single"/>
        </w:rPr>
        <w:tab/>
      </w:r>
      <w:r w:rsidRPr="00B731EB">
        <w:rPr>
          <w:rFonts w:eastAsiaTheme="minorEastAsia"/>
          <w:u w:val="single"/>
        </w:rPr>
        <w:tab/>
      </w:r>
      <w:r w:rsidRPr="00B731EB">
        <w:rPr>
          <w:rFonts w:eastAsiaTheme="minorEastAsia"/>
          <w:u w:val="single"/>
        </w:rPr>
        <w:tab/>
      </w:r>
      <w:r w:rsidRPr="00B731EB">
        <w:rPr>
          <w:rFonts w:eastAsiaTheme="minorEastAsia"/>
          <w:u w:val="single"/>
        </w:rPr>
        <w:tab/>
      </w:r>
    </w:p>
    <w:p w14:paraId="0A663F26" w14:textId="5BD72184" w:rsidR="007A4125" w:rsidRPr="007A4125" w:rsidRDefault="007A4125" w:rsidP="002E685D"/>
    <w:p w14:paraId="224C3A57" w14:textId="77777777" w:rsidR="00381C24" w:rsidRPr="007A4125" w:rsidRDefault="00381C24" w:rsidP="002E685D"/>
    <w:sectPr w:rsidR="00381C24" w:rsidRPr="007A4125" w:rsidSect="007A412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83FF5" w14:textId="77777777" w:rsidR="00397DFB" w:rsidRPr="00A312BC" w:rsidRDefault="00397DFB" w:rsidP="00A312BC"/>
  </w:endnote>
  <w:endnote w:type="continuationSeparator" w:id="0">
    <w:p w14:paraId="47A26E3C" w14:textId="77777777" w:rsidR="00397DFB" w:rsidRPr="00A312BC" w:rsidRDefault="00397DF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4521" w14:textId="4CBBFDDE" w:rsidR="007A4125" w:rsidRPr="007A4125" w:rsidRDefault="007A4125">
    <w:pPr>
      <w:pStyle w:val="a8"/>
    </w:pPr>
    <w:r w:rsidRPr="007A4125">
      <w:rPr>
        <w:b/>
        <w:sz w:val="18"/>
      </w:rPr>
      <w:fldChar w:fldCharType="begin"/>
    </w:r>
    <w:r w:rsidRPr="007A4125">
      <w:rPr>
        <w:b/>
        <w:sz w:val="18"/>
      </w:rPr>
      <w:instrText xml:space="preserve"> PAGE  \* MERGEFORMAT </w:instrText>
    </w:r>
    <w:r w:rsidRPr="007A4125">
      <w:rPr>
        <w:b/>
        <w:sz w:val="18"/>
      </w:rPr>
      <w:fldChar w:fldCharType="separate"/>
    </w:r>
    <w:r w:rsidRPr="007A4125">
      <w:rPr>
        <w:b/>
        <w:noProof/>
        <w:sz w:val="18"/>
      </w:rPr>
      <w:t>2</w:t>
    </w:r>
    <w:r w:rsidRPr="007A4125">
      <w:rPr>
        <w:b/>
        <w:sz w:val="18"/>
      </w:rPr>
      <w:fldChar w:fldCharType="end"/>
    </w:r>
    <w:r>
      <w:rPr>
        <w:b/>
        <w:sz w:val="18"/>
      </w:rPr>
      <w:tab/>
    </w:r>
    <w:r>
      <w:t>GE.23-03647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90FB" w14:textId="5DAB1C80" w:rsidR="007A4125" w:rsidRPr="007A4125" w:rsidRDefault="007A4125" w:rsidP="007A4125">
    <w:pPr>
      <w:pStyle w:val="a8"/>
      <w:tabs>
        <w:tab w:val="clear" w:pos="9639"/>
        <w:tab w:val="right" w:pos="9638"/>
      </w:tabs>
      <w:rPr>
        <w:b/>
        <w:sz w:val="18"/>
      </w:rPr>
    </w:pPr>
    <w:r>
      <w:t>GE.23-03647</w:t>
    </w:r>
    <w:r>
      <w:tab/>
    </w:r>
    <w:r w:rsidRPr="007A4125">
      <w:rPr>
        <w:b/>
        <w:sz w:val="18"/>
      </w:rPr>
      <w:fldChar w:fldCharType="begin"/>
    </w:r>
    <w:r w:rsidRPr="007A4125">
      <w:rPr>
        <w:b/>
        <w:sz w:val="18"/>
      </w:rPr>
      <w:instrText xml:space="preserve"> PAGE  \* MERGEFORMAT </w:instrText>
    </w:r>
    <w:r w:rsidRPr="007A4125">
      <w:rPr>
        <w:b/>
        <w:sz w:val="18"/>
      </w:rPr>
      <w:fldChar w:fldCharType="separate"/>
    </w:r>
    <w:r w:rsidRPr="007A4125">
      <w:rPr>
        <w:b/>
        <w:noProof/>
        <w:sz w:val="18"/>
      </w:rPr>
      <w:t>3</w:t>
    </w:r>
    <w:r w:rsidRPr="007A412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C870" w14:textId="7204630F" w:rsidR="00042B72" w:rsidRPr="007A4125" w:rsidRDefault="007A4125" w:rsidP="007A412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288168B" wp14:editId="5BFF7BB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03647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B2419F7" wp14:editId="018F2D3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310323  030423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FFEB" w14:textId="77777777" w:rsidR="00397DFB" w:rsidRPr="001075E9" w:rsidRDefault="00397DF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E2640C3" w14:textId="77777777" w:rsidR="00397DFB" w:rsidRDefault="00397DF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4EC3069" w14:textId="77777777" w:rsidR="007A4125" w:rsidRPr="00B731EB" w:rsidRDefault="007A4125" w:rsidP="007A4125">
      <w:pPr>
        <w:pStyle w:val="ad"/>
      </w:pPr>
      <w:r>
        <w:tab/>
      </w:r>
      <w:r w:rsidRPr="007A4125">
        <w:rPr>
          <w:sz w:val="20"/>
        </w:rPr>
        <w:t>*</w:t>
      </w:r>
      <w:r>
        <w:tab/>
        <w:t>Принят предсессионной рабочей группой 10 февраля 2023 года.</w:t>
      </w:r>
    </w:p>
  </w:footnote>
  <w:footnote w:id="2">
    <w:p w14:paraId="6409ED08" w14:textId="30FD9484" w:rsidR="007A4125" w:rsidRPr="007A4125" w:rsidRDefault="007A4125" w:rsidP="007A4125">
      <w:pPr>
        <w:pStyle w:val="ad"/>
        <w:rPr>
          <w:lang w:val="en-US"/>
        </w:rPr>
      </w:pPr>
      <w:r w:rsidRPr="002A0963">
        <w:tab/>
      </w:r>
      <w:r w:rsidRPr="00CE0C99">
        <w:rPr>
          <w:rStyle w:val="aa"/>
        </w:rPr>
        <w:footnoteRef/>
      </w:r>
      <w:r w:rsidRPr="00B731EB">
        <w:rPr>
          <w:lang w:val="en-US"/>
        </w:rPr>
        <w:tab/>
      </w:r>
      <w:r w:rsidR="00874880">
        <w:fldChar w:fldCharType="begin"/>
      </w:r>
      <w:r w:rsidR="00874880" w:rsidRPr="00B1717D">
        <w:rPr>
          <w:lang w:val="en-US"/>
        </w:rPr>
        <w:instrText xml:space="preserve"> HYPERLINK "http://undocs.org/en/CRC/C/KGZ/5" </w:instrText>
      </w:r>
      <w:r w:rsidR="00874880">
        <w:fldChar w:fldCharType="separate"/>
      </w:r>
      <w:r w:rsidRPr="007A4125">
        <w:rPr>
          <w:rStyle w:val="af1"/>
          <w:lang w:val="en-US"/>
        </w:rPr>
        <w:t>CRC/C/KGZ/5-6</w:t>
      </w:r>
      <w:r w:rsidR="00874880">
        <w:rPr>
          <w:rStyle w:val="af1"/>
          <w:lang w:val="en-US"/>
        </w:rPr>
        <w:fldChar w:fldCharType="end"/>
      </w:r>
      <w:r w:rsidRPr="00B731EB">
        <w:rPr>
          <w:lang w:val="en-US"/>
        </w:rPr>
        <w:t xml:space="preserve">, </w:t>
      </w:r>
      <w:r>
        <w:t>п</w:t>
      </w:r>
      <w:r w:rsidRPr="00B731EB">
        <w:rPr>
          <w:lang w:val="en-US"/>
        </w:rPr>
        <w:t>. 117.</w:t>
      </w:r>
    </w:p>
  </w:footnote>
  <w:footnote w:id="3">
    <w:p w14:paraId="6BD73148" w14:textId="5CCA8D4C" w:rsidR="007A4125" w:rsidRPr="007A4125" w:rsidRDefault="007A4125" w:rsidP="007A4125">
      <w:pPr>
        <w:pStyle w:val="ad"/>
        <w:rPr>
          <w:lang w:val="en-US"/>
        </w:rPr>
      </w:pPr>
      <w:r w:rsidRPr="00B731EB">
        <w:rPr>
          <w:lang w:val="en-US"/>
        </w:rPr>
        <w:tab/>
      </w:r>
      <w:r w:rsidRPr="00CE0C99">
        <w:rPr>
          <w:rStyle w:val="aa"/>
        </w:rPr>
        <w:footnoteRef/>
      </w:r>
      <w:r w:rsidRPr="00B731EB">
        <w:rPr>
          <w:lang w:val="en-US"/>
        </w:rPr>
        <w:t xml:space="preserve"> </w:t>
      </w:r>
      <w:r w:rsidRPr="00B731EB">
        <w:rPr>
          <w:lang w:val="en-US"/>
        </w:rPr>
        <w:tab/>
      </w:r>
      <w:hyperlink r:id="rId1" w:history="1">
        <w:r w:rsidRPr="007A4125">
          <w:rPr>
            <w:rStyle w:val="af1"/>
            <w:lang w:val="en-US"/>
          </w:rPr>
          <w:t>CRC/C/KGZ/CO/3-4</w:t>
        </w:r>
      </w:hyperlink>
      <w:r w:rsidRPr="00B731EB">
        <w:rPr>
          <w:lang w:val="en-US"/>
        </w:rPr>
        <w:t xml:space="preserve">, </w:t>
      </w:r>
      <w:r>
        <w:t>п</w:t>
      </w:r>
      <w:r w:rsidRPr="00B731EB">
        <w:rPr>
          <w:lang w:val="en-US"/>
        </w:rPr>
        <w:t>. 62.</w:t>
      </w:r>
    </w:p>
  </w:footnote>
  <w:footnote w:id="4">
    <w:p w14:paraId="398A8E25" w14:textId="77777777" w:rsidR="007A4125" w:rsidRPr="00F15BC4" w:rsidRDefault="007A4125" w:rsidP="007A4125">
      <w:pPr>
        <w:pStyle w:val="ad"/>
      </w:pPr>
      <w:r w:rsidRPr="00B731EB">
        <w:rPr>
          <w:lang w:val="en-US"/>
        </w:rPr>
        <w:tab/>
      </w:r>
      <w:r w:rsidRPr="00CE0C99">
        <w:rPr>
          <w:rStyle w:val="aa"/>
        </w:rPr>
        <w:footnoteRef/>
      </w:r>
      <w:r w:rsidRPr="00F15BC4">
        <w:t xml:space="preserve"> </w:t>
      </w:r>
      <w:r w:rsidRPr="00F15BC4">
        <w:tab/>
      </w:r>
      <w:r>
        <w:t>Там</w:t>
      </w:r>
      <w:r w:rsidRPr="00F15BC4">
        <w:t xml:space="preserve"> </w:t>
      </w:r>
      <w:r>
        <w:t>же</w:t>
      </w:r>
      <w:r w:rsidRPr="00F15BC4">
        <w:t xml:space="preserve">, </w:t>
      </w:r>
      <w:r>
        <w:t>п</w:t>
      </w:r>
      <w:r w:rsidRPr="00F15BC4">
        <w:t>. 64.</w:t>
      </w:r>
    </w:p>
  </w:footnote>
  <w:footnote w:id="5">
    <w:p w14:paraId="137BE601" w14:textId="7FF209A4" w:rsidR="007A4125" w:rsidRPr="007000CF" w:rsidRDefault="007A4125" w:rsidP="007A4125">
      <w:pPr>
        <w:pStyle w:val="ad"/>
      </w:pPr>
      <w:r w:rsidRPr="00F15BC4">
        <w:tab/>
      </w:r>
      <w:r w:rsidRPr="00CE0C99">
        <w:rPr>
          <w:rStyle w:val="aa"/>
        </w:rPr>
        <w:footnoteRef/>
      </w:r>
      <w:r w:rsidRPr="007000CF">
        <w:t xml:space="preserve"> </w:t>
      </w:r>
      <w:r w:rsidRPr="007000CF">
        <w:tab/>
      </w:r>
      <w:hyperlink r:id="rId2" w:history="1">
        <w:r w:rsidRPr="007A4125">
          <w:rPr>
            <w:rStyle w:val="af1"/>
            <w:lang w:val="en-US"/>
          </w:rPr>
          <w:t>CRC</w:t>
        </w:r>
        <w:r w:rsidRPr="007000CF">
          <w:rPr>
            <w:rStyle w:val="af1"/>
          </w:rPr>
          <w:t>/</w:t>
        </w:r>
        <w:r w:rsidRPr="007A4125">
          <w:rPr>
            <w:rStyle w:val="af1"/>
            <w:lang w:val="en-US"/>
          </w:rPr>
          <w:t>C</w:t>
        </w:r>
        <w:r w:rsidRPr="007000CF">
          <w:rPr>
            <w:rStyle w:val="af1"/>
          </w:rPr>
          <w:t>/</w:t>
        </w:r>
        <w:r w:rsidRPr="007A4125">
          <w:rPr>
            <w:rStyle w:val="af1"/>
            <w:lang w:val="en-US"/>
          </w:rPr>
          <w:t>OPSC</w:t>
        </w:r>
        <w:r w:rsidRPr="007000CF">
          <w:rPr>
            <w:rStyle w:val="af1"/>
          </w:rPr>
          <w:t>/</w:t>
        </w:r>
        <w:r w:rsidRPr="007A4125">
          <w:rPr>
            <w:rStyle w:val="af1"/>
            <w:lang w:val="en-US"/>
          </w:rPr>
          <w:t>KGZ</w:t>
        </w:r>
        <w:r w:rsidRPr="007000CF">
          <w:rPr>
            <w:rStyle w:val="af1"/>
          </w:rPr>
          <w:t>/</w:t>
        </w:r>
        <w:r w:rsidRPr="007A4125">
          <w:rPr>
            <w:rStyle w:val="af1"/>
            <w:lang w:val="en-US"/>
          </w:rPr>
          <w:t>CO</w:t>
        </w:r>
        <w:r w:rsidRPr="007000CF">
          <w:rPr>
            <w:rStyle w:val="af1"/>
          </w:rPr>
          <w:t>/1</w:t>
        </w:r>
      </w:hyperlink>
      <w:r w:rsidRPr="007000CF">
        <w:t>.</w:t>
      </w:r>
    </w:p>
  </w:footnote>
  <w:footnote w:id="6">
    <w:p w14:paraId="13336F8F" w14:textId="2CE892B4" w:rsidR="007A4125" w:rsidRPr="007A4125" w:rsidRDefault="007A4125" w:rsidP="007A4125">
      <w:pPr>
        <w:pStyle w:val="ad"/>
        <w:rPr>
          <w:lang w:val="en-US"/>
        </w:rPr>
      </w:pPr>
      <w:r w:rsidRPr="007000CF">
        <w:tab/>
      </w:r>
      <w:r w:rsidRPr="00CE0C99">
        <w:rPr>
          <w:rStyle w:val="aa"/>
        </w:rPr>
        <w:footnoteRef/>
      </w:r>
      <w:r w:rsidRPr="00B731EB">
        <w:rPr>
          <w:lang w:val="en-US"/>
        </w:rPr>
        <w:t xml:space="preserve"> </w:t>
      </w:r>
      <w:r w:rsidRPr="00B731EB">
        <w:rPr>
          <w:lang w:val="en-US"/>
        </w:rPr>
        <w:tab/>
      </w:r>
      <w:hyperlink r:id="rId3" w:history="1">
        <w:r w:rsidRPr="007A4125">
          <w:rPr>
            <w:rStyle w:val="af1"/>
            <w:lang w:val="en-US"/>
          </w:rPr>
          <w:t>CRC/C/KGZ/CO/3-4</w:t>
        </w:r>
      </w:hyperlink>
      <w:r w:rsidRPr="00B731EB">
        <w:rPr>
          <w:lang w:val="en-US"/>
        </w:rPr>
        <w:t xml:space="preserve">, </w:t>
      </w:r>
      <w:r>
        <w:t>п</w:t>
      </w:r>
      <w:r w:rsidRPr="00B731EB">
        <w:rPr>
          <w:lang w:val="en-US"/>
        </w:rPr>
        <w:t>. 65.</w:t>
      </w:r>
    </w:p>
  </w:footnote>
  <w:footnote w:id="7">
    <w:p w14:paraId="374B8775" w14:textId="3A35EF21" w:rsidR="007A4125" w:rsidRPr="007A4125" w:rsidRDefault="007A4125" w:rsidP="007A4125">
      <w:pPr>
        <w:pStyle w:val="ad"/>
        <w:rPr>
          <w:lang w:val="en-US"/>
        </w:rPr>
      </w:pPr>
      <w:r w:rsidRPr="00B731EB">
        <w:rPr>
          <w:lang w:val="en-US"/>
        </w:rPr>
        <w:tab/>
      </w:r>
      <w:r w:rsidRPr="00CE0C99">
        <w:rPr>
          <w:rStyle w:val="aa"/>
        </w:rPr>
        <w:footnoteRef/>
      </w:r>
      <w:r w:rsidRPr="00B731EB">
        <w:rPr>
          <w:lang w:val="en-US"/>
        </w:rPr>
        <w:t xml:space="preserve"> </w:t>
      </w:r>
      <w:r w:rsidRPr="00B731EB">
        <w:rPr>
          <w:lang w:val="en-US"/>
        </w:rPr>
        <w:tab/>
      </w:r>
      <w:hyperlink r:id="rId4" w:history="1">
        <w:r w:rsidRPr="007A4125">
          <w:rPr>
            <w:rStyle w:val="af1"/>
            <w:lang w:val="en-US"/>
          </w:rPr>
          <w:t>CRC/C/OPAC/KGZ/CO/1</w:t>
        </w:r>
      </w:hyperlink>
      <w:r w:rsidRPr="00B731EB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C43A" w14:textId="35CF769D" w:rsidR="007A4125" w:rsidRPr="007A4125" w:rsidRDefault="007000CF">
    <w:pPr>
      <w:pStyle w:val="a5"/>
    </w:pPr>
    <w:fldSimple w:instr=" TITLE  \* MERGEFORMAT ">
      <w:r w:rsidR="00B1717D">
        <w:t>CRC/C/KGZ/Q/5-6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17AE" w14:textId="515F0C47" w:rsidR="007A4125" w:rsidRPr="007A4125" w:rsidRDefault="007000CF" w:rsidP="007A4125">
    <w:pPr>
      <w:pStyle w:val="a5"/>
      <w:jc w:val="right"/>
    </w:pPr>
    <w:fldSimple w:instr=" TITLE  \* MERGEFORMAT ">
      <w:r w:rsidR="00B1717D">
        <w:t>CRC/C/KGZ/Q/5-6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70470167">
    <w:abstractNumId w:val="16"/>
  </w:num>
  <w:num w:numId="2" w16cid:durableId="329603356">
    <w:abstractNumId w:val="11"/>
  </w:num>
  <w:num w:numId="3" w16cid:durableId="578367143">
    <w:abstractNumId w:val="10"/>
  </w:num>
  <w:num w:numId="4" w16cid:durableId="1002010160">
    <w:abstractNumId w:val="17"/>
  </w:num>
  <w:num w:numId="5" w16cid:durableId="1854101634">
    <w:abstractNumId w:val="13"/>
  </w:num>
  <w:num w:numId="6" w16cid:durableId="150410535">
    <w:abstractNumId w:val="8"/>
  </w:num>
  <w:num w:numId="7" w16cid:durableId="1411081082">
    <w:abstractNumId w:val="3"/>
  </w:num>
  <w:num w:numId="8" w16cid:durableId="1709142470">
    <w:abstractNumId w:val="2"/>
  </w:num>
  <w:num w:numId="9" w16cid:durableId="732895325">
    <w:abstractNumId w:val="1"/>
  </w:num>
  <w:num w:numId="10" w16cid:durableId="1416633230">
    <w:abstractNumId w:val="0"/>
  </w:num>
  <w:num w:numId="11" w16cid:durableId="1374119035">
    <w:abstractNumId w:val="9"/>
  </w:num>
  <w:num w:numId="12" w16cid:durableId="1309168741">
    <w:abstractNumId w:val="7"/>
  </w:num>
  <w:num w:numId="13" w16cid:durableId="1995060887">
    <w:abstractNumId w:val="6"/>
  </w:num>
  <w:num w:numId="14" w16cid:durableId="1785494465">
    <w:abstractNumId w:val="5"/>
  </w:num>
  <w:num w:numId="15" w16cid:durableId="809706719">
    <w:abstractNumId w:val="4"/>
  </w:num>
  <w:num w:numId="16" w16cid:durableId="434908261">
    <w:abstractNumId w:val="15"/>
  </w:num>
  <w:num w:numId="17" w16cid:durableId="1702054703">
    <w:abstractNumId w:val="12"/>
  </w:num>
  <w:num w:numId="18" w16cid:durableId="1343122951">
    <w:abstractNumId w:val="14"/>
  </w:num>
  <w:num w:numId="19" w16cid:durableId="2050497545">
    <w:abstractNumId w:val="15"/>
  </w:num>
  <w:num w:numId="20" w16cid:durableId="2075812615">
    <w:abstractNumId w:val="12"/>
  </w:num>
  <w:num w:numId="21" w16cid:durableId="744961653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FB"/>
    <w:rsid w:val="00033EE1"/>
    <w:rsid w:val="00042B72"/>
    <w:rsid w:val="000558BD"/>
    <w:rsid w:val="000B57E7"/>
    <w:rsid w:val="000B6373"/>
    <w:rsid w:val="000F09DF"/>
    <w:rsid w:val="000F61B2"/>
    <w:rsid w:val="001075E9"/>
    <w:rsid w:val="0011585E"/>
    <w:rsid w:val="00180183"/>
    <w:rsid w:val="0018024D"/>
    <w:rsid w:val="0018649F"/>
    <w:rsid w:val="00196389"/>
    <w:rsid w:val="001B3EF6"/>
    <w:rsid w:val="001C7A89"/>
    <w:rsid w:val="001F3927"/>
    <w:rsid w:val="00284D66"/>
    <w:rsid w:val="002A2EFC"/>
    <w:rsid w:val="002B0FF6"/>
    <w:rsid w:val="002B5B73"/>
    <w:rsid w:val="002B74B1"/>
    <w:rsid w:val="002C0E18"/>
    <w:rsid w:val="002D5AAC"/>
    <w:rsid w:val="002E5067"/>
    <w:rsid w:val="002E685D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81C24"/>
    <w:rsid w:val="00385DF7"/>
    <w:rsid w:val="003958D0"/>
    <w:rsid w:val="00397DFB"/>
    <w:rsid w:val="003B00E5"/>
    <w:rsid w:val="00407B78"/>
    <w:rsid w:val="00424203"/>
    <w:rsid w:val="00452493"/>
    <w:rsid w:val="00453318"/>
    <w:rsid w:val="00454E07"/>
    <w:rsid w:val="00472C5C"/>
    <w:rsid w:val="00476643"/>
    <w:rsid w:val="0050108D"/>
    <w:rsid w:val="00513081"/>
    <w:rsid w:val="00517901"/>
    <w:rsid w:val="00526683"/>
    <w:rsid w:val="00536C20"/>
    <w:rsid w:val="005709E0"/>
    <w:rsid w:val="00572E19"/>
    <w:rsid w:val="005961C8"/>
    <w:rsid w:val="005D7914"/>
    <w:rsid w:val="005E2B41"/>
    <w:rsid w:val="005F0B42"/>
    <w:rsid w:val="00654AB1"/>
    <w:rsid w:val="00681A10"/>
    <w:rsid w:val="006A1ED8"/>
    <w:rsid w:val="006C2031"/>
    <w:rsid w:val="006D461A"/>
    <w:rsid w:val="006F35EE"/>
    <w:rsid w:val="007000CF"/>
    <w:rsid w:val="007021FF"/>
    <w:rsid w:val="00712895"/>
    <w:rsid w:val="00757357"/>
    <w:rsid w:val="007A4125"/>
    <w:rsid w:val="007B4656"/>
    <w:rsid w:val="007C7EAA"/>
    <w:rsid w:val="00806737"/>
    <w:rsid w:val="00825F8D"/>
    <w:rsid w:val="00834B71"/>
    <w:rsid w:val="0086445C"/>
    <w:rsid w:val="008919FB"/>
    <w:rsid w:val="00894693"/>
    <w:rsid w:val="008A08D7"/>
    <w:rsid w:val="008B6909"/>
    <w:rsid w:val="00906890"/>
    <w:rsid w:val="00911BE4"/>
    <w:rsid w:val="0093557E"/>
    <w:rsid w:val="00951972"/>
    <w:rsid w:val="009608F3"/>
    <w:rsid w:val="009A24AC"/>
    <w:rsid w:val="00A10705"/>
    <w:rsid w:val="00A14DA8"/>
    <w:rsid w:val="00A312BC"/>
    <w:rsid w:val="00A65BF1"/>
    <w:rsid w:val="00A84021"/>
    <w:rsid w:val="00A84D35"/>
    <w:rsid w:val="00A917B3"/>
    <w:rsid w:val="00AB4B51"/>
    <w:rsid w:val="00B10CC7"/>
    <w:rsid w:val="00B1717D"/>
    <w:rsid w:val="00B36DF7"/>
    <w:rsid w:val="00B539E7"/>
    <w:rsid w:val="00B55AFB"/>
    <w:rsid w:val="00B62458"/>
    <w:rsid w:val="00B937DF"/>
    <w:rsid w:val="00BA684A"/>
    <w:rsid w:val="00BC18B2"/>
    <w:rsid w:val="00BD33EE"/>
    <w:rsid w:val="00C106D6"/>
    <w:rsid w:val="00C45D65"/>
    <w:rsid w:val="00C60F0C"/>
    <w:rsid w:val="00C805C9"/>
    <w:rsid w:val="00C92939"/>
    <w:rsid w:val="00CA1679"/>
    <w:rsid w:val="00CB151C"/>
    <w:rsid w:val="00CE5A1A"/>
    <w:rsid w:val="00CF55F6"/>
    <w:rsid w:val="00D121D2"/>
    <w:rsid w:val="00D33D63"/>
    <w:rsid w:val="00D53C43"/>
    <w:rsid w:val="00D90028"/>
    <w:rsid w:val="00D90138"/>
    <w:rsid w:val="00DD78D1"/>
    <w:rsid w:val="00DE32CD"/>
    <w:rsid w:val="00DF71B9"/>
    <w:rsid w:val="00E73F76"/>
    <w:rsid w:val="00E82DC6"/>
    <w:rsid w:val="00EA2C9F"/>
    <w:rsid w:val="00EA420E"/>
    <w:rsid w:val="00ED0BDA"/>
    <w:rsid w:val="00EE112E"/>
    <w:rsid w:val="00EF1360"/>
    <w:rsid w:val="00EF3220"/>
    <w:rsid w:val="00F34187"/>
    <w:rsid w:val="00F3698E"/>
    <w:rsid w:val="00F43903"/>
    <w:rsid w:val="00F94155"/>
    <w:rsid w:val="00F9783F"/>
    <w:rsid w:val="00FB098B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6E2A0"/>
  <w15:docId w15:val="{E45246CD-D74B-42C9-B93D-51191C41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85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E112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45D65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E112E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45D65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E112E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E112E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E112E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E112E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45D65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E112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E112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E112E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E112E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E112E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E112E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E112E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E112E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E112E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2E685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E112E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E112E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E112E"/>
  </w:style>
  <w:style w:type="character" w:customStyle="1" w:styleId="af0">
    <w:name w:val="Текст концевой сноски Знак"/>
    <w:aliases w:val="2_G Знак"/>
    <w:basedOn w:val="a0"/>
    <w:link w:val="af"/>
    <w:rsid w:val="00EE112E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E112E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E112E"/>
    <w:rPr>
      <w:color w:val="0000FF" w:themeColor="hyperlink"/>
      <w:u w:val="none"/>
    </w:rPr>
  </w:style>
  <w:style w:type="character" w:styleId="af2">
    <w:name w:val="FollowedHyperlink"/>
    <w:basedOn w:val="a0"/>
    <w:rsid w:val="00EE112E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7A4125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7A4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docs.org/ru/CRC/C/KGZ/CO/3-4" TargetMode="External"/><Relationship Id="rId2" Type="http://schemas.openxmlformats.org/officeDocument/2006/relationships/hyperlink" Target="http://undocs.org/ru/CRC/C/OPSC/KGZ/CO/1" TargetMode="External"/><Relationship Id="rId1" Type="http://schemas.openxmlformats.org/officeDocument/2006/relationships/hyperlink" Target="http://undocs.org/ru/CRC/C/KGZ/CO/3-4" TargetMode="External"/><Relationship Id="rId4" Type="http://schemas.openxmlformats.org/officeDocument/2006/relationships/hyperlink" Target="http://undocs.org/ru/CRC/C/OPAC/KGZ/CO/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1</TotalTime>
  <Pages>5</Pages>
  <Words>1438</Words>
  <Characters>9908</Characters>
  <Application>Microsoft Office Word</Application>
  <DocSecurity>0</DocSecurity>
  <Lines>206</Lines>
  <Paragraphs>103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CRC/C/KGZ/Q/5-6</vt:lpstr>
      <vt:lpstr>A/</vt:lpstr>
      <vt:lpstr>A/</vt:lpstr>
    </vt:vector>
  </TitlesOfParts>
  <Company>DCM</Company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CRC/C/KGZ/Q/5-6</dc:title>
  <dc:subject/>
  <dc:creator>Elena IZOTOVA</dc:creator>
  <cp:keywords/>
  <cp:lastModifiedBy>Elena Izotova</cp:lastModifiedBy>
  <cp:revision>3</cp:revision>
  <cp:lastPrinted>2023-03-31T15:48:00Z</cp:lastPrinted>
  <dcterms:created xsi:type="dcterms:W3CDTF">2023-03-31T15:48:00Z</dcterms:created>
  <dcterms:modified xsi:type="dcterms:W3CDTF">2023-03-31T15:48:00Z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