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</w:t>
            </w:r>
            <w:r w:rsidR="00470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0A2967" w:rsidP="000A2967">
            <w:pPr>
              <w:suppressAutoHyphens w:val="0"/>
              <w:spacing w:after="20"/>
              <w:jc w:val="right"/>
            </w:pPr>
            <w:r w:rsidRPr="000A2967">
              <w:rPr>
                <w:sz w:val="40"/>
              </w:rPr>
              <w:t>CRC</w:t>
            </w:r>
            <w:r>
              <w:t>/C/COK/RQ/2-</w:t>
            </w:r>
            <w:r w:rsidR="009E15B6">
              <w:t>5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</w:t>
            </w:r>
            <w:r w:rsidR="00470EBF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on</w:t>
            </w:r>
            <w:r w:rsidR="00470EBF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>
              <w:rPr>
                <w:b/>
                <w:sz w:val="40"/>
                <w:szCs w:val="40"/>
              </w:rPr>
              <w:br/>
              <w:t>Rights</w:t>
            </w:r>
            <w:r w:rsidR="00470EBF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of</w:t>
            </w:r>
            <w:r w:rsidR="00470EBF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 w:rsidR="00470EBF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0A2967" w:rsidP="000A2967">
            <w:pPr>
              <w:spacing w:before="240"/>
            </w:pPr>
            <w:r>
              <w:t>Distr.:</w:t>
            </w:r>
            <w:r w:rsidR="00470EBF">
              <w:t xml:space="preserve"> </w:t>
            </w:r>
            <w:r>
              <w:t>General</w:t>
            </w:r>
          </w:p>
          <w:p w:rsidR="000A2967" w:rsidRDefault="003B4F98" w:rsidP="000A2967">
            <w:pPr>
              <w:suppressAutoHyphens w:val="0"/>
            </w:pPr>
            <w:r>
              <w:t>30</w:t>
            </w:r>
            <w:r w:rsidR="00470EBF">
              <w:t xml:space="preserve"> </w:t>
            </w:r>
            <w:r w:rsidR="000A2967">
              <w:t>January</w:t>
            </w:r>
            <w:r w:rsidR="00470EBF">
              <w:t xml:space="preserve"> </w:t>
            </w:r>
            <w:r w:rsidR="000A2967">
              <w:t>2020</w:t>
            </w:r>
          </w:p>
          <w:p w:rsidR="000A2967" w:rsidRDefault="000A2967" w:rsidP="000A2967">
            <w:pPr>
              <w:suppressAutoHyphens w:val="0"/>
            </w:pPr>
          </w:p>
          <w:p w:rsidR="000A2967" w:rsidRDefault="000A2967" w:rsidP="000A2967">
            <w:pPr>
              <w:suppressAutoHyphens w:val="0"/>
            </w:pPr>
            <w:r>
              <w:t>Original:</w:t>
            </w:r>
            <w:r w:rsidR="00470EBF">
              <w:t xml:space="preserve"> </w:t>
            </w:r>
            <w:r>
              <w:t>English</w:t>
            </w:r>
          </w:p>
          <w:p w:rsidR="000A2967" w:rsidRDefault="000A2967" w:rsidP="000A2967">
            <w:pPr>
              <w:suppressAutoHyphens w:val="0"/>
            </w:pPr>
            <w:r>
              <w:t>English,</w:t>
            </w:r>
            <w:r w:rsidR="00470EBF">
              <w:t xml:space="preserve"> </w:t>
            </w:r>
            <w:r>
              <w:t>French</w:t>
            </w:r>
            <w:r w:rsidR="00470EBF">
              <w:t xml:space="preserve"> </w:t>
            </w:r>
            <w:r>
              <w:t>and</w:t>
            </w:r>
            <w:r w:rsidR="00470EBF">
              <w:t xml:space="preserve"> </w:t>
            </w:r>
            <w:r>
              <w:t>Spanish</w:t>
            </w:r>
            <w:r w:rsidR="00470EBF">
              <w:t xml:space="preserve"> </w:t>
            </w:r>
            <w:r>
              <w:t>only</w:t>
            </w:r>
          </w:p>
        </w:tc>
      </w:tr>
    </w:tbl>
    <w:p w:rsidR="000A2967" w:rsidRPr="000A2967" w:rsidRDefault="000A2967" w:rsidP="000A2967">
      <w:pPr>
        <w:spacing w:before="120"/>
        <w:rPr>
          <w:b/>
          <w:bCs/>
          <w:sz w:val="24"/>
          <w:szCs w:val="24"/>
        </w:rPr>
      </w:pPr>
      <w:r w:rsidRPr="000A2967">
        <w:rPr>
          <w:b/>
          <w:bCs/>
          <w:sz w:val="24"/>
          <w:szCs w:val="24"/>
        </w:rPr>
        <w:t>Committee</w:t>
      </w:r>
      <w:r w:rsidR="00470EBF">
        <w:rPr>
          <w:b/>
          <w:bCs/>
          <w:sz w:val="24"/>
          <w:szCs w:val="24"/>
        </w:rPr>
        <w:t xml:space="preserve"> </w:t>
      </w:r>
      <w:r w:rsidRPr="000A2967">
        <w:rPr>
          <w:b/>
          <w:bCs/>
          <w:sz w:val="24"/>
          <w:szCs w:val="24"/>
        </w:rPr>
        <w:t>on</w:t>
      </w:r>
      <w:r w:rsidR="00470EBF">
        <w:rPr>
          <w:b/>
          <w:bCs/>
          <w:sz w:val="24"/>
          <w:szCs w:val="24"/>
        </w:rPr>
        <w:t xml:space="preserve"> </w:t>
      </w:r>
      <w:r w:rsidRPr="000A2967">
        <w:rPr>
          <w:b/>
          <w:bCs/>
          <w:sz w:val="24"/>
          <w:szCs w:val="24"/>
        </w:rPr>
        <w:t>the</w:t>
      </w:r>
      <w:r w:rsidR="00470EBF">
        <w:rPr>
          <w:b/>
          <w:bCs/>
          <w:sz w:val="24"/>
          <w:szCs w:val="24"/>
        </w:rPr>
        <w:t xml:space="preserve"> </w:t>
      </w:r>
      <w:r w:rsidRPr="000A2967">
        <w:rPr>
          <w:b/>
          <w:bCs/>
          <w:sz w:val="24"/>
          <w:szCs w:val="24"/>
        </w:rPr>
        <w:t>Rights</w:t>
      </w:r>
      <w:r w:rsidR="00470EBF">
        <w:rPr>
          <w:b/>
          <w:bCs/>
          <w:sz w:val="24"/>
          <w:szCs w:val="24"/>
        </w:rPr>
        <w:t xml:space="preserve"> </w:t>
      </w:r>
      <w:r w:rsidRPr="000A2967">
        <w:rPr>
          <w:b/>
          <w:bCs/>
          <w:sz w:val="24"/>
          <w:szCs w:val="24"/>
        </w:rPr>
        <w:t>of</w:t>
      </w:r>
      <w:r w:rsidR="00470EBF">
        <w:rPr>
          <w:b/>
          <w:bCs/>
          <w:sz w:val="24"/>
          <w:szCs w:val="24"/>
        </w:rPr>
        <w:t xml:space="preserve"> </w:t>
      </w:r>
      <w:r w:rsidRPr="000A2967">
        <w:rPr>
          <w:b/>
          <w:bCs/>
          <w:sz w:val="24"/>
          <w:szCs w:val="24"/>
        </w:rPr>
        <w:t>the</w:t>
      </w:r>
      <w:r w:rsidR="00470EBF">
        <w:rPr>
          <w:b/>
          <w:bCs/>
          <w:sz w:val="24"/>
          <w:szCs w:val="24"/>
        </w:rPr>
        <w:t xml:space="preserve"> </w:t>
      </w:r>
      <w:r w:rsidRPr="000A2967">
        <w:rPr>
          <w:b/>
          <w:bCs/>
          <w:sz w:val="24"/>
          <w:szCs w:val="24"/>
        </w:rPr>
        <w:t>Child</w:t>
      </w:r>
    </w:p>
    <w:p w:rsidR="000A2967" w:rsidRPr="000A2967" w:rsidRDefault="000A2967" w:rsidP="000A2967">
      <w:pPr>
        <w:rPr>
          <w:b/>
          <w:bCs/>
        </w:rPr>
      </w:pPr>
      <w:r w:rsidRPr="000A2967">
        <w:rPr>
          <w:b/>
          <w:bCs/>
        </w:rPr>
        <w:t>Eighty-third</w:t>
      </w:r>
      <w:r w:rsidR="00470EBF">
        <w:rPr>
          <w:b/>
          <w:bCs/>
        </w:rPr>
        <w:t xml:space="preserve"> </w:t>
      </w:r>
      <w:r w:rsidRPr="000A2967">
        <w:rPr>
          <w:b/>
          <w:bCs/>
        </w:rPr>
        <w:t>session</w:t>
      </w:r>
    </w:p>
    <w:p w:rsidR="000A2967" w:rsidRPr="00A413B4" w:rsidRDefault="000A2967" w:rsidP="000A2967">
      <w:r w:rsidRPr="00A413B4">
        <w:t>20</w:t>
      </w:r>
      <w:r w:rsidR="00470EBF">
        <w:t xml:space="preserve"> </w:t>
      </w:r>
      <w:r w:rsidRPr="00A413B4">
        <w:t>January–7</w:t>
      </w:r>
      <w:r w:rsidR="00470EBF">
        <w:t xml:space="preserve"> </w:t>
      </w:r>
      <w:r w:rsidRPr="00A413B4">
        <w:t>February</w:t>
      </w:r>
      <w:r w:rsidR="00470EBF">
        <w:t xml:space="preserve"> </w:t>
      </w:r>
      <w:r w:rsidRPr="00A413B4">
        <w:t>2020</w:t>
      </w:r>
    </w:p>
    <w:p w:rsidR="000A2967" w:rsidRPr="00A413B4" w:rsidRDefault="00C11919" w:rsidP="000A2967">
      <w:r>
        <w:t>Agenda i</w:t>
      </w:r>
      <w:r w:rsidR="000A2967" w:rsidRPr="00A413B4">
        <w:t>tem</w:t>
      </w:r>
      <w:r w:rsidR="00470EBF">
        <w:t xml:space="preserve"> </w:t>
      </w:r>
      <w:r w:rsidR="000A2967" w:rsidRPr="00A413B4">
        <w:t>4</w:t>
      </w:r>
      <w:r w:rsidR="00470EBF">
        <w:t xml:space="preserve"> </w:t>
      </w:r>
    </w:p>
    <w:p w:rsidR="000A2967" w:rsidRPr="000A2967" w:rsidRDefault="000A2967" w:rsidP="000A2967">
      <w:pPr>
        <w:rPr>
          <w:b/>
          <w:bCs/>
        </w:rPr>
      </w:pPr>
      <w:r w:rsidRPr="000A2967">
        <w:rPr>
          <w:b/>
          <w:bCs/>
        </w:rPr>
        <w:t>Consideration</w:t>
      </w:r>
      <w:r w:rsidR="00470EBF">
        <w:rPr>
          <w:b/>
          <w:bCs/>
        </w:rPr>
        <w:t xml:space="preserve"> </w:t>
      </w:r>
      <w:r w:rsidRPr="000A2967">
        <w:rPr>
          <w:b/>
          <w:bCs/>
        </w:rPr>
        <w:t>of</w:t>
      </w:r>
      <w:r w:rsidR="00470EBF">
        <w:rPr>
          <w:b/>
          <w:bCs/>
        </w:rPr>
        <w:t xml:space="preserve"> </w:t>
      </w:r>
      <w:r w:rsidRPr="000A2967">
        <w:rPr>
          <w:b/>
          <w:bCs/>
        </w:rPr>
        <w:t>reports</w:t>
      </w:r>
      <w:r w:rsidR="00470EBF">
        <w:rPr>
          <w:b/>
          <w:bCs/>
        </w:rPr>
        <w:t xml:space="preserve"> </w:t>
      </w:r>
      <w:r w:rsidRPr="000A2967">
        <w:rPr>
          <w:b/>
          <w:bCs/>
        </w:rPr>
        <w:t>of</w:t>
      </w:r>
      <w:r w:rsidR="00470EBF">
        <w:rPr>
          <w:b/>
          <w:bCs/>
        </w:rPr>
        <w:t xml:space="preserve"> </w:t>
      </w:r>
      <w:r w:rsidRPr="000A2967">
        <w:rPr>
          <w:b/>
          <w:bCs/>
        </w:rPr>
        <w:t>States</w:t>
      </w:r>
      <w:r w:rsidR="00470EBF">
        <w:rPr>
          <w:b/>
          <w:bCs/>
        </w:rPr>
        <w:t xml:space="preserve"> </w:t>
      </w:r>
      <w:r w:rsidRPr="000A2967">
        <w:rPr>
          <w:b/>
          <w:bCs/>
        </w:rPr>
        <w:t>parties</w:t>
      </w:r>
    </w:p>
    <w:p w:rsidR="000A2967" w:rsidRPr="00A413B4" w:rsidRDefault="000A2967" w:rsidP="00831531">
      <w:pPr>
        <w:pStyle w:val="HChG"/>
      </w:pPr>
      <w:r w:rsidRPr="00A413B4">
        <w:tab/>
      </w:r>
      <w:r w:rsidRPr="00A413B4">
        <w:tab/>
        <w:t>Replies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relation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its</w:t>
      </w:r>
      <w:r w:rsidR="00470EBF">
        <w:t xml:space="preserve"> </w:t>
      </w:r>
      <w:r w:rsidRPr="00A413B4">
        <w:t>combined</w:t>
      </w:r>
      <w:r w:rsidR="00470EBF">
        <w:t xml:space="preserve"> </w:t>
      </w:r>
      <w:r w:rsidRPr="00A413B4">
        <w:t>second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fifth</w:t>
      </w:r>
      <w:r w:rsidR="00470EBF">
        <w:t xml:space="preserve"> </w:t>
      </w:r>
      <w:r w:rsidRPr="00A413B4">
        <w:t>periodic</w:t>
      </w:r>
      <w:r w:rsidR="00470EBF">
        <w:t xml:space="preserve"> </w:t>
      </w:r>
      <w:r w:rsidRPr="00A413B4">
        <w:t>reports</w:t>
      </w:r>
      <w:r w:rsidR="00C26914" w:rsidRPr="00C2691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A2967" w:rsidRPr="00A413B4" w:rsidRDefault="000A2967" w:rsidP="00831531">
      <w:pPr>
        <w:pStyle w:val="SingleTxtG"/>
        <w:jc w:val="right"/>
      </w:pPr>
      <w:r w:rsidRPr="00A413B4">
        <w:t>[Date</w:t>
      </w:r>
      <w:r w:rsidR="00470EBF">
        <w:t xml:space="preserve"> </w:t>
      </w:r>
      <w:r w:rsidRPr="00A413B4">
        <w:t>received:</w:t>
      </w:r>
      <w:r w:rsidR="00470EBF">
        <w:t xml:space="preserve"> </w:t>
      </w:r>
      <w:r w:rsidRPr="00A413B4">
        <w:t>17</w:t>
      </w:r>
      <w:r w:rsidR="00470EBF">
        <w:t xml:space="preserve"> </w:t>
      </w:r>
      <w:r w:rsidRPr="00A413B4">
        <w:t>October</w:t>
      </w:r>
      <w:r w:rsidR="00470EBF">
        <w:t xml:space="preserve"> </w:t>
      </w:r>
      <w:r w:rsidRPr="00A413B4">
        <w:t>2019]</w:t>
      </w:r>
    </w:p>
    <w:p w:rsidR="000A2967" w:rsidRPr="00A413B4" w:rsidRDefault="000A2967" w:rsidP="000A2967">
      <w:r w:rsidRPr="00A413B4">
        <w:br w:type="page"/>
      </w:r>
    </w:p>
    <w:p w:rsidR="000A2967" w:rsidRPr="00A413B4" w:rsidRDefault="000A2967" w:rsidP="00C26914">
      <w:pPr>
        <w:pStyle w:val="H1G"/>
      </w:pPr>
      <w:r w:rsidRPr="00A413B4">
        <w:lastRenderedPageBreak/>
        <w:tab/>
        <w:t>A.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  <w:r w:rsidRPr="00A413B4">
        <w:t>(CRC/C/COK/Q/2-5)</w:t>
      </w:r>
    </w:p>
    <w:p w:rsidR="000A2967" w:rsidRPr="00A413B4" w:rsidRDefault="000A2967" w:rsidP="00C26914">
      <w:pPr>
        <w:pStyle w:val="SingleTxtG"/>
      </w:pPr>
      <w:r w:rsidRPr="00A413B4">
        <w:t>1.</w:t>
      </w:r>
      <w:r w:rsidRPr="00A413B4">
        <w:tab/>
        <w:t>Pending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withdrawal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reservations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declaration,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consideration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formally</w:t>
      </w:r>
      <w:r w:rsidR="00470EBF">
        <w:t xml:space="preserve"> </w:t>
      </w:r>
      <w:r w:rsidRPr="00A413B4">
        <w:t>follow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withdrawal</w:t>
      </w:r>
      <w:r w:rsidR="00470EBF">
        <w:t xml:space="preserve"> </w:t>
      </w:r>
      <w:r w:rsidRPr="00A413B4">
        <w:t>process</w:t>
      </w:r>
      <w:r w:rsidR="00470EBF">
        <w:t xml:space="preserve"> </w:t>
      </w:r>
      <w:r w:rsidRPr="00A413B4">
        <w:t>once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key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come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agreement.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practice,</w:t>
      </w:r>
      <w:r w:rsidR="00470EBF">
        <w:t xml:space="preserve"> </w:t>
      </w:r>
      <w:r w:rsidRPr="00A413B4">
        <w:t>progress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made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ensuring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regardless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background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discriminated</w:t>
      </w:r>
      <w:r w:rsidR="00470EBF">
        <w:t xml:space="preserve"> </w:t>
      </w:r>
      <w:r w:rsidRPr="00A413B4">
        <w:t>especially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adoption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where</w:t>
      </w:r>
      <w:r w:rsidR="00470EBF">
        <w:t xml:space="preserve"> </w:t>
      </w:r>
      <w:r w:rsidRPr="00A413B4">
        <w:t>inheritance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concerned.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2.</w:t>
      </w:r>
      <w:r w:rsidRPr="00A413B4">
        <w:tab/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Act,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capacity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underway.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2019,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conducted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Act</w:t>
      </w:r>
      <w:r w:rsidR="00470EBF">
        <w:t xml:space="preserve"> </w:t>
      </w:r>
      <w:r w:rsidRPr="00A413B4">
        <w:t>bringing</w:t>
      </w:r>
      <w:r w:rsidR="00470EBF">
        <w:t xml:space="preserve"> </w:t>
      </w:r>
      <w:r w:rsidRPr="00A413B4">
        <w:t>together</w:t>
      </w:r>
      <w:r w:rsidR="00470EBF">
        <w:t xml:space="preserve"> </w:t>
      </w:r>
      <w:r w:rsidRPr="00A413B4">
        <w:t>lawyers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representatives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ministries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Justice,</w:t>
      </w:r>
      <w:r w:rsidR="00470EBF">
        <w:t xml:space="preserve"> </w:t>
      </w:r>
      <w:r w:rsidRPr="00A413B4">
        <w:t>Crown</w:t>
      </w:r>
      <w:r w:rsidR="00470EBF">
        <w:t xml:space="preserve"> </w:t>
      </w:r>
      <w:r w:rsidRPr="00A413B4">
        <w:t>Law</w:t>
      </w:r>
      <w:r w:rsidR="00470EBF">
        <w:t xml:space="preserve"> </w:t>
      </w:r>
      <w:r w:rsidRPr="00A413B4">
        <w:t>Office,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Affairs,</w:t>
      </w:r>
      <w:r w:rsidR="00470EBF">
        <w:t xml:space="preserve"> </w:t>
      </w:r>
      <w:r w:rsidRPr="00A413B4">
        <w:t>Education,</w:t>
      </w:r>
      <w:r w:rsidR="00470EBF">
        <w:t xml:space="preserve"> </w:t>
      </w:r>
      <w:r w:rsidRPr="00A413B4">
        <w:t>Health,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well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NGO</w:t>
      </w:r>
      <w:r w:rsidR="00470EBF">
        <w:t xml:space="preserve"> </w:t>
      </w:r>
      <w:r w:rsidRPr="00A413B4">
        <w:t>stakeholders.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aim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raise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Act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strengthen</w:t>
      </w:r>
      <w:r w:rsidR="00470EBF">
        <w:t xml:space="preserve"> </w:t>
      </w:r>
      <w:r w:rsidRPr="00A413B4">
        <w:t>stakeholder</w:t>
      </w:r>
      <w:r w:rsidR="00470EBF">
        <w:t xml:space="preserve"> </w:t>
      </w:r>
      <w:r w:rsidRPr="00A413B4">
        <w:t>knowledge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different</w:t>
      </w:r>
      <w:r w:rsidR="00470EBF">
        <w:t xml:space="preserve"> </w:t>
      </w:r>
      <w:r w:rsidRPr="00A413B4">
        <w:t>roles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implementing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Act.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3.</w:t>
      </w:r>
      <w:r w:rsidRPr="00A413B4">
        <w:tab/>
        <w:t>In</w:t>
      </w:r>
      <w:r w:rsidR="00470EBF">
        <w:t xml:space="preserve"> </w:t>
      </w:r>
      <w:r w:rsidRPr="00A413B4">
        <w:t>August</w:t>
      </w:r>
      <w:r w:rsidR="00470EBF">
        <w:t xml:space="preserve"> </w:t>
      </w:r>
      <w:r w:rsidRPr="00A413B4">
        <w:t>2019,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Pacific</w:t>
      </w:r>
      <w:r w:rsidR="00470EBF">
        <w:t xml:space="preserve"> </w:t>
      </w:r>
      <w:r w:rsidRPr="00A413B4">
        <w:t>Community</w:t>
      </w:r>
      <w:r w:rsidR="00470EBF">
        <w:t xml:space="preserve"> </w:t>
      </w:r>
      <w:r w:rsidRPr="00A413B4">
        <w:t>Regional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Resource</w:t>
      </w:r>
      <w:r w:rsidR="00470EBF">
        <w:t xml:space="preserve"> </w:t>
      </w:r>
      <w:r w:rsidRPr="00A413B4">
        <w:t>Team</w:t>
      </w:r>
      <w:r w:rsidR="00470EBF">
        <w:t xml:space="preserve"> </w:t>
      </w:r>
      <w:r w:rsidRPr="00A413B4">
        <w:t>developed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draft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Act.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joint</w:t>
      </w:r>
      <w:r w:rsidR="00470EBF">
        <w:t xml:space="preserve"> </w:t>
      </w:r>
      <w:r w:rsidRPr="00A413B4">
        <w:t>technical</w:t>
      </w:r>
      <w:r w:rsidR="00470EBF">
        <w:t xml:space="preserve"> </w:t>
      </w:r>
      <w:r w:rsidRPr="00A413B4">
        <w:t>team</w:t>
      </w:r>
      <w:r w:rsidR="00470EBF">
        <w:t xml:space="preserve"> </w:t>
      </w:r>
      <w:r w:rsidRPr="00A413B4">
        <w:t>met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several</w:t>
      </w:r>
      <w:r w:rsidR="00470EBF">
        <w:t xml:space="preserve"> </w:t>
      </w:r>
      <w:r w:rsidRPr="00A413B4">
        <w:t>stakeholders.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now</w:t>
      </w:r>
      <w:r w:rsidR="00470EBF">
        <w:t xml:space="preserve"> </w:t>
      </w:r>
      <w:r w:rsidRPr="00A413B4">
        <w:t>working</w:t>
      </w:r>
      <w:r w:rsidR="00470EBF">
        <w:t xml:space="preserve"> </w:t>
      </w:r>
      <w:r w:rsidRPr="00A413B4">
        <w:t>jointly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Pacific</w:t>
      </w:r>
      <w:r w:rsidR="00470EBF">
        <w:t xml:space="preserve"> </w:t>
      </w:r>
      <w:r w:rsidRPr="00A413B4">
        <w:t>Community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revised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incorporates</w:t>
      </w:r>
      <w:r w:rsidR="00470EBF">
        <w:t xml:space="preserve"> </w:t>
      </w:r>
      <w:r w:rsidRPr="00A413B4">
        <w:t>feedback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stakeholder</w:t>
      </w:r>
      <w:r w:rsidR="00470EBF">
        <w:t xml:space="preserve"> </w:t>
      </w:r>
      <w:r w:rsidRPr="00A413B4">
        <w:t>consultations.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include</w:t>
      </w:r>
      <w:r w:rsidR="00470EBF">
        <w:t xml:space="preserve"> </w:t>
      </w:r>
      <w:r w:rsidRPr="00A413B4">
        <w:t>next</w:t>
      </w:r>
      <w:r w:rsidR="00470EBF">
        <w:t xml:space="preserve"> </w:t>
      </w:r>
      <w:r w:rsidRPr="00A413B4">
        <w:t>steps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time-line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aiming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finalized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November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then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submitted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endorsement.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4.</w:t>
      </w:r>
      <w:r w:rsidRPr="00A413B4">
        <w:tab/>
        <w:t>The</w:t>
      </w:r>
      <w:r w:rsidR="00470EBF">
        <w:t xml:space="preserve"> </w:t>
      </w:r>
      <w:r w:rsidRPr="00A413B4">
        <w:t>first</w:t>
      </w:r>
      <w:r w:rsidR="00470EBF">
        <w:t xml:space="preserve"> </w:t>
      </w:r>
      <w:r w:rsidRPr="00A413B4">
        <w:t>care</w:t>
      </w:r>
      <w:r w:rsidR="00470EBF">
        <w:t xml:space="preserve"> </w:t>
      </w:r>
      <w:r w:rsidRPr="00A413B4">
        <w:t>orders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Act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issued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year,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2019.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established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types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Uipa’anga</w:t>
      </w:r>
      <w:r w:rsidR="00470EBF">
        <w:t xml:space="preserve"> </w:t>
      </w:r>
      <w:r w:rsidRPr="00A413B4">
        <w:t>Kopu</w:t>
      </w:r>
      <w:r w:rsidR="00470EBF">
        <w:t xml:space="preserve"> </w:t>
      </w:r>
      <w:r w:rsidRPr="00A413B4">
        <w:t>Tangata</w:t>
      </w:r>
      <w:r w:rsidR="00470EBF">
        <w:t xml:space="preserve"> </w:t>
      </w:r>
      <w:r w:rsidRPr="00A413B4">
        <w:t>(UKT)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group</w:t>
      </w:r>
      <w:r w:rsidR="00470EBF">
        <w:t xml:space="preserve"> </w:t>
      </w:r>
      <w:r w:rsidRPr="00A413B4">
        <w:t>conferences</w:t>
      </w:r>
      <w:r w:rsidR="00470EBF">
        <w:t xml:space="preserve"> </w:t>
      </w:r>
      <w:r w:rsidRPr="00A413B4">
        <w:t>aimed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bringing</w:t>
      </w:r>
      <w:r w:rsidR="00470EBF">
        <w:t xml:space="preserve"> </w:t>
      </w:r>
      <w:r w:rsidRPr="00A413B4">
        <w:t>families</w:t>
      </w:r>
      <w:r w:rsidR="00470EBF">
        <w:t xml:space="preserve"> </w:t>
      </w:r>
      <w:r w:rsidRPr="00A413B4">
        <w:t>together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concerning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protection,</w:t>
      </w:r>
      <w:r w:rsidR="00470EBF">
        <w:t xml:space="preserve"> </w:t>
      </w:r>
      <w:r w:rsidRPr="00A413B4">
        <w:t>juvenile</w:t>
      </w:r>
      <w:r w:rsidR="00470EBF">
        <w:t xml:space="preserve"> </w:t>
      </w:r>
      <w:r w:rsidRPr="00A413B4">
        <w:t>justice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truancy.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UKT</w:t>
      </w:r>
      <w:r w:rsidR="00470EBF">
        <w:t xml:space="preserve"> </w:t>
      </w:r>
      <w:r w:rsidRPr="00A413B4">
        <w:t>concerned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registered</w:t>
      </w:r>
      <w:r w:rsidR="00470EBF">
        <w:t xml:space="preserve"> </w:t>
      </w:r>
      <w:r w:rsidRPr="00A413B4">
        <w:t>chairperson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member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community,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background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social</w:t>
      </w:r>
      <w:r w:rsidR="00470EBF">
        <w:t xml:space="preserve"> </w:t>
      </w:r>
      <w:r w:rsidRPr="00A413B4">
        <w:t>work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went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process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selection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5.</w:t>
      </w:r>
      <w:r w:rsidRPr="00A413B4">
        <w:tab/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Force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introduced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Safety</w:t>
      </w:r>
      <w:r w:rsidR="00470EBF">
        <w:t xml:space="preserve"> </w:t>
      </w:r>
      <w:r w:rsidRPr="00A413B4">
        <w:t>Order,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aims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protect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women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victims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domestic</w:t>
      </w:r>
      <w:r w:rsidR="00470EBF">
        <w:t xml:space="preserve"> </w:t>
      </w:r>
      <w:r w:rsidRPr="00A413B4">
        <w:t>violence.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aligned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functions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Act.</w:t>
      </w:r>
      <w:r w:rsidR="00A164FB">
        <w:t xml:space="preserve"> </w:t>
      </w:r>
      <w:r w:rsidRPr="00A413B4">
        <w:t>Since</w:t>
      </w:r>
      <w:r w:rsidR="00470EBF">
        <w:t xml:space="preserve"> </w:t>
      </w:r>
      <w:r w:rsidRPr="00A413B4">
        <w:t>January</w:t>
      </w:r>
      <w:r w:rsidR="00470EBF">
        <w:t xml:space="preserve"> </w:t>
      </w:r>
      <w:r w:rsidRPr="00A413B4">
        <w:t>2018,</w:t>
      </w:r>
      <w:r w:rsidR="00470EBF">
        <w:t xml:space="preserve"> </w:t>
      </w:r>
      <w:r w:rsidRPr="00A413B4">
        <w:t>50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Safety</w:t>
      </w:r>
      <w:r w:rsidR="00470EBF">
        <w:t xml:space="preserve"> </w:t>
      </w:r>
      <w:r w:rsidRPr="00A413B4">
        <w:t>Orders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served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offenders</w:t>
      </w:r>
      <w:r w:rsidR="00470EBF">
        <w:t xml:space="preserve"> </w:t>
      </w:r>
      <w:r w:rsidRPr="00A413B4">
        <w:t>where</w:t>
      </w:r>
      <w:r w:rsidR="00470EBF">
        <w:t xml:space="preserve"> </w:t>
      </w:r>
      <w:r w:rsidRPr="00A413B4">
        <w:t>majority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males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primarily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violence.</w:t>
      </w:r>
    </w:p>
    <w:p w:rsidR="000A2967" w:rsidRPr="00A413B4" w:rsidRDefault="000A2967" w:rsidP="00C26914">
      <w:pPr>
        <w:pStyle w:val="SingleTxtG"/>
      </w:pPr>
      <w:r w:rsidRPr="00A413B4">
        <w:t>6.</w:t>
      </w:r>
      <w:r w:rsidRPr="00A413B4">
        <w:tab/>
        <w:t>Key</w:t>
      </w:r>
      <w:r w:rsidR="00470EBF">
        <w:t xml:space="preserve"> </w:t>
      </w:r>
      <w:r w:rsidRPr="00A413B4">
        <w:t>stakeholder</w:t>
      </w:r>
      <w:r w:rsidR="00470EBF">
        <w:t xml:space="preserve"> </w:t>
      </w:r>
      <w:r w:rsidRPr="00A413B4">
        <w:t>meetings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conducted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monthly</w:t>
      </w:r>
      <w:r w:rsidR="00470EBF">
        <w:t xml:space="preserve"> </w:t>
      </w:r>
      <w:r w:rsidRPr="00A413B4">
        <w:t>basis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Ropi’anga</w:t>
      </w:r>
      <w:r w:rsidR="00470EBF">
        <w:t xml:space="preserve"> </w:t>
      </w:r>
      <w:r w:rsidRPr="00A413B4">
        <w:t>Tuatau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consists</w:t>
      </w:r>
      <w:r w:rsidR="00470EBF">
        <w:t xml:space="preserve"> </w:t>
      </w:r>
      <w:r w:rsidRPr="00A413B4">
        <w:t>of</w:t>
      </w:r>
      <w:r w:rsidR="00A164FB">
        <w:t xml:space="preserve"> </w:t>
      </w:r>
      <w:r w:rsidRPr="00A413B4">
        <w:t>representatives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Affairs,</w:t>
      </w:r>
      <w:r w:rsidR="00470EBF">
        <w:t xml:space="preserve"> </w:t>
      </w:r>
      <w:r w:rsidRPr="00A413B4">
        <w:t>Police,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Education,</w:t>
      </w:r>
      <w:r w:rsidR="00470EBF">
        <w:t xml:space="preserve"> </w:t>
      </w:r>
      <w:r w:rsidRPr="00A413B4">
        <w:t>Correction</w:t>
      </w:r>
      <w:r w:rsidR="00470EBF">
        <w:t xml:space="preserve"> </w:t>
      </w:r>
      <w:r w:rsidRPr="00A413B4">
        <w:t>Services,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NGO</w:t>
      </w:r>
      <w:r w:rsidR="00470EBF">
        <w:t xml:space="preserve"> </w:t>
      </w:r>
      <w:r w:rsidRPr="00A413B4">
        <w:t>service</w:t>
      </w:r>
      <w:r w:rsidR="00470EBF">
        <w:t xml:space="preserve"> </w:t>
      </w:r>
      <w:r w:rsidRPr="00A413B4">
        <w:t>providers</w:t>
      </w:r>
      <w:r w:rsidR="00470EBF">
        <w:t xml:space="preserve"> </w:t>
      </w:r>
      <w:r w:rsidRPr="00A413B4">
        <w:t>such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Welfare</w:t>
      </w:r>
      <w:r w:rsidR="00470EBF">
        <w:t xml:space="preserve"> </w:t>
      </w:r>
      <w:r w:rsidRPr="00A413B4">
        <w:t>Association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Welfare</w:t>
      </w:r>
      <w:r w:rsidR="00470EBF">
        <w:t xml:space="preserve"> </w:t>
      </w:r>
      <w:r w:rsidRPr="00A413B4">
        <w:t>aimed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strengthening</w:t>
      </w:r>
      <w:r w:rsidR="00470EBF">
        <w:t xml:space="preserve"> </w:t>
      </w:r>
      <w:r w:rsidRPr="00A413B4">
        <w:t>inter-agency</w:t>
      </w:r>
      <w:r w:rsidR="00470EBF">
        <w:t xml:space="preserve"> </w:t>
      </w:r>
      <w:r w:rsidRPr="00A413B4">
        <w:t>relations,</w:t>
      </w:r>
      <w:r w:rsidR="00470EBF">
        <w:t xml:space="preserve"> </w:t>
      </w:r>
      <w:r w:rsidRPr="00A413B4">
        <w:t>streamlining</w:t>
      </w:r>
      <w:r w:rsidR="00470EBF">
        <w:t xml:space="preserve"> </w:t>
      </w:r>
      <w:r w:rsidRPr="00A413B4">
        <w:t>response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intervention;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encouraging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take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more</w:t>
      </w:r>
      <w:r w:rsidR="00470EBF">
        <w:t xml:space="preserve"> </w:t>
      </w:r>
      <w:r w:rsidRPr="00A413B4">
        <w:t>collaborative</w:t>
      </w:r>
      <w:r w:rsidR="00470EBF">
        <w:t xml:space="preserve"> </w:t>
      </w:r>
      <w:r w:rsidRPr="00A413B4">
        <w:t>approach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responding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concerning</w:t>
      </w:r>
      <w:r w:rsidR="00470EBF">
        <w:t xml:space="preserve"> </w:t>
      </w:r>
      <w:r w:rsidRPr="00A413B4">
        <w:t>children.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interventions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include</w:t>
      </w:r>
      <w:r w:rsidR="00470EBF">
        <w:t xml:space="preserve"> </w:t>
      </w:r>
      <w:r w:rsidRPr="00A413B4">
        <w:t>triage</w:t>
      </w:r>
      <w:r w:rsidR="00470EBF">
        <w:t xml:space="preserve"> </w:t>
      </w:r>
      <w:r w:rsidRPr="00A413B4">
        <w:t>cases.</w:t>
      </w:r>
      <w:r w:rsidR="00470EBF">
        <w:t xml:space="preserve"> </w:t>
      </w:r>
    </w:p>
    <w:p w:rsidR="000A2967" w:rsidRPr="00A413B4" w:rsidRDefault="000A2967" w:rsidP="00C26914">
      <w:pPr>
        <w:pStyle w:val="H1G"/>
      </w:pPr>
      <w:r w:rsidRPr="00A413B4">
        <w:tab/>
        <w:t>B.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2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H23G"/>
      </w:pPr>
      <w:r w:rsidRPr="00A413B4">
        <w:tab/>
      </w:r>
      <w:r w:rsidRPr="00A413B4">
        <w:tab/>
        <w:t>Te</w:t>
      </w:r>
      <w:r w:rsidR="00470EBF">
        <w:t xml:space="preserve"> </w:t>
      </w:r>
      <w:r w:rsidRPr="00A413B4">
        <w:t>Pito</w:t>
      </w:r>
      <w:r w:rsidR="00470EBF">
        <w:t xml:space="preserve"> </w:t>
      </w:r>
      <w:r w:rsidRPr="00A413B4">
        <w:t>Manava</w:t>
      </w:r>
      <w:r w:rsidR="00470EBF">
        <w:t xml:space="preserve"> </w:t>
      </w:r>
      <w:r w:rsidRPr="00A413B4">
        <w:t>o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Anau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Framework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(2017</w:t>
      </w:r>
      <w:r w:rsidR="008F00C4">
        <w:t>–</w:t>
      </w:r>
      <w:r w:rsidRPr="00A413B4">
        <w:t>2021)</w:t>
      </w:r>
    </w:p>
    <w:p w:rsidR="000A2967" w:rsidRPr="00A413B4" w:rsidRDefault="000A2967" w:rsidP="00C26914">
      <w:pPr>
        <w:pStyle w:val="SingleTxtG"/>
      </w:pPr>
      <w:r w:rsidRPr="00A413B4">
        <w:t>7.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dedicated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Coordinator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recruited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2018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funding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UNICEF</w:t>
      </w:r>
      <w:r w:rsidR="00470EBF">
        <w:t xml:space="preserve"> </w:t>
      </w:r>
      <w:r w:rsidRPr="00A413B4">
        <w:t>Pacific</w:t>
      </w:r>
      <w:r w:rsidR="00470EBF">
        <w:t xml:space="preserve"> </w:t>
      </w:r>
      <w:r w:rsidRPr="00A413B4">
        <w:t>Office.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2019,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absorbed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position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its</w:t>
      </w:r>
      <w:r w:rsidR="00470EBF">
        <w:t xml:space="preserve"> </w:t>
      </w:r>
      <w:r w:rsidRPr="00A413B4">
        <w:t>operational</w:t>
      </w:r>
      <w:r w:rsidR="00470EBF">
        <w:t xml:space="preserve"> </w:t>
      </w:r>
      <w:r w:rsidRPr="00A413B4">
        <w:t>budget</w:t>
      </w:r>
      <w:r w:rsidR="00470EBF">
        <w:t xml:space="preserve"> </w:t>
      </w:r>
      <w:r w:rsidRPr="00A413B4">
        <w:t>till</w:t>
      </w:r>
      <w:r w:rsidR="00470EBF">
        <w:t xml:space="preserve"> </w:t>
      </w:r>
      <w:r w:rsidRPr="00A413B4">
        <w:t>2021.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Coordinator</w:t>
      </w:r>
      <w:r w:rsidR="00470EBF">
        <w:t xml:space="preserve"> </w:t>
      </w:r>
      <w:r w:rsidRPr="00A413B4">
        <w:t>takes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coordination</w:t>
      </w:r>
      <w:r w:rsidR="00470EBF">
        <w:t xml:space="preserve"> </w:t>
      </w:r>
      <w:r w:rsidRPr="00A413B4">
        <w:t>role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level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Policy.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strengthen</w:t>
      </w:r>
      <w:r w:rsidR="00470EBF">
        <w:t xml:space="preserve"> </w:t>
      </w:r>
      <w:r w:rsidRPr="00A413B4">
        <w:t>stakeholder</w:t>
      </w:r>
      <w:r w:rsidR="00470EBF">
        <w:t xml:space="preserve"> </w:t>
      </w:r>
      <w:r w:rsidRPr="00A413B4">
        <w:t>coordination,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established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Children’s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consists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representatives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ministries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Health,</w:t>
      </w:r>
      <w:r w:rsidR="00470EBF">
        <w:t xml:space="preserve"> </w:t>
      </w:r>
      <w:r w:rsidRPr="00A413B4">
        <w:t>Education,</w:t>
      </w:r>
      <w:r w:rsidR="00470EBF">
        <w:t xml:space="preserve"> </w:t>
      </w:r>
      <w:r w:rsidRPr="00A413B4">
        <w:t>Police,</w:t>
      </w:r>
      <w:r w:rsidR="00470EBF">
        <w:t xml:space="preserve"> </w:t>
      </w:r>
      <w:r w:rsidRPr="00A413B4">
        <w:t>Justice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past</w:t>
      </w:r>
      <w:r w:rsidR="00470EBF">
        <w:t xml:space="preserve"> </w:t>
      </w:r>
      <w:r w:rsidRPr="00A413B4">
        <w:t>year,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met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regular</w:t>
      </w:r>
      <w:r w:rsidR="00470EBF">
        <w:t xml:space="preserve"> </w:t>
      </w:r>
      <w:r w:rsidRPr="00A413B4">
        <w:t>basis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committed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continuing</w:t>
      </w:r>
      <w:r w:rsidR="00470EBF">
        <w:t xml:space="preserve"> </w:t>
      </w:r>
      <w:r w:rsidRPr="00A413B4">
        <w:t>collaborative</w:t>
      </w:r>
      <w:r w:rsidR="00470EBF">
        <w:t xml:space="preserve"> </w:t>
      </w:r>
      <w:r w:rsidRPr="00A413B4">
        <w:t>approaches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such</w:t>
      </w:r>
      <w:r w:rsidR="00470EBF">
        <w:t xml:space="preserve"> </w:t>
      </w:r>
      <w:r w:rsidRPr="00A413B4">
        <w:t>inter-sectoral</w:t>
      </w:r>
      <w:r w:rsidR="00470EBF">
        <w:t xml:space="preserve"> </w:t>
      </w:r>
      <w:r w:rsidRPr="00A413B4">
        <w:t>mechanisms.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lastRenderedPageBreak/>
        <w:t>8.</w:t>
      </w:r>
      <w:r w:rsidRPr="00A413B4">
        <w:tab/>
        <w:t>Awareness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communities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main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Rarotonga,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well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outer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Northern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Southern</w:t>
      </w:r>
      <w:r w:rsidR="00470EBF">
        <w:t xml:space="preserve"> </w:t>
      </w:r>
      <w:r w:rsidRPr="00A413B4">
        <w:t>groups.</w:t>
      </w:r>
      <w:r w:rsidR="00470EBF">
        <w:t xml:space="preserve"> </w:t>
      </w:r>
      <w:r w:rsidRPr="00A413B4">
        <w:t>Media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local</w:t>
      </w:r>
      <w:r w:rsidR="00470EBF">
        <w:t xml:space="preserve"> </w:t>
      </w:r>
      <w:r w:rsidRPr="00A413B4">
        <w:t>radio</w:t>
      </w:r>
      <w:r w:rsidR="00470EBF">
        <w:t xml:space="preserve"> </w:t>
      </w:r>
      <w:r w:rsidRPr="00A413B4">
        <w:t>stations,</w:t>
      </w:r>
      <w:r w:rsidR="00470EBF">
        <w:t xml:space="preserve"> </w:t>
      </w:r>
      <w:r w:rsidRPr="00A413B4">
        <w:t>televisions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newspapers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carried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both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English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local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Maori.</w:t>
      </w:r>
      <w:r w:rsidR="00470EBF">
        <w:t xml:space="preserve"> </w:t>
      </w:r>
      <w:r w:rsidRPr="00A413B4">
        <w:t>Community</w:t>
      </w:r>
      <w:r w:rsidR="00470EBF">
        <w:t xml:space="preserve"> </w:t>
      </w:r>
      <w:r w:rsidRPr="00A413B4">
        <w:t>information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educational</w:t>
      </w:r>
      <w:r w:rsidR="00470EBF">
        <w:t xml:space="preserve"> </w:t>
      </w:r>
      <w:r w:rsidRPr="00A413B4">
        <w:t>materials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developed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disseminated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pamphlets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banners.</w:t>
      </w:r>
    </w:p>
    <w:p w:rsidR="000A2967" w:rsidRPr="00A413B4" w:rsidRDefault="000A2967" w:rsidP="00907E5E">
      <w:pPr>
        <w:pStyle w:val="H23G"/>
      </w:pPr>
      <w:r w:rsidRPr="00A413B4">
        <w:tab/>
      </w:r>
      <w:r w:rsidRPr="00A413B4">
        <w:tab/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Advisory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Children’s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(CINACCR)</w:t>
      </w:r>
    </w:p>
    <w:p w:rsidR="000A2967" w:rsidRPr="00A413B4" w:rsidRDefault="000A2967" w:rsidP="00C26914">
      <w:pPr>
        <w:pStyle w:val="SingleTxtG"/>
      </w:pPr>
      <w:r w:rsidRPr="00A413B4">
        <w:t>9.</w:t>
      </w:r>
      <w:r w:rsidRPr="00A413B4">
        <w:tab/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Advisory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Children’s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endorsed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Cabinet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2017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made</w:t>
      </w:r>
      <w:r w:rsidR="00470EBF">
        <w:t xml:space="preserve"> </w:t>
      </w:r>
      <w:r w:rsidRPr="00A413B4">
        <w:t>up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Heads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Ministries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chaired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Secretary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Secretariat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Committee.</w:t>
      </w:r>
      <w:r w:rsidR="00470EBF">
        <w:t xml:space="preserve"> </w:t>
      </w:r>
      <w:r w:rsidRPr="00A413B4">
        <w:t>While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no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funding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Committee,</w:t>
      </w:r>
      <w:r w:rsidR="00470EBF">
        <w:t xml:space="preserve"> </w:t>
      </w:r>
      <w:r w:rsidRPr="00A413B4">
        <w:t>line-ministry</w:t>
      </w:r>
      <w:r w:rsidR="00470EBF">
        <w:t xml:space="preserve"> </w:t>
      </w:r>
      <w:r w:rsidRPr="00A413B4">
        <w:t>budgets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utilized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initiatives.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leading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mechanism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reporting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Convention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meets</w:t>
      </w:r>
      <w:r w:rsidR="00470EBF">
        <w:t xml:space="preserve"> </w:t>
      </w:r>
      <w:r w:rsidRPr="00A413B4">
        <w:t>every</w:t>
      </w:r>
      <w:r w:rsidR="00470EBF">
        <w:t xml:space="preserve"> </w:t>
      </w:r>
      <w:r w:rsidRPr="00A413B4">
        <w:t>quarter.</w:t>
      </w:r>
      <w:r w:rsidR="00A164FB">
        <w:t xml:space="preserve"> </w:t>
      </w:r>
    </w:p>
    <w:p w:rsidR="000A2967" w:rsidRPr="00A413B4" w:rsidRDefault="000A2967" w:rsidP="00907E5E">
      <w:pPr>
        <w:pStyle w:val="H23G"/>
      </w:pPr>
      <w:r w:rsidRPr="00A413B4">
        <w:tab/>
      </w:r>
      <w:r w:rsidRPr="00A413B4">
        <w:tab/>
        <w:t>National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(2015</w:t>
      </w:r>
      <w:r w:rsidR="008F00C4">
        <w:t>–</w:t>
      </w:r>
      <w:r w:rsidRPr="00A413B4">
        <w:t>2020)</w:t>
      </w:r>
    </w:p>
    <w:p w:rsidR="000A2967" w:rsidRPr="00A413B4" w:rsidRDefault="000A2967" w:rsidP="00C26914">
      <w:pPr>
        <w:pStyle w:val="SingleTxtG"/>
      </w:pPr>
      <w:r w:rsidRPr="00A413B4">
        <w:t>10.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dedicated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desk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takes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Ministry’s</w:t>
      </w:r>
      <w:r w:rsidR="00470EBF">
        <w:t xml:space="preserve"> </w:t>
      </w:r>
      <w:r w:rsidRPr="00A413B4">
        <w:t>initiatives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ages</w:t>
      </w:r>
      <w:r w:rsidR="00470EBF">
        <w:t xml:space="preserve"> </w:t>
      </w:r>
      <w:r w:rsidRPr="00A413B4">
        <w:t>15–24</w:t>
      </w:r>
      <w:r w:rsidR="00470EBF">
        <w:t xml:space="preserve"> </w:t>
      </w:r>
      <w:r w:rsidRPr="00A413B4">
        <w:t>years.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role</w:t>
      </w:r>
      <w:r w:rsidR="00470EBF">
        <w:t xml:space="preserve"> </w:t>
      </w:r>
      <w:r w:rsidRPr="00A413B4">
        <w:t>includes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Policy.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Council</w:t>
      </w:r>
      <w:r w:rsidR="00470EBF">
        <w:t xml:space="preserve"> </w:t>
      </w:r>
      <w:r w:rsidRPr="00A413B4">
        <w:t>works</w:t>
      </w:r>
      <w:r w:rsidR="00470EBF">
        <w:t xml:space="preserve"> </w:t>
      </w:r>
      <w:r w:rsidRPr="00A413B4">
        <w:t>closely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desk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(Main</w:t>
      </w:r>
      <w:r w:rsidR="00470EBF">
        <w:t xml:space="preserve"> </w:t>
      </w:r>
      <w:r w:rsidRPr="00A413B4">
        <w:t>Island)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outer</w:t>
      </w:r>
      <w:r w:rsidR="00470EBF">
        <w:t xml:space="preserve"> </w:t>
      </w:r>
      <w:r w:rsidRPr="00A413B4">
        <w:t>islands.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Council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two</w:t>
      </w:r>
      <w:r w:rsidR="00470EBF">
        <w:t xml:space="preserve"> </w:t>
      </w:r>
      <w:r w:rsidRPr="00A413B4">
        <w:t>representatives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each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work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respective</w:t>
      </w:r>
      <w:r w:rsidR="00470EBF">
        <w:t xml:space="preserve"> </w:t>
      </w:r>
      <w:r w:rsidRPr="00A413B4">
        <w:t>communities.</w:t>
      </w:r>
      <w:r w:rsidR="00A164FB">
        <w:t xml:space="preserve"> </w:t>
      </w:r>
    </w:p>
    <w:p w:rsidR="000A2967" w:rsidRPr="00A413B4" w:rsidRDefault="000A2967" w:rsidP="00C26914">
      <w:pPr>
        <w:pStyle w:val="SingleTxtG"/>
      </w:pPr>
      <w:r w:rsidRPr="00A413B4">
        <w:t>11.</w:t>
      </w:r>
      <w:r w:rsidRPr="00A413B4">
        <w:tab/>
        <w:t>A</w:t>
      </w:r>
      <w:r w:rsidR="00470EBF">
        <w:t xml:space="preserve"> </w:t>
      </w:r>
      <w:r w:rsidRPr="00A413B4">
        <w:t>number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workshops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facilitated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2019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collaboration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focusing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suicide</w:t>
      </w:r>
      <w:r w:rsidR="00470EBF">
        <w:t xml:space="preserve"> </w:t>
      </w:r>
      <w:r w:rsidRPr="00A413B4">
        <w:t>prevention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(1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1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Atiu</w:t>
      </w:r>
      <w:r w:rsidR="00470EBF">
        <w:t xml:space="preserve"> </w:t>
      </w:r>
      <w:r w:rsidRPr="00A413B4">
        <w:t>(outer</w:t>
      </w:r>
      <w:r w:rsidR="00470EBF">
        <w:t xml:space="preserve"> </w:t>
      </w:r>
      <w:r w:rsidRPr="00A413B4">
        <w:t>island),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resilience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linked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objective</w:t>
      </w:r>
      <w:r w:rsidR="00470EBF">
        <w:t xml:space="preserve"> </w:t>
      </w:r>
      <w:r w:rsidRPr="00A413B4">
        <w:t>6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ongoing</w:t>
      </w:r>
      <w:r w:rsidR="00470EBF">
        <w:t xml:space="preserve"> </w:t>
      </w:r>
      <w:r w:rsidRPr="00A413B4">
        <w:t>initiative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Government.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main</w:t>
      </w:r>
      <w:r w:rsidR="00470EBF">
        <w:t xml:space="preserve"> </w:t>
      </w:r>
      <w:r w:rsidRPr="00A413B4">
        <w:t>focus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work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2018</w:t>
      </w:r>
      <w:r w:rsidR="008F00C4">
        <w:t>–</w:t>
      </w:r>
      <w:r w:rsidRPr="00A413B4">
        <w:t>2019.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parliament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one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areas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being</w:t>
      </w:r>
      <w:r w:rsidR="00470EBF">
        <w:t xml:space="preserve"> </w:t>
      </w:r>
      <w:r w:rsidRPr="00A413B4">
        <w:t>promoted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assist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understanding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process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encouraging</w:t>
      </w:r>
      <w:r w:rsidR="00470EBF">
        <w:t xml:space="preserve"> </w:t>
      </w:r>
      <w:r w:rsidRPr="00A413B4">
        <w:t>young</w:t>
      </w:r>
      <w:r w:rsidR="00470EBF">
        <w:t xml:space="preserve"> </w:t>
      </w:r>
      <w:r w:rsidRPr="00A413B4">
        <w:t>people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participate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electoral</w:t>
      </w:r>
      <w:r w:rsidR="00470EBF">
        <w:t xml:space="preserve"> </w:t>
      </w:r>
      <w:r w:rsidRPr="00A413B4">
        <w:t>process.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next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Parliament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take</w:t>
      </w:r>
      <w:r w:rsidR="00470EBF">
        <w:t xml:space="preserve"> </w:t>
      </w:r>
      <w:r w:rsidRPr="00A413B4">
        <w:t>place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2020.</w:t>
      </w:r>
      <w:r w:rsidR="00470EBF">
        <w:t xml:space="preserve"> </w:t>
      </w:r>
      <w:r w:rsidRPr="00A413B4">
        <w:t>Some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initiatives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being</w:t>
      </w:r>
      <w:r w:rsidR="00470EBF">
        <w:t xml:space="preserve"> </w:t>
      </w:r>
      <w:r w:rsidRPr="00A413B4">
        <w:t>implemented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outer</w:t>
      </w:r>
      <w:r w:rsidR="00470EBF">
        <w:t xml:space="preserve"> </w:t>
      </w:r>
      <w:r w:rsidRPr="00A413B4">
        <w:t>islands.</w:t>
      </w:r>
      <w:r w:rsidR="00470EBF">
        <w:t xml:space="preserve"> </w:t>
      </w:r>
      <w:r w:rsidRPr="00A413B4">
        <w:t>Music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funded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Government’s</w:t>
      </w:r>
      <w:r w:rsidR="00470EBF">
        <w:t xml:space="preserve"> </w:t>
      </w:r>
      <w:r w:rsidRPr="00A413B4">
        <w:t>social</w:t>
      </w:r>
      <w:r w:rsidR="00470EBF">
        <w:t xml:space="preserve"> </w:t>
      </w:r>
      <w:r w:rsidRPr="00A413B4">
        <w:t>impact</w:t>
      </w:r>
      <w:r w:rsidR="00470EBF">
        <w:t xml:space="preserve"> </w:t>
      </w:r>
      <w:r w:rsidRPr="00A413B4">
        <w:t>fund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now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introduced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capacity</w:t>
      </w:r>
      <w:r w:rsidR="00470EBF">
        <w:t xml:space="preserve"> </w:t>
      </w:r>
      <w:r w:rsidRPr="00A413B4">
        <w:t>building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Mitiaro</w:t>
      </w:r>
      <w:r w:rsidR="00470EBF">
        <w:t xml:space="preserve"> </w:t>
      </w:r>
      <w:r w:rsidRPr="00A413B4">
        <w:t>(outer</w:t>
      </w:r>
      <w:r w:rsidR="00470EBF">
        <w:t xml:space="preserve"> </w:t>
      </w:r>
      <w:r w:rsidRPr="00A413B4">
        <w:t>island)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plans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expand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other</w:t>
      </w:r>
      <w:r w:rsidR="00470EBF">
        <w:t xml:space="preserve"> </w:t>
      </w:r>
      <w:r w:rsidRPr="00A413B4">
        <w:t>islands.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conducted</w:t>
      </w:r>
      <w:r w:rsidR="00470EBF">
        <w:t xml:space="preserve"> </w:t>
      </w:r>
      <w:r w:rsidRPr="00A413B4">
        <w:t>various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trainers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leaders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now</w:t>
      </w:r>
      <w:r w:rsidR="00470EBF">
        <w:t xml:space="preserve"> </w:t>
      </w:r>
      <w:r w:rsidRPr="00A413B4">
        <w:t>implementing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includes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playing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instruments</w:t>
      </w:r>
      <w:r w:rsidR="00470EBF">
        <w:t xml:space="preserve"> </w:t>
      </w:r>
      <w:r w:rsidRPr="00A413B4">
        <w:t>such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keyboard.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12.</w:t>
      </w:r>
      <w:r w:rsidRPr="00A413B4">
        <w:tab/>
        <w:t>The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Kopapa</w:t>
      </w:r>
      <w:r w:rsidR="00470EBF">
        <w:t xml:space="preserve"> </w:t>
      </w:r>
      <w:r w:rsidRPr="00A413B4">
        <w:t>Reo</w:t>
      </w:r>
      <w:r w:rsidR="00470EBF">
        <w:t xml:space="preserve"> </w:t>
      </w:r>
      <w:r w:rsidRPr="00A413B4">
        <w:t>Maori</w:t>
      </w:r>
      <w:r w:rsidR="00470EBF">
        <w:t xml:space="preserve"> </w:t>
      </w:r>
      <w:r w:rsidRPr="00A413B4">
        <w:t>(TKRM)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Culture</w:t>
      </w:r>
      <w:r w:rsidR="00470EBF">
        <w:t xml:space="preserve"> </w:t>
      </w:r>
      <w:r w:rsidRPr="00A413B4">
        <w:t>recently</w:t>
      </w:r>
      <w:r w:rsidR="00470EBF">
        <w:t xml:space="preserve"> </w:t>
      </w:r>
      <w:r w:rsidRPr="00A413B4">
        <w:t>introduced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workshop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October</w:t>
      </w:r>
      <w:r w:rsidR="00470EBF">
        <w:t xml:space="preserve"> </w:t>
      </w:r>
      <w:r w:rsidRPr="00A413B4">
        <w:t>2019</w:t>
      </w:r>
      <w:r w:rsidR="00470EBF">
        <w:t xml:space="preserve"> </w:t>
      </w:r>
      <w:r w:rsidRPr="00A413B4">
        <w:t>focusing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revival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sustainability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language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strengthen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knowledge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use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Maori.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ongoing</w:t>
      </w:r>
      <w:r w:rsidR="00470EBF">
        <w:t xml:space="preserve"> </w:t>
      </w:r>
      <w:r w:rsidRPr="00A413B4">
        <w:t>initiative</w:t>
      </w:r>
      <w:r w:rsidR="00470EBF">
        <w:t xml:space="preserve"> </w:t>
      </w:r>
      <w:r w:rsidRPr="00A413B4">
        <w:t>held</w:t>
      </w:r>
      <w:r w:rsidR="00470EBF">
        <w:t xml:space="preserve"> </w:t>
      </w:r>
      <w:r w:rsidRPr="00A413B4">
        <w:t>over</w:t>
      </w:r>
      <w:r w:rsidR="00470EBF">
        <w:t xml:space="preserve"> </w:t>
      </w:r>
      <w:r w:rsidRPr="00A413B4">
        <w:t>four</w:t>
      </w:r>
      <w:r w:rsidR="00470EBF">
        <w:t xml:space="preserve"> </w:t>
      </w:r>
      <w:r w:rsidRPr="00A413B4">
        <w:t>months.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TKRM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leading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initiative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supported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such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due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Priority</w:t>
      </w:r>
      <w:r w:rsidR="00470EBF">
        <w:t xml:space="preserve"> </w:t>
      </w:r>
      <w:r w:rsidRPr="00A413B4">
        <w:t>3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focuses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empowering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community,</w:t>
      </w:r>
      <w:r w:rsidR="00470EBF">
        <w:t xml:space="preserve"> </w:t>
      </w:r>
      <w:r w:rsidRPr="00A413B4">
        <w:t>cultural,</w:t>
      </w:r>
      <w:r w:rsidR="00470EBF">
        <w:t xml:space="preserve"> </w:t>
      </w:r>
      <w:r w:rsidRPr="00A413B4">
        <w:t>spiritual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personal</w:t>
      </w:r>
      <w:r w:rsidR="00470EBF">
        <w:t xml:space="preserve"> </w:t>
      </w:r>
      <w:r w:rsidRPr="00A413B4">
        <w:t>development).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other</w:t>
      </w:r>
      <w:r w:rsidR="00470EBF">
        <w:t xml:space="preserve"> </w:t>
      </w:r>
      <w:r w:rsidRPr="00A413B4">
        <w:t>key</w:t>
      </w:r>
      <w:r w:rsidR="00470EBF">
        <w:t xml:space="preserve"> </w:t>
      </w:r>
      <w:r w:rsidRPr="00A413B4">
        <w:t>ministries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initiative.</w:t>
      </w:r>
      <w:r w:rsidR="00470EBF">
        <w:t xml:space="preserve"> </w:t>
      </w:r>
      <w:r w:rsidRPr="00A413B4">
        <w:t>Collaboration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such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Health,</w:t>
      </w:r>
      <w:r w:rsidR="00470EBF">
        <w:t xml:space="preserve"> </w:t>
      </w:r>
      <w:r w:rsidRPr="00A413B4">
        <w:t>Police,</w:t>
      </w:r>
      <w:r w:rsidR="00470EBF">
        <w:t xml:space="preserve"> </w:t>
      </w:r>
      <w:r w:rsidRPr="00A413B4">
        <w:t>Corrective</w:t>
      </w:r>
      <w:r w:rsidR="00470EBF">
        <w:t xml:space="preserve"> </w:t>
      </w:r>
      <w:r w:rsidRPr="00A413B4">
        <w:t>Services,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Education,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Culture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continuing.</w:t>
      </w:r>
      <w:r w:rsidR="00470EBF">
        <w:t xml:space="preserve"> </w:t>
      </w:r>
    </w:p>
    <w:p w:rsidR="000A2967" w:rsidRPr="00A413B4" w:rsidRDefault="000A2967" w:rsidP="000E54AD">
      <w:pPr>
        <w:pStyle w:val="H23G"/>
      </w:pPr>
      <w:r w:rsidRPr="00A413B4">
        <w:tab/>
      </w:r>
      <w:r w:rsidRPr="00A413B4">
        <w:tab/>
        <w:t>Disability</w:t>
      </w:r>
      <w:r w:rsidR="00470EBF">
        <w:t xml:space="preserve"> </w:t>
      </w:r>
      <w:r w:rsidRPr="00A413B4">
        <w:t>Inclusive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Action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(2014</w:t>
      </w:r>
      <w:r w:rsidR="008F00C4">
        <w:t>–</w:t>
      </w:r>
      <w:r w:rsidRPr="00A413B4">
        <w:t>2019)</w:t>
      </w:r>
    </w:p>
    <w:p w:rsidR="000A2967" w:rsidRPr="00A413B4" w:rsidRDefault="000A2967" w:rsidP="00C26914">
      <w:pPr>
        <w:pStyle w:val="SingleTxtG"/>
      </w:pPr>
      <w:r w:rsidRPr="00A413B4">
        <w:t>13.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dedicated</w:t>
      </w:r>
      <w:r w:rsidR="00470EBF">
        <w:t xml:space="preserve"> </w:t>
      </w:r>
      <w:r w:rsidRPr="00A413B4">
        <w:t>disability</w:t>
      </w:r>
      <w:r w:rsidR="00470EBF">
        <w:t xml:space="preserve"> </w:t>
      </w:r>
      <w:r w:rsidRPr="00A413B4">
        <w:t>desk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one</w:t>
      </w:r>
      <w:r w:rsidR="00470EBF">
        <w:t xml:space="preserve"> </w:t>
      </w:r>
      <w:r w:rsidRPr="00A413B4">
        <w:t>officer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takes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Ministry’s</w:t>
      </w:r>
      <w:r w:rsidR="00470EBF">
        <w:t xml:space="preserve"> </w:t>
      </w:r>
      <w:r w:rsidRPr="00A413B4">
        <w:t>initiatives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persons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disabilities.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role</w:t>
      </w:r>
      <w:r w:rsidR="00470EBF">
        <w:t xml:space="preserve"> </w:t>
      </w:r>
      <w:r w:rsidRPr="00A413B4">
        <w:t>includes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Inclusive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Policy.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disability</w:t>
      </w:r>
      <w:r w:rsidR="00470EBF">
        <w:t xml:space="preserve"> </w:t>
      </w:r>
      <w:r w:rsidRPr="00A413B4">
        <w:t>desk</w:t>
      </w:r>
      <w:r w:rsidR="00470EBF">
        <w:t xml:space="preserve"> </w:t>
      </w:r>
      <w:r w:rsidRPr="00A413B4">
        <w:t>works</w:t>
      </w:r>
      <w:r w:rsidR="00470EBF">
        <w:t xml:space="preserve"> </w:t>
      </w:r>
      <w:r w:rsidRPr="00A413B4">
        <w:t>closely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Disability</w:t>
      </w:r>
      <w:r w:rsidR="00470EBF">
        <w:t xml:space="preserve"> </w:t>
      </w:r>
      <w:r w:rsidRPr="00A413B4">
        <w:t>Council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capacity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committees</w:t>
      </w:r>
      <w:r w:rsidR="00470EBF">
        <w:t xml:space="preserve"> </w:t>
      </w:r>
      <w:r w:rsidRPr="00A413B4">
        <w:t>responsible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caring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persons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disabilities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elderly</w:t>
      </w:r>
      <w:r w:rsidR="00470EBF">
        <w:t xml:space="preserve"> </w:t>
      </w:r>
      <w:r w:rsidRPr="00A413B4">
        <w:t>persons.</w:t>
      </w:r>
    </w:p>
    <w:p w:rsidR="000A2967" w:rsidRPr="00A413B4" w:rsidRDefault="000A2967" w:rsidP="00C26914">
      <w:pPr>
        <w:pStyle w:val="SingleTxtG"/>
      </w:pPr>
      <w:r w:rsidRPr="00A413B4">
        <w:lastRenderedPageBreak/>
        <w:t>14.</w:t>
      </w:r>
      <w:r w:rsidRPr="00A413B4">
        <w:tab/>
        <w:t>In</w:t>
      </w:r>
      <w:r w:rsidR="00470EBF">
        <w:t xml:space="preserve"> </w:t>
      </w:r>
      <w:r w:rsidRPr="00A413B4">
        <w:t>2018,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undertook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review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current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led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provided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opportunity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receive</w:t>
      </w:r>
      <w:r w:rsidR="00470EBF">
        <w:t xml:space="preserve"> </w:t>
      </w:r>
      <w:r w:rsidRPr="00A413B4">
        <w:t>feedback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progress</w:t>
      </w:r>
      <w:r w:rsidR="00470EBF">
        <w:t xml:space="preserve"> </w:t>
      </w:r>
      <w:r w:rsidRPr="00A413B4">
        <w:t>made,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well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recommendations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way</w:t>
      </w:r>
      <w:r w:rsidR="00470EBF">
        <w:t xml:space="preserve"> </w:t>
      </w:r>
      <w:r w:rsidRPr="00A413B4">
        <w:t>forward.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15.</w:t>
      </w:r>
      <w:r w:rsidRPr="00A413B4">
        <w:tab/>
        <w:t>The</w:t>
      </w:r>
      <w:r w:rsidR="00470EBF">
        <w:t xml:space="preserve"> </w:t>
      </w:r>
      <w:r w:rsidRPr="00A413B4">
        <w:t>Building</w:t>
      </w:r>
      <w:r w:rsidR="00470EBF">
        <w:t xml:space="preserve"> </w:t>
      </w:r>
      <w:r w:rsidRPr="00A413B4">
        <w:t>Code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reviewed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new</w:t>
      </w:r>
      <w:r w:rsidR="00470EBF">
        <w:t xml:space="preserve"> </w:t>
      </w:r>
      <w:r w:rsidRPr="00A413B4">
        <w:t>Code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yet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passed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Parliament.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preparation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new</w:t>
      </w:r>
      <w:r w:rsidR="00470EBF">
        <w:t xml:space="preserve"> </w:t>
      </w:r>
      <w:r w:rsidRPr="00A413B4">
        <w:t>Code,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survey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carried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2018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(main</w:t>
      </w:r>
      <w:r w:rsidR="00470EBF">
        <w:t xml:space="preserve"> </w:t>
      </w:r>
      <w:r w:rsidRPr="00A413B4">
        <w:t>island)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Southern</w:t>
      </w:r>
      <w:r w:rsidR="00470EBF">
        <w:t xml:space="preserve"> </w:t>
      </w:r>
      <w:r w:rsidRPr="00A413B4">
        <w:t>group.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survey</w:t>
      </w:r>
      <w:r w:rsidR="00470EBF">
        <w:t xml:space="preserve"> </w:t>
      </w:r>
      <w:r w:rsidRPr="00A413B4">
        <w:t>looked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infrastructure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buildings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premises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schools,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determine</w:t>
      </w:r>
      <w:r w:rsidR="00470EBF">
        <w:t xml:space="preserve"> </w:t>
      </w:r>
      <w:r w:rsidRPr="00A413B4">
        <w:t>reasonable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persons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disabilities.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outcome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survey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shared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other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ministries.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particular,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Office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Prime</w:t>
      </w:r>
      <w:r w:rsidR="00470EBF">
        <w:t xml:space="preserve"> </w:t>
      </w:r>
      <w:r w:rsidRPr="00A413B4">
        <w:t>Minister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monitors</w:t>
      </w:r>
      <w:r w:rsidR="00470EBF">
        <w:t xml:space="preserve"> </w:t>
      </w:r>
      <w:r w:rsidRPr="00A413B4">
        <w:t>progress</w:t>
      </w:r>
      <w:r w:rsidR="00470EBF">
        <w:t xml:space="preserve"> </w:t>
      </w:r>
      <w:r w:rsidRPr="00A413B4">
        <w:t>against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Sustainable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2016</w:t>
      </w:r>
      <w:r w:rsidR="00D632FC">
        <w:t>–</w:t>
      </w:r>
      <w:r w:rsidRPr="00A413B4">
        <w:t>2020</w:t>
      </w:r>
      <w:r w:rsidR="00470EBF">
        <w:t xml:space="preserve"> </w:t>
      </w:r>
      <w:r w:rsidRPr="00A413B4">
        <w:t>(NSDP).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16.</w:t>
      </w:r>
      <w:r w:rsidRPr="00A413B4">
        <w:tab/>
        <w:t>Infrastructural</w:t>
      </w:r>
      <w:r w:rsidR="00470EBF">
        <w:t xml:space="preserve"> </w:t>
      </w:r>
      <w:r w:rsidRPr="00A413B4">
        <w:t>changes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taken</w:t>
      </w:r>
      <w:r w:rsidR="00470EBF">
        <w:t xml:space="preserve"> </w:t>
      </w:r>
      <w:r w:rsidRPr="00A413B4">
        <w:t>place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provision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building</w:t>
      </w:r>
      <w:r w:rsidR="00470EBF">
        <w:t xml:space="preserve"> </w:t>
      </w:r>
      <w:r w:rsidRPr="00A413B4">
        <w:t>ramps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parking</w:t>
      </w:r>
      <w:r w:rsidR="00470EBF">
        <w:t xml:space="preserve"> </w:t>
      </w:r>
      <w:r w:rsidRPr="00A413B4">
        <w:t>spaces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persons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disabilities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public</w:t>
      </w:r>
      <w:r w:rsidR="00470EBF">
        <w:t xml:space="preserve"> </w:t>
      </w:r>
      <w:r w:rsidRPr="00A413B4">
        <w:t>place.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set</w:t>
      </w:r>
      <w:r w:rsidR="00470EBF">
        <w:t xml:space="preserve"> </w:t>
      </w:r>
      <w:r w:rsidRPr="00A413B4">
        <w:t>disability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requirement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new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buildings,</w:t>
      </w:r>
      <w:r w:rsidR="00470EBF">
        <w:t xml:space="preserve"> </w:t>
      </w:r>
      <w:r w:rsidRPr="00A413B4">
        <w:t>new</w:t>
      </w:r>
      <w:r w:rsidR="00A164FB">
        <w:t xml:space="preserve"> </w:t>
      </w:r>
      <w:r w:rsidRPr="00A413B4">
        <w:t>hotels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other</w:t>
      </w:r>
      <w:r w:rsidR="00470EBF">
        <w:t xml:space="preserve"> </w:t>
      </w:r>
      <w:r w:rsidRPr="00A413B4">
        <w:t>tourist</w:t>
      </w:r>
      <w:r w:rsidR="00470EBF">
        <w:t xml:space="preserve"> </w:t>
      </w:r>
      <w:r w:rsidRPr="00A413B4">
        <w:t>accommodations</w:t>
      </w:r>
      <w:r w:rsidR="00470EBF">
        <w:t xml:space="preserve"> </w:t>
      </w:r>
      <w:r w:rsidRPr="00A413B4">
        <w:t>places.</w:t>
      </w:r>
      <w:r w:rsidR="00470EBF">
        <w:t xml:space="preserve"> </w:t>
      </w:r>
    </w:p>
    <w:p w:rsidR="000A2967" w:rsidRPr="00A413B4" w:rsidRDefault="000A2967" w:rsidP="00A40F2A">
      <w:pPr>
        <w:pStyle w:val="H1G"/>
      </w:pPr>
      <w:r w:rsidRPr="00A413B4">
        <w:tab/>
        <w:t>C.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3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17.</w:t>
      </w:r>
      <w:r w:rsidRPr="00A413B4">
        <w:tab/>
        <w:t>The</w:t>
      </w:r>
      <w:r w:rsidR="00470EBF">
        <w:t xml:space="preserve"> </w:t>
      </w:r>
      <w:r w:rsidRPr="00A413B4">
        <w:t>NSDP</w:t>
      </w:r>
      <w:r w:rsidR="00470EBF">
        <w:t xml:space="preserve"> </w:t>
      </w:r>
      <w:r w:rsidRPr="00A413B4">
        <w:t>incorporates</w:t>
      </w:r>
      <w:r w:rsidR="00470EBF">
        <w:t xml:space="preserve"> </w:t>
      </w:r>
      <w:r w:rsidRPr="00A413B4">
        <w:t>aspects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Sustainable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Goals</w:t>
      </w:r>
      <w:r w:rsidR="00470EBF">
        <w:t xml:space="preserve"> </w:t>
      </w:r>
      <w:r w:rsidRPr="00A413B4">
        <w:t>(SDG).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based</w:t>
      </w:r>
      <w:r w:rsidR="00470EBF">
        <w:t xml:space="preserve"> </w:t>
      </w:r>
      <w:r w:rsidRPr="00A413B4">
        <w:t>approach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implemented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Pito</w:t>
      </w:r>
      <w:r w:rsidR="00470EBF">
        <w:t xml:space="preserve"> </w:t>
      </w:r>
      <w:r w:rsidRPr="00A413B4">
        <w:t>Manava</w:t>
      </w:r>
      <w:r w:rsidR="00470EBF">
        <w:t xml:space="preserve"> </w:t>
      </w:r>
      <w:r w:rsidRPr="00A413B4">
        <w:t>o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Anau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Framework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2017-2021,</w:t>
      </w:r>
      <w:r w:rsidR="00470EBF">
        <w:t xml:space="preserve"> </w:t>
      </w:r>
      <w:r w:rsidRPr="00A413B4">
        <w:t>Cabinet</w:t>
      </w:r>
      <w:r w:rsidR="00470EBF">
        <w:t xml:space="preserve"> </w:t>
      </w:r>
      <w:r w:rsidRPr="00A413B4">
        <w:t>Minute</w:t>
      </w:r>
      <w:r w:rsidR="00470EBF">
        <w:t xml:space="preserve"> </w:t>
      </w:r>
      <w:r w:rsidRPr="00A413B4">
        <w:t>(17)</w:t>
      </w:r>
      <w:r w:rsidR="00470EBF">
        <w:t xml:space="preserve"> </w:t>
      </w:r>
      <w:r w:rsidRPr="00A413B4">
        <w:t>0317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aligns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NSDP.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Goals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monitored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annual</w:t>
      </w:r>
      <w:r w:rsidR="00470EBF">
        <w:t xml:space="preserve"> </w:t>
      </w:r>
      <w:r w:rsidRPr="00A413B4">
        <w:t>Indicator</w:t>
      </w:r>
      <w:r w:rsidR="00470EBF">
        <w:t xml:space="preserve"> </w:t>
      </w:r>
      <w:r w:rsidRPr="00A413B4">
        <w:t>Report.</w:t>
      </w:r>
    </w:p>
    <w:p w:rsidR="000A2967" w:rsidRPr="00A413B4" w:rsidRDefault="000A2967" w:rsidP="00C26914">
      <w:pPr>
        <w:pStyle w:val="SingleTxtG"/>
      </w:pPr>
      <w:r w:rsidRPr="00A413B4">
        <w:t>18.</w:t>
      </w:r>
      <w:r w:rsidRPr="00A413B4">
        <w:tab/>
        <w:t>It</w:t>
      </w:r>
      <w:r w:rsidR="00470EBF">
        <w:t xml:space="preserve"> </w:t>
      </w:r>
      <w:r w:rsidRPr="00A413B4">
        <w:t>contributes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achievement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NSDP</w:t>
      </w:r>
      <w:r w:rsidR="00470EBF">
        <w:t xml:space="preserve"> </w:t>
      </w:r>
      <w:r w:rsidRPr="00A413B4">
        <w:t>goals: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Goal</w:t>
      </w:r>
      <w:r w:rsidR="00470EBF">
        <w:t xml:space="preserve"> </w:t>
      </w:r>
      <w:r w:rsidR="000A2967" w:rsidRPr="00A413B4">
        <w:t>1:</w:t>
      </w:r>
      <w:r w:rsidR="00470EBF">
        <w:t xml:space="preserve"> </w:t>
      </w:r>
      <w:r w:rsidR="000A2967" w:rsidRPr="00A413B4">
        <w:t>Improve</w:t>
      </w:r>
      <w:r w:rsidR="00470EBF">
        <w:t xml:space="preserve"> </w:t>
      </w:r>
      <w:r w:rsidR="000A2967" w:rsidRPr="00A413B4">
        <w:t>welfare,</w:t>
      </w:r>
      <w:r w:rsidR="00470EBF">
        <w:t xml:space="preserve"> </w:t>
      </w:r>
      <w:r w:rsidR="000A2967" w:rsidRPr="00A413B4">
        <w:t>reduce</w:t>
      </w:r>
      <w:r w:rsidR="00470EBF">
        <w:t xml:space="preserve"> </w:t>
      </w:r>
      <w:r w:rsidR="000A2967" w:rsidRPr="00A413B4">
        <w:t>inequity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economic</w:t>
      </w:r>
      <w:r w:rsidR="00470EBF">
        <w:t xml:space="preserve"> </w:t>
      </w:r>
      <w:r w:rsidR="000A2967" w:rsidRPr="00A413B4">
        <w:t>hardship;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Goal</w:t>
      </w:r>
      <w:r w:rsidR="00470EBF">
        <w:t xml:space="preserve"> </w:t>
      </w:r>
      <w:r w:rsidR="000A2967" w:rsidRPr="00A413B4">
        <w:t>2:</w:t>
      </w:r>
      <w:r w:rsidR="00470EBF">
        <w:t xml:space="preserve"> </w:t>
      </w:r>
      <w:r w:rsidR="000A2967" w:rsidRPr="00A413B4">
        <w:t>Expand</w:t>
      </w:r>
      <w:r w:rsidR="00470EBF">
        <w:t xml:space="preserve"> </w:t>
      </w:r>
      <w:r w:rsidR="000A2967" w:rsidRPr="00A413B4">
        <w:t>economic</w:t>
      </w:r>
      <w:r w:rsidR="00470EBF">
        <w:t xml:space="preserve"> </w:t>
      </w:r>
      <w:r w:rsidR="000A2967" w:rsidRPr="00A413B4">
        <w:t>opportunities,</w:t>
      </w:r>
      <w:r w:rsidR="00470EBF">
        <w:t xml:space="preserve"> </w:t>
      </w:r>
      <w:r w:rsidR="000A2967" w:rsidRPr="00A413B4">
        <w:t>improve</w:t>
      </w:r>
      <w:r w:rsidR="00470EBF">
        <w:t xml:space="preserve"> </w:t>
      </w:r>
      <w:r w:rsidR="000A2967" w:rsidRPr="00A413B4">
        <w:t>economic</w:t>
      </w:r>
      <w:r w:rsidR="00470EBF">
        <w:t xml:space="preserve"> </w:t>
      </w:r>
      <w:r w:rsidR="000A2967" w:rsidRPr="00A413B4">
        <w:t>resilience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productive</w:t>
      </w:r>
      <w:r w:rsidR="00470EBF">
        <w:t xml:space="preserve"> </w:t>
      </w:r>
      <w:r w:rsidR="000A2967" w:rsidRPr="00A413B4">
        <w:t>employment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ensure</w:t>
      </w:r>
      <w:r w:rsidR="00470EBF">
        <w:t xml:space="preserve"> </w:t>
      </w:r>
      <w:r w:rsidR="000A2967" w:rsidRPr="00A413B4">
        <w:t>decent</w:t>
      </w:r>
      <w:r w:rsidR="00470EBF">
        <w:t xml:space="preserve"> </w:t>
      </w:r>
      <w:r w:rsidR="000A2967" w:rsidRPr="00A413B4">
        <w:t>work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all;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Goal</w:t>
      </w:r>
      <w:r w:rsidR="00470EBF">
        <w:t xml:space="preserve"> </w:t>
      </w:r>
      <w:r w:rsidR="000A2967" w:rsidRPr="00A413B4">
        <w:t>7:</w:t>
      </w:r>
      <w:r w:rsidR="00470EBF">
        <w:t xml:space="preserve"> </w:t>
      </w:r>
      <w:r w:rsidR="000A2967" w:rsidRPr="00A413B4">
        <w:t>Improve</w:t>
      </w:r>
      <w:r w:rsidR="00470EBF">
        <w:t xml:space="preserve"> </w:t>
      </w:r>
      <w:r w:rsidR="000A2967" w:rsidRPr="00A413B4">
        <w:t>health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promote</w:t>
      </w:r>
      <w:r w:rsidR="00470EBF">
        <w:t xml:space="preserve"> </w:t>
      </w:r>
      <w:r w:rsidR="000A2967" w:rsidRPr="00A413B4">
        <w:t>healthy</w:t>
      </w:r>
      <w:r w:rsidR="00470EBF">
        <w:t xml:space="preserve"> </w:t>
      </w:r>
      <w:r w:rsidR="000A2967" w:rsidRPr="00A413B4">
        <w:t>lifestyles;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(d)</w:t>
      </w:r>
      <w:r w:rsidR="000A2967" w:rsidRPr="00A413B4">
        <w:tab/>
        <w:t>Goal</w:t>
      </w:r>
      <w:r w:rsidR="00470EBF">
        <w:t xml:space="preserve"> </w:t>
      </w:r>
      <w:r w:rsidR="000A2967" w:rsidRPr="00A413B4">
        <w:t>8:</w:t>
      </w:r>
      <w:r w:rsidR="00470EBF">
        <w:t xml:space="preserve"> </w:t>
      </w:r>
      <w:r w:rsidR="000A2967" w:rsidRPr="00A413B4">
        <w:t>Inclusive,</w:t>
      </w:r>
      <w:r w:rsidR="00470EBF">
        <w:t xml:space="preserve"> </w:t>
      </w:r>
      <w:r w:rsidR="000A2967" w:rsidRPr="00A413B4">
        <w:t>equitable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quality</w:t>
      </w:r>
      <w:r w:rsidR="00470EBF">
        <w:t xml:space="preserve"> </w:t>
      </w:r>
      <w:r w:rsidR="000A2967" w:rsidRPr="00A413B4">
        <w:t>education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promote</w:t>
      </w:r>
      <w:r w:rsidR="00470EBF">
        <w:t xml:space="preserve"> </w:t>
      </w:r>
      <w:r w:rsidR="000A2967" w:rsidRPr="00A413B4">
        <w:t>life-long</w:t>
      </w:r>
      <w:r w:rsidR="00470EBF">
        <w:t xml:space="preserve"> </w:t>
      </w:r>
      <w:r w:rsidR="000A2967" w:rsidRPr="00A413B4">
        <w:t>learning</w:t>
      </w:r>
      <w:r w:rsidR="00470EBF">
        <w:t xml:space="preserve"> </w:t>
      </w:r>
      <w:r w:rsidR="000A2967" w:rsidRPr="00A413B4">
        <w:t>opportunities;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(e)</w:t>
      </w:r>
      <w:r w:rsidR="000A2967" w:rsidRPr="00A413B4">
        <w:tab/>
        <w:t>Goal</w:t>
      </w:r>
      <w:r w:rsidR="00470EBF">
        <w:t xml:space="preserve"> </w:t>
      </w:r>
      <w:r w:rsidR="000A2967" w:rsidRPr="00A413B4">
        <w:t>9:</w:t>
      </w:r>
      <w:r w:rsidR="00470EBF">
        <w:t xml:space="preserve"> </w:t>
      </w:r>
      <w:r w:rsidR="000A2967" w:rsidRPr="00A413B4">
        <w:t>Accelerate</w:t>
      </w:r>
      <w:r w:rsidR="00470EBF">
        <w:t xml:space="preserve"> </w:t>
      </w:r>
      <w:r w:rsidR="000A2967" w:rsidRPr="00A413B4">
        <w:t>gender</w:t>
      </w:r>
      <w:r w:rsidR="00470EBF">
        <w:t xml:space="preserve"> </w:t>
      </w:r>
      <w:r w:rsidR="000A2967" w:rsidRPr="00A413B4">
        <w:t>equality</w:t>
      </w:r>
      <w:r w:rsidR="00470EBF">
        <w:t xml:space="preserve"> </w:t>
      </w:r>
      <w:r w:rsidR="000A2967" w:rsidRPr="00A413B4">
        <w:t>empower</w:t>
      </w:r>
      <w:r w:rsidR="00470EBF">
        <w:t xml:space="preserve"> </w:t>
      </w:r>
      <w:r w:rsidR="000A2967" w:rsidRPr="00A413B4">
        <w:t>all</w:t>
      </w:r>
      <w:r w:rsidR="00470EBF">
        <w:t xml:space="preserve"> </w:t>
      </w:r>
      <w:r w:rsidR="000A2967" w:rsidRPr="00A413B4">
        <w:t>women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girls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advance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rights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youth,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elderly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disabled;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(f)</w:t>
      </w:r>
      <w:r w:rsidR="000A2967" w:rsidRPr="00A413B4">
        <w:tab/>
        <w:t>Goal</w:t>
      </w:r>
      <w:r w:rsidR="00470EBF">
        <w:t xml:space="preserve"> </w:t>
      </w:r>
      <w:r w:rsidR="000A2967" w:rsidRPr="00A413B4">
        <w:t>14:</w:t>
      </w:r>
      <w:r w:rsidR="00470EBF">
        <w:t xml:space="preserve"> </w:t>
      </w:r>
      <w:r w:rsidR="000A2967" w:rsidRPr="00A413B4">
        <w:t>Preserve</w:t>
      </w:r>
      <w:r w:rsidR="00470EBF">
        <w:t xml:space="preserve"> </w:t>
      </w:r>
      <w:r w:rsidR="000A2967" w:rsidRPr="00A413B4">
        <w:t>our</w:t>
      </w:r>
      <w:r w:rsidR="00470EBF">
        <w:t xml:space="preserve"> </w:t>
      </w:r>
      <w:r w:rsidR="000A2967" w:rsidRPr="00A413B4">
        <w:t>heritage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history,</w:t>
      </w:r>
      <w:r w:rsidR="00470EBF">
        <w:t xml:space="preserve"> </w:t>
      </w:r>
      <w:r w:rsidR="000A2967" w:rsidRPr="00A413B4">
        <w:t>protect</w:t>
      </w:r>
      <w:r w:rsidR="00470EBF">
        <w:t xml:space="preserve"> </w:t>
      </w:r>
      <w:r w:rsidR="000A2967" w:rsidRPr="00A413B4">
        <w:t>our</w:t>
      </w:r>
      <w:r w:rsidR="00470EBF">
        <w:t xml:space="preserve"> </w:t>
      </w:r>
      <w:r w:rsidR="000A2967" w:rsidRPr="00A413B4">
        <w:t>traditional</w:t>
      </w:r>
      <w:r w:rsidR="00470EBF">
        <w:t xml:space="preserve"> </w:t>
      </w:r>
      <w:r w:rsidR="000A2967" w:rsidRPr="00A413B4">
        <w:t>knowledge,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develop</w:t>
      </w:r>
      <w:r w:rsidR="00470EBF">
        <w:t xml:space="preserve"> </w:t>
      </w:r>
      <w:r w:rsidR="000A2967" w:rsidRPr="00A413B4">
        <w:t>our</w:t>
      </w:r>
      <w:r w:rsidR="00470EBF">
        <w:t xml:space="preserve"> </w:t>
      </w:r>
      <w:r w:rsidR="000A2967" w:rsidRPr="00A413B4">
        <w:t>language,</w:t>
      </w:r>
      <w:r w:rsidR="00470EBF">
        <w:t xml:space="preserve"> </w:t>
      </w:r>
      <w:r w:rsidR="000A2967" w:rsidRPr="00A413B4">
        <w:t>creative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cultural</w:t>
      </w:r>
      <w:r w:rsidR="00470EBF">
        <w:t xml:space="preserve"> </w:t>
      </w:r>
      <w:r w:rsidR="000A2967" w:rsidRPr="00A413B4">
        <w:t>endeavours;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(g)</w:t>
      </w:r>
      <w:r w:rsidR="000A2967" w:rsidRPr="00A413B4">
        <w:tab/>
        <w:t>Goal</w:t>
      </w:r>
      <w:r w:rsidR="00470EBF">
        <w:t xml:space="preserve"> </w:t>
      </w:r>
      <w:r w:rsidR="000A2967" w:rsidRPr="00A413B4">
        <w:t>15:</w:t>
      </w:r>
      <w:r w:rsidR="00470EBF">
        <w:t xml:space="preserve"> </w:t>
      </w:r>
      <w:r w:rsidR="000A2967" w:rsidRPr="00A413B4">
        <w:t>Ensure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sustainable</w:t>
      </w:r>
      <w:r w:rsidR="00470EBF">
        <w:t xml:space="preserve"> </w:t>
      </w:r>
      <w:r w:rsidR="000A2967" w:rsidRPr="00A413B4">
        <w:t>population,</w:t>
      </w:r>
      <w:r w:rsidR="00470EBF">
        <w:t xml:space="preserve"> </w:t>
      </w:r>
      <w:r w:rsidR="000A2967" w:rsidRPr="00A413B4">
        <w:t>engaged</w:t>
      </w:r>
      <w:r w:rsidR="00470EBF">
        <w:t xml:space="preserve"> </w:t>
      </w:r>
      <w:r w:rsidR="000A2967" w:rsidRPr="00A413B4">
        <w:t>in</w:t>
      </w:r>
      <w:r w:rsidR="00470EBF">
        <w:t xml:space="preserve"> </w:t>
      </w:r>
      <w:r w:rsidR="000A2967" w:rsidRPr="00A413B4">
        <w:t>development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Cook</w:t>
      </w:r>
      <w:r w:rsidR="00470EBF">
        <w:t xml:space="preserve"> </w:t>
      </w:r>
      <w:r w:rsidR="000A2967" w:rsidRPr="00A413B4">
        <w:t>Islands</w:t>
      </w:r>
      <w:r w:rsidR="00470EBF">
        <w:t xml:space="preserve"> </w:t>
      </w:r>
      <w:r w:rsidR="000A2967" w:rsidRPr="00A413B4">
        <w:t>by</w:t>
      </w:r>
      <w:r w:rsidR="00470EBF">
        <w:t xml:space="preserve"> </w:t>
      </w:r>
      <w:r w:rsidR="000A2967" w:rsidRPr="00A413B4">
        <w:t>Cook</w:t>
      </w:r>
      <w:r w:rsidR="00470EBF">
        <w:t xml:space="preserve"> </w:t>
      </w:r>
      <w:r w:rsidR="000A2967" w:rsidRPr="00A413B4">
        <w:t>Islanders;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</w:p>
    <w:p w:rsidR="000A2967" w:rsidRPr="00A413B4" w:rsidRDefault="005A2366" w:rsidP="00C26914">
      <w:pPr>
        <w:pStyle w:val="SingleTxtG"/>
      </w:pPr>
      <w:r>
        <w:tab/>
      </w:r>
      <w:r w:rsidR="000A2967" w:rsidRPr="00A413B4">
        <w:t>(h)</w:t>
      </w:r>
      <w:r w:rsidR="000A2967" w:rsidRPr="00A413B4">
        <w:tab/>
        <w:t>Goal</w:t>
      </w:r>
      <w:r w:rsidR="00470EBF">
        <w:t xml:space="preserve"> </w:t>
      </w:r>
      <w:r w:rsidR="000A2967" w:rsidRPr="00A413B4">
        <w:t>16:</w:t>
      </w:r>
      <w:r w:rsidR="00470EBF">
        <w:t xml:space="preserve"> </w:t>
      </w:r>
      <w:r w:rsidR="000A2967" w:rsidRPr="00A413B4">
        <w:t>Promote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peaceful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just</w:t>
      </w:r>
      <w:r w:rsidR="00470EBF">
        <w:t xml:space="preserve"> </w:t>
      </w:r>
      <w:r w:rsidR="000A2967" w:rsidRPr="00A413B4">
        <w:t>society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practice</w:t>
      </w:r>
      <w:r w:rsidR="00470EBF">
        <w:t xml:space="preserve"> </w:t>
      </w:r>
      <w:r w:rsidR="000A2967" w:rsidRPr="00A413B4">
        <w:t>good</w:t>
      </w:r>
      <w:r w:rsidR="00470EBF">
        <w:t xml:space="preserve"> </w:t>
      </w:r>
      <w:r w:rsidR="000A2967" w:rsidRPr="00A413B4">
        <w:t>governance</w:t>
      </w:r>
      <w:r w:rsidR="00470EBF">
        <w:t xml:space="preserve"> </w:t>
      </w:r>
      <w:r w:rsidR="000A2967" w:rsidRPr="00A413B4">
        <w:t>with</w:t>
      </w:r>
      <w:r w:rsidR="00470EBF">
        <w:t xml:space="preserve"> </w:t>
      </w:r>
      <w:r w:rsidR="000A2967" w:rsidRPr="00A413B4">
        <w:t>transparency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accountability.</w:t>
      </w:r>
    </w:p>
    <w:p w:rsidR="000A2967" w:rsidRPr="00A413B4" w:rsidRDefault="000A2967" w:rsidP="00C26914">
      <w:pPr>
        <w:pStyle w:val="SingleTxtG"/>
      </w:pPr>
      <w:r w:rsidRPr="00A413B4">
        <w:t>19.</w:t>
      </w:r>
      <w:r w:rsidRPr="00A413B4">
        <w:tab/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issue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independent</w:t>
      </w:r>
      <w:r w:rsidR="00470EBF">
        <w:t xml:space="preserve"> </w:t>
      </w:r>
      <w:r w:rsidRPr="00A413B4">
        <w:t>monitoring</w:t>
      </w:r>
      <w:r w:rsidR="00470EBF">
        <w:t xml:space="preserve"> </w:t>
      </w:r>
      <w:r w:rsidRPr="00A413B4">
        <w:t>mechanism,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function</w:t>
      </w:r>
      <w:r w:rsidR="00470EBF">
        <w:t xml:space="preserve"> </w:t>
      </w:r>
      <w:r w:rsidRPr="00A413B4">
        <w:t>remains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Office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Ombudsman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per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Cabinet</w:t>
      </w:r>
      <w:r w:rsidR="00470EBF">
        <w:t xml:space="preserve"> </w:t>
      </w:r>
      <w:r w:rsidRPr="00A413B4">
        <w:t>Directive</w:t>
      </w:r>
      <w:r w:rsidR="00470EBF">
        <w:t xml:space="preserve"> </w:t>
      </w:r>
      <w:r w:rsidRPr="00A413B4">
        <w:t>(CM</w:t>
      </w:r>
      <w:r w:rsidR="00470EBF">
        <w:t xml:space="preserve"> </w:t>
      </w:r>
      <w:r w:rsidRPr="00A413B4">
        <w:t>(07)</w:t>
      </w:r>
      <w:r w:rsidR="00470EBF">
        <w:t xml:space="preserve"> </w:t>
      </w:r>
      <w:r w:rsidRPr="00A413B4">
        <w:t>694).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mid-term</w:t>
      </w:r>
      <w:r w:rsidR="00470EBF">
        <w:t xml:space="preserve"> </w:t>
      </w:r>
      <w:r w:rsidRPr="00A413B4">
        <w:t>budget</w:t>
      </w:r>
      <w:r w:rsidR="00470EBF">
        <w:t xml:space="preserve"> </w:t>
      </w:r>
      <w:r w:rsidRPr="00A413B4">
        <w:t>process,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Office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secured</w:t>
      </w:r>
      <w:r w:rsidR="00470EBF">
        <w:t xml:space="preserve"> </w:t>
      </w:r>
      <w:r w:rsidRPr="00A413B4">
        <w:t>funds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two</w:t>
      </w:r>
      <w:r w:rsidR="00470EBF">
        <w:t xml:space="preserve"> </w:t>
      </w:r>
      <w:r w:rsidRPr="00A413B4">
        <w:t>investigation</w:t>
      </w:r>
      <w:r w:rsidR="00470EBF">
        <w:t xml:space="preserve"> </w:t>
      </w:r>
      <w:r w:rsidRPr="00A413B4">
        <w:t>officers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2021/2022</w:t>
      </w:r>
      <w:r w:rsidR="00470EBF">
        <w:t xml:space="preserve"> </w:t>
      </w:r>
      <w:r w:rsidRPr="00A413B4">
        <w:t>financial</w:t>
      </w:r>
      <w:r w:rsidR="00470EBF">
        <w:t xml:space="preserve"> </w:t>
      </w:r>
      <w:r w:rsidRPr="00A413B4">
        <w:t>year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investigation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rights-based</w:t>
      </w:r>
      <w:r w:rsidR="00470EBF">
        <w:t xml:space="preserve"> </w:t>
      </w:r>
      <w:r w:rsidRPr="00A413B4">
        <w:t>complaints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infringements.</w:t>
      </w:r>
      <w:r w:rsidR="00A164FB">
        <w:t xml:space="preserve"> </w:t>
      </w:r>
      <w:r w:rsidRPr="00A413B4">
        <w:t>The</w:t>
      </w:r>
      <w:r w:rsidR="00470EBF">
        <w:t xml:space="preserve"> </w:t>
      </w:r>
      <w:r w:rsidRPr="00A413B4">
        <w:t>Office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carrying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public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campaigns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part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its</w:t>
      </w:r>
      <w:r w:rsidR="00470EBF">
        <w:t xml:space="preserve"> </w:t>
      </w:r>
      <w:r w:rsidRPr="00A413B4">
        <w:t>strategic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coming</w:t>
      </w:r>
      <w:r w:rsidR="00470EBF">
        <w:t xml:space="preserve"> </w:t>
      </w:r>
      <w:r w:rsidRPr="00A413B4">
        <w:t>financial</w:t>
      </w:r>
      <w:r w:rsidR="00470EBF">
        <w:t xml:space="preserve"> </w:t>
      </w:r>
      <w:r w:rsidRPr="00A413B4">
        <w:t>year.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Office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looking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investigating</w:t>
      </w:r>
      <w:r w:rsidR="00470EBF">
        <w:t xml:space="preserve"> </w:t>
      </w:r>
      <w:r w:rsidRPr="00A413B4">
        <w:t>any</w:t>
      </w:r>
      <w:r w:rsidR="00470EBF">
        <w:t xml:space="preserve"> </w:t>
      </w:r>
      <w:r w:rsidRPr="00A413B4">
        <w:t>complaints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infringements</w:t>
      </w:r>
      <w:r w:rsidR="00470EBF">
        <w:t xml:space="preserve"> </w:t>
      </w:r>
      <w:r w:rsidRPr="00A413B4">
        <w:t>using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Ombudsman’s</w:t>
      </w:r>
      <w:r w:rsidR="00470EBF">
        <w:t xml:space="preserve"> </w:t>
      </w:r>
      <w:r w:rsidRPr="00A413B4">
        <w:t>mandate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Ombudsman</w:t>
      </w:r>
      <w:r w:rsidR="00470EBF">
        <w:t xml:space="preserve"> </w:t>
      </w:r>
      <w:r w:rsidRPr="00A413B4">
        <w:t>Act.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20.</w:t>
      </w:r>
      <w:r w:rsidRPr="00A413B4">
        <w:tab/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supporting</w:t>
      </w:r>
      <w:r w:rsidR="00470EBF">
        <w:t xml:space="preserve"> </w:t>
      </w:r>
      <w:r w:rsidRPr="00A413B4">
        <w:t>staff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Institutions</w:t>
      </w:r>
      <w:r w:rsidR="00470EBF">
        <w:t xml:space="preserve"> </w:t>
      </w:r>
      <w:r w:rsidRPr="00A413B4">
        <w:t>(NHRIs).Government</w:t>
      </w:r>
      <w:r w:rsidR="00470EBF">
        <w:t xml:space="preserve"> </w:t>
      </w:r>
      <w:r w:rsidRPr="00A413B4">
        <w:t>officials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attended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NHRI</w:t>
      </w:r>
      <w:r w:rsidR="00470EBF">
        <w:t xml:space="preserve"> </w:t>
      </w:r>
      <w:r w:rsidRPr="00A413B4">
        <w:t>trainings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2019.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provided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opportunity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officials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learn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other</w:t>
      </w:r>
      <w:r w:rsidR="00470EBF">
        <w:t xml:space="preserve"> </w:t>
      </w:r>
      <w:r w:rsidRPr="00A413B4">
        <w:t>countries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Pacific</w:t>
      </w:r>
      <w:r w:rsidR="00470EBF">
        <w:t xml:space="preserve"> </w:t>
      </w:r>
      <w:r w:rsidRPr="00A413B4">
        <w:t>region.</w:t>
      </w:r>
      <w:r w:rsidR="00470EBF">
        <w:t xml:space="preserve"> </w:t>
      </w:r>
      <w:r w:rsidRPr="00A413B4">
        <w:t>One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trainings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conducted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UK,</w:t>
      </w:r>
      <w:r w:rsidR="00470EBF">
        <w:t xml:space="preserve"> </w:t>
      </w:r>
      <w:r w:rsidRPr="00A413B4">
        <w:t>whereby</w:t>
      </w:r>
      <w:r w:rsidR="00470EBF">
        <w:t xml:space="preserve"> </w:t>
      </w:r>
      <w:r w:rsidRPr="00A413B4">
        <w:t>Pacific</w:t>
      </w:r>
      <w:r w:rsidR="00470EBF">
        <w:t xml:space="preserve"> </w:t>
      </w:r>
      <w:r w:rsidRPr="00A413B4">
        <w:t>delegates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representatives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had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chance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dialogue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representatives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Northern</w:t>
      </w:r>
      <w:r w:rsidR="00470EBF">
        <w:t xml:space="preserve"> </w:t>
      </w:r>
      <w:r w:rsidRPr="00A413B4">
        <w:t>Ireland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Commission;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United</w:t>
      </w:r>
      <w:r w:rsidR="00470EBF">
        <w:t xml:space="preserve"> </w:t>
      </w:r>
      <w:r w:rsidRPr="00A413B4">
        <w:t>Kingdom</w:t>
      </w:r>
      <w:r w:rsidR="00470EBF">
        <w:t xml:space="preserve"> </w:t>
      </w:r>
      <w:r w:rsidRPr="00A413B4">
        <w:t>Equality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Commission.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representatives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had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one-day</w:t>
      </w:r>
      <w:r w:rsidR="00470EBF">
        <w:t xml:space="preserve"> </w:t>
      </w:r>
      <w:r w:rsidRPr="00A413B4">
        <w:t>dialogue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New</w:t>
      </w:r>
      <w:r w:rsidR="00470EBF">
        <w:t xml:space="preserve"> </w:t>
      </w:r>
      <w:r w:rsidRPr="00A413B4">
        <w:lastRenderedPageBreak/>
        <w:t>Zealand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Commission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Auckland.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conducted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NHRIs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Southern</w:t>
      </w:r>
      <w:r w:rsidR="00470EBF">
        <w:t xml:space="preserve"> </w:t>
      </w:r>
      <w:r w:rsidRPr="00A413B4">
        <w:t>group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(Aitutaki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Mangaia)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April</w:t>
      </w:r>
      <w:r w:rsidR="00470EBF">
        <w:t xml:space="preserve"> </w:t>
      </w:r>
      <w:r w:rsidRPr="00A413B4">
        <w:t>2017.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plans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conduct</w:t>
      </w:r>
      <w:r w:rsidR="00470EBF">
        <w:t xml:space="preserve"> </w:t>
      </w:r>
      <w:r w:rsidRPr="00A413B4">
        <w:t>similar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Northern</w:t>
      </w:r>
      <w:r w:rsidR="00470EBF">
        <w:t xml:space="preserve"> </w:t>
      </w:r>
      <w:r w:rsidRPr="00A413B4">
        <w:t>group.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delay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carrying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Northern</w:t>
      </w:r>
      <w:r w:rsidR="00470EBF">
        <w:t xml:space="preserve"> </w:t>
      </w:r>
      <w:r w:rsidRPr="00A413B4">
        <w:t>group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result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resource</w:t>
      </w:r>
      <w:r w:rsidR="00470EBF">
        <w:t xml:space="preserve"> </w:t>
      </w:r>
      <w:r w:rsidRPr="00A413B4">
        <w:t>constraints.</w:t>
      </w:r>
    </w:p>
    <w:p w:rsidR="000A2967" w:rsidRPr="00A413B4" w:rsidRDefault="000A2967" w:rsidP="006E252B">
      <w:pPr>
        <w:pStyle w:val="H1G"/>
      </w:pPr>
      <w:r w:rsidRPr="00A413B4">
        <w:tab/>
        <w:t>D.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4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21.</w:t>
      </w:r>
      <w:r w:rsidRPr="00A413B4">
        <w:tab/>
        <w:t>The</w:t>
      </w:r>
      <w:r w:rsidR="00470EBF">
        <w:t xml:space="preserve"> </w:t>
      </w:r>
      <w:r w:rsidRPr="00A413B4">
        <w:t>Marriage</w:t>
      </w:r>
      <w:r w:rsidR="00470EBF">
        <w:t xml:space="preserve"> </w:t>
      </w:r>
      <w:r w:rsidRPr="00A413B4">
        <w:t>Amendment</w:t>
      </w:r>
      <w:r w:rsidR="00470EBF">
        <w:t xml:space="preserve"> </w:t>
      </w:r>
      <w:r w:rsidRPr="00A413B4">
        <w:t>Bill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currently</w:t>
      </w:r>
      <w:r w:rsidR="00470EBF">
        <w:t xml:space="preserve"> </w:t>
      </w:r>
      <w:r w:rsidRPr="00A413B4">
        <w:t>still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review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working</w:t>
      </w:r>
      <w:r w:rsidR="00470EBF">
        <w:t xml:space="preserve"> </w:t>
      </w:r>
      <w:r w:rsidRPr="00A413B4">
        <w:t>towards</w:t>
      </w:r>
      <w:r w:rsidR="00470EBF">
        <w:t xml:space="preserve"> </w:t>
      </w:r>
      <w:r w:rsidRPr="00A413B4">
        <w:t>finalizing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review,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tabled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Parliament.</w:t>
      </w:r>
      <w:r w:rsidR="00470EBF">
        <w:t xml:space="preserve"> </w:t>
      </w:r>
      <w:r w:rsidRPr="00A413B4">
        <w:t>While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no</w:t>
      </w:r>
      <w:r w:rsidR="00470EBF">
        <w:t xml:space="preserve"> </w:t>
      </w:r>
      <w:r w:rsidRPr="00A413B4">
        <w:t>confirmed</w:t>
      </w:r>
      <w:r w:rsidR="00470EBF">
        <w:t xml:space="preserve"> </w:t>
      </w:r>
      <w:r w:rsidRPr="00A413B4">
        <w:t>time-line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process,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doing</w:t>
      </w:r>
      <w:r w:rsidR="00470EBF">
        <w:t xml:space="preserve"> </w:t>
      </w:r>
      <w:r w:rsidRPr="00A413B4">
        <w:t>its</w:t>
      </w:r>
      <w:r w:rsidR="00470EBF">
        <w:t xml:space="preserve"> </w:t>
      </w:r>
      <w:r w:rsidRPr="00A413B4">
        <w:t>best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ensure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domestic</w:t>
      </w:r>
      <w:r w:rsidR="00470EBF">
        <w:t xml:space="preserve"> </w:t>
      </w:r>
      <w:r w:rsidRPr="00A413B4">
        <w:t>legislation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consistent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international</w:t>
      </w:r>
      <w:r w:rsidR="00470EBF">
        <w:t xml:space="preserve"> </w:t>
      </w:r>
      <w:r w:rsidRPr="00A413B4">
        <w:t>human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standards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Convention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Child.</w:t>
      </w:r>
    </w:p>
    <w:p w:rsidR="000A2967" w:rsidRPr="00A413B4" w:rsidRDefault="000A2967" w:rsidP="00C26914">
      <w:pPr>
        <w:pStyle w:val="SingleTxtG"/>
      </w:pPr>
      <w:r w:rsidRPr="00A413B4">
        <w:t>22.</w:t>
      </w:r>
      <w:r w:rsidRPr="00A413B4">
        <w:tab/>
        <w:t>The</w:t>
      </w:r>
      <w:r w:rsidR="00470EBF">
        <w:t xml:space="preserve"> </w:t>
      </w:r>
      <w:r w:rsidRPr="00A413B4">
        <w:t>Crimes</w:t>
      </w:r>
      <w:r w:rsidR="00470EBF">
        <w:t xml:space="preserve"> </w:t>
      </w:r>
      <w:r w:rsidRPr="00A413B4">
        <w:t>Bill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currently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Select</w:t>
      </w:r>
      <w:r w:rsidR="00470EBF">
        <w:t xml:space="preserve"> </w:t>
      </w:r>
      <w:r w:rsidRPr="00A413B4">
        <w:t>Committee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due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next</w:t>
      </w:r>
      <w:r w:rsidR="00470EBF">
        <w:t xml:space="preserve"> </w:t>
      </w:r>
      <w:r w:rsidRPr="00A413B4">
        <w:t>sitting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Parliament</w:t>
      </w:r>
      <w:r w:rsidR="00470EBF">
        <w:t xml:space="preserve"> </w:t>
      </w:r>
      <w:r w:rsidRPr="00A413B4">
        <w:t>(which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most</w:t>
      </w:r>
      <w:r w:rsidR="00470EBF">
        <w:t xml:space="preserve"> </w:t>
      </w:r>
      <w:r w:rsidRPr="00A413B4">
        <w:t>likely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December).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covers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number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areas</w:t>
      </w:r>
      <w:r w:rsidR="00470EBF">
        <w:t xml:space="preserve"> </w:t>
      </w:r>
      <w:r w:rsidRPr="00A413B4">
        <w:t>including:</w:t>
      </w:r>
    </w:p>
    <w:p w:rsidR="000A2967" w:rsidRPr="00A413B4" w:rsidRDefault="006E252B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Lack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capacity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children</w:t>
      </w:r>
      <w:r w:rsidR="00470EBF">
        <w:t xml:space="preserve"> </w:t>
      </w:r>
      <w:r w:rsidR="000A2967" w:rsidRPr="00A413B4">
        <w:t>under</w:t>
      </w:r>
      <w:r w:rsidR="00470EBF">
        <w:t xml:space="preserve"> </w:t>
      </w:r>
      <w:r w:rsidR="000A2967" w:rsidRPr="00A413B4">
        <w:t>10</w:t>
      </w:r>
      <w:r w:rsidR="00470EBF">
        <w:t xml:space="preserve"> </w:t>
      </w:r>
      <w:r w:rsidR="000A2967" w:rsidRPr="00A413B4">
        <w:t>years</w:t>
      </w:r>
      <w:r w:rsidR="00470EBF">
        <w:t xml:space="preserve"> </w:t>
      </w:r>
      <w:r w:rsidR="000A2967" w:rsidRPr="00A413B4">
        <w:t>cannot</w:t>
      </w:r>
      <w:r w:rsidR="00470EBF">
        <w:t xml:space="preserve"> </w:t>
      </w:r>
      <w:r w:rsidR="000A2967" w:rsidRPr="00A413B4">
        <w:t>be</w:t>
      </w:r>
      <w:r w:rsidR="00470EBF">
        <w:t xml:space="preserve"> </w:t>
      </w:r>
      <w:r w:rsidR="000A2967" w:rsidRPr="00A413B4">
        <w:t>convicted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an</w:t>
      </w:r>
      <w:r w:rsidR="00470EBF">
        <w:t xml:space="preserve"> </w:t>
      </w:r>
      <w:r w:rsidR="000A2967" w:rsidRPr="00A413B4">
        <w:t>offence,</w:t>
      </w:r>
      <w:r w:rsidR="00470EBF">
        <w:t xml:space="preserve"> </w:t>
      </w:r>
      <w:r w:rsidR="000A2967" w:rsidRPr="00A413B4">
        <w:t>children</w:t>
      </w:r>
      <w:r w:rsidR="00470EBF">
        <w:t xml:space="preserve"> </w:t>
      </w:r>
      <w:r w:rsidR="000A2967" w:rsidRPr="00A413B4">
        <w:t>between</w:t>
      </w:r>
      <w:r w:rsidR="00470EBF">
        <w:t xml:space="preserve"> </w:t>
      </w:r>
      <w:r w:rsidR="000A2967" w:rsidRPr="00A413B4">
        <w:t>10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14</w:t>
      </w:r>
      <w:r w:rsidR="00470EBF">
        <w:t xml:space="preserve"> </w:t>
      </w:r>
      <w:r w:rsidR="000A2967" w:rsidRPr="00A413B4">
        <w:t>years</w:t>
      </w:r>
      <w:r w:rsidR="00470EBF">
        <w:t xml:space="preserve"> </w:t>
      </w:r>
      <w:r w:rsidR="000A2967" w:rsidRPr="00A413B4">
        <w:t>may</w:t>
      </w:r>
      <w:r w:rsidR="00470EBF">
        <w:t xml:space="preserve"> </w:t>
      </w:r>
      <w:r w:rsidR="000A2967" w:rsidRPr="00A413B4">
        <w:t>be</w:t>
      </w:r>
      <w:r w:rsidR="00470EBF">
        <w:t xml:space="preserve"> </w:t>
      </w:r>
      <w:r w:rsidR="000A2967" w:rsidRPr="00A413B4">
        <w:t>convicted</w:t>
      </w:r>
      <w:r w:rsidR="00470EBF">
        <w:t xml:space="preserve"> </w:t>
      </w:r>
      <w:r w:rsidR="000A2967" w:rsidRPr="00A413B4">
        <w:t>but</w:t>
      </w:r>
      <w:r w:rsidR="00470EBF">
        <w:t xml:space="preserve"> </w:t>
      </w:r>
      <w:r w:rsidR="000A2967" w:rsidRPr="00A413B4">
        <w:t>only</w:t>
      </w:r>
      <w:r w:rsidR="00470EBF">
        <w:t xml:space="preserve"> </w:t>
      </w:r>
      <w:r w:rsidR="000A2967" w:rsidRPr="00A413B4">
        <w:t>if</w:t>
      </w:r>
      <w:r w:rsidR="00470EBF">
        <w:t xml:space="preserve"> </w:t>
      </w:r>
      <w:r w:rsidR="000A2967" w:rsidRPr="00A413B4">
        <w:t>they</w:t>
      </w:r>
      <w:r w:rsidR="00470EBF">
        <w:t xml:space="preserve"> </w:t>
      </w:r>
      <w:r w:rsidR="000A2967" w:rsidRPr="00A413B4">
        <w:t>know</w:t>
      </w:r>
      <w:r w:rsidR="00470EBF">
        <w:t xml:space="preserve"> </w:t>
      </w:r>
      <w:r w:rsidR="000A2967" w:rsidRPr="00A413B4">
        <w:t>that</w:t>
      </w:r>
      <w:r w:rsidR="00470EBF">
        <w:t xml:space="preserve"> </w:t>
      </w:r>
      <w:r w:rsidR="000A2967" w:rsidRPr="00A413B4">
        <w:t>their</w:t>
      </w:r>
      <w:r w:rsidR="00470EBF">
        <w:t xml:space="preserve"> </w:t>
      </w:r>
      <w:r w:rsidR="000A2967" w:rsidRPr="00A413B4">
        <w:t>conduct</w:t>
      </w:r>
      <w:r w:rsidR="00470EBF">
        <w:t xml:space="preserve"> </w:t>
      </w:r>
      <w:r w:rsidR="000A2967" w:rsidRPr="00A413B4">
        <w:t>is</w:t>
      </w:r>
      <w:r w:rsidR="00470EBF">
        <w:t xml:space="preserve"> </w:t>
      </w:r>
      <w:r w:rsidR="000A2967" w:rsidRPr="00A413B4">
        <w:t>wrong</w:t>
      </w:r>
      <w:r w:rsidR="00470EBF">
        <w:t xml:space="preserve"> </w:t>
      </w:r>
      <w:r w:rsidR="000A2967" w:rsidRPr="00A413B4">
        <w:t>(burden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proof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this</w:t>
      </w:r>
      <w:r w:rsidR="00470EBF">
        <w:t xml:space="preserve"> </w:t>
      </w:r>
      <w:r w:rsidR="000A2967" w:rsidRPr="00A413B4">
        <w:t>rests</w:t>
      </w:r>
      <w:r w:rsidR="00470EBF">
        <w:t xml:space="preserve"> </w:t>
      </w:r>
      <w:r w:rsidR="000A2967" w:rsidRPr="00A413B4">
        <w:t>with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prosecution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it</w:t>
      </w:r>
      <w:r w:rsidR="00470EBF">
        <w:t xml:space="preserve"> </w:t>
      </w:r>
      <w:r w:rsidR="000A2967" w:rsidRPr="00A413B4">
        <w:t>is</w:t>
      </w:r>
      <w:r w:rsidR="00470EBF">
        <w:t xml:space="preserve"> </w:t>
      </w:r>
      <w:r w:rsidR="000A2967" w:rsidRPr="00A413B4">
        <w:t>ultimately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question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fact);</w:t>
      </w:r>
    </w:p>
    <w:p w:rsidR="000A2967" w:rsidRPr="00A413B4" w:rsidRDefault="006E252B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Special</w:t>
      </w:r>
      <w:r w:rsidR="00470EBF">
        <w:t xml:space="preserve"> </w:t>
      </w:r>
      <w:r w:rsidR="000A2967" w:rsidRPr="00A413B4">
        <w:t>sexual</w:t>
      </w:r>
      <w:r w:rsidR="00470EBF">
        <w:t xml:space="preserve"> </w:t>
      </w:r>
      <w:r w:rsidR="000A2967" w:rsidRPr="00A413B4">
        <w:t>offence</w:t>
      </w:r>
      <w:r w:rsidR="00470EBF">
        <w:t xml:space="preserve"> </w:t>
      </w:r>
      <w:r w:rsidR="000A2967" w:rsidRPr="00A413B4">
        <w:t>provisions</w:t>
      </w:r>
      <w:r w:rsidR="00470EBF">
        <w:t xml:space="preserve"> </w:t>
      </w:r>
      <w:r w:rsidR="000A2967" w:rsidRPr="00A413B4">
        <w:t>involving</w:t>
      </w:r>
      <w:r w:rsidR="00470EBF">
        <w:t xml:space="preserve"> </w:t>
      </w:r>
      <w:r w:rsidR="000A2967" w:rsidRPr="00A413B4">
        <w:t>children</w:t>
      </w:r>
      <w:r w:rsidR="00470EBF">
        <w:t xml:space="preserve"> </w:t>
      </w:r>
      <w:r w:rsidR="000A2967" w:rsidRPr="00A413B4">
        <w:t>(subpart</w:t>
      </w:r>
      <w:r w:rsidR="00470EBF">
        <w:t xml:space="preserve"> </w:t>
      </w:r>
      <w:r w:rsidR="000A2967" w:rsidRPr="00A413B4">
        <w:t>11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sexual</w:t>
      </w:r>
      <w:r w:rsidR="00470EBF">
        <w:t xml:space="preserve"> </w:t>
      </w:r>
      <w:r w:rsidR="000A2967" w:rsidRPr="00A413B4">
        <w:t>offences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subpart</w:t>
      </w:r>
      <w:r w:rsidR="00470EBF">
        <w:t xml:space="preserve"> </w:t>
      </w:r>
      <w:r w:rsidR="000A2967" w:rsidRPr="00A413B4">
        <w:t>13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child</w:t>
      </w:r>
      <w:r w:rsidR="00470EBF">
        <w:t xml:space="preserve"> </w:t>
      </w:r>
      <w:r w:rsidR="000A2967" w:rsidRPr="00A413B4">
        <w:t>abuse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other</w:t>
      </w:r>
      <w:r w:rsidR="00470EBF">
        <w:t xml:space="preserve"> </w:t>
      </w:r>
      <w:r w:rsidR="000A2967" w:rsidRPr="00A413B4">
        <w:t>indecent</w:t>
      </w:r>
      <w:r w:rsidR="00470EBF">
        <w:t xml:space="preserve"> </w:t>
      </w:r>
      <w:r w:rsidR="000A2967" w:rsidRPr="00A413B4">
        <w:t>material).</w:t>
      </w:r>
    </w:p>
    <w:p w:rsidR="000A2967" w:rsidRPr="00A413B4" w:rsidRDefault="000A2967" w:rsidP="00C26914">
      <w:pPr>
        <w:pStyle w:val="SingleTxtG"/>
      </w:pPr>
      <w:r w:rsidRPr="00A413B4">
        <w:t>23.</w:t>
      </w:r>
      <w:r w:rsidRPr="00A413B4">
        <w:tab/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no</w:t>
      </w:r>
      <w:r w:rsidR="00470EBF">
        <w:t xml:space="preserve"> </w:t>
      </w:r>
      <w:r w:rsidRPr="00A413B4">
        <w:t>explicit</w:t>
      </w:r>
      <w:r w:rsidR="00470EBF">
        <w:t xml:space="preserve"> </w:t>
      </w:r>
      <w:r w:rsidRPr="00A413B4">
        <w:t>provision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assault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current</w:t>
      </w:r>
      <w:r w:rsidR="00470EBF">
        <w:t xml:space="preserve"> </w:t>
      </w:r>
      <w:r w:rsidRPr="00A413B4">
        <w:t>Crimes</w:t>
      </w:r>
      <w:r w:rsidR="00470EBF">
        <w:t xml:space="preserve"> </w:t>
      </w:r>
      <w:r w:rsidRPr="00A413B4">
        <w:t>Bill.</w:t>
      </w:r>
      <w:r w:rsidR="00470EBF">
        <w:t xml:space="preserve"> </w:t>
      </w:r>
      <w:r w:rsidRPr="00A413B4">
        <w:t>However,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general</w:t>
      </w:r>
      <w:r w:rsidR="00470EBF">
        <w:t xml:space="preserve"> </w:t>
      </w:r>
      <w:r w:rsidRPr="00A413B4">
        <w:t>assault</w:t>
      </w:r>
      <w:r w:rsidR="00470EBF">
        <w:t xml:space="preserve"> </w:t>
      </w:r>
      <w:r w:rsidRPr="00A413B4">
        <w:t>provisions</w:t>
      </w:r>
      <w:r w:rsidR="00470EBF">
        <w:t xml:space="preserve"> </w:t>
      </w:r>
      <w:r w:rsidRPr="00A413B4">
        <w:t>cover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action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vulnerability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victim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taken</w:t>
      </w:r>
      <w:r w:rsidR="00470EBF">
        <w:t xml:space="preserve"> </w:t>
      </w:r>
      <w:r w:rsidRPr="00A413B4">
        <w:t>into</w:t>
      </w:r>
      <w:r w:rsidR="00470EBF">
        <w:t xml:space="preserve"> </w:t>
      </w:r>
      <w:r w:rsidRPr="00A413B4">
        <w:t>account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Court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sentencing.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still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defense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lawful</w:t>
      </w:r>
      <w:r w:rsidR="00470EBF">
        <w:t xml:space="preserve"> </w:t>
      </w:r>
      <w:r w:rsidRPr="00A413B4">
        <w:t>correction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but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defense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more</w:t>
      </w:r>
      <w:r w:rsidR="00470EBF">
        <w:t xml:space="preserve"> </w:t>
      </w:r>
      <w:r w:rsidRPr="00A413B4">
        <w:t>restrictive</w:t>
      </w:r>
      <w:r w:rsidR="00470EBF">
        <w:t xml:space="preserve"> </w:t>
      </w:r>
      <w:r w:rsidRPr="00A413B4">
        <w:t>than</w:t>
      </w:r>
      <w:r w:rsidR="00470EBF">
        <w:t xml:space="preserve"> </w:t>
      </w:r>
      <w:r w:rsidRPr="00A413B4">
        <w:t>what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presently</w:t>
      </w:r>
      <w:r w:rsidR="00470EBF">
        <w:t xml:space="preserve"> </w:t>
      </w:r>
      <w:r w:rsidRPr="00A413B4">
        <w:t>available.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24.</w:t>
      </w:r>
      <w:r w:rsidRPr="00A413B4">
        <w:tab/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Act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1915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yet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amended.</w:t>
      </w:r>
      <w:r w:rsidR="00470EBF">
        <w:t xml:space="preserve"> </w:t>
      </w:r>
      <w:r w:rsidRPr="00A413B4">
        <w:t>However,</w:t>
      </w:r>
      <w:r w:rsidR="00470EBF">
        <w:t xml:space="preserve"> </w:t>
      </w:r>
      <w:r w:rsidRPr="00A413B4">
        <w:t>some</w:t>
      </w:r>
      <w:r w:rsidR="00470EBF">
        <w:t xml:space="preserve"> </w:t>
      </w:r>
      <w:r w:rsidRPr="00A413B4">
        <w:t>progress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made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practice</w:t>
      </w:r>
      <w:r w:rsidR="00470EBF">
        <w:t xml:space="preserve"> </w:t>
      </w:r>
      <w:r w:rsidRPr="00A413B4">
        <w:t>when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comes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inheritance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adopted</w:t>
      </w:r>
      <w:r w:rsidR="00470EBF">
        <w:t xml:space="preserve"> </w:t>
      </w:r>
      <w:r w:rsidRPr="00A413B4">
        <w:t>children.</w:t>
      </w:r>
      <w:r w:rsidR="00470EBF">
        <w:t xml:space="preserve"> </w:t>
      </w:r>
      <w:r w:rsidRPr="00A413B4">
        <w:t>While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application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adoption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filed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Justice,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welfare</w:t>
      </w:r>
      <w:r w:rsidR="00470EBF">
        <w:t xml:space="preserve"> </w:t>
      </w:r>
      <w:r w:rsidRPr="00A413B4">
        <w:t>adoption</w:t>
      </w:r>
      <w:r w:rsidR="00470EBF">
        <w:t xml:space="preserve"> </w:t>
      </w:r>
      <w:r w:rsidRPr="00A413B4">
        <w:t>assessment</w:t>
      </w:r>
      <w:r w:rsidR="00470EBF">
        <w:t xml:space="preserve"> </w:t>
      </w:r>
      <w:r w:rsidRPr="00A413B4">
        <w:t>reports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done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Service</w:t>
      </w:r>
      <w:r w:rsidR="00470EBF">
        <w:t xml:space="preserve"> </w:t>
      </w:r>
      <w:r w:rsidRPr="00A413B4">
        <w:t>Unit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2016,</w:t>
      </w:r>
      <w:r w:rsidR="00470EBF">
        <w:t xml:space="preserve"> </w:t>
      </w:r>
      <w:r w:rsidRPr="00A413B4">
        <w:t>assessment</w:t>
      </w:r>
      <w:r w:rsidR="00470EBF">
        <w:t xml:space="preserve"> </w:t>
      </w:r>
      <w:r w:rsidRPr="00A413B4">
        <w:t>questions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amended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include</w:t>
      </w:r>
      <w:r w:rsidR="00470EBF">
        <w:t xml:space="preserve"> </w:t>
      </w:r>
      <w:r w:rsidRPr="00A413B4">
        <w:t>discussion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members</w:t>
      </w:r>
      <w:r w:rsidR="00470EBF">
        <w:t xml:space="preserve"> </w:t>
      </w:r>
      <w:r w:rsidRPr="00A413B4">
        <w:t>(adoptive</w:t>
      </w:r>
      <w:r w:rsidR="00470EBF">
        <w:t xml:space="preserve"> </w:t>
      </w:r>
      <w:r w:rsidRPr="00A413B4">
        <w:t>family)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inheritance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adopted</w:t>
      </w:r>
      <w:r w:rsidR="00470EBF">
        <w:t xml:space="preserve"> </w:t>
      </w:r>
      <w:r w:rsidRPr="00A413B4">
        <w:t>child.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decision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include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discussion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informed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court</w:t>
      </w:r>
      <w:r w:rsidR="00470EBF">
        <w:t xml:space="preserve"> </w:t>
      </w:r>
      <w:r w:rsidRPr="00A413B4">
        <w:t>decisions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past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relate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inheritance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but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never</w:t>
      </w:r>
      <w:r w:rsidR="00470EBF">
        <w:t xml:space="preserve"> </w:t>
      </w:r>
      <w:r w:rsidRPr="00A413B4">
        <w:t>captured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assessment</w:t>
      </w:r>
      <w:r w:rsidR="00470EBF">
        <w:t xml:space="preserve"> </w:t>
      </w:r>
      <w:r w:rsidRPr="00A413B4">
        <w:t>process.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assessment</w:t>
      </w:r>
      <w:r w:rsidR="00470EBF">
        <w:t xml:space="preserve"> </w:t>
      </w:r>
      <w:r w:rsidRPr="00A413B4">
        <w:t>process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takes</w:t>
      </w:r>
      <w:r w:rsidR="00470EBF">
        <w:t xml:space="preserve"> </w:t>
      </w:r>
      <w:r w:rsidRPr="00A413B4">
        <w:t>into</w:t>
      </w:r>
      <w:r w:rsidR="00470EBF">
        <w:t xml:space="preserve"> </w:t>
      </w:r>
      <w:r w:rsidRPr="00A413B4">
        <w:t>consideration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best</w:t>
      </w:r>
      <w:r w:rsidR="00470EBF">
        <w:t xml:space="preserve"> </w:t>
      </w:r>
      <w:r w:rsidRPr="00A413B4">
        <w:t>interests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undertakes</w:t>
      </w:r>
      <w:r w:rsidR="00470EBF">
        <w:t xml:space="preserve"> </w:t>
      </w:r>
      <w:r w:rsidRPr="00A413B4">
        <w:t>private</w:t>
      </w:r>
      <w:r w:rsidR="00470EBF">
        <w:t xml:space="preserve"> </w:t>
      </w:r>
      <w:r w:rsidRPr="00A413B4">
        <w:t>discussions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adopted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(consent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guardian)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hear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views.</w:t>
      </w:r>
      <w:r w:rsidR="00470EBF">
        <w:t xml:space="preserve"> </w:t>
      </w:r>
      <w:r w:rsidRPr="00A413B4">
        <w:t>Land</w:t>
      </w:r>
      <w:r w:rsidR="00470EBF">
        <w:t xml:space="preserve"> </w:t>
      </w:r>
      <w:r w:rsidRPr="00A413B4">
        <w:t>Courts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jurisdiction</w:t>
      </w:r>
      <w:r w:rsidR="00470EBF">
        <w:t xml:space="preserve"> </w:t>
      </w:r>
      <w:r w:rsidRPr="00A413B4">
        <w:t>over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adoption</w:t>
      </w:r>
      <w:r w:rsidR="00470EBF">
        <w:t xml:space="preserve"> </w:t>
      </w:r>
      <w:r w:rsidRPr="00A413B4">
        <w:t>cases.</w:t>
      </w:r>
    </w:p>
    <w:p w:rsidR="000A2967" w:rsidRPr="00A413B4" w:rsidRDefault="000A2967" w:rsidP="0086414D">
      <w:pPr>
        <w:pStyle w:val="H1G"/>
      </w:pPr>
      <w:r w:rsidRPr="00A413B4">
        <w:tab/>
        <w:t>E.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5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25.</w:t>
      </w:r>
      <w:r w:rsidRPr="00A413B4">
        <w:tab/>
        <w:t>The</w:t>
      </w:r>
      <w:r w:rsidR="00470EBF">
        <w:t xml:space="preserve"> </w:t>
      </w:r>
      <w:r w:rsidRPr="00A413B4">
        <w:t>2012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Act</w:t>
      </w:r>
      <w:r w:rsidR="00470EBF">
        <w:t xml:space="preserve"> </w:t>
      </w:r>
      <w:r w:rsidRPr="00A413B4">
        <w:t>explicitly</w:t>
      </w:r>
      <w:r w:rsidR="00470EBF">
        <w:t xml:space="preserve"> </w:t>
      </w:r>
      <w:r w:rsidRPr="00A413B4">
        <w:t>prohibits</w:t>
      </w:r>
      <w:r w:rsidR="00470EBF">
        <w:t xml:space="preserve"> </w:t>
      </w:r>
      <w:r w:rsidRPr="00A413B4">
        <w:t>corporal</w:t>
      </w:r>
      <w:r w:rsidR="00470EBF">
        <w:t xml:space="preserve"> </w:t>
      </w:r>
      <w:r w:rsidRPr="00A413B4">
        <w:t>punishment.</w:t>
      </w:r>
      <w:r w:rsidR="00A164FB">
        <w:t xml:space="preserve"> </w:t>
      </w:r>
      <w:r w:rsidRPr="00A413B4">
        <w:t>Part</w:t>
      </w:r>
      <w:r w:rsidR="00470EBF">
        <w:t xml:space="preserve"> </w:t>
      </w:r>
      <w:r w:rsidRPr="00A413B4">
        <w:t>8,</w:t>
      </w:r>
      <w:r w:rsidR="00470EBF">
        <w:t xml:space="preserve"> </w:t>
      </w:r>
      <w:r w:rsidRPr="00A413B4">
        <w:t>109</w:t>
      </w:r>
      <w:r w:rsidR="00470EBF">
        <w:t xml:space="preserve"> </w:t>
      </w:r>
      <w:r w:rsidRPr="00A413B4">
        <w:t>(1)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(2)</w:t>
      </w:r>
      <w:r w:rsidR="00470EBF">
        <w:t xml:space="preserve"> </w:t>
      </w:r>
      <w:r w:rsidRPr="00A413B4">
        <w:t>states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person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institution,</w:t>
      </w:r>
      <w:r w:rsidR="00470EBF">
        <w:t xml:space="preserve"> </w:t>
      </w:r>
      <w:r w:rsidRPr="00A413B4">
        <w:t>or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educational</w:t>
      </w:r>
      <w:r w:rsidR="00470EBF">
        <w:t xml:space="preserve"> </w:t>
      </w:r>
      <w:r w:rsidRPr="00A413B4">
        <w:t>institution</w:t>
      </w:r>
      <w:r w:rsidR="00470EBF">
        <w:t xml:space="preserve"> </w:t>
      </w:r>
      <w:r w:rsidRPr="00A413B4">
        <w:t>activity,</w:t>
      </w:r>
      <w:r w:rsidR="00470EBF">
        <w:t xml:space="preserve"> </w:t>
      </w:r>
      <w:r w:rsidRPr="00A413B4">
        <w:t>must</w:t>
      </w:r>
      <w:r w:rsidR="00470EBF">
        <w:t xml:space="preserve"> </w:t>
      </w:r>
      <w:r w:rsidRPr="00A413B4">
        <w:t>not:</w:t>
      </w:r>
      <w:r w:rsidR="00470EBF">
        <w:t xml:space="preserve"> </w:t>
      </w:r>
    </w:p>
    <w:p w:rsidR="000A2967" w:rsidRPr="00A413B4" w:rsidRDefault="001D1356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Verbally</w:t>
      </w:r>
      <w:r w:rsidR="00470EBF">
        <w:t xml:space="preserve"> </w:t>
      </w:r>
      <w:r w:rsidR="000A2967" w:rsidRPr="00A413B4">
        <w:t>abuse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student,</w:t>
      </w:r>
      <w:r w:rsidR="00470EBF">
        <w:t xml:space="preserve"> </w:t>
      </w:r>
      <w:r w:rsidR="000A2967" w:rsidRPr="00A413B4">
        <w:t>or</w:t>
      </w:r>
      <w:r w:rsidR="00470EBF">
        <w:t xml:space="preserve"> </w:t>
      </w:r>
    </w:p>
    <w:p w:rsidR="000A2967" w:rsidRPr="00A413B4" w:rsidRDefault="001D1356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Use</w:t>
      </w:r>
      <w:r w:rsidR="00470EBF">
        <w:t xml:space="preserve"> </w:t>
      </w:r>
      <w:r w:rsidR="000A2967" w:rsidRPr="00A413B4">
        <w:t>physical</w:t>
      </w:r>
      <w:r w:rsidR="00470EBF">
        <w:t xml:space="preserve"> </w:t>
      </w:r>
      <w:r w:rsidR="000A2967" w:rsidRPr="00A413B4">
        <w:t>force,</w:t>
      </w:r>
      <w:r w:rsidR="00470EBF">
        <w:t xml:space="preserve"> </w:t>
      </w:r>
      <w:r w:rsidR="000A2967" w:rsidRPr="00A413B4">
        <w:t>by</w:t>
      </w:r>
      <w:r w:rsidR="00470EBF">
        <w:t xml:space="preserve"> </w:t>
      </w:r>
      <w:r w:rsidR="000A2967" w:rsidRPr="00A413B4">
        <w:t>way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correction</w:t>
      </w:r>
      <w:r w:rsidR="00470EBF">
        <w:t xml:space="preserve"> </w:t>
      </w:r>
      <w:r w:rsidR="000A2967" w:rsidRPr="00A413B4">
        <w:t>or</w:t>
      </w:r>
      <w:r w:rsidR="00470EBF">
        <w:t xml:space="preserve"> </w:t>
      </w:r>
      <w:r w:rsidR="000A2967" w:rsidRPr="00A413B4">
        <w:t>punishment,</w:t>
      </w:r>
      <w:r w:rsidR="00470EBF">
        <w:t xml:space="preserve"> </w:t>
      </w:r>
      <w:r w:rsidR="000A2967" w:rsidRPr="00A413B4">
        <w:t>against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student.</w:t>
      </w:r>
    </w:p>
    <w:p w:rsidR="000A2967" w:rsidRPr="00A413B4" w:rsidRDefault="000A2967" w:rsidP="00C26914">
      <w:pPr>
        <w:pStyle w:val="SingleTxtG"/>
      </w:pPr>
      <w:r w:rsidRPr="00A413B4">
        <w:t>26.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provides</w:t>
      </w:r>
      <w:r w:rsidR="00470EBF">
        <w:t xml:space="preserve"> </w:t>
      </w:r>
      <w:r w:rsidRPr="00A413B4">
        <w:t>regular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concerning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effects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corporal</w:t>
      </w:r>
      <w:r w:rsidR="00470EBF">
        <w:t xml:space="preserve"> </w:t>
      </w:r>
      <w:r w:rsidRPr="00A413B4">
        <w:t>punishment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staff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communities,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various</w:t>
      </w:r>
      <w:r w:rsidR="00470EBF">
        <w:t xml:space="preserve"> </w:t>
      </w:r>
      <w:r w:rsidRPr="00A413B4">
        <w:t>forms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from:</w:t>
      </w:r>
    </w:p>
    <w:p w:rsidR="000A2967" w:rsidRPr="00A413B4" w:rsidRDefault="001D1356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The</w:t>
      </w:r>
      <w:r w:rsidR="00470EBF">
        <w:t xml:space="preserve"> </w:t>
      </w:r>
      <w:r w:rsidR="000A2967" w:rsidRPr="00A413B4">
        <w:t>Student</w:t>
      </w:r>
      <w:r w:rsidR="00470EBF">
        <w:t xml:space="preserve"> </w:t>
      </w:r>
      <w:r w:rsidR="000A2967" w:rsidRPr="00A413B4">
        <w:t>Wellbeing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Pastoral</w:t>
      </w:r>
      <w:r w:rsidR="00470EBF">
        <w:t xml:space="preserve"> </w:t>
      </w:r>
      <w:r w:rsidR="000A2967" w:rsidRPr="00A413B4">
        <w:t>Care</w:t>
      </w:r>
      <w:r w:rsidR="00470EBF">
        <w:t xml:space="preserve"> </w:t>
      </w:r>
      <w:r w:rsidR="000A2967" w:rsidRPr="00A413B4">
        <w:t>Advisor;</w:t>
      </w:r>
    </w:p>
    <w:p w:rsidR="000A2967" w:rsidRPr="00A413B4" w:rsidRDefault="001D1356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Health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Wellbeing</w:t>
      </w:r>
      <w:r w:rsidR="00470EBF">
        <w:t xml:space="preserve"> </w:t>
      </w:r>
      <w:r w:rsidR="000A2967" w:rsidRPr="00A413B4">
        <w:t>Advisor;</w:t>
      </w:r>
      <w:r w:rsidR="00470EBF">
        <w:t xml:space="preserve"> </w:t>
      </w:r>
      <w:r w:rsidR="000A2967" w:rsidRPr="00A413B4">
        <w:t>and</w:t>
      </w:r>
    </w:p>
    <w:p w:rsidR="000A2967" w:rsidRPr="00A413B4" w:rsidRDefault="001D1356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Guidance</w:t>
      </w:r>
      <w:r w:rsidR="00470EBF">
        <w:t xml:space="preserve"> </w:t>
      </w:r>
      <w:r w:rsidR="000A2967" w:rsidRPr="00A413B4">
        <w:t>counselling</w:t>
      </w:r>
      <w:r w:rsidR="00470EBF">
        <w:t xml:space="preserve"> </w:t>
      </w:r>
      <w:r w:rsidR="000A2967" w:rsidRPr="00A413B4">
        <w:t>programs.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lastRenderedPageBreak/>
        <w:t>27.</w:t>
      </w:r>
      <w:r w:rsidRPr="00A413B4">
        <w:tab/>
        <w:t>The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Coordinator</w:t>
      </w:r>
      <w:r w:rsidR="00470EBF">
        <w:t xml:space="preserve"> </w:t>
      </w:r>
      <w:r w:rsidRPr="00A413B4">
        <w:t>position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Kakaia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vacant</w:t>
      </w:r>
      <w:r w:rsidR="00470EBF">
        <w:t xml:space="preserve"> </w:t>
      </w:r>
      <w:r w:rsidRPr="00A413B4">
        <w:t>since</w:t>
      </w:r>
      <w:r w:rsidR="00470EBF">
        <w:t xml:space="preserve"> </w:t>
      </w:r>
      <w:r w:rsidRPr="00A413B4">
        <w:t>2018,</w:t>
      </w:r>
      <w:r w:rsidR="00470EBF">
        <w:t xml:space="preserve"> </w:t>
      </w:r>
      <w:r w:rsidRPr="00A413B4">
        <w:t>due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challenges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recruitment.</w:t>
      </w:r>
      <w:r w:rsidR="00470EBF">
        <w:t xml:space="preserve"> </w:t>
      </w:r>
      <w:r w:rsidRPr="00A413B4">
        <w:t>However,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Early</w:t>
      </w:r>
      <w:r w:rsidR="00470EBF">
        <w:t xml:space="preserve"> </w:t>
      </w:r>
      <w:r w:rsidRPr="00A413B4">
        <w:t>Childhood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(ECE)</w:t>
      </w:r>
      <w:r w:rsidR="00470EBF">
        <w:t xml:space="preserve"> </w:t>
      </w:r>
      <w:r w:rsidRPr="00A413B4">
        <w:t>Advisor</w:t>
      </w:r>
      <w:r w:rsidR="00470EBF">
        <w:t xml:space="preserve"> </w:t>
      </w:r>
      <w:r w:rsidRPr="00A413B4">
        <w:t>ensures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scope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Kakaia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considered</w:t>
      </w:r>
      <w:r w:rsidR="00470EBF">
        <w:t xml:space="preserve"> </w:t>
      </w:r>
      <w:r w:rsidRPr="00A413B4">
        <w:t>when</w:t>
      </w:r>
      <w:r w:rsidR="00470EBF">
        <w:t xml:space="preserve"> </w:t>
      </w:r>
      <w:r w:rsidRPr="00A413B4">
        <w:t>working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families,</w:t>
      </w:r>
      <w:r w:rsidR="00470EBF">
        <w:t xml:space="preserve"> </w:t>
      </w:r>
      <w:r w:rsidRPr="00A413B4">
        <w:t>parents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children.</w:t>
      </w:r>
    </w:p>
    <w:p w:rsidR="000A2967" w:rsidRPr="00A413B4" w:rsidRDefault="000A2967" w:rsidP="00E334D3">
      <w:pPr>
        <w:pStyle w:val="H1G"/>
      </w:pPr>
      <w:r w:rsidRPr="00A413B4">
        <w:tab/>
        <w:t>F.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6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28.</w:t>
      </w:r>
      <w:r w:rsidRPr="00A413B4">
        <w:tab/>
        <w:t>The</w:t>
      </w:r>
      <w:r w:rsidR="00470EBF">
        <w:t xml:space="preserve"> </w:t>
      </w:r>
      <w:r w:rsidRPr="00A413B4">
        <w:t>Vaka</w:t>
      </w:r>
      <w:r w:rsidR="00470EBF">
        <w:t xml:space="preserve"> </w:t>
      </w:r>
      <w:r w:rsidRPr="00A413B4">
        <w:t>constables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still</w:t>
      </w:r>
      <w:r w:rsidR="00470EBF">
        <w:t xml:space="preserve"> </w:t>
      </w:r>
      <w:r w:rsidRPr="00A413B4">
        <w:t>active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they</w:t>
      </w:r>
      <w:r w:rsidR="00470EBF">
        <w:t xml:space="preserve"> </w:t>
      </w:r>
      <w:r w:rsidRPr="00A413B4">
        <w:t>come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Prevention</w:t>
      </w:r>
      <w:r w:rsidR="00470EBF">
        <w:t xml:space="preserve"> </w:t>
      </w:r>
      <w:r w:rsidRPr="00A413B4">
        <w:t>Division.</w:t>
      </w:r>
      <w:r w:rsidR="00470EBF">
        <w:t xml:space="preserve"> </w:t>
      </w:r>
      <w:r w:rsidRPr="00A413B4">
        <w:t>Dedicated</w:t>
      </w:r>
      <w:r w:rsidR="00470EBF">
        <w:t xml:space="preserve"> </w:t>
      </w:r>
      <w:r w:rsidRPr="00A413B4">
        <w:t>officers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working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main</w:t>
      </w:r>
      <w:r w:rsidR="00470EBF">
        <w:t xml:space="preserve"> </w:t>
      </w:r>
      <w:r w:rsidRPr="00A413B4">
        <w:t>districts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(main</w:t>
      </w:r>
      <w:r w:rsidR="00470EBF">
        <w:t xml:space="preserve"> </w:t>
      </w:r>
      <w:r w:rsidRPr="00A413B4">
        <w:t>islands)</w:t>
      </w:r>
      <w:r w:rsidR="00470EBF">
        <w:t xml:space="preserve"> </w:t>
      </w:r>
      <w:r w:rsidRPr="00A413B4">
        <w:t>namely</w:t>
      </w:r>
      <w:r w:rsidR="00470EBF">
        <w:t xml:space="preserve"> </w:t>
      </w:r>
      <w:r w:rsidRPr="00A413B4">
        <w:t>Vaka</w:t>
      </w:r>
      <w:r w:rsidR="00470EBF">
        <w:t xml:space="preserve"> </w:t>
      </w:r>
      <w:r w:rsidRPr="00A413B4">
        <w:t>Takitumu,</w:t>
      </w:r>
      <w:r w:rsidR="00470EBF">
        <w:t xml:space="preserve"> </w:t>
      </w:r>
      <w:r w:rsidRPr="00A413B4">
        <w:t>Vaka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Au</w:t>
      </w:r>
      <w:r w:rsidR="00470EBF">
        <w:t xml:space="preserve"> </w:t>
      </w:r>
      <w:r w:rsidRPr="00A413B4">
        <w:t>O</w:t>
      </w:r>
      <w:r w:rsidR="00470EBF">
        <w:t xml:space="preserve"> </w:t>
      </w:r>
      <w:r w:rsidRPr="00A413B4">
        <w:t>Tonga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Vaka</w:t>
      </w:r>
      <w:r w:rsidR="00470EBF">
        <w:t xml:space="preserve"> </w:t>
      </w:r>
      <w:r w:rsidRPr="00A413B4">
        <w:t>Puaikura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volunteers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sworn</w:t>
      </w:r>
      <w:r w:rsidR="00470EBF">
        <w:t xml:space="preserve"> </w:t>
      </w:r>
      <w:r w:rsidRPr="00A413B4">
        <w:t>officers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perform</w:t>
      </w:r>
      <w:r w:rsidR="00470EBF">
        <w:t xml:space="preserve"> </w:t>
      </w:r>
      <w:r w:rsidRPr="00A413B4">
        <w:t>certain</w:t>
      </w:r>
      <w:r w:rsidR="00470EBF">
        <w:t xml:space="preserve"> </w:t>
      </w:r>
      <w:r w:rsidRPr="00A413B4">
        <w:t>duties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villages.</w:t>
      </w:r>
    </w:p>
    <w:p w:rsidR="000A2967" w:rsidRPr="00A413B4" w:rsidRDefault="000A2967" w:rsidP="00C26914">
      <w:pPr>
        <w:pStyle w:val="SingleTxtG"/>
      </w:pPr>
      <w:r w:rsidRPr="00A413B4">
        <w:t>29.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established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types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UKT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group</w:t>
      </w:r>
      <w:r w:rsidR="00470EBF">
        <w:t xml:space="preserve"> </w:t>
      </w:r>
      <w:r w:rsidRPr="00A413B4">
        <w:t>conferences</w:t>
      </w:r>
      <w:r w:rsidR="00470EBF">
        <w:t xml:space="preserve"> </w:t>
      </w:r>
      <w:r w:rsidRPr="00A413B4">
        <w:t>aimed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bringing</w:t>
      </w:r>
      <w:r w:rsidR="00470EBF">
        <w:t xml:space="preserve"> </w:t>
      </w:r>
      <w:r w:rsidRPr="00A413B4">
        <w:t>families</w:t>
      </w:r>
      <w:r w:rsidR="00470EBF">
        <w:t xml:space="preserve"> </w:t>
      </w:r>
      <w:r w:rsidRPr="00A413B4">
        <w:t>together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protection.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past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years,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conducted</w:t>
      </w:r>
      <w:r w:rsidR="00470EBF">
        <w:t xml:space="preserve"> </w:t>
      </w:r>
      <w:r w:rsidRPr="00A413B4">
        <w:t>jointly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Affairs,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around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country</w:t>
      </w:r>
      <w:r w:rsidR="00470EBF">
        <w:t xml:space="preserve"> </w:t>
      </w:r>
      <w:r w:rsidRPr="00A413B4">
        <w:t>focusing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issues.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committed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continuing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outreach</w:t>
      </w:r>
      <w:r w:rsidR="00470EBF">
        <w:t xml:space="preserve"> </w:t>
      </w:r>
      <w:r w:rsidRPr="00A413B4">
        <w:t>programs.</w:t>
      </w:r>
      <w:r w:rsidR="00470EBF">
        <w:t xml:space="preserve"> </w:t>
      </w:r>
    </w:p>
    <w:p w:rsidR="000A2967" w:rsidRPr="00A413B4" w:rsidRDefault="000A2967" w:rsidP="0080101A">
      <w:pPr>
        <w:pStyle w:val="H1G"/>
      </w:pPr>
      <w:r w:rsidRPr="00A413B4">
        <w:tab/>
        <w:t>G.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7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30.</w:t>
      </w:r>
      <w:r w:rsidRPr="00A413B4">
        <w:tab/>
        <w:t>There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eight</w:t>
      </w:r>
      <w:r w:rsidR="00470EBF">
        <w:t xml:space="preserve"> </w:t>
      </w:r>
      <w:r w:rsidRPr="00A413B4">
        <w:t>privately-run</w:t>
      </w:r>
      <w:r w:rsidR="00470EBF">
        <w:t xml:space="preserve"> </w:t>
      </w:r>
      <w:r w:rsidRPr="00A413B4">
        <w:t>child-care</w:t>
      </w:r>
      <w:r w:rsidR="00470EBF">
        <w:t xml:space="preserve"> </w:t>
      </w:r>
      <w:r w:rsidRPr="00A413B4">
        <w:t>services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Rarotonga.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early</w:t>
      </w:r>
      <w:r w:rsidR="00470EBF">
        <w:t xml:space="preserve"> </w:t>
      </w:r>
      <w:r w:rsidRPr="00A413B4">
        <w:t>stages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planning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provision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support.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feasibility</w:t>
      </w:r>
      <w:r w:rsidR="00470EBF">
        <w:t xml:space="preserve"> </w:t>
      </w:r>
      <w:r w:rsidRPr="00A413B4">
        <w:t>study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done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December</w:t>
      </w:r>
      <w:r w:rsidR="00470EBF">
        <w:t xml:space="preserve"> </w:t>
      </w:r>
      <w:r w:rsidRPr="00A413B4">
        <w:t>2018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recommendations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now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used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inform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Government’s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standards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childcare.</w:t>
      </w:r>
      <w:r w:rsidR="00470EBF">
        <w:t xml:space="preserve"> </w:t>
      </w:r>
    </w:p>
    <w:p w:rsidR="000A2967" w:rsidRPr="00A413B4" w:rsidRDefault="000A2967" w:rsidP="0080101A">
      <w:pPr>
        <w:pStyle w:val="H1G"/>
      </w:pPr>
      <w:r w:rsidRPr="00A413B4">
        <w:tab/>
        <w:t>H.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8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31.</w:t>
      </w:r>
      <w:r w:rsidRPr="00A413B4">
        <w:tab/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communication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vital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delivering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services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</w:t>
      </w:r>
      <w:r w:rsidR="00470EBF">
        <w:t xml:space="preserve"> </w:t>
      </w:r>
      <w:r w:rsidRPr="00A413B4">
        <w:t>Enua</w:t>
      </w:r>
      <w:r w:rsidR="00470EBF">
        <w:t xml:space="preserve"> </w:t>
      </w:r>
      <w:r w:rsidRPr="00A413B4">
        <w:t>(outer</w:t>
      </w:r>
      <w:r w:rsidR="00470EBF">
        <w:t xml:space="preserve"> </w:t>
      </w:r>
      <w:r w:rsidRPr="00A413B4">
        <w:t>islands).</w:t>
      </w:r>
      <w:r w:rsidR="00470EBF">
        <w:t xml:space="preserve"> </w:t>
      </w:r>
      <w:r w:rsidRPr="00A413B4">
        <w:t>Nurse</w:t>
      </w:r>
      <w:r w:rsidR="00470EBF">
        <w:t xml:space="preserve"> </w:t>
      </w:r>
      <w:r w:rsidRPr="00A413B4">
        <w:t>Practitioners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encouraged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advised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discuss</w:t>
      </w:r>
      <w:r w:rsidR="00470EBF">
        <w:t xml:space="preserve"> </w:t>
      </w:r>
      <w:r w:rsidRPr="00A413B4">
        <w:t>difficult</w:t>
      </w:r>
      <w:r w:rsidR="00470EBF">
        <w:t xml:space="preserve"> </w:t>
      </w:r>
      <w:r w:rsidRPr="00A413B4">
        <w:t>childhood</w:t>
      </w:r>
      <w:r w:rsidR="00470EBF">
        <w:t xml:space="preserve"> </w:t>
      </w:r>
      <w:r w:rsidRPr="00A413B4">
        <w:t>illnesses/problems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Pediatric</w:t>
      </w:r>
      <w:r w:rsidR="00470EBF">
        <w:t xml:space="preserve"> </w:t>
      </w:r>
      <w:r w:rsidRPr="00A413B4">
        <w:t>team</w:t>
      </w:r>
      <w:r w:rsidR="00470EBF">
        <w:t xml:space="preserve"> </w:t>
      </w:r>
      <w:r w:rsidRPr="00A413B4">
        <w:t>based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Rarotonga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email,</w:t>
      </w:r>
      <w:r w:rsidR="00470EBF">
        <w:t xml:space="preserve"> </w:t>
      </w:r>
      <w:r w:rsidRPr="00A413B4">
        <w:t>phones,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Med</w:t>
      </w:r>
      <w:r w:rsidR="00470EBF">
        <w:t xml:space="preserve"> </w:t>
      </w:r>
      <w:r w:rsidRPr="00A413B4">
        <w:t>Tech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database</w:t>
      </w:r>
      <w:r w:rsidR="00470EBF">
        <w:t xml:space="preserve"> </w:t>
      </w:r>
      <w:r w:rsidRPr="00A413B4">
        <w:t>used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32.</w:t>
      </w:r>
      <w:r w:rsidRPr="00A413B4">
        <w:tab/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reduction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pneumonia</w:t>
      </w:r>
      <w:r w:rsidR="00470EBF">
        <w:t xml:space="preserve"> </w:t>
      </w:r>
      <w:r w:rsidRPr="00A413B4">
        <w:t>cases,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single</w:t>
      </w:r>
      <w:r w:rsidR="00470EBF">
        <w:t xml:space="preserve"> </w:t>
      </w:r>
      <w:r w:rsidRPr="00A413B4">
        <w:t>most</w:t>
      </w:r>
      <w:r w:rsidR="00470EBF">
        <w:t xml:space="preserve"> </w:t>
      </w:r>
      <w:r w:rsidRPr="00A413B4">
        <w:t>cost-effective</w:t>
      </w:r>
      <w:r w:rsidR="00470EBF">
        <w:t xml:space="preserve"> </w:t>
      </w:r>
      <w:r w:rsidRPr="00A413B4">
        <w:t>strategy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immunization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encouraging</w:t>
      </w:r>
      <w:r w:rsidR="00470EBF">
        <w:t xml:space="preserve"> </w:t>
      </w:r>
      <w:r w:rsidRPr="00A413B4">
        <w:t>exclusive</w:t>
      </w:r>
      <w:r w:rsidR="00470EBF">
        <w:t xml:space="preserve"> </w:t>
      </w:r>
      <w:r w:rsidRPr="00A413B4">
        <w:t>breastfeeding</w:t>
      </w:r>
      <w:r w:rsidR="00470EBF">
        <w:t xml:space="preserve"> </w:t>
      </w:r>
      <w:r w:rsidRPr="00A413B4">
        <w:t>within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first</w:t>
      </w:r>
      <w:r w:rsidR="00470EBF">
        <w:t xml:space="preserve"> </w:t>
      </w:r>
      <w:r w:rsidRPr="00A413B4">
        <w:t>6</w:t>
      </w:r>
      <w:r w:rsidR="00470EBF">
        <w:t xml:space="preserve"> </w:t>
      </w:r>
      <w:r w:rsidRPr="00A413B4">
        <w:t>months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child’s</w:t>
      </w:r>
      <w:r w:rsidR="00470EBF">
        <w:t xml:space="preserve"> </w:t>
      </w:r>
      <w:r w:rsidRPr="00A413B4">
        <w:t>life.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interventions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diarrhea,</w:t>
      </w:r>
      <w:r w:rsidR="00470EBF">
        <w:t xml:space="preserve"> </w:t>
      </w:r>
      <w:r w:rsidRPr="00A413B4">
        <w:t>public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measures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hygiene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sanitation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use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safe</w:t>
      </w:r>
      <w:r w:rsidR="00470EBF">
        <w:t xml:space="preserve"> </w:t>
      </w:r>
      <w:r w:rsidRPr="00A413B4">
        <w:t>drinking</w:t>
      </w:r>
      <w:r w:rsidR="00470EBF">
        <w:t xml:space="preserve"> </w:t>
      </w:r>
      <w:r w:rsidRPr="00A413B4">
        <w:t>water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implemented.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encourages</w:t>
      </w:r>
      <w:r w:rsidR="00470EBF">
        <w:t xml:space="preserve"> </w:t>
      </w:r>
      <w:r w:rsidRPr="00A413B4">
        <w:t>exclusive</w:t>
      </w:r>
      <w:r w:rsidR="00470EBF">
        <w:t xml:space="preserve"> </w:t>
      </w:r>
      <w:r w:rsidRPr="00A413B4">
        <w:t>breastfeeding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first</w:t>
      </w:r>
      <w:r w:rsidR="00470EBF">
        <w:t xml:space="preserve"> </w:t>
      </w:r>
      <w:r w:rsidRPr="00A413B4">
        <w:t>6</w:t>
      </w:r>
      <w:r w:rsidR="00470EBF">
        <w:t xml:space="preserve"> </w:t>
      </w:r>
      <w:r w:rsidRPr="00A413B4">
        <w:t>months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child’s</w:t>
      </w:r>
      <w:r w:rsidR="00470EBF">
        <w:t xml:space="preserve"> </w:t>
      </w:r>
      <w:r w:rsidRPr="00A413B4">
        <w:t>life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continuation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minimum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2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age.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contributed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combatting</w:t>
      </w:r>
      <w:r w:rsidR="00470EBF">
        <w:t xml:space="preserve"> </w:t>
      </w:r>
      <w:r w:rsidRPr="00A413B4">
        <w:t>diarrheal</w:t>
      </w:r>
      <w:r w:rsidR="00470EBF">
        <w:t xml:space="preserve"> </w:t>
      </w:r>
      <w:r w:rsidRPr="00A413B4">
        <w:t>diseases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rare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Islands.</w:t>
      </w:r>
    </w:p>
    <w:p w:rsidR="000A2967" w:rsidRPr="00A413B4" w:rsidRDefault="000A2967" w:rsidP="00C26914">
      <w:pPr>
        <w:pStyle w:val="SingleTxtG"/>
      </w:pPr>
      <w:r w:rsidRPr="00A413B4">
        <w:t>33.</w:t>
      </w:r>
      <w:r w:rsidRPr="00A413B4">
        <w:tab/>
        <w:t>On</w:t>
      </w:r>
      <w:r w:rsidR="00470EBF">
        <w:t xml:space="preserve"> </w:t>
      </w:r>
      <w:r w:rsidRPr="00A413B4">
        <w:t>early</w:t>
      </w:r>
      <w:r w:rsidR="00470EBF">
        <w:t xml:space="preserve"> </w:t>
      </w:r>
      <w:r w:rsidRPr="00A413B4">
        <w:t>pregnancies,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Obstetrics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Gynecology</w:t>
      </w:r>
      <w:r w:rsidR="00470EBF">
        <w:t xml:space="preserve"> </w:t>
      </w:r>
      <w:r w:rsidRPr="00A413B4">
        <w:t>Department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Hospital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Services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large</w:t>
      </w:r>
      <w:r w:rsidR="00470EBF">
        <w:t xml:space="preserve"> </w:t>
      </w:r>
      <w:r w:rsidRPr="00A413B4">
        <w:t>extent,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Public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Division</w:t>
      </w:r>
      <w:r w:rsidR="00470EBF">
        <w:t xml:space="preserve"> </w:t>
      </w:r>
      <w:r w:rsidRPr="00A413B4">
        <w:t>play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big</w:t>
      </w:r>
      <w:r w:rsidR="00470EBF">
        <w:t xml:space="preserve"> </w:t>
      </w:r>
      <w:r w:rsidRPr="00A413B4">
        <w:t>role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raising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responding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teen</w:t>
      </w:r>
      <w:r w:rsidR="00470EBF">
        <w:t xml:space="preserve"> </w:t>
      </w:r>
      <w:r w:rsidRPr="00A413B4">
        <w:t>pregnancies.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works</w:t>
      </w:r>
      <w:r w:rsidR="00470EBF">
        <w:t xml:space="preserve"> </w:t>
      </w:r>
      <w:r w:rsidRPr="00A413B4">
        <w:t>closely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Welfare</w:t>
      </w:r>
      <w:r w:rsidR="00470EBF">
        <w:t xml:space="preserve"> </w:t>
      </w:r>
      <w:r w:rsidRPr="00A413B4">
        <w:t>Association</w:t>
      </w:r>
      <w:r w:rsidR="00470EBF">
        <w:t xml:space="preserve"> </w:t>
      </w:r>
      <w:r w:rsidRPr="00A413B4">
        <w:t>(CIFWA).</w:t>
      </w:r>
      <w:r w:rsidR="00470EBF">
        <w:t xml:space="preserve"> </w:t>
      </w:r>
      <w:r w:rsidRPr="00A413B4">
        <w:t>Dissemination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information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contraceptives</w:t>
      </w:r>
      <w:r w:rsidR="00470EBF">
        <w:t xml:space="preserve"> </w:t>
      </w:r>
      <w:r w:rsidRPr="00A413B4">
        <w:t>including</w:t>
      </w:r>
      <w:r w:rsidR="00470EBF">
        <w:t xml:space="preserve"> </w:t>
      </w:r>
      <w:r w:rsidRPr="00A413B4">
        <w:t>long-term</w:t>
      </w:r>
      <w:r w:rsidR="00470EBF">
        <w:t xml:space="preserve"> </w:t>
      </w:r>
      <w:r w:rsidRPr="00A413B4">
        <w:t>contraceptive</w:t>
      </w:r>
      <w:r w:rsidR="00470EBF">
        <w:t xml:space="preserve"> </w:t>
      </w:r>
      <w:r w:rsidRPr="00A413B4">
        <w:t>devices</w:t>
      </w:r>
      <w:r w:rsidR="00470EBF">
        <w:t xml:space="preserve"> </w:t>
      </w:r>
      <w:r w:rsidRPr="00A413B4">
        <w:t>like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Jadelle</w:t>
      </w:r>
      <w:r w:rsidR="00470EBF">
        <w:t xml:space="preserve"> </w:t>
      </w:r>
      <w:r w:rsidRPr="00A413B4">
        <w:t>(an</w:t>
      </w:r>
      <w:r w:rsidR="00470EBF">
        <w:t xml:space="preserve"> </w:t>
      </w:r>
      <w:r w:rsidRPr="00A413B4">
        <w:t>implant</w:t>
      </w:r>
      <w:r w:rsidR="00470EBF">
        <w:t xml:space="preserve"> </w:t>
      </w:r>
      <w:r w:rsidRPr="00A413B4">
        <w:t>under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skin),</w:t>
      </w:r>
      <w:r w:rsidR="00470EBF">
        <w:t xml:space="preserve"> </w:t>
      </w:r>
      <w:r w:rsidRPr="00A413B4">
        <w:t>assists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making</w:t>
      </w:r>
      <w:r w:rsidR="00470EBF">
        <w:t xml:space="preserve"> </w:t>
      </w:r>
      <w:r w:rsidRPr="00A413B4">
        <w:t>informed</w:t>
      </w:r>
      <w:r w:rsidR="00470EBF">
        <w:t xml:space="preserve"> </w:t>
      </w:r>
      <w:r w:rsidRPr="00A413B4">
        <w:t>decisions.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sexual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reproductive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during</w:t>
      </w:r>
      <w:r w:rsidR="00470EBF">
        <w:t xml:space="preserve"> </w:t>
      </w:r>
      <w:r w:rsidRPr="00A413B4">
        <w:t>adolescent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aims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reduce</w:t>
      </w:r>
      <w:r w:rsidR="00470EBF">
        <w:t xml:space="preserve"> </w:t>
      </w:r>
      <w:r w:rsidRPr="00A413B4">
        <w:t>teen</w:t>
      </w:r>
      <w:r w:rsidR="00470EBF">
        <w:t xml:space="preserve"> </w:t>
      </w:r>
      <w:r w:rsidRPr="00A413B4">
        <w:t>pregnancies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sexually</w:t>
      </w:r>
      <w:r w:rsidR="00470EBF">
        <w:t xml:space="preserve"> </w:t>
      </w:r>
      <w:r w:rsidRPr="00A413B4">
        <w:t>transmitted</w:t>
      </w:r>
      <w:r w:rsidR="00470EBF">
        <w:t xml:space="preserve"> </w:t>
      </w:r>
      <w:r w:rsidRPr="00A413B4">
        <w:t>diseases.</w:t>
      </w:r>
    </w:p>
    <w:p w:rsidR="000A2967" w:rsidRPr="00A413B4" w:rsidRDefault="000A2967" w:rsidP="00C26914">
      <w:pPr>
        <w:pStyle w:val="SingleTxtG"/>
      </w:pPr>
      <w:r w:rsidRPr="00A413B4">
        <w:t>34.</w:t>
      </w:r>
      <w:r w:rsidRPr="00A413B4">
        <w:tab/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making</w:t>
      </w:r>
      <w:r w:rsidR="00470EBF">
        <w:t xml:space="preserve"> </w:t>
      </w:r>
      <w:r w:rsidRPr="00A413B4">
        <w:t>progress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Wellbeing</w:t>
      </w:r>
      <w:r w:rsidR="00470EBF">
        <w:t xml:space="preserve"> </w:t>
      </w:r>
      <w:r w:rsidRPr="00A413B4">
        <w:t>Strategy</w:t>
      </w:r>
      <w:r w:rsidR="00470EBF">
        <w:t xml:space="preserve"> </w:t>
      </w:r>
      <w:r w:rsidRPr="00A413B4">
        <w:t>2016-2021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Suicide</w:t>
      </w:r>
      <w:r w:rsidR="00470EBF">
        <w:t xml:space="preserve"> </w:t>
      </w:r>
      <w:r w:rsidRPr="00A413B4">
        <w:t>Prevention</w:t>
      </w:r>
      <w:r w:rsidR="00470EBF">
        <w:t xml:space="preserve"> </w:t>
      </w:r>
      <w:r w:rsidRPr="00A413B4">
        <w:t>Strategy</w:t>
      </w:r>
      <w:r w:rsidR="00470EBF">
        <w:t xml:space="preserve"> </w:t>
      </w:r>
      <w:r w:rsidRPr="00A413B4">
        <w:t>2016-2020.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takes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level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both</w:t>
      </w:r>
      <w:r w:rsidR="00470EBF">
        <w:t xml:space="preserve"> </w:t>
      </w:r>
      <w:r w:rsidRPr="00A413B4">
        <w:t>strategies.</w:t>
      </w:r>
      <w:r w:rsidR="00470EBF">
        <w:t xml:space="preserve"> </w:t>
      </w:r>
      <w:r w:rsidRPr="00A413B4">
        <w:t>Awareness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carried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throughout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country.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dedicated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Unit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provide</w:t>
      </w:r>
      <w:r w:rsidR="00470EBF">
        <w:t xml:space="preserve"> </w:t>
      </w:r>
      <w:r w:rsidRPr="00A413B4">
        <w:t>counselling</w:t>
      </w:r>
      <w:r w:rsidR="00470EBF">
        <w:t xml:space="preserve"> </w:t>
      </w:r>
      <w:r w:rsidRPr="00A413B4">
        <w:t>services;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out-patient</w:t>
      </w:r>
      <w:r w:rsidR="00470EBF">
        <w:t xml:space="preserve"> </w:t>
      </w:r>
      <w:r w:rsidRPr="00A413B4">
        <w:t>support.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local</w:t>
      </w:r>
      <w:r w:rsidR="00470EBF">
        <w:t xml:space="preserve"> </w:t>
      </w:r>
      <w:r w:rsidRPr="00A413B4">
        <w:t>psychologist</w:t>
      </w:r>
      <w:r w:rsidR="00470EBF">
        <w:t xml:space="preserve"> </w:t>
      </w:r>
      <w:r w:rsidRPr="00A413B4">
        <w:t>based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outer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but</w:t>
      </w:r>
      <w:r w:rsidR="00470EBF">
        <w:t xml:space="preserve"> </w:t>
      </w:r>
      <w:r w:rsidRPr="00A413B4">
        <w:t>provides</w:t>
      </w:r>
      <w:r w:rsidR="00470EBF">
        <w:t xml:space="preserve"> </w:t>
      </w:r>
      <w:r w:rsidRPr="00A413B4">
        <w:t>ongoing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team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lastRenderedPageBreak/>
        <w:t>Rarotonga</w:t>
      </w:r>
      <w:r w:rsidR="00470EBF">
        <w:t xml:space="preserve"> </w:t>
      </w:r>
      <w:r w:rsidRPr="00A413B4">
        <w:t>(main</w:t>
      </w:r>
      <w:r w:rsidR="00470EBF">
        <w:t xml:space="preserve"> </w:t>
      </w:r>
      <w:r w:rsidRPr="00A413B4">
        <w:t>island).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same</w:t>
      </w:r>
      <w:r w:rsidR="00470EBF">
        <w:t xml:space="preserve"> </w:t>
      </w:r>
      <w:r w:rsidRPr="00A413B4">
        <w:t>unit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responds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attempted</w:t>
      </w:r>
      <w:r w:rsidR="00470EBF">
        <w:t xml:space="preserve"> </w:t>
      </w:r>
      <w:r w:rsidRPr="00A413B4">
        <w:t>suicide.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works</w:t>
      </w:r>
      <w:r w:rsidR="00470EBF">
        <w:t xml:space="preserve"> </w:t>
      </w:r>
      <w:r w:rsidRPr="00A413B4">
        <w:t>closely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Kainga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NGO,</w:t>
      </w:r>
      <w:r w:rsidR="00470EBF">
        <w:t xml:space="preserve"> </w:t>
      </w:r>
      <w:r w:rsidRPr="00A413B4">
        <w:t>dedicated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suicide</w:t>
      </w:r>
      <w:r w:rsidR="00470EBF">
        <w:t xml:space="preserve"> </w:t>
      </w:r>
      <w:r w:rsidRPr="00A413B4">
        <w:t>prevention</w:t>
      </w:r>
      <w:r w:rsidR="00470EBF">
        <w:t xml:space="preserve"> </w:t>
      </w:r>
      <w:r w:rsidRPr="00A413B4">
        <w:t>support.</w:t>
      </w:r>
      <w:r w:rsidR="00470EBF">
        <w:t xml:space="preserve"> </w:t>
      </w:r>
    </w:p>
    <w:p w:rsidR="000A2967" w:rsidRPr="00A413B4" w:rsidRDefault="000A2967" w:rsidP="002A5CD8">
      <w:pPr>
        <w:pStyle w:val="H1G"/>
      </w:pPr>
      <w:r w:rsidRPr="00A413B4">
        <w:tab/>
        <w:t>I.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9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35.</w:t>
      </w:r>
      <w:r w:rsidRPr="00A413B4">
        <w:tab/>
        <w:t>The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Master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2008–2023</w:t>
      </w:r>
      <w:r w:rsidR="00470EBF">
        <w:t xml:space="preserve"> </w:t>
      </w:r>
      <w:r w:rsidRPr="00A413B4">
        <w:t>presents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strategic</w:t>
      </w:r>
      <w:r w:rsidR="00470EBF">
        <w:t xml:space="preserve"> </w:t>
      </w:r>
      <w:r w:rsidRPr="00A413B4">
        <w:t>direction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focusing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equitable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quality</w:t>
      </w:r>
      <w:r w:rsidR="00470EBF">
        <w:t xml:space="preserve"> </w:t>
      </w:r>
      <w:r w:rsidRPr="00A413B4">
        <w:t>learning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learners.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36.</w:t>
      </w:r>
      <w:r w:rsidRPr="00A413B4">
        <w:tab/>
        <w:t>Equitable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Early</w:t>
      </w:r>
      <w:r w:rsidR="00470EBF">
        <w:t xml:space="preserve"> </w:t>
      </w:r>
      <w:r w:rsidRPr="00A413B4">
        <w:t>Childhood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(ECE)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without</w:t>
      </w:r>
      <w:r w:rsidR="00470EBF">
        <w:t xml:space="preserve"> </w:t>
      </w:r>
      <w:r w:rsidRPr="00A413B4">
        <w:t>parental/</w:t>
      </w:r>
      <w:r w:rsidR="00470EBF">
        <w:t xml:space="preserve"> </w:t>
      </w:r>
      <w:r w:rsidRPr="00A413B4">
        <w:t>caregiver</w:t>
      </w:r>
      <w:r w:rsidR="00470EBF">
        <w:t xml:space="preserve"> </w:t>
      </w:r>
      <w:r w:rsidRPr="00A413B4">
        <w:t>supervision,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available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age</w:t>
      </w:r>
      <w:r w:rsidR="00470EBF">
        <w:t xml:space="preserve"> </w:t>
      </w:r>
      <w:r w:rsidRPr="00A413B4">
        <w:t>three.</w:t>
      </w:r>
      <w:r w:rsidR="00A164FB">
        <w:t xml:space="preserve"> </w:t>
      </w:r>
      <w:r w:rsidRPr="00A413B4">
        <w:t>While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compulsory,</w:t>
      </w:r>
      <w:r w:rsidR="00470EBF">
        <w:t xml:space="preserve"> </w:t>
      </w:r>
      <w:r w:rsidRPr="00A413B4">
        <w:t>ECE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highly</w:t>
      </w:r>
      <w:r w:rsidR="00470EBF">
        <w:t xml:space="preserve"> </w:t>
      </w:r>
      <w:r w:rsidRPr="00A413B4">
        <w:t>valued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parents,</w:t>
      </w:r>
      <w:r w:rsidR="00470EBF">
        <w:t xml:space="preserve"> </w:t>
      </w:r>
      <w:r w:rsidRPr="00A413B4">
        <w:t>families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community.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ECEs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significantly</w:t>
      </w:r>
      <w:r w:rsidR="00470EBF">
        <w:t xml:space="preserve"> </w:t>
      </w:r>
      <w:r w:rsidRPr="00A413B4">
        <w:t>resourced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supported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funding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provided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Education.</w:t>
      </w:r>
    </w:p>
    <w:p w:rsidR="000A2967" w:rsidRPr="00A413B4" w:rsidRDefault="000A2967" w:rsidP="00C26914">
      <w:pPr>
        <w:pStyle w:val="SingleTxtG"/>
      </w:pPr>
      <w:r w:rsidRPr="00A413B4">
        <w:t>37.</w:t>
      </w:r>
      <w:r w:rsidRPr="00A413B4">
        <w:tab/>
        <w:t>There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number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scholarship</w:t>
      </w:r>
      <w:r w:rsidR="00470EBF">
        <w:t xml:space="preserve"> </w:t>
      </w:r>
      <w:r w:rsidRPr="00A413B4">
        <w:t>opportunities</w:t>
      </w:r>
      <w:r w:rsidR="00470EBF">
        <w:t xml:space="preserve"> </w:t>
      </w:r>
      <w:r w:rsidRPr="00A413B4">
        <w:t>available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Islanders.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Pa</w:t>
      </w:r>
      <w:r w:rsidR="00470EBF">
        <w:t xml:space="preserve"> </w:t>
      </w:r>
      <w:r w:rsidRPr="00A413B4">
        <w:t>Enua</w:t>
      </w:r>
      <w:r w:rsidR="00470EBF">
        <w:t xml:space="preserve"> </w:t>
      </w:r>
      <w:r w:rsidRPr="00A413B4">
        <w:t>(outer</w:t>
      </w:r>
      <w:r w:rsidR="00470EBF">
        <w:t xml:space="preserve"> </w:t>
      </w:r>
      <w:r w:rsidRPr="00A413B4">
        <w:t>islands)</w:t>
      </w:r>
      <w:r w:rsidR="00470EBF">
        <w:t xml:space="preserve"> </w:t>
      </w:r>
      <w:r w:rsidRPr="00A413B4">
        <w:t>scholarships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students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families</w:t>
      </w:r>
      <w:r w:rsidR="00470EBF">
        <w:t xml:space="preserve"> </w:t>
      </w:r>
      <w:r w:rsidRPr="00A413B4">
        <w:t>when</w:t>
      </w:r>
      <w:r w:rsidR="00470EBF">
        <w:t xml:space="preserve"> </w:t>
      </w:r>
      <w:r w:rsidRPr="00A413B4">
        <w:t>choosing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continue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senior</w:t>
      </w:r>
      <w:r w:rsidR="00470EBF">
        <w:t xml:space="preserve"> </w:t>
      </w:r>
      <w:r w:rsidRPr="00A413B4">
        <w:t>level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Rarotonga.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38.</w:t>
      </w:r>
      <w:r w:rsidRPr="00A413B4">
        <w:tab/>
        <w:t>There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opportunities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vocational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available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Islanders.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Tertiary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Institute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presence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southern</w:t>
      </w:r>
      <w:r w:rsidR="00470EBF">
        <w:t xml:space="preserve"> </w:t>
      </w:r>
      <w:r w:rsidRPr="00A413B4">
        <w:t>Pa</w:t>
      </w:r>
      <w:r w:rsidR="00470EBF">
        <w:t xml:space="preserve"> </w:t>
      </w:r>
      <w:r w:rsidRPr="00A413B4">
        <w:t>Enua.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blended</w:t>
      </w:r>
      <w:r w:rsidR="00470EBF">
        <w:t xml:space="preserve"> </w:t>
      </w:r>
      <w:r w:rsidRPr="00A413B4">
        <w:t>modality</w:t>
      </w:r>
      <w:r w:rsidR="00470EBF">
        <w:t xml:space="preserve"> </w:t>
      </w:r>
      <w:r w:rsidRPr="00A413B4">
        <w:t>approach,</w:t>
      </w:r>
      <w:r w:rsidR="00470EBF">
        <w:t xml:space="preserve"> </w:t>
      </w:r>
      <w:r w:rsidRPr="00A413B4">
        <w:t>vocational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northern</w:t>
      </w:r>
      <w:r w:rsidR="00470EBF">
        <w:t xml:space="preserve"> </w:t>
      </w:r>
      <w:r w:rsidRPr="00A413B4">
        <w:t>Pa</w:t>
      </w:r>
      <w:r w:rsidR="00470EBF">
        <w:t xml:space="preserve"> </w:t>
      </w:r>
      <w:r w:rsidRPr="00A413B4">
        <w:t>Enua.</w:t>
      </w:r>
    </w:p>
    <w:p w:rsidR="000A2967" w:rsidRPr="00A413B4" w:rsidRDefault="000A2967" w:rsidP="00C26914">
      <w:pPr>
        <w:pStyle w:val="SingleTxtG"/>
      </w:pPr>
      <w:r w:rsidRPr="00A413B4">
        <w:t>39.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Education,</w:t>
      </w:r>
      <w:r w:rsidR="00470EBF">
        <w:t xml:space="preserve"> </w:t>
      </w:r>
      <w:r w:rsidRPr="00A413B4">
        <w:t>Level</w:t>
      </w:r>
      <w:r w:rsidR="00470EBF">
        <w:t xml:space="preserve"> </w:t>
      </w:r>
      <w:r w:rsidRPr="00A413B4">
        <w:t>2</w:t>
      </w:r>
      <w:r w:rsidR="00470EBF">
        <w:t xml:space="preserve"> </w:t>
      </w:r>
      <w:r w:rsidRPr="00A413B4">
        <w:t>Disaster</w:t>
      </w:r>
      <w:r w:rsidR="00470EBF">
        <w:t xml:space="preserve"> </w:t>
      </w:r>
      <w:r w:rsidRPr="00A413B4">
        <w:t>Risk</w:t>
      </w:r>
      <w:r w:rsidR="00470EBF">
        <w:t xml:space="preserve"> </w:t>
      </w:r>
      <w:r w:rsidRPr="00A413B4">
        <w:t>Management</w:t>
      </w:r>
      <w:r w:rsidR="00470EBF">
        <w:t xml:space="preserve"> </w:t>
      </w:r>
      <w:r w:rsidRPr="00A413B4">
        <w:t>Plan,</w:t>
      </w:r>
      <w:r w:rsidR="00470EBF">
        <w:t xml:space="preserve"> </w:t>
      </w:r>
      <w:r w:rsidRPr="00A413B4">
        <w:t>responds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Disaster</w:t>
      </w:r>
      <w:r w:rsidR="00470EBF">
        <w:t xml:space="preserve"> </w:t>
      </w:r>
      <w:r w:rsidRPr="00A413B4">
        <w:t>Risk</w:t>
      </w:r>
      <w:r w:rsidR="00470EBF">
        <w:t xml:space="preserve"> </w:t>
      </w:r>
      <w:r w:rsidRPr="00A413B4">
        <w:t>Management</w:t>
      </w:r>
      <w:r w:rsidR="00470EBF">
        <w:t xml:space="preserve"> </w:t>
      </w:r>
      <w:r w:rsidRPr="00A413B4">
        <w:t>Plan</w:t>
      </w:r>
      <w:r w:rsidR="00470EBF">
        <w:t xml:space="preserve"> </w:t>
      </w:r>
      <w:r w:rsidRPr="00A413B4">
        <w:t>(2017).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applies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students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staff</w:t>
      </w:r>
      <w:r w:rsidR="00470EBF">
        <w:t xml:space="preserve"> </w:t>
      </w:r>
      <w:r w:rsidRPr="00A413B4">
        <w:t>bound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Act.</w:t>
      </w:r>
      <w:r w:rsidR="00470EBF">
        <w:t xml:space="preserve"> </w:t>
      </w:r>
      <w:r w:rsidRPr="00A413B4">
        <w:t>Each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its</w:t>
      </w:r>
      <w:r w:rsidR="00470EBF">
        <w:t xml:space="preserve"> </w:t>
      </w:r>
      <w:r w:rsidRPr="00A413B4">
        <w:t>own</w:t>
      </w:r>
      <w:r w:rsidR="00470EBF">
        <w:t xml:space="preserve"> </w:t>
      </w:r>
      <w:r w:rsidRPr="00A413B4">
        <w:t>Disaster</w:t>
      </w:r>
      <w:r w:rsidR="00470EBF">
        <w:t xml:space="preserve"> </w:t>
      </w:r>
      <w:r w:rsidRPr="00A413B4">
        <w:t>Risk</w:t>
      </w:r>
      <w:r w:rsidR="00470EBF">
        <w:t xml:space="preserve"> </w:t>
      </w:r>
      <w:r w:rsidRPr="00A413B4">
        <w:t>Management</w:t>
      </w:r>
      <w:r w:rsidR="00470EBF">
        <w:t xml:space="preserve"> </w:t>
      </w:r>
      <w:r w:rsidRPr="00A413B4">
        <w:t>policy,</w:t>
      </w:r>
      <w:r w:rsidR="00470EBF">
        <w:t xml:space="preserve"> </w:t>
      </w:r>
      <w:r w:rsidRPr="00A413B4">
        <w:t>aligned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Ministry’s</w:t>
      </w:r>
      <w:r w:rsidR="00470EBF">
        <w:t xml:space="preserve"> </w:t>
      </w:r>
      <w:r w:rsidRPr="00A413B4">
        <w:t>work-plan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plans.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regularly</w:t>
      </w:r>
      <w:r w:rsidR="00470EBF">
        <w:t xml:space="preserve"> </w:t>
      </w:r>
      <w:r w:rsidRPr="00A413B4">
        <w:t>reviewed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each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relevant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monitored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quality</w:t>
      </w:r>
      <w:r w:rsidR="00470EBF">
        <w:t xml:space="preserve"> </w:t>
      </w:r>
      <w:r w:rsidRPr="00A413B4">
        <w:t>assurance</w:t>
      </w:r>
      <w:r w:rsidR="00470EBF">
        <w:t xml:space="preserve"> </w:t>
      </w:r>
      <w:r w:rsidRPr="00A413B4">
        <w:t>reviews.</w:t>
      </w:r>
      <w:r w:rsidR="00470EBF">
        <w:t xml:space="preserve"> </w:t>
      </w:r>
    </w:p>
    <w:p w:rsidR="000A2967" w:rsidRPr="00A413B4" w:rsidRDefault="000A2967" w:rsidP="002A5CD8">
      <w:pPr>
        <w:pStyle w:val="H1G"/>
      </w:pPr>
      <w:r w:rsidRPr="00A413B4">
        <w:tab/>
        <w:t>J.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10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40.</w:t>
      </w:r>
      <w:r w:rsidRPr="00A413B4">
        <w:tab/>
        <w:t>To</w:t>
      </w:r>
      <w:r w:rsidR="00470EBF">
        <w:t xml:space="preserve"> </w:t>
      </w:r>
      <w:r w:rsidRPr="00A413B4">
        <w:t>date,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no</w:t>
      </w:r>
      <w:r w:rsidR="00470EBF">
        <w:t xml:space="preserve"> </w:t>
      </w:r>
      <w:r w:rsidRPr="00A413B4">
        <w:t>concrete</w:t>
      </w:r>
      <w:r w:rsidR="00470EBF">
        <w:t xml:space="preserve"> </w:t>
      </w:r>
      <w:r w:rsidRPr="00A413B4">
        <w:t>discussion</w:t>
      </w:r>
      <w:r w:rsidR="00470EBF">
        <w:t xml:space="preserve"> </w:t>
      </w:r>
      <w:r w:rsidRPr="00A413B4">
        <w:t>amongst</w:t>
      </w:r>
      <w:r w:rsidR="00470EBF">
        <w:t xml:space="preserve"> </w:t>
      </w:r>
      <w:r w:rsidRPr="00A413B4">
        <w:t>key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stakeholders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increase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minimum</w:t>
      </w:r>
      <w:r w:rsidR="00470EBF">
        <w:t xml:space="preserve"> </w:t>
      </w:r>
      <w:r w:rsidRPr="00A413B4">
        <w:t>age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criminal</w:t>
      </w:r>
      <w:r w:rsidR="00470EBF">
        <w:t xml:space="preserve"> </w:t>
      </w:r>
      <w:r w:rsidRPr="00A413B4">
        <w:t>responsibility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ensure</w:t>
      </w:r>
      <w:r w:rsidR="00470EBF">
        <w:t xml:space="preserve"> </w:t>
      </w:r>
      <w:r w:rsidRPr="00A413B4">
        <w:t>consistency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international</w:t>
      </w:r>
      <w:r w:rsidR="00470EBF">
        <w:t xml:space="preserve"> </w:t>
      </w:r>
      <w:r w:rsidRPr="00A413B4">
        <w:t>standards.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UKT</w:t>
      </w:r>
      <w:r w:rsidR="00470EBF">
        <w:t xml:space="preserve"> </w:t>
      </w:r>
      <w:r w:rsidRPr="00A413B4">
        <w:t>system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come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non-custodial</w:t>
      </w:r>
      <w:r w:rsidR="00470EBF">
        <w:t xml:space="preserve"> </w:t>
      </w:r>
      <w:r w:rsidRPr="00A413B4">
        <w:t>settlement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helpful;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well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implementation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Police</w:t>
      </w:r>
      <w:r w:rsidR="00470EBF">
        <w:t xml:space="preserve"> </w:t>
      </w:r>
      <w:r w:rsidRPr="00A413B4">
        <w:t>Safety</w:t>
      </w:r>
      <w:r w:rsidR="00470EBF">
        <w:t xml:space="preserve"> </w:t>
      </w:r>
      <w:r w:rsidRPr="00A413B4">
        <w:t>Orders/Bail</w:t>
      </w:r>
      <w:r w:rsidR="00470EBF">
        <w:t xml:space="preserve"> </w:t>
      </w:r>
      <w:r w:rsidRPr="00A413B4">
        <w:t>conditions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takes</w:t>
      </w:r>
      <w:r w:rsidR="00470EBF">
        <w:t xml:space="preserve"> </w:t>
      </w:r>
      <w:r w:rsidRPr="00A413B4">
        <w:t>into</w:t>
      </w:r>
      <w:r w:rsidR="00470EBF">
        <w:t xml:space="preserve"> </w:t>
      </w:r>
      <w:r w:rsidRPr="00A413B4">
        <w:t>consideration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best</w:t>
      </w:r>
      <w:r w:rsidR="00470EBF">
        <w:t xml:space="preserve"> </w:t>
      </w:r>
      <w:r w:rsidRPr="00A413B4">
        <w:t>interests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victims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witnesses</w:t>
      </w:r>
      <w:r w:rsidR="00470EBF">
        <w:t xml:space="preserve"> </w:t>
      </w:r>
      <w:r w:rsidRPr="00A413B4">
        <w:t>ensuring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protected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criminal</w:t>
      </w:r>
      <w:r w:rsidR="00470EBF">
        <w:t xml:space="preserve"> </w:t>
      </w:r>
      <w:r w:rsidRPr="00A413B4">
        <w:t>proceedings.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courts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also</w:t>
      </w:r>
      <w:r w:rsidR="00470EBF">
        <w:t xml:space="preserve"> </w:t>
      </w:r>
      <w:r w:rsidRPr="00A413B4">
        <w:t>applying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Convention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its</w:t>
      </w:r>
      <w:r w:rsidR="00470EBF">
        <w:t xml:space="preserve"> </w:t>
      </w:r>
      <w:r w:rsidRPr="00A413B4">
        <w:t>deliberation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cases,</w:t>
      </w:r>
      <w:r w:rsidR="00470EBF">
        <w:t xml:space="preserve"> </w:t>
      </w:r>
      <w:r w:rsidRPr="00A413B4">
        <w:t>especially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sentencing.</w:t>
      </w:r>
      <w:r w:rsidR="00470EBF">
        <w:t xml:space="preserve"> </w:t>
      </w:r>
    </w:p>
    <w:p w:rsidR="000A2967" w:rsidRPr="00A413B4" w:rsidRDefault="000A2967" w:rsidP="002A5CD8">
      <w:pPr>
        <w:pStyle w:val="H1G"/>
      </w:pPr>
      <w:r w:rsidRPr="00A413B4">
        <w:tab/>
        <w:t>K.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11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41.</w:t>
      </w:r>
      <w:r w:rsidRPr="00A413B4">
        <w:tab/>
        <w:t>No</w:t>
      </w:r>
      <w:r w:rsidR="00470EBF">
        <w:t xml:space="preserve"> </w:t>
      </w:r>
      <w:r w:rsidRPr="00A413B4">
        <w:t>new</w:t>
      </w:r>
      <w:r w:rsidR="00470EBF">
        <w:t xml:space="preserve"> </w:t>
      </w:r>
      <w:r w:rsidRPr="00A413B4">
        <w:t>laws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introduced</w:t>
      </w:r>
      <w:r w:rsidR="00470EBF">
        <w:t xml:space="preserve"> </w:t>
      </w:r>
      <w:r w:rsidRPr="00A413B4">
        <w:t>since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submission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State</w:t>
      </w:r>
      <w:r w:rsidR="00470EBF">
        <w:t xml:space="preserve"> </w:t>
      </w:r>
      <w:r w:rsidRPr="00A413B4">
        <w:t>Party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2018.</w:t>
      </w:r>
      <w:r w:rsidR="00470EBF">
        <w:t xml:space="preserve"> </w:t>
      </w:r>
      <w:r w:rsidRPr="00A413B4">
        <w:t>However,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working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finalizing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Crimes</w:t>
      </w:r>
      <w:r w:rsidR="00470EBF">
        <w:t xml:space="preserve"> </w:t>
      </w:r>
      <w:r w:rsidRPr="00A413B4">
        <w:t>Bill,</w:t>
      </w:r>
      <w:r w:rsidR="00470EBF">
        <w:t xml:space="preserve"> </w:t>
      </w:r>
      <w:r w:rsidRPr="00A413B4">
        <w:t>Marriage</w:t>
      </w:r>
      <w:r w:rsidR="00470EBF">
        <w:t xml:space="preserve"> </w:t>
      </w:r>
      <w:r w:rsidRPr="00A413B4">
        <w:t>Amendment</w:t>
      </w:r>
      <w:r w:rsidR="00470EBF">
        <w:t xml:space="preserve"> </w:t>
      </w:r>
      <w:r w:rsidRPr="00A413B4">
        <w:t>Bill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Immigration</w:t>
      </w:r>
      <w:r w:rsidR="00470EBF">
        <w:t xml:space="preserve"> </w:t>
      </w:r>
      <w:r w:rsidRPr="00A413B4">
        <w:t>Bill.</w:t>
      </w:r>
      <w:r w:rsidR="00470EBF">
        <w:t xml:space="preserve"> </w:t>
      </w:r>
      <w:r w:rsidRPr="00A413B4">
        <w:t>Updates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Crimes</w:t>
      </w:r>
      <w:r w:rsidR="00470EBF">
        <w:t xml:space="preserve"> </w:t>
      </w:r>
      <w:r w:rsidRPr="00A413B4">
        <w:t>Bill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Marriage</w:t>
      </w:r>
      <w:r w:rsidR="00470EBF">
        <w:t xml:space="preserve"> </w:t>
      </w:r>
      <w:r w:rsidRPr="00A413B4">
        <w:t>Amendment</w:t>
      </w:r>
      <w:r w:rsidR="00470EBF">
        <w:t xml:space="preserve"> </w:t>
      </w:r>
      <w:r w:rsidRPr="00A413B4">
        <w:t>Bill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provided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part</w:t>
      </w:r>
      <w:r w:rsidR="00470EBF">
        <w:t xml:space="preserve"> </w:t>
      </w:r>
      <w:r w:rsidRPr="00A413B4">
        <w:t>1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response.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Immigration</w:t>
      </w:r>
      <w:r w:rsidR="00470EBF">
        <w:t xml:space="preserve"> </w:t>
      </w:r>
      <w:r w:rsidRPr="00A413B4">
        <w:t>Bill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largely</w:t>
      </w:r>
      <w:r w:rsidR="00470EBF">
        <w:t xml:space="preserve"> </w:t>
      </w:r>
      <w:r w:rsidRPr="00A413B4">
        <w:t>bring</w:t>
      </w:r>
      <w:r w:rsidR="00470EBF">
        <w:t xml:space="preserve"> </w:t>
      </w:r>
      <w:r w:rsidRPr="00A413B4">
        <w:t>immigration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minors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line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Convention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Rights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Child.</w:t>
      </w:r>
      <w:r w:rsidRPr="00A413B4">
        <w:tab/>
      </w:r>
    </w:p>
    <w:p w:rsidR="000A2967" w:rsidRPr="00A413B4" w:rsidRDefault="000A2967" w:rsidP="00F26BA2">
      <w:pPr>
        <w:pStyle w:val="H1G"/>
      </w:pPr>
      <w:r w:rsidRPr="00A413B4">
        <w:tab/>
        <w:t>L.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12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80"/>
        <w:gridCol w:w="994"/>
        <w:gridCol w:w="1316"/>
        <w:gridCol w:w="590"/>
        <w:gridCol w:w="331"/>
        <w:gridCol w:w="331"/>
        <w:gridCol w:w="336"/>
      </w:tblGrid>
      <w:tr w:rsidR="000A2967" w:rsidRPr="00D0046A" w:rsidTr="00FF61ED">
        <w:trPr>
          <w:tblHeader/>
        </w:trPr>
        <w:tc>
          <w:tcPr>
            <w:tcW w:w="73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D0046A">
              <w:rPr>
                <w:i/>
                <w:sz w:val="16"/>
              </w:rPr>
              <w:t>Total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Budget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Appropriation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for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New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born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Allowance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&amp;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Child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Benefit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Payment</w:t>
            </w:r>
          </w:p>
        </w:tc>
      </w:tr>
      <w:tr w:rsidR="00FF61ED" w:rsidRPr="00D0046A" w:rsidTr="00CB0D8F">
        <w:trPr>
          <w:tblHeader/>
        </w:trPr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D0046A">
              <w:rPr>
                <w:i/>
                <w:sz w:val="16"/>
              </w:rPr>
              <w:t>POBOCs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D0046A">
              <w:rPr>
                <w:i/>
                <w:sz w:val="16"/>
              </w:rPr>
              <w:t>Total</w:t>
            </w:r>
            <w:r w:rsidR="00470EBF">
              <w:rPr>
                <w:i/>
                <w:sz w:val="16"/>
              </w:rPr>
              <w:t xml:space="preserve"> </w:t>
            </w:r>
            <w:r w:rsidRPr="00D0046A">
              <w:rPr>
                <w:i/>
                <w:sz w:val="16"/>
              </w:rPr>
              <w:t>Appropriation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D0046A">
              <w:rPr>
                <w:i/>
                <w:sz w:val="16"/>
              </w:rPr>
              <w:t>Actual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D0046A" w:rsidRDefault="000A2967" w:rsidP="001B5A4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</w:p>
        </w:tc>
      </w:tr>
      <w:tr w:rsidR="00D0046A" w:rsidRPr="00D0046A" w:rsidTr="00CB0D8F">
        <w:tc>
          <w:tcPr>
            <w:tcW w:w="19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July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2016</w:t>
            </w:r>
            <w:r>
              <w:rPr>
                <w:sz w:val="18"/>
              </w:rPr>
              <w:t>–</w:t>
            </w:r>
            <w:r w:rsidRPr="00D0046A">
              <w:rPr>
                <w:sz w:val="18"/>
              </w:rPr>
              <w:t>June2017</w:t>
            </w:r>
          </w:p>
        </w:tc>
        <w:tc>
          <w:tcPr>
            <w:tcW w:w="14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0046A" w:rsidRPr="00D0046A" w:rsidRDefault="00D0046A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</w:tr>
      <w:tr w:rsidR="00FF61ED" w:rsidRPr="00D0046A" w:rsidTr="00CB0D8F">
        <w:tc>
          <w:tcPr>
            <w:tcW w:w="1992" w:type="dxa"/>
            <w:tcBorders>
              <w:bottom w:val="nil"/>
            </w:tcBorders>
            <w:shd w:val="clear" w:color="auto" w:fill="auto"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Child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Benefit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hideMark/>
          </w:tcPr>
          <w:p w:rsidR="000A2967" w:rsidRPr="00D0046A" w:rsidRDefault="000A2967" w:rsidP="00FF61E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654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907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FF61E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719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674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590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</w:tr>
      <w:tr w:rsidR="000A2967" w:rsidRPr="00D0046A" w:rsidTr="00CB0D8F">
        <w:tc>
          <w:tcPr>
            <w:tcW w:w="1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New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Born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allowance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A2967" w:rsidRPr="00D0046A" w:rsidRDefault="000A2967" w:rsidP="00FF61E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200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000.00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FF61E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243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000</w:t>
            </w:r>
          </w:p>
        </w:tc>
        <w:tc>
          <w:tcPr>
            <w:tcW w:w="2904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(Min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Internal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Affairs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br/>
              <w:t>Variance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Report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June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2017)</w:t>
            </w:r>
          </w:p>
        </w:tc>
      </w:tr>
      <w:tr w:rsidR="000A2967" w:rsidRPr="00D0046A" w:rsidTr="00D0046A">
        <w:tc>
          <w:tcPr>
            <w:tcW w:w="7370" w:type="dxa"/>
            <w:gridSpan w:val="8"/>
            <w:tcBorders>
              <w:top w:val="nil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lastRenderedPageBreak/>
              <w:t>July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2017</w:t>
            </w:r>
            <w:r w:rsidR="00FF61ED">
              <w:rPr>
                <w:sz w:val="18"/>
              </w:rPr>
              <w:t>–</w:t>
            </w:r>
            <w:r w:rsidRPr="00D0046A">
              <w:rPr>
                <w:sz w:val="18"/>
              </w:rPr>
              <w:t>June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2018</w:t>
            </w:r>
          </w:p>
        </w:tc>
      </w:tr>
      <w:tr w:rsidR="00CB0D8F" w:rsidRPr="00D0046A" w:rsidTr="00CB0D8F">
        <w:tc>
          <w:tcPr>
            <w:tcW w:w="1992" w:type="dxa"/>
            <w:shd w:val="clear" w:color="auto" w:fill="auto"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Child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Benefit</w:t>
            </w:r>
          </w:p>
        </w:tc>
        <w:tc>
          <w:tcPr>
            <w:tcW w:w="1480" w:type="dxa"/>
            <w:shd w:val="clear" w:color="auto" w:fill="auto"/>
            <w:hideMark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4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036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832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4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117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334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590" w:type="dxa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1" w:type="dxa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1" w:type="dxa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336" w:type="dxa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</w:tr>
      <w:tr w:rsidR="000A2967" w:rsidRPr="00D0046A" w:rsidTr="00CB0D8F">
        <w:tc>
          <w:tcPr>
            <w:tcW w:w="1992" w:type="dxa"/>
            <w:shd w:val="clear" w:color="auto" w:fill="auto"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New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Born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allowance</w:t>
            </w:r>
          </w:p>
        </w:tc>
        <w:tc>
          <w:tcPr>
            <w:tcW w:w="1480" w:type="dxa"/>
            <w:shd w:val="clear" w:color="auto" w:fill="auto"/>
            <w:hideMark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200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000.00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226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000</w:t>
            </w:r>
          </w:p>
        </w:tc>
        <w:tc>
          <w:tcPr>
            <w:tcW w:w="2904" w:type="dxa"/>
            <w:gridSpan w:val="5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(Min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Internal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Affairs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br/>
              <w:t>Variance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Report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June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2018)</w:t>
            </w:r>
          </w:p>
        </w:tc>
      </w:tr>
      <w:tr w:rsidR="000A2967" w:rsidRPr="00D0046A" w:rsidTr="00D0046A">
        <w:tc>
          <w:tcPr>
            <w:tcW w:w="7370" w:type="dxa"/>
            <w:gridSpan w:val="8"/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Ministry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of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Internal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Affairs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(Social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Policy&amp;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Services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Division)</w:t>
            </w:r>
          </w:p>
        </w:tc>
      </w:tr>
      <w:tr w:rsidR="00FF61ED" w:rsidRPr="009621C0" w:rsidTr="00CB0D8F">
        <w:tc>
          <w:tcPr>
            <w:tcW w:w="1992" w:type="dxa"/>
            <w:shd w:val="clear" w:color="auto" w:fill="auto"/>
            <w:hideMark/>
          </w:tcPr>
          <w:p w:rsidR="000A2967" w:rsidRPr="009621C0" w:rsidRDefault="000A2967" w:rsidP="00DF2056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9621C0">
              <w:rPr>
                <w:i/>
                <w:sz w:val="16"/>
              </w:rPr>
              <w:t>Total</w:t>
            </w:r>
            <w:r w:rsidR="00470EBF">
              <w:rPr>
                <w:i/>
                <w:sz w:val="16"/>
              </w:rPr>
              <w:t xml:space="preserve"> </w:t>
            </w:r>
            <w:r w:rsidRPr="009621C0">
              <w:rPr>
                <w:i/>
                <w:sz w:val="16"/>
              </w:rPr>
              <w:t>Operational</w:t>
            </w:r>
            <w:r w:rsidR="00470EBF">
              <w:rPr>
                <w:i/>
                <w:sz w:val="16"/>
              </w:rPr>
              <w:t xml:space="preserve"> </w:t>
            </w:r>
            <w:r w:rsidRPr="009621C0">
              <w:rPr>
                <w:i/>
                <w:sz w:val="16"/>
              </w:rPr>
              <w:t>Budget</w:t>
            </w:r>
          </w:p>
        </w:tc>
        <w:tc>
          <w:tcPr>
            <w:tcW w:w="1480" w:type="dxa"/>
            <w:shd w:val="clear" w:color="auto" w:fill="auto"/>
            <w:hideMark/>
          </w:tcPr>
          <w:p w:rsidR="000A2967" w:rsidRPr="009621C0" w:rsidRDefault="000A2967" w:rsidP="00DF2056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9621C0">
              <w:rPr>
                <w:i/>
                <w:sz w:val="16"/>
              </w:rPr>
              <w:t>2017</w:t>
            </w:r>
            <w:r w:rsidR="009621C0" w:rsidRPr="009621C0">
              <w:rPr>
                <w:i/>
                <w:sz w:val="16"/>
              </w:rPr>
              <w:t>–</w:t>
            </w:r>
            <w:r w:rsidRPr="009621C0">
              <w:rPr>
                <w:i/>
                <w:sz w:val="16"/>
              </w:rPr>
              <w:t>2018</w:t>
            </w:r>
          </w:p>
        </w:tc>
        <w:tc>
          <w:tcPr>
            <w:tcW w:w="994" w:type="dxa"/>
            <w:shd w:val="clear" w:color="auto" w:fill="auto"/>
            <w:hideMark/>
          </w:tcPr>
          <w:p w:rsidR="000A2967" w:rsidRPr="009621C0" w:rsidRDefault="000A2967" w:rsidP="00DF2056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9621C0">
              <w:rPr>
                <w:i/>
                <w:sz w:val="16"/>
              </w:rPr>
              <w:t>2018</w:t>
            </w:r>
            <w:r w:rsidR="009621C0" w:rsidRPr="009621C0">
              <w:rPr>
                <w:i/>
                <w:sz w:val="16"/>
              </w:rPr>
              <w:t>–</w:t>
            </w:r>
            <w:r w:rsidRPr="009621C0">
              <w:rPr>
                <w:i/>
                <w:sz w:val="16"/>
              </w:rPr>
              <w:t>2019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0A2967" w:rsidRPr="009621C0" w:rsidRDefault="000A2967" w:rsidP="009621C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  <w:tc>
          <w:tcPr>
            <w:tcW w:w="590" w:type="dxa"/>
            <w:shd w:val="clear" w:color="auto" w:fill="auto"/>
            <w:noWrap/>
            <w:hideMark/>
          </w:tcPr>
          <w:p w:rsidR="000A2967" w:rsidRPr="009621C0" w:rsidRDefault="000A2967" w:rsidP="009621C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  <w:tc>
          <w:tcPr>
            <w:tcW w:w="331" w:type="dxa"/>
            <w:shd w:val="clear" w:color="auto" w:fill="auto"/>
            <w:noWrap/>
            <w:hideMark/>
          </w:tcPr>
          <w:p w:rsidR="000A2967" w:rsidRPr="009621C0" w:rsidRDefault="000A2967" w:rsidP="009621C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  <w:tc>
          <w:tcPr>
            <w:tcW w:w="331" w:type="dxa"/>
            <w:shd w:val="clear" w:color="auto" w:fill="auto"/>
            <w:noWrap/>
            <w:hideMark/>
          </w:tcPr>
          <w:p w:rsidR="000A2967" w:rsidRPr="009621C0" w:rsidRDefault="000A2967" w:rsidP="009621C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  <w:tc>
          <w:tcPr>
            <w:tcW w:w="336" w:type="dxa"/>
            <w:shd w:val="clear" w:color="auto" w:fill="auto"/>
            <w:noWrap/>
            <w:hideMark/>
          </w:tcPr>
          <w:p w:rsidR="000A2967" w:rsidRPr="009621C0" w:rsidRDefault="000A2967" w:rsidP="009621C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</w:tr>
      <w:tr w:rsidR="000A2967" w:rsidRPr="00D0046A" w:rsidTr="00CB0D8F">
        <w:tc>
          <w:tcPr>
            <w:tcW w:w="1992" w:type="dxa"/>
            <w:shd w:val="clear" w:color="auto" w:fill="auto"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Personnel</w:t>
            </w:r>
          </w:p>
        </w:tc>
        <w:tc>
          <w:tcPr>
            <w:tcW w:w="1480" w:type="dxa"/>
            <w:shd w:val="clear" w:color="auto" w:fill="auto"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261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924.00</w:t>
            </w:r>
          </w:p>
        </w:tc>
        <w:tc>
          <w:tcPr>
            <w:tcW w:w="994" w:type="dxa"/>
            <w:shd w:val="clear" w:color="auto" w:fill="auto"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336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719.00</w:t>
            </w:r>
          </w:p>
        </w:tc>
        <w:tc>
          <w:tcPr>
            <w:tcW w:w="2904" w:type="dxa"/>
            <w:gridSpan w:val="5"/>
            <w:shd w:val="clear" w:color="auto" w:fill="auto"/>
            <w:noWrap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(2017-18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Cook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Islands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Budget)</w:t>
            </w:r>
            <w:r w:rsidRPr="00D0046A">
              <w:rPr>
                <w:sz w:val="18"/>
              </w:rPr>
              <w:br/>
              <w:t>Book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2;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Ministry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Statement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pg.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125</w:t>
            </w:r>
          </w:p>
        </w:tc>
      </w:tr>
      <w:tr w:rsidR="000A2967" w:rsidRPr="00D0046A" w:rsidTr="00CB0D8F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Operating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32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837.00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2967" w:rsidRPr="00D0046A" w:rsidRDefault="000A2967" w:rsidP="009621C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0046A">
              <w:rPr>
                <w:sz w:val="18"/>
              </w:rPr>
              <w:t>32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837.00</w:t>
            </w:r>
          </w:p>
        </w:tc>
        <w:tc>
          <w:tcPr>
            <w:tcW w:w="29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967" w:rsidRPr="00D0046A" w:rsidRDefault="000A2967" w:rsidP="00D0046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0046A">
              <w:rPr>
                <w:sz w:val="18"/>
              </w:rPr>
              <w:t>(2018-19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Cook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Islands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Budget)</w:t>
            </w:r>
            <w:r w:rsidRPr="00D0046A">
              <w:rPr>
                <w:sz w:val="18"/>
              </w:rPr>
              <w:br/>
              <w:t>Book;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Ministry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Statements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Pg.</w:t>
            </w:r>
            <w:r w:rsidR="00470EBF">
              <w:rPr>
                <w:sz w:val="18"/>
              </w:rPr>
              <w:t xml:space="preserve"> </w:t>
            </w:r>
            <w:r w:rsidRPr="00D0046A">
              <w:rPr>
                <w:sz w:val="18"/>
              </w:rPr>
              <w:t>120)</w:t>
            </w:r>
          </w:p>
        </w:tc>
      </w:tr>
    </w:tbl>
    <w:p w:rsidR="000A2967" w:rsidRPr="00A413B4" w:rsidRDefault="000A2967" w:rsidP="00CB0D8F">
      <w:pPr>
        <w:pStyle w:val="H1G"/>
      </w:pPr>
      <w:r w:rsidRPr="00A413B4">
        <w:tab/>
        <w:t>M.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(a),</w:t>
      </w:r>
      <w:r w:rsidR="00470EBF">
        <w:t xml:space="preserve"> </w:t>
      </w:r>
      <w:r w:rsidRPr="00A413B4">
        <w:t>(b)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(c)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42.</w:t>
      </w:r>
      <w:r w:rsidRPr="00A413B4">
        <w:tab/>
        <w:t>Information</w:t>
      </w:r>
      <w:r w:rsidR="00470EBF">
        <w:t xml:space="preserve"> </w:t>
      </w:r>
      <w:r w:rsidRPr="00A413B4">
        <w:t>related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shared</w:t>
      </w:r>
      <w:r w:rsidR="00470EBF">
        <w:t xml:space="preserve"> </w:t>
      </w:r>
      <w:r w:rsidRPr="00A413B4">
        <w:t>later.</w:t>
      </w:r>
      <w:r w:rsidR="00470EBF">
        <w:t xml:space="preserve"> </w:t>
      </w:r>
    </w:p>
    <w:p w:rsidR="000A2967" w:rsidRPr="00A413B4" w:rsidRDefault="000A2967" w:rsidP="00CB0D8F">
      <w:pPr>
        <w:pStyle w:val="H1G"/>
      </w:pPr>
      <w:r w:rsidRPr="00A413B4">
        <w:tab/>
        <w:t>N.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(d)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43.</w:t>
      </w:r>
      <w:r w:rsidRPr="00A413B4">
        <w:tab/>
        <w:t>Response</w:t>
      </w:r>
      <w:r w:rsidR="00470EBF">
        <w:t xml:space="preserve"> </w:t>
      </w:r>
      <w:r w:rsidRPr="00A413B4">
        <w:t>(Source: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Health)</w:t>
      </w:r>
      <w:r w:rsidR="000B3C22">
        <w:t xml:space="preserve"> – </w:t>
      </w:r>
      <w:r w:rsidRPr="00A413B4">
        <w:t>Within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6</w:t>
      </w:r>
      <w:r w:rsidR="00470EBF">
        <w:t xml:space="preserve"> </w:t>
      </w:r>
      <w:r w:rsidRPr="00A413B4">
        <w:t>month’s</w:t>
      </w:r>
      <w:r w:rsidR="00470EBF">
        <w:t xml:space="preserve"> </w:t>
      </w:r>
      <w:r w:rsidRPr="00A413B4">
        <w:t>period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January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June</w:t>
      </w:r>
      <w:r w:rsidR="00470EBF">
        <w:t xml:space="preserve"> </w:t>
      </w:r>
      <w:r w:rsidRPr="00A413B4">
        <w:t>2019,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only</w:t>
      </w:r>
      <w:r w:rsidR="00470EBF">
        <w:t xml:space="preserve"> </w:t>
      </w:r>
      <w:r w:rsidRPr="00A413B4">
        <w:t>2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seen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anaemia.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due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good</w:t>
      </w:r>
      <w:r w:rsidR="00470EBF">
        <w:t xml:space="preserve"> </w:t>
      </w:r>
      <w:r w:rsidRPr="00A413B4">
        <w:t>“deworming”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Public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Division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Health.</w:t>
      </w:r>
      <w:r w:rsidR="00470EBF">
        <w:t xml:space="preserve"> </w:t>
      </w:r>
    </w:p>
    <w:p w:rsidR="000A2967" w:rsidRPr="00A413B4" w:rsidRDefault="000A2967" w:rsidP="00CB0D8F">
      <w:pPr>
        <w:pStyle w:val="H1G"/>
      </w:pPr>
      <w:r w:rsidRPr="00A413B4">
        <w:tab/>
        <w:t>O.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(e)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44.</w:t>
      </w:r>
      <w:r w:rsidRPr="00A413B4">
        <w:tab/>
        <w:t>Response:</w:t>
      </w:r>
      <w:r w:rsidR="00470EBF">
        <w:t xml:space="preserve"> </w:t>
      </w:r>
      <w:r w:rsidRPr="00A413B4">
        <w:t>(Source: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Health):</w:t>
      </w:r>
      <w:r w:rsidR="00470EBF">
        <w:t xml:space="preserve"> </w:t>
      </w:r>
      <w:r w:rsidRPr="00A413B4">
        <w:t>Obesity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20%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presented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3</w:t>
      </w:r>
      <w:r w:rsidR="00470EBF">
        <w:t xml:space="preserve"> </w:t>
      </w:r>
      <w:r w:rsidRPr="00A413B4">
        <w:t>month</w:t>
      </w:r>
      <w:r w:rsidR="00470EBF">
        <w:t xml:space="preserve"> </w:t>
      </w:r>
      <w:r w:rsidRPr="00A413B4">
        <w:t>period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Pediatric</w:t>
      </w:r>
      <w:r w:rsidR="00470EBF">
        <w:t xml:space="preserve"> </w:t>
      </w:r>
      <w:r w:rsidRPr="00A413B4">
        <w:t>clinic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considered</w:t>
      </w:r>
      <w:r w:rsidR="00470EBF">
        <w:t xml:space="preserve"> </w:t>
      </w:r>
      <w:r w:rsidRPr="00A413B4">
        <w:t>obese.</w:t>
      </w:r>
      <w:r w:rsidR="00470EBF">
        <w:t xml:space="preserve"> </w:t>
      </w:r>
      <w:r w:rsidRPr="00A413B4">
        <w:t>Results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true</w:t>
      </w:r>
      <w:r w:rsidR="00470EBF">
        <w:t xml:space="preserve"> </w:t>
      </w:r>
      <w:r w:rsidRPr="00A413B4">
        <w:t>indication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extent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childhood</w:t>
      </w:r>
      <w:r w:rsidR="00470EBF">
        <w:t xml:space="preserve"> </w:t>
      </w:r>
      <w:r w:rsidRPr="00A413B4">
        <w:t>obesity</w:t>
      </w:r>
      <w:r w:rsidR="00470EBF">
        <w:t xml:space="preserve"> </w:t>
      </w:r>
      <w:r w:rsidRPr="00A413B4">
        <w:t>due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fact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data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information</w:t>
      </w:r>
      <w:r w:rsidR="00470EBF">
        <w:t xml:space="preserve"> </w:t>
      </w:r>
      <w:r w:rsidRPr="00A413B4">
        <w:t>collected</w:t>
      </w:r>
      <w:r w:rsidR="00470EBF">
        <w:t xml:space="preserve"> </w:t>
      </w:r>
      <w:r w:rsidRPr="00A413B4">
        <w:t>should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uniform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entry</w:t>
      </w:r>
      <w:r w:rsidR="00470EBF">
        <w:t xml:space="preserve"> </w:t>
      </w:r>
      <w:r w:rsidRPr="00A413B4">
        <w:t>points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care;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Outpatients</w:t>
      </w:r>
      <w:r w:rsidR="00470EBF">
        <w:t xml:space="preserve"> </w:t>
      </w:r>
      <w:r w:rsidRPr="00A413B4">
        <w:t>Rarotonga,</w:t>
      </w:r>
      <w:r w:rsidR="00470EBF">
        <w:t xml:space="preserve"> </w:t>
      </w:r>
      <w:r w:rsidRPr="00A413B4">
        <w:t>Pediatric</w:t>
      </w:r>
      <w:r w:rsidR="00470EBF">
        <w:t xml:space="preserve"> </w:t>
      </w:r>
      <w:r w:rsidRPr="00A413B4">
        <w:t>clinic,</w:t>
      </w:r>
      <w:r w:rsidR="00470EBF">
        <w:t xml:space="preserve"> </w:t>
      </w:r>
      <w:r w:rsidRPr="00A413B4">
        <w:t>Tupapa</w:t>
      </w:r>
      <w:r w:rsidR="00470EBF">
        <w:t xml:space="preserve"> </w:t>
      </w:r>
      <w:r w:rsidRPr="00A413B4">
        <w:t>Outpatients,</w:t>
      </w:r>
      <w:r w:rsidR="00470EBF">
        <w:t xml:space="preserve"> </w:t>
      </w:r>
      <w:r w:rsidRPr="00A413B4">
        <w:t>within</w:t>
      </w:r>
      <w:r w:rsidR="00470EBF">
        <w:t xml:space="preserve"> </w:t>
      </w:r>
      <w:r w:rsidRPr="00A413B4">
        <w:t>community</w:t>
      </w:r>
      <w:r w:rsidR="00470EBF">
        <w:t xml:space="preserve"> </w:t>
      </w:r>
      <w:r w:rsidRPr="00A413B4">
        <w:t>clinics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Outer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hospitals.</w:t>
      </w:r>
    </w:p>
    <w:p w:rsidR="000A2967" w:rsidRPr="00A413B4" w:rsidRDefault="000A2967" w:rsidP="00C26914">
      <w:pPr>
        <w:pStyle w:val="SingleTxtG"/>
      </w:pPr>
      <w:r w:rsidRPr="00A413B4">
        <w:t>45.</w:t>
      </w:r>
      <w:r w:rsidRPr="00A413B4">
        <w:tab/>
        <w:t>Find</w:t>
      </w:r>
      <w:r w:rsidR="00470EBF">
        <w:t xml:space="preserve"> </w:t>
      </w:r>
      <w:r w:rsidRPr="00A413B4">
        <w:t>below</w:t>
      </w:r>
      <w:r w:rsidR="00470EBF">
        <w:t xml:space="preserve"> </w:t>
      </w:r>
      <w:r w:rsidRPr="00A413B4">
        <w:t>obesity</w:t>
      </w:r>
      <w:r w:rsidR="00470EBF">
        <w:t xml:space="preserve"> </w:t>
      </w:r>
      <w:r w:rsidRPr="00A413B4">
        <w:t>statistics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children,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Health:</w:t>
      </w:r>
    </w:p>
    <w:p w:rsidR="000A2967" w:rsidRPr="00A413B4" w:rsidRDefault="002E5A06" w:rsidP="002E5A0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413B4">
        <w:t>•</w:t>
      </w:r>
      <w:r w:rsidRPr="00A413B4">
        <w:tab/>
      </w:r>
      <w:r w:rsidR="000A2967" w:rsidRPr="00A413B4">
        <w:t>2010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23.6%</w:t>
      </w:r>
    </w:p>
    <w:p w:rsidR="000A2967" w:rsidRPr="00A413B4" w:rsidRDefault="002E5A06" w:rsidP="002E5A0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413B4">
        <w:t>•</w:t>
      </w:r>
      <w:r w:rsidRPr="00A413B4">
        <w:tab/>
      </w:r>
      <w:r w:rsidR="000A2967" w:rsidRPr="00A413B4">
        <w:t>2012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26.9%</w:t>
      </w:r>
    </w:p>
    <w:p w:rsidR="000A2967" w:rsidRPr="00A413B4" w:rsidRDefault="002E5A06" w:rsidP="002E5A0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413B4">
        <w:t>•</w:t>
      </w:r>
      <w:r w:rsidRPr="00A413B4">
        <w:tab/>
      </w:r>
      <w:r w:rsidR="000A2967" w:rsidRPr="00A413B4">
        <w:t>2015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28.7%</w:t>
      </w:r>
    </w:p>
    <w:p w:rsidR="000A2967" w:rsidRPr="00A413B4" w:rsidRDefault="002E5A06" w:rsidP="002E5A0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413B4">
        <w:t>•</w:t>
      </w:r>
      <w:r w:rsidRPr="00A413B4">
        <w:tab/>
      </w:r>
      <w:r w:rsidR="000A2967" w:rsidRPr="00A413B4">
        <w:t>2017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31.6%</w:t>
      </w:r>
    </w:p>
    <w:p w:rsidR="000A2967" w:rsidRPr="00A413B4" w:rsidRDefault="000A2967" w:rsidP="002C58AB">
      <w:pPr>
        <w:pStyle w:val="H1G"/>
      </w:pPr>
      <w:r w:rsidRPr="00A413B4">
        <w:tab/>
        <w:t>P.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(f)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46.</w:t>
      </w:r>
      <w:r w:rsidRPr="00A413B4">
        <w:tab/>
        <w:t>Information</w:t>
      </w:r>
      <w:r w:rsidR="00470EBF">
        <w:t xml:space="preserve"> </w:t>
      </w:r>
      <w:r w:rsidRPr="00A413B4">
        <w:t>related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shared</w:t>
      </w:r>
      <w:r w:rsidR="00470EBF">
        <w:t xml:space="preserve"> </w:t>
      </w:r>
      <w:r w:rsidRPr="00A413B4">
        <w:t>later.</w:t>
      </w:r>
      <w:r w:rsidR="00470EBF">
        <w:t xml:space="preserve"> </w:t>
      </w:r>
    </w:p>
    <w:p w:rsidR="000A2967" w:rsidRPr="00A413B4" w:rsidRDefault="000A2967" w:rsidP="002C58AB">
      <w:pPr>
        <w:pStyle w:val="H1G"/>
      </w:pPr>
      <w:r w:rsidRPr="00A413B4">
        <w:tab/>
        <w:t>Q.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(g)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47.</w:t>
      </w:r>
      <w:r w:rsidRPr="00A413B4">
        <w:tab/>
        <w:t>Sexually</w:t>
      </w:r>
      <w:r w:rsidR="00470EBF">
        <w:t xml:space="preserve"> </w:t>
      </w:r>
      <w:r w:rsidRPr="00A413B4">
        <w:t>Transmitted</w:t>
      </w:r>
      <w:r w:rsidR="00470EBF">
        <w:t xml:space="preserve"> </w:t>
      </w:r>
      <w:r w:rsidRPr="00A413B4">
        <w:t>Infection’s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rare;</w:t>
      </w:r>
      <w:r w:rsidR="00470EBF">
        <w:t xml:space="preserve"> </w:t>
      </w:r>
      <w:r w:rsidRPr="00A413B4">
        <w:t>3</w:t>
      </w:r>
      <w:r w:rsidR="00470EBF">
        <w:t xml:space="preserve"> </w:t>
      </w:r>
      <w:r w:rsidRPr="00A413B4">
        <w:t>out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40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screened</w:t>
      </w:r>
      <w:r w:rsidR="00470EBF">
        <w:t xml:space="preserve"> </w:t>
      </w:r>
      <w:r w:rsidRPr="00A413B4">
        <w:t>(since</w:t>
      </w:r>
      <w:r w:rsidR="00470EBF">
        <w:t xml:space="preserve"> </w:t>
      </w:r>
      <w:r w:rsidRPr="00A413B4">
        <w:t>July</w:t>
      </w:r>
      <w:r w:rsidR="00470EBF">
        <w:t xml:space="preserve"> </w:t>
      </w:r>
      <w:r w:rsidRPr="00A413B4">
        <w:t>1st,</w:t>
      </w:r>
      <w:r w:rsidR="00470EBF">
        <w:t xml:space="preserve"> </w:t>
      </w:r>
      <w:r w:rsidRPr="00A413B4">
        <w:t>2018)</w:t>
      </w:r>
      <w:r w:rsidR="00470EBF">
        <w:t xml:space="preserve"> </w:t>
      </w:r>
      <w:r w:rsidRPr="00A413B4">
        <w:t>had</w:t>
      </w:r>
      <w:r w:rsidR="00470EBF">
        <w:t xml:space="preserve"> </w:t>
      </w:r>
      <w:r w:rsidRPr="00A413B4">
        <w:t>Chlamydia.</w:t>
      </w:r>
    </w:p>
    <w:p w:rsidR="000A2967" w:rsidRPr="00A413B4" w:rsidRDefault="000A2967" w:rsidP="002C58AB">
      <w:pPr>
        <w:pStyle w:val="H1G"/>
      </w:pPr>
      <w:r w:rsidRPr="00A413B4">
        <w:tab/>
        <w:t>R.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(h)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48.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Health: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last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years,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reported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average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five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attempted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suicide</w:t>
      </w:r>
      <w:r w:rsidR="00470EBF">
        <w:t xml:space="preserve"> </w:t>
      </w:r>
      <w:r w:rsidRPr="00A413B4">
        <w:t>every</w:t>
      </w:r>
      <w:r w:rsidR="00470EBF">
        <w:t xml:space="preserve"> </w:t>
      </w:r>
      <w:r w:rsidRPr="00A413B4">
        <w:t>year.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2017</w:t>
      </w:r>
      <w:r w:rsidR="00470EBF">
        <w:t xml:space="preserve"> </w:t>
      </w:r>
      <w:r w:rsidRPr="00A413B4">
        <w:t>data</w:t>
      </w:r>
      <w:r w:rsidR="00470EBF">
        <w:t xml:space="preserve"> </w:t>
      </w:r>
      <w:r w:rsidRPr="00A413B4">
        <w:lastRenderedPageBreak/>
        <w:t>show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173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relating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seen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Mental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Unit.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2018,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number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increased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36</w:t>
      </w:r>
      <w:r w:rsidR="00470EBF">
        <w:t xml:space="preserve"> </w:t>
      </w:r>
      <w:r w:rsidRPr="00A413B4">
        <w:t>bringing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total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209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altogether.</w:t>
      </w:r>
      <w:r w:rsidR="00470EBF">
        <w:t xml:space="preserve"> </w:t>
      </w:r>
    </w:p>
    <w:p w:rsidR="000A2967" w:rsidRPr="00A413B4" w:rsidRDefault="000A2967" w:rsidP="00C11919">
      <w:pPr>
        <w:pStyle w:val="H1G"/>
      </w:pPr>
      <w:r w:rsidRPr="00A413B4">
        <w:tab/>
        <w:t>S.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(i)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49.</w:t>
      </w:r>
      <w:r w:rsidRPr="00A413B4">
        <w:tab/>
        <w:t>Source:</w:t>
      </w:r>
      <w:r w:rsidR="00470EBF">
        <w:t xml:space="preserve"> </w:t>
      </w:r>
      <w:r w:rsidRPr="00A413B4">
        <w:t>Global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Tobacco</w:t>
      </w:r>
      <w:r w:rsidR="00470EBF">
        <w:t xml:space="preserve"> </w:t>
      </w:r>
      <w:r w:rsidRPr="00A413B4">
        <w:t>Survey</w:t>
      </w:r>
      <w:r w:rsidR="00470EBF">
        <w:t xml:space="preserve"> </w:t>
      </w:r>
      <w:r w:rsidRPr="00A413B4">
        <w:t>(Cook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Fact</w:t>
      </w:r>
      <w:r w:rsidR="00470EBF">
        <w:t xml:space="preserve"> </w:t>
      </w:r>
      <w:r w:rsidRPr="00A413B4">
        <w:t>Sheet</w:t>
      </w:r>
      <w:r w:rsidR="00470EBF">
        <w:t xml:space="preserve"> </w:t>
      </w:r>
      <w:r w:rsidRPr="00A413B4">
        <w:t>2016).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6E324B57" wp14:editId="1A8128D1">
            <wp:extent cx="3459193" cy="5956653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96"/>
                    <a:stretch/>
                  </pic:blipFill>
                  <pic:spPr bwMode="auto">
                    <a:xfrm>
                      <a:off x="0" y="0"/>
                      <a:ext cx="3495234" cy="601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967" w:rsidRPr="00A413B4" w:rsidRDefault="000A2967" w:rsidP="00D507EC">
      <w:pPr>
        <w:pStyle w:val="H1G"/>
      </w:pPr>
      <w:r w:rsidRPr="00A413B4">
        <w:tab/>
        <w:t>T.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(j)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50.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EMIS.</w:t>
      </w:r>
    </w:p>
    <w:p w:rsidR="000A2967" w:rsidRPr="00A413B4" w:rsidRDefault="000A2967" w:rsidP="00D507EC">
      <w:pPr>
        <w:pStyle w:val="H23G"/>
      </w:pPr>
      <w:r w:rsidRPr="00A413B4">
        <w:lastRenderedPageBreak/>
        <w:tab/>
      </w:r>
      <w:r w:rsidRPr="00A413B4">
        <w:tab/>
        <w:t>2019</w:t>
      </w:r>
      <w:r w:rsidR="00470EBF">
        <w:t xml:space="preserve"> </w:t>
      </w:r>
      <w:r w:rsidRPr="00A413B4">
        <w:t>Student</w:t>
      </w:r>
      <w:r w:rsidR="00470EBF">
        <w:t xml:space="preserve"> </w:t>
      </w:r>
      <w:r w:rsidRPr="00A413B4">
        <w:t>Enrolments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Level,</w:t>
      </w:r>
      <w:r w:rsidR="00470EBF">
        <w:t xml:space="preserve"> </w:t>
      </w:r>
      <w:r w:rsidRPr="00A413B4">
        <w:t>Region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Gender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68079617" wp14:editId="0615EB18">
            <wp:extent cx="4646428" cy="2456732"/>
            <wp:effectExtent l="0" t="0" r="190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588" cy="246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67" w:rsidRPr="00A413B4" w:rsidRDefault="000A2967" w:rsidP="00D507EC">
      <w:pPr>
        <w:pStyle w:val="H23G"/>
      </w:pPr>
      <w:r w:rsidRPr="00A413B4">
        <w:tab/>
      </w:r>
      <w:r w:rsidRPr="00A413B4">
        <w:tab/>
        <w:t>2018</w:t>
      </w:r>
      <w:r w:rsidR="00470EBF">
        <w:t xml:space="preserve"> </w:t>
      </w:r>
      <w:r w:rsidRPr="00A413B4">
        <w:t>Student</w:t>
      </w:r>
      <w:r w:rsidR="00470EBF">
        <w:t xml:space="preserve"> </w:t>
      </w:r>
      <w:r w:rsidRPr="00A413B4">
        <w:t>Enrolments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Level,</w:t>
      </w:r>
      <w:r w:rsidR="00470EBF">
        <w:t xml:space="preserve"> </w:t>
      </w:r>
      <w:r w:rsidRPr="00A413B4">
        <w:t>Region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Gender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11E89911" wp14:editId="2344CE23">
            <wp:extent cx="4667809" cy="2509284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1429" cy="25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21A4C798" wp14:editId="4989D282">
            <wp:extent cx="4766945" cy="28023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9242" cy="28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67" w:rsidRPr="00A413B4" w:rsidRDefault="000A2967" w:rsidP="00D507EC">
      <w:pPr>
        <w:pStyle w:val="H1G"/>
      </w:pPr>
      <w:r w:rsidRPr="00A413B4">
        <w:lastRenderedPageBreak/>
        <w:tab/>
        <w:t>U.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(k)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51.</w:t>
      </w:r>
      <w:r w:rsidRPr="00A413B4">
        <w:tab/>
        <w:t>While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Kura</w:t>
      </w:r>
      <w:r w:rsidR="00470EBF">
        <w:t xml:space="preserve"> </w:t>
      </w:r>
      <w:r w:rsidRPr="00A413B4">
        <w:t>Uira</w:t>
      </w:r>
      <w:r w:rsidR="00470EBF">
        <w:t xml:space="preserve"> </w:t>
      </w:r>
      <w:r w:rsidRPr="00A413B4">
        <w:t>(the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distance</w:t>
      </w:r>
      <w:r w:rsidR="00470EBF">
        <w:t xml:space="preserve"> </w:t>
      </w:r>
      <w:r w:rsidRPr="00A413B4">
        <w:t>learning</w:t>
      </w:r>
      <w:r w:rsidR="00470EBF">
        <w:t xml:space="preserve"> </w:t>
      </w:r>
      <w:r w:rsidRPr="00A413B4">
        <w:t>program)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target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many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Mathematics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English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3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(Tukao,</w:t>
      </w:r>
      <w:r w:rsidR="00470EBF">
        <w:t xml:space="preserve"> </w:t>
      </w:r>
      <w:r w:rsidRPr="00A413B4">
        <w:t>Tongareva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Mitiaro),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became</w:t>
      </w:r>
      <w:r w:rsidR="00470EBF">
        <w:t xml:space="preserve"> </w:t>
      </w:r>
      <w:r w:rsidRPr="00A413B4">
        <w:t>apparent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actively</w:t>
      </w:r>
      <w:r w:rsidR="00470EBF">
        <w:t xml:space="preserve"> </w:t>
      </w:r>
      <w:r w:rsidRPr="00A413B4">
        <w:t>participating.</w:t>
      </w:r>
      <w:r w:rsidR="00A164FB">
        <w:t xml:space="preserve"> </w:t>
      </w:r>
      <w:r w:rsidRPr="00A413B4">
        <w:t>A</w:t>
      </w:r>
      <w:r w:rsidR="00470EBF">
        <w:t xml:space="preserve"> </w:t>
      </w:r>
      <w:r w:rsidRPr="00A413B4">
        <w:t>number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ongoing</w:t>
      </w:r>
      <w:r w:rsidR="00470EBF">
        <w:t xml:space="preserve"> </w:t>
      </w:r>
      <w:r w:rsidRPr="00A413B4">
        <w:t>issues</w:t>
      </w:r>
      <w:r w:rsidR="00470EBF">
        <w:t xml:space="preserve"> </w:t>
      </w:r>
      <w:r w:rsidRPr="00A413B4">
        <w:t>challenging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success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were</w:t>
      </w:r>
      <w:r w:rsidR="00470EBF">
        <w:t xml:space="preserve"> </w:t>
      </w:r>
      <w:r w:rsidRPr="00A413B4">
        <w:t>identified,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included:</w:t>
      </w:r>
    </w:p>
    <w:p w:rsidR="000A2967" w:rsidRPr="00A413B4" w:rsidRDefault="00027875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Ongoing</w:t>
      </w:r>
      <w:r w:rsidR="00470EBF">
        <w:t xml:space="preserve"> </w:t>
      </w:r>
      <w:r w:rsidR="000A2967" w:rsidRPr="00A413B4">
        <w:t>issues</w:t>
      </w:r>
      <w:r w:rsidR="00470EBF">
        <w:t xml:space="preserve"> </w:t>
      </w:r>
      <w:r w:rsidR="000A2967" w:rsidRPr="00A413B4">
        <w:t>with</w:t>
      </w:r>
      <w:r w:rsidR="00470EBF">
        <w:t xml:space="preserve"> </w:t>
      </w:r>
      <w:r w:rsidR="000A2967" w:rsidRPr="00A413B4">
        <w:t>access,</w:t>
      </w:r>
      <w:r w:rsidR="00470EBF">
        <w:t xml:space="preserve"> </w:t>
      </w:r>
      <w:r w:rsidR="000A2967" w:rsidRPr="00A413B4">
        <w:t>with</w:t>
      </w:r>
      <w:r w:rsidR="00470EBF">
        <w:t xml:space="preserve"> </w:t>
      </w:r>
      <w:r w:rsidR="000A2967" w:rsidRPr="00A413B4">
        <w:t>Schools</w:t>
      </w:r>
      <w:r w:rsidR="00470EBF">
        <w:t xml:space="preserve"> </w:t>
      </w:r>
      <w:r w:rsidR="000A2967" w:rsidRPr="00A413B4">
        <w:t>unable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connect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get</w:t>
      </w:r>
      <w:r w:rsidR="00470EBF">
        <w:t xml:space="preserve"> </w:t>
      </w:r>
      <w:r w:rsidR="000A2967" w:rsidRPr="00A413B4">
        <w:t>online;</w:t>
      </w:r>
    </w:p>
    <w:p w:rsidR="000A2967" w:rsidRPr="00A413B4" w:rsidRDefault="00027875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Access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timetabling</w:t>
      </w:r>
      <w:r w:rsidR="00470EBF">
        <w:t xml:space="preserve"> </w:t>
      </w:r>
      <w:r w:rsidR="000A2967" w:rsidRPr="00A413B4">
        <w:t>issues,</w:t>
      </w:r>
      <w:r w:rsidR="00470EBF">
        <w:t xml:space="preserve"> </w:t>
      </w:r>
      <w:r w:rsidR="000A2967" w:rsidRPr="00A413B4">
        <w:t>acknowledging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number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interruptions</w:t>
      </w:r>
      <w:r w:rsidR="00470EBF">
        <w:t xml:space="preserve"> </w:t>
      </w:r>
      <w:r w:rsidR="000A2967" w:rsidRPr="00A413B4">
        <w:t>impacting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programs</w:t>
      </w:r>
      <w:r w:rsidR="00470EBF">
        <w:t xml:space="preserve"> </w:t>
      </w:r>
      <w:r w:rsidR="000A2967" w:rsidRPr="00A413B4">
        <w:t>delivery;</w:t>
      </w:r>
    </w:p>
    <w:p w:rsidR="000A2967" w:rsidRPr="00A413B4" w:rsidRDefault="00027875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Little</w:t>
      </w:r>
      <w:r w:rsidR="00470EBF">
        <w:t xml:space="preserve"> </w:t>
      </w:r>
      <w:r w:rsidR="000A2967" w:rsidRPr="00A413B4">
        <w:t>evidence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completed</w:t>
      </w:r>
      <w:r w:rsidR="00470EBF">
        <w:t xml:space="preserve"> </w:t>
      </w:r>
      <w:r w:rsidR="000A2967" w:rsidRPr="00A413B4">
        <w:t>work</w:t>
      </w:r>
      <w:r w:rsidR="00470EBF">
        <w:t xml:space="preserve"> </w:t>
      </w:r>
      <w:r w:rsidR="000A2967" w:rsidRPr="00A413B4">
        <w:t>due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above.</w:t>
      </w:r>
    </w:p>
    <w:p w:rsidR="000A2967" w:rsidRPr="00A413B4" w:rsidRDefault="000A2967" w:rsidP="00C26914">
      <w:pPr>
        <w:pStyle w:val="SingleTxtG"/>
      </w:pPr>
      <w:r w:rsidRPr="00A413B4">
        <w:t>52.</w:t>
      </w:r>
      <w:r w:rsidRPr="00A413B4">
        <w:tab/>
        <w:t>In</w:t>
      </w:r>
      <w:r w:rsidR="00470EBF">
        <w:t xml:space="preserve"> </w:t>
      </w:r>
      <w:r w:rsidRPr="00A413B4">
        <w:t>order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review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give</w:t>
      </w:r>
      <w:r w:rsidR="00470EBF">
        <w:t xml:space="preserve"> </w:t>
      </w:r>
      <w:r w:rsidRPr="00A413B4">
        <w:t>consideration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're-thinking'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Kura</w:t>
      </w:r>
      <w:r w:rsidR="00470EBF">
        <w:t xml:space="preserve"> </w:t>
      </w:r>
      <w:r w:rsidRPr="00A413B4">
        <w:t>Uira,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rested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2019.</w:t>
      </w:r>
      <w:r w:rsidR="00A164FB">
        <w:t xml:space="preserve"> </w:t>
      </w:r>
      <w:r w:rsidRPr="00A413B4">
        <w:t>Learning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‘Te</w:t>
      </w:r>
      <w:r w:rsidR="00470EBF">
        <w:t xml:space="preserve"> </w:t>
      </w:r>
      <w:r w:rsidRPr="00A413B4">
        <w:t>Kura</w:t>
      </w:r>
      <w:r w:rsidR="00470EBF">
        <w:t xml:space="preserve"> </w:t>
      </w:r>
      <w:r w:rsidRPr="00A413B4">
        <w:t>Uira’</w:t>
      </w:r>
      <w:r w:rsidR="00470EBF">
        <w:t xml:space="preserve"> </w:t>
      </w:r>
      <w:r w:rsidRPr="00A413B4">
        <w:t>cohort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classroom</w:t>
      </w:r>
      <w:r w:rsidR="00470EBF">
        <w:t xml:space="preserve"> </w:t>
      </w:r>
      <w:r w:rsidRPr="00A413B4">
        <w:t>teachers</w:t>
      </w:r>
      <w:r w:rsidR="00470EBF">
        <w:t xml:space="preserve"> </w:t>
      </w:r>
      <w:r w:rsidRPr="00A413B4">
        <w:t>within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those</w:t>
      </w:r>
      <w:r w:rsidR="00470EBF">
        <w:t xml:space="preserve"> </w:t>
      </w:r>
      <w:r w:rsidRPr="00A413B4">
        <w:t>teachers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supported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Advisors.</w:t>
      </w:r>
    </w:p>
    <w:p w:rsidR="000A2967" w:rsidRPr="00A413B4" w:rsidRDefault="000A2967" w:rsidP="00C26914">
      <w:pPr>
        <w:pStyle w:val="SingleTxtG"/>
      </w:pPr>
      <w:r w:rsidRPr="00A413B4">
        <w:t>53.</w:t>
      </w:r>
      <w:r w:rsidRPr="00A413B4">
        <w:tab/>
        <w:t>The</w:t>
      </w:r>
      <w:r w:rsidR="00470EBF">
        <w:t xml:space="preserve"> </w:t>
      </w:r>
      <w:r w:rsidRPr="00A413B4">
        <w:t>evaluation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'Technology</w:t>
      </w:r>
      <w:r w:rsidR="00470EBF">
        <w:t xml:space="preserve"> </w:t>
      </w:r>
      <w:r w:rsidRPr="00A413B4">
        <w:t>enabled</w:t>
      </w:r>
      <w:r w:rsidR="00470EBF">
        <w:t xml:space="preserve"> </w:t>
      </w:r>
      <w:r w:rsidRPr="00A413B4">
        <w:t>learning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Remote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Schools:</w:t>
      </w:r>
      <w:r w:rsidR="00A164FB">
        <w:t xml:space="preserve"> </w:t>
      </w:r>
      <w:r w:rsidRPr="00A413B4">
        <w:t>A</w:t>
      </w:r>
      <w:r w:rsidR="00470EBF">
        <w:t xml:space="preserve"> </w:t>
      </w:r>
      <w:r w:rsidRPr="00A413B4">
        <w:t>sustainable</w:t>
      </w:r>
      <w:r w:rsidR="00470EBF">
        <w:t xml:space="preserve"> </w:t>
      </w:r>
      <w:r w:rsidRPr="00A413B4">
        <w:t>model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provides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quality,</w:t>
      </w:r>
      <w:r w:rsidR="00470EBF">
        <w:t xml:space="preserve"> </w:t>
      </w:r>
      <w:r w:rsidRPr="00A413B4">
        <w:t>relevant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isolated</w:t>
      </w:r>
      <w:r w:rsidR="00470EBF">
        <w:t xml:space="preserve"> </w:t>
      </w:r>
      <w:r w:rsidRPr="00A413B4">
        <w:t>learners’,</w:t>
      </w:r>
      <w:r w:rsidR="00470EBF">
        <w:t xml:space="preserve"> </w:t>
      </w:r>
      <w:r w:rsidRPr="00A413B4">
        <w:t>remains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piece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research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Ministry.</w:t>
      </w:r>
      <w:r w:rsidR="00A164FB">
        <w:t xml:space="preserve"> </w:t>
      </w:r>
    </w:p>
    <w:p w:rsidR="000A2967" w:rsidRPr="00A413B4" w:rsidRDefault="000A2967" w:rsidP="00C26914">
      <w:pPr>
        <w:pStyle w:val="SingleTxtG"/>
      </w:pPr>
      <w:r w:rsidRPr="00A413B4">
        <w:t>54.</w:t>
      </w:r>
      <w:r w:rsidRPr="00A413B4">
        <w:tab/>
        <w:t>Three</w:t>
      </w:r>
      <w:r w:rsidR="00470EBF">
        <w:t xml:space="preserve"> </w:t>
      </w:r>
      <w:r w:rsidRPr="00A413B4">
        <w:t>action</w:t>
      </w:r>
      <w:r w:rsidR="00470EBF">
        <w:t xml:space="preserve"> </w:t>
      </w:r>
      <w:r w:rsidRPr="00A413B4">
        <w:t>points</w:t>
      </w:r>
      <w:r w:rsidR="00470EBF">
        <w:t xml:space="preserve"> </w:t>
      </w:r>
      <w:r w:rsidRPr="00A413B4">
        <w:t>or</w:t>
      </w:r>
      <w:r w:rsidR="00470EBF">
        <w:t xml:space="preserve"> </w:t>
      </w:r>
      <w:r w:rsidRPr="00A413B4">
        <w:t>recommendations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presented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improving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quality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remote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learners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work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implement</w:t>
      </w:r>
      <w:r w:rsidR="00470EBF">
        <w:t xml:space="preserve"> </w:t>
      </w:r>
      <w:r w:rsidRPr="00A413B4">
        <w:t>within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next</w:t>
      </w:r>
      <w:r w:rsidR="00470EBF">
        <w:t xml:space="preserve"> </w:t>
      </w:r>
      <w:r w:rsidRPr="00A413B4">
        <w:t>2</w:t>
      </w:r>
      <w:r w:rsidR="00FB77C7">
        <w:t>–</w:t>
      </w:r>
      <w:r w:rsidRPr="00A413B4">
        <w:t>3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based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learning</w:t>
      </w:r>
      <w:r w:rsidR="00470EBF">
        <w:t xml:space="preserve"> </w:t>
      </w:r>
      <w:r w:rsidRPr="00A413B4">
        <w:t>resources,</w:t>
      </w:r>
      <w:r w:rsidR="00470EBF">
        <w:t xml:space="preserve"> </w:t>
      </w:r>
      <w:r w:rsidRPr="00A413B4">
        <w:t>staffing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training</w:t>
      </w:r>
      <w:r w:rsidR="00470EBF">
        <w:t xml:space="preserve"> </w:t>
      </w:r>
      <w:r w:rsidRPr="00A413B4">
        <w:t>opportunities.</w:t>
      </w:r>
    </w:p>
    <w:p w:rsidR="000A2967" w:rsidRPr="00A413B4" w:rsidRDefault="000A2967" w:rsidP="000B3C22">
      <w:pPr>
        <w:pStyle w:val="H1G"/>
      </w:pPr>
      <w:r w:rsidRPr="00A413B4">
        <w:tab/>
        <w:t>V.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(l)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55.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Education: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475D9939" wp14:editId="6CCBEAEF">
            <wp:extent cx="4652468" cy="27701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28" cy="28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7" w:rsidRPr="00477C5E" w:rsidRDefault="000A2967" w:rsidP="00477C5E">
      <w:pPr>
        <w:spacing w:before="120"/>
        <w:ind w:left="1134" w:right="1134" w:firstLine="170"/>
        <w:rPr>
          <w:sz w:val="18"/>
        </w:rPr>
      </w:pPr>
      <w:r w:rsidRPr="00477C5E">
        <w:rPr>
          <w:sz w:val="18"/>
        </w:rPr>
        <w:t>National</w:t>
      </w:r>
      <w:r w:rsidR="00470EBF">
        <w:rPr>
          <w:sz w:val="18"/>
        </w:rPr>
        <w:t xml:space="preserve"> </w:t>
      </w:r>
      <w:r w:rsidRPr="00477C5E">
        <w:rPr>
          <w:sz w:val="18"/>
        </w:rPr>
        <w:t>Student</w:t>
      </w:r>
      <w:r w:rsidR="00470EBF">
        <w:rPr>
          <w:sz w:val="18"/>
        </w:rPr>
        <w:t xml:space="preserve"> </w:t>
      </w:r>
      <w:r w:rsidRPr="00477C5E">
        <w:rPr>
          <w:sz w:val="18"/>
        </w:rPr>
        <w:t>Retention</w:t>
      </w:r>
      <w:r w:rsidR="00470EBF">
        <w:rPr>
          <w:sz w:val="18"/>
        </w:rPr>
        <w:t xml:space="preserve"> </w:t>
      </w:r>
      <w:r w:rsidRPr="00477C5E">
        <w:rPr>
          <w:sz w:val="18"/>
        </w:rPr>
        <w:t>(%)</w:t>
      </w:r>
      <w:r w:rsidR="00470EBF">
        <w:rPr>
          <w:sz w:val="18"/>
        </w:rPr>
        <w:t xml:space="preserve"> </w:t>
      </w:r>
      <w:r w:rsidRPr="00477C5E">
        <w:rPr>
          <w:sz w:val="18"/>
        </w:rPr>
        <w:t>at</w:t>
      </w:r>
      <w:r w:rsidR="00470EBF">
        <w:rPr>
          <w:sz w:val="18"/>
        </w:rPr>
        <w:t xml:space="preserve"> </w:t>
      </w:r>
      <w:r w:rsidRPr="00477C5E">
        <w:rPr>
          <w:sz w:val="18"/>
        </w:rPr>
        <w:t>Senior</w:t>
      </w:r>
      <w:r w:rsidR="00470EBF">
        <w:rPr>
          <w:sz w:val="18"/>
        </w:rPr>
        <w:t xml:space="preserve"> </w:t>
      </w:r>
      <w:r w:rsidRPr="00477C5E">
        <w:rPr>
          <w:sz w:val="18"/>
        </w:rPr>
        <w:t>Secondary</w:t>
      </w:r>
      <w:r w:rsidR="00470EBF">
        <w:rPr>
          <w:sz w:val="18"/>
        </w:rPr>
        <w:t xml:space="preserve"> </w:t>
      </w:r>
      <w:r w:rsidRPr="00477C5E">
        <w:rPr>
          <w:sz w:val="18"/>
        </w:rPr>
        <w:t>level</w:t>
      </w:r>
      <w:r w:rsidR="00470EBF">
        <w:rPr>
          <w:sz w:val="18"/>
        </w:rPr>
        <w:t xml:space="preserve"> </w:t>
      </w:r>
      <w:r w:rsidRPr="00477C5E">
        <w:rPr>
          <w:sz w:val="18"/>
        </w:rPr>
        <w:t>by</w:t>
      </w:r>
      <w:r w:rsidR="00470EBF">
        <w:rPr>
          <w:sz w:val="18"/>
        </w:rPr>
        <w:t xml:space="preserve"> </w:t>
      </w:r>
      <w:r w:rsidRPr="00477C5E">
        <w:rPr>
          <w:sz w:val="18"/>
        </w:rPr>
        <w:t>gender</w:t>
      </w:r>
      <w:r w:rsidR="00470EBF">
        <w:rPr>
          <w:sz w:val="18"/>
        </w:rPr>
        <w:t xml:space="preserve"> </w:t>
      </w:r>
      <w:r w:rsidRPr="00477C5E">
        <w:rPr>
          <w:sz w:val="18"/>
        </w:rPr>
        <w:t>for</w:t>
      </w:r>
      <w:r w:rsidR="00470EBF">
        <w:rPr>
          <w:sz w:val="18"/>
        </w:rPr>
        <w:t xml:space="preserve"> </w:t>
      </w:r>
      <w:r w:rsidRPr="00477C5E">
        <w:rPr>
          <w:sz w:val="18"/>
        </w:rPr>
        <w:t>years</w:t>
      </w:r>
      <w:r w:rsidR="00470EBF">
        <w:rPr>
          <w:sz w:val="18"/>
        </w:rPr>
        <w:t xml:space="preserve"> </w:t>
      </w:r>
      <w:r w:rsidRPr="00477C5E">
        <w:rPr>
          <w:sz w:val="18"/>
        </w:rPr>
        <w:t>2017–2019.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lastRenderedPageBreak/>
        <w:drawing>
          <wp:inline distT="0" distB="0" distL="0" distR="0" wp14:anchorId="6600BABF" wp14:editId="45092F31">
            <wp:extent cx="4325431" cy="2353235"/>
            <wp:effectExtent l="0" t="0" r="1841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0C6443AB" wp14:editId="7D84BAEE">
            <wp:extent cx="4319519" cy="3133164"/>
            <wp:effectExtent l="0" t="0" r="5080" b="1016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2967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6804250F" wp14:editId="020EA02C">
            <wp:extent cx="4319270" cy="2724959"/>
            <wp:effectExtent l="0" t="0" r="5080" b="1841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7C5E" w:rsidRDefault="00477C5E" w:rsidP="00C26914">
      <w:pPr>
        <w:pStyle w:val="SingleTxtG"/>
      </w:pPr>
    </w:p>
    <w:p w:rsidR="00477C5E" w:rsidRPr="00A413B4" w:rsidRDefault="00477C5E" w:rsidP="00C26914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18"/>
        <w:gridCol w:w="918"/>
        <w:gridCol w:w="918"/>
        <w:gridCol w:w="918"/>
        <w:gridCol w:w="940"/>
        <w:gridCol w:w="912"/>
        <w:gridCol w:w="925"/>
      </w:tblGrid>
      <w:tr w:rsidR="000A2967" w:rsidRPr="00477C5E" w:rsidTr="00AF5874">
        <w:trPr>
          <w:tblHeader/>
        </w:trPr>
        <w:tc>
          <w:tcPr>
            <w:tcW w:w="92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lastRenderedPageBreak/>
              <w:t>Year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Enrolment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Retention</w:t>
            </w:r>
            <w:r w:rsidR="00470EBF">
              <w:rPr>
                <w:i/>
                <w:sz w:val="16"/>
              </w:rPr>
              <w:t xml:space="preserve"> </w:t>
            </w:r>
            <w:r w:rsidRPr="00477C5E">
              <w:rPr>
                <w:i/>
                <w:sz w:val="16"/>
              </w:rPr>
              <w:t>%</w:t>
            </w:r>
          </w:p>
        </w:tc>
      </w:tr>
      <w:tr w:rsidR="000A2967" w:rsidRPr="00477C5E" w:rsidTr="00AF5874">
        <w:trPr>
          <w:tblHeader/>
        </w:trPr>
        <w:tc>
          <w:tcPr>
            <w:tcW w:w="9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Year</w:t>
            </w:r>
            <w:r w:rsidR="00470EBF">
              <w:rPr>
                <w:i/>
                <w:sz w:val="16"/>
              </w:rPr>
              <w:t xml:space="preserve"> </w:t>
            </w:r>
            <w:r w:rsidRPr="00477C5E">
              <w:rPr>
                <w:i/>
                <w:sz w:val="16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Year</w:t>
            </w:r>
            <w:r w:rsidR="00470EBF">
              <w:rPr>
                <w:i/>
                <w:sz w:val="16"/>
              </w:rPr>
              <w:t xml:space="preserve"> </w:t>
            </w:r>
            <w:r w:rsidRPr="00477C5E">
              <w:rPr>
                <w:i/>
                <w:sz w:val="16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Year</w:t>
            </w:r>
            <w:r w:rsidR="00470EBF">
              <w:rPr>
                <w:i/>
                <w:sz w:val="16"/>
              </w:rPr>
              <w:t xml:space="preserve"> </w:t>
            </w:r>
            <w:r w:rsidRPr="00477C5E">
              <w:rPr>
                <w:i/>
                <w:sz w:val="16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Year</w:t>
            </w:r>
            <w:r w:rsidR="00470EBF">
              <w:rPr>
                <w:i/>
                <w:sz w:val="16"/>
              </w:rPr>
              <w:t xml:space="preserve"> </w:t>
            </w:r>
            <w:r w:rsidRPr="00477C5E">
              <w:rPr>
                <w:i/>
                <w:sz w:val="16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Y10</w:t>
            </w:r>
            <w:r w:rsidR="00477C5E">
              <w:rPr>
                <w:i/>
                <w:sz w:val="16"/>
              </w:rPr>
              <w:t>–</w:t>
            </w:r>
            <w:r w:rsidRPr="00477C5E">
              <w:rPr>
                <w:i/>
                <w:sz w:val="16"/>
              </w:rPr>
              <w:t>Y11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Y11</w:t>
            </w:r>
            <w:r w:rsidR="00477C5E">
              <w:rPr>
                <w:i/>
                <w:sz w:val="16"/>
              </w:rPr>
              <w:t>–</w:t>
            </w:r>
            <w:r w:rsidRPr="00477C5E">
              <w:rPr>
                <w:i/>
                <w:sz w:val="16"/>
              </w:rPr>
              <w:t>Y12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7C5E">
              <w:rPr>
                <w:i/>
                <w:sz w:val="16"/>
              </w:rPr>
              <w:t>Y12</w:t>
            </w:r>
            <w:r w:rsidR="00477C5E">
              <w:rPr>
                <w:i/>
                <w:sz w:val="16"/>
              </w:rPr>
              <w:t>–</w:t>
            </w:r>
            <w:r w:rsidRPr="00477C5E">
              <w:rPr>
                <w:i/>
                <w:sz w:val="16"/>
              </w:rPr>
              <w:t>13</w:t>
            </w:r>
          </w:p>
        </w:tc>
      </w:tr>
      <w:tr w:rsidR="000A2967" w:rsidRPr="00477C5E" w:rsidTr="00477C5E">
        <w:tc>
          <w:tcPr>
            <w:tcW w:w="92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7C5E">
              <w:rPr>
                <w:sz w:val="18"/>
              </w:rPr>
              <w:t>2017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275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263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191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135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101%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74%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77%</w:t>
            </w:r>
          </w:p>
        </w:tc>
      </w:tr>
      <w:tr w:rsidR="000A2967" w:rsidRPr="00477C5E" w:rsidTr="00477C5E">
        <w:tc>
          <w:tcPr>
            <w:tcW w:w="921" w:type="dxa"/>
            <w:shd w:val="clear" w:color="auto" w:fill="auto"/>
            <w:noWrap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7C5E">
              <w:rPr>
                <w:sz w:val="18"/>
              </w:rPr>
              <w:t>2018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289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257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195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93%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74%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82%</w:t>
            </w:r>
          </w:p>
        </w:tc>
      </w:tr>
      <w:tr w:rsidR="000A2967" w:rsidRPr="00477C5E" w:rsidTr="00477C5E">
        <w:tc>
          <w:tcPr>
            <w:tcW w:w="921" w:type="dxa"/>
            <w:shd w:val="clear" w:color="auto" w:fill="auto"/>
            <w:noWrap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7C5E">
              <w:rPr>
                <w:sz w:val="18"/>
              </w:rPr>
              <w:t>2019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262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278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197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142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96%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77%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2967" w:rsidRPr="00477C5E" w:rsidRDefault="000A2967" w:rsidP="00477C5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7C5E">
              <w:rPr>
                <w:sz w:val="18"/>
              </w:rPr>
              <w:t>73%</w:t>
            </w:r>
          </w:p>
        </w:tc>
      </w:tr>
    </w:tbl>
    <w:p w:rsidR="000A2967" w:rsidRPr="00A413B4" w:rsidRDefault="000A2967" w:rsidP="00C26914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820"/>
        <w:gridCol w:w="1821"/>
        <w:gridCol w:w="1821"/>
      </w:tblGrid>
      <w:tr w:rsidR="000A2967" w:rsidRPr="00554624" w:rsidTr="00941710">
        <w:trPr>
          <w:tblHeader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554624">
              <w:rPr>
                <w:i/>
                <w:sz w:val="16"/>
              </w:rPr>
              <w:t>Year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54624">
              <w:rPr>
                <w:i/>
                <w:sz w:val="16"/>
              </w:rPr>
              <w:t>2017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54624">
              <w:rPr>
                <w:i/>
                <w:sz w:val="16"/>
              </w:rPr>
              <w:t>2018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54624">
              <w:rPr>
                <w:i/>
                <w:sz w:val="16"/>
              </w:rPr>
              <w:t>2019</w:t>
            </w:r>
          </w:p>
        </w:tc>
      </w:tr>
      <w:tr w:rsidR="000A2967" w:rsidRPr="00554624" w:rsidTr="00941710"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54624">
              <w:rPr>
                <w:sz w:val="18"/>
              </w:rPr>
              <w:t>Y10</w:t>
            </w:r>
            <w:r w:rsidR="00554624">
              <w:rPr>
                <w:sz w:val="18"/>
              </w:rPr>
              <w:t>–</w:t>
            </w:r>
            <w:r w:rsidRPr="00554624">
              <w:rPr>
                <w:sz w:val="18"/>
              </w:rPr>
              <w:t>Y11Male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98%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90%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91%</w:t>
            </w:r>
          </w:p>
        </w:tc>
      </w:tr>
      <w:tr w:rsidR="000A2967" w:rsidRPr="00554624" w:rsidTr="00941710">
        <w:tc>
          <w:tcPr>
            <w:tcW w:w="1908" w:type="dxa"/>
            <w:shd w:val="clear" w:color="auto" w:fill="auto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54624">
              <w:rPr>
                <w:sz w:val="18"/>
              </w:rPr>
              <w:t>Y11</w:t>
            </w:r>
            <w:r w:rsidR="00554624">
              <w:rPr>
                <w:sz w:val="18"/>
              </w:rPr>
              <w:t>–</w:t>
            </w:r>
            <w:r w:rsidRPr="00554624">
              <w:rPr>
                <w:sz w:val="18"/>
              </w:rPr>
              <w:t>Y12Male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66%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70%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71%</w:t>
            </w:r>
          </w:p>
        </w:tc>
      </w:tr>
      <w:tr w:rsidR="000A2967" w:rsidRPr="00554624" w:rsidTr="00941710">
        <w:tc>
          <w:tcPr>
            <w:tcW w:w="1908" w:type="dxa"/>
            <w:shd w:val="clear" w:color="auto" w:fill="auto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54624">
              <w:rPr>
                <w:sz w:val="18"/>
              </w:rPr>
              <w:t>Y12</w:t>
            </w:r>
            <w:r w:rsidR="00554624">
              <w:rPr>
                <w:sz w:val="18"/>
              </w:rPr>
              <w:t>–</w:t>
            </w:r>
            <w:r w:rsidRPr="00554624">
              <w:rPr>
                <w:sz w:val="18"/>
              </w:rPr>
              <w:t>13Male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73%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68%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73%</w:t>
            </w:r>
          </w:p>
        </w:tc>
      </w:tr>
      <w:tr w:rsidR="000A2967" w:rsidRPr="00554624" w:rsidTr="00941710">
        <w:tc>
          <w:tcPr>
            <w:tcW w:w="1908" w:type="dxa"/>
            <w:shd w:val="clear" w:color="auto" w:fill="auto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54624">
              <w:rPr>
                <w:sz w:val="18"/>
              </w:rPr>
              <w:t>Y10</w:t>
            </w:r>
            <w:r w:rsidR="00554624">
              <w:rPr>
                <w:sz w:val="18"/>
              </w:rPr>
              <w:t>–</w:t>
            </w:r>
            <w:r w:rsidRPr="00554624">
              <w:rPr>
                <w:sz w:val="18"/>
              </w:rPr>
              <w:t>Y11Female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104%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98%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102%</w:t>
            </w:r>
          </w:p>
        </w:tc>
      </w:tr>
      <w:tr w:rsidR="000A2967" w:rsidRPr="00554624" w:rsidTr="00941710">
        <w:tc>
          <w:tcPr>
            <w:tcW w:w="1908" w:type="dxa"/>
            <w:shd w:val="clear" w:color="auto" w:fill="auto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54624">
              <w:rPr>
                <w:sz w:val="18"/>
              </w:rPr>
              <w:t>Y11</w:t>
            </w:r>
            <w:r w:rsidR="00554624">
              <w:rPr>
                <w:sz w:val="18"/>
              </w:rPr>
              <w:t>–</w:t>
            </w:r>
            <w:r w:rsidRPr="00554624">
              <w:rPr>
                <w:sz w:val="18"/>
              </w:rPr>
              <w:t>Y12Female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82%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79%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82%</w:t>
            </w:r>
          </w:p>
        </w:tc>
      </w:tr>
      <w:tr w:rsidR="000A2967" w:rsidRPr="00554624" w:rsidTr="00941710">
        <w:tc>
          <w:tcPr>
            <w:tcW w:w="1908" w:type="dxa"/>
            <w:shd w:val="clear" w:color="auto" w:fill="auto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54624">
              <w:rPr>
                <w:sz w:val="18"/>
              </w:rPr>
              <w:t>Y12</w:t>
            </w:r>
            <w:r w:rsidR="00554624">
              <w:rPr>
                <w:sz w:val="18"/>
              </w:rPr>
              <w:t>–</w:t>
            </w:r>
            <w:r w:rsidRPr="00554624">
              <w:rPr>
                <w:sz w:val="18"/>
              </w:rPr>
              <w:t>13Female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81%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92%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0A2967" w:rsidRPr="00554624" w:rsidRDefault="000A2967" w:rsidP="0055462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54624">
              <w:rPr>
                <w:sz w:val="18"/>
              </w:rPr>
              <w:t>73%</w:t>
            </w:r>
          </w:p>
        </w:tc>
      </w:tr>
    </w:tbl>
    <w:p w:rsidR="000A2967" w:rsidRPr="00A413B4" w:rsidRDefault="000A2967" w:rsidP="00AA2430">
      <w:pPr>
        <w:pStyle w:val="SingleTxtG"/>
        <w:spacing w:before="240"/>
      </w:pPr>
      <w:r w:rsidRPr="00A413B4">
        <w:t>56.</w:t>
      </w:r>
      <w:r w:rsidRPr="00A413B4">
        <w:tab/>
        <w:t>As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result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strengthening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pastoral</w:t>
      </w:r>
      <w:r w:rsidR="00470EBF">
        <w:t xml:space="preserve"> </w:t>
      </w:r>
      <w:r w:rsidRPr="00A413B4">
        <w:t>care</w:t>
      </w:r>
      <w:r w:rsidR="00470EBF">
        <w:t xml:space="preserve"> </w:t>
      </w:r>
      <w:r w:rsidRPr="00A413B4">
        <w:t>systems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broadening</w:t>
      </w:r>
      <w:r w:rsidR="00470EBF">
        <w:t xml:space="preserve"> </w:t>
      </w:r>
      <w:r w:rsidRPr="00A413B4">
        <w:t>scope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available,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rate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early</w:t>
      </w:r>
      <w:r w:rsidR="00470EBF">
        <w:t xml:space="preserve"> </w:t>
      </w:r>
      <w:r w:rsidRPr="00A413B4">
        <w:t>leaving</w:t>
      </w:r>
      <w:r w:rsidR="00470EBF">
        <w:t xml:space="preserve"> </w:t>
      </w:r>
      <w:r w:rsidRPr="00A413B4">
        <w:t>exemptions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year-olds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low.</w:t>
      </w:r>
      <w:r w:rsidR="00A164FB">
        <w:t xml:space="preserve"> </w:t>
      </w:r>
      <w:r w:rsidRPr="00A413B4">
        <w:t>Because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rate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low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does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officially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data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number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out-of-school</w:t>
      </w:r>
      <w:r w:rsidR="00470EBF">
        <w:t xml:space="preserve"> </w:t>
      </w:r>
      <w:r w:rsidRPr="00A413B4">
        <w:t>children,</w:t>
      </w:r>
      <w:r w:rsidR="00470EBF">
        <w:t xml:space="preserve"> </w:t>
      </w:r>
      <w:r w:rsidRPr="00A413B4">
        <w:t>however,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cohort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closely</w:t>
      </w:r>
      <w:r w:rsidR="00470EBF">
        <w:t xml:space="preserve"> </w:t>
      </w:r>
      <w:r w:rsidRPr="00A413B4">
        <w:t>supported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Education.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monitoring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retention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senior</w:t>
      </w:r>
      <w:r w:rsidR="00470EBF">
        <w:t xml:space="preserve"> </w:t>
      </w:r>
      <w:r w:rsidRPr="00A413B4">
        <w:t>secondary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showing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higher</w:t>
      </w:r>
      <w:r w:rsidR="00470EBF">
        <w:t xml:space="preserve"> </w:t>
      </w:r>
      <w:r w:rsidRPr="00A413B4">
        <w:t>proportion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students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staying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longer.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57.</w:t>
      </w:r>
      <w:r w:rsidRPr="00A413B4">
        <w:tab/>
        <w:t>The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Act</w:t>
      </w:r>
      <w:r w:rsidR="00470EBF">
        <w:t xml:space="preserve"> </w:t>
      </w:r>
      <w:r w:rsidRPr="00A413B4">
        <w:t>2012</w:t>
      </w:r>
      <w:r w:rsidR="00470EBF">
        <w:t xml:space="preserve"> </w:t>
      </w:r>
      <w:r w:rsidRPr="00A413B4">
        <w:t>increased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minimum</w:t>
      </w:r>
      <w:r w:rsidR="00470EBF">
        <w:t xml:space="preserve"> </w:t>
      </w:r>
      <w:r w:rsidRPr="00A413B4">
        <w:t>leaving</w:t>
      </w:r>
      <w:r w:rsidR="00470EBF">
        <w:t xml:space="preserve"> </w:t>
      </w:r>
      <w:r w:rsidRPr="00A413B4">
        <w:t>age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16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had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impact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retention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particularly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Year</w:t>
      </w:r>
      <w:r w:rsidR="00470EBF">
        <w:t xml:space="preserve"> </w:t>
      </w:r>
      <w:r w:rsidRPr="00A413B4">
        <w:t>11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Year</w:t>
      </w:r>
      <w:r w:rsidR="00470EBF">
        <w:t xml:space="preserve"> </w:t>
      </w:r>
      <w:r w:rsidRPr="00A413B4">
        <w:t>12.</w:t>
      </w:r>
      <w:r w:rsidR="00A164FB">
        <w:t xml:space="preserve"> </w:t>
      </w:r>
      <w:r w:rsidRPr="00A413B4">
        <w:t>The</w:t>
      </w:r>
      <w:r w:rsidR="00470EBF">
        <w:t xml:space="preserve"> </w:t>
      </w:r>
      <w:r w:rsidRPr="00A413B4">
        <w:t>change</w:t>
      </w:r>
      <w:r w:rsidR="00470EBF">
        <w:t xml:space="preserve"> </w:t>
      </w:r>
      <w:r w:rsidRPr="00A413B4">
        <w:t>towards</w:t>
      </w:r>
      <w:r w:rsidR="00470EBF">
        <w:t xml:space="preserve"> </w:t>
      </w:r>
      <w:r w:rsidRPr="00A413B4">
        <w:t>100%</w:t>
      </w:r>
      <w:r w:rsidR="00470EBF">
        <w:t xml:space="preserve"> </w:t>
      </w:r>
      <w:r w:rsidRPr="00A413B4">
        <w:t>retention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Year</w:t>
      </w:r>
      <w:r w:rsidR="00470EBF">
        <w:t xml:space="preserve"> </w:t>
      </w:r>
      <w:r w:rsidRPr="00A413B4">
        <w:t>10–11</w:t>
      </w:r>
      <w:r w:rsidR="00470EBF">
        <w:t xml:space="preserve"> </w:t>
      </w:r>
      <w:r w:rsidRPr="00A413B4">
        <w:t>suggests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students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now</w:t>
      </w:r>
      <w:r w:rsidR="00470EBF">
        <w:t xml:space="preserve"> </w:t>
      </w:r>
      <w:r w:rsidRPr="00A413B4">
        <w:t>moving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secondary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appropriate</w:t>
      </w:r>
      <w:r w:rsidR="00470EBF">
        <w:t xml:space="preserve"> </w:t>
      </w:r>
      <w:r w:rsidRPr="00A413B4">
        <w:t>age</w:t>
      </w:r>
      <w:r w:rsidR="00470EBF">
        <w:t xml:space="preserve"> </w:t>
      </w:r>
      <w:r w:rsidRPr="00A413B4">
        <w:t>cohort.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12</w:t>
      </w:r>
      <w:r w:rsidR="000B3C22">
        <w:t>–</w:t>
      </w:r>
      <w:r w:rsidRPr="00A413B4">
        <w:t>13</w:t>
      </w:r>
      <w:r w:rsidR="00470EBF">
        <w:t xml:space="preserve"> </w:t>
      </w:r>
      <w:r w:rsidRPr="00A413B4">
        <w:t>there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higher</w:t>
      </w:r>
      <w:r w:rsidR="00470EBF">
        <w:t xml:space="preserve"> </w:t>
      </w:r>
      <w:r w:rsidRPr="00A413B4">
        <w:t>proportion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girls</w:t>
      </w:r>
      <w:r w:rsidR="00470EBF">
        <w:t xml:space="preserve"> </w:t>
      </w:r>
      <w:r w:rsidRPr="00A413B4">
        <w:t>choosing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stay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longer</w:t>
      </w:r>
      <w:r w:rsidR="00470EBF">
        <w:t xml:space="preserve"> </w:t>
      </w:r>
      <w:r w:rsidRPr="00A413B4">
        <w:t>than</w:t>
      </w:r>
      <w:r w:rsidR="00470EBF">
        <w:t xml:space="preserve"> </w:t>
      </w:r>
      <w:r w:rsidRPr="00A413B4">
        <w:t>boys.</w:t>
      </w:r>
      <w:r w:rsidR="00A164FB">
        <w:t xml:space="preserve"> </w:t>
      </w:r>
    </w:p>
    <w:p w:rsidR="000A2967" w:rsidRPr="00A413B4" w:rsidRDefault="000A2967" w:rsidP="00C26914">
      <w:pPr>
        <w:pStyle w:val="SingleTxtG"/>
      </w:pPr>
      <w:r w:rsidRPr="00A413B4">
        <w:t>58.</w:t>
      </w:r>
      <w:r w:rsidRPr="00A413B4">
        <w:tab/>
        <w:t>Established</w:t>
      </w:r>
      <w:r w:rsidR="00470EBF">
        <w:t xml:space="preserve"> </w:t>
      </w:r>
      <w:r w:rsidRPr="00A413B4">
        <w:t>Dual-Pathways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accredited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include:</w:t>
      </w:r>
    </w:p>
    <w:p w:rsidR="000A2967" w:rsidRPr="00A413B4" w:rsidRDefault="00296485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Apii</w:t>
      </w:r>
      <w:r w:rsidR="00470EBF">
        <w:t xml:space="preserve"> </w:t>
      </w:r>
      <w:r w:rsidR="000A2967" w:rsidRPr="00A413B4">
        <w:t>Enuamanu</w:t>
      </w:r>
      <w:r w:rsidR="00470EBF">
        <w:t xml:space="preserve"> </w:t>
      </w:r>
      <w:r w:rsidR="000A2967" w:rsidRPr="00A413B4">
        <w:t>(Atiu)</w:t>
      </w:r>
      <w:r w:rsidR="00470EBF">
        <w:t xml:space="preserve"> </w:t>
      </w:r>
      <w:r w:rsidR="00A164FB">
        <w:t>–</w:t>
      </w:r>
      <w:r w:rsidR="00470EBF">
        <w:t xml:space="preserve"> </w:t>
      </w:r>
      <w:r w:rsidR="000A2967" w:rsidRPr="00A413B4">
        <w:t>Hospitality</w:t>
      </w:r>
      <w:r w:rsidR="00470EBF">
        <w:t xml:space="preserve"> </w:t>
      </w:r>
      <w:r w:rsidR="000A2967" w:rsidRPr="00A413B4">
        <w:t>L1&amp;2,</w:t>
      </w:r>
      <w:r w:rsidR="00470EBF">
        <w:t xml:space="preserve"> </w:t>
      </w:r>
      <w:r w:rsidR="000A2967" w:rsidRPr="00A413B4">
        <w:t>BCATs</w:t>
      </w:r>
      <w:r w:rsidR="00470EBF">
        <w:t xml:space="preserve"> </w:t>
      </w:r>
      <w:r w:rsidR="000A2967" w:rsidRPr="00A413B4">
        <w:t>L1,2,3</w:t>
      </w:r>
      <w:r w:rsidR="00470EBF">
        <w:t xml:space="preserve"> </w:t>
      </w:r>
      <w:r w:rsidR="000A2967" w:rsidRPr="00A413B4">
        <w:t>&amp;</w:t>
      </w:r>
      <w:r w:rsidR="00470EBF">
        <w:t xml:space="preserve"> </w:t>
      </w:r>
      <w:r w:rsidR="000A2967" w:rsidRPr="00A413B4">
        <w:t>Pre-Trades</w:t>
      </w:r>
      <w:r w:rsidR="00470EBF">
        <w:t xml:space="preserve"> </w:t>
      </w:r>
      <w:r w:rsidR="000A2967" w:rsidRPr="00A413B4">
        <w:t>Building</w:t>
      </w:r>
      <w:r w:rsidR="00470EBF">
        <w:t xml:space="preserve"> </w:t>
      </w:r>
      <w:r w:rsidR="000A2967" w:rsidRPr="00A413B4">
        <w:t>cert</w:t>
      </w:r>
      <w:r w:rsidR="00470EBF">
        <w:t xml:space="preserve"> </w:t>
      </w:r>
      <w:r w:rsidR="000A2967" w:rsidRPr="00A413B4">
        <w:t>(L3&amp;L4)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Electrical</w:t>
      </w:r>
      <w:r w:rsidR="00470EBF">
        <w:t xml:space="preserve"> </w:t>
      </w:r>
      <w:r w:rsidR="000A2967" w:rsidRPr="00A413B4">
        <w:t>L2;</w:t>
      </w:r>
    </w:p>
    <w:p w:rsidR="000A2967" w:rsidRPr="00A413B4" w:rsidRDefault="00296485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Mangaia</w:t>
      </w:r>
      <w:r w:rsidR="00470EBF">
        <w:t xml:space="preserve"> </w:t>
      </w:r>
      <w:r w:rsidR="000A2967" w:rsidRPr="00A413B4">
        <w:t>School</w:t>
      </w:r>
      <w:r w:rsidR="000B3C22">
        <w:t xml:space="preserve"> – </w:t>
      </w:r>
      <w:r w:rsidR="000A2967" w:rsidRPr="00A413B4">
        <w:t>Hospitality</w:t>
      </w:r>
      <w:r w:rsidR="00470EBF">
        <w:t xml:space="preserve"> </w:t>
      </w:r>
      <w:r w:rsidR="000A2967" w:rsidRPr="00A413B4">
        <w:t>L2,</w:t>
      </w:r>
      <w:r w:rsidR="00470EBF">
        <w:t xml:space="preserve"> </w:t>
      </w:r>
      <w:r w:rsidR="000A2967" w:rsidRPr="00A413B4">
        <w:t>BCATs</w:t>
      </w:r>
      <w:r w:rsidR="00470EBF">
        <w:t xml:space="preserve"> </w:t>
      </w:r>
      <w:r w:rsidR="000A2967" w:rsidRPr="00A413B4">
        <w:t>L1&amp;2;</w:t>
      </w:r>
    </w:p>
    <w:p w:rsidR="000A2967" w:rsidRPr="00A413B4" w:rsidRDefault="00296485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Apii</w:t>
      </w:r>
      <w:r w:rsidR="00470EBF">
        <w:t xml:space="preserve"> </w:t>
      </w:r>
      <w:r w:rsidR="000A2967" w:rsidRPr="00A413B4">
        <w:t>Niua</w:t>
      </w:r>
      <w:r w:rsidR="00470EBF">
        <w:t xml:space="preserve"> </w:t>
      </w:r>
      <w:r w:rsidR="000A2967" w:rsidRPr="00A413B4">
        <w:t>(Pukapuka)</w:t>
      </w:r>
      <w:r w:rsidR="00470EBF">
        <w:t xml:space="preserve"> </w:t>
      </w:r>
      <w:r w:rsidR="00A164FB">
        <w:t>–</w:t>
      </w:r>
      <w:r w:rsidR="00470EBF">
        <w:t xml:space="preserve"> </w:t>
      </w:r>
      <w:r w:rsidR="000A2967" w:rsidRPr="00A413B4">
        <w:t>BCATs</w:t>
      </w:r>
      <w:r w:rsidR="00470EBF">
        <w:t xml:space="preserve"> </w:t>
      </w:r>
      <w:r w:rsidR="000A2967" w:rsidRPr="00A413B4">
        <w:t>L1.</w:t>
      </w:r>
    </w:p>
    <w:p w:rsidR="000A2967" w:rsidRPr="00A413B4" w:rsidRDefault="000A2967" w:rsidP="00C26914">
      <w:pPr>
        <w:pStyle w:val="SingleTxtG"/>
      </w:pPr>
      <w:r w:rsidRPr="00A413B4">
        <w:t>59.</w:t>
      </w:r>
      <w:r w:rsidRPr="00A413B4">
        <w:tab/>
        <w:t>Dual</w:t>
      </w:r>
      <w:r w:rsidR="00470EBF">
        <w:t xml:space="preserve"> </w:t>
      </w:r>
      <w:r w:rsidRPr="00A413B4">
        <w:t>pathways</w:t>
      </w:r>
      <w:r w:rsidR="00470EBF">
        <w:t xml:space="preserve"> </w:t>
      </w:r>
      <w:r w:rsidRPr="00A413B4">
        <w:t>can</w:t>
      </w:r>
      <w:r w:rsidR="00470EBF">
        <w:t xml:space="preserve"> </w:t>
      </w:r>
      <w:r w:rsidRPr="00A413B4">
        <w:t>only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NZQA</w:t>
      </w:r>
      <w:r w:rsidR="00470EBF">
        <w:t xml:space="preserve"> </w:t>
      </w:r>
      <w:r w:rsidRPr="00A413B4">
        <w:t>accredited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(as</w:t>
      </w:r>
      <w:r w:rsidR="00470EBF">
        <w:t xml:space="preserve"> </w:t>
      </w:r>
      <w:r w:rsidRPr="00A413B4">
        <w:t>they</w:t>
      </w:r>
      <w:r w:rsidR="00470EBF">
        <w:t xml:space="preserve"> </w:t>
      </w:r>
      <w:r w:rsidRPr="00A413B4">
        <w:t>must</w:t>
      </w:r>
      <w:r w:rsidR="00470EBF">
        <w:t xml:space="preserve"> </w:t>
      </w:r>
      <w:r w:rsidRPr="00A413B4">
        <w:t>lead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qualification).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exception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Mauke,</w:t>
      </w:r>
      <w:r w:rsidR="00470EBF">
        <w:t xml:space="preserve"> </w:t>
      </w:r>
      <w:r w:rsidRPr="00A413B4">
        <w:t>where</w:t>
      </w:r>
      <w:r w:rsidR="00470EBF">
        <w:t xml:space="preserve"> </w:t>
      </w:r>
      <w:r w:rsidRPr="00A413B4">
        <w:t>cohort</w:t>
      </w:r>
      <w:r w:rsidR="00470EBF">
        <w:t xml:space="preserve"> </w:t>
      </w:r>
      <w:r w:rsidRPr="00A413B4">
        <w:t>size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impacting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ability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deliver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outcome,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highly</w:t>
      </w:r>
      <w:r w:rsidR="00470EBF">
        <w:t xml:space="preserve"> </w:t>
      </w:r>
      <w:r w:rsidRPr="00A413B4">
        <w:t>realistic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courses</w:t>
      </w:r>
      <w:r w:rsidR="00470EBF">
        <w:t xml:space="preserve"> </w:t>
      </w:r>
      <w:r w:rsidRPr="00A413B4">
        <w:t>delivered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based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requests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</w:t>
      </w:r>
      <w:r w:rsidR="00470EBF">
        <w:t xml:space="preserve"> </w:t>
      </w:r>
      <w:r w:rsidRPr="00A413B4">
        <w:t>Enua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themselves.</w:t>
      </w:r>
      <w:r w:rsidR="00470EBF">
        <w:t xml:space="preserve"> </w:t>
      </w:r>
      <w:r w:rsidRPr="00A413B4">
        <w:t>Efficiencies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created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utilizing</w:t>
      </w:r>
      <w:r w:rsidR="00470EBF">
        <w:t xml:space="preserve"> </w:t>
      </w:r>
      <w:r w:rsidRPr="00A413B4">
        <w:t>tutors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DP's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community</w:t>
      </w:r>
      <w:r w:rsidR="00470EBF">
        <w:t xml:space="preserve"> </w:t>
      </w:r>
      <w:r w:rsidRPr="00A413B4">
        <w:t>education,</w:t>
      </w:r>
      <w:r w:rsidR="00470EBF">
        <w:t xml:space="preserve"> </w:t>
      </w:r>
      <w:r w:rsidRPr="00A413B4">
        <w:t>outside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hours.</w:t>
      </w:r>
    </w:p>
    <w:p w:rsidR="000A2967" w:rsidRPr="00A413B4" w:rsidRDefault="000A2967" w:rsidP="00C26914">
      <w:pPr>
        <w:pStyle w:val="SingleTxtG"/>
      </w:pPr>
      <w:r w:rsidRPr="00A413B4">
        <w:t>60.</w:t>
      </w:r>
      <w:r w:rsidRPr="00A413B4">
        <w:tab/>
        <w:t>The</w:t>
      </w:r>
      <w:r w:rsidR="00470EBF">
        <w:t xml:space="preserve"> </w:t>
      </w:r>
      <w:r w:rsidRPr="00A413B4">
        <w:t>focus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</w:t>
      </w:r>
      <w:r w:rsidR="00470EBF">
        <w:t xml:space="preserve"> </w:t>
      </w:r>
      <w:r w:rsidRPr="00A413B4">
        <w:t>Enua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mainstreaming</w:t>
      </w:r>
      <w:r w:rsidR="00470EBF">
        <w:t xml:space="preserve"> </w:t>
      </w:r>
      <w:r w:rsidRPr="00A413B4">
        <w:t>Lifeskills</w:t>
      </w:r>
      <w:r w:rsidR="00470EBF">
        <w:t xml:space="preserve"> </w:t>
      </w:r>
      <w:r w:rsidRPr="00A413B4">
        <w:t>into</w:t>
      </w:r>
      <w:r w:rsidR="00470EBF">
        <w:t xml:space="preserve"> </w:t>
      </w:r>
      <w:r w:rsidRPr="00A413B4">
        <w:t>existing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while</w:t>
      </w:r>
      <w:r w:rsidR="00470EBF">
        <w:t xml:space="preserve"> </w:t>
      </w:r>
      <w:r w:rsidRPr="00A413B4">
        <w:t>utilizing</w:t>
      </w:r>
      <w:r w:rsidR="00470EBF">
        <w:t xml:space="preserve"> </w:t>
      </w:r>
      <w:r w:rsidRPr="00A413B4">
        <w:t>community</w:t>
      </w:r>
      <w:r w:rsidR="00470EBF">
        <w:t xml:space="preserve"> </w:t>
      </w:r>
      <w:r w:rsidRPr="00A413B4">
        <w:t>expertise.</w:t>
      </w:r>
      <w:r w:rsidR="00A164FB">
        <w:t xml:space="preserve"> </w:t>
      </w:r>
      <w:r w:rsidRPr="00A413B4">
        <w:t>Niua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remains</w:t>
      </w:r>
      <w:r w:rsidR="00470EBF">
        <w:t xml:space="preserve"> </w:t>
      </w:r>
      <w:r w:rsidRPr="00A413B4">
        <w:t>actively</w:t>
      </w:r>
      <w:r w:rsidR="00470EBF">
        <w:t xml:space="preserve"> </w:t>
      </w:r>
      <w:r w:rsidRPr="00A413B4">
        <w:t>engaged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Life</w:t>
      </w:r>
      <w:r w:rsidR="00470EBF">
        <w:t xml:space="preserve"> </w:t>
      </w:r>
      <w:r w:rsidRPr="00A413B4">
        <w:t>Skills</w:t>
      </w:r>
      <w:r w:rsidR="00470EBF">
        <w:t xml:space="preserve"> </w:t>
      </w:r>
      <w:r w:rsidRPr="00A413B4">
        <w:t>program.</w:t>
      </w:r>
      <w:r w:rsidR="00A164FB">
        <w:t xml:space="preserve"> </w:t>
      </w:r>
      <w:r w:rsidRPr="00A413B4">
        <w:t>Apii</w:t>
      </w:r>
      <w:r w:rsidR="00470EBF">
        <w:t xml:space="preserve"> </w:t>
      </w:r>
      <w:r w:rsidRPr="00A413B4">
        <w:t>Tauhunu</w:t>
      </w:r>
      <w:r w:rsidR="00470EBF">
        <w:t xml:space="preserve"> </w:t>
      </w:r>
      <w:r w:rsidRPr="00A413B4">
        <w:t>established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Y7-&amp;11</w:t>
      </w:r>
      <w:r w:rsidR="00470EBF">
        <w:t xml:space="preserve"> </w:t>
      </w:r>
      <w:r w:rsidRPr="00A413B4">
        <w:t>students.</w:t>
      </w:r>
    </w:p>
    <w:p w:rsidR="000A2967" w:rsidRPr="00A413B4" w:rsidRDefault="000A2967" w:rsidP="00C26914">
      <w:pPr>
        <w:pStyle w:val="SingleTxtG"/>
      </w:pPr>
      <w:r w:rsidRPr="00A413B4">
        <w:t>61.</w:t>
      </w:r>
      <w:r w:rsidRPr="00A413B4">
        <w:tab/>
        <w:t>Lifeskills</w:t>
      </w:r>
      <w:r w:rsidR="00470EBF">
        <w:t xml:space="preserve"> </w:t>
      </w:r>
      <w:r w:rsidRPr="00A413B4">
        <w:t>programs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selected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consultation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community.</w:t>
      </w:r>
      <w:r w:rsidR="00A164FB">
        <w:t xml:space="preserve"> </w:t>
      </w:r>
      <w:r w:rsidRPr="00A413B4">
        <w:t>Lifeskills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about</w:t>
      </w:r>
      <w:r w:rsidR="00470EBF">
        <w:t xml:space="preserve"> </w:t>
      </w:r>
      <w:r w:rsidRPr="00A413B4">
        <w:t>individual</w:t>
      </w:r>
      <w:r w:rsidR="00470EBF">
        <w:t xml:space="preserve"> </w:t>
      </w:r>
      <w:r w:rsidRPr="00A413B4">
        <w:t>island</w:t>
      </w:r>
      <w:r w:rsidR="00470EBF">
        <w:t xml:space="preserve"> </w:t>
      </w:r>
      <w:r w:rsidRPr="00A413B4">
        <w:t>communities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apart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ensuring</w:t>
      </w:r>
      <w:r w:rsidR="00470EBF">
        <w:t xml:space="preserve"> </w:t>
      </w:r>
      <w:r w:rsidRPr="00A413B4">
        <w:t>some</w:t>
      </w:r>
      <w:r w:rsidR="00470EBF">
        <w:t xml:space="preserve"> </w:t>
      </w:r>
      <w:r w:rsidRPr="00A413B4">
        <w:t>level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validity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does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wish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impose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lifeskills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important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community.</w:t>
      </w:r>
      <w:r w:rsidR="00A164FB">
        <w:t xml:space="preserve"> </w:t>
      </w:r>
      <w:r w:rsidRPr="00A413B4">
        <w:t>Lifeskills</w:t>
      </w:r>
      <w:r w:rsidR="00470EBF">
        <w:t xml:space="preserve"> </w:t>
      </w:r>
      <w:r w:rsidRPr="00A413B4">
        <w:t>budget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separated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operating</w:t>
      </w:r>
      <w:r w:rsidR="00470EBF">
        <w:t xml:space="preserve"> </w:t>
      </w:r>
      <w:r w:rsidRPr="00A413B4">
        <w:t>grant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uses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expertise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local</w:t>
      </w:r>
      <w:r w:rsidR="00470EBF">
        <w:t xml:space="preserve"> </w:t>
      </w:r>
      <w:r w:rsidRPr="00A413B4">
        <w:t>community.</w:t>
      </w:r>
      <w:r w:rsidR="00A164FB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celebrates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it</w:t>
      </w:r>
      <w:r w:rsidR="00470EBF">
        <w:t xml:space="preserve"> </w:t>
      </w:r>
      <w:r w:rsidRPr="00A413B4">
        <w:t>engages</w:t>
      </w:r>
      <w:r w:rsidR="00470EBF">
        <w:t xml:space="preserve"> </w:t>
      </w:r>
      <w:r w:rsidRPr="00A413B4">
        <w:t>local</w:t>
      </w:r>
      <w:r w:rsidR="00470EBF">
        <w:t xml:space="preserve"> </w:t>
      </w:r>
      <w:r w:rsidRPr="00A413B4">
        <w:t>communities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work</w:t>
      </w:r>
      <w:r w:rsidR="00470EBF">
        <w:t xml:space="preserve"> </w:t>
      </w:r>
      <w:r w:rsidRPr="00A413B4">
        <w:t>together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schools.</w:t>
      </w:r>
      <w:r w:rsidR="00470EBF">
        <w:t xml:space="preserve"> </w:t>
      </w:r>
    </w:p>
    <w:p w:rsidR="000A2967" w:rsidRPr="00A413B4" w:rsidRDefault="000A2967" w:rsidP="007E14B4">
      <w:pPr>
        <w:pStyle w:val="H1G"/>
      </w:pPr>
      <w:r w:rsidRPr="00A413B4">
        <w:tab/>
        <w:t>W.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13</w:t>
      </w:r>
      <w:r w:rsidR="00470EBF">
        <w:t xml:space="preserve"> </w:t>
      </w:r>
      <w:r w:rsidRPr="00A413B4">
        <w:t>(m)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62.</w:t>
      </w:r>
      <w:r w:rsidRPr="00A413B4">
        <w:tab/>
        <w:t>It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important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note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compulsory-school</w:t>
      </w:r>
      <w:r w:rsidR="00470EBF">
        <w:t xml:space="preserve"> </w:t>
      </w:r>
      <w:r w:rsidRPr="00A413B4">
        <w:t>aged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do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benefit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Reinga</w:t>
      </w:r>
      <w:r w:rsidR="00470EBF">
        <w:t xml:space="preserve"> </w:t>
      </w:r>
      <w:r w:rsidRPr="00A413B4">
        <w:t>Akataunga’anga,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Tertiary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Program.</w:t>
      </w:r>
      <w:r w:rsidR="00A164FB">
        <w:t xml:space="preserve"> </w:t>
      </w:r>
      <w:r w:rsidRPr="00A413B4">
        <w:t>This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lastRenderedPageBreak/>
        <w:t>scholarship</w:t>
      </w:r>
      <w:r w:rsidR="00470EBF">
        <w:t xml:space="preserve"> </w:t>
      </w:r>
      <w:r w:rsidRPr="00A413B4">
        <w:t>opportunity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school</w:t>
      </w:r>
      <w:r w:rsidR="00470EBF">
        <w:t xml:space="preserve"> </w:t>
      </w:r>
      <w:r w:rsidRPr="00A413B4">
        <w:t>leavers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adult</w:t>
      </w:r>
      <w:r w:rsidR="00470EBF">
        <w:t xml:space="preserve"> </w:t>
      </w:r>
      <w:r w:rsidRPr="00A413B4">
        <w:t>learners</w:t>
      </w:r>
      <w:r w:rsidR="00470EBF">
        <w:t xml:space="preserve"> </w:t>
      </w:r>
      <w:r w:rsidRPr="00A413B4">
        <w:t>wishing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engage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Tertiary</w:t>
      </w:r>
      <w:r w:rsidR="00470EBF">
        <w:t xml:space="preserve"> </w:t>
      </w:r>
      <w:r w:rsidRPr="00A413B4">
        <w:t>education.</w:t>
      </w:r>
    </w:p>
    <w:p w:rsidR="000A2967" w:rsidRPr="00A413B4" w:rsidRDefault="000A2967" w:rsidP="00C26914">
      <w:pPr>
        <w:pStyle w:val="SingleTxtG"/>
      </w:pPr>
      <w:r w:rsidRPr="00A413B4">
        <w:t>63.</w:t>
      </w:r>
      <w:r w:rsidRPr="00A413B4">
        <w:tab/>
        <w:t>The</w:t>
      </w:r>
      <w:r w:rsidR="00470EBF">
        <w:t xml:space="preserve"> </w:t>
      </w:r>
      <w:r w:rsidRPr="00A413B4">
        <w:t>revised</w:t>
      </w:r>
      <w:r w:rsidR="00470EBF">
        <w:t xml:space="preserve"> </w:t>
      </w:r>
      <w:r w:rsidRPr="00A413B4">
        <w:t>scholarship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study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Government,</w:t>
      </w:r>
      <w:r w:rsidR="00470EBF">
        <w:t xml:space="preserve"> </w:t>
      </w:r>
      <w:r w:rsidRPr="00A413B4">
        <w:t>administered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developed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later</w:t>
      </w:r>
      <w:r w:rsidR="00470EBF">
        <w:t xml:space="preserve"> </w:t>
      </w:r>
      <w:r w:rsidRPr="00A413B4">
        <w:t>part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2016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implemented</w:t>
      </w:r>
      <w:r w:rsidR="00470EBF">
        <w:t xml:space="preserve"> </w:t>
      </w:r>
      <w:r w:rsidRPr="00A413B4">
        <w:t>from</w:t>
      </w:r>
      <w:r w:rsidR="00470EBF">
        <w:t xml:space="preserve"> </w:t>
      </w:r>
      <w:r w:rsidRPr="00A413B4">
        <w:t>2017.</w:t>
      </w:r>
      <w:r w:rsidR="00A164FB">
        <w:t xml:space="preserve"> </w:t>
      </w:r>
      <w:r w:rsidRPr="00A413B4">
        <w:t>It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allowed</w:t>
      </w:r>
      <w:r w:rsidR="00470EBF">
        <w:t xml:space="preserve"> </w:t>
      </w:r>
      <w:r w:rsidRPr="00A413B4">
        <w:t>many</w:t>
      </w:r>
      <w:r w:rsidR="00470EBF">
        <w:t xml:space="preserve"> </w:t>
      </w:r>
      <w:r w:rsidRPr="00A413B4">
        <w:t>more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Islanders</w:t>
      </w:r>
      <w:r w:rsidR="00470EBF">
        <w:t xml:space="preserve"> </w:t>
      </w:r>
      <w:r w:rsidRPr="00A413B4">
        <w:t>access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initial</w:t>
      </w:r>
      <w:r w:rsidR="00470EBF">
        <w:t xml:space="preserve"> </w:t>
      </w:r>
      <w:r w:rsidRPr="00A413B4">
        <w:t>tertiary</w:t>
      </w:r>
      <w:r w:rsidR="00470EBF">
        <w:t xml:space="preserve"> </w:t>
      </w:r>
      <w:r w:rsidRPr="00A413B4">
        <w:t>studies</w:t>
      </w:r>
      <w:r w:rsidR="00470EBF">
        <w:t xml:space="preserve"> </w:t>
      </w:r>
      <w:r w:rsidRPr="00A413B4">
        <w:t>both</w:t>
      </w:r>
      <w:r w:rsidR="00470EBF">
        <w:t xml:space="preserve"> </w:t>
      </w:r>
      <w:r w:rsidRPr="00A413B4">
        <w:t>domestically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abroad.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basis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giving</w:t>
      </w:r>
      <w:r w:rsidR="00470EBF">
        <w:t xml:space="preserve"> </w:t>
      </w:r>
      <w:r w:rsidRPr="00A413B4">
        <w:t>everyone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start,</w:t>
      </w:r>
      <w:r w:rsidR="00470EBF">
        <w:t xml:space="preserve"> </w:t>
      </w:r>
      <w:r w:rsidRPr="00A413B4">
        <w:t>further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then</w:t>
      </w:r>
      <w:r w:rsidR="00470EBF">
        <w:t xml:space="preserve"> </w:t>
      </w:r>
      <w:r w:rsidRPr="00A413B4">
        <w:t>secured</w:t>
      </w:r>
      <w:r w:rsidR="00470EBF">
        <w:t xml:space="preserve"> </w:t>
      </w:r>
      <w:r w:rsidRPr="00A413B4">
        <w:t>through</w:t>
      </w:r>
      <w:r w:rsidR="00470EBF">
        <w:t xml:space="preserve"> </w:t>
      </w:r>
      <w:r w:rsidRPr="00A413B4">
        <w:t>achieving</w:t>
      </w:r>
      <w:r w:rsidR="00470EBF">
        <w:t xml:space="preserve"> </w:t>
      </w:r>
      <w:r w:rsidRPr="00A413B4">
        <w:t>worthy</w:t>
      </w:r>
      <w:r w:rsidR="00470EBF">
        <w:t xml:space="preserve"> </w:t>
      </w:r>
      <w:r w:rsidRPr="00A413B4">
        <w:t>results.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64.</w:t>
      </w:r>
      <w:r w:rsidRPr="00A413B4">
        <w:tab/>
        <w:t>Using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model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“reverse</w:t>
      </w:r>
      <w:r w:rsidR="00470EBF">
        <w:t xml:space="preserve"> </w:t>
      </w:r>
      <w:r w:rsidRPr="00A413B4">
        <w:t>scholarship”,</w:t>
      </w:r>
      <w:r w:rsidR="00470EBF">
        <w:t xml:space="preserve"> </w:t>
      </w:r>
      <w:r w:rsidRPr="00A413B4">
        <w:t>student</w:t>
      </w:r>
      <w:r w:rsidR="00470EBF">
        <w:t xml:space="preserve"> </w:t>
      </w:r>
      <w:r w:rsidRPr="00A413B4">
        <w:t>loans</w:t>
      </w:r>
      <w:r w:rsidR="00470EBF">
        <w:t xml:space="preserve"> </w:t>
      </w:r>
      <w:r w:rsidRPr="00A413B4">
        <w:t>will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repaid</w:t>
      </w:r>
      <w:r w:rsidR="00470EBF">
        <w:t xml:space="preserve"> </w:t>
      </w:r>
      <w:r w:rsidRPr="00A413B4">
        <w:t>pro-rata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scheme</w:t>
      </w:r>
      <w:r w:rsidR="00470EBF">
        <w:t xml:space="preserve"> </w:t>
      </w:r>
      <w:r w:rsidRPr="00A413B4">
        <w:t>when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learner</w:t>
      </w:r>
      <w:r w:rsidR="00470EBF">
        <w:t xml:space="preserve"> </w:t>
      </w:r>
      <w:r w:rsidRPr="00A413B4">
        <w:t>returns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end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study.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aligning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requirements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NSDP,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scholarship</w:t>
      </w:r>
      <w:r w:rsidR="00470EBF">
        <w:t xml:space="preserve"> </w:t>
      </w:r>
      <w:r w:rsidRPr="00A413B4">
        <w:t>program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opened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doors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much</w:t>
      </w:r>
      <w:r w:rsidR="00470EBF">
        <w:t xml:space="preserve"> </w:t>
      </w:r>
      <w:r w:rsidRPr="00A413B4">
        <w:t>broader</w:t>
      </w:r>
      <w:r w:rsidR="00470EBF">
        <w:t xml:space="preserve"> </w:t>
      </w:r>
      <w:r w:rsidRPr="00A413B4">
        <w:t>range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study</w:t>
      </w:r>
      <w:r w:rsidR="00470EBF">
        <w:t xml:space="preserve"> </w:t>
      </w:r>
      <w:r w:rsidRPr="00A413B4">
        <w:t>being</w:t>
      </w:r>
      <w:r w:rsidR="00470EBF">
        <w:t xml:space="preserve"> </w:t>
      </w:r>
      <w:r w:rsidRPr="00A413B4">
        <w:t>undertaken.</w:t>
      </w:r>
    </w:p>
    <w:p w:rsidR="000A2967" w:rsidRPr="00A413B4" w:rsidRDefault="000A2967" w:rsidP="00C26914">
      <w:pPr>
        <w:pStyle w:val="SingleTxtG"/>
      </w:pPr>
      <w:r w:rsidRPr="00A413B4">
        <w:t>65.</w:t>
      </w:r>
      <w:r w:rsidRPr="00A413B4">
        <w:tab/>
        <w:t>Current</w:t>
      </w:r>
      <w:r w:rsidR="00470EBF">
        <w:t xml:space="preserve"> </w:t>
      </w:r>
      <w:r w:rsidRPr="00A413B4">
        <w:t>scholarship</w:t>
      </w:r>
      <w:r w:rsidR="00470EBF">
        <w:t xml:space="preserve"> </w:t>
      </w:r>
      <w:r w:rsidRPr="00A413B4">
        <w:t>numbers,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2019:</w:t>
      </w:r>
      <w:r w:rsidR="00470EBF">
        <w:t xml:space="preserve"> </w:t>
      </w:r>
      <w:r w:rsidRPr="00A413B4">
        <w:t>(a)</w:t>
      </w:r>
      <w:r w:rsidR="00470EBF">
        <w:t xml:space="preserve"> </w:t>
      </w:r>
      <w:r w:rsidRPr="00A413B4">
        <w:t>28</w:t>
      </w:r>
      <w:r w:rsidR="00470EBF">
        <w:t xml:space="preserve"> </w:t>
      </w:r>
      <w:r w:rsidRPr="00A413B4">
        <w:t>Study</w:t>
      </w:r>
      <w:r w:rsidR="00470EBF">
        <w:t xml:space="preserve"> </w:t>
      </w:r>
      <w:r w:rsidRPr="00A413B4">
        <w:t>Starter</w:t>
      </w:r>
      <w:r w:rsidR="00470EBF">
        <w:t xml:space="preserve"> </w:t>
      </w:r>
      <w:r w:rsidRPr="00A413B4">
        <w:t>Pack</w:t>
      </w:r>
      <w:r w:rsidR="00470EBF">
        <w:t xml:space="preserve"> </w:t>
      </w:r>
      <w:r w:rsidRPr="00A413B4">
        <w:t>Scholarships,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1st</w:t>
      </w:r>
      <w:r w:rsidR="00470EBF">
        <w:t xml:space="preserve"> </w:t>
      </w:r>
      <w:r w:rsidRPr="00A413B4">
        <w:t>year</w:t>
      </w:r>
      <w:r w:rsidR="00470EBF">
        <w:t xml:space="preserve"> </w:t>
      </w:r>
      <w:r w:rsidRPr="00A413B4">
        <w:t>students;</w:t>
      </w:r>
      <w:r w:rsidR="00470EBF">
        <w:t xml:space="preserve"> </w:t>
      </w:r>
      <w:r w:rsidRPr="00A413B4">
        <w:t>(b)</w:t>
      </w:r>
      <w:r w:rsidR="00470EBF">
        <w:t xml:space="preserve"> </w:t>
      </w:r>
      <w:r w:rsidRPr="00A413B4">
        <w:t>17</w:t>
      </w:r>
      <w:r w:rsidR="00470EBF">
        <w:t xml:space="preserve"> </w:t>
      </w:r>
      <w:r w:rsidRPr="00A413B4">
        <w:t>International</w:t>
      </w:r>
      <w:r w:rsidR="00470EBF">
        <w:t xml:space="preserve"> </w:t>
      </w:r>
      <w:r w:rsidRPr="00A413B4">
        <w:t>Full</w:t>
      </w:r>
      <w:r w:rsidR="00470EBF">
        <w:t xml:space="preserve"> </w:t>
      </w:r>
      <w:r w:rsidRPr="00A413B4">
        <w:t>Scholarships,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students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their</w:t>
      </w:r>
      <w:r w:rsidR="00470EBF">
        <w:t xml:space="preserve"> </w:t>
      </w:r>
      <w:r w:rsidRPr="00A413B4">
        <w:t>second</w:t>
      </w:r>
      <w:r w:rsidR="00470EBF">
        <w:t xml:space="preserve"> </w:t>
      </w:r>
      <w:r w:rsidRPr="00A413B4">
        <w:t>year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study;</w:t>
      </w:r>
      <w:r w:rsidR="00470EBF">
        <w:t xml:space="preserve"> </w:t>
      </w:r>
      <w:r w:rsidRPr="00A413B4">
        <w:t>(c)</w:t>
      </w:r>
      <w:r w:rsidR="00470EBF">
        <w:t xml:space="preserve"> </w:t>
      </w:r>
      <w:r w:rsidRPr="00A413B4">
        <w:t>4</w:t>
      </w:r>
      <w:r w:rsidR="00470EBF">
        <w:t xml:space="preserve"> </w:t>
      </w:r>
      <w:r w:rsidRPr="00A413B4">
        <w:t>In-Country</w:t>
      </w:r>
      <w:r w:rsidR="00470EBF">
        <w:t xml:space="preserve"> </w:t>
      </w:r>
      <w:r w:rsidRPr="00A413B4">
        <w:t>Study</w:t>
      </w:r>
      <w:r w:rsidR="00470EBF">
        <w:t xml:space="preserve"> </w:t>
      </w:r>
      <w:r w:rsidRPr="00A413B4">
        <w:t>Grants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(d)</w:t>
      </w:r>
      <w:r w:rsidR="00470EBF">
        <w:t xml:space="preserve"> </w:t>
      </w:r>
      <w:r w:rsidRPr="00A413B4">
        <w:t>2</w:t>
      </w:r>
      <w:r w:rsidR="00470EBF">
        <w:t xml:space="preserve"> </w:t>
      </w:r>
      <w:r w:rsidRPr="00A413B4">
        <w:t>Domestic</w:t>
      </w:r>
      <w:r w:rsidR="00470EBF">
        <w:t xml:space="preserve"> </w:t>
      </w:r>
      <w:r w:rsidRPr="00A413B4">
        <w:t>Full</w:t>
      </w:r>
      <w:r w:rsidR="00470EBF">
        <w:t xml:space="preserve"> </w:t>
      </w:r>
      <w:r w:rsidRPr="00A413B4">
        <w:t>Scholarships</w:t>
      </w:r>
      <w:r w:rsidR="000B3C22">
        <w:t xml:space="preserve"> – </w:t>
      </w:r>
      <w:r w:rsidRPr="00A413B4">
        <w:t>a</w:t>
      </w:r>
      <w:r w:rsidR="00470EBF">
        <w:t xml:space="preserve"> </w:t>
      </w:r>
      <w:r w:rsidRPr="00A413B4">
        <w:t>total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51</w:t>
      </w:r>
      <w:r w:rsidR="00470EBF">
        <w:t xml:space="preserve"> </w:t>
      </w:r>
      <w:r w:rsidRPr="00A413B4">
        <w:t>Scholarship</w:t>
      </w:r>
      <w:r w:rsidR="00470EBF">
        <w:t xml:space="preserve"> </w:t>
      </w:r>
      <w:r w:rsidRPr="00A413B4">
        <w:t>recipients.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4"/>
        <w:gridCol w:w="1971"/>
        <w:gridCol w:w="1859"/>
      </w:tblGrid>
      <w:tr w:rsidR="000A2967" w:rsidRPr="00A62631" w:rsidTr="00A62631">
        <w:trPr>
          <w:tblHeader/>
        </w:trPr>
        <w:tc>
          <w:tcPr>
            <w:tcW w:w="1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Year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Male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Female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Total</w:t>
            </w:r>
          </w:p>
        </w:tc>
      </w:tr>
      <w:tr w:rsidR="000A2967" w:rsidRPr="00A62631" w:rsidTr="00A62631"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2012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11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19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30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6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12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5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18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24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7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29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2017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5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29</w:t>
            </w:r>
          </w:p>
        </w:tc>
      </w:tr>
      <w:tr w:rsidR="000A2967" w:rsidRPr="00A62631" w:rsidTr="00A62631">
        <w:tc>
          <w:tcPr>
            <w:tcW w:w="1631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2018</w:t>
            </w: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21</w:t>
            </w:r>
          </w:p>
        </w:tc>
        <w:tc>
          <w:tcPr>
            <w:tcW w:w="18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13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34</w:t>
            </w:r>
            <w:r w:rsidR="00470EBF">
              <w:rPr>
                <w:sz w:val="18"/>
              </w:rPr>
              <w:t xml:space="preserve"> </w:t>
            </w:r>
          </w:p>
        </w:tc>
      </w:tr>
      <w:tr w:rsidR="000A2967" w:rsidRPr="00A62631" w:rsidTr="00A62631">
        <w:tc>
          <w:tcPr>
            <w:tcW w:w="16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2019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39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12</w:t>
            </w:r>
            <w:r w:rsidR="00470EBF">
              <w:rPr>
                <w:sz w:val="18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470EBF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A2967" w:rsidRPr="00A62631">
              <w:rPr>
                <w:sz w:val="18"/>
              </w:rPr>
              <w:t>51</w:t>
            </w:r>
          </w:p>
        </w:tc>
      </w:tr>
      <w:tr w:rsidR="000A2967" w:rsidRPr="00A62631" w:rsidTr="00A62631">
        <w:tc>
          <w:tcPr>
            <w:tcW w:w="1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Year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6F1A6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Male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6F1A6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Female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6F1A6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A62631">
              <w:rPr>
                <w:i/>
                <w:sz w:val="16"/>
              </w:rPr>
              <w:t>Total</w:t>
            </w:r>
          </w:p>
        </w:tc>
      </w:tr>
      <w:tr w:rsidR="000A2967" w:rsidRPr="00A62631" w:rsidTr="00A62631"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2012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8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12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20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4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9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8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28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7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9</w:t>
            </w:r>
          </w:p>
        </w:tc>
      </w:tr>
      <w:tr w:rsidR="000A2967" w:rsidRPr="00A62631" w:rsidTr="00A62631">
        <w:tc>
          <w:tcPr>
            <w:tcW w:w="1631" w:type="dxa"/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2017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0A2967" w:rsidRPr="00A62631" w:rsidRDefault="00470EBF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A2967" w:rsidRPr="00A62631">
              <w:rPr>
                <w:sz w:val="18"/>
              </w:rPr>
              <w:t>2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16</w:t>
            </w:r>
          </w:p>
        </w:tc>
      </w:tr>
      <w:tr w:rsidR="000A2967" w:rsidRPr="00A62631" w:rsidTr="00A62631"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A62631">
              <w:rPr>
                <w:sz w:val="18"/>
              </w:rPr>
              <w:t>2018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470EBF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A2967" w:rsidRPr="00A62631">
              <w:rPr>
                <w:sz w:val="18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2</w:t>
            </w:r>
            <w:r w:rsidR="00470EBF">
              <w:rPr>
                <w:sz w:val="18"/>
              </w:rPr>
              <w:t xml:space="preserve">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A62631" w:rsidRDefault="000A2967" w:rsidP="00A6263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A62631">
              <w:rPr>
                <w:sz w:val="18"/>
              </w:rPr>
              <w:t>3</w:t>
            </w:r>
          </w:p>
        </w:tc>
      </w:tr>
    </w:tbl>
    <w:p w:rsidR="000A2967" w:rsidRPr="00A413B4" w:rsidRDefault="000A2967" w:rsidP="00C61B9E">
      <w:pPr>
        <w:pStyle w:val="H1G"/>
      </w:pPr>
      <w:r w:rsidRPr="00A413B4">
        <w:tab/>
        <w:t>X.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14</w:t>
      </w:r>
      <w:r w:rsidR="00470EBF">
        <w:t xml:space="preserve"> </w:t>
      </w:r>
      <w:r w:rsidRPr="00A413B4">
        <w:t>(b)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66.</w:t>
      </w:r>
      <w:r w:rsidRPr="00A413B4">
        <w:tab/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does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formal</w:t>
      </w:r>
      <w:r w:rsidR="00470EBF">
        <w:t xml:space="preserve"> </w:t>
      </w:r>
      <w:r w:rsidRPr="00A413B4">
        <w:t>institutions.</w:t>
      </w:r>
    </w:p>
    <w:p w:rsidR="000A2967" w:rsidRPr="00A413B4" w:rsidRDefault="000A2967" w:rsidP="00C61B9E">
      <w:pPr>
        <w:pStyle w:val="H1G"/>
      </w:pPr>
      <w:r w:rsidRPr="00A413B4">
        <w:tab/>
        <w:t>Y.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14</w:t>
      </w:r>
      <w:r w:rsidR="00470EBF">
        <w:t xml:space="preserve"> </w:t>
      </w:r>
      <w:r w:rsidRPr="00A413B4">
        <w:t>(c)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67.</w:t>
      </w:r>
      <w:r w:rsidRPr="00A413B4">
        <w:tab/>
        <w:t>There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no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past</w:t>
      </w:r>
      <w:r w:rsidR="00470EBF">
        <w:t xml:space="preserve"> </w:t>
      </w:r>
      <w:r w:rsidRPr="00A413B4">
        <w:t>three</w:t>
      </w:r>
      <w:r w:rsidR="00470EBF">
        <w:t xml:space="preserve"> </w:t>
      </w:r>
      <w:r w:rsidRPr="00A413B4">
        <w:t>years.</w:t>
      </w:r>
    </w:p>
    <w:p w:rsidR="000A2967" w:rsidRPr="00A413B4" w:rsidRDefault="000A2967" w:rsidP="00C61B9E">
      <w:pPr>
        <w:pStyle w:val="H1G"/>
      </w:pPr>
      <w:r w:rsidRPr="00A413B4">
        <w:tab/>
        <w:t>Z.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14</w:t>
      </w:r>
      <w:r w:rsidR="00470EBF">
        <w:t xml:space="preserve"> </w:t>
      </w:r>
      <w:r w:rsidRPr="00A413B4">
        <w:t>(d)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Default="000A2967" w:rsidP="00C26914">
      <w:pPr>
        <w:pStyle w:val="SingleTxtG"/>
      </w:pPr>
      <w:r w:rsidRPr="00A413B4">
        <w:t>68.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Internal</w:t>
      </w:r>
      <w:r w:rsidR="00470EBF">
        <w:t xml:space="preserve"> </w:t>
      </w:r>
      <w:r w:rsidRPr="00A413B4">
        <w:t>Affairs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Child</w:t>
      </w:r>
      <w:r w:rsidR="00470EBF">
        <w:t xml:space="preserve"> </w:t>
      </w:r>
      <w:r w:rsidRPr="00A413B4">
        <w:t>&amp;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Unit:</w:t>
      </w:r>
    </w:p>
    <w:p w:rsidR="00470EBF" w:rsidRPr="00A413B4" w:rsidRDefault="00470EBF" w:rsidP="00470EBF">
      <w:pPr>
        <w:pStyle w:val="H23G"/>
      </w:pPr>
      <w:r>
        <w:lastRenderedPageBreak/>
        <w:tab/>
      </w:r>
      <w:r>
        <w:tab/>
      </w:r>
      <w:r w:rsidRPr="00C61B9E">
        <w:t>Adoption</w:t>
      </w:r>
      <w:r>
        <w:t xml:space="preserve"> </w:t>
      </w:r>
      <w:r w:rsidRPr="00C61B9E">
        <w:t>statistic</w:t>
      </w:r>
      <w:r>
        <w:t xml:space="preserve"> </w:t>
      </w:r>
      <w:r w:rsidRPr="00C61B9E">
        <w:t>2016</w:t>
      </w:r>
      <w:r>
        <w:t>–</w:t>
      </w:r>
      <w:r w:rsidRPr="00C61B9E">
        <w:t>2019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252"/>
        <w:gridCol w:w="1252"/>
        <w:gridCol w:w="1252"/>
        <w:gridCol w:w="1252"/>
      </w:tblGrid>
      <w:tr w:rsidR="000A2967" w:rsidRPr="00470EBF" w:rsidTr="00470EBF">
        <w:trPr>
          <w:tblHeader/>
        </w:trPr>
        <w:tc>
          <w:tcPr>
            <w:tcW w:w="23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Year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Year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Year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Year</w:t>
            </w:r>
          </w:p>
        </w:tc>
      </w:tr>
      <w:tr w:rsidR="000A2967" w:rsidRPr="00470EBF" w:rsidTr="00470EBF">
        <w:tc>
          <w:tcPr>
            <w:tcW w:w="236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  <w:tc>
          <w:tcPr>
            <w:tcW w:w="125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2016</w:t>
            </w:r>
          </w:p>
        </w:tc>
        <w:tc>
          <w:tcPr>
            <w:tcW w:w="125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2017</w:t>
            </w:r>
          </w:p>
        </w:tc>
        <w:tc>
          <w:tcPr>
            <w:tcW w:w="125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2018</w:t>
            </w:r>
          </w:p>
        </w:tc>
        <w:tc>
          <w:tcPr>
            <w:tcW w:w="125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70EBF">
              <w:rPr>
                <w:i/>
                <w:sz w:val="16"/>
              </w:rPr>
              <w:t>2019</w:t>
            </w:r>
          </w:p>
        </w:tc>
      </w:tr>
      <w:tr w:rsidR="000A2967" w:rsidRPr="00470EBF" w:rsidTr="00470EBF">
        <w:tc>
          <w:tcPr>
            <w:tcW w:w="236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Reports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8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7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5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6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Male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4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Female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3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Outer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Island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1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Overseas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1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International</w:t>
            </w:r>
            <w:r w:rsidR="00470EBF" w:rsidRPr="00470EBF">
              <w:rPr>
                <w:sz w:val="18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1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Case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Granted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by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Court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6</w:t>
            </w:r>
          </w:p>
        </w:tc>
      </w:tr>
      <w:tr w:rsidR="000A2967" w:rsidRPr="00470EBF" w:rsidTr="00470EBF">
        <w:tc>
          <w:tcPr>
            <w:tcW w:w="23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70EBF">
              <w:rPr>
                <w:sz w:val="18"/>
              </w:rPr>
              <w:t>Case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not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granted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by</w:t>
            </w:r>
            <w:r w:rsidR="00470EBF" w:rsidRPr="00470EBF">
              <w:rPr>
                <w:sz w:val="18"/>
              </w:rPr>
              <w:t xml:space="preserve"> </w:t>
            </w:r>
            <w:r w:rsidRPr="00470EBF">
              <w:rPr>
                <w:sz w:val="18"/>
              </w:rPr>
              <w:t>Court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967" w:rsidRPr="00470EBF" w:rsidRDefault="000A2967" w:rsidP="00470EB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70EBF">
              <w:rPr>
                <w:sz w:val="18"/>
              </w:rPr>
              <w:t>0</w:t>
            </w:r>
          </w:p>
        </w:tc>
      </w:tr>
    </w:tbl>
    <w:p w:rsidR="000A2967" w:rsidRPr="00A413B4" w:rsidRDefault="000A2967" w:rsidP="00B17F1E">
      <w:pPr>
        <w:pStyle w:val="H1G"/>
      </w:pPr>
      <w:r w:rsidRPr="00A413B4">
        <w:tab/>
        <w:t>AA.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(a)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69.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does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indicator.</w:t>
      </w:r>
      <w:r w:rsidR="00470EBF">
        <w:t xml:space="preserve"> </w:t>
      </w:r>
      <w:r w:rsidRPr="00A413B4">
        <w:t>2016</w:t>
      </w:r>
      <w:r w:rsidR="00470EBF">
        <w:t xml:space="preserve"> </w:t>
      </w:r>
      <w:r w:rsidRPr="00A413B4">
        <w:t>Census</w:t>
      </w:r>
      <w:r w:rsidR="00470EBF">
        <w:t xml:space="preserve"> </w:t>
      </w:r>
      <w:r w:rsidRPr="00A413B4">
        <w:t>information</w:t>
      </w:r>
      <w:r w:rsidR="00470EBF">
        <w:t xml:space="preserve"> </w:t>
      </w:r>
      <w:r w:rsidRPr="00A413B4">
        <w:t>responding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indicator</w:t>
      </w:r>
      <w:r w:rsidR="00470EBF">
        <w:t xml:space="preserve"> </w:t>
      </w:r>
      <w:r w:rsidRPr="00A413B4">
        <w:t>would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collected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reported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Statistics</w:t>
      </w:r>
      <w:r w:rsidR="00470EBF">
        <w:t xml:space="preserve"> </w:t>
      </w:r>
      <w:r w:rsidRPr="00A413B4">
        <w:t>Office.</w:t>
      </w:r>
      <w:r w:rsidR="00A164FB">
        <w:t xml:space="preserve"> </w:t>
      </w:r>
    </w:p>
    <w:p w:rsidR="000A2967" w:rsidRPr="00A413B4" w:rsidRDefault="000A2967" w:rsidP="00B17F1E">
      <w:pPr>
        <w:pStyle w:val="H1G"/>
      </w:pPr>
      <w:r w:rsidRPr="00A413B4">
        <w:tab/>
        <w:t>AB.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(b)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70.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Education: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provides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inclusive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system.</w:t>
      </w:r>
      <w:r w:rsidR="00A164FB">
        <w:t xml:space="preserve"> </w:t>
      </w:r>
      <w:r w:rsidRPr="00A413B4">
        <w:t>It</w:t>
      </w:r>
      <w:r w:rsidR="00470EBF">
        <w:t xml:space="preserve"> </w:t>
      </w:r>
      <w:r w:rsidRPr="00A413B4">
        <w:t>is</w:t>
      </w:r>
      <w:r w:rsidR="00470EBF">
        <w:t xml:space="preserve"> </w:t>
      </w:r>
      <w:r w:rsidRPr="00A413B4">
        <w:t>important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note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enrolment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provided</w:t>
      </w:r>
      <w:r w:rsidR="00470EBF">
        <w:t xml:space="preserve"> </w:t>
      </w:r>
      <w:r w:rsidRPr="00A413B4">
        <w:t>below</w:t>
      </w:r>
      <w:r w:rsidR="00470EBF">
        <w:t xml:space="preserve"> </w:t>
      </w:r>
      <w:r w:rsidRPr="00A413B4">
        <w:t>include</w:t>
      </w:r>
      <w:r w:rsidR="00470EBF">
        <w:t xml:space="preserve"> </w:t>
      </w:r>
      <w:r w:rsidRPr="00A413B4">
        <w:t>all</w:t>
      </w:r>
      <w:r w:rsidR="00470EBF">
        <w:t xml:space="preserve"> </w:t>
      </w:r>
      <w:r w:rsidRPr="00A413B4">
        <w:t>learners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disaggregated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disability.</w:t>
      </w:r>
      <w:r w:rsidR="00A164FB">
        <w:t xml:space="preserve"> </w:t>
      </w:r>
      <w:r w:rsidRPr="00A413B4">
        <w:t>Refer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pages</w:t>
      </w:r>
      <w:r w:rsidR="00470EBF">
        <w:t xml:space="preserve"> </w:t>
      </w:r>
      <w:r w:rsidRPr="00A413B4">
        <w:t>27–31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data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those</w:t>
      </w:r>
      <w:r w:rsidR="00470EBF">
        <w:t xml:space="preserve"> </w:t>
      </w:r>
      <w:r w:rsidRPr="00A413B4">
        <w:t>students</w:t>
      </w:r>
      <w:r w:rsidR="00470EBF">
        <w:t xml:space="preserve"> </w:t>
      </w:r>
      <w:r w:rsidRPr="00A413B4">
        <w:t>receiving</w:t>
      </w:r>
      <w:r w:rsidR="00470EBF">
        <w:t xml:space="preserve"> </w:t>
      </w:r>
      <w:r w:rsidRPr="00A413B4">
        <w:t>learning</w:t>
      </w:r>
      <w:r w:rsidR="00470EBF">
        <w:t xml:space="preserve"> </w:t>
      </w:r>
      <w:r w:rsidRPr="00A413B4">
        <w:t>support.</w:t>
      </w:r>
    </w:p>
    <w:p w:rsidR="000A2967" w:rsidRPr="00A413B4" w:rsidRDefault="000A2967" w:rsidP="00B17F1E">
      <w:pPr>
        <w:pStyle w:val="H23G"/>
      </w:pPr>
      <w:r w:rsidRPr="00A413B4">
        <w:tab/>
      </w:r>
      <w:r w:rsidRPr="00A413B4">
        <w:tab/>
        <w:t>Enrolment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Primary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2017</w:t>
      </w:r>
      <w:r w:rsidR="000B3C22">
        <w:t>–</w:t>
      </w:r>
      <w:r w:rsidRPr="00A413B4">
        <w:t>2019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035"/>
        <w:gridCol w:w="1093"/>
        <w:gridCol w:w="1042"/>
        <w:gridCol w:w="1035"/>
        <w:gridCol w:w="1093"/>
        <w:gridCol w:w="1042"/>
      </w:tblGrid>
      <w:tr w:rsidR="000A2967" w:rsidRPr="00B17F1E" w:rsidTr="00575225">
        <w:trPr>
          <w:tblHeader/>
        </w:trPr>
        <w:tc>
          <w:tcPr>
            <w:tcW w:w="103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Year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Gross</w:t>
            </w:r>
            <w:r w:rsidR="00470EBF" w:rsidRPr="00B17F1E">
              <w:rPr>
                <w:i/>
                <w:sz w:val="16"/>
              </w:rPr>
              <w:t xml:space="preserve"> </w:t>
            </w:r>
            <w:r w:rsidRPr="00B17F1E">
              <w:rPr>
                <w:i/>
                <w:sz w:val="16"/>
              </w:rPr>
              <w:t>Enrolment</w:t>
            </w:r>
            <w:r w:rsidR="00470EBF" w:rsidRPr="00B17F1E">
              <w:rPr>
                <w:i/>
                <w:sz w:val="16"/>
              </w:rPr>
              <w:t xml:space="preserve"> </w:t>
            </w:r>
            <w:r w:rsidRPr="00B17F1E">
              <w:rPr>
                <w:i/>
                <w:sz w:val="16"/>
              </w:rPr>
              <w:t>(%)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Net</w:t>
            </w:r>
            <w:r w:rsidR="00470EBF" w:rsidRPr="00B17F1E">
              <w:rPr>
                <w:i/>
                <w:sz w:val="16"/>
              </w:rPr>
              <w:t xml:space="preserve"> </w:t>
            </w:r>
            <w:r w:rsidRPr="00B17F1E">
              <w:rPr>
                <w:i/>
                <w:sz w:val="16"/>
              </w:rPr>
              <w:t>Enrolment</w:t>
            </w:r>
            <w:r w:rsidR="00470EBF" w:rsidRPr="00B17F1E">
              <w:rPr>
                <w:i/>
                <w:sz w:val="16"/>
              </w:rPr>
              <w:t xml:space="preserve"> </w:t>
            </w:r>
            <w:r w:rsidRPr="00B17F1E">
              <w:rPr>
                <w:i/>
                <w:sz w:val="16"/>
              </w:rPr>
              <w:t>(%)</w:t>
            </w:r>
          </w:p>
        </w:tc>
      </w:tr>
      <w:tr w:rsidR="000A2967" w:rsidRPr="00B17F1E" w:rsidTr="00575225">
        <w:trPr>
          <w:tblHeader/>
        </w:trPr>
        <w:tc>
          <w:tcPr>
            <w:tcW w:w="103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Male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Female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Male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Female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17F1E">
              <w:rPr>
                <w:i/>
                <w:sz w:val="16"/>
              </w:rPr>
              <w:t>Total</w:t>
            </w:r>
          </w:p>
        </w:tc>
      </w:tr>
      <w:tr w:rsidR="000A2967" w:rsidRPr="00B17F1E" w:rsidTr="00B17F1E"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17F1E">
              <w:rPr>
                <w:sz w:val="18"/>
              </w:rPr>
              <w:t>2017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110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103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107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</w:tr>
      <w:tr w:rsidR="000A2967" w:rsidRPr="00B17F1E" w:rsidTr="00B17F1E">
        <w:tc>
          <w:tcPr>
            <w:tcW w:w="1030" w:type="dxa"/>
            <w:shd w:val="clear" w:color="auto" w:fill="auto"/>
            <w:noWrap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17F1E">
              <w:rPr>
                <w:sz w:val="18"/>
              </w:rPr>
              <w:t>2018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</w:tr>
      <w:tr w:rsidR="000A2967" w:rsidRPr="00B17F1E" w:rsidTr="00B17F1E">
        <w:tc>
          <w:tcPr>
            <w:tcW w:w="1030" w:type="dxa"/>
            <w:shd w:val="clear" w:color="auto" w:fill="auto"/>
            <w:noWrap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17F1E">
              <w:rPr>
                <w:sz w:val="18"/>
              </w:rPr>
              <w:t>2019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110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111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0A2967" w:rsidRPr="00B17F1E" w:rsidRDefault="000A2967" w:rsidP="00B17F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17F1E">
              <w:rPr>
                <w:sz w:val="18"/>
              </w:rPr>
              <w:t>100</w:t>
            </w:r>
          </w:p>
        </w:tc>
      </w:tr>
    </w:tbl>
    <w:p w:rsidR="000A2967" w:rsidRPr="00A413B4" w:rsidRDefault="000A2967" w:rsidP="00EB5B0A">
      <w:pPr>
        <w:pStyle w:val="H1G"/>
      </w:pPr>
      <w:r w:rsidRPr="00A413B4">
        <w:tab/>
        <w:t>AC.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(c)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71.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Education.</w:t>
      </w:r>
    </w:p>
    <w:p w:rsidR="000A2967" w:rsidRPr="00A413B4" w:rsidRDefault="000A2967" w:rsidP="00B17F1E">
      <w:pPr>
        <w:pStyle w:val="H23G"/>
      </w:pPr>
      <w:r w:rsidRPr="00A413B4">
        <w:tab/>
      </w:r>
      <w:r w:rsidRPr="00A413B4">
        <w:tab/>
        <w:t>Junior</w:t>
      </w:r>
      <w:r w:rsidR="00470EBF">
        <w:t xml:space="preserve"> </w:t>
      </w:r>
      <w:r w:rsidRPr="00A413B4">
        <w:t>Secondary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Enrolment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2017</w:t>
      </w:r>
      <w:r w:rsidR="000B3C22">
        <w:t>–</w:t>
      </w:r>
      <w:r w:rsidRPr="00A413B4">
        <w:t>2019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063"/>
        <w:gridCol w:w="1199"/>
        <w:gridCol w:w="1062"/>
        <w:gridCol w:w="1062"/>
        <w:gridCol w:w="1200"/>
        <w:gridCol w:w="1062"/>
      </w:tblGrid>
      <w:tr w:rsidR="000A2967" w:rsidRPr="00331AA6" w:rsidTr="00575225">
        <w:trPr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331AA6">
              <w:rPr>
                <w:i/>
                <w:sz w:val="16"/>
              </w:rPr>
              <w:t>Year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:rsidR="000A2967" w:rsidRPr="00331AA6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331AA6">
              <w:rPr>
                <w:i/>
                <w:sz w:val="16"/>
              </w:rPr>
              <w:t>GER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331AA6">
              <w:rPr>
                <w:i/>
                <w:sz w:val="16"/>
              </w:rPr>
              <w:t>NER</w:t>
            </w:r>
          </w:p>
        </w:tc>
      </w:tr>
      <w:tr w:rsidR="000A2967" w:rsidRPr="00575225" w:rsidTr="00575225">
        <w:trPr>
          <w:tblHeader/>
        </w:trPr>
        <w:tc>
          <w:tcPr>
            <w:tcW w:w="69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Male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Female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Male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Female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Total</w:t>
            </w:r>
          </w:p>
        </w:tc>
      </w:tr>
      <w:tr w:rsidR="000A2967" w:rsidRPr="00331AA6" w:rsidTr="00575225"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331AA6">
              <w:rPr>
                <w:sz w:val="18"/>
              </w:rPr>
              <w:t>2017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97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101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97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90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93</w:t>
            </w:r>
          </w:p>
        </w:tc>
      </w:tr>
      <w:tr w:rsidR="000A2967" w:rsidRPr="00331AA6" w:rsidTr="00331AA6">
        <w:tc>
          <w:tcPr>
            <w:tcW w:w="698" w:type="dxa"/>
            <w:shd w:val="clear" w:color="auto" w:fill="auto"/>
            <w:noWrap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331AA6">
              <w:rPr>
                <w:sz w:val="18"/>
              </w:rPr>
              <w:t>2018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97</w:t>
            </w:r>
          </w:p>
        </w:tc>
      </w:tr>
      <w:tr w:rsidR="000A2967" w:rsidRPr="00331AA6" w:rsidTr="00575225"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331AA6">
              <w:rPr>
                <w:sz w:val="18"/>
              </w:rPr>
              <w:t>2019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108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111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109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104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331AA6" w:rsidRDefault="000A2967" w:rsidP="00331AA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31AA6">
              <w:rPr>
                <w:sz w:val="18"/>
              </w:rPr>
              <w:t>102</w:t>
            </w:r>
          </w:p>
        </w:tc>
      </w:tr>
    </w:tbl>
    <w:p w:rsidR="000A2967" w:rsidRPr="00A413B4" w:rsidRDefault="000A2967" w:rsidP="003B747E">
      <w:pPr>
        <w:pStyle w:val="H23G"/>
      </w:pPr>
      <w:r w:rsidRPr="00A413B4">
        <w:lastRenderedPageBreak/>
        <w:tab/>
      </w:r>
      <w:r w:rsidRPr="00A413B4">
        <w:tab/>
        <w:t>Senior</w:t>
      </w:r>
      <w:r w:rsidR="00470EBF">
        <w:t xml:space="preserve"> </w:t>
      </w:r>
      <w:r w:rsidRPr="00A413B4">
        <w:t>Secondary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Enrolment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2014</w:t>
      </w:r>
      <w:r w:rsidR="000B3C22">
        <w:t>–</w:t>
      </w:r>
      <w:r w:rsidRPr="00A413B4">
        <w:t>2019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063"/>
        <w:gridCol w:w="1198"/>
        <w:gridCol w:w="1062"/>
        <w:gridCol w:w="1062"/>
        <w:gridCol w:w="1200"/>
        <w:gridCol w:w="1062"/>
      </w:tblGrid>
      <w:tr w:rsidR="000A2967" w:rsidRPr="00575225" w:rsidTr="00F67D41">
        <w:trPr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Year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610AB2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Gross</w:t>
            </w:r>
            <w:r w:rsidR="00470EBF" w:rsidRPr="00575225">
              <w:rPr>
                <w:i/>
                <w:sz w:val="16"/>
              </w:rPr>
              <w:t xml:space="preserve"> </w:t>
            </w:r>
            <w:r w:rsidRPr="00575225">
              <w:rPr>
                <w:i/>
                <w:sz w:val="16"/>
              </w:rPr>
              <w:t>Enrolment</w:t>
            </w:r>
            <w:r w:rsidR="00470EBF" w:rsidRPr="00575225">
              <w:rPr>
                <w:i/>
                <w:sz w:val="16"/>
              </w:rPr>
              <w:t xml:space="preserve"> </w:t>
            </w:r>
            <w:r w:rsidRPr="00575225">
              <w:rPr>
                <w:i/>
                <w:sz w:val="16"/>
              </w:rPr>
              <w:t>(%)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610AB2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575225">
              <w:rPr>
                <w:i/>
                <w:sz w:val="16"/>
              </w:rPr>
              <w:t>Net</w:t>
            </w:r>
            <w:r w:rsidR="00470EBF" w:rsidRPr="00575225">
              <w:rPr>
                <w:i/>
                <w:sz w:val="16"/>
              </w:rPr>
              <w:t xml:space="preserve"> </w:t>
            </w:r>
            <w:r w:rsidRPr="00575225">
              <w:rPr>
                <w:i/>
                <w:sz w:val="16"/>
              </w:rPr>
              <w:t>Enrolment</w:t>
            </w:r>
            <w:r w:rsidR="00470EBF" w:rsidRPr="00575225">
              <w:rPr>
                <w:i/>
                <w:sz w:val="16"/>
              </w:rPr>
              <w:t xml:space="preserve"> </w:t>
            </w:r>
            <w:r w:rsidRPr="00575225">
              <w:rPr>
                <w:i/>
                <w:sz w:val="16"/>
              </w:rPr>
              <w:t>(%)</w:t>
            </w:r>
          </w:p>
        </w:tc>
      </w:tr>
      <w:tr w:rsidR="000A2967" w:rsidRPr="00575225" w:rsidTr="00F67D41">
        <w:trPr>
          <w:tblHeader/>
        </w:trPr>
        <w:tc>
          <w:tcPr>
            <w:tcW w:w="72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3B747E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B747E">
              <w:rPr>
                <w:i/>
                <w:sz w:val="16"/>
              </w:rPr>
              <w:t>Male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3B747E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B747E">
              <w:rPr>
                <w:i/>
                <w:sz w:val="16"/>
              </w:rPr>
              <w:t>Female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:rsidR="000A2967" w:rsidRPr="003B747E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B747E">
              <w:rPr>
                <w:i/>
                <w:sz w:val="16"/>
              </w:rPr>
              <w:t>Total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3B747E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B747E">
              <w:rPr>
                <w:i/>
                <w:sz w:val="16"/>
              </w:rPr>
              <w:t>Male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3B747E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B747E">
              <w:rPr>
                <w:i/>
                <w:sz w:val="16"/>
              </w:rPr>
              <w:t>Female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3B747E" w:rsidRDefault="000A2967" w:rsidP="003B747E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B747E">
              <w:rPr>
                <w:i/>
                <w:sz w:val="16"/>
              </w:rPr>
              <w:t>Total</w:t>
            </w:r>
          </w:p>
        </w:tc>
      </w:tr>
      <w:tr w:rsidR="000A2967" w:rsidRPr="00575225" w:rsidTr="00610AB2"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75225">
              <w:rPr>
                <w:sz w:val="18"/>
              </w:rPr>
              <w:t>2017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63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76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69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58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69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3B747E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63</w:t>
            </w:r>
          </w:p>
        </w:tc>
      </w:tr>
      <w:tr w:rsidR="000A2967" w:rsidRPr="00575225" w:rsidTr="00575225">
        <w:tc>
          <w:tcPr>
            <w:tcW w:w="723" w:type="dxa"/>
            <w:shd w:val="clear" w:color="auto" w:fill="auto"/>
            <w:noWrap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75225">
              <w:rPr>
                <w:sz w:val="18"/>
              </w:rPr>
              <w:t>2018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64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65</w:t>
            </w:r>
          </w:p>
        </w:tc>
      </w:tr>
      <w:tr w:rsidR="000A2967" w:rsidRPr="00575225" w:rsidTr="00610AB2"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575225">
              <w:rPr>
                <w:sz w:val="18"/>
              </w:rPr>
              <w:t>2019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79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85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82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72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76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575225" w:rsidRDefault="000A2967" w:rsidP="0057522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575225">
              <w:rPr>
                <w:sz w:val="18"/>
              </w:rPr>
              <w:t>74</w:t>
            </w:r>
          </w:p>
        </w:tc>
      </w:tr>
    </w:tbl>
    <w:p w:rsidR="000A2967" w:rsidRPr="00A413B4" w:rsidRDefault="000A2967" w:rsidP="00071A54">
      <w:pPr>
        <w:pStyle w:val="H23G"/>
      </w:pPr>
      <w:r w:rsidRPr="00A413B4">
        <w:tab/>
      </w:r>
      <w:r w:rsidRPr="00A413B4">
        <w:tab/>
        <w:t>Total</w:t>
      </w:r>
      <w:r w:rsidR="00470EBF">
        <w:t xml:space="preserve"> </w:t>
      </w:r>
      <w:r w:rsidRPr="00A413B4">
        <w:t>Secondary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Enrolment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Years</w:t>
      </w:r>
      <w:r w:rsidR="00470EBF">
        <w:t xml:space="preserve"> </w:t>
      </w:r>
      <w:r w:rsidRPr="00A413B4">
        <w:t>2014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2019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063"/>
        <w:gridCol w:w="1208"/>
        <w:gridCol w:w="1063"/>
        <w:gridCol w:w="1064"/>
        <w:gridCol w:w="1208"/>
        <w:gridCol w:w="1062"/>
      </w:tblGrid>
      <w:tr w:rsidR="000A2967" w:rsidRPr="00F67D41" w:rsidTr="00F67D41">
        <w:trPr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Year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Gross</w:t>
            </w:r>
            <w:r w:rsidR="00470EBF" w:rsidRPr="00F67D41">
              <w:rPr>
                <w:i/>
                <w:sz w:val="16"/>
              </w:rPr>
              <w:t xml:space="preserve"> </w:t>
            </w:r>
            <w:r w:rsidRPr="00F67D41">
              <w:rPr>
                <w:i/>
                <w:sz w:val="16"/>
              </w:rPr>
              <w:t>Enrolment</w:t>
            </w:r>
            <w:r w:rsidR="00470EBF" w:rsidRPr="00F67D41">
              <w:rPr>
                <w:i/>
                <w:sz w:val="16"/>
              </w:rPr>
              <w:t xml:space="preserve"> </w:t>
            </w:r>
            <w:r w:rsidRPr="00F67D41">
              <w:rPr>
                <w:i/>
                <w:sz w:val="16"/>
              </w:rPr>
              <w:t>(%)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Net</w:t>
            </w:r>
            <w:r w:rsidR="00470EBF" w:rsidRPr="00F67D41">
              <w:rPr>
                <w:i/>
                <w:sz w:val="16"/>
              </w:rPr>
              <w:t xml:space="preserve"> </w:t>
            </w:r>
            <w:r w:rsidRPr="00F67D41">
              <w:rPr>
                <w:i/>
                <w:sz w:val="16"/>
              </w:rPr>
              <w:t>Enrolment</w:t>
            </w:r>
            <w:r w:rsidR="00470EBF" w:rsidRPr="00F67D41">
              <w:rPr>
                <w:i/>
                <w:sz w:val="16"/>
              </w:rPr>
              <w:t xml:space="preserve"> </w:t>
            </w:r>
            <w:r w:rsidRPr="00F67D41">
              <w:rPr>
                <w:i/>
                <w:sz w:val="16"/>
              </w:rPr>
              <w:t>(%)</w:t>
            </w:r>
          </w:p>
        </w:tc>
      </w:tr>
      <w:tr w:rsidR="000A2967" w:rsidRPr="00F67D41" w:rsidTr="00F67D41">
        <w:trPr>
          <w:tblHeader/>
        </w:trPr>
        <w:tc>
          <w:tcPr>
            <w:tcW w:w="72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Male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Female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Male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Female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F67D41" w:rsidRDefault="000A2967" w:rsidP="00F67D41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F67D41">
              <w:rPr>
                <w:i/>
                <w:sz w:val="16"/>
              </w:rPr>
              <w:t>Total</w:t>
            </w:r>
          </w:p>
        </w:tc>
      </w:tr>
      <w:tr w:rsidR="000A2967" w:rsidRPr="00F67D41" w:rsidTr="00F67D41"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67D41">
              <w:rPr>
                <w:sz w:val="18"/>
              </w:rPr>
              <w:t>2017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86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88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87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80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81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81</w:t>
            </w:r>
          </w:p>
        </w:tc>
      </w:tr>
      <w:tr w:rsidR="000A2967" w:rsidRPr="00F67D41" w:rsidTr="00F67D41">
        <w:tc>
          <w:tcPr>
            <w:tcW w:w="727" w:type="dxa"/>
            <w:shd w:val="clear" w:color="auto" w:fill="auto"/>
            <w:noWrap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67D41">
              <w:rPr>
                <w:sz w:val="18"/>
              </w:rPr>
              <w:t>2018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83</w:t>
            </w:r>
          </w:p>
        </w:tc>
      </w:tr>
      <w:tr w:rsidR="000A2967" w:rsidRPr="00F67D41" w:rsidTr="00F67D41">
        <w:tc>
          <w:tcPr>
            <w:tcW w:w="727" w:type="dxa"/>
            <w:shd w:val="clear" w:color="auto" w:fill="auto"/>
            <w:noWrap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F67D41">
              <w:rPr>
                <w:sz w:val="18"/>
              </w:rPr>
              <w:t>2019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96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89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0A2967" w:rsidRPr="00F67D41" w:rsidRDefault="000A2967" w:rsidP="00F67D4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F67D41">
              <w:rPr>
                <w:sz w:val="18"/>
              </w:rPr>
              <w:t>91</w:t>
            </w:r>
          </w:p>
        </w:tc>
      </w:tr>
    </w:tbl>
    <w:p w:rsidR="000A2967" w:rsidRPr="00A413B4" w:rsidRDefault="000A2967" w:rsidP="00B7257E">
      <w:pPr>
        <w:pStyle w:val="H1G"/>
      </w:pPr>
      <w:r w:rsidRPr="00A413B4">
        <w:tab/>
        <w:t>AD.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(d)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72.</w:t>
      </w:r>
      <w:r w:rsidRPr="00A413B4">
        <w:tab/>
        <w:t>The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provides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inclusive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system;</w:t>
      </w:r>
      <w:r w:rsidR="00470EBF">
        <w:t xml:space="preserve"> </w:t>
      </w:r>
      <w:r w:rsidRPr="00A413B4">
        <w:t>therefore,</w:t>
      </w:r>
      <w:r w:rsidR="00470EBF">
        <w:t xml:space="preserve"> </w:t>
      </w:r>
      <w:r w:rsidRPr="00A413B4">
        <w:t>no</w:t>
      </w:r>
      <w:r w:rsidR="00470EBF">
        <w:t xml:space="preserve"> </w:t>
      </w:r>
      <w:r w:rsidRPr="00A413B4">
        <w:t>special</w:t>
      </w:r>
      <w:r w:rsidR="00470EBF">
        <w:t xml:space="preserve"> </w:t>
      </w:r>
      <w:r w:rsidRPr="00A413B4">
        <w:t>schools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operation.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lastRenderedPageBreak/>
        <w:drawing>
          <wp:inline distT="0" distB="0" distL="0" distR="0" wp14:anchorId="062364CC" wp14:editId="16DE8B0E">
            <wp:extent cx="4761781" cy="562229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83" cy="569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7" w:rsidRPr="00A413B4" w:rsidRDefault="000A2967" w:rsidP="00B7257E">
      <w:pPr>
        <w:pStyle w:val="H23G"/>
      </w:pPr>
      <w:r w:rsidRPr="00A413B4">
        <w:tab/>
      </w:r>
      <w:r w:rsidRPr="00A413B4">
        <w:tab/>
        <w:t>2019</w:t>
      </w:r>
      <w:r w:rsidR="00470EBF">
        <w:t xml:space="preserve"> </w:t>
      </w:r>
      <w:r w:rsidRPr="00A413B4">
        <w:t>Student</w:t>
      </w:r>
      <w:r w:rsidR="00470EBF">
        <w:t xml:space="preserve"> </w:t>
      </w:r>
      <w:r w:rsidRPr="00A413B4">
        <w:t>Learning</w:t>
      </w:r>
      <w:r w:rsidR="00470EBF">
        <w:t xml:space="preserve"> </w:t>
      </w:r>
      <w:r w:rsidRPr="00A413B4">
        <w:t>needs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26"/>
        <w:gridCol w:w="1226"/>
        <w:gridCol w:w="1226"/>
        <w:gridCol w:w="1227"/>
        <w:gridCol w:w="1189"/>
      </w:tblGrid>
      <w:tr w:rsidR="000A2967" w:rsidRPr="00B7257E" w:rsidTr="00C55ADC">
        <w:trPr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Year</w:t>
            </w:r>
            <w:r w:rsidR="00470EBF" w:rsidRPr="00B7257E">
              <w:rPr>
                <w:i/>
                <w:sz w:val="16"/>
              </w:rPr>
              <w:t xml:space="preserve"> </w:t>
            </w:r>
            <w:r w:rsidRPr="00B7257E">
              <w:rPr>
                <w:i/>
                <w:sz w:val="16"/>
              </w:rPr>
              <w:t>Level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Student</w:t>
            </w:r>
            <w:r w:rsidR="00470EBF" w:rsidRPr="00B7257E">
              <w:rPr>
                <w:i/>
                <w:sz w:val="16"/>
              </w:rPr>
              <w:t xml:space="preserve"> </w:t>
            </w:r>
            <w:r w:rsidRPr="00B7257E">
              <w:rPr>
                <w:i/>
                <w:sz w:val="16"/>
              </w:rPr>
              <w:t>Needs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Grand</w:t>
            </w:r>
            <w:r w:rsidR="00470EBF" w:rsidRPr="00B7257E">
              <w:rPr>
                <w:i/>
                <w:sz w:val="16"/>
              </w:rPr>
              <w:t xml:space="preserve"> </w:t>
            </w:r>
            <w:r w:rsidRPr="00B7257E">
              <w:rPr>
                <w:i/>
                <w:sz w:val="16"/>
              </w:rPr>
              <w:t>Total</w:t>
            </w:r>
          </w:p>
        </w:tc>
      </w:tr>
      <w:tr w:rsidR="000A2967" w:rsidRPr="00B7257E" w:rsidTr="00047BA4">
        <w:trPr>
          <w:tblHeader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Physical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Learning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Multiple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7257E">
              <w:rPr>
                <w:i/>
                <w:sz w:val="16"/>
              </w:rPr>
              <w:t>Medical</w:t>
            </w: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0A2967" w:rsidRPr="00B7257E" w:rsidTr="00047BA4"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ECE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3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4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5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8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5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8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18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12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17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15</w:t>
            </w:r>
          </w:p>
        </w:tc>
      </w:tr>
      <w:tr w:rsidR="000A2967" w:rsidRPr="00B7257E" w:rsidTr="00047BA4">
        <w:tc>
          <w:tcPr>
            <w:tcW w:w="1276" w:type="dxa"/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5</w:t>
            </w:r>
          </w:p>
        </w:tc>
      </w:tr>
      <w:tr w:rsidR="000A2967" w:rsidRPr="00B7257E" w:rsidTr="00047BA4"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11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</w:tr>
      <w:tr w:rsidR="000A2967" w:rsidRPr="00B7257E" w:rsidTr="00047BA4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12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</w:tr>
      <w:tr w:rsidR="000A2967" w:rsidRPr="00B7257E" w:rsidTr="00047BA4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7257E">
              <w:rPr>
                <w:sz w:val="18"/>
              </w:rPr>
              <w:lastRenderedPageBreak/>
              <w:t>Year</w:t>
            </w:r>
            <w:r w:rsidR="00470EBF" w:rsidRPr="00B7257E">
              <w:rPr>
                <w:sz w:val="18"/>
              </w:rPr>
              <w:t xml:space="preserve"> </w:t>
            </w:r>
            <w:r w:rsidRPr="00B7257E">
              <w:rPr>
                <w:sz w:val="18"/>
              </w:rPr>
              <w:t>13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1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7257E" w:rsidRDefault="000A2967" w:rsidP="00B725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7257E">
              <w:rPr>
                <w:sz w:val="18"/>
              </w:rPr>
              <w:t>2</w:t>
            </w:r>
          </w:p>
        </w:tc>
      </w:tr>
      <w:tr w:rsidR="000A2967" w:rsidRPr="00C55ADC" w:rsidTr="00047BA4"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C55ADC" w:rsidRDefault="000A2967" w:rsidP="004A6216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C55ADC">
              <w:rPr>
                <w:b/>
                <w:sz w:val="18"/>
              </w:rPr>
              <w:t>Grand</w:t>
            </w:r>
            <w:r w:rsidR="00470EBF" w:rsidRPr="00C55ADC">
              <w:rPr>
                <w:b/>
                <w:sz w:val="18"/>
              </w:rPr>
              <w:t xml:space="preserve"> </w:t>
            </w:r>
            <w:r w:rsidRPr="00C55ADC">
              <w:rPr>
                <w:b/>
                <w:sz w:val="18"/>
              </w:rPr>
              <w:t>Total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C55ADC" w:rsidRDefault="000A2967" w:rsidP="00C55AD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55ADC">
              <w:rPr>
                <w:b/>
                <w:sz w:val="1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C55ADC" w:rsidRDefault="000A2967" w:rsidP="00C55AD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55ADC">
              <w:rPr>
                <w:b/>
                <w:sz w:val="18"/>
              </w:rPr>
              <w:t>59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C55ADC" w:rsidRDefault="000A2967" w:rsidP="00C55AD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55ADC">
              <w:rPr>
                <w:b/>
                <w:sz w:val="18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C55ADC" w:rsidRDefault="000A2967" w:rsidP="00C55AD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55ADC">
              <w:rPr>
                <w:b/>
                <w:sz w:val="18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C55ADC" w:rsidRDefault="000A2967" w:rsidP="00C55AD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55ADC">
              <w:rPr>
                <w:b/>
                <w:sz w:val="18"/>
              </w:rPr>
              <w:t>104</w:t>
            </w:r>
          </w:p>
        </w:tc>
      </w:tr>
    </w:tbl>
    <w:p w:rsidR="000A2967" w:rsidRPr="00A413B4" w:rsidRDefault="00F50DC4" w:rsidP="00F50DC4">
      <w:pPr>
        <w:pStyle w:val="H23G"/>
      </w:pPr>
      <w:r>
        <w:tab/>
      </w:r>
      <w:r>
        <w:tab/>
      </w:r>
      <w:r w:rsidRPr="00A413B4">
        <w:t>2018</w:t>
      </w:r>
      <w:r>
        <w:t xml:space="preserve"> </w:t>
      </w:r>
      <w:r w:rsidRPr="00A413B4">
        <w:t>Total</w:t>
      </w:r>
      <w:r>
        <w:t xml:space="preserve"> </w:t>
      </w:r>
      <w:r w:rsidRPr="00A413B4">
        <w:t>Students</w:t>
      </w:r>
      <w:r>
        <w:t xml:space="preserve"> </w:t>
      </w:r>
      <w:r w:rsidRPr="00A413B4">
        <w:t>by</w:t>
      </w:r>
      <w:r>
        <w:t xml:space="preserve"> </w:t>
      </w:r>
      <w:r w:rsidRPr="00A413B4">
        <w:t>Level</w:t>
      </w:r>
      <w:r>
        <w:t xml:space="preserve"> </w:t>
      </w:r>
      <w:r w:rsidRPr="00A413B4">
        <w:t>and</w:t>
      </w:r>
      <w:r>
        <w:t xml:space="preserve"> </w:t>
      </w:r>
      <w:r w:rsidRPr="00A413B4">
        <w:t>Student</w:t>
      </w:r>
      <w:r>
        <w:t xml:space="preserve"> </w:t>
      </w:r>
      <w:r w:rsidRPr="00A413B4">
        <w:t>Needs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39"/>
        <w:gridCol w:w="1029"/>
        <w:gridCol w:w="1191"/>
        <w:gridCol w:w="1081"/>
        <w:gridCol w:w="1413"/>
      </w:tblGrid>
      <w:tr w:rsidR="000A2967" w:rsidRPr="000816C1" w:rsidTr="00BA101E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0816C1">
              <w:rPr>
                <w:i/>
                <w:sz w:val="16"/>
              </w:rPr>
              <w:t>Year</w:t>
            </w:r>
            <w:r w:rsidR="00470EBF" w:rsidRPr="000816C1">
              <w:rPr>
                <w:i/>
                <w:sz w:val="16"/>
              </w:rPr>
              <w:t xml:space="preserve"> </w:t>
            </w:r>
            <w:r w:rsidRPr="000816C1">
              <w:rPr>
                <w:i/>
                <w:sz w:val="16"/>
              </w:rPr>
              <w:t>Level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816C1">
              <w:rPr>
                <w:i/>
                <w:sz w:val="16"/>
              </w:rPr>
              <w:t>Physical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816C1">
              <w:rPr>
                <w:i/>
                <w:sz w:val="16"/>
              </w:rPr>
              <w:t>Learning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816C1">
              <w:rPr>
                <w:i/>
                <w:sz w:val="16"/>
              </w:rPr>
              <w:t>Multiple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816C1">
              <w:rPr>
                <w:i/>
                <w:sz w:val="16"/>
              </w:rPr>
              <w:t>Medical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816C1">
              <w:rPr>
                <w:i/>
                <w:sz w:val="16"/>
              </w:rPr>
              <w:t>Grand</w:t>
            </w:r>
            <w:r w:rsidR="00470EBF" w:rsidRPr="000816C1">
              <w:rPr>
                <w:i/>
                <w:sz w:val="16"/>
              </w:rPr>
              <w:t xml:space="preserve"> </w:t>
            </w:r>
            <w:r w:rsidRPr="000816C1">
              <w:rPr>
                <w:i/>
                <w:sz w:val="16"/>
              </w:rPr>
              <w:t>Total</w:t>
            </w:r>
          </w:p>
        </w:tc>
      </w:tr>
      <w:tr w:rsidR="000A2967" w:rsidRPr="000816C1" w:rsidTr="00BA101E"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ECE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  <w:r w:rsidR="00470EBF" w:rsidRPr="000816C1">
              <w:rPr>
                <w:sz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6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10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9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  <w:r w:rsidR="00470EBF" w:rsidRPr="000816C1">
              <w:rPr>
                <w:sz w:val="18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9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19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17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5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5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816C1">
              <w:rPr>
                <w:sz w:val="18"/>
              </w:rPr>
              <w:t>Year</w:t>
            </w:r>
            <w:r w:rsidR="00470EBF" w:rsidRPr="000816C1">
              <w:rPr>
                <w:sz w:val="18"/>
              </w:rPr>
              <w:t xml:space="preserve"> </w:t>
            </w:r>
            <w:r w:rsidRPr="000816C1">
              <w:rPr>
                <w:sz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816C1">
              <w:rPr>
                <w:sz w:val="18"/>
              </w:rPr>
              <w:t>3</w:t>
            </w:r>
            <w:r w:rsidR="00470EBF" w:rsidRPr="000816C1">
              <w:rPr>
                <w:sz w:val="18"/>
              </w:rPr>
              <w:t xml:space="preserve"> </w:t>
            </w:r>
          </w:p>
        </w:tc>
      </w:tr>
      <w:tr w:rsidR="000A2967" w:rsidRPr="000816C1" w:rsidTr="00BA101E"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0816C1">
              <w:rPr>
                <w:b/>
                <w:sz w:val="18"/>
              </w:rPr>
              <w:t>Grand</w:t>
            </w:r>
            <w:r w:rsidR="00470EBF" w:rsidRPr="000816C1">
              <w:rPr>
                <w:b/>
                <w:sz w:val="18"/>
              </w:rPr>
              <w:t xml:space="preserve"> </w:t>
            </w:r>
            <w:r w:rsidRPr="000816C1">
              <w:rPr>
                <w:b/>
                <w:sz w:val="18"/>
              </w:rPr>
              <w:t>Total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0816C1">
              <w:rPr>
                <w:b/>
                <w:sz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0816C1">
              <w:rPr>
                <w:b/>
                <w:sz w:val="18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0816C1">
              <w:rPr>
                <w:b/>
                <w:sz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0816C1">
              <w:rPr>
                <w:b/>
                <w:sz w:val="18"/>
              </w:rPr>
              <w:t>32</w:t>
            </w:r>
            <w:r w:rsidR="00470EBF" w:rsidRPr="000816C1">
              <w:rPr>
                <w:b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0816C1" w:rsidRDefault="000A2967" w:rsidP="000816C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0816C1">
              <w:rPr>
                <w:b/>
                <w:sz w:val="18"/>
              </w:rPr>
              <w:t>95</w:t>
            </w:r>
            <w:r w:rsidR="00470EBF" w:rsidRPr="000816C1">
              <w:rPr>
                <w:b/>
                <w:sz w:val="18"/>
              </w:rPr>
              <w:t xml:space="preserve"> </w:t>
            </w:r>
          </w:p>
        </w:tc>
      </w:tr>
    </w:tbl>
    <w:p w:rsidR="000A2967" w:rsidRPr="00A413B4" w:rsidRDefault="00BA101E" w:rsidP="00BA101E">
      <w:pPr>
        <w:pStyle w:val="H23G"/>
      </w:pPr>
      <w:r>
        <w:tab/>
      </w:r>
      <w:r>
        <w:tab/>
      </w:r>
      <w:r w:rsidRPr="00A413B4">
        <w:t>2018</w:t>
      </w:r>
      <w:r>
        <w:t xml:space="preserve"> </w:t>
      </w:r>
      <w:r w:rsidRPr="00A413B4">
        <w:t>School</w:t>
      </w:r>
      <w:r>
        <w:t xml:space="preserve"> </w:t>
      </w:r>
      <w:r w:rsidRPr="00A413B4">
        <w:t>Status</w:t>
      </w:r>
      <w:r>
        <w:t xml:space="preserve"> </w:t>
      </w:r>
      <w:r w:rsidRPr="00A413B4">
        <w:t>Government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26"/>
        <w:gridCol w:w="122"/>
        <w:gridCol w:w="705"/>
        <w:gridCol w:w="48"/>
        <w:gridCol w:w="779"/>
        <w:gridCol w:w="159"/>
        <w:gridCol w:w="668"/>
        <w:gridCol w:w="95"/>
        <w:gridCol w:w="732"/>
        <w:gridCol w:w="206"/>
        <w:gridCol w:w="621"/>
        <w:gridCol w:w="709"/>
      </w:tblGrid>
      <w:tr w:rsidR="000A2967" w:rsidRPr="00BA101E" w:rsidTr="00047BA4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Student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Needs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Rarotonga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Southern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Group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Northern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Group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Total</w:t>
            </w:r>
          </w:p>
        </w:tc>
      </w:tr>
      <w:tr w:rsidR="000A2967" w:rsidRPr="00BA101E" w:rsidTr="00047BA4">
        <w:trPr>
          <w:tblHeader/>
        </w:trPr>
        <w:tc>
          <w:tcPr>
            <w:tcW w:w="170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0A2967" w:rsidRPr="00BA101E" w:rsidTr="00047BA4"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Physical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7</w:t>
            </w:r>
          </w:p>
        </w:tc>
      </w:tr>
      <w:tr w:rsidR="000A2967" w:rsidRPr="00BA101E" w:rsidTr="00047BA4">
        <w:tc>
          <w:tcPr>
            <w:tcW w:w="1700" w:type="dxa"/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Learning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21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14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45</w:t>
            </w:r>
          </w:p>
        </w:tc>
      </w:tr>
      <w:tr w:rsidR="000A2967" w:rsidRPr="00BA101E" w:rsidTr="00047BA4">
        <w:tc>
          <w:tcPr>
            <w:tcW w:w="1700" w:type="dxa"/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Multiple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</w:tr>
      <w:tr w:rsidR="000A2967" w:rsidRPr="00BA101E" w:rsidTr="00047BA4"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Medical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11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18</w:t>
            </w:r>
          </w:p>
        </w:tc>
      </w:tr>
      <w:tr w:rsidR="000A2967" w:rsidRPr="004A6216" w:rsidTr="00047BA4"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Grand</w:t>
            </w:r>
            <w:r w:rsidR="00470EBF" w:rsidRPr="004A6216">
              <w:rPr>
                <w:b/>
                <w:sz w:val="18"/>
              </w:rPr>
              <w:t xml:space="preserve"> </w:t>
            </w:r>
            <w:r w:rsidRPr="004A6216">
              <w:rPr>
                <w:b/>
                <w:sz w:val="18"/>
              </w:rPr>
              <w:t>Total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5</w:t>
            </w:r>
            <w:r w:rsidR="00470EBF" w:rsidRPr="004A6216">
              <w:rPr>
                <w:b/>
                <w:sz w:val="18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33</w:t>
            </w:r>
            <w:r w:rsidR="00470EBF" w:rsidRPr="004A6216">
              <w:rPr>
                <w:b/>
                <w:sz w:val="18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11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20</w:t>
            </w:r>
            <w:r w:rsidR="00470EBF" w:rsidRPr="004A6216">
              <w:rPr>
                <w:b/>
                <w:sz w:val="18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4A6216" w:rsidRDefault="000A2967" w:rsidP="004A621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6216">
              <w:rPr>
                <w:b/>
                <w:sz w:val="18"/>
              </w:rPr>
              <w:t>73</w:t>
            </w:r>
            <w:r w:rsidR="00470EBF" w:rsidRPr="004A6216">
              <w:rPr>
                <w:b/>
                <w:sz w:val="18"/>
              </w:rPr>
              <w:t xml:space="preserve"> </w:t>
            </w:r>
          </w:p>
        </w:tc>
      </w:tr>
      <w:tr w:rsidR="000A2967" w:rsidRPr="00BA101E" w:rsidTr="00047BA4">
        <w:tc>
          <w:tcPr>
            <w:tcW w:w="7370" w:type="dxa"/>
            <w:gridSpan w:val="13"/>
            <w:tcBorders>
              <w:top w:val="single" w:sz="12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H23G"/>
            </w:pPr>
            <w:r w:rsidRPr="00BA101E">
              <w:t>2018</w:t>
            </w:r>
            <w:r w:rsidR="00470EBF" w:rsidRPr="00BA101E">
              <w:t xml:space="preserve"> </w:t>
            </w:r>
            <w:r w:rsidRPr="00BA101E">
              <w:t>School</w:t>
            </w:r>
            <w:r w:rsidR="00470EBF" w:rsidRPr="00BA101E">
              <w:t xml:space="preserve"> </w:t>
            </w:r>
            <w:r w:rsidRPr="00BA101E">
              <w:t>Status</w:t>
            </w:r>
            <w:r w:rsidR="00470EBF" w:rsidRPr="00BA101E">
              <w:t xml:space="preserve"> </w:t>
            </w:r>
            <w:r w:rsidRPr="00BA101E">
              <w:t>Private</w:t>
            </w:r>
          </w:p>
        </w:tc>
      </w:tr>
      <w:tr w:rsidR="000A2967" w:rsidRPr="00BA101E" w:rsidTr="004A6216">
        <w:tc>
          <w:tcPr>
            <w:tcW w:w="170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i/>
                <w:sz w:val="16"/>
              </w:rPr>
              <w:t>Student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Needs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Rarotonga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Southern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Group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Northern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Group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Total</w:t>
            </w:r>
          </w:p>
        </w:tc>
      </w:tr>
      <w:tr w:rsidR="000A2967" w:rsidRPr="00BA101E" w:rsidTr="004A6216">
        <w:tc>
          <w:tcPr>
            <w:tcW w:w="170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753" w:type="dxa"/>
            <w:gridSpan w:val="2"/>
            <w:tcBorders>
              <w:top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938" w:type="dxa"/>
            <w:gridSpan w:val="2"/>
            <w:tcBorders>
              <w:top w:val="nil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763" w:type="dxa"/>
            <w:gridSpan w:val="2"/>
            <w:tcBorders>
              <w:top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938" w:type="dxa"/>
            <w:gridSpan w:val="2"/>
            <w:tcBorders>
              <w:top w:val="nil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62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0A2967" w:rsidRPr="00BA101E" w:rsidTr="00047BA4"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Learning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  <w:r w:rsidR="00470EBF" w:rsidRPr="00BA101E">
              <w:rPr>
                <w:sz w:val="1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6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BA101E" w:rsidTr="00047BA4">
        <w:tc>
          <w:tcPr>
            <w:tcW w:w="1700" w:type="dxa"/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Multiple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  <w:r w:rsidR="00470EBF" w:rsidRPr="00BA101E">
              <w:rPr>
                <w:sz w:val="18"/>
              </w:rPr>
              <w:t xml:space="preserve"> 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BA101E" w:rsidTr="00B01006"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Medical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6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8</w:t>
            </w:r>
            <w:r w:rsidR="00470EBF" w:rsidRPr="00BA101E">
              <w:rPr>
                <w:sz w:val="1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14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B01006" w:rsidTr="00B01006"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Grand</w:t>
            </w:r>
            <w:r w:rsidR="00470EBF" w:rsidRPr="00B01006">
              <w:rPr>
                <w:b/>
                <w:sz w:val="18"/>
              </w:rPr>
              <w:t xml:space="preserve"> </w:t>
            </w:r>
            <w:r w:rsidRPr="00B01006">
              <w:rPr>
                <w:b/>
                <w:sz w:val="18"/>
              </w:rPr>
              <w:t>Total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01006" w:rsidRDefault="000A2967" w:rsidP="00B01006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B01006">
              <w:rPr>
                <w:b/>
                <w:sz w:val="18"/>
              </w:rPr>
              <w:t>22</w:t>
            </w:r>
          </w:p>
        </w:tc>
      </w:tr>
      <w:tr w:rsidR="000A2967" w:rsidRPr="00BA101E" w:rsidTr="00B01006">
        <w:tc>
          <w:tcPr>
            <w:tcW w:w="7370" w:type="dxa"/>
            <w:gridSpan w:val="13"/>
            <w:tcBorders>
              <w:top w:val="single" w:sz="12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H23G"/>
            </w:pPr>
            <w:r w:rsidRPr="00BA101E">
              <w:t>2018</w:t>
            </w:r>
            <w:r w:rsidR="00470EBF" w:rsidRPr="00BA101E">
              <w:t xml:space="preserve"> </w:t>
            </w:r>
            <w:r w:rsidRPr="00BA101E">
              <w:t>School</w:t>
            </w:r>
            <w:r w:rsidR="00470EBF" w:rsidRPr="00BA101E">
              <w:t xml:space="preserve"> </w:t>
            </w:r>
            <w:r w:rsidRPr="00BA101E">
              <w:t>Status</w:t>
            </w:r>
            <w:r w:rsidR="00470EBF" w:rsidRPr="00BA101E">
              <w:t xml:space="preserve"> </w:t>
            </w:r>
            <w:r w:rsidRPr="00BA101E">
              <w:t>Government</w:t>
            </w:r>
            <w:r w:rsidR="00470EBF" w:rsidRPr="00BA101E">
              <w:t xml:space="preserve"> </w:t>
            </w:r>
            <w:r w:rsidRPr="00BA101E">
              <w:t>and</w:t>
            </w:r>
            <w:r w:rsidR="00470EBF" w:rsidRPr="00BA101E">
              <w:t xml:space="preserve"> </w:t>
            </w:r>
            <w:r w:rsidRPr="00BA101E">
              <w:t>Private</w:t>
            </w:r>
          </w:p>
        </w:tc>
      </w:tr>
      <w:tr w:rsidR="000A2967" w:rsidRPr="00BA101E" w:rsidTr="008C541B">
        <w:tc>
          <w:tcPr>
            <w:tcW w:w="170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i/>
                <w:sz w:val="16"/>
              </w:rPr>
              <w:t>Student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Needs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Rarotonga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Southern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Group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Northern</w:t>
            </w:r>
            <w:r w:rsidR="00470EBF" w:rsidRPr="00BA101E">
              <w:rPr>
                <w:i/>
                <w:sz w:val="16"/>
              </w:rPr>
              <w:t xml:space="preserve"> </w:t>
            </w:r>
            <w:r w:rsidRPr="00BA101E">
              <w:rPr>
                <w:i/>
                <w:sz w:val="16"/>
              </w:rPr>
              <w:t>Group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Total</w:t>
            </w:r>
          </w:p>
        </w:tc>
      </w:tr>
      <w:tr w:rsidR="000A2967" w:rsidRPr="00BA101E" w:rsidTr="008C541B">
        <w:tc>
          <w:tcPr>
            <w:tcW w:w="170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827" w:type="dxa"/>
            <w:gridSpan w:val="2"/>
            <w:tcBorders>
              <w:top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827" w:type="dxa"/>
            <w:gridSpan w:val="2"/>
            <w:tcBorders>
              <w:top w:val="nil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827" w:type="dxa"/>
            <w:gridSpan w:val="2"/>
            <w:tcBorders>
              <w:top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827" w:type="dxa"/>
            <w:gridSpan w:val="2"/>
            <w:tcBorders>
              <w:top w:val="nil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Female</w:t>
            </w:r>
          </w:p>
        </w:tc>
        <w:tc>
          <w:tcPr>
            <w:tcW w:w="8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BA101E">
              <w:rPr>
                <w:i/>
                <w:sz w:val="16"/>
              </w:rPr>
              <w:t>Male</w:t>
            </w: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0A2967" w:rsidRPr="00BA101E" w:rsidTr="008C541B">
        <w:tc>
          <w:tcPr>
            <w:tcW w:w="170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Physical</w:t>
            </w:r>
          </w:p>
        </w:tc>
        <w:tc>
          <w:tcPr>
            <w:tcW w:w="82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7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BA101E" w:rsidTr="008C541B">
        <w:tc>
          <w:tcPr>
            <w:tcW w:w="1700" w:type="dxa"/>
            <w:tcBorders>
              <w:top w:val="nil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lastRenderedPageBreak/>
              <w:t>Learning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24</w:t>
            </w:r>
          </w:p>
        </w:tc>
        <w:tc>
          <w:tcPr>
            <w:tcW w:w="8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5</w:t>
            </w:r>
          </w:p>
        </w:tc>
        <w:tc>
          <w:tcPr>
            <w:tcW w:w="8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15</w:t>
            </w:r>
          </w:p>
        </w:tc>
        <w:tc>
          <w:tcPr>
            <w:tcW w:w="8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51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BA101E" w:rsidTr="008C541B">
        <w:tc>
          <w:tcPr>
            <w:tcW w:w="1700" w:type="dxa"/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Multiple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5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BA101E" w:rsidTr="008C541B"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BA101E">
              <w:rPr>
                <w:sz w:val="18"/>
              </w:rPr>
              <w:t>Medical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8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19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67" w:rsidRPr="00BA101E" w:rsidRDefault="000A2967" w:rsidP="00BA101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BA101E">
              <w:rPr>
                <w:sz w:val="18"/>
              </w:rPr>
              <w:t>32</w:t>
            </w:r>
            <w:r w:rsidR="00470EBF" w:rsidRPr="00BA101E">
              <w:rPr>
                <w:sz w:val="18"/>
              </w:rPr>
              <w:t xml:space="preserve"> </w:t>
            </w:r>
          </w:p>
        </w:tc>
      </w:tr>
      <w:tr w:rsidR="000A2967" w:rsidRPr="008C541B" w:rsidTr="008C541B"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Grand</w:t>
            </w:r>
            <w:r w:rsidR="00470EBF" w:rsidRPr="008C541B">
              <w:rPr>
                <w:b/>
                <w:sz w:val="18"/>
              </w:rPr>
              <w:t xml:space="preserve"> </w:t>
            </w:r>
            <w:r w:rsidRPr="008C541B">
              <w:rPr>
                <w:b/>
                <w:sz w:val="18"/>
              </w:rPr>
              <w:t>Total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14</w:t>
            </w:r>
            <w:r w:rsidR="00470EBF" w:rsidRPr="008C541B">
              <w:rPr>
                <w:b/>
                <w:sz w:val="18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45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11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21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967" w:rsidRPr="008C541B" w:rsidRDefault="000A2967" w:rsidP="008C54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8C541B">
              <w:rPr>
                <w:b/>
                <w:sz w:val="18"/>
              </w:rPr>
              <w:t>95</w:t>
            </w:r>
          </w:p>
        </w:tc>
      </w:tr>
    </w:tbl>
    <w:p w:rsidR="000A2967" w:rsidRPr="00A413B4" w:rsidRDefault="000A2967" w:rsidP="0023697D">
      <w:pPr>
        <w:pStyle w:val="H1G"/>
      </w:pPr>
      <w:r w:rsidRPr="00A413B4">
        <w:tab/>
        <w:t>AE.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(e)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73.</w:t>
      </w:r>
      <w:r w:rsidRPr="00A413B4">
        <w:tab/>
        <w:t>Source: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Education.</w:t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7289513E" wp14:editId="18FEBF2F">
            <wp:extent cx="4743450" cy="34514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39" cy="34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7" w:rsidRPr="00A413B4" w:rsidRDefault="000A2967" w:rsidP="00C26914">
      <w:pPr>
        <w:pStyle w:val="SingleTxtG"/>
      </w:pPr>
      <w:r w:rsidRPr="00A413B4">
        <w:rPr>
          <w:noProof/>
          <w:lang w:val="en-US"/>
        </w:rPr>
        <w:drawing>
          <wp:inline distT="0" distB="0" distL="0" distR="0" wp14:anchorId="7FF92F7C" wp14:editId="159F97D8">
            <wp:extent cx="4705350" cy="157666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6" cy="15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7" w:rsidRPr="00A413B4" w:rsidRDefault="000A2967" w:rsidP="0023697D">
      <w:pPr>
        <w:pStyle w:val="H1G"/>
      </w:pPr>
      <w:r w:rsidRPr="00A413B4">
        <w:tab/>
        <w:t>AF.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(f)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74.</w:t>
      </w:r>
      <w:r w:rsidRPr="00A413B4">
        <w:tab/>
        <w:t>Refer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table</w:t>
      </w:r>
      <w:r w:rsidR="00470EBF">
        <w:t xml:space="preserve"> </w:t>
      </w:r>
      <w:r w:rsidRPr="00A413B4">
        <w:t>above.</w:t>
      </w:r>
    </w:p>
    <w:p w:rsidR="000A2967" w:rsidRPr="00A413B4" w:rsidRDefault="000A2967" w:rsidP="0023697D">
      <w:pPr>
        <w:pStyle w:val="H1G"/>
      </w:pPr>
      <w:r w:rsidRPr="00A413B4">
        <w:tab/>
        <w:t>AG.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(g)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75.</w:t>
      </w:r>
      <w:r w:rsidRPr="00A413B4">
        <w:tab/>
        <w:t>As</w:t>
      </w:r>
      <w:r w:rsidR="00470EBF">
        <w:t xml:space="preserve"> </w:t>
      </w:r>
      <w:r w:rsidRPr="00A413B4">
        <w:t>previously</w:t>
      </w:r>
      <w:r w:rsidR="00470EBF">
        <w:t xml:space="preserve"> </w:t>
      </w:r>
      <w:r w:rsidRPr="00A413B4">
        <w:t>mentioned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part</w:t>
      </w:r>
      <w:r w:rsidR="00470EBF">
        <w:t xml:space="preserve"> </w:t>
      </w:r>
      <w:r w:rsidRPr="00A413B4">
        <w:t>3(l),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does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officially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data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out-of-school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rates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low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individual</w:t>
      </w:r>
      <w:r w:rsidR="00470EBF">
        <w:t xml:space="preserve"> </w:t>
      </w:r>
      <w:r w:rsidRPr="00A413B4">
        <w:t>cases</w:t>
      </w:r>
      <w:r w:rsidR="00470EBF">
        <w:t xml:space="preserve"> </w:t>
      </w:r>
      <w:r w:rsidRPr="00A413B4">
        <w:t>effectively</w:t>
      </w:r>
      <w:r w:rsidR="00470EBF">
        <w:t xml:space="preserve"> </w:t>
      </w:r>
      <w:r w:rsidRPr="00A413B4">
        <w:t>managed</w:t>
      </w:r>
      <w:r w:rsidR="00470EBF">
        <w:t xml:space="preserve"> </w:t>
      </w:r>
      <w:r w:rsidRPr="00A413B4">
        <w:t>by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Education.</w:t>
      </w:r>
    </w:p>
    <w:p w:rsidR="000A2967" w:rsidRPr="00A413B4" w:rsidRDefault="000A2967" w:rsidP="0023697D">
      <w:pPr>
        <w:pStyle w:val="H1G"/>
      </w:pPr>
      <w:r w:rsidRPr="00A413B4">
        <w:lastRenderedPageBreak/>
        <w:tab/>
        <w:t>AH.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15</w:t>
      </w:r>
      <w:r w:rsidR="00470EBF">
        <w:t xml:space="preserve"> </w:t>
      </w:r>
      <w:r w:rsidRPr="00A413B4">
        <w:t>(h)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76.</w:t>
      </w:r>
      <w:r w:rsidRPr="00A413B4">
        <w:tab/>
        <w:t>The</w:t>
      </w:r>
      <w:r w:rsidR="00470EBF">
        <w:t xml:space="preserve"> </w:t>
      </w:r>
      <w:r w:rsidRPr="00A413B4">
        <w:t>Ministry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Education</w:t>
      </w:r>
      <w:r w:rsidR="00470EBF">
        <w:t xml:space="preserve"> </w:t>
      </w:r>
      <w:r w:rsidRPr="00A413B4">
        <w:t>does</w:t>
      </w:r>
      <w:r w:rsidR="00470EBF">
        <w:t xml:space="preserve"> </w:t>
      </w:r>
      <w:r w:rsidRPr="00A413B4">
        <w:t>not</w:t>
      </w:r>
      <w:r w:rsidR="00470EBF">
        <w:t xml:space="preserve"> </w:t>
      </w:r>
      <w:r w:rsidRPr="00A413B4">
        <w:t>collect</w:t>
      </w:r>
      <w:r w:rsidR="00470EBF">
        <w:t xml:space="preserve"> </w:t>
      </w:r>
      <w:r w:rsidRPr="00A413B4">
        <w:t>data</w:t>
      </w:r>
      <w:r w:rsidR="00470EBF">
        <w:t xml:space="preserve"> </w:t>
      </w:r>
      <w:r w:rsidRPr="00A413B4">
        <w:t>or</w:t>
      </w:r>
      <w:r w:rsidR="00470EBF">
        <w:t xml:space="preserve"> </w:t>
      </w:r>
      <w:r w:rsidRPr="00A413B4">
        <w:t>report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this</w:t>
      </w:r>
      <w:r w:rsidR="00470EBF">
        <w:t xml:space="preserve"> </w:t>
      </w:r>
      <w:r w:rsidRPr="00A413B4">
        <w:t>indicator.</w:t>
      </w:r>
      <w:r w:rsidR="00470EBF">
        <w:t xml:space="preserve"> </w:t>
      </w:r>
    </w:p>
    <w:p w:rsidR="000A2967" w:rsidRPr="00A413B4" w:rsidRDefault="000A2967" w:rsidP="00A16A95">
      <w:pPr>
        <w:pStyle w:val="H1G"/>
      </w:pPr>
      <w:r w:rsidRPr="00A413B4">
        <w:tab/>
        <w:t>AI.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16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77.</w:t>
      </w:r>
      <w:r w:rsidRPr="00A413B4">
        <w:tab/>
        <w:t>Police</w:t>
      </w:r>
      <w:r w:rsidR="00470EBF">
        <w:t xml:space="preserve"> </w:t>
      </w:r>
      <w:r w:rsidRPr="00A413B4">
        <w:t>Statistics</w:t>
      </w:r>
      <w:r w:rsidR="00470EBF">
        <w:t xml:space="preserve"> </w:t>
      </w:r>
      <w:r w:rsidRPr="00A413B4">
        <w:t>(2016</w:t>
      </w:r>
      <w:r w:rsidR="00F35E9E">
        <w:t>–</w:t>
      </w:r>
      <w:r w:rsidRPr="00A413B4">
        <w:t>2018):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Assault</w:t>
      </w:r>
      <w:r w:rsidR="00470EBF">
        <w:t xml:space="preserve"> </w:t>
      </w:r>
      <w:r w:rsidR="000A2967" w:rsidRPr="00A413B4">
        <w:t>on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child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3</w:t>
      </w:r>
      <w:r w:rsidR="000B3C22">
        <w:t xml:space="preserve"> – </w:t>
      </w:r>
      <w:r w:rsidR="000A2967" w:rsidRPr="00A413B4">
        <w:t>went</w:t>
      </w:r>
      <w:r w:rsidR="00470EBF">
        <w:t xml:space="preserve"> </w:t>
      </w:r>
      <w:r w:rsidR="000A2967" w:rsidRPr="00A413B4">
        <w:t>through</w:t>
      </w:r>
      <w:r w:rsidR="00470EBF">
        <w:t xml:space="preserve"> </w:t>
      </w:r>
      <w:r w:rsidR="000A2967" w:rsidRPr="00A413B4">
        <w:t>Police</w:t>
      </w:r>
      <w:r w:rsidR="00470EBF">
        <w:t xml:space="preserve"> </w:t>
      </w:r>
      <w:r w:rsidR="000A2967" w:rsidRPr="00A413B4">
        <w:t>Diversion</w:t>
      </w:r>
      <w:r w:rsidR="00470EBF">
        <w:t xml:space="preserve"> </w:t>
      </w:r>
      <w:r w:rsidR="000A2967" w:rsidRPr="00A413B4">
        <w:t>scheme;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Indecent</w:t>
      </w:r>
      <w:r w:rsidR="00470EBF">
        <w:t xml:space="preserve"> </w:t>
      </w:r>
      <w:r w:rsidR="000A2967" w:rsidRPr="00A413B4">
        <w:t>act</w:t>
      </w:r>
      <w:r w:rsidR="00470EBF">
        <w:t xml:space="preserve"> </w:t>
      </w:r>
      <w:r w:rsidR="000A2967" w:rsidRPr="00A413B4">
        <w:t>on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child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3</w:t>
      </w:r>
      <w:r w:rsidR="00470EBF">
        <w:t xml:space="preserve"> </w:t>
      </w:r>
      <w:r w:rsidR="000A2967" w:rsidRPr="00A413B4">
        <w:t>(1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sentenced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18</w:t>
      </w:r>
      <w:r w:rsidR="00470EBF">
        <w:t xml:space="preserve"> </w:t>
      </w:r>
      <w:r w:rsidR="000A2967" w:rsidRPr="00A413B4">
        <w:t>months’</w:t>
      </w:r>
      <w:r w:rsidR="00470EBF">
        <w:t xml:space="preserve"> </w:t>
      </w:r>
      <w:r w:rsidR="000A2967" w:rsidRPr="00A413B4">
        <w:t>imprisonment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1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sentenced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3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half</w:t>
      </w:r>
      <w:r w:rsidR="00470EBF">
        <w:t xml:space="preserve"> </w:t>
      </w:r>
      <w:r w:rsidR="000A2967" w:rsidRPr="00A413B4">
        <w:t>years’</w:t>
      </w:r>
      <w:r w:rsidR="00470EBF">
        <w:t xml:space="preserve"> </w:t>
      </w:r>
      <w:r w:rsidR="000A2967" w:rsidRPr="00A413B4">
        <w:t>imprisonment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1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sentenced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3</w:t>
      </w:r>
      <w:r w:rsidR="00470EBF">
        <w:t xml:space="preserve"> </w:t>
      </w:r>
      <w:r w:rsidR="000A2967" w:rsidRPr="00A413B4">
        <w:t>years’</w:t>
      </w:r>
      <w:r w:rsidR="00470EBF">
        <w:t xml:space="preserve"> </w:t>
      </w:r>
      <w:r w:rsidR="000A2967" w:rsidRPr="00A413B4">
        <w:t>imprisonment);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Manslaughter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9</w:t>
      </w:r>
      <w:r w:rsidR="00470EBF">
        <w:t xml:space="preserve"> </w:t>
      </w:r>
      <w:r w:rsidR="000A2967" w:rsidRPr="00A413B4">
        <w:t>year</w:t>
      </w:r>
      <w:r w:rsidR="00F35E9E">
        <w:t>-</w:t>
      </w:r>
      <w:r w:rsidR="000A2967" w:rsidRPr="00A413B4">
        <w:t>old</w:t>
      </w:r>
      <w:r w:rsidR="00470EBF">
        <w:t xml:space="preserve"> </w:t>
      </w:r>
      <w:r w:rsidR="000A2967" w:rsidRPr="00A413B4">
        <w:t>child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1</w:t>
      </w:r>
      <w:r w:rsidR="00470EBF">
        <w:t xml:space="preserve"> </w:t>
      </w:r>
      <w:r w:rsidR="000A2967" w:rsidRPr="00A413B4">
        <w:t>(offender</w:t>
      </w:r>
      <w:r w:rsidR="00470EBF">
        <w:t xml:space="preserve"> </w:t>
      </w:r>
      <w:r w:rsidR="000A2967" w:rsidRPr="00A413B4">
        <w:t>sentenced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6</w:t>
      </w:r>
      <w:r w:rsidR="00470EBF">
        <w:t xml:space="preserve"> </w:t>
      </w:r>
      <w:r w:rsidR="000A2967" w:rsidRPr="00A413B4">
        <w:t>years</w:t>
      </w:r>
      <w:r w:rsidR="00470EBF">
        <w:t xml:space="preserve"> </w:t>
      </w:r>
      <w:r w:rsidR="000A2967" w:rsidRPr="00A413B4">
        <w:t>imprisonment).</w:t>
      </w:r>
    </w:p>
    <w:p w:rsidR="000A2967" w:rsidRPr="00A413B4" w:rsidRDefault="000A2967" w:rsidP="00C26914">
      <w:pPr>
        <w:pStyle w:val="SingleTxtG"/>
      </w:pPr>
      <w:r w:rsidRPr="00A413B4">
        <w:t>78.</w:t>
      </w:r>
      <w:r w:rsidRPr="00A413B4">
        <w:tab/>
        <w:t>Children</w:t>
      </w:r>
      <w:r w:rsidR="00470EBF">
        <w:t xml:space="preserve"> </w:t>
      </w:r>
      <w:r w:rsidRPr="00A413B4">
        <w:t>in</w:t>
      </w:r>
      <w:r w:rsidR="00470EBF">
        <w:t xml:space="preserve"> </w:t>
      </w:r>
      <w:r w:rsidRPr="00A413B4">
        <w:t>conflict</w:t>
      </w:r>
      <w:r w:rsidR="00470EBF">
        <w:t xml:space="preserve"> </w:t>
      </w:r>
      <w:r w:rsidRPr="00A413B4">
        <w:t>with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law</w:t>
      </w:r>
      <w:r w:rsidR="00470EBF">
        <w:t xml:space="preserve"> </w:t>
      </w:r>
      <w:r w:rsidRPr="00A413B4">
        <w:t>who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been: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Arrested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30;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Referred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Juvenile</w:t>
      </w:r>
      <w:r w:rsidR="00470EBF">
        <w:t xml:space="preserve"> </w:t>
      </w:r>
      <w:r w:rsidR="000A2967" w:rsidRPr="00A413B4">
        <w:t>Crime</w:t>
      </w:r>
      <w:r w:rsidR="00470EBF">
        <w:t xml:space="preserve"> </w:t>
      </w:r>
      <w:r w:rsidR="000A2967" w:rsidRPr="00A413B4">
        <w:t>Prevention</w:t>
      </w:r>
      <w:r w:rsidR="00470EBF">
        <w:t xml:space="preserve"> </w:t>
      </w:r>
      <w:r w:rsidR="000A2967" w:rsidRPr="00A413B4">
        <w:t>Committee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no</w:t>
      </w:r>
      <w:r w:rsidR="00470EBF">
        <w:t xml:space="preserve"> </w:t>
      </w:r>
      <w:r w:rsidR="000A2967" w:rsidRPr="00A413B4">
        <w:t>cases</w:t>
      </w:r>
      <w:r w:rsidR="00470EBF">
        <w:t xml:space="preserve"> </w:t>
      </w:r>
      <w:r w:rsidR="000A2967" w:rsidRPr="00A413B4">
        <w:t>have</w:t>
      </w:r>
      <w:r w:rsidR="00470EBF">
        <w:t xml:space="preserve"> </w:t>
      </w:r>
      <w:r w:rsidR="000A2967" w:rsidRPr="00A413B4">
        <w:t>been</w:t>
      </w:r>
      <w:r w:rsidR="00470EBF">
        <w:t xml:space="preserve"> </w:t>
      </w:r>
      <w:r w:rsidR="000A2967" w:rsidRPr="00A413B4">
        <w:t>referred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Juvenile</w:t>
      </w:r>
      <w:r w:rsidR="00470EBF">
        <w:t xml:space="preserve"> </w:t>
      </w:r>
      <w:r w:rsidR="000A2967" w:rsidRPr="00A413B4">
        <w:t>Crime</w:t>
      </w:r>
      <w:r w:rsidR="00470EBF">
        <w:t xml:space="preserve"> </w:t>
      </w:r>
      <w:r w:rsidR="000A2967" w:rsidRPr="00A413B4">
        <w:t>Prevention</w:t>
      </w:r>
      <w:r w:rsidR="00470EBF">
        <w:t xml:space="preserve"> </w:t>
      </w:r>
      <w:r w:rsidR="000A2967" w:rsidRPr="00A413B4">
        <w:t>Committee</w:t>
      </w:r>
      <w:r w:rsidR="00470EBF">
        <w:t xml:space="preserve"> </w:t>
      </w:r>
      <w:r w:rsidR="000A2967" w:rsidRPr="00A413B4">
        <w:t>as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Committee</w:t>
      </w:r>
      <w:r w:rsidR="00470EBF">
        <w:t xml:space="preserve"> </w:t>
      </w:r>
      <w:r w:rsidR="000A2967" w:rsidRPr="00A413B4">
        <w:t>has</w:t>
      </w:r>
      <w:r w:rsidR="00470EBF">
        <w:t xml:space="preserve"> </w:t>
      </w:r>
      <w:r w:rsidR="000A2967" w:rsidRPr="00A413B4">
        <w:t>been</w:t>
      </w:r>
      <w:r w:rsidR="00470EBF">
        <w:t xml:space="preserve"> </w:t>
      </w:r>
      <w:r w:rsidR="000A2967" w:rsidRPr="00A413B4">
        <w:t>inactive</w:t>
      </w:r>
      <w:r w:rsidR="00470EBF">
        <w:t xml:space="preserve"> </w:t>
      </w:r>
      <w:r w:rsidR="000A2967" w:rsidRPr="00A413B4">
        <w:t>since</w:t>
      </w:r>
      <w:r w:rsidR="00470EBF">
        <w:t xml:space="preserve"> </w:t>
      </w:r>
      <w:r w:rsidR="000A2967" w:rsidRPr="00A413B4">
        <w:t>2017;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In</w:t>
      </w:r>
      <w:r w:rsidR="00470EBF">
        <w:t xml:space="preserve"> </w:t>
      </w:r>
      <w:r w:rsidR="000A2967" w:rsidRPr="00A413B4">
        <w:t>pretrial</w:t>
      </w:r>
      <w:r w:rsidR="00470EBF">
        <w:t xml:space="preserve"> </w:t>
      </w:r>
      <w:r w:rsidR="000A2967" w:rsidRPr="00A413B4">
        <w:t>detention:</w:t>
      </w:r>
      <w:r w:rsidR="00470EBF">
        <w:t xml:space="preserve"> </w:t>
      </w:r>
      <w:r w:rsidR="000A2967" w:rsidRPr="00A413B4">
        <w:t>7</w:t>
      </w:r>
      <w:r w:rsidR="00470EBF">
        <w:t xml:space="preserve"> </w:t>
      </w:r>
      <w:r w:rsidR="000A2967" w:rsidRPr="00A413B4">
        <w:t>male</w:t>
      </w:r>
      <w:r w:rsidR="00470EBF">
        <w:t xml:space="preserve"> </w:t>
      </w:r>
      <w:r w:rsidR="000A2967" w:rsidRPr="00A413B4">
        <w:t>juveniles;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(d)</w:t>
      </w:r>
      <w:r w:rsidR="000A2967" w:rsidRPr="00A413B4">
        <w:tab/>
        <w:t>Serving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sentence</w:t>
      </w:r>
      <w:r w:rsidR="00470EBF">
        <w:t xml:space="preserve"> </w:t>
      </w:r>
      <w:r w:rsidR="000A2967" w:rsidRPr="00A413B4">
        <w:t>in</w:t>
      </w:r>
      <w:r w:rsidR="00470EBF">
        <w:t xml:space="preserve"> </w:t>
      </w:r>
      <w:r w:rsidR="000A2967" w:rsidRPr="00A413B4">
        <w:t>detention,</w:t>
      </w:r>
      <w:r w:rsidR="00470EBF">
        <w:t xml:space="preserve"> </w:t>
      </w:r>
      <w:r w:rsidR="000A2967" w:rsidRPr="00A413B4">
        <w:t>including</w:t>
      </w:r>
      <w:r w:rsidR="00470EBF">
        <w:t xml:space="preserve"> </w:t>
      </w:r>
      <w:r w:rsidR="000A2967" w:rsidRPr="00A413B4">
        <w:t>data</w:t>
      </w:r>
      <w:r w:rsidR="00470EBF">
        <w:t xml:space="preserve"> </w:t>
      </w:r>
      <w:r w:rsidR="000A2967" w:rsidRPr="00A413B4">
        <w:t>on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length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sentence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2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(1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male</w:t>
      </w:r>
      <w:r w:rsidR="00470EBF">
        <w:t xml:space="preserve"> </w:t>
      </w:r>
      <w:r w:rsidR="000A2967" w:rsidRPr="00A413B4">
        <w:t>juvenile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numerous</w:t>
      </w:r>
      <w:r w:rsidR="00470EBF">
        <w:t xml:space="preserve"> </w:t>
      </w:r>
      <w:r w:rsidR="000A2967" w:rsidRPr="00A413B4">
        <w:t>offences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he</w:t>
      </w:r>
      <w:r w:rsidR="00470EBF">
        <w:t xml:space="preserve"> </w:t>
      </w:r>
      <w:r w:rsidR="000A2967" w:rsidRPr="00A413B4">
        <w:t>was</w:t>
      </w:r>
      <w:r w:rsidR="00470EBF">
        <w:t xml:space="preserve"> </w:t>
      </w:r>
      <w:r w:rsidR="000A2967" w:rsidRPr="00A413B4">
        <w:t>sentenced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11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half</w:t>
      </w:r>
      <w:r w:rsidR="00470EBF">
        <w:t xml:space="preserve"> </w:t>
      </w:r>
      <w:r w:rsidR="000A2967" w:rsidRPr="00A413B4">
        <w:t>months’</w:t>
      </w:r>
      <w:r w:rsidR="00470EBF">
        <w:t xml:space="preserve"> </w:t>
      </w:r>
      <w:r w:rsidR="000A2967" w:rsidRPr="00A413B4">
        <w:t>imprisonment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1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male</w:t>
      </w:r>
      <w:r w:rsidR="00470EBF">
        <w:t xml:space="preserve"> </w:t>
      </w:r>
      <w:r w:rsidR="000A2967" w:rsidRPr="00A413B4">
        <w:t>juvenile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3</w:t>
      </w:r>
      <w:r w:rsidR="00470EBF">
        <w:t xml:space="preserve"> </w:t>
      </w:r>
      <w:r w:rsidR="000A2967" w:rsidRPr="00A413B4">
        <w:t>cases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arson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3</w:t>
      </w:r>
      <w:r w:rsidR="00470EBF">
        <w:t xml:space="preserve"> </w:t>
      </w:r>
      <w:r w:rsidR="000A2967" w:rsidRPr="00A413B4">
        <w:t>x</w:t>
      </w:r>
      <w:r w:rsidR="00470EBF">
        <w:t xml:space="preserve"> </w:t>
      </w:r>
      <w:r w:rsidR="000A2967" w:rsidRPr="00A413B4">
        <w:t>burglary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he</w:t>
      </w:r>
      <w:r w:rsidR="00470EBF">
        <w:t xml:space="preserve"> </w:t>
      </w:r>
      <w:r w:rsidR="000A2967" w:rsidRPr="00A413B4">
        <w:t>was</w:t>
      </w:r>
      <w:r w:rsidR="00470EBF">
        <w:t xml:space="preserve"> </w:t>
      </w:r>
      <w:r w:rsidR="000A2967" w:rsidRPr="00A413B4">
        <w:t>sentenced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8</w:t>
      </w:r>
      <w:r w:rsidR="00470EBF">
        <w:t xml:space="preserve"> </w:t>
      </w:r>
      <w:r w:rsidR="000A2967" w:rsidRPr="00A413B4">
        <w:t>years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6</w:t>
      </w:r>
      <w:r w:rsidR="00470EBF">
        <w:t xml:space="preserve"> </w:t>
      </w:r>
      <w:r w:rsidR="000A2967" w:rsidRPr="00A413B4">
        <w:t>months’</w:t>
      </w:r>
      <w:r w:rsidR="00470EBF">
        <w:t xml:space="preserve"> </w:t>
      </w:r>
      <w:r w:rsidR="000A2967" w:rsidRPr="00A413B4">
        <w:t>imprisonment;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(e)</w:t>
      </w:r>
      <w:r w:rsidR="000A2967" w:rsidRPr="00A413B4">
        <w:tab/>
        <w:t>Serving</w:t>
      </w:r>
      <w:r w:rsidR="00470EBF">
        <w:t xml:space="preserve"> </w:t>
      </w:r>
      <w:r w:rsidR="000A2967" w:rsidRPr="00A413B4">
        <w:t>a</w:t>
      </w:r>
      <w:r w:rsidR="00470EBF">
        <w:t xml:space="preserve"> </w:t>
      </w:r>
      <w:r w:rsidR="000A2967" w:rsidRPr="00A413B4">
        <w:t>sentence</w:t>
      </w:r>
      <w:r w:rsidR="00470EBF">
        <w:t xml:space="preserve"> </w:t>
      </w:r>
      <w:r w:rsidR="000A2967" w:rsidRPr="00A413B4">
        <w:t>in</w:t>
      </w:r>
      <w:r w:rsidR="00470EBF">
        <w:t xml:space="preserve"> </w:t>
      </w:r>
      <w:r w:rsidR="000A2967" w:rsidRPr="00A413B4">
        <w:t>detention</w:t>
      </w:r>
      <w:r w:rsidR="00470EBF">
        <w:t xml:space="preserve"> </w:t>
      </w:r>
      <w:r w:rsidR="000A2967" w:rsidRPr="00A413B4">
        <w:t>facilities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adults;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2</w:t>
      </w:r>
      <w:r w:rsidR="00470EBF">
        <w:t xml:space="preserve"> </w:t>
      </w:r>
      <w:r w:rsidR="000A2967" w:rsidRPr="00A413B4">
        <w:t>males</w:t>
      </w:r>
      <w:r w:rsidR="00470EBF">
        <w:t xml:space="preserve"> </w:t>
      </w:r>
      <w:r w:rsidR="000A2967" w:rsidRPr="00A413B4">
        <w:t>above;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(f)</w:t>
      </w:r>
      <w:r w:rsidR="000A2967" w:rsidRPr="00A413B4">
        <w:tab/>
        <w:t>Legal</w:t>
      </w:r>
      <w:r w:rsidR="00470EBF">
        <w:t xml:space="preserve"> </w:t>
      </w:r>
      <w:r w:rsidR="000A2967" w:rsidRPr="00A413B4">
        <w:t>aid</w:t>
      </w:r>
      <w:r w:rsidR="00470EBF">
        <w:t xml:space="preserve"> </w:t>
      </w:r>
      <w:r w:rsidR="000A2967" w:rsidRPr="00A413B4">
        <w:t>provided</w:t>
      </w:r>
      <w:r w:rsidR="00470EBF">
        <w:t xml:space="preserve"> </w:t>
      </w:r>
      <w:r w:rsidR="000A2967" w:rsidRPr="00A413B4">
        <w:t>by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Ministry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Justice</w:t>
      </w:r>
      <w:r w:rsidR="00470EBF">
        <w:t xml:space="preserve"> </w:t>
      </w:r>
      <w:r w:rsidR="000A2967" w:rsidRPr="00A413B4">
        <w:t>for</w:t>
      </w:r>
      <w:r w:rsidR="00470EBF">
        <w:t xml:space="preserve"> </w:t>
      </w:r>
      <w:r w:rsidR="000A2967" w:rsidRPr="00A413B4">
        <w:t>criminal</w:t>
      </w:r>
      <w:r w:rsidR="00470EBF">
        <w:t xml:space="preserve"> </w:t>
      </w:r>
      <w:r w:rsidR="000A2967" w:rsidRPr="00A413B4">
        <w:t>cases</w:t>
      </w:r>
      <w:r w:rsidR="00470EBF">
        <w:t xml:space="preserve"> </w:t>
      </w:r>
      <w:r w:rsidR="000A2967" w:rsidRPr="00A413B4">
        <w:t>is</w:t>
      </w:r>
      <w:r w:rsidR="00470EBF">
        <w:t xml:space="preserve"> </w:t>
      </w:r>
      <w:r w:rsidR="000A2967" w:rsidRPr="00A413B4">
        <w:t>not</w:t>
      </w:r>
      <w:r w:rsidR="00470EBF">
        <w:t xml:space="preserve"> </w:t>
      </w:r>
      <w:r w:rsidR="000A2967" w:rsidRPr="00A413B4">
        <w:t>being</w:t>
      </w:r>
      <w:r w:rsidR="00470EBF">
        <w:t xml:space="preserve"> </w:t>
      </w:r>
      <w:r w:rsidR="000A2967" w:rsidRPr="00A413B4">
        <w:t>used;</w:t>
      </w:r>
    </w:p>
    <w:p w:rsidR="000A2967" w:rsidRPr="00A413B4" w:rsidRDefault="00A16A95" w:rsidP="00C26914">
      <w:pPr>
        <w:pStyle w:val="SingleTxtG"/>
      </w:pPr>
      <w:r>
        <w:tab/>
      </w:r>
      <w:r w:rsidR="000A2967" w:rsidRPr="00A413B4">
        <w:t>(g)</w:t>
      </w:r>
      <w:r w:rsidR="000A2967" w:rsidRPr="00A413B4">
        <w:tab/>
        <w:t>Only</w:t>
      </w:r>
      <w:r w:rsidR="00470EBF">
        <w:t xml:space="preserve"> </w:t>
      </w:r>
      <w:r w:rsidR="000A2967" w:rsidRPr="00A413B4">
        <w:t>Criminal</w:t>
      </w:r>
      <w:r w:rsidR="00470EBF">
        <w:t xml:space="preserve"> </w:t>
      </w:r>
      <w:r w:rsidR="000A2967" w:rsidRPr="00A413B4">
        <w:t>matters</w:t>
      </w:r>
      <w:r w:rsidR="00470EBF">
        <w:t xml:space="preserve"> </w:t>
      </w:r>
      <w:r w:rsidR="000A2967" w:rsidRPr="00A413B4">
        <w:t>are</w:t>
      </w:r>
      <w:r w:rsidR="00470EBF">
        <w:t xml:space="preserve"> </w:t>
      </w:r>
      <w:r w:rsidR="000A2967" w:rsidRPr="00A413B4">
        <w:t>heard</w:t>
      </w:r>
      <w:r w:rsidR="00470EBF">
        <w:t xml:space="preserve"> </w:t>
      </w:r>
      <w:r w:rsidR="000A2967" w:rsidRPr="00A413B4">
        <w:t>in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Children’s</w:t>
      </w:r>
      <w:r w:rsidR="00470EBF">
        <w:t xml:space="preserve"> </w:t>
      </w:r>
      <w:r w:rsidR="000A2967" w:rsidRPr="00A413B4">
        <w:t>Court</w:t>
      </w:r>
      <w:r w:rsidR="00470EBF">
        <w:t xml:space="preserve"> </w:t>
      </w:r>
      <w:r w:rsidR="000A2967" w:rsidRPr="00A413B4">
        <w:t>jurisdiction</w:t>
      </w:r>
      <w:r w:rsidR="00470EBF">
        <w:t xml:space="preserve"> </w:t>
      </w:r>
      <w:r w:rsidR="000A2967" w:rsidRPr="00A413B4">
        <w:t>–</w:t>
      </w:r>
      <w:r w:rsidR="00470EBF">
        <w:t xml:space="preserve"> </w:t>
      </w:r>
      <w:r w:rsidR="000A2967" w:rsidRPr="00A413B4">
        <w:t>some</w:t>
      </w:r>
      <w:r w:rsidR="00470EBF">
        <w:t xml:space="preserve"> </w:t>
      </w:r>
      <w:r w:rsidR="000A2967" w:rsidRPr="00A413B4">
        <w:t>families</w:t>
      </w:r>
      <w:r w:rsidR="00470EBF">
        <w:t xml:space="preserve"> </w:t>
      </w:r>
      <w:r w:rsidR="000A2967" w:rsidRPr="00A413B4">
        <w:t>do</w:t>
      </w:r>
      <w:r w:rsidR="00470EBF">
        <w:t xml:space="preserve"> </w:t>
      </w:r>
      <w:r w:rsidR="000A2967" w:rsidRPr="00A413B4">
        <w:t>seek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assistance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lawyers</w:t>
      </w:r>
      <w:r w:rsidR="00470EBF">
        <w:t xml:space="preserve"> </w:t>
      </w:r>
      <w:r w:rsidR="000A2967" w:rsidRPr="00A413B4">
        <w:t>but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majority</w:t>
      </w:r>
      <w:r w:rsidR="00470EBF">
        <w:t xml:space="preserve"> </w:t>
      </w:r>
      <w:r w:rsidR="000A2967" w:rsidRPr="00A413B4">
        <w:t>proceed</w:t>
      </w:r>
      <w:r w:rsidR="00470EBF">
        <w:t xml:space="preserve"> </w:t>
      </w:r>
      <w:r w:rsidR="000A2967" w:rsidRPr="00A413B4">
        <w:t>without</w:t>
      </w:r>
      <w:r w:rsidR="00470EBF">
        <w:t xml:space="preserve"> </w:t>
      </w:r>
      <w:r w:rsidR="000A2967" w:rsidRPr="00A413B4">
        <w:t>lawyers,</w:t>
      </w:r>
      <w:r w:rsidR="00470EBF">
        <w:t xml:space="preserve"> </w:t>
      </w:r>
      <w:r w:rsidR="000A2967" w:rsidRPr="00A413B4">
        <w:t>however</w:t>
      </w:r>
      <w:r w:rsidR="00470EBF">
        <w:t xml:space="preserve"> </w:t>
      </w:r>
      <w:r w:rsidR="000A2967" w:rsidRPr="00A413B4">
        <w:t>are</w:t>
      </w:r>
      <w:r w:rsidR="00470EBF">
        <w:t xml:space="preserve"> </w:t>
      </w:r>
      <w:r w:rsidR="000A2967" w:rsidRPr="00A413B4">
        <w:t>assisted</w:t>
      </w:r>
      <w:r w:rsidR="00470EBF">
        <w:t xml:space="preserve"> </w:t>
      </w:r>
      <w:r w:rsidR="000A2967" w:rsidRPr="00A413B4">
        <w:t>by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Child</w:t>
      </w:r>
      <w:r w:rsidR="00470EBF">
        <w:t xml:space="preserve"> </w:t>
      </w:r>
      <w:r w:rsidR="000A2967" w:rsidRPr="00A413B4">
        <w:t>&amp;</w:t>
      </w:r>
      <w:r w:rsidR="00470EBF">
        <w:t xml:space="preserve"> </w:t>
      </w:r>
      <w:r w:rsidR="000A2967" w:rsidRPr="00A413B4">
        <w:t>Family</w:t>
      </w:r>
      <w:r w:rsidR="00470EBF">
        <w:t xml:space="preserve"> </w:t>
      </w:r>
      <w:r w:rsidR="000A2967" w:rsidRPr="00A413B4">
        <w:t>service</w:t>
      </w:r>
      <w:r w:rsidR="00470EBF">
        <w:t xml:space="preserve"> </w:t>
      </w:r>
      <w:r w:rsidR="000A2967" w:rsidRPr="00A413B4">
        <w:t>officers</w:t>
      </w:r>
      <w:r w:rsidR="00470EBF">
        <w:t xml:space="preserve"> </w:t>
      </w:r>
      <w:r w:rsidR="000A2967" w:rsidRPr="00A413B4">
        <w:t>at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Ministry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Internal</w:t>
      </w:r>
      <w:r w:rsidR="00470EBF">
        <w:t xml:space="preserve"> </w:t>
      </w:r>
      <w:r w:rsidR="000A2967" w:rsidRPr="00A413B4">
        <w:t>Affairs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Police</w:t>
      </w:r>
      <w:r w:rsidR="00470EBF">
        <w:t xml:space="preserve"> </w:t>
      </w:r>
      <w:r w:rsidR="000A2967" w:rsidRPr="00A413B4">
        <w:t>Prevention</w:t>
      </w:r>
      <w:r w:rsidR="00470EBF">
        <w:t xml:space="preserve"> </w:t>
      </w:r>
      <w:r w:rsidR="000A2967" w:rsidRPr="00A413B4">
        <w:t>Team.</w:t>
      </w:r>
    </w:p>
    <w:p w:rsidR="000A2967" w:rsidRPr="00A413B4" w:rsidRDefault="000A2967" w:rsidP="00A16A95">
      <w:pPr>
        <w:pStyle w:val="H1G"/>
      </w:pPr>
      <w:r w:rsidRPr="00A413B4">
        <w:tab/>
        <w:t>AJ.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17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79.</w:t>
      </w:r>
      <w:r w:rsidRPr="00A413B4">
        <w:tab/>
        <w:t>Refer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Part</w:t>
      </w:r>
      <w:r w:rsidR="00470EBF">
        <w:t xml:space="preserve"> </w:t>
      </w:r>
      <w:r w:rsidRPr="00A413B4">
        <w:t>1,</w:t>
      </w:r>
      <w:r w:rsidR="00470EBF">
        <w:t xml:space="preserve"> </w:t>
      </w:r>
      <w:r w:rsidRPr="00A413B4">
        <w:t>Question</w:t>
      </w:r>
      <w:r w:rsidR="00470EBF">
        <w:t xml:space="preserve"> </w:t>
      </w:r>
      <w:r w:rsidRPr="00A413B4">
        <w:t>3.</w:t>
      </w:r>
      <w:r w:rsidR="00470EBF">
        <w:t xml:space="preserve"> </w:t>
      </w:r>
      <w:r w:rsidRPr="00A413B4">
        <w:t>More</w:t>
      </w:r>
      <w:r w:rsidR="00470EBF">
        <w:t xml:space="preserve"> </w:t>
      </w:r>
      <w:r w:rsidRPr="00A413B4">
        <w:t>information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be</w:t>
      </w:r>
      <w:r w:rsidR="00470EBF">
        <w:t xml:space="preserve"> </w:t>
      </w:r>
      <w:r w:rsidRPr="00A413B4">
        <w:t>provided</w:t>
      </w:r>
      <w:r w:rsidR="00470EBF">
        <w:t xml:space="preserve"> </w:t>
      </w:r>
      <w:r w:rsidRPr="00A413B4">
        <w:t>at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constructive</w:t>
      </w:r>
      <w:r w:rsidR="00470EBF">
        <w:t xml:space="preserve"> </w:t>
      </w:r>
      <w:r w:rsidRPr="00A413B4">
        <w:t>dialogue.</w:t>
      </w:r>
    </w:p>
    <w:p w:rsidR="000A2967" w:rsidRPr="00A413B4" w:rsidRDefault="000A2967" w:rsidP="00A16A95">
      <w:pPr>
        <w:pStyle w:val="H1G"/>
      </w:pPr>
      <w:r w:rsidRPr="00A413B4">
        <w:tab/>
        <w:t>AK.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18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80.</w:t>
      </w:r>
      <w:r w:rsidRPr="00A413B4">
        <w:tab/>
        <w:t>The</w:t>
      </w:r>
      <w:r w:rsidR="00470EBF">
        <w:t xml:space="preserve"> </w:t>
      </w:r>
      <w:r w:rsidRPr="00A413B4">
        <w:t>NSDP</w:t>
      </w:r>
      <w:r w:rsidR="00470EBF">
        <w:t xml:space="preserve"> </w:t>
      </w:r>
      <w:r w:rsidRPr="00A413B4">
        <w:t>indicators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monitored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reported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Sustainable</w:t>
      </w:r>
      <w:r w:rsidR="00470EBF">
        <w:t xml:space="preserve"> </w:t>
      </w:r>
      <w:r w:rsidRPr="00A413B4">
        <w:t>Development</w:t>
      </w:r>
      <w:r w:rsidR="00470EBF">
        <w:t xml:space="preserve"> </w:t>
      </w:r>
      <w:r w:rsidRPr="00A413B4">
        <w:t>Commission</w:t>
      </w:r>
      <w:r w:rsidR="00470EBF">
        <w:t xml:space="preserve"> </w:t>
      </w:r>
      <w:r w:rsidRPr="00A413B4">
        <w:t>(NSDC)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Cabinet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annual</w:t>
      </w:r>
      <w:r w:rsidR="00470EBF">
        <w:t xml:space="preserve"> </w:t>
      </w:r>
      <w:r w:rsidRPr="00A413B4">
        <w:t>basis.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date,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Government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put</w:t>
      </w:r>
      <w:r w:rsidR="00470EBF">
        <w:t xml:space="preserve"> </w:t>
      </w:r>
      <w:r w:rsidRPr="00A413B4">
        <w:t>together</w:t>
      </w:r>
      <w:r w:rsidR="00470EBF">
        <w:t xml:space="preserve"> </w:t>
      </w:r>
      <w:r w:rsidRPr="00A413B4">
        <w:t>two</w:t>
      </w:r>
      <w:r w:rsidR="00470EBF">
        <w:t xml:space="preserve"> </w:t>
      </w:r>
      <w:r w:rsidRPr="00A413B4">
        <w:t>indicator</w:t>
      </w:r>
      <w:r w:rsidR="00470EBF">
        <w:t xml:space="preserve"> </w:t>
      </w:r>
      <w:r w:rsidRPr="00A413B4">
        <w:t>reports.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81.</w:t>
      </w:r>
      <w:r w:rsidRPr="00A413B4">
        <w:tab/>
        <w:t>The</w:t>
      </w:r>
      <w:r w:rsidR="00470EBF">
        <w:t xml:space="preserve"> </w:t>
      </w:r>
      <w:r w:rsidRPr="00A413B4">
        <w:t>Population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Household</w:t>
      </w:r>
      <w:r w:rsidR="00470EBF">
        <w:t xml:space="preserve"> </w:t>
      </w:r>
      <w:r w:rsidRPr="00A413B4">
        <w:t>Census</w:t>
      </w:r>
      <w:r w:rsidR="00470EBF">
        <w:t xml:space="preserve"> </w:t>
      </w:r>
      <w:r w:rsidRPr="00A413B4">
        <w:t>2016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Household</w:t>
      </w:r>
      <w:r w:rsidR="00470EBF">
        <w:t xml:space="preserve"> </w:t>
      </w:r>
      <w:r w:rsidRPr="00A413B4">
        <w:t>Income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Expenditure</w:t>
      </w:r>
      <w:r w:rsidR="00470EBF">
        <w:t xml:space="preserve"> </w:t>
      </w:r>
      <w:r w:rsidRPr="00A413B4">
        <w:t>Survey</w:t>
      </w:r>
      <w:r w:rsidR="00470EBF">
        <w:t xml:space="preserve"> </w:t>
      </w:r>
      <w:r w:rsidRPr="00A413B4">
        <w:t>(HIES)</w:t>
      </w:r>
      <w:r w:rsidR="00470EBF">
        <w:t xml:space="preserve"> </w:t>
      </w:r>
      <w:r w:rsidRPr="00A413B4">
        <w:t>2016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officially</w:t>
      </w:r>
      <w:r w:rsidR="00470EBF">
        <w:t xml:space="preserve"> </w:t>
      </w:r>
      <w:r w:rsidRPr="00A413B4">
        <w:t>published.</w:t>
      </w:r>
    </w:p>
    <w:p w:rsidR="000A2967" w:rsidRPr="00A413B4" w:rsidRDefault="000A2967" w:rsidP="00C26914">
      <w:pPr>
        <w:pStyle w:val="SingleTxtG"/>
      </w:pPr>
      <w:r w:rsidRPr="00A413B4">
        <w:t>82.</w:t>
      </w:r>
      <w:r w:rsidRPr="00A413B4">
        <w:tab/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Equality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Women’s</w:t>
      </w:r>
      <w:r w:rsidR="00470EBF">
        <w:t xml:space="preserve"> </w:t>
      </w:r>
      <w:r w:rsidRPr="00A413B4">
        <w:t>Empowerment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2019</w:t>
      </w:r>
      <w:r w:rsidR="00470EBF">
        <w:t xml:space="preserve"> </w:t>
      </w:r>
      <w:r w:rsidRPr="00A413B4">
        <w:t>has</w:t>
      </w:r>
      <w:r w:rsidR="00470EBF">
        <w:t xml:space="preserve"> </w:t>
      </w:r>
      <w:r w:rsidRPr="00A413B4">
        <w:t>been</w:t>
      </w:r>
      <w:r w:rsidR="00470EBF">
        <w:t xml:space="preserve"> </w:t>
      </w:r>
      <w:r w:rsidRPr="00A413B4">
        <w:t>endorsed.</w:t>
      </w:r>
    </w:p>
    <w:p w:rsidR="000A2967" w:rsidRPr="00A413B4" w:rsidRDefault="000A2967" w:rsidP="00C26914">
      <w:pPr>
        <w:pStyle w:val="SingleTxtG"/>
      </w:pPr>
      <w:r w:rsidRPr="00A413B4">
        <w:t>83.</w:t>
      </w:r>
      <w:r w:rsidRPr="00A413B4">
        <w:tab/>
        <w:t>Medium</w:t>
      </w:r>
      <w:r w:rsidR="00470EBF">
        <w:t xml:space="preserve"> </w:t>
      </w:r>
      <w:r w:rsidRPr="00A413B4">
        <w:t>Term</w:t>
      </w:r>
      <w:r w:rsidR="00470EBF">
        <w:t xml:space="preserve"> </w:t>
      </w:r>
      <w:r w:rsidRPr="00A413B4">
        <w:t>Fiscal</w:t>
      </w:r>
      <w:r w:rsidR="00470EBF">
        <w:t xml:space="preserve"> </w:t>
      </w:r>
      <w:r w:rsidRPr="00A413B4">
        <w:t>Priority</w:t>
      </w:r>
      <w:r w:rsidR="00470EBF">
        <w:t xml:space="preserve"> </w:t>
      </w:r>
      <w:r w:rsidRPr="00A413B4">
        <w:t>2019-2024</w:t>
      </w:r>
      <w:r w:rsidR="00470EBF">
        <w:t xml:space="preserve"> </w:t>
      </w:r>
      <w:r w:rsidRPr="00A413B4">
        <w:t>incorporates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Medium-term</w:t>
      </w:r>
      <w:r w:rsidR="00470EBF">
        <w:t xml:space="preserve"> </w:t>
      </w:r>
      <w:r w:rsidRPr="00A413B4">
        <w:t>Goal</w:t>
      </w:r>
      <w:r w:rsidR="00470EBF">
        <w:t xml:space="preserve"> </w:t>
      </w:r>
      <w:r w:rsidRPr="00A413B4">
        <w:t>priorities</w:t>
      </w:r>
      <w:r w:rsidR="00470EBF">
        <w:t xml:space="preserve"> </w:t>
      </w:r>
      <w:r w:rsidRPr="00A413B4">
        <w:t>which</w:t>
      </w:r>
      <w:r w:rsidR="00470EBF">
        <w:t xml:space="preserve"> </w:t>
      </w:r>
      <w:r w:rsidRPr="00A413B4">
        <w:t>determine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budget</w:t>
      </w:r>
      <w:r w:rsidR="00470EBF">
        <w:t xml:space="preserve"> </w:t>
      </w:r>
      <w:r w:rsidRPr="00A413B4">
        <w:t>allocations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specific</w:t>
      </w:r>
      <w:r w:rsidR="00470EBF">
        <w:t xml:space="preserve"> </w:t>
      </w:r>
      <w:r w:rsidRPr="00A413B4">
        <w:t>priority</w:t>
      </w:r>
      <w:r w:rsidR="00470EBF">
        <w:t xml:space="preserve"> </w:t>
      </w:r>
      <w:r w:rsidRPr="00A413B4">
        <w:t>areas.</w:t>
      </w:r>
      <w:r w:rsidR="00470EBF">
        <w:t xml:space="preserve"> </w:t>
      </w:r>
      <w:r w:rsidRPr="00A413B4">
        <w:t>Goal</w:t>
      </w:r>
      <w:r w:rsidR="00470EBF">
        <w:t xml:space="preserve"> </w:t>
      </w:r>
      <w:r w:rsidRPr="00A413B4">
        <w:t>9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Vulnerable</w:t>
      </w:r>
      <w:r w:rsidR="00470EBF">
        <w:t xml:space="preserve"> </w:t>
      </w:r>
      <w:r w:rsidRPr="00A413B4">
        <w:t>was</w:t>
      </w:r>
      <w:r w:rsidR="00470EBF">
        <w:t xml:space="preserve"> </w:t>
      </w:r>
      <w:r w:rsidRPr="00A413B4">
        <w:t>prioritized</w:t>
      </w:r>
      <w:r w:rsidR="00470EBF">
        <w:t xml:space="preserve"> </w:t>
      </w:r>
      <w:r w:rsidRPr="00A413B4">
        <w:t>as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Goal</w:t>
      </w:r>
      <w:r w:rsidR="00470EBF">
        <w:t xml:space="preserve"> </w:t>
      </w:r>
      <w:r w:rsidRPr="00A413B4">
        <w:t>needing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most</w:t>
      </w:r>
      <w:r w:rsidR="00470EBF">
        <w:t xml:space="preserve"> </w:t>
      </w:r>
      <w:r w:rsidRPr="00A413B4">
        <w:t>attention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budgeting</w:t>
      </w:r>
      <w:r w:rsidR="00470EBF">
        <w:t xml:space="preserve"> </w:t>
      </w:r>
      <w:r w:rsidRPr="00A413B4">
        <w:t>purposes.</w:t>
      </w:r>
    </w:p>
    <w:p w:rsidR="000A2967" w:rsidRPr="00A413B4" w:rsidRDefault="000A2967" w:rsidP="00A16A95">
      <w:pPr>
        <w:pStyle w:val="H1G"/>
      </w:pPr>
      <w:r w:rsidRPr="00A413B4">
        <w:lastRenderedPageBreak/>
        <w:tab/>
        <w:t>AL.</w:t>
      </w:r>
      <w:r w:rsidRPr="00A413B4">
        <w:tab/>
        <w:t>Reply</w:t>
      </w:r>
      <w:r w:rsidR="00470EBF">
        <w:t xml:space="preserve"> </w:t>
      </w:r>
      <w:r w:rsidRPr="00A413B4">
        <w:t>to</w:t>
      </w:r>
      <w:r w:rsidR="00470EBF">
        <w:t xml:space="preserve"> </w:t>
      </w:r>
      <w:r w:rsidRPr="00A413B4">
        <w:t>paragraph</w:t>
      </w:r>
      <w:r w:rsidR="00470EBF">
        <w:t xml:space="preserve"> </w:t>
      </w:r>
      <w:r w:rsidRPr="00A413B4">
        <w:t>19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list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issues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84.</w:t>
      </w:r>
      <w:r w:rsidRPr="00A413B4">
        <w:tab/>
        <w:t>The</w:t>
      </w:r>
      <w:r w:rsidR="00470EBF">
        <w:t xml:space="preserve"> </w:t>
      </w:r>
      <w:r w:rsidRPr="00A413B4">
        <w:t>Children’s</w:t>
      </w:r>
      <w:r w:rsidR="00470EBF">
        <w:t xml:space="preserve"> </w:t>
      </w:r>
      <w:r w:rsidRPr="00A413B4">
        <w:t>policy,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Youth</w:t>
      </w:r>
      <w:r w:rsidR="00470EBF">
        <w:t xml:space="preserve"> </w:t>
      </w:r>
      <w:r w:rsidRPr="00A413B4">
        <w:t>Policy,</w:t>
      </w:r>
      <w:r w:rsidR="00470EBF">
        <w:t xml:space="preserve"> </w:t>
      </w:r>
      <w:r w:rsidRPr="00A413B4">
        <w:t>Disability</w:t>
      </w:r>
      <w:r w:rsidR="00470EBF">
        <w:t xml:space="preserve"> </w:t>
      </w:r>
      <w:r w:rsidRPr="00A413B4">
        <w:t>inclusive</w:t>
      </w:r>
      <w:r w:rsidR="00470EBF">
        <w:t xml:space="preserve"> </w:t>
      </w:r>
      <w:r w:rsidRPr="00A413B4">
        <w:t>Policy,</w:t>
      </w:r>
      <w:r w:rsidR="00470EBF">
        <w:t xml:space="preserve"> </w:t>
      </w:r>
      <w:r w:rsidRPr="00A413B4">
        <w:t>Gender</w:t>
      </w:r>
      <w:r w:rsidR="00470EBF">
        <w:t xml:space="preserve"> </w:t>
      </w:r>
      <w:r w:rsidRPr="00A413B4">
        <w:t>quality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women’s</w:t>
      </w:r>
      <w:r w:rsidR="00470EBF">
        <w:t xml:space="preserve"> </w:t>
      </w:r>
      <w:r w:rsidRPr="00A413B4">
        <w:t>empowerment</w:t>
      </w:r>
      <w:r w:rsidR="00470EBF">
        <w:t xml:space="preserve"> </w:t>
      </w:r>
      <w:r w:rsidRPr="00A413B4">
        <w:t>Policy,</w:t>
      </w:r>
      <w:r w:rsidR="00470EBF">
        <w:t xml:space="preserve"> </w:t>
      </w:r>
      <w:r w:rsidRPr="00A413B4">
        <w:t>Family</w:t>
      </w:r>
      <w:r w:rsidR="00470EBF">
        <w:t xml:space="preserve"> </w:t>
      </w:r>
      <w:r w:rsidRPr="00A413B4">
        <w:t>and</w:t>
      </w:r>
      <w:r w:rsidR="00470EBF">
        <w:t xml:space="preserve"> </w:t>
      </w:r>
      <w:r w:rsidRPr="00A413B4">
        <w:t>Protection</w:t>
      </w:r>
      <w:r w:rsidR="00470EBF">
        <w:t xml:space="preserve"> </w:t>
      </w:r>
      <w:r w:rsidRPr="00A413B4">
        <w:t>Support</w:t>
      </w:r>
      <w:r w:rsidR="00470EBF">
        <w:t xml:space="preserve"> </w:t>
      </w:r>
      <w:r w:rsidRPr="00A413B4">
        <w:t>Act,</w:t>
      </w:r>
      <w:r w:rsidR="00470EBF">
        <w:t xml:space="preserve"> </w:t>
      </w:r>
      <w:r w:rsidRPr="00A413B4">
        <w:t>9,</w:t>
      </w:r>
      <w:r w:rsidR="00470EBF">
        <w:t xml:space="preserve"> </w:t>
      </w:r>
      <w:r w:rsidRPr="00A413B4">
        <w:t>the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Health</w:t>
      </w:r>
      <w:r w:rsidR="00470EBF">
        <w:t xml:space="preserve"> </w:t>
      </w:r>
      <w:r w:rsidRPr="00A413B4">
        <w:t>Strategy</w:t>
      </w:r>
      <w:r w:rsidR="00470EBF">
        <w:t xml:space="preserve"> </w:t>
      </w:r>
      <w:r w:rsidRPr="00A413B4">
        <w:t>provides</w:t>
      </w:r>
      <w:r w:rsidR="00470EBF">
        <w:t xml:space="preserve"> </w:t>
      </w:r>
      <w:r w:rsidRPr="00A413B4">
        <w:t>a</w:t>
      </w:r>
      <w:r w:rsidR="00470EBF">
        <w:t xml:space="preserve"> </w:t>
      </w:r>
      <w:r w:rsidRPr="00A413B4">
        <w:t>framework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identifying</w:t>
      </w:r>
      <w:r w:rsidR="00470EBF">
        <w:t xml:space="preserve"> </w:t>
      </w:r>
      <w:r w:rsidRPr="00A413B4">
        <w:t>priority</w:t>
      </w:r>
      <w:r w:rsidR="00470EBF">
        <w:t xml:space="preserve"> </w:t>
      </w:r>
      <w:r w:rsidRPr="00A413B4">
        <w:t>areas</w:t>
      </w:r>
      <w:r w:rsidR="00470EBF">
        <w:t xml:space="preserve"> </w:t>
      </w:r>
      <w:r w:rsidRPr="00A413B4">
        <w:t>affecting</w:t>
      </w:r>
      <w:r w:rsidR="00470EBF">
        <w:t xml:space="preserve"> </w:t>
      </w:r>
      <w:r w:rsidRPr="00A413B4">
        <w:t>children.</w:t>
      </w:r>
      <w:r w:rsidR="00470EBF">
        <w:t xml:space="preserve"> </w:t>
      </w:r>
    </w:p>
    <w:p w:rsidR="000A2967" w:rsidRPr="00A413B4" w:rsidRDefault="000A2967" w:rsidP="00C26914">
      <w:pPr>
        <w:pStyle w:val="SingleTxtG"/>
      </w:pPr>
      <w:r w:rsidRPr="00A413B4">
        <w:t>85.</w:t>
      </w:r>
      <w:r w:rsidRPr="00A413B4">
        <w:tab/>
        <w:t>Te</w:t>
      </w:r>
      <w:r w:rsidR="00470EBF">
        <w:t xml:space="preserve"> </w:t>
      </w:r>
      <w:r w:rsidRPr="00A413B4">
        <w:t>Pito</w:t>
      </w:r>
      <w:r w:rsidR="00470EBF">
        <w:t xml:space="preserve"> </w:t>
      </w:r>
      <w:r w:rsidRPr="00A413B4">
        <w:t>Manava</w:t>
      </w:r>
      <w:r w:rsidR="00470EBF">
        <w:t xml:space="preserve"> </w:t>
      </w:r>
      <w:r w:rsidRPr="00A413B4">
        <w:t>o</w:t>
      </w:r>
      <w:r w:rsidR="00470EBF">
        <w:t xml:space="preserve"> </w:t>
      </w:r>
      <w:r w:rsidRPr="00A413B4">
        <w:t>te</w:t>
      </w:r>
      <w:r w:rsidR="00470EBF">
        <w:t xml:space="preserve"> </w:t>
      </w:r>
      <w:r w:rsidRPr="00A413B4">
        <w:t>Anau</w:t>
      </w:r>
      <w:r w:rsidR="00470EBF">
        <w:t xml:space="preserve"> </w:t>
      </w:r>
      <w:r w:rsidRPr="00A413B4">
        <w:t>–</w:t>
      </w:r>
      <w:r w:rsidR="00470EBF">
        <w:t xml:space="preserve"> </w:t>
      </w:r>
      <w:r w:rsidRPr="00A413B4">
        <w:t>Cook</w:t>
      </w:r>
      <w:r w:rsidR="00470EBF">
        <w:t xml:space="preserve"> </w:t>
      </w:r>
      <w:r w:rsidRPr="00A413B4">
        <w:t>Islands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Policy</w:t>
      </w:r>
      <w:r w:rsidR="00470EBF">
        <w:t xml:space="preserve"> </w:t>
      </w:r>
      <w:r w:rsidRPr="00A413B4">
        <w:t>Framework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Children</w:t>
      </w:r>
      <w:r w:rsidR="00470EBF">
        <w:t xml:space="preserve"> </w:t>
      </w:r>
      <w:r w:rsidRPr="00A413B4">
        <w:t>2017</w:t>
      </w:r>
      <w:r w:rsidR="00757891">
        <w:t>–</w:t>
      </w:r>
      <w:r w:rsidRPr="00A413B4">
        <w:t>2021</w:t>
      </w:r>
      <w:r w:rsidR="00470EBF">
        <w:t xml:space="preserve"> </w:t>
      </w:r>
      <w:r w:rsidRPr="00A413B4">
        <w:t>adopts</w:t>
      </w:r>
      <w:r w:rsidR="00470EBF">
        <w:t xml:space="preserve"> </w:t>
      </w:r>
      <w:r w:rsidRPr="00A413B4">
        <w:t>an</w:t>
      </w:r>
      <w:r w:rsidR="00470EBF">
        <w:t xml:space="preserve"> </w:t>
      </w:r>
      <w:r w:rsidRPr="00A413B4">
        <w:t>outcomes</w:t>
      </w:r>
      <w:r w:rsidR="00470EBF">
        <w:t xml:space="preserve"> </w:t>
      </w:r>
      <w:r w:rsidRPr="00A413B4">
        <w:t>approach,</w:t>
      </w:r>
      <w:r w:rsidR="00470EBF">
        <w:t xml:space="preserve"> </w:t>
      </w:r>
      <w:r w:rsidRPr="00A413B4">
        <w:t>based</w:t>
      </w:r>
      <w:r w:rsidR="00470EBF">
        <w:t xml:space="preserve"> </w:t>
      </w:r>
      <w:r w:rsidRPr="00A413B4">
        <w:t>on</w:t>
      </w:r>
      <w:r w:rsidR="00470EBF">
        <w:t xml:space="preserve"> </w:t>
      </w:r>
      <w:r w:rsidRPr="00A413B4">
        <w:t>five</w:t>
      </w:r>
      <w:r w:rsidR="00470EBF">
        <w:t xml:space="preserve"> </w:t>
      </w:r>
      <w:r w:rsidRPr="00A413B4">
        <w:t>national</w:t>
      </w:r>
      <w:r w:rsidR="00470EBF">
        <w:t xml:space="preserve"> </w:t>
      </w:r>
      <w:r w:rsidRPr="00A413B4">
        <w:t>outcomes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children.</w:t>
      </w:r>
      <w:r w:rsidR="00A164FB">
        <w:t xml:space="preserve"> </w:t>
      </w:r>
      <w:r w:rsidRPr="00A413B4">
        <w:t>These</w:t>
      </w:r>
      <w:r w:rsidR="00470EBF">
        <w:t xml:space="preserve"> </w:t>
      </w:r>
      <w:r w:rsidRPr="00A413B4">
        <w:t>outcomes</w:t>
      </w:r>
      <w:r w:rsidR="00470EBF">
        <w:t xml:space="preserve"> </w:t>
      </w:r>
      <w:r w:rsidRPr="00A413B4">
        <w:t>are</w:t>
      </w:r>
      <w:r w:rsidR="00470EBF">
        <w:t xml:space="preserve"> </w:t>
      </w:r>
      <w:r w:rsidRPr="00A413B4">
        <w:t>that</w:t>
      </w:r>
      <w:r w:rsidR="00470EBF">
        <w:t xml:space="preserve"> </w:t>
      </w:r>
      <w:r w:rsidRPr="00A413B4">
        <w:t>children:</w:t>
      </w:r>
    </w:p>
    <w:p w:rsidR="000A2967" w:rsidRPr="00A413B4" w:rsidRDefault="005A048E" w:rsidP="00C26914">
      <w:pPr>
        <w:pStyle w:val="SingleTxtG"/>
      </w:pPr>
      <w:r>
        <w:tab/>
      </w:r>
      <w:r w:rsidR="000A2967" w:rsidRPr="00A413B4">
        <w:t>(a)</w:t>
      </w:r>
      <w:r w:rsidR="000A2967" w:rsidRPr="00A413B4">
        <w:tab/>
        <w:t>Are</w:t>
      </w:r>
      <w:r w:rsidR="00470EBF">
        <w:t xml:space="preserve"> </w:t>
      </w:r>
      <w:r w:rsidR="000A2967" w:rsidRPr="00A413B4">
        <w:t>active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healthy,</w:t>
      </w:r>
      <w:r w:rsidR="00470EBF">
        <w:t xml:space="preserve"> </w:t>
      </w:r>
      <w:r w:rsidR="000A2967" w:rsidRPr="00A413B4">
        <w:t>physically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mentally</w:t>
      </w:r>
      <w:r w:rsidR="00470EBF">
        <w:t xml:space="preserve"> </w:t>
      </w:r>
      <w:r w:rsidR="000A2967" w:rsidRPr="00A413B4">
        <w:t>(aligned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Convention</w:t>
      </w:r>
      <w:r w:rsidR="00470EBF">
        <w:t xml:space="preserve"> </w:t>
      </w:r>
      <w:r w:rsidR="000A2967" w:rsidRPr="00A413B4">
        <w:t>Articles</w:t>
      </w:r>
      <w:r w:rsidR="00470EBF">
        <w:t xml:space="preserve"> </w:t>
      </w:r>
      <w:r w:rsidR="000A2967" w:rsidRPr="00A413B4">
        <w:t>6;</w:t>
      </w:r>
      <w:r w:rsidR="00470EBF">
        <w:t xml:space="preserve"> </w:t>
      </w:r>
      <w:r w:rsidR="000A2967" w:rsidRPr="00A413B4">
        <w:t>22;</w:t>
      </w:r>
      <w:r w:rsidR="00470EBF">
        <w:t xml:space="preserve"> </w:t>
      </w:r>
      <w:r w:rsidR="000A2967" w:rsidRPr="00A413B4">
        <w:t>31;</w:t>
      </w:r>
      <w:r w:rsidR="00470EBF">
        <w:t xml:space="preserve"> </w:t>
      </w:r>
      <w:r w:rsidR="000A2967" w:rsidRPr="00A413B4">
        <w:t>33;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23);</w:t>
      </w:r>
    </w:p>
    <w:p w:rsidR="000A2967" w:rsidRPr="00A413B4" w:rsidRDefault="005A048E" w:rsidP="00C26914">
      <w:pPr>
        <w:pStyle w:val="SingleTxtG"/>
      </w:pPr>
      <w:r>
        <w:tab/>
      </w:r>
      <w:r w:rsidR="000A2967" w:rsidRPr="00A413B4">
        <w:t>(b)</w:t>
      </w:r>
      <w:r w:rsidR="000A2967" w:rsidRPr="00A413B4">
        <w:tab/>
        <w:t>Are</w:t>
      </w:r>
      <w:r w:rsidR="00470EBF">
        <w:t xml:space="preserve"> </w:t>
      </w:r>
      <w:r w:rsidR="000A2967" w:rsidRPr="00A413B4">
        <w:t>achieving</w:t>
      </w:r>
      <w:r w:rsidR="00470EBF">
        <w:t xml:space="preserve"> </w:t>
      </w:r>
      <w:r w:rsidR="000A2967" w:rsidRPr="00A413B4">
        <w:t>their</w:t>
      </w:r>
      <w:r w:rsidR="00470EBF">
        <w:t xml:space="preserve"> </w:t>
      </w:r>
      <w:r w:rsidR="000A2967" w:rsidRPr="00A413B4">
        <w:t>full</w:t>
      </w:r>
      <w:r w:rsidR="00470EBF">
        <w:t xml:space="preserve"> </w:t>
      </w:r>
      <w:r w:rsidR="000A2967" w:rsidRPr="00A413B4">
        <w:t>potential</w:t>
      </w:r>
      <w:r w:rsidR="00470EBF">
        <w:t xml:space="preserve"> </w:t>
      </w:r>
      <w:r w:rsidR="000A2967" w:rsidRPr="00A413B4">
        <w:t>in</w:t>
      </w:r>
      <w:r w:rsidR="00470EBF">
        <w:t xml:space="preserve"> </w:t>
      </w:r>
      <w:r w:rsidR="000A2967" w:rsidRPr="00A413B4">
        <w:t>all</w:t>
      </w:r>
      <w:r w:rsidR="00470EBF">
        <w:t xml:space="preserve"> </w:t>
      </w:r>
      <w:r w:rsidR="000A2967" w:rsidRPr="00A413B4">
        <w:t>areas</w:t>
      </w:r>
      <w:r w:rsidR="00470EBF">
        <w:t xml:space="preserve"> </w:t>
      </w:r>
      <w:r w:rsidR="000A2967" w:rsidRPr="00A413B4">
        <w:t>of</w:t>
      </w:r>
      <w:r w:rsidR="00470EBF">
        <w:t xml:space="preserve"> </w:t>
      </w:r>
      <w:r w:rsidR="000A2967" w:rsidRPr="00A413B4">
        <w:t>learning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development</w:t>
      </w:r>
      <w:r w:rsidR="00470EBF">
        <w:t xml:space="preserve"> </w:t>
      </w:r>
      <w:r w:rsidR="000A2967" w:rsidRPr="00A413B4">
        <w:t>(aligned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Convention</w:t>
      </w:r>
      <w:r w:rsidR="00470EBF">
        <w:t xml:space="preserve"> </w:t>
      </w:r>
      <w:r w:rsidR="000A2967" w:rsidRPr="00A413B4">
        <w:t>Articles</w:t>
      </w:r>
      <w:r w:rsidR="00470EBF">
        <w:t xml:space="preserve"> </w:t>
      </w:r>
      <w:r w:rsidR="000A2967" w:rsidRPr="00A413B4">
        <w:t>28;</w:t>
      </w:r>
      <w:r w:rsidR="00470EBF">
        <w:t xml:space="preserve"> </w:t>
      </w:r>
      <w:r w:rsidR="000A2967" w:rsidRPr="00A413B4">
        <w:t>29;</w:t>
      </w:r>
      <w:r w:rsidR="00470EBF">
        <w:t xml:space="preserve"> </w:t>
      </w:r>
      <w:r w:rsidR="000A2967" w:rsidRPr="00A413B4">
        <w:t>14;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23);</w:t>
      </w:r>
    </w:p>
    <w:p w:rsidR="000A2967" w:rsidRPr="00A413B4" w:rsidRDefault="005A048E" w:rsidP="00C26914">
      <w:pPr>
        <w:pStyle w:val="SingleTxtG"/>
      </w:pPr>
      <w:r>
        <w:tab/>
      </w:r>
      <w:r w:rsidR="000A2967" w:rsidRPr="00A413B4">
        <w:t>(c)</w:t>
      </w:r>
      <w:r w:rsidR="000A2967" w:rsidRPr="00A413B4">
        <w:tab/>
        <w:t>Are</w:t>
      </w:r>
      <w:r w:rsidR="00470EBF">
        <w:t xml:space="preserve"> </w:t>
      </w:r>
      <w:r w:rsidR="000A2967" w:rsidRPr="00A413B4">
        <w:t>safe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protected</w:t>
      </w:r>
      <w:r w:rsidR="00470EBF">
        <w:t xml:space="preserve"> </w:t>
      </w:r>
      <w:r w:rsidR="000A2967" w:rsidRPr="00A413B4">
        <w:t>from</w:t>
      </w:r>
      <w:r w:rsidR="00470EBF">
        <w:t xml:space="preserve"> </w:t>
      </w:r>
      <w:r w:rsidR="000A2967" w:rsidRPr="00A413B4">
        <w:t>harm</w:t>
      </w:r>
      <w:r w:rsidR="00470EBF">
        <w:t xml:space="preserve"> </w:t>
      </w:r>
      <w:r w:rsidR="000A2967" w:rsidRPr="00A413B4">
        <w:t>(aligned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Convention</w:t>
      </w:r>
      <w:r w:rsidR="00470EBF">
        <w:t xml:space="preserve"> </w:t>
      </w:r>
      <w:r w:rsidR="000A2967" w:rsidRPr="00A413B4">
        <w:t>Articles</w:t>
      </w:r>
      <w:r w:rsidR="00470EBF">
        <w:t xml:space="preserve"> </w:t>
      </w:r>
      <w:r w:rsidR="000A2967" w:rsidRPr="00A413B4">
        <w:t>9;</w:t>
      </w:r>
      <w:r w:rsidR="00470EBF">
        <w:t xml:space="preserve"> </w:t>
      </w:r>
      <w:r w:rsidR="000A2967" w:rsidRPr="00A413B4">
        <w:t>10;</w:t>
      </w:r>
      <w:r w:rsidR="00470EBF">
        <w:t xml:space="preserve"> </w:t>
      </w:r>
      <w:r w:rsidR="000A2967" w:rsidRPr="00A413B4">
        <w:t>19,</w:t>
      </w:r>
      <w:r w:rsidR="00470EBF">
        <w:t xml:space="preserve"> </w:t>
      </w:r>
      <w:r w:rsidR="000A2967" w:rsidRPr="00A413B4">
        <w:t>36,</w:t>
      </w:r>
      <w:r w:rsidR="00470EBF">
        <w:t xml:space="preserve"> </w:t>
      </w:r>
      <w:r w:rsidR="000A2967" w:rsidRPr="00A413B4">
        <w:t>34;</w:t>
      </w:r>
      <w:r w:rsidR="00470EBF">
        <w:t xml:space="preserve"> </w:t>
      </w:r>
      <w:r w:rsidR="000A2967" w:rsidRPr="00A413B4">
        <w:t>39,</w:t>
      </w:r>
      <w:r w:rsidR="00470EBF">
        <w:t xml:space="preserve"> </w:t>
      </w:r>
      <w:r w:rsidR="000A2967" w:rsidRPr="00A413B4">
        <w:t>11,</w:t>
      </w:r>
      <w:r w:rsidR="00470EBF">
        <w:t xml:space="preserve"> </w:t>
      </w:r>
      <w:r w:rsidR="000A2967" w:rsidRPr="00A413B4">
        <w:t>35;</w:t>
      </w:r>
      <w:r w:rsidR="00470EBF">
        <w:t xml:space="preserve"> </w:t>
      </w:r>
      <w:r w:rsidR="000A2967" w:rsidRPr="00A413B4">
        <w:t>20,</w:t>
      </w:r>
      <w:r w:rsidR="00470EBF">
        <w:t xml:space="preserve"> </w:t>
      </w:r>
      <w:r w:rsidR="000A2967" w:rsidRPr="00A413B4">
        <w:t>25,</w:t>
      </w:r>
      <w:r w:rsidR="00470EBF">
        <w:t xml:space="preserve"> </w:t>
      </w:r>
      <w:r w:rsidR="000A2967" w:rsidRPr="00A413B4">
        <w:t>21;</w:t>
      </w:r>
      <w:r w:rsidR="00470EBF">
        <w:t xml:space="preserve"> </w:t>
      </w:r>
      <w:r w:rsidR="000A2967" w:rsidRPr="00A413B4">
        <w:t>37;</w:t>
      </w:r>
      <w:r w:rsidR="00470EBF">
        <w:t xml:space="preserve"> </w:t>
      </w:r>
      <w:r w:rsidR="000A2967" w:rsidRPr="00A413B4">
        <w:t>40;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17);</w:t>
      </w:r>
    </w:p>
    <w:p w:rsidR="000A2967" w:rsidRPr="00A413B4" w:rsidRDefault="005A048E" w:rsidP="00C26914">
      <w:pPr>
        <w:pStyle w:val="SingleTxtG"/>
      </w:pPr>
      <w:r>
        <w:tab/>
      </w:r>
      <w:r w:rsidR="000A2967" w:rsidRPr="00A413B4">
        <w:t>(d)</w:t>
      </w:r>
      <w:r w:rsidR="000A2967" w:rsidRPr="00A413B4">
        <w:tab/>
        <w:t>Have</w:t>
      </w:r>
      <w:r w:rsidR="00470EBF">
        <w:t xml:space="preserve"> </w:t>
      </w:r>
      <w:r w:rsidR="000A2967" w:rsidRPr="00A413B4">
        <w:t>economic</w:t>
      </w:r>
      <w:r w:rsidR="00470EBF">
        <w:t xml:space="preserve"> </w:t>
      </w:r>
      <w:r w:rsidR="000A2967" w:rsidRPr="00A413B4">
        <w:t>safety</w:t>
      </w:r>
      <w:r w:rsidR="00470EBF">
        <w:t xml:space="preserve"> </w:t>
      </w:r>
      <w:r w:rsidR="000A2967" w:rsidRPr="00A413B4">
        <w:t>measures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opportunity</w:t>
      </w:r>
      <w:r w:rsidR="00470EBF">
        <w:t xml:space="preserve"> </w:t>
      </w:r>
      <w:r w:rsidR="000A2967" w:rsidRPr="00A413B4">
        <w:t>(aligned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Convention</w:t>
      </w:r>
      <w:r w:rsidR="00470EBF">
        <w:t xml:space="preserve"> </w:t>
      </w:r>
      <w:r w:rsidR="000A2967" w:rsidRPr="00A413B4">
        <w:t>Articles</w:t>
      </w:r>
      <w:r w:rsidR="00470EBF">
        <w:t xml:space="preserve"> </w:t>
      </w:r>
      <w:r w:rsidR="000A2967" w:rsidRPr="00A413B4">
        <w:t>27;</w:t>
      </w:r>
      <w:r w:rsidR="00470EBF">
        <w:t xml:space="preserve"> </w:t>
      </w:r>
      <w:r w:rsidR="000A2967" w:rsidRPr="00A413B4">
        <w:t>18;</w:t>
      </w:r>
      <w:r w:rsidR="00470EBF">
        <w:t xml:space="preserve"> </w:t>
      </w:r>
      <w:r w:rsidR="000A2967" w:rsidRPr="00A413B4">
        <w:t>26;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28);</w:t>
      </w:r>
    </w:p>
    <w:p w:rsidR="000A2967" w:rsidRPr="00A413B4" w:rsidRDefault="005A048E" w:rsidP="00C26914">
      <w:pPr>
        <w:pStyle w:val="SingleTxtG"/>
      </w:pPr>
      <w:r>
        <w:tab/>
      </w:r>
      <w:r w:rsidR="000A2967" w:rsidRPr="00A413B4">
        <w:t>(e)</w:t>
      </w:r>
      <w:r w:rsidR="000A2967" w:rsidRPr="00A413B4">
        <w:tab/>
        <w:t>Are</w:t>
      </w:r>
      <w:r w:rsidR="00470EBF">
        <w:t xml:space="preserve"> </w:t>
      </w:r>
      <w:r w:rsidR="000A2967" w:rsidRPr="00A413B4">
        <w:t>connected,</w:t>
      </w:r>
      <w:r w:rsidR="00470EBF">
        <w:t xml:space="preserve"> </w:t>
      </w:r>
      <w:r w:rsidR="000A2967" w:rsidRPr="00A413B4">
        <w:t>respected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contributing</w:t>
      </w:r>
      <w:r w:rsidR="00470EBF">
        <w:t xml:space="preserve"> </w:t>
      </w:r>
      <w:r w:rsidR="000A2967" w:rsidRPr="00A413B4">
        <w:t>positively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their</w:t>
      </w:r>
      <w:r w:rsidR="00470EBF">
        <w:t xml:space="preserve"> </w:t>
      </w:r>
      <w:r w:rsidR="000A2967" w:rsidRPr="00A413B4">
        <w:t>world</w:t>
      </w:r>
      <w:r w:rsidR="00470EBF">
        <w:t xml:space="preserve"> </w:t>
      </w:r>
      <w:r w:rsidR="000A2967" w:rsidRPr="00A413B4">
        <w:t>(aligned</w:t>
      </w:r>
      <w:r w:rsidR="00470EBF">
        <w:t xml:space="preserve"> </w:t>
      </w:r>
      <w:r w:rsidR="000A2967" w:rsidRPr="00A413B4">
        <w:t>to</w:t>
      </w:r>
      <w:r w:rsidR="00470EBF">
        <w:t xml:space="preserve"> </w:t>
      </w:r>
      <w:r w:rsidR="000A2967" w:rsidRPr="00A413B4">
        <w:t>the</w:t>
      </w:r>
      <w:r w:rsidR="00470EBF">
        <w:t xml:space="preserve"> </w:t>
      </w:r>
      <w:r w:rsidR="000A2967" w:rsidRPr="00A413B4">
        <w:t>Convention</w:t>
      </w:r>
      <w:r w:rsidR="00470EBF">
        <w:t xml:space="preserve"> </w:t>
      </w:r>
      <w:r w:rsidR="000A2967" w:rsidRPr="00A413B4">
        <w:t>Articles</w:t>
      </w:r>
      <w:r w:rsidR="00470EBF">
        <w:t xml:space="preserve"> </w:t>
      </w:r>
      <w:r w:rsidR="000A2967" w:rsidRPr="00A413B4">
        <w:t>2;</w:t>
      </w:r>
      <w:r w:rsidR="00470EBF">
        <w:t xml:space="preserve"> </w:t>
      </w:r>
      <w:r w:rsidR="000A2967" w:rsidRPr="00A413B4">
        <w:t>12;</w:t>
      </w:r>
      <w:r w:rsidR="00470EBF">
        <w:t xml:space="preserve"> </w:t>
      </w:r>
      <w:r w:rsidR="000A2967" w:rsidRPr="00A413B4">
        <w:t>16;</w:t>
      </w:r>
      <w:r w:rsidR="00470EBF">
        <w:t xml:space="preserve"> </w:t>
      </w:r>
      <w:r w:rsidR="000A2967" w:rsidRPr="00A413B4">
        <w:t>30;</w:t>
      </w:r>
      <w:r w:rsidR="00470EBF">
        <w:t xml:space="preserve"> </w:t>
      </w:r>
      <w:r w:rsidR="000A2967" w:rsidRPr="00A413B4">
        <w:t>13;</w:t>
      </w:r>
      <w:r w:rsidR="00470EBF">
        <w:t xml:space="preserve"> </w:t>
      </w:r>
      <w:r w:rsidR="000A2967" w:rsidRPr="00A413B4">
        <w:t>15;</w:t>
      </w:r>
      <w:r w:rsidR="00470EBF">
        <w:t xml:space="preserve"> </w:t>
      </w:r>
      <w:r w:rsidR="000A2967" w:rsidRPr="00A413B4">
        <w:t>and</w:t>
      </w:r>
      <w:r w:rsidR="00470EBF">
        <w:t xml:space="preserve"> </w:t>
      </w:r>
      <w:r w:rsidR="000A2967" w:rsidRPr="00A413B4">
        <w:t>42).</w:t>
      </w:r>
    </w:p>
    <w:p w:rsidR="000A2967" w:rsidRPr="00A413B4" w:rsidRDefault="000A2967" w:rsidP="00C26914">
      <w:pPr>
        <w:pStyle w:val="SingleTxtG"/>
      </w:pPr>
      <w:r w:rsidRPr="00A413B4">
        <w:t>86.</w:t>
      </w:r>
      <w:r w:rsidRPr="00A413B4">
        <w:tab/>
        <w:t>Each</w:t>
      </w:r>
      <w:r w:rsidR="00470EBF">
        <w:t xml:space="preserve"> </w:t>
      </w:r>
      <w:r w:rsidRPr="00A413B4">
        <w:t>of</w:t>
      </w:r>
      <w:r w:rsidR="00470EBF">
        <w:t xml:space="preserve"> </w:t>
      </w:r>
      <w:r w:rsidRPr="00A413B4">
        <w:t>these</w:t>
      </w:r>
      <w:r w:rsidR="00470EBF">
        <w:t xml:space="preserve"> </w:t>
      </w:r>
      <w:r w:rsidRPr="00A413B4">
        <w:t>outcomes</w:t>
      </w:r>
      <w:r w:rsidR="00470EBF">
        <w:t xml:space="preserve"> </w:t>
      </w:r>
      <w:r w:rsidRPr="00A413B4">
        <w:t>have</w:t>
      </w:r>
      <w:r w:rsidR="00470EBF">
        <w:t xml:space="preserve"> </w:t>
      </w:r>
      <w:r w:rsidRPr="00A413B4">
        <w:t>subsequent</w:t>
      </w:r>
      <w:r w:rsidR="00470EBF">
        <w:t xml:space="preserve"> </w:t>
      </w:r>
      <w:r w:rsidRPr="00A413B4">
        <w:t>interrelated</w:t>
      </w:r>
      <w:r w:rsidR="00470EBF">
        <w:t xml:space="preserve"> </w:t>
      </w:r>
      <w:r w:rsidRPr="00A413B4">
        <w:t>strategies</w:t>
      </w:r>
      <w:r w:rsidR="00470EBF">
        <w:t xml:space="preserve"> </w:t>
      </w:r>
      <w:r w:rsidRPr="00A413B4">
        <w:t>for</w:t>
      </w:r>
      <w:r w:rsidR="00470EBF">
        <w:t xml:space="preserve"> </w:t>
      </w:r>
      <w:r w:rsidRPr="00A413B4">
        <w:t>implementation.</w:t>
      </w:r>
    </w:p>
    <w:p w:rsidR="000A2967" w:rsidRDefault="005A048E" w:rsidP="005A048E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2967" w:rsidSect="00ED625E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45" w:rsidRPr="00C60504" w:rsidRDefault="001B5A45" w:rsidP="00C60504">
      <w:pPr>
        <w:pStyle w:val="Footer"/>
      </w:pPr>
    </w:p>
  </w:endnote>
  <w:endnote w:type="continuationSeparator" w:id="0">
    <w:p w:rsidR="001B5A45" w:rsidRPr="00C60504" w:rsidRDefault="001B5A45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5" w:rsidRDefault="001B5A45" w:rsidP="000A2967">
    <w:pPr>
      <w:pStyle w:val="Footer"/>
      <w:tabs>
        <w:tab w:val="right" w:pos="9638"/>
      </w:tabs>
    </w:pPr>
    <w:r w:rsidRPr="000A2967">
      <w:rPr>
        <w:b/>
        <w:bCs/>
        <w:sz w:val="18"/>
      </w:rPr>
      <w:fldChar w:fldCharType="begin"/>
    </w:r>
    <w:r w:rsidRPr="000A2967">
      <w:rPr>
        <w:b/>
        <w:bCs/>
        <w:sz w:val="18"/>
      </w:rPr>
      <w:instrText xml:space="preserve"> PAGE  \* MERGEFORMAT </w:instrText>
    </w:r>
    <w:r w:rsidRPr="000A2967">
      <w:rPr>
        <w:b/>
        <w:bCs/>
        <w:sz w:val="18"/>
      </w:rPr>
      <w:fldChar w:fldCharType="separate"/>
    </w:r>
    <w:r w:rsidR="002E5A06">
      <w:rPr>
        <w:b/>
        <w:bCs/>
        <w:noProof/>
        <w:sz w:val="18"/>
      </w:rPr>
      <w:t>2</w:t>
    </w:r>
    <w:r w:rsidRPr="000A296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5" w:rsidRDefault="001B5A45" w:rsidP="000A2967">
    <w:pPr>
      <w:pStyle w:val="Footer"/>
      <w:tabs>
        <w:tab w:val="right" w:pos="9638"/>
      </w:tabs>
    </w:pPr>
    <w:r>
      <w:tab/>
    </w:r>
    <w:r w:rsidRPr="000A2967">
      <w:rPr>
        <w:b/>
        <w:bCs/>
        <w:sz w:val="18"/>
      </w:rPr>
      <w:fldChar w:fldCharType="begin"/>
    </w:r>
    <w:r w:rsidRPr="000A2967">
      <w:rPr>
        <w:b/>
        <w:bCs/>
        <w:sz w:val="18"/>
      </w:rPr>
      <w:instrText xml:space="preserve"> PAGE  \* MERGEFORMAT </w:instrText>
    </w:r>
    <w:r w:rsidRPr="000A2967">
      <w:rPr>
        <w:b/>
        <w:bCs/>
        <w:sz w:val="18"/>
      </w:rPr>
      <w:fldChar w:fldCharType="separate"/>
    </w:r>
    <w:r w:rsidR="002E5A06">
      <w:rPr>
        <w:b/>
        <w:bCs/>
        <w:noProof/>
        <w:sz w:val="18"/>
      </w:rPr>
      <w:t>21</w:t>
    </w:r>
    <w:r w:rsidRPr="000A296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9E" w:rsidRDefault="00F3248B" w:rsidP="0048789E">
    <w:pPr>
      <w:pStyle w:val="Footer"/>
    </w:pP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5553403</wp:posOffset>
          </wp:positionH>
          <wp:positionV relativeFrom="paragraph">
            <wp:posOffset>-2581</wp:posOffset>
          </wp:positionV>
          <wp:extent cx="561975" cy="561975"/>
          <wp:effectExtent l="0" t="0" r="9525" b="9525"/>
          <wp:wrapNone/>
          <wp:docPr id="3" name="Picture 1" descr="https://undocs.org/m2/QRCode.ashx?DS=CRC/C/COK/RQ/2-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COK/RQ/2-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89E">
      <w:rPr>
        <w:noProof/>
        <w:lang w:val="en-U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4490085</wp:posOffset>
          </wp:positionH>
          <wp:positionV relativeFrom="margin">
            <wp:posOffset>9024620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789E" w:rsidRDefault="0048789E" w:rsidP="0048789E">
    <w:pPr>
      <w:pStyle w:val="Footer"/>
      <w:ind w:right="1134"/>
      <w:rPr>
        <w:sz w:val="20"/>
      </w:rPr>
    </w:pPr>
    <w:r>
      <w:rPr>
        <w:sz w:val="20"/>
      </w:rPr>
      <w:t>GE.20-01415(E)</w:t>
    </w:r>
  </w:p>
  <w:p w:rsidR="0048789E" w:rsidRPr="0048789E" w:rsidRDefault="0048789E" w:rsidP="0048789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45" w:rsidRPr="00C60504" w:rsidRDefault="001B5A45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B5A45" w:rsidRPr="00C60504" w:rsidRDefault="001B5A45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B5A45" w:rsidRPr="00C26914" w:rsidRDefault="001B5A45">
      <w:pPr>
        <w:pStyle w:val="FootnoteText"/>
      </w:pPr>
      <w:r>
        <w:rPr>
          <w:rStyle w:val="FootnoteReference"/>
        </w:rPr>
        <w:tab/>
      </w:r>
      <w:r w:rsidRPr="00C269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B0016">
        <w:rPr>
          <w:szCs w:val="18"/>
          <w:lang w:eastAsia="es-ES"/>
        </w:rPr>
        <w:t>The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present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document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is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being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issued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without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formal</w:t>
      </w:r>
      <w:r>
        <w:rPr>
          <w:szCs w:val="18"/>
          <w:lang w:eastAsia="es-ES"/>
        </w:rPr>
        <w:t xml:space="preserve"> </w:t>
      </w:r>
      <w:r w:rsidRPr="003B0016">
        <w:rPr>
          <w:szCs w:val="18"/>
          <w:lang w:eastAsia="es-ES"/>
        </w:rPr>
        <w:t>editing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5" w:rsidRDefault="001B5A45" w:rsidP="000A2967">
    <w:pPr>
      <w:pStyle w:val="Header"/>
    </w:pPr>
    <w:r>
      <w:t>CRC/C/COK/RQ/2-</w:t>
    </w:r>
    <w:r w:rsidR="009E15B6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5" w:rsidRDefault="001B5A45" w:rsidP="000A2967">
    <w:pPr>
      <w:pStyle w:val="Header"/>
      <w:jc w:val="right"/>
    </w:pPr>
    <w:r>
      <w:t>CRC/C/COK/RQ/2-</w:t>
    </w:r>
    <w:r w:rsidR="009E15B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28C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0A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CD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3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EC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52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E3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0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E6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7429F"/>
    <w:multiLevelType w:val="hybridMultilevel"/>
    <w:tmpl w:val="296C6778"/>
    <w:lvl w:ilvl="0" w:tplc="5BE01BE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BB01549"/>
    <w:multiLevelType w:val="hybridMultilevel"/>
    <w:tmpl w:val="7FF8E1DC"/>
    <w:lvl w:ilvl="0" w:tplc="5BE01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2B362816"/>
    <w:lvl w:ilvl="0" w:tplc="6B868C5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ADE5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25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6F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AF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4F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CA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26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C6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1D2247"/>
    <w:multiLevelType w:val="hybridMultilevel"/>
    <w:tmpl w:val="01BA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53B37"/>
    <w:multiLevelType w:val="hybridMultilevel"/>
    <w:tmpl w:val="FB8A8586"/>
    <w:lvl w:ilvl="0" w:tplc="5BE01BE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5A6850"/>
    <w:multiLevelType w:val="hybridMultilevel"/>
    <w:tmpl w:val="22CAFBBC"/>
    <w:lvl w:ilvl="0" w:tplc="5BE01B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F2E1E"/>
    <w:multiLevelType w:val="hybridMultilevel"/>
    <w:tmpl w:val="FD065B9C"/>
    <w:lvl w:ilvl="0" w:tplc="5BE01B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F48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7062F1"/>
    <w:multiLevelType w:val="hybridMultilevel"/>
    <w:tmpl w:val="E19A785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D75DC"/>
    <w:multiLevelType w:val="hybridMultilevel"/>
    <w:tmpl w:val="8CA4D42A"/>
    <w:lvl w:ilvl="0" w:tplc="5BE01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F5229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F4EB2"/>
    <w:multiLevelType w:val="hybridMultilevel"/>
    <w:tmpl w:val="CB6C816A"/>
    <w:lvl w:ilvl="0" w:tplc="CA00D4D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97341726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92D2F7F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C316C7F0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CE6BB96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2124B9A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BDEA3D58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D250CC9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875AFC90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F5E4A86"/>
    <w:multiLevelType w:val="hybridMultilevel"/>
    <w:tmpl w:val="936AD9F0"/>
    <w:lvl w:ilvl="0" w:tplc="5BE01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BE01B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C14E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BB1FAE"/>
    <w:multiLevelType w:val="hybridMultilevel"/>
    <w:tmpl w:val="FD88DCD2"/>
    <w:lvl w:ilvl="0" w:tplc="5BE01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78F1C0">
      <w:start w:val="1"/>
      <w:numFmt w:val="decimal"/>
      <w:lvlText w:val="(%2)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8AD07B2"/>
    <w:multiLevelType w:val="hybridMultilevel"/>
    <w:tmpl w:val="7FEE3222"/>
    <w:lvl w:ilvl="0" w:tplc="CCD22BE4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32E87482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3A48280A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4C083BF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D1C377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D7206C10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A4C296E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B6AC6E3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DE7CB98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BE03574"/>
    <w:multiLevelType w:val="hybridMultilevel"/>
    <w:tmpl w:val="A89ABC46"/>
    <w:lvl w:ilvl="0" w:tplc="5BE01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C7D32"/>
    <w:multiLevelType w:val="hybridMultilevel"/>
    <w:tmpl w:val="5BFC3894"/>
    <w:lvl w:ilvl="0" w:tplc="5BE01BE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73DE617D"/>
    <w:multiLevelType w:val="hybridMultilevel"/>
    <w:tmpl w:val="F5BE3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A16468"/>
    <w:multiLevelType w:val="hybridMultilevel"/>
    <w:tmpl w:val="583EA516"/>
    <w:lvl w:ilvl="0" w:tplc="5BE01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BE01B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29"/>
  </w:num>
  <w:num w:numId="5">
    <w:abstractNumId w:val="30"/>
  </w:num>
  <w:num w:numId="6">
    <w:abstractNumId w:val="35"/>
  </w:num>
  <w:num w:numId="7">
    <w:abstractNumId w:val="14"/>
  </w:num>
  <w:num w:numId="8">
    <w:abstractNumId w:val="20"/>
  </w:num>
  <w:num w:numId="9">
    <w:abstractNumId w:val="26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24"/>
  </w:num>
  <w:num w:numId="23">
    <w:abstractNumId w:val="13"/>
  </w:num>
  <w:num w:numId="24">
    <w:abstractNumId w:val="23"/>
  </w:num>
  <w:num w:numId="25">
    <w:abstractNumId w:val="15"/>
  </w:num>
  <w:num w:numId="26">
    <w:abstractNumId w:val="34"/>
  </w:num>
  <w:num w:numId="27">
    <w:abstractNumId w:val="21"/>
  </w:num>
  <w:num w:numId="28">
    <w:abstractNumId w:val="11"/>
  </w:num>
  <w:num w:numId="29">
    <w:abstractNumId w:val="32"/>
  </w:num>
  <w:num w:numId="30">
    <w:abstractNumId w:val="12"/>
  </w:num>
  <w:num w:numId="31">
    <w:abstractNumId w:val="18"/>
  </w:num>
  <w:num w:numId="32">
    <w:abstractNumId w:val="36"/>
  </w:num>
  <w:num w:numId="33">
    <w:abstractNumId w:val="25"/>
  </w:num>
  <w:num w:numId="34">
    <w:abstractNumId w:val="28"/>
  </w:num>
  <w:num w:numId="35">
    <w:abstractNumId w:val="19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defaultTabStop w:val="567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C"/>
    <w:rsid w:val="00027875"/>
    <w:rsid w:val="00046E92"/>
    <w:rsid w:val="00047BA4"/>
    <w:rsid w:val="000513F5"/>
    <w:rsid w:val="00071A54"/>
    <w:rsid w:val="000816C1"/>
    <w:rsid w:val="000A2967"/>
    <w:rsid w:val="000B3C22"/>
    <w:rsid w:val="000E54AD"/>
    <w:rsid w:val="000F522C"/>
    <w:rsid w:val="001B5A45"/>
    <w:rsid w:val="001D1356"/>
    <w:rsid w:val="00211ACA"/>
    <w:rsid w:val="00226ADD"/>
    <w:rsid w:val="0023697D"/>
    <w:rsid w:val="00247E2C"/>
    <w:rsid w:val="00264A9F"/>
    <w:rsid w:val="00296485"/>
    <w:rsid w:val="002A09CA"/>
    <w:rsid w:val="002A5CD8"/>
    <w:rsid w:val="002C58AB"/>
    <w:rsid w:val="002D6C53"/>
    <w:rsid w:val="002E5A06"/>
    <w:rsid w:val="002F5595"/>
    <w:rsid w:val="003038E3"/>
    <w:rsid w:val="00331AA6"/>
    <w:rsid w:val="00334F6A"/>
    <w:rsid w:val="00342AC8"/>
    <w:rsid w:val="003522C2"/>
    <w:rsid w:val="003B4550"/>
    <w:rsid w:val="003B4F98"/>
    <w:rsid w:val="003B747E"/>
    <w:rsid w:val="003F60D7"/>
    <w:rsid w:val="00461253"/>
    <w:rsid w:val="004629FE"/>
    <w:rsid w:val="00470EBF"/>
    <w:rsid w:val="00477C5E"/>
    <w:rsid w:val="0048789E"/>
    <w:rsid w:val="004A6216"/>
    <w:rsid w:val="005042C2"/>
    <w:rsid w:val="00554624"/>
    <w:rsid w:val="00575225"/>
    <w:rsid w:val="00594741"/>
    <w:rsid w:val="005A048E"/>
    <w:rsid w:val="005A2366"/>
    <w:rsid w:val="00610AB2"/>
    <w:rsid w:val="00671529"/>
    <w:rsid w:val="006E252B"/>
    <w:rsid w:val="006F0959"/>
    <w:rsid w:val="006F1A60"/>
    <w:rsid w:val="007268F9"/>
    <w:rsid w:val="00757891"/>
    <w:rsid w:val="007C52B0"/>
    <w:rsid w:val="007E14B4"/>
    <w:rsid w:val="007F0290"/>
    <w:rsid w:val="0080101A"/>
    <w:rsid w:val="00831531"/>
    <w:rsid w:val="0086414D"/>
    <w:rsid w:val="008C541B"/>
    <w:rsid w:val="008F00C4"/>
    <w:rsid w:val="00902B4E"/>
    <w:rsid w:val="00907E5E"/>
    <w:rsid w:val="009411B4"/>
    <w:rsid w:val="00941710"/>
    <w:rsid w:val="009621C0"/>
    <w:rsid w:val="009D0139"/>
    <w:rsid w:val="009E15B6"/>
    <w:rsid w:val="009F5CDC"/>
    <w:rsid w:val="00A164FB"/>
    <w:rsid w:val="00A16A95"/>
    <w:rsid w:val="00A40F2A"/>
    <w:rsid w:val="00A62631"/>
    <w:rsid w:val="00A775CF"/>
    <w:rsid w:val="00A9548D"/>
    <w:rsid w:val="00AA2430"/>
    <w:rsid w:val="00AF5874"/>
    <w:rsid w:val="00B01006"/>
    <w:rsid w:val="00B06045"/>
    <w:rsid w:val="00B17F1E"/>
    <w:rsid w:val="00B7257E"/>
    <w:rsid w:val="00BA101E"/>
    <w:rsid w:val="00BD1760"/>
    <w:rsid w:val="00C073FD"/>
    <w:rsid w:val="00C11919"/>
    <w:rsid w:val="00C26914"/>
    <w:rsid w:val="00C35A27"/>
    <w:rsid w:val="00C55ADC"/>
    <w:rsid w:val="00C60504"/>
    <w:rsid w:val="00C6058D"/>
    <w:rsid w:val="00C61B9E"/>
    <w:rsid w:val="00CB0D8F"/>
    <w:rsid w:val="00CD0365"/>
    <w:rsid w:val="00D0046A"/>
    <w:rsid w:val="00D21089"/>
    <w:rsid w:val="00D507EC"/>
    <w:rsid w:val="00D632FC"/>
    <w:rsid w:val="00DF2056"/>
    <w:rsid w:val="00E02C2B"/>
    <w:rsid w:val="00E334D3"/>
    <w:rsid w:val="00E96D00"/>
    <w:rsid w:val="00EB5B0A"/>
    <w:rsid w:val="00ED625E"/>
    <w:rsid w:val="00ED6C48"/>
    <w:rsid w:val="00F26BA2"/>
    <w:rsid w:val="00F3248B"/>
    <w:rsid w:val="00F35E9E"/>
    <w:rsid w:val="00F475AC"/>
    <w:rsid w:val="00F50DC4"/>
    <w:rsid w:val="00F65F5D"/>
    <w:rsid w:val="00F67D41"/>
    <w:rsid w:val="00F86A3A"/>
    <w:rsid w:val="00F93C73"/>
    <w:rsid w:val="00FB77C7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F65B36C6-C760-4F78-891F-4C53EFC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  <w:style w:type="paragraph" w:styleId="ListBullet">
    <w:name w:val="List Bullet"/>
    <w:basedOn w:val="Normal"/>
    <w:uiPriority w:val="99"/>
    <w:unhideWhenUsed/>
    <w:rsid w:val="009621C0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Year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10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-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Year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11</a:t>
            </a:r>
          </a:p>
        </c:rich>
      </c:tx>
      <c:layout>
        <c:manualLayout>
          <c:xMode val="edge"/>
          <c:yMode val="edge"/>
          <c:x val="7.4620001543924674E-2"/>
          <c:y val="4.90797546012269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'Snr Sec Retention'!$C$92</c:f>
              <c:strCache>
                <c:ptCount val="1"/>
                <c:pt idx="0">
                  <c:v>Y10 - Y11
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'Snr Sec Retention'!$D$91:$F$91</c:f>
              <c:numCache>
                <c:formatCode>0</c:formatCode>
                <c:ptCount val="3"/>
                <c:pt idx="0" formatCode="General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'Snr Sec Retention'!$D$92:$F$92</c:f>
              <c:numCache>
                <c:formatCode>0%</c:formatCode>
                <c:ptCount val="3"/>
                <c:pt idx="0">
                  <c:v>0.97777777777777775</c:v>
                </c:pt>
                <c:pt idx="1">
                  <c:v>0.89583333333333337</c:v>
                </c:pt>
                <c:pt idx="2">
                  <c:v>0.91025641025641024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0-4279-BCEF-B1D749888826}"/>
            </c:ext>
          </c:extLst>
        </c:ser>
        <c:ser>
          <c:idx val="4"/>
          <c:order val="3"/>
          <c:tx>
            <c:strRef>
              <c:f>'Snr Sec Retention'!$C$95</c:f>
              <c:strCache>
                <c:ptCount val="1"/>
                <c:pt idx="0">
                  <c:v>Y10 - Y11
Female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'Snr Sec Retention'!$D$91:$F$91</c:f>
              <c:numCache>
                <c:formatCode>0</c:formatCode>
                <c:ptCount val="3"/>
                <c:pt idx="0" formatCode="General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'Snr Sec Retention'!$D$95:$F$95</c:f>
              <c:numCache>
                <c:formatCode>0%</c:formatCode>
                <c:ptCount val="3"/>
                <c:pt idx="0">
                  <c:v>1.0396825396825398</c:v>
                </c:pt>
                <c:pt idx="1">
                  <c:v>0.97709923664122134</c:v>
                </c:pt>
                <c:pt idx="2">
                  <c:v>1.0225563909774436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20-4279-BCEF-B1D749888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384592"/>
        <c:axId val="427384984"/>
        <c:extLst>
          <c:ext xmlns:c15="http://schemas.microsoft.com/office/drawing/2012/chart" uri="{02D57815-91ED-43cb-92C2-25804820EDAC}">
            <c15:filteredBarSeries>
              <c15:ser>
                <c:idx val="2"/>
                <c:order val="1"/>
                <c:tx>
                  <c:strRef>
                    <c:extLst>
                      <c:ext uri="{02D57815-91ED-43cb-92C2-25804820EDAC}">
                        <c15:formulaRef>
                          <c15:sqref>'Snr Sec Retention'!$C$93</c15:sqref>
                        </c15:formulaRef>
                      </c:ext>
                    </c:extLst>
                    <c:strCache>
                      <c:ptCount val="1"/>
                      <c:pt idx="0">
                        <c:v>Y11 - Y12
Male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'Snr Sec Retention'!$D$93:$F$93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0.6640625</c:v>
                      </c:pt>
                      <c:pt idx="1">
                        <c:v>0.69696969696969702</c:v>
                      </c:pt>
                      <c:pt idx="2">
                        <c:v>0.71317829457364346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720-4279-BCEF-B1D749888826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Retention'!$C$94</c15:sqref>
                        </c15:formulaRef>
                      </c:ext>
                    </c:extLst>
                    <c:strCache>
                      <c:ptCount val="1"/>
                      <c:pt idx="0">
                        <c:v>Y12-13
Male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Retention'!$D$94:$F$94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0.72619047619047616</c:v>
                      </c:pt>
                      <c:pt idx="1">
                        <c:v>0.68235294117647061</c:v>
                      </c:pt>
                      <c:pt idx="2">
                        <c:v>0.72826086956521741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720-4279-BCEF-B1D749888826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Retention'!$C$96</c15:sqref>
                        </c15:formulaRef>
                      </c:ext>
                    </c:extLst>
                    <c:strCache>
                      <c:ptCount val="1"/>
                      <c:pt idx="0">
                        <c:v>Y11 - Y12
Female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Retention'!$D$96:$F$96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0.81538461538461537</c:v>
                      </c:pt>
                      <c:pt idx="1">
                        <c:v>0.7862595419847328</c:v>
                      </c:pt>
                      <c:pt idx="2">
                        <c:v>0.8203125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720-4279-BCEF-B1D749888826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Retention'!$C$97</c15:sqref>
                        </c15:formulaRef>
                      </c:ext>
                    </c:extLst>
                    <c:strCache>
                      <c:ptCount val="1"/>
                      <c:pt idx="0">
                        <c:v>Y12-13
Female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Retention'!$D$97:$F$97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0.81318681318681318</c:v>
                      </c:pt>
                      <c:pt idx="1">
                        <c:v>0.92452830188679247</c:v>
                      </c:pt>
                      <c:pt idx="2">
                        <c:v>0.72815533980582525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720-4279-BCEF-B1D749888826}"/>
                  </c:ext>
                </c:extLst>
              </c15:ser>
            </c15:filteredBarSeries>
          </c:ext>
        </c:extLst>
      </c:barChart>
      <c:catAx>
        <c:axId val="427384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7384984"/>
        <c:crossesAt val="0"/>
        <c:auto val="1"/>
        <c:lblAlgn val="ctr"/>
        <c:lblOffset val="100"/>
        <c:noMultiLvlLbl val="0"/>
      </c:catAx>
      <c:valAx>
        <c:axId val="427384984"/>
        <c:scaling>
          <c:orientation val="minMax"/>
          <c:max val="1.2"/>
          <c:min val="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Student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Retention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crossAx val="4273845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Year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11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-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year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12</a:t>
            </a:r>
          </a:p>
        </c:rich>
      </c:tx>
      <c:layout>
        <c:manualLayout>
          <c:xMode val="edge"/>
          <c:yMode val="edge"/>
          <c:x val="8.4423923112552132E-2"/>
          <c:y val="3.6850921273031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1"/>
          <c:tx>
            <c:strRef>
              <c:f>'Snr Sec Retention'!$C$93</c:f>
              <c:strCache>
                <c:ptCount val="1"/>
                <c:pt idx="0">
                  <c:v>Y11 - Y12
Male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'Snr Sec Retention'!$D$91:$F$91</c:f>
              <c:numCache>
                <c:formatCode>0</c:formatCode>
                <c:ptCount val="3"/>
                <c:pt idx="0" formatCode="General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'Snr Sec Retention'!$D$93:$F$93</c:f>
              <c:numCache>
                <c:formatCode>0%</c:formatCode>
                <c:ptCount val="3"/>
                <c:pt idx="0">
                  <c:v>0.6640625</c:v>
                </c:pt>
                <c:pt idx="1">
                  <c:v>0.69696969696969702</c:v>
                </c:pt>
                <c:pt idx="2">
                  <c:v>0.71317829457364346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9-420B-9ED1-7FD5DE4258ED}"/>
            </c:ext>
          </c:extLst>
        </c:ser>
        <c:ser>
          <c:idx val="5"/>
          <c:order val="4"/>
          <c:tx>
            <c:strRef>
              <c:f>'Snr Sec Retention'!$C$96</c:f>
              <c:strCache>
                <c:ptCount val="1"/>
                <c:pt idx="0">
                  <c:v>Y11 - Y12
Female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'Snr Sec Retention'!$D$91:$F$91</c:f>
              <c:numCache>
                <c:formatCode>0</c:formatCode>
                <c:ptCount val="3"/>
                <c:pt idx="0" formatCode="General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'Snr Sec Retention'!$D$96:$F$96</c:f>
              <c:numCache>
                <c:formatCode>0%</c:formatCode>
                <c:ptCount val="3"/>
                <c:pt idx="0">
                  <c:v>0.81538461538461537</c:v>
                </c:pt>
                <c:pt idx="1">
                  <c:v>0.7862595419847328</c:v>
                </c:pt>
                <c:pt idx="2">
                  <c:v>0.8203125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19-420B-9ED1-7FD5DE425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385768"/>
        <c:axId val="427386160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'Snr Sec Retention'!$C$92</c15:sqref>
                        </c15:formulaRef>
                      </c:ext>
                    </c:extLst>
                    <c:strCache>
                      <c:ptCount val="1"/>
                      <c:pt idx="0">
                        <c:v>Y10 - Y11
Male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'Snr Sec Retention'!$D$92:$F$92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0.97777777777777775</c:v>
                      </c:pt>
                      <c:pt idx="1">
                        <c:v>0.89583333333333337</c:v>
                      </c:pt>
                      <c:pt idx="2">
                        <c:v>0.91025641025641024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C19-420B-9ED1-7FD5DE4258ED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Retention'!$C$94</c15:sqref>
                        </c15:formulaRef>
                      </c:ext>
                    </c:extLst>
                    <c:strCache>
                      <c:ptCount val="1"/>
                      <c:pt idx="0">
                        <c:v>Y12-13
Male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Retention'!$D$94:$F$94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0.72619047619047616</c:v>
                      </c:pt>
                      <c:pt idx="1">
                        <c:v>0.68235294117647061</c:v>
                      </c:pt>
                      <c:pt idx="2">
                        <c:v>0.72826086956521741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C19-420B-9ED1-7FD5DE4258ED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Retention'!$C$95</c15:sqref>
                        </c15:formulaRef>
                      </c:ext>
                    </c:extLst>
                    <c:strCache>
                      <c:ptCount val="1"/>
                      <c:pt idx="0">
                        <c:v>Y10 - Y11
Female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Retention'!$D$95:$F$95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1.0396825396825398</c:v>
                      </c:pt>
                      <c:pt idx="1">
                        <c:v>0.97709923664122134</c:v>
                      </c:pt>
                      <c:pt idx="2">
                        <c:v>1.0225563909774436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C19-420B-9ED1-7FD5DE4258ED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Retention'!$C$97</c15:sqref>
                        </c15:formulaRef>
                      </c:ext>
                    </c:extLst>
                    <c:strCache>
                      <c:ptCount val="1"/>
                      <c:pt idx="0">
                        <c:v>Y12-13
Female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Retention'!$D$97:$F$97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0.81318681318681318</c:v>
                      </c:pt>
                      <c:pt idx="1">
                        <c:v>0.92452830188679247</c:v>
                      </c:pt>
                      <c:pt idx="2">
                        <c:v>0.72815533980582525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C19-420B-9ED1-7FD5DE4258ED}"/>
                  </c:ext>
                </c:extLst>
              </c15:ser>
            </c15:filteredBarSeries>
          </c:ext>
        </c:extLst>
      </c:barChart>
      <c:catAx>
        <c:axId val="427385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7386160"/>
        <c:crossesAt val="0"/>
        <c:auto val="1"/>
        <c:lblAlgn val="ctr"/>
        <c:lblOffset val="100"/>
        <c:noMultiLvlLbl val="0"/>
      </c:catAx>
      <c:valAx>
        <c:axId val="427386160"/>
        <c:scaling>
          <c:orientation val="minMax"/>
          <c:max val="1.2"/>
          <c:min val="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Student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Retention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crossAx val="4273857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Year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12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-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year</a:t>
            </a:r>
            <a:r>
              <a:rPr lang="en-US"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13</a:t>
            </a:r>
          </a:p>
        </c:rich>
      </c:tx>
      <c:layout>
        <c:manualLayout>
          <c:xMode val="edge"/>
          <c:yMode val="edge"/>
          <c:x val="8.4423923112552132E-2"/>
          <c:y val="3.5502958579881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'Snr Sec Retention'!$C$94</c:f>
              <c:strCache>
                <c:ptCount val="1"/>
                <c:pt idx="0">
                  <c:v>Y12-13
Male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'Snr Sec Retention'!$D$91:$F$91</c:f>
              <c:numCache>
                <c:formatCode>0</c:formatCode>
                <c:ptCount val="3"/>
                <c:pt idx="0" formatCode="General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'Snr Sec Retention'!$D$94:$F$94</c:f>
              <c:numCache>
                <c:formatCode>0%</c:formatCode>
                <c:ptCount val="3"/>
                <c:pt idx="0">
                  <c:v>0.72619047619047616</c:v>
                </c:pt>
                <c:pt idx="1">
                  <c:v>0.68235294117647061</c:v>
                </c:pt>
                <c:pt idx="2">
                  <c:v>0.72826086956521741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7F-4311-9BDC-554D058D8A30}"/>
            </c:ext>
          </c:extLst>
        </c:ser>
        <c:ser>
          <c:idx val="6"/>
          <c:order val="5"/>
          <c:tx>
            <c:strRef>
              <c:f>'Snr Sec Retention'!$C$97</c:f>
              <c:strCache>
                <c:ptCount val="1"/>
                <c:pt idx="0">
                  <c:v>Y12-13
Female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'Snr Sec Retention'!$D$91:$F$91</c:f>
              <c:numCache>
                <c:formatCode>0</c:formatCode>
                <c:ptCount val="3"/>
                <c:pt idx="0" formatCode="General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'Snr Sec Retention'!$D$97:$F$97</c:f>
              <c:numCache>
                <c:formatCode>0%</c:formatCode>
                <c:ptCount val="3"/>
                <c:pt idx="0">
                  <c:v>0.81318681318681318</c:v>
                </c:pt>
                <c:pt idx="1">
                  <c:v>0.92452830188679247</c:v>
                </c:pt>
                <c:pt idx="2">
                  <c:v>0.72815533980582525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7F-4311-9BDC-554D058D8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386944"/>
        <c:axId val="427387336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'Snr Sec Retention'!$C$92</c15:sqref>
                        </c15:formulaRef>
                      </c:ext>
                    </c:extLst>
                    <c:strCache>
                      <c:ptCount val="1"/>
                      <c:pt idx="0">
                        <c:v>Y10 - Y11
Male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'Snr Sec Retention'!$D$92:$F$92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0.97777777777777775</c:v>
                      </c:pt>
                      <c:pt idx="1">
                        <c:v>0.89583333333333337</c:v>
                      </c:pt>
                      <c:pt idx="2">
                        <c:v>0.91025641025641024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C7F-4311-9BDC-554D058D8A30}"/>
                  </c:ext>
                </c:extLst>
              </c15:ser>
            </c15:filteredBarSeries>
            <c15:filteredBar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Retention'!$C$93</c15:sqref>
                        </c15:formulaRef>
                      </c:ext>
                    </c:extLst>
                    <c:strCache>
                      <c:ptCount val="1"/>
                      <c:pt idx="0">
                        <c:v>Y11 - Y12
Male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Retention'!$D$93:$F$93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0.6640625</c:v>
                      </c:pt>
                      <c:pt idx="1">
                        <c:v>0.69696969696969702</c:v>
                      </c:pt>
                      <c:pt idx="2">
                        <c:v>0.71317829457364346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C7F-4311-9BDC-554D058D8A30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Retention'!$C$95</c15:sqref>
                        </c15:formulaRef>
                      </c:ext>
                    </c:extLst>
                    <c:strCache>
                      <c:ptCount val="1"/>
                      <c:pt idx="0">
                        <c:v>Y10 - Y11
Female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Retention'!$D$95:$F$95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1.0396825396825398</c:v>
                      </c:pt>
                      <c:pt idx="1">
                        <c:v>0.97709923664122134</c:v>
                      </c:pt>
                      <c:pt idx="2">
                        <c:v>1.0225563909774436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C7F-4311-9BDC-554D058D8A30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Retention'!$C$96</c15:sqref>
                        </c15:formulaRef>
                      </c:ext>
                    </c:extLst>
                    <c:strCache>
                      <c:ptCount val="1"/>
                      <c:pt idx="0">
                        <c:v>Y11 - Y12
Female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Retention'!$D$91:$F$91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 formatCode="General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'Snr Sec Retention'!$D$96:$F$96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0.81538461538461537</c:v>
                      </c:pt>
                      <c:pt idx="1">
                        <c:v>0.7862595419847328</c:v>
                      </c:pt>
                      <c:pt idx="2">
                        <c:v>0.8203125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C7F-4311-9BDC-554D058D8A30}"/>
                  </c:ext>
                </c:extLst>
              </c15:ser>
            </c15:filteredBarSeries>
          </c:ext>
        </c:extLst>
      </c:barChart>
      <c:catAx>
        <c:axId val="427386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7387336"/>
        <c:crossesAt val="0"/>
        <c:auto val="1"/>
        <c:lblAlgn val="ctr"/>
        <c:lblOffset val="100"/>
        <c:noMultiLvlLbl val="0"/>
      </c:catAx>
      <c:valAx>
        <c:axId val="427387336"/>
        <c:scaling>
          <c:orientation val="minMax"/>
          <c:max val="1.2"/>
          <c:min val="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Student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Retention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crossAx val="427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2EB0-9C52-4508-8D57-089C65C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21</Pages>
  <Words>6457</Words>
  <Characters>32604</Characters>
  <Application>Microsoft Office Word</Application>
  <DocSecurity>0</DocSecurity>
  <Lines>1235</Lines>
  <Paragraphs>827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CRC/C/COK/RQ/2-5</vt:lpstr>
    </vt:vector>
  </TitlesOfParts>
  <Company>DCM</Company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CRC/C/COK/RQ/2-5</dc:title>
  <dc:subject>2001415</dc:subject>
  <dc:creator>Brigoli</dc:creator>
  <cp:keywords/>
  <dc:description/>
  <cp:lastModifiedBy>Generic Pdf eng</cp:lastModifiedBy>
  <cp:revision>2</cp:revision>
  <dcterms:created xsi:type="dcterms:W3CDTF">2020-01-30T15:36:00Z</dcterms:created>
  <dcterms:modified xsi:type="dcterms:W3CDTF">2020-01-30T15:36:00Z</dcterms:modified>
</cp:coreProperties>
</file>