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4C3936" w:rsidRPr="00290EF9" w:rsidRDefault="004C39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43388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090709    090709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75890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28600E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/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символ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D54827">
              <w:rPr>
                <w:sz w:val="22"/>
                <w:lang w:val="en-US"/>
              </w:rPr>
              <w:fldChar w:fldCharType="separate"/>
            </w:r>
            <w:r w:rsidR="00D54827">
              <w:rPr>
                <w:sz w:val="22"/>
                <w:lang w:val="en-US"/>
              </w:rPr>
              <w:t>CERD/C/AZE/Q/6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D54827">
              <w:rPr>
                <w:sz w:val="22"/>
                <w:lang w:val="en-US"/>
              </w:rPr>
              <w:fldChar w:fldCharType="separate"/>
            </w:r>
            <w:r w:rsidR="00D54827">
              <w:rPr>
                <w:sz w:val="22"/>
                <w:lang w:val="en-US"/>
              </w:rPr>
              <w:t>30 June 2009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>
            <w:pPr>
              <w:rPr>
                <w:lang w:val="en-US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C32CD7" w:rsidRDefault="00D54827" w:rsidP="00C32CD7">
      <w:r>
        <w:t>КОМИТЕТ ПО ЛИКВИДАЦИИ</w:t>
      </w:r>
    </w:p>
    <w:p w:rsidR="00C32CD7" w:rsidRDefault="00D54827" w:rsidP="00C32CD7">
      <w:r>
        <w:t>РАСОВОЙ ДИСКРИМИНАЦИИ</w:t>
      </w:r>
    </w:p>
    <w:p w:rsidR="00C32CD7" w:rsidRDefault="00D54827" w:rsidP="00C32CD7">
      <w:r>
        <w:t>Семьдесят пятая сессия</w:t>
      </w:r>
    </w:p>
    <w:p w:rsidR="00C32CD7" w:rsidRDefault="00D54827" w:rsidP="00C32CD7">
      <w:r>
        <w:t>3-28 августа 2009 года</w:t>
      </w:r>
    </w:p>
    <w:p w:rsidR="00C32CD7" w:rsidRDefault="00C32CD7" w:rsidP="00C32CD7">
      <w:pPr>
        <w:rPr>
          <w:lang w:val="en-US"/>
        </w:rPr>
      </w:pPr>
    </w:p>
    <w:p w:rsidR="00C32CD7" w:rsidRPr="00C32CD7" w:rsidRDefault="00C32CD7" w:rsidP="00C32CD7">
      <w:pPr>
        <w:rPr>
          <w:lang w:val="en-US"/>
        </w:rPr>
      </w:pPr>
    </w:p>
    <w:p w:rsidR="00C32CD7" w:rsidRDefault="00D54827" w:rsidP="00C32CD7">
      <w:pPr>
        <w:jc w:val="center"/>
        <w:rPr>
          <w:b/>
        </w:rPr>
      </w:pPr>
      <w:r>
        <w:rPr>
          <w:b/>
        </w:rPr>
        <w:t>ПЕРЕЧЕНЬ ВОПРОСОВ</w:t>
      </w:r>
    </w:p>
    <w:p w:rsidR="00C32CD7" w:rsidRDefault="00D54827" w:rsidP="00C32CD7">
      <w:pPr>
        <w:jc w:val="center"/>
        <w:rPr>
          <w:b/>
        </w:rPr>
      </w:pPr>
      <w:r>
        <w:rPr>
          <w:b/>
        </w:rPr>
        <w:t>В СВЯЗИ С РАССМОТРЕНИЕМ ПЯТОГО И ШЕСТОГО</w:t>
      </w:r>
    </w:p>
    <w:p w:rsidR="00C32CD7" w:rsidRDefault="00D54827" w:rsidP="00C32CD7">
      <w:pPr>
        <w:jc w:val="center"/>
        <w:rPr>
          <w:b/>
        </w:rPr>
      </w:pPr>
      <w:r>
        <w:rPr>
          <w:b/>
        </w:rPr>
        <w:t>ПЕРИОДИЧЕСКИХ ДОКЛАДОВ</w:t>
      </w:r>
      <w:r w:rsidR="00290EF9">
        <w:rPr>
          <w:b/>
        </w:rPr>
        <w:t xml:space="preserve"> </w:t>
      </w:r>
      <w:r w:rsidR="00290EF9">
        <w:rPr>
          <w:b/>
          <w:lang w:val="en-US"/>
        </w:rPr>
        <w:t xml:space="preserve">АЗЕРБАЙДЖАНСКОЙ </w:t>
      </w:r>
      <w:r>
        <w:rPr>
          <w:b/>
        </w:rPr>
        <w:t>РЕСПУБЛИКИ</w:t>
      </w:r>
    </w:p>
    <w:p w:rsidR="00C32CD7" w:rsidRDefault="00C32CD7" w:rsidP="00C32CD7">
      <w:pPr>
        <w:jc w:val="center"/>
        <w:rPr>
          <w:b/>
        </w:rPr>
      </w:pPr>
    </w:p>
    <w:p w:rsidR="00C32CD7" w:rsidRDefault="00D54827" w:rsidP="00C32CD7">
      <w:pPr>
        <w:jc w:val="center"/>
        <w:rPr>
          <w:b/>
        </w:rPr>
      </w:pPr>
      <w:r>
        <w:rPr>
          <w:b/>
        </w:rPr>
        <w:t>Общие вопросы</w:t>
      </w:r>
    </w:p>
    <w:p w:rsidR="00C32CD7" w:rsidRDefault="00C32CD7" w:rsidP="00C32CD7">
      <w:pPr>
        <w:jc w:val="center"/>
        <w:rPr>
          <w:b/>
        </w:rPr>
      </w:pPr>
    </w:p>
    <w:p w:rsidR="00C32CD7" w:rsidRDefault="00D54827" w:rsidP="00C32CD7">
      <w:r>
        <w:t>1.</w:t>
      </w:r>
      <w:r>
        <w:tab/>
        <w:t xml:space="preserve">Просьба представить подробную информацию о характере и масштабах участия государственных ведомств и Управления </w:t>
      </w:r>
      <w:r w:rsidR="00C32CD7" w:rsidRPr="00C32CD7">
        <w:t>О</w:t>
      </w:r>
      <w:r>
        <w:t>мбудсмена в процессе подготовки пятого и шестого периодических докладов государства-участника, а также о том, проводились ли консультации с неправительственными организациями, в том числе с организациями меньшинств и организациями, занимающимися вопросами борьбы с дискриминацией.</w:t>
      </w:r>
    </w:p>
    <w:p w:rsidR="00C32CD7" w:rsidRDefault="00C32CD7" w:rsidP="00C32CD7">
      <w:pPr>
        <w:ind w:left="567" w:hanging="567"/>
      </w:pPr>
    </w:p>
    <w:p w:rsidR="00C32CD7" w:rsidRDefault="00D54827" w:rsidP="00C32CD7">
      <w:r>
        <w:t>2.</w:t>
      </w:r>
      <w:r>
        <w:tab/>
        <w:t xml:space="preserve">В пункте 125 доклада государства-участника указывается, что статистические данные об этническом составе занятого населения государства-участника были </w:t>
      </w:r>
      <w:r w:rsidR="00C32CD7">
        <w:t>получены</w:t>
      </w:r>
      <w:r>
        <w:t xml:space="preserve"> в 1999</w:t>
      </w:r>
      <w:r w:rsidR="00C32CD7">
        <w:t> </w:t>
      </w:r>
      <w:r>
        <w:t>году.  Просьба представить Комитету обновленные дезагрегированные данные, если такие имеются.</w:t>
      </w:r>
    </w:p>
    <w:p w:rsidR="00C32CD7" w:rsidRDefault="00C32CD7" w:rsidP="00C32CD7">
      <w:pPr>
        <w:ind w:left="567" w:hanging="567"/>
      </w:pPr>
    </w:p>
    <w:p w:rsidR="00C32CD7" w:rsidRDefault="00D54827" w:rsidP="00C32CD7">
      <w:r>
        <w:t>3.</w:t>
      </w:r>
      <w:r>
        <w:tab/>
        <w:t>В пункте 22 доклада государства-участника указано, что в апреле 2009 года должна была проводиться перепись населения.  Просьба указать, учитывались ли при проведении этой переписи социально-экономическ</w:t>
      </w:r>
      <w:r w:rsidR="00C32CD7">
        <w:t>ое</w:t>
      </w:r>
      <w:r>
        <w:t xml:space="preserve"> положени</w:t>
      </w:r>
      <w:r w:rsidR="00C32CD7">
        <w:t>е</w:t>
      </w:r>
      <w:r>
        <w:t xml:space="preserve"> лиц, относящихся к различным этническим группам, </w:t>
      </w:r>
      <w:r w:rsidR="00C32CD7">
        <w:t>включая</w:t>
      </w:r>
      <w:r>
        <w:t xml:space="preserve"> их занятост</w:t>
      </w:r>
      <w:r w:rsidR="00FD2587">
        <w:t>ь</w:t>
      </w:r>
      <w:r>
        <w:t xml:space="preserve"> в частном секторе и </w:t>
      </w:r>
      <w:r w:rsidR="00290EF9">
        <w:t>в го</w:t>
      </w:r>
      <w:r>
        <w:t>сударственн</w:t>
      </w:r>
      <w:r w:rsidR="00FD2587">
        <w:t>ых</w:t>
      </w:r>
      <w:r>
        <w:t xml:space="preserve"> </w:t>
      </w:r>
      <w:r w:rsidR="00FD2587">
        <w:t>учреждениях</w:t>
      </w:r>
      <w:r>
        <w:t>, а также возможност</w:t>
      </w:r>
      <w:r w:rsidR="00FD2587">
        <w:t>и</w:t>
      </w:r>
      <w:r>
        <w:t xml:space="preserve"> получения ими социальных или других подобных пособий.  Просьба представить соответствующие данные, если так</w:t>
      </w:r>
      <w:r w:rsidR="00FD2587">
        <w:t>овые</w:t>
      </w:r>
      <w:r>
        <w:t xml:space="preserve"> имеются, </w:t>
      </w:r>
      <w:r w:rsidR="00FD2587">
        <w:t>по</w:t>
      </w:r>
      <w:r>
        <w:t xml:space="preserve"> этими вопросам.</w:t>
      </w:r>
    </w:p>
    <w:p w:rsidR="00C32CD7" w:rsidRDefault="00C32CD7" w:rsidP="00C32CD7">
      <w:pPr>
        <w:ind w:left="567" w:hanging="567"/>
      </w:pPr>
    </w:p>
    <w:p w:rsidR="00C32CD7" w:rsidRDefault="00D54827" w:rsidP="00C32CD7">
      <w:pPr>
        <w:jc w:val="center"/>
        <w:rPr>
          <w:b/>
        </w:rPr>
      </w:pPr>
      <w:r>
        <w:rPr>
          <w:b/>
        </w:rPr>
        <w:t>Общая правовая основа</w:t>
      </w:r>
    </w:p>
    <w:p w:rsidR="00C32CD7" w:rsidRDefault="00C32CD7" w:rsidP="00C32CD7">
      <w:pPr>
        <w:jc w:val="center"/>
        <w:rPr>
          <w:b/>
        </w:rPr>
      </w:pPr>
    </w:p>
    <w:p w:rsidR="00C32CD7" w:rsidRDefault="00D54827" w:rsidP="00FD2587">
      <w:r>
        <w:t>4.</w:t>
      </w:r>
      <w:r>
        <w:tab/>
        <w:t>Просьба представить дополнительную информацию о деятельности Управления</w:t>
      </w:r>
      <w:r w:rsidR="00FD2587">
        <w:t xml:space="preserve"> Уполномоченного</w:t>
      </w:r>
      <w:r>
        <w:t xml:space="preserve"> по правам человека (Омбудсмена) в области поощрения и защиты прав, закрепленных в Конвенции.  В частности, просьба представить данные о числе полученных Омбудсменом жалоб на расовую дискриминацию и о результатах их рассмотрения, а также о проведенных кампаниях с целью разъяснения </w:t>
      </w:r>
      <w:r w:rsidR="00122084">
        <w:t>людям их</w:t>
      </w:r>
      <w:r>
        <w:t xml:space="preserve"> прав и </w:t>
      </w:r>
      <w:r w:rsidR="00122084">
        <w:t>имеющихся</w:t>
      </w:r>
      <w:r>
        <w:t xml:space="preserve"> средств правовой защиты для жертв расовой дискриминации, а также </w:t>
      </w:r>
      <w:r w:rsidR="00122084">
        <w:t>с</w:t>
      </w:r>
      <w:r>
        <w:t xml:space="preserve"> цел</w:t>
      </w:r>
      <w:r w:rsidR="00122084">
        <w:t xml:space="preserve">ью повышения уровня осведомленности населения о </w:t>
      </w:r>
      <w:r>
        <w:t>рол</w:t>
      </w:r>
      <w:r w:rsidR="00122084">
        <w:t>и</w:t>
      </w:r>
      <w:r>
        <w:t xml:space="preserve"> в этой связи </w:t>
      </w:r>
      <w:r w:rsidR="00122084">
        <w:t>Уполномоченного</w:t>
      </w:r>
      <w:r>
        <w:t xml:space="preserve"> по правам человека.</w:t>
      </w:r>
    </w:p>
    <w:p w:rsidR="00C32CD7" w:rsidRDefault="00C32CD7" w:rsidP="00C32CD7">
      <w:pPr>
        <w:ind w:left="567" w:hanging="567"/>
      </w:pPr>
    </w:p>
    <w:p w:rsidR="00C32CD7" w:rsidRDefault="00D54827" w:rsidP="00122084">
      <w:r>
        <w:t>5.</w:t>
      </w:r>
      <w:r>
        <w:tab/>
        <w:t>Просьба указать, рассматривает ли государство-участник вопрос о возможности создания институциональной основы для меньшинств или же о воссоздании Совета по делам национальных меньшинств с включением в его состав представителей меньшинств, с тем чтобы дать меньшинствам больше возможностей для изложения волнующих их вопросов и участия в принятии решений по вопросам, затрагивающим их интересы.</w:t>
      </w:r>
    </w:p>
    <w:p w:rsidR="00C32CD7" w:rsidRDefault="00C32CD7" w:rsidP="00C32CD7">
      <w:pPr>
        <w:ind w:left="567" w:hanging="567"/>
      </w:pPr>
    </w:p>
    <w:p w:rsidR="00C32CD7" w:rsidRDefault="00D54827" w:rsidP="00C32CD7">
      <w:pPr>
        <w:jc w:val="center"/>
        <w:rPr>
          <w:b/>
        </w:rPr>
      </w:pPr>
      <w:r>
        <w:rPr>
          <w:b/>
        </w:rPr>
        <w:t>Статья 2</w:t>
      </w:r>
    </w:p>
    <w:p w:rsidR="00C32CD7" w:rsidRDefault="00C32CD7" w:rsidP="00C32CD7">
      <w:pPr>
        <w:jc w:val="center"/>
        <w:rPr>
          <w:b/>
        </w:rPr>
      </w:pPr>
    </w:p>
    <w:p w:rsidR="00C32CD7" w:rsidRDefault="00D54827" w:rsidP="00122084">
      <w:r>
        <w:t>6.</w:t>
      </w:r>
      <w:r>
        <w:tab/>
        <w:t xml:space="preserve">В пунктах 7-26 доклада государства-участника говорится о том, что, несмотря на негативные последствия конфликта в Нагорном Карабахе, </w:t>
      </w:r>
      <w:r w:rsidR="00D9396B">
        <w:t xml:space="preserve">которым </w:t>
      </w:r>
      <w:r>
        <w:t>уже было уделено особое внимание в 2005 году, проживающие в Азербайджане армяне не сталкиваются с какой</w:t>
      </w:r>
      <w:r>
        <w:noBreakHyphen/>
        <w:t xml:space="preserve">либо дискриминацией и что Министерство национальной безопасности не получало никакой информации, которая требовала бы проведения расследований по случаям расовой дискриминации в отношении этнических армян.  </w:t>
      </w:r>
      <w:r w:rsidR="00D9396B">
        <w:t xml:space="preserve">В этой связи просьба дать подробную информацию о принятых мерах для установления отсутствия дискриминации.  </w:t>
      </w:r>
      <w:r>
        <w:t>Проводились ли консультации по этому вопросу с представителями гражданского общества и особенно с представителями армянского меньшинства?</w:t>
      </w:r>
    </w:p>
    <w:p w:rsidR="00C32CD7" w:rsidRDefault="00C32CD7" w:rsidP="00C32CD7">
      <w:pPr>
        <w:ind w:left="567" w:hanging="567"/>
      </w:pPr>
    </w:p>
    <w:p w:rsidR="00C32CD7" w:rsidRDefault="00D54827" w:rsidP="00D9396B">
      <w:r>
        <w:t>7.</w:t>
      </w:r>
      <w:r>
        <w:tab/>
        <w:t>Просьба представить информацию о принятых мерах по обеспечению преподавания языков меньшинств и преподавани</w:t>
      </w:r>
      <w:r w:rsidR="00D9396B">
        <w:t>я</w:t>
      </w:r>
      <w:r>
        <w:t xml:space="preserve"> на этих языках.  В этой связи просьба указать, обеспечивается ли преподавани</w:t>
      </w:r>
      <w:r w:rsidR="00D9396B">
        <w:t>е</w:t>
      </w:r>
      <w:r>
        <w:t xml:space="preserve"> на армянском и талышском языках и изучение этих языков в некоторых школах.  Просьба представить информацию о мерах по развитию </w:t>
      </w:r>
      <w:r w:rsidR="00D9396B">
        <w:t>взаимопонимания между культурами</w:t>
      </w:r>
      <w:r>
        <w:t>, включая меры по расширению осведомленности в эт</w:t>
      </w:r>
      <w:r w:rsidR="00D9396B">
        <w:t>их вопросах</w:t>
      </w:r>
      <w:r>
        <w:t xml:space="preserve"> преподавателей и воспитателей.</w:t>
      </w:r>
    </w:p>
    <w:p w:rsidR="00C32CD7" w:rsidRDefault="00C32CD7" w:rsidP="00C32CD7">
      <w:pPr>
        <w:ind w:left="567" w:hanging="567"/>
      </w:pPr>
    </w:p>
    <w:p w:rsidR="00C32CD7" w:rsidRDefault="00D54827" w:rsidP="00D9396B">
      <w:r>
        <w:t>8.</w:t>
      </w:r>
      <w:r>
        <w:tab/>
        <w:t>Просьба представить информацию о конкретных мерах и действиях, предусматриваемых Национальным планом действий по защите прав человека с целью активизации усилий по недопущению всех форм дискриминации (пункт 12 доклада государства-участника).  Просьба указать, осуществляется ли этот план в настоящее время и какие меры приняты или предусматриваются в области мониторинга, предварительного анализа и</w:t>
      </w:r>
      <w:r w:rsidR="00080EE5">
        <w:t>ли</w:t>
      </w:r>
      <w:r>
        <w:t xml:space="preserve"> оценки эффективности этого плана.  Просьба представить </w:t>
      </w:r>
      <w:r w:rsidR="00080EE5">
        <w:t xml:space="preserve">данные </w:t>
      </w:r>
      <w:r>
        <w:t>о финансовых средствах, выделенных для реализации этого плана.</w:t>
      </w:r>
    </w:p>
    <w:p w:rsidR="00C32CD7" w:rsidRDefault="00C32CD7" w:rsidP="00C32CD7">
      <w:pPr>
        <w:ind w:left="567" w:hanging="567"/>
      </w:pPr>
    </w:p>
    <w:p w:rsidR="00C32CD7" w:rsidRDefault="00D54827" w:rsidP="00C32CD7">
      <w:r>
        <w:t>9.</w:t>
      </w:r>
      <w:r>
        <w:tab/>
        <w:t xml:space="preserve">Государство-участник указывает, что в результате некоторых </w:t>
      </w:r>
      <w:r w:rsidR="00080EE5">
        <w:t xml:space="preserve">принятых </w:t>
      </w:r>
      <w:r>
        <w:t xml:space="preserve">мер на </w:t>
      </w:r>
      <w:r w:rsidR="00080EE5">
        <w:t xml:space="preserve">его </w:t>
      </w:r>
      <w:r>
        <w:t>территории созданы равные условия для деятельности представителей всех религиозных меньшинств (пункт 16 доклада государства).  Просьба представить дальнейшую информацию о конкретных мерах по обеспечению таких равных условий.</w:t>
      </w:r>
    </w:p>
    <w:p w:rsidR="00C32CD7" w:rsidRDefault="00C32CD7" w:rsidP="00C32CD7"/>
    <w:p w:rsidR="00822620" w:rsidRDefault="00822620" w:rsidP="005911E7">
      <w:pPr>
        <w:jc w:val="center"/>
        <w:rPr>
          <w:b/>
        </w:rPr>
      </w:pPr>
      <w:r>
        <w:rPr>
          <w:b/>
        </w:rPr>
        <w:t>Статья 4</w:t>
      </w:r>
    </w:p>
    <w:p w:rsidR="00822620" w:rsidRDefault="00822620" w:rsidP="005911E7">
      <w:pPr>
        <w:jc w:val="center"/>
        <w:rPr>
          <w:b/>
        </w:rPr>
      </w:pPr>
    </w:p>
    <w:p w:rsidR="00822620" w:rsidRDefault="00822620" w:rsidP="005911E7">
      <w:r>
        <w:t>10.</w:t>
      </w:r>
      <w:r>
        <w:tab/>
        <w:t>С учетом правовых положений, упоминаемых в пунктах 25-63 доклада государства, в том числе положений Уголовного кодекса, просьба указать, все ли требования статьи 4 Конвенции инкорпорированы в национальное законодательство.  Кроме того, просьба сообщить о причинах отсутствия дел, в которых делаются ссылки на эти правовые положения (пункты 27 и 45 доклада).</w:t>
      </w:r>
    </w:p>
    <w:p w:rsidR="00822620" w:rsidRDefault="00822620" w:rsidP="005911E7"/>
    <w:p w:rsidR="00822620" w:rsidRDefault="00822620" w:rsidP="005911E7">
      <w:pPr>
        <w:jc w:val="center"/>
      </w:pPr>
      <w:r>
        <w:rPr>
          <w:b/>
        </w:rPr>
        <w:t>Статья 5</w:t>
      </w:r>
    </w:p>
    <w:p w:rsidR="00822620" w:rsidRDefault="00822620" w:rsidP="005911E7">
      <w:pPr>
        <w:jc w:val="center"/>
      </w:pPr>
    </w:p>
    <w:p w:rsidR="00822620" w:rsidRDefault="00822620" w:rsidP="005911E7">
      <w:r>
        <w:t>11.</w:t>
      </w:r>
      <w:r>
        <w:tab/>
        <w:t>Комитет получил информацию о трудностях, с которыми сталкиваются российские граждане из Чечни при установлении статуса беженца, в частности в связи с требованием о регистрации ("прописки"), наличие которой позволило бы им иметь доступ к рынку труда, жилью и медицинскому обслуживанию.  Просьба указать, какие приняты меры для обеспечения социальных и экономических прав российских граждан из Чечни на равной основе с другими просителями убежища.  Кроме того, просьба представить информацию о просветительских кампаниях с целью недопущения социальной стигматизации указанной группы населения и о профессиональной подготовке государственных служащих и сотрудников правоохранительных органов с целью недопущения тенденции к дискриминационному поведению.</w:t>
      </w:r>
    </w:p>
    <w:p w:rsidR="00822620" w:rsidRDefault="00822620" w:rsidP="005911E7"/>
    <w:p w:rsidR="00822620" w:rsidRDefault="00822620" w:rsidP="005911E7">
      <w:r>
        <w:t>12.</w:t>
      </w:r>
      <w:r>
        <w:tab/>
        <w:t>В докладе государства упоминается о широком круге мер по борьбе с торговлей людьми и, в частности, делается ссылка на Национальный план действий и на создание Фонда помощи жертвам торговли людьми, на статьи 144.1 и 144.2 Уголовного кодекса, а также приводятся статистические данные о числе жертв, проведенных расследований и вынесенных обвинительных приговоров в 2004-2006 годах.  Просьба представить подробную и обновленную информацию о числе жертв, а также о полученных жалобах, проведенных расследованиях и судебных процессах, обвинительных приговорах и мерах наказания виновных в таких преступлениях.  Просьба представить также данные о средствах, выделяемых для реализации государственных программ и политики в области защиты жертв торговли людьми, а также информацию о проектах в области подготовки и повышения осведомленности сотрудников правоохранительных органов, занимающихся вопросами жертв торговли людьми;  о мерах по развитию и укреплению международного сотрудничества в борьбе с торговлей людьми и о борьбе с коррупцией в правоохранительных органах.</w:t>
      </w:r>
    </w:p>
    <w:p w:rsidR="00822620" w:rsidRDefault="00822620" w:rsidP="005911E7"/>
    <w:p w:rsidR="00822620" w:rsidRDefault="00822620" w:rsidP="005911E7">
      <w:r>
        <w:t>13.</w:t>
      </w:r>
      <w:r>
        <w:tab/>
        <w:t>Как указывается в докладе государства (пункт</w:t>
      </w:r>
      <w:r>
        <w:rPr>
          <w:lang w:val="en-US"/>
        </w:rPr>
        <w:t> </w:t>
      </w:r>
      <w:r w:rsidRPr="006A1822">
        <w:t>53</w:t>
      </w:r>
      <w:r>
        <w:t>) жертвам торговли людьми выплачиваются в период их реинтеграции пособия.  Просьба дать дальнейшую информацию о числе жертв, получивших это пособие, и о типичной продолжительности "периода реинтеграции".  Просьба указать, разработаны ли положения, которые укрепляли бы гарантии правовой защиты жертв торговли людьми и предусматривающие выплату им компенсации, а также созданы ли центры реинтеграции и реабилитации жертв.  Кроме того, просьба указать, оказывается ли помощь жертвам на их языке, как это было рекомендовано Комитетом в его предыдущих заключительных замечаниях (пункт 11).</w:t>
      </w:r>
    </w:p>
    <w:p w:rsidR="00822620" w:rsidRDefault="00822620" w:rsidP="005911E7"/>
    <w:p w:rsidR="00822620" w:rsidRDefault="00822620" w:rsidP="005911E7">
      <w:r>
        <w:t>14.</w:t>
      </w:r>
      <w:r>
        <w:tab/>
        <w:t>В связи с пунктами 74-78 доклада государства, в которых говорится о различиях в применении санкций к иностранцам, статус которых не узаконен, с одной стороны, и террористам, с другой стороны, а также в свете пункта 121 доклада, в котором говорится о защите беженцев и вынужденных переселенцев, просьба пояснить, каким образом гарантируется на практике соблюдение принципа недопущения принудительного возвращения.</w:t>
      </w:r>
    </w:p>
    <w:p w:rsidR="00822620" w:rsidRDefault="00822620" w:rsidP="005911E7"/>
    <w:p w:rsidR="00822620" w:rsidRDefault="00822620" w:rsidP="005911E7">
      <w:r>
        <w:t>15.</w:t>
      </w:r>
      <w:r>
        <w:tab/>
        <w:t xml:space="preserve">Как указывается в докладе государства (пункт 103), государство гарантирует равные возможности всем кандидатам на национальных и местных выборах.  В этой связи просьба представить статистические данные о представленности этнических групп и меньшинств в Национальном собрании (Милли Меджлисе) и в муниципалитетах.  Просьба также указать, включаются ли представители различных этнических групп и меньшинств в состав Центральной избирательной комиссии и районных избирательных комиссий.  </w:t>
      </w:r>
    </w:p>
    <w:p w:rsidR="00822620" w:rsidRDefault="00822620" w:rsidP="005911E7"/>
    <w:p w:rsidR="00822620" w:rsidRDefault="00822620" w:rsidP="005911E7">
      <w:r>
        <w:t>16.</w:t>
      </w:r>
      <w:r>
        <w:tab/>
        <w:t>Просьба представить статистические данные о составе гражданской службы, в разбивке по этническим группам.</w:t>
      </w:r>
    </w:p>
    <w:p w:rsidR="00822620" w:rsidRDefault="00822620" w:rsidP="005911E7"/>
    <w:p w:rsidR="00822620" w:rsidRDefault="00822620" w:rsidP="005911E7">
      <w:r>
        <w:t>17.</w:t>
      </w:r>
      <w:r>
        <w:tab/>
        <w:t>Просьба представить дальнейшую информацию о принятых мерах по реформированию судебной системы во исполнение принятого в декабре 2004 года Закона "О судебно-правовом совете" и, в частности, о принятых мерах по обеспечению независимости судей.</w:t>
      </w:r>
    </w:p>
    <w:p w:rsidR="00822620" w:rsidRDefault="00822620" w:rsidP="005911E7"/>
    <w:p w:rsidR="00822620" w:rsidRDefault="00822620" w:rsidP="005911E7">
      <w:r>
        <w:t>18.</w:t>
      </w:r>
      <w:r>
        <w:tab/>
        <w:t>Принимая во внимание достижение значительного прогресса в области обеспечения экономических, социальных и культурных прав лиц, затронутых процессом внутреннего перемещения в результате имевшего в прошлом место конфликта, Комитет выражает, однако, обеспокоенность в связи с тем, что как в сельских, так и в городских районах внутренне перемещенные лица по</w:t>
      </w:r>
      <w:r>
        <w:noBreakHyphen/>
        <w:t>прежнему живут в неотвечающих нормальным требованиям помещениях, в меньшей степени пользуются экономическими возможностями и сталкиваются с препятствиями в реализации своего права на охрану здоровья.  Комитет также выражает обеспокоенность в связи с тем, что в городских районах сохраняются отдельные школы для детей внутренне перемещенных лиц.  В этой связи просьба представить подробную информацию о принятых мерах в целях улучшения положения внутренне перемещенных лиц, в частности о мерах, направленных на расширение их участия в планировании месторасположения новых поселений, расширение их доступа к занятости, с уделением особого внимания женщинам, более полного удовлетворения их потребностей в области охраны здоровья, а также поощрения обучения их детей в школах вместе с детьми местного населения.</w:t>
      </w:r>
    </w:p>
    <w:p w:rsidR="00822620" w:rsidRDefault="00822620" w:rsidP="005911E7"/>
    <w:p w:rsidR="00822620" w:rsidRDefault="00822620" w:rsidP="005911E7">
      <w:r>
        <w:t>19.</w:t>
      </w:r>
      <w:r>
        <w:tab/>
        <w:t>Просьба указать, проводилась ли оценка эффективности мер, принятых в рамках государственной программы улучшения условий жизни и расширения занятости беженцев и переселенцев (пункт 151 доклада государства-участника), и если проводилась, то каковы результаты такой оценки.</w:t>
      </w:r>
    </w:p>
    <w:p w:rsidR="00822620" w:rsidRDefault="00822620" w:rsidP="005911E7"/>
    <w:p w:rsidR="00822620" w:rsidRDefault="00822620" w:rsidP="005911E7">
      <w:pPr>
        <w:jc w:val="center"/>
        <w:rPr>
          <w:b/>
        </w:rPr>
      </w:pPr>
      <w:r>
        <w:rPr>
          <w:b/>
        </w:rPr>
        <w:t>Статья 6</w:t>
      </w:r>
    </w:p>
    <w:p w:rsidR="00822620" w:rsidRDefault="00822620" w:rsidP="005911E7">
      <w:pPr>
        <w:jc w:val="center"/>
        <w:rPr>
          <w:b/>
        </w:rPr>
      </w:pPr>
    </w:p>
    <w:p w:rsidR="00822620" w:rsidRDefault="00822620" w:rsidP="005911E7">
      <w:r>
        <w:t>20.</w:t>
      </w:r>
      <w:r>
        <w:tab/>
        <w:t xml:space="preserve">Просьба привести примеры случаев, когда на положения Конвенции делались бы ссылки в национальных судах и Конвенция превалировала бы над внутренним законодательством.  Просьба указать, рассматривались ли жалобы на расовую дискриминацию Конституционным судом (пункты 153 и 154 доклада государства-участника) и выносились ли на рассмотрение судов жалобы со ссылками на соответствующие положения Уголовного кодекса, касающиеся расовой дискриминации.  Просьба представить статистические данные о возбужденных делах и вынесенных мерах наказания, если таковые имели место, в отношении преступлений, связанных с расовой дискриминацией, и в отношении которых применялись соответствующие положения действующего национального законодательства, как рекомендовал Комитет в своих предыдущих заключительных замечаниях.  Просьба дать подробную информацию о мерах, принятых с целью информирования населения о доступных средствах правовой защиты в области борьбы с расовой дискриминацией. </w:t>
      </w:r>
    </w:p>
    <w:p w:rsidR="00822620" w:rsidRDefault="00822620" w:rsidP="005911E7"/>
    <w:p w:rsidR="00822620" w:rsidRDefault="00822620" w:rsidP="005911E7">
      <w:r>
        <w:t>21.</w:t>
      </w:r>
      <w:r>
        <w:tab/>
        <w:t>Приняты ли государством-участником какие-либо меры по обеспечению информированности людей об их правах и устранению факторов, которые могут препятствовать обращению жертв за помощью, например таких как недостаточно чуткое отношение правоохранительных органов к случаям расовой дискриминации?</w:t>
      </w:r>
    </w:p>
    <w:p w:rsidR="00822620" w:rsidRDefault="00822620" w:rsidP="005911E7">
      <w:pPr>
        <w:ind w:left="561" w:hanging="561"/>
      </w:pPr>
    </w:p>
    <w:p w:rsidR="00822620" w:rsidRDefault="00822620" w:rsidP="005911E7">
      <w:r>
        <w:t>22.</w:t>
      </w:r>
      <w:r>
        <w:tab/>
        <w:t>В связи с заявлением государства-участника согласно статье 14 Конвенции, которая предусматривает возможность рассмотрения Комитетом сообщений отдельных лиц, просьба представить информацию о мерах по информированию населения об этом средстве правовой защиты.</w:t>
      </w:r>
    </w:p>
    <w:p w:rsidR="00822620" w:rsidRDefault="00822620" w:rsidP="005911E7">
      <w:pPr>
        <w:ind w:left="561" w:hanging="561"/>
      </w:pPr>
    </w:p>
    <w:p w:rsidR="00822620" w:rsidRDefault="00822620" w:rsidP="005911E7">
      <w:pPr>
        <w:ind w:left="561" w:hanging="561"/>
        <w:jc w:val="center"/>
        <w:rPr>
          <w:b/>
        </w:rPr>
      </w:pPr>
      <w:r>
        <w:rPr>
          <w:b/>
        </w:rPr>
        <w:t>Статья 7</w:t>
      </w:r>
    </w:p>
    <w:p w:rsidR="00822620" w:rsidRDefault="00822620" w:rsidP="005911E7">
      <w:pPr>
        <w:ind w:left="561" w:hanging="561"/>
        <w:jc w:val="center"/>
        <w:rPr>
          <w:b/>
        </w:rPr>
      </w:pPr>
    </w:p>
    <w:p w:rsidR="00822620" w:rsidRDefault="00822620" w:rsidP="005911E7">
      <w:r>
        <w:t>23.</w:t>
      </w:r>
      <w:r>
        <w:tab/>
        <w:t>Просьба сообщить, имеются ли радио- и телевизионные программы, целью которых является поощрение и защита культуры меньшинств, и которые отражали бы многокультурный характер азербайджанского общества.  Просьба указать, выделяются ли для таких программ государственные средства или субсидии.  Просьба представить информацию о положении журналистских и политических кругов в связи с мерами, принятыми в отношении журналистов, которые, как было установлено, оскорбляли религиозные ценности или ввозили в Азербайджан литературу, пропагандирующую религиозную нетерпимость (пункты 203, 204 доклада государства-участника).</w:t>
      </w:r>
    </w:p>
    <w:p w:rsidR="00822620" w:rsidRDefault="00822620" w:rsidP="005911E7">
      <w:pPr>
        <w:ind w:left="561" w:hanging="561"/>
      </w:pPr>
    </w:p>
    <w:p w:rsidR="00822620" w:rsidRDefault="00822620" w:rsidP="005911E7">
      <w:r>
        <w:t>24.</w:t>
      </w:r>
      <w:r>
        <w:tab/>
        <w:t>Просьба представить информацию о работе по подготовке кадров, которая организуется для сотрудников правоохранительных органов и судебной системы в области прав человека, в том числе по вопросам расовой дискриминации.</w:t>
      </w:r>
    </w:p>
    <w:p w:rsidR="00822620" w:rsidRDefault="00822620" w:rsidP="005911E7">
      <w:pPr>
        <w:ind w:left="561" w:hanging="561"/>
      </w:pPr>
    </w:p>
    <w:p w:rsidR="00822620" w:rsidRDefault="00822620" w:rsidP="005911E7">
      <w:r>
        <w:t>25.</w:t>
      </w:r>
      <w:r>
        <w:tab/>
        <w:t>Просьба сообщить, были ли приняты какие-либо меры по распространению информации о содержании Конвенции среди населения и по расширению осведомленности населения в вопросах, касающихся дискриминации по признакам расы, цвета кожи, происхождения или национальной или этнической принадлежности.</w:t>
      </w:r>
    </w:p>
    <w:p w:rsidR="00822620" w:rsidRDefault="00822620" w:rsidP="005911E7">
      <w:pPr>
        <w:ind w:left="561" w:hanging="561"/>
      </w:pPr>
    </w:p>
    <w:p w:rsidR="00822620" w:rsidRDefault="00822620" w:rsidP="005911E7">
      <w:pPr>
        <w:ind w:left="561" w:hanging="561"/>
        <w:jc w:val="center"/>
      </w:pPr>
      <w:r>
        <w:t>-----</w:t>
      </w:r>
    </w:p>
    <w:p w:rsidR="00C32CD7" w:rsidRDefault="00C32CD7" w:rsidP="00C32CD7"/>
    <w:sectPr w:rsidR="00C32CD7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51" w:rsidRDefault="00C64651">
      <w:r>
        <w:separator/>
      </w:r>
    </w:p>
  </w:endnote>
  <w:endnote w:type="continuationSeparator" w:id="0">
    <w:p w:rsidR="00C64651" w:rsidRDefault="00C6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36" w:rsidRDefault="004C3936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51" w:rsidRDefault="00C64651">
      <w:r>
        <w:separator/>
      </w:r>
    </w:p>
  </w:footnote>
  <w:footnote w:type="continuationSeparator" w:id="0">
    <w:p w:rsidR="00C64651" w:rsidRDefault="00C6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36" w:rsidRPr="00080EE5" w:rsidRDefault="004C3936">
    <w:pPr>
      <w:pStyle w:val="Header"/>
      <w:tabs>
        <w:tab w:val="left" w:pos="6237"/>
      </w:tabs>
      <w:rPr>
        <w:lang w:val="en-US"/>
      </w:rPr>
    </w:pPr>
    <w:r>
      <w:t>С</w:t>
    </w:r>
    <w:r>
      <w:rPr>
        <w:lang w:val="en-US"/>
      </w:rPr>
      <w:t>ERD/C/AZE/Q/6</w:t>
    </w:r>
  </w:p>
  <w:p w:rsidR="004C3936" w:rsidRDefault="004C3936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600E">
      <w:rPr>
        <w:rStyle w:val="PageNumber"/>
        <w:noProof/>
      </w:rPr>
      <w:t>6</w:t>
    </w:r>
    <w:r>
      <w:rPr>
        <w:rStyle w:val="PageNumber"/>
      </w:rPr>
      <w:fldChar w:fldCharType="end"/>
    </w:r>
  </w:p>
  <w:p w:rsidR="004C3936" w:rsidRDefault="004C3936">
    <w:pPr>
      <w:pStyle w:val="Header"/>
      <w:tabs>
        <w:tab w:val="left" w:pos="6237"/>
      </w:tabs>
      <w:rPr>
        <w:rStyle w:val="PageNumber"/>
        <w:lang w:val="en-US"/>
      </w:rPr>
    </w:pPr>
  </w:p>
  <w:p w:rsidR="004C3936" w:rsidRDefault="004C3936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36" w:rsidRDefault="004C3936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t>С</w:t>
    </w:r>
    <w:r>
      <w:rPr>
        <w:lang w:val="en-US"/>
      </w:rPr>
      <w:t>ERS/C/AZE/Q/6</w:t>
    </w:r>
  </w:p>
  <w:p w:rsidR="004C3936" w:rsidRDefault="004C3936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C3936" w:rsidRDefault="004C3936">
    <w:pPr>
      <w:pStyle w:val="Header"/>
      <w:tabs>
        <w:tab w:val="left" w:pos="6237"/>
      </w:tabs>
      <w:rPr>
        <w:rStyle w:val="PageNumber"/>
        <w:lang w:val="en-US"/>
      </w:rPr>
    </w:pPr>
  </w:p>
  <w:p w:rsidR="004C3936" w:rsidRDefault="004C3936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827"/>
    <w:rsid w:val="00080EE5"/>
    <w:rsid w:val="00122084"/>
    <w:rsid w:val="0028600E"/>
    <w:rsid w:val="00290EF9"/>
    <w:rsid w:val="00307720"/>
    <w:rsid w:val="003A6F17"/>
    <w:rsid w:val="004B68F1"/>
    <w:rsid w:val="004C3936"/>
    <w:rsid w:val="004F2906"/>
    <w:rsid w:val="005416FD"/>
    <w:rsid w:val="005911E7"/>
    <w:rsid w:val="005C7438"/>
    <w:rsid w:val="00822620"/>
    <w:rsid w:val="00883860"/>
    <w:rsid w:val="00BB30D9"/>
    <w:rsid w:val="00C32CD7"/>
    <w:rsid w:val="00C64651"/>
    <w:rsid w:val="00D54827"/>
    <w:rsid w:val="00D9396B"/>
    <w:rsid w:val="00FB6B19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3</TotalTime>
  <Pages>1</Pages>
  <Words>1940</Words>
  <Characters>11058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G.Ossipova</dc:creator>
  <cp:keywords/>
  <dc:description/>
  <cp:lastModifiedBy>G.Ossipova</cp:lastModifiedBy>
  <cp:revision>4</cp:revision>
  <cp:lastPrinted>2009-07-09T14:57:00Z</cp:lastPrinted>
  <dcterms:created xsi:type="dcterms:W3CDTF">2009-07-09T14:57:00Z</dcterms:created>
  <dcterms:modified xsi:type="dcterms:W3CDTF">2009-07-09T14:59:00Z</dcterms:modified>
</cp:coreProperties>
</file>