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4A35612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D5C80F" w14:textId="77777777" w:rsidR="002D5AAC" w:rsidRDefault="002D5AAC" w:rsidP="008F45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E68BBBE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2F74F20" w14:textId="50D21117" w:rsidR="002D5AAC" w:rsidRDefault="008F45C1" w:rsidP="008F45C1">
            <w:pPr>
              <w:jc w:val="right"/>
            </w:pPr>
            <w:r w:rsidRPr="008F45C1">
              <w:rPr>
                <w:sz w:val="40"/>
              </w:rPr>
              <w:t>CERD</w:t>
            </w:r>
            <w:r>
              <w:t>/C/AZE/Q/10-12</w:t>
            </w:r>
          </w:p>
        </w:tc>
      </w:tr>
      <w:tr w:rsidR="002D5AAC" w:rsidRPr="00786E57" w14:paraId="408C7D0B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9A30B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E256ED" wp14:editId="0C2D8A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60A0CF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90235C3" w14:textId="77777777" w:rsidR="002D5AAC" w:rsidRPr="00786E57" w:rsidRDefault="008F45C1" w:rsidP="008D2AAD">
            <w:pPr>
              <w:spacing w:before="240"/>
              <w:rPr>
                <w:lang w:val="en-US"/>
              </w:rPr>
            </w:pPr>
            <w:r w:rsidRPr="00786E57">
              <w:rPr>
                <w:lang w:val="en-US"/>
              </w:rPr>
              <w:t>Distr.: General</w:t>
            </w:r>
          </w:p>
          <w:p w14:paraId="450BD399" w14:textId="77777777" w:rsidR="008F45C1" w:rsidRPr="00786E57" w:rsidRDefault="008F45C1" w:rsidP="008F45C1">
            <w:pPr>
              <w:spacing w:line="240" w:lineRule="exact"/>
              <w:rPr>
                <w:lang w:val="en-US"/>
              </w:rPr>
            </w:pPr>
            <w:r w:rsidRPr="00786E57">
              <w:rPr>
                <w:lang w:val="en-US"/>
              </w:rPr>
              <w:t>23 June 2022</w:t>
            </w:r>
          </w:p>
          <w:p w14:paraId="3C9B3853" w14:textId="77777777" w:rsidR="008F45C1" w:rsidRPr="00786E57" w:rsidRDefault="008F45C1" w:rsidP="008F45C1">
            <w:pPr>
              <w:spacing w:line="240" w:lineRule="exact"/>
              <w:rPr>
                <w:lang w:val="en-US"/>
              </w:rPr>
            </w:pPr>
            <w:r w:rsidRPr="00786E57">
              <w:rPr>
                <w:lang w:val="en-US"/>
              </w:rPr>
              <w:t>Russian</w:t>
            </w:r>
          </w:p>
          <w:p w14:paraId="1F05E770" w14:textId="113C752D" w:rsidR="008F45C1" w:rsidRPr="00786E57" w:rsidRDefault="008F45C1" w:rsidP="008F45C1">
            <w:pPr>
              <w:spacing w:line="240" w:lineRule="exact"/>
              <w:rPr>
                <w:lang w:val="en-US"/>
              </w:rPr>
            </w:pPr>
            <w:r w:rsidRPr="00786E57">
              <w:rPr>
                <w:lang w:val="en-US"/>
              </w:rPr>
              <w:t>Original: English</w:t>
            </w:r>
            <w:r w:rsidR="00786E57">
              <w:rPr>
                <w:lang w:val="en-US"/>
              </w:rPr>
              <w:br/>
            </w:r>
            <w:r w:rsidR="00786E57" w:rsidRPr="00786E57">
              <w:rPr>
                <w:lang w:val="en-GB"/>
              </w:rPr>
              <w:t>English, French, Russian and Spanish only</w:t>
            </w:r>
          </w:p>
        </w:tc>
      </w:tr>
    </w:tbl>
    <w:p w14:paraId="09FFC70E" w14:textId="77777777" w:rsidR="00786E57" w:rsidRPr="00786E57" w:rsidRDefault="00786E57" w:rsidP="00786E57">
      <w:pPr>
        <w:spacing w:before="120"/>
        <w:rPr>
          <w:b/>
          <w:sz w:val="24"/>
          <w:szCs w:val="24"/>
        </w:rPr>
      </w:pPr>
      <w:r w:rsidRPr="00786E57">
        <w:rPr>
          <w:b/>
          <w:bCs/>
          <w:sz w:val="24"/>
          <w:szCs w:val="24"/>
        </w:rPr>
        <w:t>Комитет по ликвидации расовой дискриминации</w:t>
      </w:r>
    </w:p>
    <w:p w14:paraId="3484177D" w14:textId="76625D13" w:rsidR="00786E57" w:rsidRPr="00486BF6" w:rsidRDefault="00786E57" w:rsidP="00786E57">
      <w:pPr>
        <w:rPr>
          <w:b/>
        </w:rPr>
      </w:pPr>
      <w:r>
        <w:rPr>
          <w:b/>
          <w:bCs/>
        </w:rPr>
        <w:t>Сто седьмая</w:t>
      </w:r>
      <w:r>
        <w:rPr>
          <w:b/>
          <w:bCs/>
        </w:rPr>
        <w:t xml:space="preserve"> сессия</w:t>
      </w:r>
    </w:p>
    <w:p w14:paraId="4A85E11D" w14:textId="77777777" w:rsidR="00786E57" w:rsidRPr="003964E9" w:rsidRDefault="00786E57" w:rsidP="00786E57">
      <w:r>
        <w:t>8–30 августа 2022 года</w:t>
      </w:r>
    </w:p>
    <w:p w14:paraId="0D19F30D" w14:textId="77777777" w:rsidR="00786E57" w:rsidRPr="00486BF6" w:rsidRDefault="00786E57" w:rsidP="00786E57">
      <w:r>
        <w:t>Пункт 4 предварительной повестки дня</w:t>
      </w:r>
    </w:p>
    <w:p w14:paraId="378DE136" w14:textId="60CB2C33" w:rsidR="00786E57" w:rsidRPr="00486BF6" w:rsidRDefault="00786E57" w:rsidP="00786E57">
      <w:pPr>
        <w:rPr>
          <w:b/>
          <w:bCs/>
        </w:rPr>
      </w:pPr>
      <w:r>
        <w:rPr>
          <w:b/>
          <w:bCs/>
        </w:rPr>
        <w:t>Рассмотрение докладов, комментариев и информации,</w:t>
      </w:r>
      <w:r>
        <w:rPr>
          <w:b/>
          <w:bCs/>
        </w:rPr>
        <w:br/>
      </w:r>
      <w:r>
        <w:rPr>
          <w:b/>
          <w:bCs/>
        </w:rPr>
        <w:t>представленных государствами-участниками</w:t>
      </w:r>
      <w:r w:rsidR="00245A5A">
        <w:rPr>
          <w:b/>
          <w:bCs/>
        </w:rPr>
        <w:br/>
      </w:r>
      <w:r>
        <w:rPr>
          <w:b/>
          <w:bCs/>
        </w:rPr>
        <w:t>в соответствии</w:t>
      </w:r>
      <w:r w:rsidR="00245A5A">
        <w:rPr>
          <w:b/>
          <w:bCs/>
        </w:rPr>
        <w:t xml:space="preserve"> </w:t>
      </w:r>
      <w:r>
        <w:rPr>
          <w:b/>
          <w:bCs/>
        </w:rPr>
        <w:t>со статьей 9 Конвенции</w:t>
      </w:r>
    </w:p>
    <w:p w14:paraId="5905A3E4" w14:textId="2D9258B9" w:rsidR="00786E57" w:rsidRPr="00486BF6" w:rsidRDefault="00786E57" w:rsidP="00786E57">
      <w:pPr>
        <w:pStyle w:val="HChG"/>
      </w:pPr>
      <w:r>
        <w:tab/>
      </w:r>
      <w:r>
        <w:tab/>
      </w:r>
      <w:r>
        <w:rPr>
          <w:bCs/>
        </w:rPr>
        <w:t>Перечень тем в связи с объединенными</w:t>
      </w:r>
      <w:r>
        <w:rPr>
          <w:bCs/>
        </w:rPr>
        <w:br/>
      </w:r>
      <w:r>
        <w:rPr>
          <w:bCs/>
        </w:rPr>
        <w:t>десятым—двенадцатым докладами Азербайджана</w:t>
      </w:r>
    </w:p>
    <w:p w14:paraId="486D4269" w14:textId="77777777" w:rsidR="00786E57" w:rsidRPr="00486BF6" w:rsidRDefault="00786E57" w:rsidP="00786E57">
      <w:pPr>
        <w:pStyle w:val="H1G"/>
      </w:pPr>
      <w:r>
        <w:tab/>
      </w:r>
      <w:r>
        <w:tab/>
      </w:r>
      <w:r>
        <w:rPr>
          <w:bCs/>
        </w:rPr>
        <w:t>Записка Докладчика по стране</w:t>
      </w:r>
    </w:p>
    <w:p w14:paraId="22999528" w14:textId="62628B92" w:rsidR="00786E57" w:rsidRPr="003964E9" w:rsidRDefault="00786E57" w:rsidP="00786E57">
      <w:pPr>
        <w:pStyle w:val="SingleTxtG"/>
      </w:pPr>
      <w:r>
        <w:t>1.</w:t>
      </w:r>
      <w:r>
        <w:tab/>
        <w:t>Комитет по ликвидации расовой дискриминации на своей семьдесят шестой сессии</w:t>
      </w:r>
      <w:r>
        <w:rPr>
          <w:rStyle w:val="aa"/>
        </w:rPr>
        <w:footnoteReference w:id="1"/>
      </w:r>
      <w:r>
        <w:t xml:space="preserve"> постановил, что докладчик по стране будет направлять соответствующему государству-участнику краткий перечень тем, призванных определять направление и нацеленность диалога между делегацией государства-участника и Комитетом во время рассмотрения доклада государства-участника. Настоящий документ содержит перечень таких тем. Данный перечень не является исчерпывающим; в ходе диалога могут быть подняты и другие вопросы. Письменные ответы по такому перечню тем не требуются.</w:t>
      </w:r>
    </w:p>
    <w:p w14:paraId="78FBDF4B" w14:textId="77777777" w:rsidR="00786E57" w:rsidRPr="003964E9" w:rsidRDefault="00786E57" w:rsidP="00786E57">
      <w:pPr>
        <w:pStyle w:val="H23G"/>
      </w:pPr>
      <w:r>
        <w:tab/>
      </w:r>
      <w:r>
        <w:tab/>
      </w:r>
      <w:r>
        <w:rPr>
          <w:bCs/>
        </w:rPr>
        <w:t>Статистика</w:t>
      </w:r>
    </w:p>
    <w:p w14:paraId="71B23030" w14:textId="79913C1F" w:rsidR="00786E57" w:rsidRPr="00EC4E3E" w:rsidRDefault="00786E57" w:rsidP="00786E57">
      <w:pPr>
        <w:pStyle w:val="SingleTxtG"/>
      </w:pPr>
      <w:r>
        <w:t>2.</w:t>
      </w:r>
      <w:r>
        <w:tab/>
        <w:t>Статистические данные о демографическом составе населения в разбивке по этническому происхождению, а также о мигрантах, беженцах, просителях убежища, лицах без гражданства и внутренне перемещенных лицах. Экономические и социальные показатели по различным группам населения, проживающим на его территории, в разбивке по национальному или этническому происхождению, полу и возрасту</w:t>
      </w:r>
      <w:r>
        <w:rPr>
          <w:rStyle w:val="aa"/>
        </w:rPr>
        <w:footnoteReference w:id="2"/>
      </w:r>
      <w:r>
        <w:t>.</w:t>
      </w:r>
    </w:p>
    <w:p w14:paraId="5BEF89A9" w14:textId="77777777" w:rsidR="00786E57" w:rsidRPr="00486BF6" w:rsidRDefault="00786E57" w:rsidP="00786E57">
      <w:pPr>
        <w:pStyle w:val="H23G"/>
      </w:pPr>
      <w:r>
        <w:tab/>
      </w:r>
      <w:r>
        <w:tab/>
      </w:r>
      <w:r>
        <w:rPr>
          <w:bCs/>
        </w:rPr>
        <w:t>Место Конвенции во внутреннем праве, институциональная и директивная основа ее осуществления (ст. 1, 2, 4, 6 и 7)</w:t>
      </w:r>
    </w:p>
    <w:p w14:paraId="0F810BB6" w14:textId="53BC7A88" w:rsidR="00786E57" w:rsidRPr="00EC4E3E" w:rsidRDefault="00786E57" w:rsidP="00786E57">
      <w:pPr>
        <w:pStyle w:val="SingleTxtG"/>
      </w:pPr>
      <w:r>
        <w:t>3.</w:t>
      </w:r>
      <w:r>
        <w:tab/>
        <w:t>Шаги, предпринятые для разработки и принятия всеобъемлющего закона о борьбе с дискриминацией, включающего определение прямой и косвенной дискриминации. Меры, направленные на принятие комплексной стратегии и национального плана действий по борьбе с расизмом, расовой дискриминацией и нетерпимостью</w:t>
      </w:r>
      <w:r>
        <w:rPr>
          <w:rStyle w:val="aa"/>
        </w:rPr>
        <w:footnoteReference w:id="3"/>
      </w:r>
      <w:r>
        <w:t>.</w:t>
      </w:r>
    </w:p>
    <w:p w14:paraId="64AB0D7F" w14:textId="00B58442" w:rsidR="00786E57" w:rsidRPr="00486BF6" w:rsidRDefault="00786E57" w:rsidP="00786E57">
      <w:pPr>
        <w:pStyle w:val="SingleTxtG"/>
      </w:pPr>
      <w:r>
        <w:t>4.</w:t>
      </w:r>
      <w:r>
        <w:tab/>
        <w:t xml:space="preserve">Шаги, предпринятые для внесения поправок во внутреннее законодательство с целью позволить принятие и осуществление специальных мер, направленных на обеспечение надлежащего прогресса в отношении групп меньшинств, находящихся в </w:t>
      </w:r>
      <w:r>
        <w:lastRenderedPageBreak/>
        <w:t>неблагоприятном положении, в соответствии со статьями 1 (пункт 4) и 2 (пункт 2) Конвенции</w:t>
      </w:r>
      <w:r>
        <w:rPr>
          <w:rStyle w:val="aa"/>
        </w:rPr>
        <w:footnoteReference w:id="4"/>
      </w:r>
      <w:r>
        <w:t>.</w:t>
      </w:r>
    </w:p>
    <w:p w14:paraId="1131ACD0" w14:textId="4E9F8B14" w:rsidR="00786E57" w:rsidRPr="00EC4E3E" w:rsidRDefault="00786E57" w:rsidP="00786E57">
      <w:pPr>
        <w:pStyle w:val="SingleTxtG"/>
      </w:pPr>
      <w:r>
        <w:t>5.</w:t>
      </w:r>
      <w:r>
        <w:tab/>
        <w:t>Статистические данные и подробная информация о зарегистрированных жалобах в суды или любые другие национальные учреждения на акты расовой дискриминации, расистские ненавистнические высказывания и преступления на почве ненависти, в том числе в Интернете и через средства массовой информации, а также о количестве расследований, судебных преследований и осуждений виновных</w:t>
      </w:r>
      <w:r>
        <w:rPr>
          <w:rStyle w:val="aa"/>
        </w:rPr>
        <w:footnoteReference w:id="5"/>
      </w:r>
      <w:r>
        <w:t>.</w:t>
      </w:r>
    </w:p>
    <w:p w14:paraId="39BF5BB7" w14:textId="59A75376" w:rsidR="00786E57" w:rsidRPr="00EC4E3E" w:rsidRDefault="00786E57" w:rsidP="00786E57">
      <w:pPr>
        <w:pStyle w:val="SingleTxtG"/>
      </w:pPr>
      <w:r>
        <w:t>6.</w:t>
      </w:r>
      <w:r>
        <w:tab/>
        <w:t>Меры по облегчению подачи жалоб на акты расовой дискриминации и мероприятия по повышению осведомленности о правах в соответствии с Конвенцией и средствах правовой защиты, а также доступных судебных и внесудебных средствах правовой защиты. Меры по укреплению услуг бесплатной правовой помощи и оказанию содействия в рамках судебных разбирательств по делам о дискриминации</w:t>
      </w:r>
      <w:r>
        <w:rPr>
          <w:rStyle w:val="aa"/>
        </w:rPr>
        <w:footnoteReference w:id="6"/>
      </w:r>
      <w:r>
        <w:t>.</w:t>
      </w:r>
    </w:p>
    <w:p w14:paraId="7D2E3F23" w14:textId="0339A8F7" w:rsidR="00786E57" w:rsidRPr="00EC4E3E" w:rsidRDefault="00786E57" w:rsidP="00786E57">
      <w:pPr>
        <w:pStyle w:val="SingleTxtG"/>
      </w:pPr>
      <w:r>
        <w:t>7.</w:t>
      </w:r>
      <w:r>
        <w:tab/>
        <w:t>Меры, принятые для обеспечения того, чтобы организации гражданского общества, правозащитники и журналисты, включая тех, кто занимается правами этнических меньшинств, могли эффективно и без запугивания выполнять свою работу</w:t>
      </w:r>
      <w:r>
        <w:rPr>
          <w:rStyle w:val="aa"/>
        </w:rPr>
        <w:footnoteReference w:id="7"/>
      </w:r>
      <w:r>
        <w:t>.</w:t>
      </w:r>
    </w:p>
    <w:p w14:paraId="723922BD" w14:textId="5613D010" w:rsidR="00786E57" w:rsidRPr="00486BF6" w:rsidRDefault="00786E57" w:rsidP="00786E57">
      <w:pPr>
        <w:pStyle w:val="SingleTxtG"/>
      </w:pPr>
      <w:r>
        <w:t>8.</w:t>
      </w:r>
      <w:r>
        <w:tab/>
        <w:t>Меры по укреплению мандата Уполномоченного по правам человека (омбудсмена) для эффективного продвижения прав человека и мониторинга и оценки прогресса в осуществлении Конвенции независимым и прозрачным образом, при обеспечении достаточных финансовых и людских ресурсов для выполнения его мандата</w:t>
      </w:r>
      <w:r>
        <w:rPr>
          <w:rStyle w:val="aa"/>
        </w:rPr>
        <w:footnoteReference w:id="8"/>
      </w:r>
      <w:r>
        <w:t>.</w:t>
      </w:r>
    </w:p>
    <w:p w14:paraId="14F6A4C6" w14:textId="77777777" w:rsidR="00786E57" w:rsidRPr="00486BF6" w:rsidRDefault="00786E57" w:rsidP="00786E57">
      <w:pPr>
        <w:pStyle w:val="H23G"/>
      </w:pPr>
      <w:r>
        <w:tab/>
      </w:r>
      <w:r>
        <w:tab/>
      </w:r>
      <w:r>
        <w:rPr>
          <w:bCs/>
        </w:rPr>
        <w:t>Расистские ненавистнические высказывания, подстрекательство к расовой ненависти и преступления на почве расовой ненависти (ст. 2, 4 и 6)</w:t>
      </w:r>
    </w:p>
    <w:p w14:paraId="551BFA00" w14:textId="5121E8D4" w:rsidR="00786E57" w:rsidRPr="00486BF6" w:rsidRDefault="00786E57" w:rsidP="00786E57">
      <w:pPr>
        <w:pStyle w:val="SingleTxtG"/>
      </w:pPr>
      <w:r>
        <w:t>9.</w:t>
      </w:r>
      <w:r>
        <w:tab/>
        <w:t>Меры по обеспечению того, чтобы положения Уголовного кодекса и другого соответствующего законодательства о расистских ненавистнических высказываниях, подстрекательстве к расовой ненависти и преступлениях на почве расовой ненависти полностью соответствовали статье 4 Конвенции</w:t>
      </w:r>
      <w:r>
        <w:rPr>
          <w:rStyle w:val="aa"/>
        </w:rPr>
        <w:footnoteReference w:id="9"/>
      </w:r>
      <w:r>
        <w:t>.</w:t>
      </w:r>
    </w:p>
    <w:p w14:paraId="2D52A313" w14:textId="1CEDF6E4" w:rsidR="00786E57" w:rsidRPr="00486BF6" w:rsidRDefault="00786E57" w:rsidP="00786E57">
      <w:pPr>
        <w:pStyle w:val="SingleTxtG"/>
      </w:pPr>
      <w:r>
        <w:t>10.</w:t>
      </w:r>
      <w:r>
        <w:tab/>
        <w:t>Конкретные меры, принятые или планируемые для борьбы с расистскими ненавистническими высказываниями, в том числе в политических дискуссиях, в СМИ и Интернете. Информация о мерах, принятых для обеспечения того, чтобы положения Уголовного кодекса, в частности статья 283, направленные на мониторинг расистских высказываний и борьбу с ними, не использовались таким образом, чтобы вести к ненужному или непропорциональному вмешательству в свободу выражения мнений, в том числе теми, кто защищает права меньшинств</w:t>
      </w:r>
      <w:r>
        <w:rPr>
          <w:rStyle w:val="aa"/>
        </w:rPr>
        <w:footnoteReference w:id="10"/>
      </w:r>
      <w:r>
        <w:t>.</w:t>
      </w:r>
    </w:p>
    <w:p w14:paraId="5646D7E8" w14:textId="77777777" w:rsidR="00786E57" w:rsidRPr="00486BF6" w:rsidRDefault="00786E57" w:rsidP="00786E57">
      <w:pPr>
        <w:pStyle w:val="H23G"/>
      </w:pPr>
      <w:r>
        <w:tab/>
      </w:r>
      <w:r>
        <w:tab/>
      </w:r>
      <w:r>
        <w:rPr>
          <w:bCs/>
        </w:rPr>
        <w:t>Положение этнических групп (ст. 2, 5 и 7)</w:t>
      </w:r>
    </w:p>
    <w:p w14:paraId="76D5CE79" w14:textId="7025558D" w:rsidR="00786E57" w:rsidRPr="00486BF6" w:rsidRDefault="00786E57" w:rsidP="00786E57">
      <w:pPr>
        <w:pStyle w:val="SingleTxtG"/>
      </w:pPr>
      <w:r>
        <w:t>11.</w:t>
      </w:r>
      <w:r>
        <w:tab/>
        <w:t>Информация о законодательной базе по правам лиц, принадлежащих к группам этнических меньшинств, для обеспечения им возможности в полной мере пользоваться всеми правами по Конвенции без какой-либо дискриминации. Меры, принятые с целью создания эффективных инструментов консультаций и диалога с группами этнических меньшинств для обеспечения того, чтобы их взгляды и опасения учитывались при обсуждении затрагивающих их вопросов</w:t>
      </w:r>
      <w:r>
        <w:rPr>
          <w:rStyle w:val="aa"/>
        </w:rPr>
        <w:footnoteReference w:id="11"/>
      </w:r>
      <w:r>
        <w:t>.</w:t>
      </w:r>
    </w:p>
    <w:p w14:paraId="035EE714" w14:textId="77777777" w:rsidR="00786E57" w:rsidRPr="00EC4E3E" w:rsidRDefault="00786E57" w:rsidP="00786E57">
      <w:pPr>
        <w:pStyle w:val="SingleTxtG"/>
      </w:pPr>
      <w:r>
        <w:t>12.</w:t>
      </w:r>
      <w:r>
        <w:tab/>
        <w:t xml:space="preserve">Меры, принятые для обеспечения эффективного участия и представительства групп этнических меньшинств в общественной и политической жизни, в том числе в государственных учреждениях и администрации на всех уровнях. Информация о </w:t>
      </w:r>
      <w:r>
        <w:lastRenderedPageBreak/>
        <w:t>принятии и реализации специальных мер для обеспечения осуществления ими экономических, социальных и культурных прав.</w:t>
      </w:r>
    </w:p>
    <w:p w14:paraId="6AD3AC20" w14:textId="77777777" w:rsidR="00786E57" w:rsidRPr="00EC4E3E" w:rsidRDefault="00786E57" w:rsidP="00786E57">
      <w:pPr>
        <w:pStyle w:val="H23G"/>
      </w:pPr>
      <w:r>
        <w:tab/>
      </w:r>
      <w:r>
        <w:tab/>
      </w:r>
      <w:r>
        <w:rPr>
          <w:bCs/>
        </w:rPr>
        <w:t>Положение мигрантов, просителей убежища, беженцев и лиц без гражданства (ст. 2 и 5)</w:t>
      </w:r>
    </w:p>
    <w:p w14:paraId="557F3ADD" w14:textId="6350026C" w:rsidR="00786E57" w:rsidRPr="00486BF6" w:rsidRDefault="00786E57" w:rsidP="00786E57">
      <w:pPr>
        <w:pStyle w:val="SingleTxtG"/>
      </w:pPr>
      <w:r>
        <w:t>13.</w:t>
      </w:r>
      <w:r>
        <w:tab/>
        <w:t>Меры по предотвращению и защите лиц от безгражданства, включая информацию о процедуре определения безгражданства, и обновленные статистические данные о лицах без гражданства и тех, кто находится под угрозой безгражданства, включая их этническое происхождение. Информация о дополнительных мерах по устранению препятствий для регистрации рождения и безгражданства детей при рождении, принятых в соответствии с Постановлением Кабинета Министров от 21 июля 2017 года</w:t>
      </w:r>
      <w:r>
        <w:rPr>
          <w:rStyle w:val="aa"/>
        </w:rPr>
        <w:footnoteReference w:id="12"/>
      </w:r>
      <w:r>
        <w:t>.</w:t>
      </w:r>
    </w:p>
    <w:p w14:paraId="0D021837" w14:textId="77777777" w:rsidR="00786E57" w:rsidRPr="00EC4E3E" w:rsidRDefault="00786E57" w:rsidP="00786E57">
      <w:pPr>
        <w:pStyle w:val="SingleTxtG"/>
      </w:pPr>
      <w:r>
        <w:t>14.</w:t>
      </w:r>
      <w:r>
        <w:tab/>
        <w:t>Информация о законодательной и политической базе в отношении просителей убежища, беженцев и внутренне перемещенных лиц и мерах по обеспечению доступа к образованию, занятости и медицинским услугам без дискриминации для всех лиц, находящихся под юрисдикцией государства-участника.</w:t>
      </w:r>
    </w:p>
    <w:p w14:paraId="2467A6FC" w14:textId="0F79E159" w:rsidR="00786E57" w:rsidRPr="00EC4E3E" w:rsidRDefault="00786E57" w:rsidP="00786E57">
      <w:pPr>
        <w:pStyle w:val="SingleTxtG"/>
      </w:pPr>
      <w:r>
        <w:t>15.</w:t>
      </w:r>
      <w:r>
        <w:tab/>
        <w:t>Информация о положении мигрантов, особенно тех, кто въехал в государство-участник нелегально, и о мерах, принятых для улучшения защиты их прав человека, в частности от произвольного задержания и выдворения. Меры по замене разрешения на работу для трудящихся-мигрантов видом на жительство или альтернативной системой для предотвращения эксплуатации и злоупотреблений в отношении трудящихся-мигрантов со стороны их работодателей и для борьбы с такой эксплуатацией и злоупотреблениями, а также информация о принятых мерах. Информация о мерах по облегчению подачи жалоб потерпевшими и статистические данные о зарегистрированных жалобах и количестве расследований, судебных преследований и осуждений виновных. Обновленная информация о мерах по обеспечению трудящимся-мигрантам и их семьям равного доступа к образованию и здравоохранению</w:t>
      </w:r>
      <w:r>
        <w:rPr>
          <w:rStyle w:val="aa"/>
        </w:rPr>
        <w:footnoteReference w:id="13"/>
      </w:r>
      <w:r>
        <w:t>.</w:t>
      </w:r>
    </w:p>
    <w:p w14:paraId="377DE372" w14:textId="77777777" w:rsidR="00786E57" w:rsidRPr="00486BF6" w:rsidRDefault="00786E57" w:rsidP="00786E57">
      <w:pPr>
        <w:pStyle w:val="SingleTxtG"/>
      </w:pPr>
      <w:r>
        <w:t>16.</w:t>
      </w:r>
      <w:r>
        <w:tab/>
        <w:t>Информация о конкретных мерах, принятых для предотвращения торговли людьми и для борьбы с ней, в том числе об их воздействии.</w:t>
      </w:r>
    </w:p>
    <w:p w14:paraId="738B5458" w14:textId="56D4C380" w:rsidR="00786E57" w:rsidRPr="00486BF6" w:rsidRDefault="00786E57" w:rsidP="00786E57">
      <w:pPr>
        <w:pStyle w:val="SingleTxtG"/>
      </w:pPr>
      <w:r>
        <w:t>17.</w:t>
      </w:r>
      <w:r>
        <w:tab/>
        <w:t>Информация о воздействии пандемии коронавирусного заболевания</w:t>
      </w:r>
      <w:r>
        <w:br/>
      </w:r>
      <w:r>
        <w:t>(COVID-19) на лиц, наиболее уязвимых к дискриминации, и на различные группы, защищаемые Конвенцией, включая группы этнических меньшинств и неграждан. Включить меры, принятые: a) для их защиты от последствий пандемии COVID-19; b)</w:t>
      </w:r>
      <w:r>
        <w:t> </w:t>
      </w:r>
      <w:r>
        <w:t>их защиты от дискриминационных действий и для противодействия ненавистнической риторике и стигматизации в связи с пандемией COVID-19;</w:t>
      </w:r>
      <w:r>
        <w:br/>
      </w:r>
      <w:r>
        <w:t>и c) смягчения социально-экономического воздействия пандемии COVID-19 на таких лиц и такие группы.</w:t>
      </w:r>
    </w:p>
    <w:p w14:paraId="432F9C32" w14:textId="11110A5C" w:rsidR="00786E57" w:rsidRPr="00486BF6" w:rsidRDefault="00786E57" w:rsidP="00786E57">
      <w:pPr>
        <w:pStyle w:val="H23G"/>
      </w:pPr>
      <w:r>
        <w:tab/>
      </w:r>
      <w:r>
        <w:tab/>
      </w:r>
      <w:r>
        <w:rPr>
          <w:bCs/>
        </w:rPr>
        <w:t>Положение групп этнических меньшинств в Нагорно-Карабахском регионе</w:t>
      </w:r>
      <w:r>
        <w:rPr>
          <w:bCs/>
        </w:rPr>
        <w:t xml:space="preserve"> </w:t>
      </w:r>
      <w:r>
        <w:rPr>
          <w:bCs/>
        </w:rPr>
        <w:t>(ст. 2 и 5)</w:t>
      </w:r>
    </w:p>
    <w:p w14:paraId="1487F71E" w14:textId="55C72F28" w:rsidR="00786E57" w:rsidRPr="00EC4E3E" w:rsidRDefault="00786E57" w:rsidP="00786E57">
      <w:pPr>
        <w:pStyle w:val="SingleTxtG"/>
      </w:pPr>
      <w:r>
        <w:t>18.</w:t>
      </w:r>
      <w:r>
        <w:tab/>
        <w:t>Меры, направленные на оперативное и беспристрастное расследование всех нарушений прав человека, совершенных, в частности, в отношении групп этнических меньшинств, в районах, пострадавших от конфликта в Нагорном Карабахе, который начался 27 сентября 2020 года и завершился 9 ноября 2020 года после заключения соглашения о прекращении огня, на привлечение виновных к ответственности и на предоставление жертвам эффективной компенсации и средств правовой защиты</w:t>
      </w:r>
      <w:r>
        <w:rPr>
          <w:rStyle w:val="aa"/>
        </w:rPr>
        <w:footnoteReference w:id="14"/>
      </w:r>
      <w:r>
        <w:t>. Меры, принятые для продвижения и обеспечения мирного урегулирования и устойчивого мира в Нагорно-Карабахском регионе.</w:t>
      </w:r>
    </w:p>
    <w:p w14:paraId="3F200248" w14:textId="77777777" w:rsidR="00786E57" w:rsidRPr="00EC4E3E" w:rsidRDefault="00786E57" w:rsidP="00786E57">
      <w:pPr>
        <w:pStyle w:val="SingleTxtG"/>
      </w:pPr>
      <w:r>
        <w:t>19.</w:t>
      </w:r>
      <w:r>
        <w:tab/>
        <w:t xml:space="preserve">Меры по обеспечению реализации социальных и экономических прав, в частности на здоровье, достаточное жилище, образование и социальную защиту, </w:t>
      </w:r>
      <w:r>
        <w:lastRenderedPageBreak/>
        <w:t>группой армянского этнического меньшинства в Нагорно-Карабахском регионе. Статистические данные о лицах, ставших беженцами и внутренне перемещенными лицами в результате конфликта, и меры по созданию безопасных условий для их возвращения.</w:t>
      </w:r>
    </w:p>
    <w:p w14:paraId="4A044977" w14:textId="5568F329" w:rsidR="00786E57" w:rsidRPr="00486BF6" w:rsidRDefault="00786E57" w:rsidP="00786E57">
      <w:pPr>
        <w:pStyle w:val="SingleTxtG"/>
      </w:pPr>
      <w:r>
        <w:t>20.</w:t>
      </w:r>
      <w:r>
        <w:tab/>
        <w:t>Информация об инструментах консультаций и диалога с этническими меньшинствами, созданных для обеспечения того, чтобы их взгляды и опасения учитывались при обсуждении затрагивающих их вопросов</w:t>
      </w:r>
      <w:r>
        <w:rPr>
          <w:rStyle w:val="aa"/>
        </w:rPr>
        <w:footnoteReference w:id="15"/>
      </w:r>
      <w:r>
        <w:t>.</w:t>
      </w:r>
    </w:p>
    <w:p w14:paraId="218334BF" w14:textId="1E768218" w:rsidR="00786E57" w:rsidRDefault="00786E57" w:rsidP="00786E57">
      <w:pPr>
        <w:pStyle w:val="H23G"/>
      </w:pPr>
      <w:r>
        <w:tab/>
      </w:r>
      <w:r>
        <w:tab/>
      </w:r>
      <w:r>
        <w:rPr>
          <w:bCs/>
        </w:rPr>
        <w:t>Просвещение в области прав человека в целях борьбы с предрассудками и</w:t>
      </w:r>
      <w:r>
        <w:rPr>
          <w:bCs/>
        </w:rPr>
        <w:t> </w:t>
      </w:r>
      <w:r>
        <w:rPr>
          <w:bCs/>
        </w:rPr>
        <w:t>нетерпимостью (ст. 7)</w:t>
      </w:r>
    </w:p>
    <w:p w14:paraId="418B470C" w14:textId="4369A18B" w:rsidR="00786E57" w:rsidRPr="00EC4E3E" w:rsidRDefault="00786E57" w:rsidP="00786E57">
      <w:pPr>
        <w:pStyle w:val="SingleTxtG"/>
      </w:pPr>
      <w:r>
        <w:t>21.</w:t>
      </w:r>
      <w:r>
        <w:tab/>
        <w:t>Информация о мерах по содействию учебно-просветительской деятельности в области прав человека, в том числе по вопросам расовой дискриминации, включенных во все школьные программы, университетские программы, подготовку учителей, и информация о воздействии этих мер. Обновленная информация о деятельности Бакинского международного центра мультикультурализма</w:t>
      </w:r>
      <w:r>
        <w:rPr>
          <w:rStyle w:val="aa"/>
        </w:rPr>
        <w:footnoteReference w:id="16"/>
      </w:r>
      <w:r>
        <w:t>. Меры, принятые для повышения осведомленности широкой общественности, государственных служащих, правоохранительных и судебных органов о важности культурного разнообразия, толерантности и межэтнического взаимопонимания.</w:t>
      </w:r>
    </w:p>
    <w:p w14:paraId="17317207" w14:textId="77777777" w:rsidR="00786E57" w:rsidRPr="00EC4E3E" w:rsidRDefault="00786E57" w:rsidP="00786E57">
      <w:pPr>
        <w:jc w:val="center"/>
        <w:rPr>
          <w:u w:val="single"/>
        </w:rPr>
      </w:pPr>
      <w:r w:rsidRPr="00EC4E3E">
        <w:rPr>
          <w:u w:val="single"/>
        </w:rPr>
        <w:tab/>
      </w:r>
      <w:r w:rsidRPr="00EC4E3E">
        <w:rPr>
          <w:u w:val="single"/>
        </w:rPr>
        <w:tab/>
      </w:r>
      <w:r w:rsidRPr="00EC4E3E">
        <w:rPr>
          <w:u w:val="single"/>
        </w:rPr>
        <w:tab/>
      </w:r>
    </w:p>
    <w:p w14:paraId="7CA4A6DE" w14:textId="77777777" w:rsidR="00381C24" w:rsidRPr="00786E57" w:rsidRDefault="00381C24" w:rsidP="004055E9"/>
    <w:sectPr w:rsidR="00381C24" w:rsidRPr="00786E57" w:rsidSect="008F45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32CF" w14:textId="77777777" w:rsidR="008B71F0" w:rsidRPr="00A312BC" w:rsidRDefault="008B71F0" w:rsidP="00A312BC"/>
  </w:endnote>
  <w:endnote w:type="continuationSeparator" w:id="0">
    <w:p w14:paraId="1D1A7728" w14:textId="77777777" w:rsidR="008B71F0" w:rsidRPr="00A312BC" w:rsidRDefault="008B71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8D1C" w14:textId="5D1CAD66" w:rsidR="008F45C1" w:rsidRPr="008F45C1" w:rsidRDefault="008F45C1">
    <w:pPr>
      <w:pStyle w:val="a8"/>
    </w:pPr>
    <w:r w:rsidRPr="008F45C1">
      <w:rPr>
        <w:b/>
        <w:sz w:val="18"/>
      </w:rPr>
      <w:fldChar w:fldCharType="begin"/>
    </w:r>
    <w:r w:rsidRPr="008F45C1">
      <w:rPr>
        <w:b/>
        <w:sz w:val="18"/>
      </w:rPr>
      <w:instrText xml:space="preserve"> PAGE  \* MERGEFORMAT </w:instrText>
    </w:r>
    <w:r w:rsidRPr="008F45C1">
      <w:rPr>
        <w:b/>
        <w:sz w:val="18"/>
      </w:rPr>
      <w:fldChar w:fldCharType="separate"/>
    </w:r>
    <w:r w:rsidRPr="008F45C1">
      <w:rPr>
        <w:b/>
        <w:noProof/>
        <w:sz w:val="18"/>
      </w:rPr>
      <w:t>2</w:t>
    </w:r>
    <w:r w:rsidRPr="008F45C1">
      <w:rPr>
        <w:b/>
        <w:sz w:val="18"/>
      </w:rPr>
      <w:fldChar w:fldCharType="end"/>
    </w:r>
    <w:r>
      <w:rPr>
        <w:b/>
        <w:sz w:val="18"/>
      </w:rPr>
      <w:tab/>
    </w:r>
    <w:r>
      <w:t>GE.22-09901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7E78" w14:textId="4488C8E3" w:rsidR="008F45C1" w:rsidRPr="008F45C1" w:rsidRDefault="008F45C1" w:rsidP="008F45C1">
    <w:pPr>
      <w:pStyle w:val="a8"/>
      <w:tabs>
        <w:tab w:val="clear" w:pos="9639"/>
        <w:tab w:val="right" w:pos="9638"/>
      </w:tabs>
      <w:rPr>
        <w:b/>
        <w:sz w:val="18"/>
      </w:rPr>
    </w:pPr>
    <w:r>
      <w:t>GE.22-09901</w:t>
    </w:r>
    <w:r>
      <w:tab/>
    </w:r>
    <w:r w:rsidRPr="008F45C1">
      <w:rPr>
        <w:b/>
        <w:sz w:val="18"/>
      </w:rPr>
      <w:fldChar w:fldCharType="begin"/>
    </w:r>
    <w:r w:rsidRPr="008F45C1">
      <w:rPr>
        <w:b/>
        <w:sz w:val="18"/>
      </w:rPr>
      <w:instrText xml:space="preserve"> PAGE  \* MERGEFORMAT </w:instrText>
    </w:r>
    <w:r w:rsidRPr="008F45C1">
      <w:rPr>
        <w:b/>
        <w:sz w:val="18"/>
      </w:rPr>
      <w:fldChar w:fldCharType="separate"/>
    </w:r>
    <w:r w:rsidRPr="008F45C1">
      <w:rPr>
        <w:b/>
        <w:noProof/>
        <w:sz w:val="18"/>
      </w:rPr>
      <w:t>3</w:t>
    </w:r>
    <w:r w:rsidRPr="008F45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54A" w14:textId="5B861A47" w:rsidR="00042B72" w:rsidRPr="008F45C1" w:rsidRDefault="008F45C1" w:rsidP="008F45C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5062FE" wp14:editId="71CDEA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22-09901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CBF422" wp14:editId="09919F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57">
      <w:t xml:space="preserve">  270622  290622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15BC" w14:textId="77777777" w:rsidR="008B71F0" w:rsidRPr="001075E9" w:rsidRDefault="008B71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D86874" w14:textId="77777777" w:rsidR="008B71F0" w:rsidRDefault="008B71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F021C6" w14:textId="5518D598" w:rsidR="00786E57" w:rsidRPr="00786E57" w:rsidRDefault="00786E57" w:rsidP="00786E57">
      <w:pPr>
        <w:pStyle w:val="ad"/>
        <w:rPr>
          <w:lang w:val="en-US"/>
        </w:rPr>
      </w:pPr>
      <w:r w:rsidRPr="008867E9">
        <w:tab/>
      </w:r>
      <w:r w:rsidRPr="007D0152">
        <w:rPr>
          <w:rStyle w:val="aa"/>
        </w:rPr>
        <w:footnoteRef/>
      </w:r>
      <w:r w:rsidRPr="00486BF6">
        <w:rPr>
          <w:lang w:val="en-US"/>
        </w:rPr>
        <w:tab/>
      </w:r>
      <w:hyperlink r:id="rId1" w:history="1">
        <w:r w:rsidRPr="00786E57">
          <w:rPr>
            <w:rStyle w:val="af1"/>
            <w:lang w:val="en-US"/>
          </w:rPr>
          <w:t>A/65/18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>. 85.</w:t>
      </w:r>
    </w:p>
  </w:footnote>
  <w:footnote w:id="2">
    <w:p w14:paraId="3D4CA1B7" w14:textId="14B9DF2E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 w:rsidRPr="00486BF6">
        <w:rPr>
          <w:lang w:val="en-US"/>
        </w:rPr>
        <w:tab/>
      </w:r>
      <w:hyperlink r:id="rId2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24; </w:t>
      </w:r>
      <w:r>
        <w:t>и</w:t>
      </w:r>
      <w:r w:rsidRPr="00486BF6">
        <w:rPr>
          <w:lang w:val="en-US"/>
        </w:rPr>
        <w:t xml:space="preserve"> </w:t>
      </w:r>
      <w:hyperlink r:id="rId3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116–126.</w:t>
      </w:r>
    </w:p>
  </w:footnote>
  <w:footnote w:id="3">
    <w:p w14:paraId="3FE4BBD4" w14:textId="29FD1AA6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 w:rsidRPr="00486BF6">
        <w:rPr>
          <w:lang w:val="en-US"/>
        </w:rPr>
        <w:tab/>
      </w:r>
      <w:hyperlink r:id="rId4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22; </w:t>
      </w:r>
      <w:r>
        <w:t>и</w:t>
      </w:r>
      <w:r w:rsidRPr="00486BF6">
        <w:rPr>
          <w:lang w:val="en-US"/>
        </w:rPr>
        <w:t xml:space="preserve"> </w:t>
      </w:r>
      <w:hyperlink r:id="rId5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101–115.</w:t>
      </w:r>
    </w:p>
  </w:footnote>
  <w:footnote w:id="4">
    <w:p w14:paraId="45067F65" w14:textId="50D2D62C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 w:rsidRPr="00486BF6">
        <w:rPr>
          <w:lang w:val="en-US"/>
        </w:rPr>
        <w:tab/>
      </w:r>
      <w:hyperlink r:id="rId6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8; </w:t>
      </w:r>
      <w:r>
        <w:t>и</w:t>
      </w:r>
      <w:r w:rsidRPr="00486BF6">
        <w:rPr>
          <w:lang w:val="en-US"/>
        </w:rPr>
        <w:t xml:space="preserve"> </w:t>
      </w:r>
      <w:hyperlink r:id="rId7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34</w:t>
      </w:r>
      <w:r w:rsidR="00564436" w:rsidRPr="00486BF6">
        <w:rPr>
          <w:lang w:val="en-US"/>
        </w:rPr>
        <w:t>–</w:t>
      </w:r>
      <w:r w:rsidRPr="00486BF6">
        <w:rPr>
          <w:lang w:val="en-US"/>
        </w:rPr>
        <w:t>35.</w:t>
      </w:r>
    </w:p>
  </w:footnote>
  <w:footnote w:id="5">
    <w:p w14:paraId="25521531" w14:textId="5D54DDE9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 w:rsidRPr="00486BF6">
        <w:rPr>
          <w:lang w:val="en-US"/>
        </w:rPr>
        <w:tab/>
      </w:r>
      <w:hyperlink r:id="rId8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20; </w:t>
      </w:r>
      <w:r>
        <w:t>и</w:t>
      </w:r>
      <w:r w:rsidRPr="00486BF6">
        <w:rPr>
          <w:lang w:val="en-US"/>
        </w:rPr>
        <w:t xml:space="preserve"> </w:t>
      </w:r>
      <w:hyperlink r:id="rId9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97–98.</w:t>
      </w:r>
    </w:p>
  </w:footnote>
  <w:footnote w:id="6">
    <w:p w14:paraId="5903C7ED" w14:textId="67DDE32E" w:rsidR="00786E57" w:rsidRPr="00486BF6" w:rsidRDefault="00786E57" w:rsidP="00786E57">
      <w:pPr>
        <w:pStyle w:val="ad"/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>
        <w:tab/>
      </w:r>
      <w:hyperlink r:id="rId10" w:history="1">
        <w:r w:rsidRPr="00786E57">
          <w:rPr>
            <w:rStyle w:val="af1"/>
          </w:rPr>
          <w:t>CERD/C/AZE/CO/7-9</w:t>
        </w:r>
      </w:hyperlink>
      <w:r>
        <w:t xml:space="preserve">, пп. 18 и 20; и </w:t>
      </w:r>
      <w:hyperlink r:id="rId11" w:history="1">
        <w:r w:rsidRPr="00786E57">
          <w:rPr>
            <w:rStyle w:val="af1"/>
          </w:rPr>
          <w:t>CERD/C/AZE/10-12</w:t>
        </w:r>
      </w:hyperlink>
      <w:r>
        <w:t>, п</w:t>
      </w:r>
      <w:r>
        <w:t>п.</w:t>
      </w:r>
      <w:r>
        <w:t xml:space="preserve"> 71–76, 88</w:t>
      </w:r>
      <w:r w:rsidR="00564436">
        <w:t>–</w:t>
      </w:r>
      <w:r>
        <w:t>89 и 96.</w:t>
      </w:r>
    </w:p>
  </w:footnote>
  <w:footnote w:id="7">
    <w:p w14:paraId="0119A1BF" w14:textId="42165700" w:rsidR="00786E57" w:rsidRPr="00786E57" w:rsidRDefault="00786E57" w:rsidP="00786E57">
      <w:pPr>
        <w:pStyle w:val="ad"/>
        <w:rPr>
          <w:lang w:val="en-US"/>
        </w:rPr>
      </w:pPr>
      <w:r w:rsidRPr="008867E9">
        <w:tab/>
      </w:r>
      <w:r w:rsidRPr="008867E9">
        <w:rPr>
          <w:rStyle w:val="aa"/>
        </w:rPr>
        <w:footnoteRef/>
      </w:r>
      <w:r w:rsidRPr="00486BF6">
        <w:rPr>
          <w:lang w:val="en-US"/>
        </w:rPr>
        <w:tab/>
      </w:r>
      <w:hyperlink r:id="rId12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 xml:space="preserve">. 10 </w:t>
      </w:r>
      <w:r>
        <w:t>и</w:t>
      </w:r>
      <w:r w:rsidRPr="00486BF6">
        <w:rPr>
          <w:lang w:val="en-US"/>
        </w:rPr>
        <w:t xml:space="preserve"> 36; </w:t>
      </w:r>
      <w:r>
        <w:t>и</w:t>
      </w:r>
      <w:r w:rsidRPr="00486BF6">
        <w:rPr>
          <w:lang w:val="en-US"/>
        </w:rPr>
        <w:t xml:space="preserve"> </w:t>
      </w:r>
      <w:hyperlink r:id="rId13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161–168.</w:t>
      </w:r>
    </w:p>
  </w:footnote>
  <w:footnote w:id="8">
    <w:p w14:paraId="4F5EDD46" w14:textId="4268897C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7D0152">
        <w:rPr>
          <w:rStyle w:val="aa"/>
        </w:rPr>
        <w:footnoteRef/>
      </w:r>
      <w:r w:rsidRPr="00486BF6">
        <w:rPr>
          <w:lang w:val="en-US"/>
        </w:rPr>
        <w:tab/>
      </w:r>
      <w:hyperlink r:id="rId14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>. 26.</w:t>
      </w:r>
    </w:p>
  </w:footnote>
  <w:footnote w:id="9">
    <w:p w14:paraId="055BABD0" w14:textId="7439D22E" w:rsidR="00786E57" w:rsidRPr="00486BF6" w:rsidRDefault="00786E57" w:rsidP="00786E57">
      <w:pPr>
        <w:pStyle w:val="ad"/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>
        <w:tab/>
        <w:t xml:space="preserve">Там же, пп. 12 и 20; и </w:t>
      </w:r>
      <w:hyperlink r:id="rId15" w:history="1">
        <w:r w:rsidRPr="00786E57">
          <w:rPr>
            <w:rStyle w:val="af1"/>
          </w:rPr>
          <w:t>CERD/C/AZE/10-12</w:t>
        </w:r>
      </w:hyperlink>
      <w:r>
        <w:t>, пп. 51–60.</w:t>
      </w:r>
    </w:p>
  </w:footnote>
  <w:footnote w:id="10">
    <w:p w14:paraId="28DB004A" w14:textId="2332357D" w:rsidR="00786E57" w:rsidRPr="00786E57" w:rsidRDefault="00786E57" w:rsidP="00786E57">
      <w:pPr>
        <w:pStyle w:val="ad"/>
        <w:rPr>
          <w:lang w:val="en-US"/>
        </w:rPr>
      </w:pPr>
      <w:r w:rsidRPr="007D0152">
        <w:tab/>
      </w:r>
      <w:r w:rsidRPr="007D0152">
        <w:rPr>
          <w:rStyle w:val="aa"/>
        </w:rPr>
        <w:footnoteRef/>
      </w:r>
      <w:r w:rsidRPr="00486BF6">
        <w:rPr>
          <w:lang w:val="en-US"/>
        </w:rPr>
        <w:tab/>
      </w:r>
      <w:hyperlink r:id="rId16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14; </w:t>
      </w:r>
      <w:r>
        <w:t>и</w:t>
      </w:r>
      <w:r w:rsidRPr="00486BF6">
        <w:rPr>
          <w:lang w:val="en-US"/>
        </w:rPr>
        <w:t xml:space="preserve"> </w:t>
      </w:r>
      <w:hyperlink r:id="rId17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61–66.</w:t>
      </w:r>
    </w:p>
  </w:footnote>
  <w:footnote w:id="11">
    <w:p w14:paraId="74A6D36C" w14:textId="66C193FA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7D0152">
        <w:rPr>
          <w:rStyle w:val="aa"/>
        </w:rPr>
        <w:footnoteRef/>
      </w:r>
      <w:r w:rsidRPr="00486BF6">
        <w:rPr>
          <w:lang w:val="en-US"/>
        </w:rPr>
        <w:tab/>
      </w:r>
      <w:hyperlink r:id="rId18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 xml:space="preserve">. 24 </w:t>
      </w:r>
      <w:r>
        <w:t>и</w:t>
      </w:r>
      <w:r w:rsidRPr="00486BF6">
        <w:rPr>
          <w:lang w:val="en-US"/>
        </w:rPr>
        <w:t xml:space="preserve"> 26; </w:t>
      </w:r>
      <w:r>
        <w:t>и</w:t>
      </w:r>
      <w:r w:rsidRPr="00486BF6">
        <w:rPr>
          <w:lang w:val="en-US"/>
        </w:rPr>
        <w:t xml:space="preserve"> </w:t>
      </w:r>
      <w:hyperlink r:id="rId19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116–132.</w:t>
      </w:r>
    </w:p>
  </w:footnote>
  <w:footnote w:id="12">
    <w:p w14:paraId="3F09CD72" w14:textId="4F628C42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115DE">
        <w:rPr>
          <w:rStyle w:val="aa"/>
        </w:rPr>
        <w:footnoteRef/>
      </w:r>
      <w:r w:rsidRPr="00486BF6">
        <w:rPr>
          <w:lang w:val="en-US"/>
        </w:rPr>
        <w:tab/>
      </w:r>
      <w:hyperlink r:id="rId20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32; </w:t>
      </w:r>
      <w:r>
        <w:t>и</w:t>
      </w:r>
      <w:r w:rsidRPr="00486BF6">
        <w:rPr>
          <w:lang w:val="en-US"/>
        </w:rPr>
        <w:t xml:space="preserve"> </w:t>
      </w:r>
      <w:hyperlink r:id="rId21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145–152.</w:t>
      </w:r>
    </w:p>
  </w:footnote>
  <w:footnote w:id="13">
    <w:p w14:paraId="761B67F3" w14:textId="6D48D551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115DE">
        <w:rPr>
          <w:rStyle w:val="aa"/>
        </w:rPr>
        <w:footnoteRef/>
      </w:r>
      <w:r w:rsidRPr="00486BF6">
        <w:rPr>
          <w:lang w:val="en-US"/>
        </w:rPr>
        <w:tab/>
      </w:r>
      <w:hyperlink r:id="rId22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34; </w:t>
      </w:r>
      <w:r>
        <w:t>и</w:t>
      </w:r>
      <w:r w:rsidRPr="00486BF6">
        <w:rPr>
          <w:lang w:val="en-US"/>
        </w:rPr>
        <w:t xml:space="preserve"> </w:t>
      </w:r>
      <w:hyperlink r:id="rId23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153–160.</w:t>
      </w:r>
    </w:p>
  </w:footnote>
  <w:footnote w:id="14">
    <w:p w14:paraId="146FD7CE" w14:textId="3CEF2A12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867E9">
        <w:rPr>
          <w:rStyle w:val="aa"/>
        </w:rPr>
        <w:footnoteRef/>
      </w:r>
      <w:r w:rsidRPr="00486BF6">
        <w:rPr>
          <w:lang w:val="en-US"/>
        </w:rPr>
        <w:tab/>
      </w:r>
      <w:hyperlink r:id="rId24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7</w:t>
      </w:r>
      <w:r w:rsidRPr="00786E57">
        <w:rPr>
          <w:lang w:val="en-US"/>
        </w:rPr>
        <w:t>–</w:t>
      </w:r>
      <w:r w:rsidRPr="00486BF6">
        <w:rPr>
          <w:lang w:val="en-US"/>
        </w:rPr>
        <w:t>19.</w:t>
      </w:r>
    </w:p>
  </w:footnote>
  <w:footnote w:id="15">
    <w:p w14:paraId="21B6BD80" w14:textId="7D5B2835" w:rsidR="00786E57" w:rsidRPr="00786E57" w:rsidRDefault="00786E57" w:rsidP="00786E57">
      <w:pPr>
        <w:pStyle w:val="ad"/>
        <w:rPr>
          <w:lang w:val="en-US"/>
        </w:rPr>
      </w:pPr>
      <w:r w:rsidRPr="00486BF6">
        <w:rPr>
          <w:lang w:val="en-US"/>
        </w:rPr>
        <w:tab/>
      </w:r>
      <w:r w:rsidRPr="008115DE">
        <w:rPr>
          <w:rStyle w:val="aa"/>
        </w:rPr>
        <w:footnoteRef/>
      </w:r>
      <w:r w:rsidRPr="00486BF6">
        <w:rPr>
          <w:lang w:val="en-US"/>
        </w:rPr>
        <w:tab/>
      </w:r>
      <w:hyperlink r:id="rId25" w:history="1">
        <w:r w:rsidRPr="00786E57">
          <w:rPr>
            <w:rStyle w:val="af1"/>
            <w:lang w:val="en-US"/>
          </w:rPr>
          <w:t>CERD/C/AZE/CO/7-9</w:t>
        </w:r>
      </w:hyperlink>
      <w:r w:rsidRPr="00486BF6">
        <w:rPr>
          <w:lang w:val="en-US"/>
        </w:rPr>
        <w:t xml:space="preserve">, </w:t>
      </w:r>
      <w:r>
        <w:t>п</w:t>
      </w:r>
      <w:r w:rsidRPr="00486BF6">
        <w:rPr>
          <w:lang w:val="en-US"/>
        </w:rPr>
        <w:t xml:space="preserve">. 26; </w:t>
      </w:r>
      <w:r>
        <w:t>и</w:t>
      </w:r>
      <w:r w:rsidRPr="00486BF6">
        <w:rPr>
          <w:lang w:val="en-US"/>
        </w:rPr>
        <w:t xml:space="preserve"> </w:t>
      </w:r>
      <w:hyperlink r:id="rId26" w:history="1">
        <w:r w:rsidRPr="00786E57">
          <w:rPr>
            <w:rStyle w:val="af1"/>
            <w:lang w:val="en-US"/>
          </w:rPr>
          <w:t>CERD/C/AZE/10-12</w:t>
        </w:r>
      </w:hyperlink>
      <w:r w:rsidRPr="00486BF6">
        <w:rPr>
          <w:lang w:val="en-US"/>
        </w:rPr>
        <w:t xml:space="preserve">, </w:t>
      </w:r>
      <w:r>
        <w:t>пп</w:t>
      </w:r>
      <w:r w:rsidRPr="00486BF6">
        <w:rPr>
          <w:lang w:val="en-US"/>
        </w:rPr>
        <w:t>. 127–132.</w:t>
      </w:r>
    </w:p>
  </w:footnote>
  <w:footnote w:id="16">
    <w:p w14:paraId="7A908BCC" w14:textId="115DAC1A" w:rsidR="00786E57" w:rsidRPr="009C59DE" w:rsidRDefault="00786E57" w:rsidP="00786E57">
      <w:pPr>
        <w:pStyle w:val="ad"/>
      </w:pPr>
      <w:r w:rsidRPr="00486BF6">
        <w:rPr>
          <w:lang w:val="en-US"/>
        </w:rPr>
        <w:tab/>
      </w:r>
      <w:r w:rsidRPr="008115DE">
        <w:rPr>
          <w:rStyle w:val="aa"/>
        </w:rPr>
        <w:footnoteRef/>
      </w:r>
      <w:r w:rsidRPr="00786E57">
        <w:tab/>
      </w:r>
      <w:hyperlink r:id="rId27" w:history="1">
        <w:r w:rsidRPr="00786E57">
          <w:rPr>
            <w:rStyle w:val="af1"/>
            <w:lang w:val="en-US"/>
          </w:rPr>
          <w:t>CERD</w:t>
        </w:r>
        <w:r w:rsidRPr="00786E57">
          <w:rPr>
            <w:rStyle w:val="af1"/>
          </w:rPr>
          <w:t>/</w:t>
        </w:r>
        <w:r w:rsidRPr="00786E57">
          <w:rPr>
            <w:rStyle w:val="af1"/>
            <w:lang w:val="en-US"/>
          </w:rPr>
          <w:t>C</w:t>
        </w:r>
        <w:r w:rsidRPr="00786E57">
          <w:rPr>
            <w:rStyle w:val="af1"/>
          </w:rPr>
          <w:t>/</w:t>
        </w:r>
        <w:r w:rsidRPr="00786E57">
          <w:rPr>
            <w:rStyle w:val="af1"/>
            <w:lang w:val="en-US"/>
          </w:rPr>
          <w:t>AZE</w:t>
        </w:r>
        <w:r w:rsidRPr="00786E57">
          <w:rPr>
            <w:rStyle w:val="af1"/>
          </w:rPr>
          <w:t>/10-12</w:t>
        </w:r>
      </w:hyperlink>
      <w:r w:rsidRPr="00786E57">
        <w:t xml:space="preserve">, </w:t>
      </w:r>
      <w:r>
        <w:t>п</w:t>
      </w:r>
      <w:r>
        <w:t>п.</w:t>
      </w:r>
      <w:r w:rsidRPr="00786E57">
        <w:t xml:space="preserve"> 127–132 </w:t>
      </w:r>
      <w:r>
        <w:t>и</w:t>
      </w:r>
      <w:r w:rsidRPr="00786E57">
        <w:t xml:space="preserve"> 169–178.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48F" w14:textId="29BBA5C9" w:rsidR="008F45C1" w:rsidRPr="008F45C1" w:rsidRDefault="008F45C1">
    <w:pPr>
      <w:pStyle w:val="a5"/>
    </w:pPr>
    <w:fldSimple w:instr=" TITLE  \* MERGEFORMAT ">
      <w:r w:rsidR="0023033F">
        <w:t>CERD/C/AZE/Q/10-12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076" w14:textId="42A58FC2" w:rsidR="008F45C1" w:rsidRPr="008F45C1" w:rsidRDefault="008F45C1" w:rsidP="008F45C1">
    <w:pPr>
      <w:pStyle w:val="a5"/>
      <w:jc w:val="right"/>
    </w:pPr>
    <w:fldSimple w:instr=" TITLE  \* MERGEFORMAT ">
      <w:r w:rsidR="0023033F">
        <w:t>CERD/C/AZE/Q/10-12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0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033F"/>
    <w:rsid w:val="00245A5A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859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64436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86E57"/>
    <w:rsid w:val="007C46C9"/>
    <w:rsid w:val="007C49AB"/>
    <w:rsid w:val="00825F8D"/>
    <w:rsid w:val="00834B71"/>
    <w:rsid w:val="0086445C"/>
    <w:rsid w:val="008779F2"/>
    <w:rsid w:val="00894693"/>
    <w:rsid w:val="008A08D7"/>
    <w:rsid w:val="008A3166"/>
    <w:rsid w:val="008B227E"/>
    <w:rsid w:val="008B360C"/>
    <w:rsid w:val="008B6909"/>
    <w:rsid w:val="008B71F0"/>
    <w:rsid w:val="008D2AAD"/>
    <w:rsid w:val="008F45C1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2125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06CDE1"/>
  <w15:docId w15:val="{C94FA250-5AE1-4A45-8C4B-093A62B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86E57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8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ERD/C/AZE/CO/7-9" TargetMode="External"/><Relationship Id="rId13" Type="http://schemas.openxmlformats.org/officeDocument/2006/relationships/hyperlink" Target="http://undocs.org/ru/CERD/C/AZE/10-12" TargetMode="External"/><Relationship Id="rId18" Type="http://schemas.openxmlformats.org/officeDocument/2006/relationships/hyperlink" Target="http://undocs.org/ru/CERD/C/AZE/CO/7-9" TargetMode="External"/><Relationship Id="rId26" Type="http://schemas.openxmlformats.org/officeDocument/2006/relationships/hyperlink" Target="http://undocs.org/ru/CERD/C/AZE/10-12" TargetMode="External"/><Relationship Id="rId3" Type="http://schemas.openxmlformats.org/officeDocument/2006/relationships/hyperlink" Target="http://undocs.org/ru/CERD/C/AZE/10-12" TargetMode="External"/><Relationship Id="rId21" Type="http://schemas.openxmlformats.org/officeDocument/2006/relationships/hyperlink" Target="http://undocs.org/ru/CERD/C/AZE/10-12" TargetMode="External"/><Relationship Id="rId7" Type="http://schemas.openxmlformats.org/officeDocument/2006/relationships/hyperlink" Target="http://undocs.org/ru/CERD/C/AZE/10-12" TargetMode="External"/><Relationship Id="rId12" Type="http://schemas.openxmlformats.org/officeDocument/2006/relationships/hyperlink" Target="http://undocs.org/ru/CERD/C/AZE/CO/7-9" TargetMode="External"/><Relationship Id="rId17" Type="http://schemas.openxmlformats.org/officeDocument/2006/relationships/hyperlink" Target="http://undocs.org/ru/CERD/C/AZE/10-12" TargetMode="External"/><Relationship Id="rId25" Type="http://schemas.openxmlformats.org/officeDocument/2006/relationships/hyperlink" Target="http://undocs.org/ru/CERD/C/AZE/CO/7-9" TargetMode="External"/><Relationship Id="rId2" Type="http://schemas.openxmlformats.org/officeDocument/2006/relationships/hyperlink" Target="http://undocs.org/ru/CERD/C/AZE/CO/7-9" TargetMode="External"/><Relationship Id="rId16" Type="http://schemas.openxmlformats.org/officeDocument/2006/relationships/hyperlink" Target="http://undocs.org/ru/CERD/C/AZE/CO/7-9" TargetMode="External"/><Relationship Id="rId20" Type="http://schemas.openxmlformats.org/officeDocument/2006/relationships/hyperlink" Target="http://undocs.org/ru/CERD/C/AZE/CO/7-9" TargetMode="External"/><Relationship Id="rId1" Type="http://schemas.openxmlformats.org/officeDocument/2006/relationships/hyperlink" Target="http://undocs.org/ru/A/65/18" TargetMode="External"/><Relationship Id="rId6" Type="http://schemas.openxmlformats.org/officeDocument/2006/relationships/hyperlink" Target="http://undocs.org/ru/CERD/C/AZE/CO/7-9" TargetMode="External"/><Relationship Id="rId11" Type="http://schemas.openxmlformats.org/officeDocument/2006/relationships/hyperlink" Target="http://undocs.org/ru/CERD/C/AZE/10-12" TargetMode="External"/><Relationship Id="rId24" Type="http://schemas.openxmlformats.org/officeDocument/2006/relationships/hyperlink" Target="http://undocs.org/ru/CERD/C/AZE/10-12" TargetMode="External"/><Relationship Id="rId5" Type="http://schemas.openxmlformats.org/officeDocument/2006/relationships/hyperlink" Target="http://undocs.org/ru/CERD/C/AZE/10-12" TargetMode="External"/><Relationship Id="rId15" Type="http://schemas.openxmlformats.org/officeDocument/2006/relationships/hyperlink" Target="http://undocs.org/ru/CERD/C/AZE/10-12" TargetMode="External"/><Relationship Id="rId23" Type="http://schemas.openxmlformats.org/officeDocument/2006/relationships/hyperlink" Target="http://undocs.org/ru/CERD/C/AZE/10-12" TargetMode="External"/><Relationship Id="rId10" Type="http://schemas.openxmlformats.org/officeDocument/2006/relationships/hyperlink" Target="http://undocs.org/ru/CERD/C/AZE/CO/7-9" TargetMode="External"/><Relationship Id="rId19" Type="http://schemas.openxmlformats.org/officeDocument/2006/relationships/hyperlink" Target="http://undocs.org/ru/CERD/C/AZE/10-12" TargetMode="External"/><Relationship Id="rId4" Type="http://schemas.openxmlformats.org/officeDocument/2006/relationships/hyperlink" Target="http://undocs.org/ru/CERD/C/AZE/CO/7-9" TargetMode="External"/><Relationship Id="rId9" Type="http://schemas.openxmlformats.org/officeDocument/2006/relationships/hyperlink" Target="http://undocs.org/ru/CERD/C/AZE/10-12" TargetMode="External"/><Relationship Id="rId14" Type="http://schemas.openxmlformats.org/officeDocument/2006/relationships/hyperlink" Target="http://undocs.org/ru/CERD/C/AZE/CO/7-9" TargetMode="External"/><Relationship Id="rId22" Type="http://schemas.openxmlformats.org/officeDocument/2006/relationships/hyperlink" Target="http://undocs.org/ru/CERD/C/AZE/CO/7-9" TargetMode="External"/><Relationship Id="rId27" Type="http://schemas.openxmlformats.org/officeDocument/2006/relationships/hyperlink" Target="http://undocs.org/ru/CERD/C/AZE/10-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4</Pages>
  <Words>1234</Words>
  <Characters>8342</Characters>
  <Application>Microsoft Office Word</Application>
  <DocSecurity>0</DocSecurity>
  <Lines>758</Lines>
  <Paragraphs>212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CERD/C/AZE/Q/10-12</vt:lpstr>
      <vt:lpstr>A/</vt:lpstr>
      <vt:lpstr>A/</vt:lpstr>
    </vt:vector>
  </TitlesOfParts>
  <Company>DCM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CERD/C/AZE/Q/10-12</dc:title>
  <dc:subject/>
  <dc:creator>Uliana ANTIPOVA</dc:creator>
  <cp:keywords/>
  <cp:lastModifiedBy>Uliana Antipova</cp:lastModifiedBy>
  <cp:revision>3</cp:revision>
  <cp:lastPrinted>2022-06-29T09:04:00Z</cp:lastPrinted>
  <dcterms:created xsi:type="dcterms:W3CDTF">2022-06-29T09:04:00Z</dcterms:created>
  <dcterms:modified xsi:type="dcterms:W3CDTF">2022-06-29T09:05:00Z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