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RPr="00994220" w14:paraId="18B1E405" w14:textId="77777777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E5000B3" w14:textId="6F2105E4" w:rsidR="00A43F01" w:rsidRPr="00994220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E37806F" w14:textId="60D99EE3" w:rsidR="00A43F01" w:rsidRPr="00994220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994220">
              <w:rPr>
                <w:sz w:val="28"/>
                <w:szCs w:val="28"/>
              </w:rPr>
              <w:t>United</w:t>
            </w:r>
            <w:r w:rsidR="00047A2B">
              <w:rPr>
                <w:sz w:val="28"/>
                <w:szCs w:val="28"/>
              </w:rPr>
              <w:t xml:space="preserve"> </w:t>
            </w:r>
            <w:r w:rsidRPr="00994220"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246FF03" w14:textId="77777777" w:rsidR="00A43F01" w:rsidRPr="00994220" w:rsidRDefault="009C6799" w:rsidP="009C6799">
            <w:pPr>
              <w:suppressAutoHyphens w:val="0"/>
              <w:spacing w:after="20"/>
              <w:jc w:val="right"/>
            </w:pPr>
            <w:r w:rsidRPr="00994220">
              <w:rPr>
                <w:sz w:val="40"/>
              </w:rPr>
              <w:t>CAT</w:t>
            </w:r>
            <w:r w:rsidRPr="00994220">
              <w:t>/C/SWE/CO/8</w:t>
            </w:r>
          </w:p>
        </w:tc>
      </w:tr>
      <w:tr w:rsidR="00A43F01" w:rsidRPr="00994220" w14:paraId="4D1895E5" w14:textId="77777777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B8543B1" w14:textId="77777777" w:rsidR="00A43F01" w:rsidRPr="00994220" w:rsidRDefault="00A43F01" w:rsidP="00FC1527">
            <w:pPr>
              <w:spacing w:before="120"/>
              <w:jc w:val="center"/>
            </w:pPr>
            <w:r w:rsidRPr="00994220">
              <w:rPr>
                <w:noProof/>
                <w:lang w:eastAsia="en-GB"/>
              </w:rPr>
              <w:drawing>
                <wp:inline distT="0" distB="0" distL="0" distR="0" wp14:anchorId="3BE65BEA" wp14:editId="0F60EA1D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82E020" w14:textId="6EB91C62" w:rsidR="00A43F01" w:rsidRPr="00994220" w:rsidRDefault="00A43F01" w:rsidP="00FC1527">
            <w:pPr>
              <w:spacing w:before="120" w:line="380" w:lineRule="exact"/>
            </w:pPr>
            <w:r w:rsidRPr="00994220">
              <w:rPr>
                <w:b/>
                <w:sz w:val="34"/>
                <w:szCs w:val="40"/>
              </w:rPr>
              <w:t>Convention</w:t>
            </w:r>
            <w:r w:rsidR="00047A2B">
              <w:rPr>
                <w:b/>
                <w:sz w:val="34"/>
                <w:szCs w:val="40"/>
              </w:rPr>
              <w:t xml:space="preserve"> </w:t>
            </w:r>
            <w:r w:rsidRPr="00994220">
              <w:rPr>
                <w:b/>
                <w:sz w:val="34"/>
                <w:szCs w:val="40"/>
              </w:rPr>
              <w:t>against</w:t>
            </w:r>
            <w:r w:rsidR="00047A2B">
              <w:rPr>
                <w:b/>
                <w:sz w:val="34"/>
                <w:szCs w:val="40"/>
              </w:rPr>
              <w:t xml:space="preserve"> </w:t>
            </w:r>
            <w:r w:rsidRPr="00994220">
              <w:rPr>
                <w:b/>
                <w:sz w:val="34"/>
                <w:szCs w:val="40"/>
              </w:rPr>
              <w:t>Torture</w:t>
            </w:r>
            <w:r w:rsidRPr="00994220">
              <w:rPr>
                <w:b/>
                <w:sz w:val="34"/>
                <w:szCs w:val="40"/>
              </w:rPr>
              <w:br/>
              <w:t>and</w:t>
            </w:r>
            <w:r w:rsidR="00047A2B">
              <w:rPr>
                <w:b/>
                <w:sz w:val="34"/>
                <w:szCs w:val="40"/>
              </w:rPr>
              <w:t xml:space="preserve"> </w:t>
            </w:r>
            <w:r w:rsidRPr="00994220">
              <w:rPr>
                <w:b/>
                <w:sz w:val="34"/>
                <w:szCs w:val="40"/>
              </w:rPr>
              <w:t>Other</w:t>
            </w:r>
            <w:r w:rsidR="00047A2B">
              <w:rPr>
                <w:b/>
                <w:sz w:val="34"/>
                <w:szCs w:val="40"/>
              </w:rPr>
              <w:t xml:space="preserve"> </w:t>
            </w:r>
            <w:r w:rsidRPr="00994220">
              <w:rPr>
                <w:b/>
                <w:sz w:val="34"/>
                <w:szCs w:val="40"/>
              </w:rPr>
              <w:t>Cruel,</w:t>
            </w:r>
            <w:r w:rsidR="00047A2B">
              <w:rPr>
                <w:b/>
                <w:sz w:val="34"/>
                <w:szCs w:val="40"/>
              </w:rPr>
              <w:t xml:space="preserve"> </w:t>
            </w:r>
            <w:r w:rsidRPr="00994220">
              <w:rPr>
                <w:b/>
                <w:sz w:val="34"/>
                <w:szCs w:val="40"/>
              </w:rPr>
              <w:t>Inhuman</w:t>
            </w:r>
            <w:r w:rsidRPr="00994220">
              <w:rPr>
                <w:b/>
                <w:sz w:val="34"/>
                <w:szCs w:val="40"/>
              </w:rPr>
              <w:br/>
              <w:t>or</w:t>
            </w:r>
            <w:r w:rsidR="00047A2B">
              <w:rPr>
                <w:b/>
                <w:sz w:val="34"/>
                <w:szCs w:val="40"/>
              </w:rPr>
              <w:t xml:space="preserve"> </w:t>
            </w:r>
            <w:r w:rsidRPr="00994220">
              <w:rPr>
                <w:b/>
                <w:sz w:val="34"/>
                <w:szCs w:val="40"/>
              </w:rPr>
              <w:t>Degrading</w:t>
            </w:r>
            <w:r w:rsidR="00047A2B">
              <w:rPr>
                <w:b/>
                <w:sz w:val="34"/>
                <w:szCs w:val="40"/>
              </w:rPr>
              <w:t xml:space="preserve"> </w:t>
            </w:r>
            <w:r w:rsidRPr="00994220">
              <w:rPr>
                <w:b/>
                <w:sz w:val="34"/>
                <w:szCs w:val="40"/>
              </w:rPr>
              <w:t>Treatment</w:t>
            </w:r>
            <w:r w:rsidRPr="00994220">
              <w:rPr>
                <w:b/>
                <w:sz w:val="34"/>
                <w:szCs w:val="40"/>
              </w:rPr>
              <w:br/>
              <w:t>or</w:t>
            </w:r>
            <w:r w:rsidR="00047A2B">
              <w:rPr>
                <w:b/>
                <w:sz w:val="34"/>
                <w:szCs w:val="40"/>
              </w:rPr>
              <w:t xml:space="preserve"> </w:t>
            </w:r>
            <w:r w:rsidRPr="00994220">
              <w:rPr>
                <w:b/>
                <w:sz w:val="34"/>
                <w:szCs w:val="40"/>
              </w:rPr>
              <w:t>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1DD0B29" w14:textId="0DAFFA28" w:rsidR="00A43F01" w:rsidRPr="00994220" w:rsidRDefault="009C6799" w:rsidP="009C6799">
            <w:pPr>
              <w:suppressAutoHyphens w:val="0"/>
              <w:spacing w:before="240"/>
            </w:pPr>
            <w:r w:rsidRPr="00994220">
              <w:t>Distr.:</w:t>
            </w:r>
            <w:r w:rsidR="00047A2B">
              <w:t xml:space="preserve"> </w:t>
            </w:r>
            <w:r w:rsidRPr="00994220">
              <w:t>General</w:t>
            </w:r>
          </w:p>
          <w:p w14:paraId="0801EE14" w14:textId="41588C28" w:rsidR="009C6799" w:rsidRPr="00994220" w:rsidRDefault="00A13191" w:rsidP="009C6799">
            <w:pPr>
              <w:suppressAutoHyphens w:val="0"/>
            </w:pPr>
            <w:r>
              <w:t>20</w:t>
            </w:r>
            <w:r w:rsidR="00047A2B">
              <w:t xml:space="preserve"> </w:t>
            </w:r>
            <w:r w:rsidR="009C6799" w:rsidRPr="00994220">
              <w:t>December</w:t>
            </w:r>
            <w:r w:rsidR="00047A2B">
              <w:t xml:space="preserve"> </w:t>
            </w:r>
            <w:r w:rsidR="009C6799" w:rsidRPr="00994220">
              <w:t>2021</w:t>
            </w:r>
          </w:p>
          <w:p w14:paraId="4D1721FF" w14:textId="77777777" w:rsidR="009C6799" w:rsidRPr="00994220" w:rsidRDefault="009C6799" w:rsidP="009C6799">
            <w:pPr>
              <w:suppressAutoHyphens w:val="0"/>
            </w:pPr>
          </w:p>
          <w:p w14:paraId="0B801E57" w14:textId="5D27E63A" w:rsidR="009C6799" w:rsidRPr="00994220" w:rsidRDefault="009C6799" w:rsidP="009C6799">
            <w:pPr>
              <w:suppressAutoHyphens w:val="0"/>
            </w:pPr>
            <w:r w:rsidRPr="00994220">
              <w:t>Original:</w:t>
            </w:r>
            <w:r w:rsidR="00047A2B">
              <w:t xml:space="preserve"> </w:t>
            </w:r>
            <w:r w:rsidRPr="00994220">
              <w:t>English</w:t>
            </w:r>
          </w:p>
        </w:tc>
      </w:tr>
    </w:tbl>
    <w:p w14:paraId="7333ACBD" w14:textId="310D82A9" w:rsidR="009C6799" w:rsidRPr="00994220" w:rsidRDefault="009C6799" w:rsidP="009C6799">
      <w:pPr>
        <w:spacing w:before="120"/>
        <w:rPr>
          <w:b/>
          <w:sz w:val="24"/>
          <w:szCs w:val="24"/>
        </w:rPr>
      </w:pPr>
      <w:r w:rsidRPr="00994220">
        <w:rPr>
          <w:b/>
          <w:sz w:val="24"/>
          <w:szCs w:val="24"/>
        </w:rPr>
        <w:t>Committee</w:t>
      </w:r>
      <w:r w:rsidR="00047A2B">
        <w:rPr>
          <w:b/>
          <w:sz w:val="24"/>
          <w:szCs w:val="24"/>
        </w:rPr>
        <w:t xml:space="preserve"> </w:t>
      </w:r>
      <w:r w:rsidRPr="00994220">
        <w:rPr>
          <w:b/>
          <w:sz w:val="24"/>
          <w:szCs w:val="24"/>
        </w:rPr>
        <w:t>against</w:t>
      </w:r>
      <w:r w:rsidR="00047A2B">
        <w:rPr>
          <w:b/>
          <w:sz w:val="24"/>
          <w:szCs w:val="24"/>
        </w:rPr>
        <w:t xml:space="preserve"> </w:t>
      </w:r>
      <w:r w:rsidRPr="00994220">
        <w:rPr>
          <w:b/>
          <w:sz w:val="24"/>
          <w:szCs w:val="24"/>
        </w:rPr>
        <w:t>Torture</w:t>
      </w:r>
    </w:p>
    <w:p w14:paraId="2076CCD7" w14:textId="7F65D0B6" w:rsidR="009C6799" w:rsidRPr="00994220" w:rsidRDefault="009C6799" w:rsidP="009C6799">
      <w:pPr>
        <w:pStyle w:val="HChG"/>
        <w:rPr>
          <w:b w:val="0"/>
          <w:bCs/>
          <w:sz w:val="20"/>
        </w:rPr>
      </w:pPr>
      <w:r w:rsidRPr="00994220">
        <w:tab/>
      </w:r>
      <w:r w:rsidRPr="00994220">
        <w:tab/>
        <w:t>Concluding</w:t>
      </w:r>
      <w:r w:rsidR="00047A2B">
        <w:t xml:space="preserve"> </w:t>
      </w:r>
      <w:r w:rsidRPr="00994220">
        <w:t>observations</w:t>
      </w:r>
      <w:r w:rsidR="00047A2B">
        <w:t xml:space="preserve"> </w:t>
      </w:r>
      <w:r w:rsidRPr="00994220">
        <w:t>on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eighth</w:t>
      </w:r>
      <w:r w:rsidR="00047A2B">
        <w:t xml:space="preserve"> </w:t>
      </w:r>
      <w:r w:rsidRPr="00994220">
        <w:t>periodic</w:t>
      </w:r>
      <w:r w:rsidR="00047A2B">
        <w:t xml:space="preserve"> </w:t>
      </w:r>
      <w:r w:rsidRPr="00994220">
        <w:t>report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Sweden</w:t>
      </w:r>
      <w:r w:rsidRPr="00994220">
        <w:rPr>
          <w:b w:val="0"/>
          <w:bCs/>
          <w:sz w:val="20"/>
        </w:rPr>
        <w:footnoteReference w:customMarkFollows="1" w:id="1"/>
        <w:t>*</w:t>
      </w:r>
    </w:p>
    <w:p w14:paraId="089D2974" w14:textId="1DF82E9B" w:rsidR="009C6799" w:rsidRPr="00994220" w:rsidRDefault="009C6799" w:rsidP="009C6799">
      <w:pPr>
        <w:pStyle w:val="SingleTxtG"/>
      </w:pPr>
      <w:r w:rsidRPr="00994220">
        <w:t>1.</w:t>
      </w:r>
      <w:r w:rsidRPr="00994220">
        <w:tab/>
        <w:t>The</w:t>
      </w:r>
      <w:r w:rsidR="00047A2B">
        <w:t xml:space="preserve"> </w:t>
      </w:r>
      <w:r w:rsidRPr="00994220">
        <w:t>Committee</w:t>
      </w:r>
      <w:r w:rsidR="00047A2B">
        <w:t xml:space="preserve"> </w:t>
      </w:r>
      <w:r w:rsidRPr="00994220">
        <w:t>against</w:t>
      </w:r>
      <w:r w:rsidR="00047A2B">
        <w:t xml:space="preserve"> </w:t>
      </w:r>
      <w:r w:rsidRPr="00994220">
        <w:t>Torture</w:t>
      </w:r>
      <w:r w:rsidR="00047A2B">
        <w:t xml:space="preserve"> </w:t>
      </w:r>
      <w:r w:rsidRPr="00994220">
        <w:t>considered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eighth</w:t>
      </w:r>
      <w:r w:rsidR="00047A2B">
        <w:t xml:space="preserve"> </w:t>
      </w:r>
      <w:r w:rsidRPr="00994220">
        <w:t>periodic</w:t>
      </w:r>
      <w:r w:rsidR="00047A2B">
        <w:t xml:space="preserve"> </w:t>
      </w:r>
      <w:r w:rsidRPr="00994220">
        <w:t>report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Sweden</w:t>
      </w:r>
      <w:r w:rsidRPr="00994220">
        <w:rPr>
          <w:rStyle w:val="FootnoteReference"/>
        </w:rPr>
        <w:footnoteReference w:id="2"/>
      </w:r>
      <w:r w:rsidR="00047A2B">
        <w:t xml:space="preserve"> </w:t>
      </w:r>
      <w:r w:rsidRPr="00994220">
        <w:t>at</w:t>
      </w:r>
      <w:r w:rsidR="00047A2B">
        <w:t xml:space="preserve"> </w:t>
      </w:r>
      <w:r w:rsidRPr="00994220">
        <w:t>its</w:t>
      </w:r>
      <w:r w:rsidR="00047A2B">
        <w:t xml:space="preserve"> </w:t>
      </w:r>
      <w:r w:rsidRPr="00994220">
        <w:t>1842th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1845th</w:t>
      </w:r>
      <w:r w:rsidR="00047A2B">
        <w:t xml:space="preserve"> </w:t>
      </w:r>
      <w:r w:rsidRPr="00994220">
        <w:t>meetings,</w:t>
      </w:r>
      <w:r w:rsidRPr="00994220">
        <w:rPr>
          <w:rStyle w:val="FootnoteReference"/>
        </w:rPr>
        <w:footnoteReference w:id="3"/>
      </w:r>
      <w:r w:rsidR="00047A2B">
        <w:t xml:space="preserve"> </w:t>
      </w:r>
      <w:r w:rsidRPr="00994220">
        <w:t>held</w:t>
      </w:r>
      <w:r w:rsidR="00047A2B">
        <w:t xml:space="preserve"> </w:t>
      </w:r>
      <w:r w:rsidRPr="00994220">
        <w:t>on</w:t>
      </w:r>
      <w:r w:rsidR="00047A2B">
        <w:t xml:space="preserve"> </w:t>
      </w:r>
      <w:r w:rsidRPr="00994220">
        <w:t>9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10</w:t>
      </w:r>
      <w:r w:rsidR="00047A2B">
        <w:t xml:space="preserve"> </w:t>
      </w:r>
      <w:r w:rsidRPr="00994220">
        <w:t>November</w:t>
      </w:r>
      <w:r w:rsidR="00047A2B">
        <w:t xml:space="preserve"> </w:t>
      </w:r>
      <w:r w:rsidRPr="00994220">
        <w:t>2021,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adopted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present</w:t>
      </w:r>
      <w:r w:rsidR="00047A2B">
        <w:t xml:space="preserve"> </w:t>
      </w:r>
      <w:r w:rsidRPr="00994220">
        <w:t>concluding</w:t>
      </w:r>
      <w:r w:rsidR="00047A2B">
        <w:t xml:space="preserve"> </w:t>
      </w:r>
      <w:r w:rsidRPr="00994220">
        <w:t>observations</w:t>
      </w:r>
      <w:r w:rsidR="00047A2B">
        <w:t xml:space="preserve"> </w:t>
      </w:r>
      <w:r w:rsidRPr="00994220">
        <w:t>at</w:t>
      </w:r>
      <w:r w:rsidR="00047A2B">
        <w:t xml:space="preserve"> </w:t>
      </w:r>
      <w:r w:rsidRPr="00994220">
        <w:t>its</w:t>
      </w:r>
      <w:r w:rsidR="00047A2B">
        <w:t xml:space="preserve"> </w:t>
      </w:r>
      <w:r w:rsidRPr="00994220">
        <w:t>1868th</w:t>
      </w:r>
      <w:r w:rsidR="00047A2B">
        <w:t xml:space="preserve"> </w:t>
      </w:r>
      <w:r w:rsidRPr="00994220">
        <w:t>meeting,</w:t>
      </w:r>
      <w:r w:rsidR="00047A2B">
        <w:t xml:space="preserve"> </w:t>
      </w:r>
      <w:r w:rsidRPr="00994220">
        <w:t>held</w:t>
      </w:r>
      <w:r w:rsidR="00047A2B">
        <w:t xml:space="preserve"> </w:t>
      </w:r>
      <w:r w:rsidRPr="00994220">
        <w:t>on</w:t>
      </w:r>
      <w:r w:rsidR="00047A2B">
        <w:t xml:space="preserve"> </w:t>
      </w:r>
      <w:r w:rsidRPr="00994220">
        <w:t>26</w:t>
      </w:r>
      <w:r w:rsidR="00047A2B">
        <w:t xml:space="preserve"> </w:t>
      </w:r>
      <w:r w:rsidRPr="00994220">
        <w:t>November</w:t>
      </w:r>
      <w:r w:rsidR="00047A2B">
        <w:t xml:space="preserve"> </w:t>
      </w:r>
      <w:r w:rsidRPr="00994220">
        <w:t>2021.</w:t>
      </w:r>
    </w:p>
    <w:p w14:paraId="104BF659" w14:textId="77777777" w:rsidR="009C6799" w:rsidRPr="00994220" w:rsidRDefault="009C6799" w:rsidP="009C679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outlineLvl w:val="2"/>
        <w:rPr>
          <w:b/>
          <w:sz w:val="24"/>
        </w:rPr>
      </w:pPr>
      <w:r w:rsidRPr="00994220">
        <w:rPr>
          <w:b/>
          <w:sz w:val="24"/>
        </w:rPr>
        <w:tab/>
        <w:t>A.</w:t>
      </w:r>
      <w:r w:rsidRPr="00994220">
        <w:rPr>
          <w:b/>
          <w:sz w:val="24"/>
        </w:rPr>
        <w:tab/>
      </w:r>
      <w:r w:rsidRPr="00994220">
        <w:rPr>
          <w:b/>
          <w:bCs/>
          <w:sz w:val="24"/>
        </w:rPr>
        <w:t>Introduction</w:t>
      </w:r>
    </w:p>
    <w:p w14:paraId="4D367871" w14:textId="0D428F65" w:rsidR="009C6799" w:rsidRPr="00994220" w:rsidRDefault="009C6799" w:rsidP="009C6799">
      <w:pPr>
        <w:pStyle w:val="SingleTxtG"/>
      </w:pPr>
      <w:r w:rsidRPr="00994220">
        <w:t>2.</w:t>
      </w:r>
      <w:r w:rsidRPr="00994220">
        <w:tab/>
        <w:t>The</w:t>
      </w:r>
      <w:r w:rsidR="00047A2B">
        <w:t xml:space="preserve"> </w:t>
      </w:r>
      <w:r w:rsidRPr="00994220">
        <w:t>Committee</w:t>
      </w:r>
      <w:r w:rsidR="00047A2B">
        <w:t xml:space="preserve"> </w:t>
      </w:r>
      <w:r w:rsidRPr="00994220">
        <w:t>expresses</w:t>
      </w:r>
      <w:r w:rsidR="00047A2B">
        <w:t xml:space="preserve"> </w:t>
      </w:r>
      <w:r w:rsidRPr="00994220">
        <w:t>its</w:t>
      </w:r>
      <w:r w:rsidR="00047A2B">
        <w:t xml:space="preserve"> </w:t>
      </w:r>
      <w:r w:rsidRPr="00994220">
        <w:t>appreciation</w:t>
      </w:r>
      <w:r w:rsidR="00047A2B">
        <w:t xml:space="preserve"> </w:t>
      </w:r>
      <w:r w:rsidRPr="00994220">
        <w:t>to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State</w:t>
      </w:r>
      <w:r w:rsidR="00047A2B">
        <w:t xml:space="preserve"> </w:t>
      </w:r>
      <w:r w:rsidRPr="00994220">
        <w:t>party</w:t>
      </w:r>
      <w:r w:rsidR="00047A2B">
        <w:t xml:space="preserve"> </w:t>
      </w:r>
      <w:r w:rsidRPr="00994220">
        <w:t>for</w:t>
      </w:r>
      <w:r w:rsidR="00047A2B">
        <w:t xml:space="preserve"> </w:t>
      </w:r>
      <w:r w:rsidRPr="00994220">
        <w:t>accepting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simplified</w:t>
      </w:r>
      <w:r w:rsidR="00047A2B">
        <w:t xml:space="preserve"> </w:t>
      </w:r>
      <w:r w:rsidRPr="00994220">
        <w:t>reporting</w:t>
      </w:r>
      <w:r w:rsidR="00047A2B">
        <w:t xml:space="preserve"> </w:t>
      </w:r>
      <w:r w:rsidRPr="00994220">
        <w:t>procedure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submitting</w:t>
      </w:r>
      <w:r w:rsidR="00047A2B">
        <w:t xml:space="preserve"> </w:t>
      </w:r>
      <w:r w:rsidRPr="00994220">
        <w:t>its</w:t>
      </w:r>
      <w:r w:rsidR="00047A2B">
        <w:t xml:space="preserve"> </w:t>
      </w:r>
      <w:r w:rsidRPr="00994220">
        <w:t>periodic</w:t>
      </w:r>
      <w:r w:rsidR="00047A2B">
        <w:t xml:space="preserve"> </w:t>
      </w:r>
      <w:r w:rsidRPr="00994220">
        <w:t>report</w:t>
      </w:r>
      <w:r w:rsidR="00047A2B">
        <w:t xml:space="preserve"> </w:t>
      </w:r>
      <w:r w:rsidRPr="00994220">
        <w:t>thereunder,</w:t>
      </w:r>
      <w:r w:rsidR="00047A2B">
        <w:t xml:space="preserve"> </w:t>
      </w:r>
      <w:r w:rsidRPr="00994220">
        <w:t>which</w:t>
      </w:r>
      <w:r w:rsidR="00047A2B">
        <w:t xml:space="preserve"> </w:t>
      </w:r>
      <w:r w:rsidRPr="00994220">
        <w:t>is</w:t>
      </w:r>
      <w:r w:rsidR="00047A2B">
        <w:t xml:space="preserve"> </w:t>
      </w:r>
      <w:r w:rsidRPr="00994220">
        <w:t>in</w:t>
      </w:r>
      <w:r w:rsidR="00047A2B">
        <w:t xml:space="preserve"> </w:t>
      </w:r>
      <w:r w:rsidRPr="00994220">
        <w:t>conformity</w:t>
      </w:r>
      <w:r w:rsidR="00047A2B">
        <w:t xml:space="preserve"> </w:t>
      </w:r>
      <w:r w:rsidRPr="00994220">
        <w:t>with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guidelines</w:t>
      </w:r>
      <w:r w:rsidR="00047A2B">
        <w:t xml:space="preserve"> </w:t>
      </w:r>
      <w:r w:rsidRPr="00994220">
        <w:t>on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drafting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periodic</w:t>
      </w:r>
      <w:r w:rsidR="00047A2B">
        <w:t xml:space="preserve"> </w:t>
      </w:r>
      <w:r w:rsidRPr="00994220">
        <w:t>reports,</w:t>
      </w:r>
      <w:r w:rsidR="00047A2B">
        <w:t xml:space="preserve"> </w:t>
      </w:r>
      <w:r w:rsidRPr="00994220">
        <w:t>as</w:t>
      </w:r>
      <w:r w:rsidR="00047A2B">
        <w:t xml:space="preserve"> </w:t>
      </w:r>
      <w:r w:rsidRPr="00994220">
        <w:t>this</w:t>
      </w:r>
      <w:r w:rsidR="00047A2B">
        <w:t xml:space="preserve"> </w:t>
      </w:r>
      <w:r w:rsidRPr="00994220">
        <w:t>improves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cooperation</w:t>
      </w:r>
      <w:r w:rsidR="00047A2B">
        <w:t xml:space="preserve"> </w:t>
      </w:r>
      <w:r w:rsidRPr="00994220">
        <w:t>between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State</w:t>
      </w:r>
      <w:r w:rsidR="00047A2B">
        <w:t xml:space="preserve"> </w:t>
      </w:r>
      <w:r w:rsidRPr="00994220">
        <w:t>party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Committee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focuses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examination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report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dialogue</w:t>
      </w:r>
      <w:r w:rsidR="00047A2B">
        <w:t xml:space="preserve"> </w:t>
      </w:r>
      <w:r w:rsidRPr="00994220">
        <w:t>with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delegation.</w:t>
      </w:r>
      <w:r w:rsidR="00047A2B">
        <w:t xml:space="preserve"> </w:t>
      </w:r>
    </w:p>
    <w:p w14:paraId="3DB76529" w14:textId="0306A3F3" w:rsidR="009C6799" w:rsidRPr="00994220" w:rsidRDefault="009C6799" w:rsidP="009C6799">
      <w:pPr>
        <w:pStyle w:val="SingleTxtG"/>
      </w:pPr>
      <w:r w:rsidRPr="00994220">
        <w:t>3.</w:t>
      </w:r>
      <w:r w:rsidRPr="00994220">
        <w:tab/>
        <w:t>The</w:t>
      </w:r>
      <w:r w:rsidR="00047A2B">
        <w:t xml:space="preserve"> </w:t>
      </w:r>
      <w:r w:rsidRPr="00994220">
        <w:t>Committee</w:t>
      </w:r>
      <w:r w:rsidR="00047A2B">
        <w:t xml:space="preserve"> </w:t>
      </w:r>
      <w:r w:rsidRPr="00994220">
        <w:t>further</w:t>
      </w:r>
      <w:r w:rsidR="00047A2B">
        <w:t xml:space="preserve"> </w:t>
      </w:r>
      <w:r w:rsidRPr="00994220">
        <w:t>expresses</w:t>
      </w:r>
      <w:r w:rsidR="00047A2B">
        <w:t xml:space="preserve"> </w:t>
      </w:r>
      <w:r w:rsidRPr="00994220">
        <w:t>its</w:t>
      </w:r>
      <w:r w:rsidR="00047A2B">
        <w:t xml:space="preserve"> </w:t>
      </w:r>
      <w:r w:rsidRPr="00994220">
        <w:t>appreciation</w:t>
      </w:r>
      <w:r w:rsidR="00047A2B">
        <w:t xml:space="preserve"> </w:t>
      </w:r>
      <w:r w:rsidRPr="00994220">
        <w:t>for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dialogue</w:t>
      </w:r>
      <w:r w:rsidR="00047A2B">
        <w:t xml:space="preserve"> </w:t>
      </w:r>
      <w:r w:rsidRPr="00994220">
        <w:t>with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State</w:t>
      </w:r>
      <w:r w:rsidR="00047A2B">
        <w:t xml:space="preserve"> </w:t>
      </w:r>
      <w:r w:rsidRPr="00994220">
        <w:t>party’s</w:t>
      </w:r>
      <w:r w:rsidR="00047A2B">
        <w:t xml:space="preserve"> </w:t>
      </w:r>
      <w:r w:rsidRPr="00994220">
        <w:t>delegation,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oral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written</w:t>
      </w:r>
      <w:r w:rsidR="00047A2B">
        <w:t xml:space="preserve"> </w:t>
      </w:r>
      <w:r w:rsidRPr="00994220">
        <w:t>responses</w:t>
      </w:r>
      <w:r w:rsidR="00047A2B">
        <w:t xml:space="preserve"> </w:t>
      </w:r>
      <w:r w:rsidRPr="00994220">
        <w:t>provided</w:t>
      </w:r>
      <w:r w:rsidR="00047A2B">
        <w:t xml:space="preserve"> </w:t>
      </w:r>
      <w:r w:rsidRPr="00994220">
        <w:t>to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questions</w:t>
      </w:r>
      <w:r w:rsidR="00047A2B">
        <w:t xml:space="preserve"> </w:t>
      </w:r>
      <w:r w:rsidRPr="00994220">
        <w:t>posed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concerns</w:t>
      </w:r>
      <w:r w:rsidR="00047A2B">
        <w:t xml:space="preserve"> </w:t>
      </w:r>
      <w:r w:rsidRPr="00994220">
        <w:t>raised</w:t>
      </w:r>
      <w:r w:rsidR="00047A2B">
        <w:t xml:space="preserve"> </w:t>
      </w:r>
      <w:r w:rsidRPr="00994220">
        <w:t>during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consideration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report.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Committee</w:t>
      </w:r>
      <w:r w:rsidR="00047A2B">
        <w:t xml:space="preserve"> </w:t>
      </w:r>
      <w:r w:rsidRPr="00994220">
        <w:t>is</w:t>
      </w:r>
      <w:r w:rsidR="00047A2B">
        <w:t xml:space="preserve"> </w:t>
      </w:r>
      <w:r w:rsidRPr="00994220">
        <w:t>encouraged</w:t>
      </w:r>
      <w:r w:rsidR="00047A2B">
        <w:t xml:space="preserve"> </w:t>
      </w:r>
      <w:r w:rsidRPr="00994220">
        <w:t>by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State</w:t>
      </w:r>
      <w:r w:rsidR="00047A2B">
        <w:t xml:space="preserve"> </w:t>
      </w:r>
      <w:r w:rsidRPr="00994220">
        <w:t>party’s</w:t>
      </w:r>
      <w:r w:rsidR="00047A2B">
        <w:t xml:space="preserve"> </w:t>
      </w:r>
      <w:r w:rsidRPr="00994220">
        <w:t>strong</w:t>
      </w:r>
      <w:r w:rsidR="00047A2B">
        <w:t xml:space="preserve"> </w:t>
      </w:r>
      <w:r w:rsidRPr="00994220">
        <w:t>commitment</w:t>
      </w:r>
      <w:r w:rsidR="00047A2B">
        <w:t xml:space="preserve"> </w:t>
      </w:r>
      <w:r w:rsidRPr="00994220">
        <w:t>to</w:t>
      </w:r>
      <w:r w:rsidR="00047A2B">
        <w:t xml:space="preserve"> </w:t>
      </w:r>
      <w:r w:rsidRPr="00994220">
        <w:t>a</w:t>
      </w:r>
      <w:r w:rsidR="00047A2B">
        <w:t xml:space="preserve"> </w:t>
      </w:r>
      <w:r w:rsidRPr="00994220">
        <w:t>rules-based</w:t>
      </w:r>
      <w:r w:rsidR="00047A2B">
        <w:t xml:space="preserve"> </w:t>
      </w:r>
      <w:r w:rsidRPr="00994220">
        <w:t>international</w:t>
      </w:r>
      <w:r w:rsidR="00047A2B">
        <w:t xml:space="preserve"> </w:t>
      </w:r>
      <w:r w:rsidRPr="00994220">
        <w:t>order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to</w:t>
      </w:r>
      <w:r w:rsidR="00047A2B">
        <w:t xml:space="preserve"> </w:t>
      </w:r>
      <w:r w:rsidRPr="00994220">
        <w:t>preventing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eradicating</w:t>
      </w:r>
      <w:r w:rsidR="00047A2B">
        <w:t xml:space="preserve"> </w:t>
      </w:r>
      <w:r w:rsidRPr="00994220">
        <w:t>torture.</w:t>
      </w:r>
    </w:p>
    <w:p w14:paraId="3FB0B521" w14:textId="28F92C02" w:rsidR="009C6799" w:rsidRPr="00994220" w:rsidRDefault="009C6799" w:rsidP="009C6799">
      <w:pPr>
        <w:pStyle w:val="H1G"/>
      </w:pPr>
      <w:r w:rsidRPr="00994220">
        <w:tab/>
        <w:t>B.</w:t>
      </w:r>
      <w:r w:rsidRPr="00994220">
        <w:tab/>
        <w:t>Positive</w:t>
      </w:r>
      <w:r w:rsidR="00047A2B">
        <w:t xml:space="preserve"> </w:t>
      </w:r>
      <w:r w:rsidRPr="00994220">
        <w:t>aspects</w:t>
      </w:r>
    </w:p>
    <w:p w14:paraId="792187A7" w14:textId="7DE5B6B5" w:rsidR="009C6799" w:rsidRPr="00994220" w:rsidRDefault="009C6799" w:rsidP="009C6799">
      <w:pPr>
        <w:pStyle w:val="SingleTxtG"/>
      </w:pPr>
      <w:r w:rsidRPr="00994220">
        <w:t>4.</w:t>
      </w:r>
      <w:r w:rsidRPr="00994220">
        <w:tab/>
        <w:t>The</w:t>
      </w:r>
      <w:r w:rsidR="00047A2B">
        <w:t xml:space="preserve"> </w:t>
      </w:r>
      <w:r w:rsidRPr="00994220">
        <w:t>Committee</w:t>
      </w:r>
      <w:r w:rsidR="00047A2B">
        <w:t xml:space="preserve"> </w:t>
      </w:r>
      <w:r w:rsidRPr="00994220">
        <w:t>welcomes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State</w:t>
      </w:r>
      <w:r w:rsidR="00047A2B">
        <w:t xml:space="preserve"> </w:t>
      </w:r>
      <w:r w:rsidRPr="00994220">
        <w:t>party’s</w:t>
      </w:r>
      <w:r w:rsidR="00047A2B">
        <w:t xml:space="preserve"> </w:t>
      </w:r>
      <w:r w:rsidRPr="00994220">
        <w:t>initiatives</w:t>
      </w:r>
      <w:r w:rsidR="00047A2B">
        <w:t xml:space="preserve"> </w:t>
      </w:r>
      <w:r w:rsidRPr="00994220">
        <w:t>to</w:t>
      </w:r>
      <w:r w:rsidR="00047A2B">
        <w:t xml:space="preserve"> </w:t>
      </w:r>
      <w:r w:rsidRPr="00994220">
        <w:t>revise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introduce</w:t>
      </w:r>
      <w:r w:rsidR="00047A2B">
        <w:t xml:space="preserve"> </w:t>
      </w:r>
      <w:r w:rsidRPr="00994220">
        <w:t>legislation</w:t>
      </w:r>
      <w:r w:rsidR="00047A2B">
        <w:t xml:space="preserve"> </w:t>
      </w:r>
      <w:r w:rsidRPr="00994220">
        <w:t>in</w:t>
      </w:r>
      <w:r w:rsidR="00047A2B">
        <w:t xml:space="preserve"> </w:t>
      </w:r>
      <w:r w:rsidRPr="00994220">
        <w:t>areas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relevance</w:t>
      </w:r>
      <w:r w:rsidR="00047A2B">
        <w:t xml:space="preserve"> </w:t>
      </w:r>
      <w:r w:rsidRPr="00994220">
        <w:t>to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Convention,</w:t>
      </w:r>
      <w:r w:rsidR="00047A2B">
        <w:t xml:space="preserve"> </w:t>
      </w:r>
      <w:r w:rsidRPr="00994220">
        <w:t>such</w:t>
      </w:r>
      <w:r w:rsidR="00047A2B">
        <w:t xml:space="preserve"> </w:t>
      </w:r>
      <w:r w:rsidRPr="00994220">
        <w:t>as:</w:t>
      </w:r>
    </w:p>
    <w:p w14:paraId="165E1B9D" w14:textId="289BAD82" w:rsidR="009C6799" w:rsidRPr="00994220" w:rsidRDefault="009C6799" w:rsidP="009C6799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lang w:eastAsia="zh-CN"/>
        </w:rPr>
      </w:pPr>
      <w:r w:rsidRPr="00994220">
        <w:rPr>
          <w:rFonts w:eastAsia="SimSun"/>
          <w:lang w:eastAsia="zh-CN"/>
        </w:rPr>
        <w:tab/>
        <w:t>(a)</w:t>
      </w:r>
      <w:r w:rsidRPr="00994220">
        <w:rPr>
          <w:rFonts w:eastAsia="SimSun"/>
          <w:lang w:eastAsia="zh-CN"/>
        </w:rPr>
        <w:tab/>
        <w:t>The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transposition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of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the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Convention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on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the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Rights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of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the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Child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into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Swedish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national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law,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in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January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2020;</w:t>
      </w:r>
    </w:p>
    <w:p w14:paraId="335618F2" w14:textId="41712EBC" w:rsidR="009C6799" w:rsidRPr="00994220" w:rsidRDefault="009C6799" w:rsidP="009C6799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lang w:eastAsia="zh-CN"/>
        </w:rPr>
      </w:pPr>
      <w:r w:rsidRPr="00994220">
        <w:rPr>
          <w:rFonts w:eastAsia="SimSun"/>
          <w:lang w:eastAsia="zh-CN"/>
        </w:rPr>
        <w:tab/>
        <w:t>(b)</w:t>
      </w:r>
      <w:r w:rsidRPr="00994220">
        <w:rPr>
          <w:rFonts w:eastAsia="SimSun"/>
          <w:lang w:eastAsia="zh-CN"/>
        </w:rPr>
        <w:tab/>
        <w:t>The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adoption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of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the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law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on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the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creation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of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national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human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rights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institution,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in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June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2021.</w:t>
      </w:r>
    </w:p>
    <w:p w14:paraId="0907DDA0" w14:textId="350B8D39" w:rsidR="009C6799" w:rsidRPr="00994220" w:rsidRDefault="009C6799" w:rsidP="009C6799">
      <w:pPr>
        <w:pStyle w:val="SingleTxtG"/>
      </w:pPr>
      <w:r w:rsidRPr="00994220">
        <w:tab/>
        <w:t>(c)</w:t>
      </w:r>
      <w:r w:rsidRPr="00994220">
        <w:tab/>
        <w:t>The</w:t>
      </w:r>
      <w:r w:rsidR="00047A2B">
        <w:t xml:space="preserve"> </w:t>
      </w:r>
      <w:r w:rsidRPr="00994220">
        <w:t>adoption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Act</w:t>
      </w:r>
      <w:r w:rsidR="00047A2B">
        <w:t xml:space="preserve"> </w:t>
      </w:r>
      <w:r w:rsidRPr="00994220">
        <w:t>on</w:t>
      </w:r>
      <w:r w:rsidR="00047A2B">
        <w:t xml:space="preserve"> </w:t>
      </w:r>
      <w:r w:rsidRPr="00994220">
        <w:t>Criminal</w:t>
      </w:r>
      <w:r w:rsidR="00047A2B">
        <w:t xml:space="preserve"> </w:t>
      </w:r>
      <w:r w:rsidRPr="00994220">
        <w:t>Responsibility</w:t>
      </w:r>
      <w:r w:rsidR="00047A2B">
        <w:t xml:space="preserve"> </w:t>
      </w:r>
      <w:r w:rsidRPr="00994220">
        <w:t>for</w:t>
      </w:r>
      <w:r w:rsidR="00047A2B">
        <w:t xml:space="preserve"> </w:t>
      </w:r>
      <w:r w:rsidRPr="00994220">
        <w:t>Genocide,</w:t>
      </w:r>
      <w:r w:rsidR="00047A2B">
        <w:t xml:space="preserve"> </w:t>
      </w:r>
      <w:r w:rsidRPr="00994220">
        <w:t>Crimes</w:t>
      </w:r>
      <w:r w:rsidR="00047A2B">
        <w:t xml:space="preserve"> </w:t>
      </w:r>
      <w:r w:rsidRPr="00994220">
        <w:t>against</w:t>
      </w:r>
      <w:r w:rsidR="00047A2B">
        <w:t xml:space="preserve"> </w:t>
      </w:r>
      <w:r w:rsidRPr="00994220">
        <w:t>Humanity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War</w:t>
      </w:r>
      <w:r w:rsidR="00047A2B">
        <w:t xml:space="preserve"> </w:t>
      </w:r>
      <w:r w:rsidRPr="00994220">
        <w:t>Crimes</w:t>
      </w:r>
      <w:r w:rsidR="00047A2B">
        <w:t xml:space="preserve"> </w:t>
      </w:r>
      <w:r w:rsidRPr="00994220">
        <w:t>(2014:406),</w:t>
      </w:r>
      <w:r w:rsidR="00047A2B">
        <w:t xml:space="preserve"> </w:t>
      </w:r>
      <w:r w:rsidRPr="00994220">
        <w:t>in</w:t>
      </w:r>
      <w:r w:rsidR="00047A2B">
        <w:t xml:space="preserve"> </w:t>
      </w:r>
      <w:r w:rsidRPr="00994220">
        <w:t>2014;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Committee</w:t>
      </w:r>
      <w:r w:rsidR="00047A2B">
        <w:t xml:space="preserve"> </w:t>
      </w:r>
      <w:r w:rsidRPr="00994220">
        <w:t>notes</w:t>
      </w:r>
      <w:r w:rsidR="00047A2B">
        <w:t xml:space="preserve"> </w:t>
      </w:r>
      <w:r w:rsidRPr="00994220">
        <w:t>that</w:t>
      </w:r>
      <w:r w:rsidR="00047A2B">
        <w:t xml:space="preserve"> </w:t>
      </w:r>
      <w:r w:rsidRPr="00994220">
        <w:t>crimes</w:t>
      </w:r>
      <w:r w:rsidR="00047A2B">
        <w:t xml:space="preserve"> </w:t>
      </w:r>
      <w:r w:rsidRPr="00994220">
        <w:t>under</w:t>
      </w:r>
      <w:r w:rsidR="00047A2B">
        <w:t xml:space="preserve"> </w:t>
      </w:r>
      <w:r w:rsidRPr="00994220">
        <w:t>that</w:t>
      </w:r>
      <w:r w:rsidR="00047A2B">
        <w:t xml:space="preserve"> </w:t>
      </w:r>
      <w:r w:rsidRPr="00994220">
        <w:t>Act</w:t>
      </w:r>
      <w:r w:rsidR="00047A2B">
        <w:t xml:space="preserve"> </w:t>
      </w:r>
      <w:r w:rsidRPr="00994220">
        <w:t>are</w:t>
      </w:r>
      <w:r w:rsidR="00047A2B">
        <w:t xml:space="preserve"> </w:t>
      </w:r>
      <w:r w:rsidRPr="00994220">
        <w:t>subject</w:t>
      </w:r>
      <w:r w:rsidR="00047A2B">
        <w:t xml:space="preserve"> </w:t>
      </w:r>
      <w:r w:rsidRPr="00994220">
        <w:t>to</w:t>
      </w:r>
      <w:r w:rsidR="00047A2B">
        <w:t xml:space="preserve"> </w:t>
      </w:r>
      <w:r w:rsidRPr="00994220">
        <w:t>universal</w:t>
      </w:r>
      <w:r w:rsidR="00047A2B">
        <w:t xml:space="preserve"> </w:t>
      </w:r>
      <w:r w:rsidRPr="00994220">
        <w:t>jurisdiction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that</w:t>
      </w:r>
      <w:r w:rsidR="00047A2B">
        <w:t xml:space="preserve"> </w:t>
      </w:r>
      <w:r w:rsidRPr="00994220">
        <w:t>most</w:t>
      </w:r>
      <w:r w:rsidR="00047A2B">
        <w:t xml:space="preserve"> </w:t>
      </w:r>
      <w:r w:rsidRPr="00994220">
        <w:t>are</w:t>
      </w:r>
      <w:r w:rsidR="00047A2B">
        <w:t xml:space="preserve"> </w:t>
      </w:r>
      <w:r w:rsidRPr="00994220">
        <w:t>not</w:t>
      </w:r>
      <w:r w:rsidR="00047A2B">
        <w:t xml:space="preserve"> </w:t>
      </w:r>
      <w:r w:rsidRPr="00994220">
        <w:t>subject</w:t>
      </w:r>
      <w:r w:rsidR="00047A2B">
        <w:t xml:space="preserve"> </w:t>
      </w:r>
      <w:r w:rsidRPr="00994220">
        <w:t>to</w:t>
      </w:r>
      <w:r w:rsidR="00047A2B">
        <w:t xml:space="preserve"> </w:t>
      </w:r>
      <w:r w:rsidRPr="00994220">
        <w:t>any</w:t>
      </w:r>
      <w:r w:rsidR="00047A2B">
        <w:t xml:space="preserve"> </w:t>
      </w:r>
      <w:r w:rsidRPr="00994220">
        <w:t>statute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limitations;</w:t>
      </w:r>
      <w:r w:rsidR="00047A2B">
        <w:t xml:space="preserve"> </w:t>
      </w:r>
    </w:p>
    <w:p w14:paraId="0DCDF136" w14:textId="1B1878CB" w:rsidR="009C6799" w:rsidRPr="00994220" w:rsidRDefault="009C6799" w:rsidP="009C6799">
      <w:pPr>
        <w:pStyle w:val="SingleTxtG"/>
      </w:pPr>
      <w:r w:rsidRPr="00994220">
        <w:tab/>
        <w:t>(d)</w:t>
      </w:r>
      <w:r w:rsidRPr="00994220">
        <w:tab/>
        <w:t>The</w:t>
      </w:r>
      <w:r w:rsidR="00047A2B">
        <w:t xml:space="preserve"> </w:t>
      </w:r>
      <w:r w:rsidRPr="00994220">
        <w:t>introduction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stricter</w:t>
      </w:r>
      <w:r w:rsidR="00047A2B">
        <w:t xml:space="preserve"> </w:t>
      </w:r>
      <w:r w:rsidRPr="00994220">
        <w:t>minimum</w:t>
      </w:r>
      <w:r w:rsidR="00047A2B">
        <w:t xml:space="preserve"> </w:t>
      </w:r>
      <w:r w:rsidRPr="00994220">
        <w:t>penalties</w:t>
      </w:r>
      <w:r w:rsidR="00047A2B">
        <w:t xml:space="preserve"> </w:t>
      </w:r>
      <w:r w:rsidRPr="00994220">
        <w:t>for</w:t>
      </w:r>
      <w:r w:rsidR="00047A2B">
        <w:t xml:space="preserve"> </w:t>
      </w:r>
      <w:r w:rsidRPr="00994220">
        <w:t>several</w:t>
      </w:r>
      <w:r w:rsidR="00047A2B">
        <w:t xml:space="preserve"> </w:t>
      </w:r>
      <w:r w:rsidRPr="00994220">
        <w:t>serious</w:t>
      </w:r>
      <w:r w:rsidR="00047A2B">
        <w:t xml:space="preserve"> </w:t>
      </w:r>
      <w:r w:rsidRPr="00994220">
        <w:t>offences</w:t>
      </w:r>
      <w:r w:rsidR="00047A2B">
        <w:t xml:space="preserve"> </w:t>
      </w:r>
      <w:r w:rsidRPr="00994220">
        <w:t>that</w:t>
      </w:r>
      <w:r w:rsidR="00047A2B">
        <w:t xml:space="preserve"> </w:t>
      </w:r>
      <w:r w:rsidRPr="00994220">
        <w:t>can</w:t>
      </w:r>
      <w:r w:rsidR="00047A2B">
        <w:t xml:space="preserve"> </w:t>
      </w:r>
      <w:r w:rsidRPr="00994220">
        <w:t>constitute</w:t>
      </w:r>
      <w:r w:rsidR="00047A2B">
        <w:t xml:space="preserve"> </w:t>
      </w:r>
      <w:r w:rsidRPr="00994220">
        <w:t>acts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torture,</w:t>
      </w:r>
      <w:r w:rsidR="00047A2B">
        <w:t xml:space="preserve"> </w:t>
      </w:r>
      <w:r w:rsidRPr="00994220">
        <w:t>including</w:t>
      </w:r>
      <w:r w:rsidR="00047A2B">
        <w:t xml:space="preserve"> </w:t>
      </w:r>
      <w:r w:rsidRPr="00994220">
        <w:t>gross</w:t>
      </w:r>
      <w:r w:rsidR="00047A2B">
        <w:t xml:space="preserve"> </w:t>
      </w:r>
      <w:r w:rsidRPr="00994220">
        <w:t>assault;</w:t>
      </w:r>
    </w:p>
    <w:p w14:paraId="30AB4CEE" w14:textId="34663B1E" w:rsidR="009C6799" w:rsidRPr="00994220" w:rsidRDefault="009C6799" w:rsidP="009C6799">
      <w:pPr>
        <w:pStyle w:val="SingleTxtG"/>
      </w:pPr>
      <w:r w:rsidRPr="00994220">
        <w:tab/>
        <w:t>(e)</w:t>
      </w:r>
      <w:r w:rsidRPr="00994220">
        <w:tab/>
        <w:t>The</w:t>
      </w:r>
      <w:r w:rsidR="00047A2B">
        <w:t xml:space="preserve"> </w:t>
      </w:r>
      <w:r w:rsidRPr="00994220">
        <w:t>implementation</w:t>
      </w:r>
      <w:r w:rsidR="00047A2B">
        <w:t xml:space="preserve"> </w:t>
      </w:r>
      <w:r w:rsidRPr="00994220">
        <w:t>in</w:t>
      </w:r>
      <w:r w:rsidR="00047A2B">
        <w:t xml:space="preserve"> </w:t>
      </w:r>
      <w:r w:rsidRPr="00994220">
        <w:t>2019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Directive</w:t>
      </w:r>
      <w:r w:rsidR="00047A2B">
        <w:t xml:space="preserve"> </w:t>
      </w:r>
      <w:r w:rsidRPr="00994220">
        <w:t>(EU)</w:t>
      </w:r>
      <w:r w:rsidR="00047A2B">
        <w:t xml:space="preserve"> </w:t>
      </w:r>
      <w:r w:rsidRPr="00994220">
        <w:t>No.</w:t>
      </w:r>
      <w:r w:rsidR="00047A2B">
        <w:t xml:space="preserve"> </w:t>
      </w:r>
      <w:r w:rsidRPr="00994220">
        <w:t>2016/1919,</w:t>
      </w:r>
      <w:r w:rsidR="00047A2B">
        <w:t xml:space="preserve"> </w:t>
      </w:r>
      <w:r w:rsidRPr="00994220">
        <w:t>on</w:t>
      </w:r>
      <w:r w:rsidR="00047A2B">
        <w:t xml:space="preserve"> </w:t>
      </w:r>
      <w:r w:rsidRPr="00994220">
        <w:t>legal</w:t>
      </w:r>
      <w:r w:rsidR="00047A2B">
        <w:t xml:space="preserve"> </w:t>
      </w:r>
      <w:r w:rsidRPr="00994220">
        <w:t>aid,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Directive</w:t>
      </w:r>
      <w:r w:rsidR="00047A2B">
        <w:t xml:space="preserve"> </w:t>
      </w:r>
      <w:r w:rsidRPr="00994220">
        <w:t>(EU)</w:t>
      </w:r>
      <w:r w:rsidR="00047A2B">
        <w:t xml:space="preserve"> </w:t>
      </w:r>
      <w:r w:rsidRPr="00994220">
        <w:t>No.</w:t>
      </w:r>
      <w:r w:rsidR="00047A2B">
        <w:t xml:space="preserve"> </w:t>
      </w:r>
      <w:r w:rsidRPr="00994220">
        <w:t>2016/800,</w:t>
      </w:r>
      <w:r w:rsidR="00047A2B">
        <w:t xml:space="preserve"> </w:t>
      </w:r>
      <w:r w:rsidRPr="00994220">
        <w:t>on</w:t>
      </w:r>
      <w:r w:rsidR="00047A2B">
        <w:t xml:space="preserve"> </w:t>
      </w:r>
      <w:r w:rsidRPr="00994220">
        <w:t>procedural</w:t>
      </w:r>
      <w:r w:rsidR="00047A2B">
        <w:t xml:space="preserve"> </w:t>
      </w:r>
      <w:r w:rsidRPr="00994220">
        <w:t>safeguards</w:t>
      </w:r>
      <w:r w:rsidR="00047A2B">
        <w:t xml:space="preserve"> </w:t>
      </w:r>
      <w:r w:rsidRPr="00994220">
        <w:t>for</w:t>
      </w:r>
      <w:r w:rsidR="00047A2B">
        <w:t xml:space="preserve"> </w:t>
      </w:r>
      <w:r w:rsidRPr="00994220">
        <w:t>children</w:t>
      </w:r>
      <w:r w:rsidR="00047A2B">
        <w:t xml:space="preserve"> </w:t>
      </w:r>
      <w:r w:rsidRPr="00994220">
        <w:t>in</w:t>
      </w:r>
      <w:r w:rsidR="00047A2B">
        <w:t xml:space="preserve"> </w:t>
      </w:r>
      <w:r w:rsidRPr="00994220">
        <w:t>criminal</w:t>
      </w:r>
      <w:r w:rsidR="00047A2B">
        <w:t xml:space="preserve"> </w:t>
      </w:r>
      <w:r w:rsidRPr="00994220">
        <w:lastRenderedPageBreak/>
        <w:t>proceedings,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European</w:t>
      </w:r>
      <w:r w:rsidR="00047A2B">
        <w:t xml:space="preserve"> </w:t>
      </w:r>
      <w:r w:rsidRPr="00994220">
        <w:t>Parliament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Council,</w:t>
      </w:r>
      <w:r w:rsidR="00047A2B">
        <w:t xml:space="preserve"> </w:t>
      </w:r>
      <w:r w:rsidRPr="00994220">
        <w:t>bringing</w:t>
      </w:r>
      <w:r w:rsidR="00047A2B">
        <w:t xml:space="preserve"> </w:t>
      </w:r>
      <w:r w:rsidRPr="00994220">
        <w:t>to</w:t>
      </w:r>
      <w:r w:rsidR="00047A2B">
        <w:t xml:space="preserve"> </w:t>
      </w:r>
      <w:r w:rsidRPr="00994220">
        <w:t>six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number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European</w:t>
      </w:r>
      <w:r w:rsidR="00047A2B">
        <w:t xml:space="preserve"> </w:t>
      </w:r>
      <w:r w:rsidRPr="00994220">
        <w:t>Union</w:t>
      </w:r>
      <w:r w:rsidR="00047A2B">
        <w:t xml:space="preserve"> </w:t>
      </w:r>
      <w:r w:rsidRPr="00994220">
        <w:t>directives</w:t>
      </w:r>
      <w:r w:rsidR="00047A2B">
        <w:t xml:space="preserve"> </w:t>
      </w:r>
      <w:r w:rsidRPr="00994220">
        <w:t>in</w:t>
      </w:r>
      <w:r w:rsidR="00047A2B">
        <w:t xml:space="preserve"> </w:t>
      </w:r>
      <w:r w:rsidRPr="00994220">
        <w:t>this</w:t>
      </w:r>
      <w:r w:rsidR="00047A2B">
        <w:t xml:space="preserve"> </w:t>
      </w:r>
      <w:r w:rsidRPr="00994220">
        <w:t>area</w:t>
      </w:r>
      <w:r w:rsidR="00047A2B">
        <w:t xml:space="preserve"> </w:t>
      </w:r>
      <w:r w:rsidRPr="00994220">
        <w:t>that</w:t>
      </w:r>
      <w:r w:rsidR="00047A2B">
        <w:t xml:space="preserve"> </w:t>
      </w:r>
      <w:r w:rsidRPr="00994220">
        <w:t>have</w:t>
      </w:r>
      <w:r w:rsidR="00047A2B">
        <w:t xml:space="preserve"> </w:t>
      </w:r>
      <w:r w:rsidRPr="00994220">
        <w:t>entered</w:t>
      </w:r>
      <w:r w:rsidR="00047A2B">
        <w:t xml:space="preserve"> </w:t>
      </w:r>
      <w:r w:rsidRPr="00994220">
        <w:t>into</w:t>
      </w:r>
      <w:r w:rsidR="00047A2B">
        <w:t xml:space="preserve"> </w:t>
      </w:r>
      <w:r w:rsidRPr="00994220">
        <w:t>force</w:t>
      </w:r>
      <w:r w:rsidR="00047A2B">
        <w:t xml:space="preserve"> </w:t>
      </w:r>
      <w:r w:rsidRPr="00994220">
        <w:t>in</w:t>
      </w:r>
      <w:r w:rsidR="00047A2B">
        <w:t xml:space="preserve"> </w:t>
      </w:r>
      <w:r w:rsidRPr="00994220">
        <w:t>Sweden,</w:t>
      </w:r>
      <w:r w:rsidR="00047A2B">
        <w:t xml:space="preserve"> </w:t>
      </w:r>
      <w:r w:rsidRPr="00994220">
        <w:t>governing</w:t>
      </w:r>
      <w:r w:rsidR="00047A2B">
        <w:t xml:space="preserve"> </w:t>
      </w:r>
      <w:r w:rsidRPr="00994220">
        <w:t>procedural</w:t>
      </w:r>
      <w:r w:rsidR="00047A2B">
        <w:t xml:space="preserve"> </w:t>
      </w:r>
      <w:r w:rsidRPr="00994220">
        <w:t>rights</w:t>
      </w:r>
      <w:r w:rsidR="00047A2B">
        <w:t xml:space="preserve"> </w:t>
      </w:r>
      <w:r w:rsidRPr="00994220">
        <w:t>for</w:t>
      </w:r>
      <w:r w:rsidR="00047A2B">
        <w:t xml:space="preserve"> </w:t>
      </w:r>
      <w:r w:rsidRPr="00994220">
        <w:t>detainees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outlining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rights</w:t>
      </w:r>
      <w:r w:rsidR="00047A2B">
        <w:t xml:space="preserve"> </w:t>
      </w:r>
      <w:r w:rsidRPr="00994220">
        <w:t>to</w:t>
      </w:r>
      <w:r w:rsidR="00047A2B">
        <w:t xml:space="preserve"> </w:t>
      </w:r>
      <w:r w:rsidRPr="00994220">
        <w:t>interpretation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translation,</w:t>
      </w:r>
      <w:r w:rsidR="00047A2B">
        <w:t xml:space="preserve"> </w:t>
      </w:r>
      <w:r w:rsidRPr="00994220">
        <w:t>to</w:t>
      </w:r>
      <w:r w:rsidR="00047A2B">
        <w:t xml:space="preserve"> </w:t>
      </w:r>
      <w:r w:rsidRPr="00994220">
        <w:t>information,</w:t>
      </w:r>
      <w:r w:rsidR="00047A2B">
        <w:t xml:space="preserve"> </w:t>
      </w:r>
      <w:r w:rsidRPr="00994220">
        <w:t>to</w:t>
      </w:r>
      <w:r w:rsidR="00047A2B">
        <w:t xml:space="preserve"> </w:t>
      </w:r>
      <w:r w:rsidRPr="00994220">
        <w:t>access</w:t>
      </w:r>
      <w:r w:rsidR="00047A2B">
        <w:t xml:space="preserve"> </w:t>
      </w:r>
      <w:r w:rsidRPr="00994220">
        <w:t>to</w:t>
      </w:r>
      <w:r w:rsidR="00047A2B">
        <w:t xml:space="preserve"> </w:t>
      </w:r>
      <w:r w:rsidRPr="00994220">
        <w:t>a</w:t>
      </w:r>
      <w:r w:rsidR="00047A2B">
        <w:t xml:space="preserve"> </w:t>
      </w:r>
      <w:r w:rsidRPr="00994220">
        <w:t>lawyer,</w:t>
      </w:r>
      <w:r w:rsidR="00047A2B">
        <w:t xml:space="preserve"> </w:t>
      </w:r>
      <w:r w:rsidRPr="00994220">
        <w:t>to</w:t>
      </w:r>
      <w:r w:rsidR="00047A2B">
        <w:t xml:space="preserve"> </w:t>
      </w:r>
      <w:r w:rsidRPr="00994220">
        <w:t>legal</w:t>
      </w:r>
      <w:r w:rsidR="00047A2B">
        <w:t xml:space="preserve"> </w:t>
      </w:r>
      <w:r w:rsidRPr="00994220">
        <w:t>aid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to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presumption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innocence,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procedural</w:t>
      </w:r>
      <w:r w:rsidR="00047A2B">
        <w:t xml:space="preserve"> </w:t>
      </w:r>
      <w:r w:rsidRPr="00994220">
        <w:t>safeguards</w:t>
      </w:r>
      <w:r w:rsidR="00047A2B">
        <w:t xml:space="preserve"> </w:t>
      </w:r>
      <w:r w:rsidRPr="00994220">
        <w:t>for</w:t>
      </w:r>
      <w:r w:rsidR="00047A2B">
        <w:t xml:space="preserve"> </w:t>
      </w:r>
      <w:r w:rsidRPr="00994220">
        <w:t>children</w:t>
      </w:r>
      <w:r w:rsidR="00047A2B">
        <w:t xml:space="preserve"> </w:t>
      </w:r>
      <w:r w:rsidRPr="00994220">
        <w:t>suspected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or</w:t>
      </w:r>
      <w:r w:rsidR="00047A2B">
        <w:t xml:space="preserve"> </w:t>
      </w:r>
      <w:r w:rsidRPr="00994220">
        <w:t>accused</w:t>
      </w:r>
      <w:r w:rsidR="00047A2B">
        <w:t xml:space="preserve"> </w:t>
      </w:r>
      <w:r w:rsidRPr="00994220">
        <w:t>in</w:t>
      </w:r>
      <w:r w:rsidR="00047A2B">
        <w:t xml:space="preserve"> </w:t>
      </w:r>
      <w:r w:rsidRPr="00994220">
        <w:t>criminal</w:t>
      </w:r>
      <w:r w:rsidR="00047A2B">
        <w:t xml:space="preserve"> </w:t>
      </w:r>
      <w:r w:rsidRPr="00994220">
        <w:t>proceedings;</w:t>
      </w:r>
    </w:p>
    <w:p w14:paraId="36B315A9" w14:textId="3AB124D5" w:rsidR="009C6799" w:rsidRPr="00994220" w:rsidRDefault="009C6799" w:rsidP="009C6799">
      <w:pPr>
        <w:pStyle w:val="SingleTxtG"/>
      </w:pPr>
      <w:r w:rsidRPr="00994220">
        <w:tab/>
        <w:t>(f)</w:t>
      </w:r>
      <w:r w:rsidRPr="00994220">
        <w:tab/>
        <w:t>The</w:t>
      </w:r>
      <w:r w:rsidR="00047A2B">
        <w:t xml:space="preserve"> </w:t>
      </w:r>
      <w:r w:rsidRPr="00994220">
        <w:t>broadening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mandate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Equality</w:t>
      </w:r>
      <w:r w:rsidR="00047A2B">
        <w:t xml:space="preserve"> </w:t>
      </w:r>
      <w:r w:rsidRPr="00994220">
        <w:t>Ombudsman</w:t>
      </w:r>
      <w:r w:rsidR="00047A2B">
        <w:t xml:space="preserve"> </w:t>
      </w:r>
      <w:r w:rsidRPr="00994220">
        <w:t>to</w:t>
      </w:r>
      <w:r w:rsidR="00047A2B">
        <w:t xml:space="preserve"> </w:t>
      </w:r>
      <w:r w:rsidRPr="00994220">
        <w:t>combat</w:t>
      </w:r>
      <w:r w:rsidR="00047A2B">
        <w:t xml:space="preserve"> </w:t>
      </w:r>
      <w:r w:rsidRPr="00994220">
        <w:t>discrimination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to</w:t>
      </w:r>
      <w:r w:rsidR="00047A2B">
        <w:t xml:space="preserve"> </w:t>
      </w:r>
      <w:r w:rsidRPr="00994220">
        <w:t>work</w:t>
      </w:r>
      <w:r w:rsidR="00047A2B">
        <w:t xml:space="preserve"> </w:t>
      </w:r>
      <w:r w:rsidRPr="00994220">
        <w:t>for</w:t>
      </w:r>
      <w:r w:rsidR="00047A2B">
        <w:t xml:space="preserve"> </w:t>
      </w:r>
      <w:r w:rsidRPr="00994220">
        <w:t>equal</w:t>
      </w:r>
      <w:r w:rsidR="00047A2B">
        <w:t xml:space="preserve"> </w:t>
      </w:r>
      <w:r w:rsidRPr="00994220">
        <w:t>rights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opportunities,</w:t>
      </w:r>
      <w:r w:rsidR="00047A2B">
        <w:t xml:space="preserve"> </w:t>
      </w:r>
      <w:r w:rsidRPr="00994220">
        <w:t>following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strengthening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provisions</w:t>
      </w:r>
      <w:r w:rsidR="00047A2B">
        <w:t xml:space="preserve"> </w:t>
      </w:r>
      <w:r w:rsidRPr="00994220">
        <w:t>on</w:t>
      </w:r>
      <w:r w:rsidR="00047A2B">
        <w:t xml:space="preserve"> </w:t>
      </w:r>
      <w:r w:rsidRPr="00994220">
        <w:t>protection</w:t>
      </w:r>
      <w:r w:rsidR="00047A2B">
        <w:t xml:space="preserve"> </w:t>
      </w:r>
      <w:r w:rsidRPr="00994220">
        <w:t>from</w:t>
      </w:r>
      <w:r w:rsidR="00047A2B">
        <w:t xml:space="preserve"> </w:t>
      </w:r>
      <w:r w:rsidRPr="00994220">
        <w:t>discrimination</w:t>
      </w:r>
      <w:r w:rsidR="00047A2B">
        <w:t xml:space="preserve"> </w:t>
      </w:r>
      <w:r w:rsidRPr="00994220">
        <w:t>contained</w:t>
      </w:r>
      <w:r w:rsidR="00047A2B">
        <w:t xml:space="preserve"> </w:t>
      </w:r>
      <w:r w:rsidRPr="00994220">
        <w:t>in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Discrimination</w:t>
      </w:r>
      <w:r w:rsidR="00047A2B">
        <w:t xml:space="preserve"> </w:t>
      </w:r>
      <w:r w:rsidRPr="00994220">
        <w:t>Act</w:t>
      </w:r>
      <w:r w:rsidR="00047A2B">
        <w:t xml:space="preserve"> </w:t>
      </w:r>
      <w:r w:rsidRPr="00994220">
        <w:t>(2008:567).</w:t>
      </w:r>
      <w:r w:rsidR="00047A2B">
        <w:t xml:space="preserve"> </w:t>
      </w:r>
    </w:p>
    <w:p w14:paraId="0F52CE03" w14:textId="7FCBFCE7" w:rsidR="009C6799" w:rsidRPr="00994220" w:rsidRDefault="009C6799" w:rsidP="009C6799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lang w:eastAsia="zh-CN"/>
        </w:rPr>
      </w:pPr>
      <w:r w:rsidRPr="00994220">
        <w:rPr>
          <w:rFonts w:eastAsia="SimSun"/>
          <w:lang w:eastAsia="zh-CN"/>
        </w:rPr>
        <w:t>5.</w:t>
      </w:r>
      <w:r w:rsidRPr="00994220">
        <w:rPr>
          <w:rFonts w:eastAsia="SimSun"/>
          <w:lang w:eastAsia="zh-CN"/>
        </w:rPr>
        <w:tab/>
        <w:t>The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Committee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commends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the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State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party’s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initiatives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to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amend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its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policies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and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procedures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in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order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to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afford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greater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human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rights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protection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and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to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apply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the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Convention,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in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particular:</w:t>
      </w:r>
    </w:p>
    <w:p w14:paraId="76B605DB" w14:textId="69265CD0" w:rsidR="009C6799" w:rsidRPr="00994220" w:rsidRDefault="009C6799" w:rsidP="009C6799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lang w:eastAsia="zh-CN"/>
        </w:rPr>
      </w:pPr>
      <w:r w:rsidRPr="00994220">
        <w:rPr>
          <w:rFonts w:eastAsia="SimSun"/>
          <w:lang w:eastAsia="zh-CN"/>
        </w:rPr>
        <w:tab/>
        <w:t>(a)</w:t>
      </w:r>
      <w:r w:rsidRPr="00994220">
        <w:rPr>
          <w:rFonts w:eastAsia="SimSun"/>
          <w:lang w:eastAsia="zh-CN"/>
        </w:rPr>
        <w:tab/>
        <w:t>The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adoption,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in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2016,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of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national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strategy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for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human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rights,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providing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comprehensive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framework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for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systematic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work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on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human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rights;</w:t>
      </w:r>
    </w:p>
    <w:p w14:paraId="400B8850" w14:textId="7972ED22" w:rsidR="009C6799" w:rsidRPr="00994220" w:rsidRDefault="009C6799" w:rsidP="009C6799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lang w:eastAsia="zh-CN"/>
        </w:rPr>
      </w:pPr>
      <w:r w:rsidRPr="00994220">
        <w:rPr>
          <w:rFonts w:eastAsia="SimSun"/>
          <w:lang w:eastAsia="zh-CN"/>
        </w:rPr>
        <w:tab/>
        <w:t>(b)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ab/>
        <w:t>The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adoption,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in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2018,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of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new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strategy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for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global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gender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equality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and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women’s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and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girls’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rights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(2018–2022);</w:t>
      </w:r>
    </w:p>
    <w:p w14:paraId="15793251" w14:textId="7126B078" w:rsidR="009C6799" w:rsidRPr="00994220" w:rsidRDefault="009C6799" w:rsidP="009C6799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lang w:eastAsia="zh-CN"/>
        </w:rPr>
      </w:pPr>
      <w:r w:rsidRPr="00994220">
        <w:rPr>
          <w:rFonts w:eastAsia="SimSun"/>
          <w:lang w:eastAsia="zh-CN"/>
        </w:rPr>
        <w:tab/>
        <w:t>(c)</w:t>
      </w:r>
      <w:r w:rsidRPr="00994220">
        <w:rPr>
          <w:rFonts w:eastAsia="SimSun"/>
          <w:lang w:eastAsia="zh-CN"/>
        </w:rPr>
        <w:tab/>
        <w:t>The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adoption,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in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2016,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of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10-year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national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strategy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to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prevent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and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combat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men’s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violence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against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women;</w:t>
      </w:r>
    </w:p>
    <w:p w14:paraId="658C0B51" w14:textId="018FCD1C" w:rsidR="009C6799" w:rsidRPr="00994220" w:rsidRDefault="009C6799" w:rsidP="009C6799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lang w:eastAsia="zh-CN"/>
        </w:rPr>
      </w:pPr>
      <w:r w:rsidRPr="00994220">
        <w:rPr>
          <w:rFonts w:eastAsia="SimSun"/>
          <w:lang w:eastAsia="zh-CN"/>
        </w:rPr>
        <w:tab/>
        <w:t>(d)</w:t>
      </w:r>
      <w:r w:rsidRPr="00994220">
        <w:rPr>
          <w:rFonts w:eastAsia="SimSun"/>
          <w:lang w:eastAsia="zh-CN"/>
        </w:rPr>
        <w:tab/>
        <w:t>The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steps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taken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to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integrate,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as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governing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principles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in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Sweden,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the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Principles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on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Effective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Interviewing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for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Investigations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and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Information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Gathering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(the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Méndez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Principles,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launched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in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June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2021),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which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are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aimed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at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ending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accusatory,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coercive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and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other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confession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practices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during</w:t>
      </w:r>
      <w:r w:rsidR="00047A2B">
        <w:rPr>
          <w:rFonts w:eastAsia="SimSun"/>
          <w:lang w:eastAsia="zh-CN"/>
        </w:rPr>
        <w:t xml:space="preserve"> </w:t>
      </w:r>
      <w:r w:rsidRPr="00994220">
        <w:rPr>
          <w:rFonts w:eastAsia="SimSun"/>
          <w:lang w:eastAsia="zh-CN"/>
        </w:rPr>
        <w:t>investigations.</w:t>
      </w:r>
      <w:r w:rsidR="00047A2B">
        <w:rPr>
          <w:rFonts w:eastAsia="SimSun"/>
          <w:lang w:eastAsia="zh-CN"/>
        </w:rPr>
        <w:t xml:space="preserve"> </w:t>
      </w:r>
    </w:p>
    <w:p w14:paraId="489AFD9D" w14:textId="0D0FC4C8" w:rsidR="009C6799" w:rsidRPr="00994220" w:rsidRDefault="009C6799" w:rsidP="009C6799">
      <w:pPr>
        <w:pStyle w:val="SingleTxtG"/>
      </w:pPr>
      <w:r w:rsidRPr="00994220">
        <w:t>6.</w:t>
      </w:r>
      <w:r w:rsidRPr="00994220">
        <w:tab/>
        <w:t>The</w:t>
      </w:r>
      <w:r w:rsidR="00047A2B">
        <w:t xml:space="preserve"> </w:t>
      </w:r>
      <w:r w:rsidRPr="00994220">
        <w:t>Committee</w:t>
      </w:r>
      <w:r w:rsidR="00047A2B">
        <w:t xml:space="preserve"> </w:t>
      </w:r>
      <w:r w:rsidRPr="00994220">
        <w:t>welcomes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creation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a</w:t>
      </w:r>
      <w:r w:rsidR="00047A2B">
        <w:t xml:space="preserve"> </w:t>
      </w:r>
      <w:r w:rsidRPr="00994220">
        <w:t>national</w:t>
      </w:r>
      <w:r w:rsidR="00047A2B">
        <w:t xml:space="preserve"> </w:t>
      </w:r>
      <w:r w:rsidRPr="00994220">
        <w:t>human</w:t>
      </w:r>
      <w:r w:rsidR="00047A2B">
        <w:t xml:space="preserve"> </w:t>
      </w:r>
      <w:r w:rsidRPr="00994220">
        <w:t>rights</w:t>
      </w:r>
      <w:r w:rsidR="00047A2B">
        <w:t xml:space="preserve"> </w:t>
      </w:r>
      <w:r w:rsidRPr="00994220">
        <w:t>institution</w:t>
      </w:r>
      <w:r w:rsidR="00047A2B">
        <w:t xml:space="preserve"> </w:t>
      </w:r>
      <w:r w:rsidRPr="00994220">
        <w:t>with</w:t>
      </w:r>
      <w:r w:rsidR="00047A2B">
        <w:t xml:space="preserve"> </w:t>
      </w:r>
      <w:r w:rsidRPr="00994220">
        <w:t>a</w:t>
      </w:r>
      <w:r w:rsidR="00047A2B">
        <w:t xml:space="preserve"> </w:t>
      </w:r>
      <w:r w:rsidRPr="00994220">
        <w:t>broad</w:t>
      </w:r>
      <w:r w:rsidR="00047A2B">
        <w:t xml:space="preserve"> </w:t>
      </w:r>
      <w:r w:rsidRPr="00994220">
        <w:t>mandate</w:t>
      </w:r>
      <w:r w:rsidR="00047A2B">
        <w:t xml:space="preserve"> </w:t>
      </w:r>
      <w:r w:rsidRPr="00994220">
        <w:t>to</w:t>
      </w:r>
      <w:r w:rsidR="00047A2B">
        <w:t xml:space="preserve"> </w:t>
      </w:r>
      <w:r w:rsidRPr="00994220">
        <w:t>monitor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report</w:t>
      </w:r>
      <w:r w:rsidR="00047A2B">
        <w:t xml:space="preserve"> </w:t>
      </w:r>
      <w:r w:rsidRPr="00994220">
        <w:t>on</w:t>
      </w:r>
      <w:r w:rsidR="00047A2B">
        <w:t xml:space="preserve"> </w:t>
      </w:r>
      <w:r w:rsidRPr="00994220">
        <w:t>how</w:t>
      </w:r>
      <w:r w:rsidR="00047A2B">
        <w:t xml:space="preserve"> </w:t>
      </w:r>
      <w:r w:rsidRPr="00994220">
        <w:t>human</w:t>
      </w:r>
      <w:r w:rsidR="00047A2B">
        <w:t xml:space="preserve"> </w:t>
      </w:r>
      <w:r w:rsidRPr="00994220">
        <w:t>rights</w:t>
      </w:r>
      <w:r w:rsidR="00047A2B">
        <w:t xml:space="preserve"> </w:t>
      </w:r>
      <w:r w:rsidRPr="00994220">
        <w:t>are</w:t>
      </w:r>
      <w:r w:rsidR="00047A2B">
        <w:t xml:space="preserve"> </w:t>
      </w:r>
      <w:r w:rsidRPr="00994220">
        <w:t>respected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implemented</w:t>
      </w:r>
      <w:r w:rsidR="00047A2B">
        <w:t xml:space="preserve"> </w:t>
      </w:r>
      <w:r w:rsidRPr="00994220">
        <w:t>in</w:t>
      </w:r>
      <w:r w:rsidR="00047A2B">
        <w:t xml:space="preserve"> </w:t>
      </w:r>
      <w:r w:rsidRPr="00994220">
        <w:t>Sweden.</w:t>
      </w:r>
      <w:r w:rsidR="00047A2B">
        <w:t xml:space="preserve"> </w:t>
      </w:r>
      <w:r w:rsidRPr="00994220">
        <w:t>It</w:t>
      </w:r>
      <w:r w:rsidR="00047A2B">
        <w:t xml:space="preserve"> </w:t>
      </w:r>
      <w:r w:rsidRPr="00994220">
        <w:t>notes</w:t>
      </w:r>
      <w:r w:rsidR="00047A2B">
        <w:t xml:space="preserve"> </w:t>
      </w:r>
      <w:r w:rsidRPr="00994220">
        <w:t>that</w:t>
      </w:r>
      <w:r w:rsidR="00047A2B">
        <w:t xml:space="preserve"> </w:t>
      </w:r>
      <w:r w:rsidRPr="00994220">
        <w:t>in</w:t>
      </w:r>
      <w:r w:rsidR="00047A2B">
        <w:t xml:space="preserve"> </w:t>
      </w:r>
      <w:r w:rsidRPr="00994220">
        <w:t>October</w:t>
      </w:r>
      <w:r w:rsidR="00047A2B">
        <w:t xml:space="preserve"> </w:t>
      </w:r>
      <w:r w:rsidRPr="00994220">
        <w:t>2016,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Government</w:t>
      </w:r>
      <w:r w:rsidR="00047A2B">
        <w:t xml:space="preserve"> </w:t>
      </w:r>
      <w:r w:rsidRPr="00994220">
        <w:t>had</w:t>
      </w:r>
      <w:r w:rsidR="00047A2B">
        <w:t xml:space="preserve"> </w:t>
      </w:r>
      <w:r w:rsidRPr="00994220">
        <w:t>presented</w:t>
      </w:r>
      <w:r w:rsidR="00047A2B">
        <w:t xml:space="preserve"> </w:t>
      </w:r>
      <w:r w:rsidRPr="00994220">
        <w:t>a</w:t>
      </w:r>
      <w:r w:rsidR="00047A2B">
        <w:t xml:space="preserve"> </w:t>
      </w:r>
      <w:r w:rsidRPr="00994220">
        <w:t>strategy</w:t>
      </w:r>
      <w:r w:rsidR="00047A2B">
        <w:t xml:space="preserve"> </w:t>
      </w:r>
      <w:r w:rsidRPr="00994220">
        <w:t>for</w:t>
      </w:r>
      <w:r w:rsidR="00047A2B">
        <w:t xml:space="preserve"> </w:t>
      </w:r>
      <w:r w:rsidRPr="00994220">
        <w:t>national</w:t>
      </w:r>
      <w:r w:rsidR="00047A2B">
        <w:t xml:space="preserve"> </w:t>
      </w:r>
      <w:r w:rsidRPr="00994220">
        <w:t>efforts</w:t>
      </w:r>
      <w:r w:rsidR="00047A2B">
        <w:t xml:space="preserve"> </w:t>
      </w:r>
      <w:r w:rsidRPr="00994220">
        <w:t>on</w:t>
      </w:r>
      <w:r w:rsidR="00047A2B">
        <w:t xml:space="preserve"> </w:t>
      </w:r>
      <w:r w:rsidRPr="00994220">
        <w:t>human</w:t>
      </w:r>
      <w:r w:rsidR="00047A2B">
        <w:t xml:space="preserve"> </w:t>
      </w:r>
      <w:r w:rsidRPr="00994220">
        <w:t>rights</w:t>
      </w:r>
      <w:r w:rsidR="00047A2B">
        <w:t xml:space="preserve"> </w:t>
      </w:r>
      <w:r w:rsidRPr="00994220">
        <w:t>to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parliament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Sweden.</w:t>
      </w:r>
      <w:r w:rsidR="00047A2B">
        <w:t xml:space="preserve"> </w:t>
      </w:r>
      <w:r w:rsidRPr="00994220">
        <w:t>It</w:t>
      </w:r>
      <w:r w:rsidR="00047A2B">
        <w:t xml:space="preserve"> </w:t>
      </w:r>
      <w:r w:rsidRPr="00994220">
        <w:t>also</w:t>
      </w:r>
      <w:r w:rsidR="00047A2B">
        <w:t xml:space="preserve"> </w:t>
      </w:r>
      <w:r w:rsidRPr="00994220">
        <w:t>notes</w:t>
      </w:r>
      <w:r w:rsidR="00047A2B">
        <w:t xml:space="preserve"> </w:t>
      </w:r>
      <w:r w:rsidRPr="00994220">
        <w:t>that,</w:t>
      </w:r>
      <w:r w:rsidR="00047A2B">
        <w:t xml:space="preserve"> </w:t>
      </w:r>
      <w:r w:rsidRPr="00994220">
        <w:t>in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strategy,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Government</w:t>
      </w:r>
      <w:r w:rsidR="00047A2B">
        <w:t xml:space="preserve"> </w:t>
      </w:r>
      <w:r w:rsidRPr="00994220">
        <w:t>made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assessment</w:t>
      </w:r>
      <w:r w:rsidR="00047A2B">
        <w:t xml:space="preserve"> </w:t>
      </w:r>
      <w:r w:rsidRPr="00994220">
        <w:t>that</w:t>
      </w:r>
      <w:r w:rsidR="00047A2B">
        <w:t xml:space="preserve"> </w:t>
      </w:r>
      <w:r w:rsidRPr="00994220">
        <w:t>a</w:t>
      </w:r>
      <w:r w:rsidR="00047A2B">
        <w:t xml:space="preserve"> </w:t>
      </w:r>
      <w:r w:rsidRPr="00994220">
        <w:t>national</w:t>
      </w:r>
      <w:r w:rsidR="00047A2B">
        <w:t xml:space="preserve"> </w:t>
      </w:r>
      <w:r w:rsidRPr="00994220">
        <w:t>institution</w:t>
      </w:r>
      <w:r w:rsidR="00047A2B">
        <w:t xml:space="preserve"> </w:t>
      </w:r>
      <w:r w:rsidRPr="00994220">
        <w:t>for</w:t>
      </w:r>
      <w:r w:rsidR="00047A2B">
        <w:t xml:space="preserve"> </w:t>
      </w:r>
      <w:r w:rsidRPr="00994220">
        <w:t>human</w:t>
      </w:r>
      <w:r w:rsidR="00047A2B">
        <w:t xml:space="preserve"> </w:t>
      </w:r>
      <w:r w:rsidRPr="00994220">
        <w:t>rights,</w:t>
      </w:r>
      <w:r w:rsidR="00047A2B">
        <w:t xml:space="preserve"> </w:t>
      </w:r>
      <w:r w:rsidRPr="00994220">
        <w:t>in</w:t>
      </w:r>
      <w:r w:rsidR="00047A2B">
        <w:t xml:space="preserve"> </w:t>
      </w:r>
      <w:r w:rsidRPr="00994220">
        <w:t>accordance</w:t>
      </w:r>
      <w:r w:rsidR="00047A2B">
        <w:t xml:space="preserve"> </w:t>
      </w:r>
      <w:r w:rsidRPr="00994220">
        <w:t>with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principles</w:t>
      </w:r>
      <w:r w:rsidR="00047A2B">
        <w:t xml:space="preserve"> </w:t>
      </w:r>
      <w:r w:rsidRPr="00994220">
        <w:t>relating</w:t>
      </w:r>
      <w:r w:rsidR="00047A2B">
        <w:t xml:space="preserve"> </w:t>
      </w:r>
      <w:r w:rsidRPr="00994220">
        <w:t>to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status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national</w:t>
      </w:r>
      <w:r w:rsidR="00047A2B">
        <w:t xml:space="preserve"> </w:t>
      </w:r>
      <w:r w:rsidRPr="00994220">
        <w:t>institutions</w:t>
      </w:r>
      <w:r w:rsidR="00047A2B">
        <w:t xml:space="preserve"> </w:t>
      </w:r>
      <w:r w:rsidRPr="00994220">
        <w:t>for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promotion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protection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human</w:t>
      </w:r>
      <w:r w:rsidR="00047A2B">
        <w:t xml:space="preserve"> </w:t>
      </w:r>
      <w:r w:rsidRPr="00994220">
        <w:t>rights</w:t>
      </w:r>
      <w:r w:rsidR="00047A2B">
        <w:t xml:space="preserve"> </w:t>
      </w:r>
      <w:r w:rsidRPr="00994220">
        <w:t>(the</w:t>
      </w:r>
      <w:r w:rsidR="00047A2B">
        <w:t xml:space="preserve"> </w:t>
      </w:r>
      <w:r w:rsidRPr="00994220">
        <w:t>Paris</w:t>
      </w:r>
      <w:r w:rsidR="00047A2B">
        <w:t xml:space="preserve"> </w:t>
      </w:r>
      <w:r w:rsidRPr="00994220">
        <w:t>Principles),</w:t>
      </w:r>
      <w:r w:rsidR="00047A2B">
        <w:t xml:space="preserve"> </w:t>
      </w:r>
      <w:r w:rsidRPr="00994220">
        <w:t>should</w:t>
      </w:r>
      <w:r w:rsidR="00047A2B">
        <w:t xml:space="preserve"> </w:t>
      </w:r>
      <w:r w:rsidRPr="00994220">
        <w:t>be</w:t>
      </w:r>
      <w:r w:rsidR="00047A2B">
        <w:t xml:space="preserve"> </w:t>
      </w:r>
      <w:r w:rsidRPr="00994220">
        <w:t>established</w:t>
      </w:r>
      <w:r w:rsidR="00047A2B">
        <w:t xml:space="preserve"> </w:t>
      </w:r>
      <w:r w:rsidRPr="00994220">
        <w:t>in</w:t>
      </w:r>
      <w:r w:rsidR="00047A2B">
        <w:t xml:space="preserve"> </w:t>
      </w:r>
      <w:r w:rsidRPr="00994220">
        <w:t>Sweden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that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parliament</w:t>
      </w:r>
      <w:r w:rsidR="00047A2B">
        <w:t xml:space="preserve"> </w:t>
      </w:r>
      <w:r w:rsidRPr="00994220">
        <w:t>should</w:t>
      </w:r>
      <w:r w:rsidR="00047A2B">
        <w:t xml:space="preserve"> </w:t>
      </w:r>
      <w:r w:rsidRPr="00994220">
        <w:t>be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body</w:t>
      </w:r>
      <w:r w:rsidR="00047A2B">
        <w:t xml:space="preserve"> </w:t>
      </w:r>
      <w:r w:rsidRPr="00994220">
        <w:t>responsible</w:t>
      </w:r>
      <w:r w:rsidR="00047A2B">
        <w:t xml:space="preserve"> </w:t>
      </w:r>
      <w:r w:rsidRPr="00994220">
        <w:t>for</w:t>
      </w:r>
      <w:r w:rsidR="00047A2B">
        <w:t xml:space="preserve"> </w:t>
      </w:r>
      <w:r w:rsidRPr="00994220">
        <w:t>such</w:t>
      </w:r>
      <w:r w:rsidR="00047A2B">
        <w:t xml:space="preserve"> </w:t>
      </w:r>
      <w:r w:rsidRPr="00994220">
        <w:t>an</w:t>
      </w:r>
      <w:r w:rsidR="00047A2B">
        <w:t xml:space="preserve"> </w:t>
      </w:r>
      <w:r w:rsidRPr="00994220">
        <w:t>institution.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Committee</w:t>
      </w:r>
      <w:r w:rsidR="00047A2B">
        <w:t xml:space="preserve"> </w:t>
      </w:r>
      <w:r w:rsidRPr="00994220">
        <w:t>further</w:t>
      </w:r>
      <w:r w:rsidR="00047A2B">
        <w:t xml:space="preserve"> </w:t>
      </w:r>
      <w:r w:rsidRPr="00994220">
        <w:t>notes</w:t>
      </w:r>
      <w:r w:rsidR="00047A2B">
        <w:t xml:space="preserve"> </w:t>
      </w:r>
      <w:r w:rsidRPr="00994220">
        <w:t>that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parliament</w:t>
      </w:r>
      <w:r w:rsidR="00047A2B">
        <w:t xml:space="preserve"> </w:t>
      </w:r>
      <w:r w:rsidRPr="00994220">
        <w:t>concluded</w:t>
      </w:r>
      <w:r w:rsidR="00047A2B">
        <w:t xml:space="preserve"> </w:t>
      </w:r>
      <w:r w:rsidRPr="00994220">
        <w:t>that</w:t>
      </w:r>
      <w:r w:rsidR="00047A2B">
        <w:t xml:space="preserve"> </w:t>
      </w:r>
      <w:r w:rsidRPr="00994220">
        <w:t>there</w:t>
      </w:r>
      <w:r w:rsidR="00047A2B">
        <w:t xml:space="preserve"> </w:t>
      </w:r>
      <w:r w:rsidRPr="00994220">
        <w:t>were</w:t>
      </w:r>
      <w:r w:rsidR="00047A2B">
        <w:t xml:space="preserve"> </w:t>
      </w:r>
      <w:r w:rsidRPr="00994220">
        <w:t>organizational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other</w:t>
      </w:r>
      <w:r w:rsidR="00047A2B">
        <w:t xml:space="preserve"> </w:t>
      </w:r>
      <w:r w:rsidRPr="00994220">
        <w:t>reasons</w:t>
      </w:r>
      <w:r w:rsidR="00047A2B">
        <w:t xml:space="preserve"> </w:t>
      </w:r>
      <w:r w:rsidRPr="00994220">
        <w:t>for</w:t>
      </w:r>
      <w:r w:rsidR="00047A2B">
        <w:t xml:space="preserve"> </w:t>
      </w:r>
      <w:r w:rsidRPr="00994220">
        <w:t>not</w:t>
      </w:r>
      <w:r w:rsidR="00047A2B">
        <w:t xml:space="preserve"> </w:t>
      </w:r>
      <w:r w:rsidRPr="00994220">
        <w:t>placing</w:t>
      </w:r>
      <w:r w:rsidR="00047A2B">
        <w:t xml:space="preserve"> </w:t>
      </w:r>
      <w:r w:rsidRPr="00994220">
        <w:t>a</w:t>
      </w:r>
      <w:r w:rsidR="00047A2B">
        <w:t xml:space="preserve"> </w:t>
      </w:r>
      <w:r w:rsidRPr="00994220">
        <w:t>Swedish</w:t>
      </w:r>
      <w:r w:rsidR="00047A2B">
        <w:t xml:space="preserve"> </w:t>
      </w:r>
      <w:r w:rsidRPr="00994220">
        <w:t>institution</w:t>
      </w:r>
      <w:r w:rsidR="00047A2B">
        <w:t xml:space="preserve"> </w:t>
      </w:r>
      <w:r w:rsidRPr="00994220">
        <w:t>for</w:t>
      </w:r>
      <w:r w:rsidR="00047A2B">
        <w:t xml:space="preserve"> </w:t>
      </w:r>
      <w:r w:rsidRPr="00994220">
        <w:t>human</w:t>
      </w:r>
      <w:r w:rsidR="00047A2B">
        <w:t xml:space="preserve"> </w:t>
      </w:r>
      <w:r w:rsidRPr="00994220">
        <w:t>rights</w:t>
      </w:r>
      <w:r w:rsidR="00047A2B">
        <w:t xml:space="preserve"> </w:t>
      </w:r>
      <w:r w:rsidRPr="00994220">
        <w:t>under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parliament.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national</w:t>
      </w:r>
      <w:r w:rsidR="00047A2B">
        <w:t xml:space="preserve"> </w:t>
      </w:r>
      <w:r w:rsidRPr="00994220">
        <w:t>human</w:t>
      </w:r>
      <w:r w:rsidR="00047A2B">
        <w:t xml:space="preserve"> </w:t>
      </w:r>
      <w:r w:rsidRPr="00994220">
        <w:t>rights</w:t>
      </w:r>
      <w:r w:rsidR="00047A2B">
        <w:t xml:space="preserve"> </w:t>
      </w:r>
      <w:r w:rsidRPr="00994220">
        <w:t>institution</w:t>
      </w:r>
      <w:r w:rsidR="00047A2B">
        <w:t xml:space="preserve"> </w:t>
      </w:r>
      <w:r w:rsidRPr="00994220">
        <w:t>was</w:t>
      </w:r>
      <w:r w:rsidR="00047A2B">
        <w:t xml:space="preserve"> </w:t>
      </w:r>
      <w:r w:rsidRPr="00994220">
        <w:t>therefore</w:t>
      </w:r>
      <w:r w:rsidR="00047A2B">
        <w:t xml:space="preserve"> </w:t>
      </w:r>
      <w:r w:rsidRPr="00994220">
        <w:t>created</w:t>
      </w:r>
      <w:r w:rsidR="00047A2B">
        <w:t xml:space="preserve"> </w:t>
      </w:r>
      <w:r w:rsidRPr="00994220">
        <w:t>under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Government</w:t>
      </w:r>
      <w:r w:rsidR="00047A2B">
        <w:t xml:space="preserve"> </w:t>
      </w:r>
      <w:r w:rsidRPr="00994220">
        <w:t>through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law</w:t>
      </w:r>
      <w:r w:rsidR="00047A2B">
        <w:t xml:space="preserve"> </w:t>
      </w:r>
      <w:r w:rsidRPr="00994220">
        <w:t>adopted</w:t>
      </w:r>
      <w:r w:rsidR="00047A2B">
        <w:t xml:space="preserve"> </w:t>
      </w:r>
      <w:r w:rsidRPr="00994220">
        <w:t>in</w:t>
      </w:r>
      <w:r w:rsidR="00047A2B">
        <w:t xml:space="preserve"> </w:t>
      </w:r>
      <w:r w:rsidRPr="00994220">
        <w:t>June</w:t>
      </w:r>
      <w:r w:rsidR="00047A2B">
        <w:t xml:space="preserve"> </w:t>
      </w:r>
      <w:r w:rsidRPr="00994220">
        <w:t>2021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will</w:t>
      </w:r>
      <w:r w:rsidR="00047A2B">
        <w:t xml:space="preserve"> </w:t>
      </w:r>
      <w:r w:rsidRPr="00994220">
        <w:t>begin</w:t>
      </w:r>
      <w:r w:rsidR="00047A2B">
        <w:t xml:space="preserve"> </w:t>
      </w:r>
      <w:r w:rsidRPr="00994220">
        <w:t>operation</w:t>
      </w:r>
      <w:r w:rsidR="00047A2B">
        <w:t xml:space="preserve"> </w:t>
      </w:r>
      <w:r w:rsidRPr="00994220">
        <w:t>in</w:t>
      </w:r>
      <w:r w:rsidR="00047A2B">
        <w:t xml:space="preserve"> </w:t>
      </w:r>
      <w:r w:rsidRPr="00994220">
        <w:t>January</w:t>
      </w:r>
      <w:r w:rsidR="00047A2B">
        <w:t xml:space="preserve"> </w:t>
      </w:r>
      <w:r w:rsidRPr="00994220">
        <w:t>2022.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Committee</w:t>
      </w:r>
      <w:r w:rsidR="00047A2B">
        <w:t xml:space="preserve"> </w:t>
      </w:r>
      <w:r w:rsidRPr="00994220">
        <w:t>welcomes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clarifications</w:t>
      </w:r>
      <w:r w:rsidR="00047A2B">
        <w:t xml:space="preserve"> </w:t>
      </w:r>
      <w:r w:rsidRPr="00994220">
        <w:t>that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national</w:t>
      </w:r>
      <w:r w:rsidR="00047A2B">
        <w:t xml:space="preserve"> </w:t>
      </w:r>
      <w:r w:rsidRPr="00994220">
        <w:t>human</w:t>
      </w:r>
      <w:r w:rsidR="00047A2B">
        <w:t xml:space="preserve"> </w:t>
      </w:r>
      <w:r w:rsidRPr="00994220">
        <w:t>rights</w:t>
      </w:r>
      <w:r w:rsidR="00047A2B">
        <w:t xml:space="preserve"> </w:t>
      </w:r>
      <w:r w:rsidRPr="00994220">
        <w:t>institution</w:t>
      </w:r>
      <w:r w:rsidR="00047A2B">
        <w:t xml:space="preserve"> </w:t>
      </w:r>
      <w:r w:rsidRPr="00994220">
        <w:t>has</w:t>
      </w:r>
      <w:r w:rsidR="00047A2B">
        <w:t xml:space="preserve"> </w:t>
      </w:r>
      <w:r w:rsidRPr="00994220">
        <w:t>been</w:t>
      </w:r>
      <w:r w:rsidR="00047A2B">
        <w:t xml:space="preserve"> </w:t>
      </w:r>
      <w:r w:rsidRPr="00994220">
        <w:t>created</w:t>
      </w:r>
      <w:r w:rsidR="00047A2B">
        <w:t xml:space="preserve"> </w:t>
      </w:r>
      <w:r w:rsidRPr="00994220">
        <w:t>by</w:t>
      </w:r>
      <w:r w:rsidR="00047A2B">
        <w:t xml:space="preserve"> </w:t>
      </w:r>
      <w:r w:rsidRPr="00994220">
        <w:t>law,</w:t>
      </w:r>
      <w:r w:rsidR="00047A2B">
        <w:t xml:space="preserve"> </w:t>
      </w:r>
      <w:r w:rsidRPr="00994220">
        <w:t>that</w:t>
      </w:r>
      <w:r w:rsidR="00047A2B">
        <w:t xml:space="preserve"> </w:t>
      </w:r>
      <w:r w:rsidRPr="00994220">
        <w:t>it</w:t>
      </w:r>
      <w:r w:rsidR="00047A2B">
        <w:t xml:space="preserve"> </w:t>
      </w:r>
      <w:r w:rsidRPr="00994220">
        <w:t>will</w:t>
      </w:r>
      <w:r w:rsidR="00047A2B">
        <w:t xml:space="preserve"> </w:t>
      </w:r>
      <w:r w:rsidRPr="00994220">
        <w:t>have</w:t>
      </w:r>
      <w:r w:rsidR="00047A2B">
        <w:t xml:space="preserve"> </w:t>
      </w:r>
      <w:r w:rsidRPr="00994220">
        <w:t>an</w:t>
      </w:r>
      <w:r w:rsidR="00047A2B">
        <w:t xml:space="preserve"> </w:t>
      </w:r>
      <w:r w:rsidRPr="00994220">
        <w:t>independently</w:t>
      </w:r>
      <w:r w:rsidR="00047A2B">
        <w:t xml:space="preserve"> </w:t>
      </w:r>
      <w:r w:rsidRPr="00994220">
        <w:t>appointed</w:t>
      </w:r>
      <w:r w:rsidR="00047A2B">
        <w:t xml:space="preserve"> </w:t>
      </w:r>
      <w:r w:rsidRPr="00994220">
        <w:t>board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that</w:t>
      </w:r>
      <w:r w:rsidR="00047A2B">
        <w:t xml:space="preserve"> </w:t>
      </w:r>
      <w:r w:rsidRPr="00994220">
        <w:t>it</w:t>
      </w:r>
      <w:r w:rsidR="00047A2B">
        <w:t xml:space="preserve"> </w:t>
      </w:r>
      <w:r w:rsidRPr="00994220">
        <w:t>will</w:t>
      </w:r>
      <w:r w:rsidR="00047A2B">
        <w:t xml:space="preserve"> </w:t>
      </w:r>
      <w:r w:rsidRPr="00994220">
        <w:t>initially</w:t>
      </w:r>
      <w:r w:rsidR="00047A2B">
        <w:t xml:space="preserve"> </w:t>
      </w:r>
      <w:r w:rsidRPr="00994220">
        <w:t>be</w:t>
      </w:r>
      <w:r w:rsidR="00047A2B">
        <w:t xml:space="preserve"> </w:t>
      </w:r>
      <w:r w:rsidRPr="00994220">
        <w:t>allocated</w:t>
      </w:r>
      <w:r w:rsidR="00047A2B">
        <w:t xml:space="preserve"> </w:t>
      </w:r>
      <w:r w:rsidRPr="00994220">
        <w:t>SKr</w:t>
      </w:r>
      <w:r w:rsidR="00047A2B">
        <w:t xml:space="preserve"> </w:t>
      </w:r>
      <w:r w:rsidRPr="00994220">
        <w:t>50</w:t>
      </w:r>
      <w:r w:rsidR="00047A2B">
        <w:t xml:space="preserve"> </w:t>
      </w:r>
      <w:r w:rsidRPr="00994220">
        <w:t>million</w:t>
      </w:r>
      <w:r w:rsidR="00047A2B">
        <w:t xml:space="preserve"> </w:t>
      </w:r>
      <w:r w:rsidRPr="00994220">
        <w:t>in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government</w:t>
      </w:r>
      <w:r w:rsidR="00047A2B">
        <w:t xml:space="preserve"> </w:t>
      </w:r>
      <w:r w:rsidRPr="00994220">
        <w:t>budget</w:t>
      </w:r>
      <w:r w:rsidR="00047A2B">
        <w:t xml:space="preserve"> </w:t>
      </w:r>
      <w:r w:rsidRPr="00994220">
        <w:t>in</w:t>
      </w:r>
      <w:r w:rsidR="00047A2B">
        <w:t xml:space="preserve"> </w:t>
      </w:r>
      <w:r w:rsidRPr="00994220">
        <w:t>2022.</w:t>
      </w:r>
    </w:p>
    <w:p w14:paraId="7D004C0B" w14:textId="6E13112B" w:rsidR="009C6799" w:rsidRPr="00994220" w:rsidRDefault="009C6799" w:rsidP="009C6799">
      <w:pPr>
        <w:pStyle w:val="SingleTxtG"/>
        <w:rPr>
          <w:b/>
          <w:bCs/>
        </w:rPr>
      </w:pPr>
      <w:r w:rsidRPr="00994220">
        <w:t>7.</w:t>
      </w:r>
      <w:r w:rsidRPr="00994220">
        <w:tab/>
      </w:r>
      <w:r w:rsidRPr="00994220">
        <w:rPr>
          <w:b/>
          <w:bCs/>
        </w:rPr>
        <w:t>The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Committee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recommends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that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the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State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party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periodically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review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the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relevant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legislation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governing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the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institution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with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a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view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to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continuously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strengthening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the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institution’s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mandate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and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independence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in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order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to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ensure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that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it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can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operate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effectively.</w:t>
      </w:r>
      <w:r w:rsidR="00047A2B">
        <w:rPr>
          <w:b/>
          <w:bCs/>
        </w:rPr>
        <w:t xml:space="preserve"> </w:t>
      </w:r>
    </w:p>
    <w:p w14:paraId="0F72444D" w14:textId="5A07A57D" w:rsidR="009C6799" w:rsidRPr="00994220" w:rsidRDefault="009C6799" w:rsidP="009C679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outlineLvl w:val="2"/>
        <w:rPr>
          <w:b/>
          <w:sz w:val="24"/>
        </w:rPr>
      </w:pPr>
      <w:r w:rsidRPr="00994220">
        <w:rPr>
          <w:b/>
          <w:sz w:val="24"/>
        </w:rPr>
        <w:tab/>
        <w:t>C.</w:t>
      </w:r>
      <w:r w:rsidRPr="00994220">
        <w:rPr>
          <w:b/>
          <w:sz w:val="24"/>
        </w:rPr>
        <w:tab/>
      </w:r>
      <w:r w:rsidRPr="00994220">
        <w:rPr>
          <w:b/>
          <w:bCs/>
          <w:sz w:val="24"/>
        </w:rPr>
        <w:t>Principal</w:t>
      </w:r>
      <w:r w:rsidR="00047A2B">
        <w:rPr>
          <w:b/>
          <w:bCs/>
          <w:sz w:val="24"/>
        </w:rPr>
        <w:t xml:space="preserve"> </w:t>
      </w:r>
      <w:r w:rsidRPr="00994220">
        <w:rPr>
          <w:b/>
          <w:bCs/>
          <w:sz w:val="24"/>
        </w:rPr>
        <w:t>subjects</w:t>
      </w:r>
      <w:r w:rsidR="00047A2B">
        <w:rPr>
          <w:b/>
          <w:bCs/>
          <w:sz w:val="24"/>
        </w:rPr>
        <w:t xml:space="preserve"> </w:t>
      </w:r>
      <w:r w:rsidRPr="00994220">
        <w:rPr>
          <w:b/>
          <w:bCs/>
          <w:sz w:val="24"/>
        </w:rPr>
        <w:t>of</w:t>
      </w:r>
      <w:r w:rsidR="00047A2B">
        <w:rPr>
          <w:b/>
          <w:bCs/>
          <w:sz w:val="24"/>
        </w:rPr>
        <w:t xml:space="preserve"> </w:t>
      </w:r>
      <w:r w:rsidRPr="00994220">
        <w:rPr>
          <w:b/>
          <w:bCs/>
          <w:sz w:val="24"/>
        </w:rPr>
        <w:t>concern</w:t>
      </w:r>
      <w:r w:rsidR="00047A2B">
        <w:rPr>
          <w:b/>
          <w:bCs/>
          <w:sz w:val="24"/>
        </w:rPr>
        <w:t xml:space="preserve"> </w:t>
      </w:r>
      <w:r w:rsidRPr="00994220">
        <w:rPr>
          <w:b/>
          <w:bCs/>
          <w:sz w:val="24"/>
        </w:rPr>
        <w:t>and</w:t>
      </w:r>
      <w:r w:rsidR="00047A2B">
        <w:rPr>
          <w:b/>
          <w:bCs/>
          <w:sz w:val="24"/>
        </w:rPr>
        <w:t xml:space="preserve"> </w:t>
      </w:r>
      <w:r w:rsidRPr="00994220">
        <w:rPr>
          <w:b/>
          <w:bCs/>
          <w:sz w:val="24"/>
        </w:rPr>
        <w:t>recommendations</w:t>
      </w:r>
    </w:p>
    <w:p w14:paraId="2DB2ECA8" w14:textId="18F2C371" w:rsidR="009C6799" w:rsidRPr="00994220" w:rsidRDefault="009C6799" w:rsidP="009C6799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</w:rPr>
      </w:pPr>
      <w:r w:rsidRPr="00994220">
        <w:rPr>
          <w:b/>
        </w:rPr>
        <w:tab/>
      </w:r>
      <w:r w:rsidRPr="00994220">
        <w:rPr>
          <w:b/>
        </w:rPr>
        <w:tab/>
      </w:r>
      <w:r w:rsidRPr="00994220">
        <w:rPr>
          <w:b/>
          <w:bCs/>
        </w:rPr>
        <w:t>Pending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follow-up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issues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from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the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previous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reporting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cycle</w:t>
      </w:r>
    </w:p>
    <w:p w14:paraId="442DA2BA" w14:textId="4B130538" w:rsidR="009C6799" w:rsidRPr="00994220" w:rsidRDefault="009C6799" w:rsidP="009C6799">
      <w:pPr>
        <w:pStyle w:val="SingleTxtG"/>
        <w:rPr>
          <w:lang w:eastAsia="ko-KR"/>
        </w:rPr>
      </w:pPr>
      <w:r w:rsidRPr="00994220">
        <w:t>8.</w:t>
      </w:r>
      <w:r w:rsidRPr="00994220">
        <w:tab/>
        <w:t>In</w:t>
      </w:r>
      <w:r w:rsidR="00047A2B">
        <w:t xml:space="preserve"> </w:t>
      </w:r>
      <w:r w:rsidRPr="00994220">
        <w:t>its</w:t>
      </w:r>
      <w:r w:rsidR="00047A2B">
        <w:t xml:space="preserve"> </w:t>
      </w:r>
      <w:r w:rsidRPr="00994220">
        <w:t>previous</w:t>
      </w:r>
      <w:r w:rsidR="00047A2B">
        <w:t xml:space="preserve"> </w:t>
      </w:r>
      <w:r w:rsidRPr="00994220">
        <w:t>concluding</w:t>
      </w:r>
      <w:r w:rsidR="00047A2B">
        <w:t xml:space="preserve"> </w:t>
      </w:r>
      <w:r w:rsidRPr="00994220">
        <w:t>observations,</w:t>
      </w:r>
      <w:r w:rsidRPr="00994220">
        <w:rPr>
          <w:rStyle w:val="FootnoteReference"/>
        </w:rPr>
        <w:footnoteReference w:id="4"/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Committee</w:t>
      </w:r>
      <w:r w:rsidR="00047A2B">
        <w:t xml:space="preserve"> </w:t>
      </w:r>
      <w:r w:rsidRPr="00994220">
        <w:t>requested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State</w:t>
      </w:r>
      <w:r w:rsidR="00047A2B">
        <w:t xml:space="preserve"> </w:t>
      </w:r>
      <w:r w:rsidRPr="00994220">
        <w:t>party</w:t>
      </w:r>
      <w:r w:rsidR="00047A2B">
        <w:t xml:space="preserve"> </w:t>
      </w:r>
      <w:r w:rsidRPr="00994220">
        <w:t>to</w:t>
      </w:r>
      <w:r w:rsidR="00047A2B">
        <w:t xml:space="preserve"> </w:t>
      </w:r>
      <w:r w:rsidRPr="00994220">
        <w:t>provide</w:t>
      </w:r>
      <w:r w:rsidR="00047A2B">
        <w:t xml:space="preserve"> </w:t>
      </w:r>
      <w:r w:rsidRPr="00994220">
        <w:t>information</w:t>
      </w:r>
      <w:r w:rsidR="00047A2B">
        <w:t xml:space="preserve"> </w:t>
      </w:r>
      <w:r w:rsidRPr="00994220">
        <w:t>on</w:t>
      </w:r>
      <w:r w:rsidR="00047A2B">
        <w:t xml:space="preserve"> </w:t>
      </w:r>
      <w:r w:rsidRPr="00994220">
        <w:t>its</w:t>
      </w:r>
      <w:r w:rsidR="00047A2B">
        <w:t xml:space="preserve"> </w:t>
      </w:r>
      <w:r w:rsidRPr="00994220">
        <w:t>implementation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the</w:t>
      </w:r>
      <w:r w:rsidR="00047A2B">
        <w:t xml:space="preserve"> </w:t>
      </w:r>
      <w:r w:rsidRPr="00994220">
        <w:t>Committee’s</w:t>
      </w:r>
      <w:r w:rsidR="00047A2B">
        <w:t xml:space="preserve"> </w:t>
      </w:r>
      <w:r w:rsidRPr="00994220">
        <w:t>recommendations</w:t>
      </w:r>
      <w:r w:rsidR="00047A2B">
        <w:t xml:space="preserve"> </w:t>
      </w:r>
      <w:r w:rsidRPr="00994220">
        <w:t>on:</w:t>
      </w:r>
      <w:r w:rsidR="00047A2B">
        <w:t xml:space="preserve"> </w:t>
      </w:r>
      <w:r w:rsidRPr="00994220">
        <w:t>fundamental</w:t>
      </w:r>
      <w:r w:rsidR="00047A2B">
        <w:t xml:space="preserve"> </w:t>
      </w:r>
      <w:r w:rsidRPr="00994220">
        <w:t>legal</w:t>
      </w:r>
      <w:r w:rsidR="00047A2B">
        <w:t xml:space="preserve"> </w:t>
      </w:r>
      <w:r w:rsidRPr="00994220">
        <w:t>safeguards</w:t>
      </w:r>
      <w:r w:rsidR="00047A2B">
        <w:t xml:space="preserve"> </w:t>
      </w:r>
      <w:r w:rsidRPr="00994220">
        <w:t>for</w:t>
      </w:r>
      <w:r w:rsidR="00047A2B">
        <w:t xml:space="preserve"> </w:t>
      </w:r>
      <w:r w:rsidRPr="00994220">
        <w:t>persons</w:t>
      </w:r>
      <w:r w:rsidR="00047A2B">
        <w:t xml:space="preserve"> </w:t>
      </w:r>
      <w:r w:rsidRPr="00994220">
        <w:t>deprived</w:t>
      </w:r>
      <w:r w:rsidR="00047A2B">
        <w:t xml:space="preserve"> </w:t>
      </w:r>
      <w:r w:rsidRPr="00994220">
        <w:t>of</w:t>
      </w:r>
      <w:r w:rsidR="00047A2B">
        <w:t xml:space="preserve"> </w:t>
      </w:r>
      <w:r w:rsidRPr="00994220">
        <w:t>their</w:t>
      </w:r>
      <w:r w:rsidR="00047A2B">
        <w:t xml:space="preserve"> </w:t>
      </w:r>
      <w:r w:rsidRPr="00994220">
        <w:t>liberty;</w:t>
      </w:r>
      <w:r w:rsidR="00047A2B"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imposition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restrictions,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including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isolation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detention;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investigation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acts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torture,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ill-treatment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crimes.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While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with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appreciation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replies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submitted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party</w:t>
      </w:r>
      <w:r w:rsidRPr="00994220">
        <w:rPr>
          <w:rStyle w:val="FootnoteReference"/>
          <w:lang w:eastAsia="ko-KR"/>
        </w:rPr>
        <w:footnoteReference w:id="5"/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referring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letter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dated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29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August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2016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from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Committee’s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Rapporteur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follow-up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concluding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observations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addressed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Permanent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Representative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Sweden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lastRenderedPageBreak/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United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Nations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Office</w:t>
      </w:r>
      <w:r w:rsidR="00047A2B">
        <w:rPr>
          <w:lang w:eastAsia="ko-KR"/>
        </w:rPr>
        <w:t xml:space="preserve"> </w:t>
      </w:r>
      <w:r w:rsidRPr="00994220">
        <w:t>and</w:t>
      </w:r>
      <w:r w:rsidR="00047A2B">
        <w:t xml:space="preserve"> </w:t>
      </w:r>
      <w:r w:rsidRPr="00994220">
        <w:t>other</w:t>
      </w:r>
      <w:r w:rsidR="00047A2B">
        <w:t xml:space="preserve"> </w:t>
      </w:r>
      <w:r w:rsidRPr="00994220">
        <w:t>international</w:t>
      </w:r>
      <w:r w:rsidR="00047A2B">
        <w:t xml:space="preserve"> </w:t>
      </w:r>
      <w:r w:rsidRPr="00994220">
        <w:t>organizations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Geneva,</w:t>
      </w:r>
      <w:r w:rsidRPr="00994220">
        <w:rPr>
          <w:rStyle w:val="FootnoteReference"/>
          <w:lang w:eastAsia="ko-KR"/>
        </w:rPr>
        <w:footnoteReference w:id="6"/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considers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recommendations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set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out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paragraphs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7,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8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(a),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14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15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(a)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previous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concluding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observations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have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yet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been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fully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implemented.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Those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issues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covered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paragraphs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12,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16,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31,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33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(b)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present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concluding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observations.</w:t>
      </w:r>
    </w:p>
    <w:p w14:paraId="25C88E2B" w14:textId="3AB98F3C" w:rsidR="009C6799" w:rsidRPr="00994220" w:rsidRDefault="009C6799" w:rsidP="009C6799">
      <w:pPr>
        <w:pStyle w:val="H23G"/>
        <w:rPr>
          <w:lang w:eastAsia="ko-KR"/>
        </w:rPr>
      </w:pPr>
      <w:r w:rsidRPr="00994220">
        <w:rPr>
          <w:lang w:eastAsia="ko-KR"/>
        </w:rPr>
        <w:tab/>
      </w:r>
      <w:r w:rsidRPr="00994220">
        <w:rPr>
          <w:lang w:eastAsia="ko-KR"/>
        </w:rPr>
        <w:tab/>
        <w:t>Definition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criminalization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torture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statute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limitations</w:t>
      </w:r>
    </w:p>
    <w:p w14:paraId="1A02BDDF" w14:textId="3D4227BE" w:rsidR="009C6799" w:rsidRPr="00994220" w:rsidRDefault="009C6799" w:rsidP="009C6799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Malgun Gothic"/>
          <w:lang w:eastAsia="ko-KR"/>
        </w:rPr>
      </w:pPr>
      <w:r w:rsidRPr="00994220">
        <w:rPr>
          <w:rFonts w:eastAsia="Malgun Gothic"/>
          <w:lang w:eastAsia="ko-KR"/>
        </w:rPr>
        <w:t>9.</w:t>
      </w:r>
      <w:r w:rsidRPr="00994220">
        <w:rPr>
          <w:rFonts w:eastAsia="Malgun Gothic"/>
          <w:lang w:eastAsia="ko-KR"/>
        </w:rPr>
        <w:tab/>
        <w:t>With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reference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to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its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previous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concluding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observations,</w:t>
      </w:r>
      <w:r w:rsidRPr="00994220">
        <w:rPr>
          <w:rStyle w:val="FootnoteReference"/>
          <w:rFonts w:eastAsia="Malgun Gothic"/>
          <w:lang w:eastAsia="ko-KR"/>
        </w:rPr>
        <w:footnoteReference w:id="7"/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Committee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remains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concerned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crime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of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torture,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defined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article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1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of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Convention,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still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has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not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been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incorporated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into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domestic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legislation;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understanding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of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Government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there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no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obligation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under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Convention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for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State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party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to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incorporate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specific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provision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torture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into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its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domestic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legislation,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and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view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of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Sweden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remains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Convention’s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requirements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are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fully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met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by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country’s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laws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and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regulations,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including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State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party’s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penal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legislation.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Committee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takes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note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of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delegation’s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assertion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torture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can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be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defined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under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several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categories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under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country’s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laws,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for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example: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assault,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bodily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injury,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sexual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offences,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kidnapping,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crimes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against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humanity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or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war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crimes.</w:t>
      </w:r>
      <w:r w:rsidRPr="00994220">
        <w:rPr>
          <w:rStyle w:val="FootnoteReference"/>
          <w:rFonts w:eastAsia="Malgun Gothic"/>
          <w:lang w:eastAsia="ko-KR"/>
        </w:rPr>
        <w:footnoteReference w:id="8"/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also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notes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there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have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been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recent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legal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changes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to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sentences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for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crimes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could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constitute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torture,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and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maximum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limits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for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sentencing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have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increased.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Committee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encouraged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ministerial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memorandum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issued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September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2015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was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proposed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torture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be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designated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specific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crime,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memorandum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has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been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circulated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and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proposal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remains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under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consideration.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also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encouraged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there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specific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reference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to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article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1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of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Convention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legal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amendments,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which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will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enter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into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force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1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January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2022,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expand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jurisdiction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for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certain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crimes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could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constitute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torture.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Committee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notes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envisioned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statute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of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limitations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for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certain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crimes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will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be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abolished,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and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report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this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due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to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be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published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17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November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2021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(arts.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1–2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and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4).</w:t>
      </w:r>
    </w:p>
    <w:p w14:paraId="763ADAF7" w14:textId="73826963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rFonts w:eastAsia="Malgun Gothic"/>
          <w:lang w:eastAsia="ko-KR"/>
        </w:rPr>
        <w:t>10</w:t>
      </w:r>
      <w:r w:rsidRPr="00994220">
        <w:rPr>
          <w:lang w:eastAsia="ko-KR"/>
        </w:rPr>
        <w:t>.</w:t>
      </w:r>
      <w:r w:rsidRPr="00994220">
        <w:rPr>
          <w:lang w:eastAsia="ko-KR"/>
        </w:rPr>
        <w:tab/>
      </w:r>
      <w:r w:rsidRPr="00994220">
        <w:rPr>
          <w:b/>
          <w:bCs/>
          <w:lang w:eastAsia="ko-KR"/>
        </w:rPr>
        <w:t>While</w:t>
      </w:r>
      <w:r w:rsidR="00047A2B">
        <w:rPr>
          <w:lang w:eastAsia="ko-KR"/>
        </w:rPr>
        <w:t xml:space="preserve"> </w:t>
      </w:r>
      <w:r w:rsidRPr="00994220">
        <w:rPr>
          <w:b/>
          <w:lang w:eastAsia="ko-KR"/>
        </w:rPr>
        <w:t>noting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advances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have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been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made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this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regard,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Committee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reiterates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its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recommendation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party</w:t>
      </w:r>
      <w:r w:rsidR="00047A2B">
        <w:rPr>
          <w:b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promptly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define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criminalize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torture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domestic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law,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full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compliance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with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articles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1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4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Convention.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this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regard,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Committee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draws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attention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party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general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comment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No.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2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(2007)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implementation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article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2,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which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Committee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states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naming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defining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offence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torture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accordance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with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terms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Convention,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distinct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from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other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crimes,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States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parties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will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directly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advance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overarching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aim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Convention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prevent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torture,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inter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alia,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alerting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everyone,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including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perpetrators,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victims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public,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special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gravity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crime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torture,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strengthening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deterrent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effect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prohibition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itself.</w:t>
      </w:r>
    </w:p>
    <w:p w14:paraId="4AEF3675" w14:textId="3B1BF501" w:rsidR="009C6799" w:rsidRPr="00994220" w:rsidRDefault="009C6799" w:rsidP="009C6799">
      <w:pPr>
        <w:pStyle w:val="H23G"/>
        <w:rPr>
          <w:lang w:eastAsia="ko-KR"/>
        </w:rPr>
      </w:pPr>
      <w:r w:rsidRPr="00994220">
        <w:rPr>
          <w:lang w:eastAsia="ko-KR"/>
        </w:rPr>
        <w:tab/>
      </w:r>
      <w:r w:rsidRPr="00994220">
        <w:rPr>
          <w:lang w:eastAsia="ko-KR"/>
        </w:rPr>
        <w:tab/>
        <w:t>Fundamental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legal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safeguards</w:t>
      </w:r>
      <w:r w:rsidR="00047A2B">
        <w:rPr>
          <w:lang w:eastAsia="ko-KR"/>
        </w:rPr>
        <w:t xml:space="preserve"> </w:t>
      </w:r>
    </w:p>
    <w:p w14:paraId="560902BD" w14:textId="10607322" w:rsidR="009C6799" w:rsidRPr="00994220" w:rsidRDefault="009C6799" w:rsidP="009C6799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Malgun Gothic"/>
          <w:lang w:eastAsia="ko-KR"/>
        </w:rPr>
      </w:pPr>
      <w:r w:rsidRPr="00994220">
        <w:rPr>
          <w:rFonts w:eastAsia="Malgun Gothic"/>
          <w:lang w:eastAsia="ko-KR"/>
        </w:rPr>
        <w:t>11.</w:t>
      </w:r>
      <w:r w:rsidRPr="00994220">
        <w:rPr>
          <w:rFonts w:eastAsia="Malgun Gothic"/>
          <w:lang w:eastAsia="ko-KR"/>
        </w:rPr>
        <w:tab/>
        <w:t>While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appreciating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efforts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made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by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State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party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to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ensure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procedural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safeguards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are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fully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satisfied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practice,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especially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regard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to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minors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and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adults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detention,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Committee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remains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concerned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persons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deprived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of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their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liberty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are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not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always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afforded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all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fundamental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legal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safeguards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from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very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outset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of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deprivation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of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liberty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practice,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such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rights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to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access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to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lawyer,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to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independent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medical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examination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and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to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notify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relative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or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person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of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their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choice.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Committee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concerned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reports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right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of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notification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of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custody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may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be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unduly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delayed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interests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of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investigation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and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access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to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health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care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for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persons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in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police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custody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can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be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delayed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for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several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days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following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arrest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given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that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exam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takes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place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on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the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first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working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day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following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arrest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(art.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2).</w:t>
      </w:r>
    </w:p>
    <w:p w14:paraId="32BAFD81" w14:textId="2939C514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lang w:eastAsia="ko-KR"/>
        </w:rPr>
        <w:t>1</w:t>
      </w:r>
      <w:r w:rsidRPr="00994220">
        <w:rPr>
          <w:rFonts w:eastAsia="Malgun Gothic"/>
          <w:lang w:eastAsia="ko-KR"/>
        </w:rPr>
        <w:t>2</w:t>
      </w:r>
      <w:r w:rsidRPr="00994220">
        <w:rPr>
          <w:lang w:eastAsia="ko-KR"/>
        </w:rPr>
        <w:t>.</w:t>
      </w:r>
      <w:r w:rsidRPr="00994220">
        <w:rPr>
          <w:lang w:eastAsia="ko-KR"/>
        </w:rPr>
        <w:tab/>
      </w:r>
      <w:r w:rsidRPr="00994220">
        <w:rPr>
          <w:b/>
          <w:lang w:eastAsia="ko-KR"/>
        </w:rPr>
        <w:t>Recalling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its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general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comment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No.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2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(2007),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Committee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recommends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party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take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measures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necessary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ensure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all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persons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deprived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their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liberty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afforded,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both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law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practice,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all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fundamental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legal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safeguards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from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very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outset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deprivation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liberty,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particular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right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access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lawyer,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lastRenderedPageBreak/>
        <w:t>right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medical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examination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independent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doctor,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preferably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their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own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choice,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right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notify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relative,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accordance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with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international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standards.</w:t>
      </w:r>
    </w:p>
    <w:p w14:paraId="4A9C0678" w14:textId="467CC605" w:rsidR="009C6799" w:rsidRPr="00994220" w:rsidRDefault="009C6799" w:rsidP="009C6799">
      <w:pPr>
        <w:pStyle w:val="H23G"/>
        <w:rPr>
          <w:lang w:eastAsia="ko-KR"/>
        </w:rPr>
      </w:pPr>
      <w:r w:rsidRPr="00994220">
        <w:rPr>
          <w:lang w:eastAsia="ko-KR"/>
        </w:rPr>
        <w:tab/>
      </w:r>
      <w:r w:rsidRPr="00994220">
        <w:rPr>
          <w:lang w:eastAsia="ko-KR"/>
        </w:rPr>
        <w:tab/>
        <w:t>Pretrial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detention</w:t>
      </w:r>
    </w:p>
    <w:p w14:paraId="5EB103CE" w14:textId="4D7C763C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rFonts w:eastAsia="Malgun Gothic"/>
          <w:lang w:eastAsia="ko-KR"/>
        </w:rPr>
        <w:t>13.</w:t>
      </w:r>
      <w:r w:rsidRPr="00994220">
        <w:rPr>
          <w:rFonts w:eastAsia="Malgun Gothic"/>
          <w:lang w:eastAsia="ko-KR"/>
        </w:rPr>
        <w:tab/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with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concern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pretrial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detention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still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frequently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used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Sweden,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according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information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contained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party’s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report,</w:t>
      </w:r>
      <w:r w:rsidRPr="00994220">
        <w:rPr>
          <w:rStyle w:val="FootnoteReference"/>
          <w:lang w:eastAsia="ko-KR"/>
        </w:rPr>
        <w:footnoteReference w:id="9"/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use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increased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5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between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2014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2017.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Nevertheless,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positive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development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maximum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time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limits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pretrial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detention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now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stipulated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law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–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nine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months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adults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three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months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minors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–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with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further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extensions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permitted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only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exceptional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circumstances,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decrease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pretrial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detention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would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therefore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likely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observed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years.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also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party’s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assertion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detention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restrictions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should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only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used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when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necessary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proportionate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reasons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detention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should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reviewed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regularly.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connection,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information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provided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party’s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delegation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recent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years,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efforts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had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been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made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area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restrictions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remand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prisoners,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including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drafting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bill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containing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proposals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how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limit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restrictions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shorten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detention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periods.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also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welcomes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ongoing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work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digitalize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records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context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measures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taken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reduce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negative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effects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isolation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detention,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this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work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should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also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improve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overall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data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collection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(arts.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11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16).</w:t>
      </w:r>
      <w:r w:rsidR="00047A2B">
        <w:rPr>
          <w:lang w:eastAsia="ko-KR"/>
        </w:rPr>
        <w:t xml:space="preserve"> </w:t>
      </w:r>
    </w:p>
    <w:p w14:paraId="47EBEA59" w14:textId="60A388D5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lang w:eastAsia="ko-KR"/>
        </w:rPr>
        <w:t>1</w:t>
      </w:r>
      <w:r w:rsidRPr="00994220">
        <w:rPr>
          <w:rFonts w:eastAsia="Malgun Gothic"/>
          <w:lang w:eastAsia="ko-KR"/>
        </w:rPr>
        <w:t>4</w:t>
      </w:r>
      <w:r w:rsidRPr="00994220">
        <w:rPr>
          <w:lang w:eastAsia="ko-KR"/>
        </w:rPr>
        <w:t>.</w:t>
      </w:r>
      <w:r w:rsidRPr="00994220">
        <w:rPr>
          <w:lang w:eastAsia="ko-KR"/>
        </w:rPr>
        <w:tab/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party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should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use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pretrial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detention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measure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last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resort,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particular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minors.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recommends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party: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(a)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consider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alternative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measures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reduce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use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pretrial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detention,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ensure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all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decisions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imposing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such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detention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based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objective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criteria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supporting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facts;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(b)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introduce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systematic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collection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data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use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restraints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coercive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measures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prisons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pretrial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detention;</w:t>
      </w:r>
      <w:r w:rsidR="00047A2B">
        <w:rPr>
          <w:rFonts w:eastAsia="Malgun Gothic"/>
          <w:b/>
          <w:lang w:eastAsia="ko-KR"/>
        </w:rPr>
        <w:t xml:space="preserve"> </w:t>
      </w:r>
      <w:r w:rsidRPr="00994220">
        <w:rPr>
          <w:rFonts w:eastAsia="Malgun Gothic"/>
          <w:b/>
          <w:lang w:eastAsia="ko-KR"/>
        </w:rPr>
        <w:t>and</w:t>
      </w:r>
      <w:r w:rsidR="00047A2B">
        <w:rPr>
          <w:rFonts w:eastAsia="Malgun Gothic"/>
          <w:b/>
          <w:lang w:eastAsia="ko-KR"/>
        </w:rPr>
        <w:t xml:space="preserve"> </w:t>
      </w:r>
      <w:r w:rsidRPr="00994220">
        <w:rPr>
          <w:b/>
          <w:lang w:eastAsia="ko-KR"/>
        </w:rPr>
        <w:t>(c)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continue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its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efforts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assess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use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pretrial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detention,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with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view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revising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regulations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governing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such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detention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adopting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measures,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including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with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respect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training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judges,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necessary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ensure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pretrial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detention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imposed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only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exceptionally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limited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periods,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promote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use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alternatives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pretrial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detention,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such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electronic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monitoring.</w:t>
      </w:r>
    </w:p>
    <w:p w14:paraId="408A437B" w14:textId="5AE51ACD" w:rsidR="009C6799" w:rsidRPr="00994220" w:rsidRDefault="009C6799" w:rsidP="009C6799">
      <w:pPr>
        <w:pStyle w:val="H23G"/>
        <w:rPr>
          <w:lang w:eastAsia="ko-KR"/>
        </w:rPr>
      </w:pPr>
      <w:r w:rsidRPr="00994220">
        <w:rPr>
          <w:lang w:eastAsia="ko-KR"/>
        </w:rPr>
        <w:tab/>
      </w:r>
      <w:r w:rsidRPr="00994220">
        <w:rPr>
          <w:lang w:eastAsia="ko-KR"/>
        </w:rPr>
        <w:tab/>
        <w:t>Imposition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restrictions,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including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solitary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confinement</w:t>
      </w:r>
    </w:p>
    <w:p w14:paraId="134B95C9" w14:textId="24033AF0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lang w:eastAsia="ko-KR"/>
        </w:rPr>
        <w:t>1</w:t>
      </w:r>
      <w:r w:rsidRPr="00994220">
        <w:rPr>
          <w:rFonts w:eastAsia="Malgun Gothic"/>
          <w:lang w:eastAsia="ko-KR"/>
        </w:rPr>
        <w:t>5</w:t>
      </w:r>
      <w:r w:rsidRPr="00994220">
        <w:rPr>
          <w:lang w:eastAsia="ko-KR"/>
        </w:rPr>
        <w:t>.</w:t>
      </w:r>
      <w:r w:rsidRPr="00994220">
        <w:rPr>
          <w:rFonts w:eastAsia="Malgun Gothic"/>
          <w:lang w:eastAsia="ko-KR"/>
        </w:rPr>
        <w:tab/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remains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concerned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solitary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confinement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still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remains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frequent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use.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However,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notes</w:t>
      </w:r>
      <w:r w:rsidR="00047A2B">
        <w:rPr>
          <w:b/>
          <w:lang w:eastAsia="ko-KR"/>
        </w:rPr>
        <w:t xml:space="preserve"> </w:t>
      </w:r>
      <w:r w:rsidRPr="00994220">
        <w:rPr>
          <w:lang w:eastAsia="ko-KR"/>
        </w:rPr>
        <w:t>legislative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progress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this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regard,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particular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with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respect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limits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place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minors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legislation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giving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children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under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age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18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right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associate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with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others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four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hours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day.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Moreover,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Swedish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Prosecution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Authority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working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with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Prison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Probation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Service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limit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solitary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confinement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measures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pretrial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detention.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Service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has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developed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special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handbook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association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with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other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inmates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segregation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remand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prison,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t>allocated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personnel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resources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facilitate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day-to-day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work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with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regard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isolation-breaking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measures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(arts.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11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16).</w:t>
      </w:r>
    </w:p>
    <w:p w14:paraId="55BDFA2A" w14:textId="16C648D9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rPr>
          <w:lang w:eastAsia="ko-KR"/>
        </w:rPr>
        <w:t>1</w:t>
      </w:r>
      <w:r w:rsidRPr="00994220">
        <w:rPr>
          <w:rFonts w:eastAsia="Malgun Gothic"/>
          <w:lang w:eastAsia="ko-KR"/>
        </w:rPr>
        <w:t>6</w:t>
      </w:r>
      <w:r w:rsidRPr="00994220">
        <w:rPr>
          <w:lang w:eastAsia="ko-KR"/>
        </w:rPr>
        <w:t>.</w:t>
      </w:r>
      <w:r w:rsidRPr="00994220">
        <w:rPr>
          <w:lang w:eastAsia="ko-KR"/>
        </w:rPr>
        <w:tab/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party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should:</w:t>
      </w:r>
      <w:r w:rsidR="00047A2B">
        <w:rPr>
          <w:b/>
          <w:lang w:eastAsia="ko-KR"/>
        </w:rPr>
        <w:t xml:space="preserve"> </w:t>
      </w:r>
    </w:p>
    <w:p w14:paraId="7432F54C" w14:textId="1E022602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rPr>
          <w:b/>
          <w:lang w:eastAsia="ko-KR"/>
        </w:rPr>
        <w:tab/>
      </w:r>
      <w:r w:rsidRPr="00994220">
        <w:rPr>
          <w:bCs/>
          <w:lang w:eastAsia="ko-KR"/>
        </w:rPr>
        <w:t>(a)</w:t>
      </w:r>
      <w:r w:rsidRPr="00994220">
        <w:rPr>
          <w:b/>
          <w:lang w:eastAsia="ko-KR"/>
        </w:rPr>
        <w:tab/>
        <w:t>Use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restrictions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remand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prisoners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only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exceptional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measure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based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concrete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individual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grounds,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only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when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strictly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necessary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interest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criminal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investigations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order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security;</w:t>
      </w:r>
      <w:r w:rsidR="00047A2B">
        <w:rPr>
          <w:b/>
          <w:lang w:eastAsia="ko-KR"/>
        </w:rPr>
        <w:t xml:space="preserve"> </w:t>
      </w:r>
    </w:p>
    <w:p w14:paraId="61F94EDB" w14:textId="298750F9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rPr>
          <w:b/>
          <w:lang w:eastAsia="ko-KR"/>
        </w:rPr>
        <w:tab/>
      </w:r>
      <w:r w:rsidRPr="00994220">
        <w:rPr>
          <w:bCs/>
          <w:lang w:eastAsia="ko-KR"/>
        </w:rPr>
        <w:t>(b)</w:t>
      </w:r>
      <w:r w:rsidRPr="00994220">
        <w:rPr>
          <w:b/>
          <w:lang w:eastAsia="ko-KR"/>
        </w:rPr>
        <w:tab/>
        <w:t>Abolish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use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solitary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confinement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minors,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adopt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legislation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enable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adult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detainees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associate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with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others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alignment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with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legislation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minors;</w:t>
      </w:r>
    </w:p>
    <w:p w14:paraId="34531747" w14:textId="25CF1E46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rPr>
          <w:b/>
          <w:lang w:eastAsia="ko-KR"/>
        </w:rPr>
        <w:tab/>
      </w:r>
      <w:r w:rsidRPr="00994220">
        <w:rPr>
          <w:bCs/>
          <w:lang w:eastAsia="ko-KR"/>
        </w:rPr>
        <w:t>(c)</w:t>
      </w:r>
      <w:r w:rsidRPr="00994220">
        <w:rPr>
          <w:b/>
          <w:lang w:eastAsia="ko-KR"/>
        </w:rPr>
        <w:tab/>
        <w:t>Carry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out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thorough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investigations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incidents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suicide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suicide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attempts,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ascertain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whether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link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between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use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measures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physical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restraint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solitary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confinement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incidents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suicide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suicide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attempts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places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detention.</w:t>
      </w:r>
    </w:p>
    <w:p w14:paraId="72B0D1F6" w14:textId="1498E983" w:rsidR="009C6799" w:rsidRPr="00994220" w:rsidRDefault="009C6799" w:rsidP="009C6799">
      <w:pPr>
        <w:pStyle w:val="H23G"/>
        <w:rPr>
          <w:lang w:eastAsia="ko-KR"/>
        </w:rPr>
      </w:pPr>
      <w:r w:rsidRPr="00994220">
        <w:rPr>
          <w:lang w:eastAsia="ko-KR"/>
        </w:rPr>
        <w:lastRenderedPageBreak/>
        <w:tab/>
      </w:r>
      <w:r w:rsidRPr="00994220">
        <w:rPr>
          <w:lang w:eastAsia="ko-KR"/>
        </w:rPr>
        <w:tab/>
        <w:t>Detention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asylum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seekers</w:t>
      </w:r>
    </w:p>
    <w:p w14:paraId="0473BC0A" w14:textId="14FE423C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rFonts w:eastAsia="Malgun Gothic"/>
          <w:lang w:eastAsia="ko-KR"/>
        </w:rPr>
        <w:t>17.</w:t>
      </w:r>
      <w:r w:rsidRPr="00994220">
        <w:rPr>
          <w:rFonts w:eastAsia="Malgun Gothic"/>
          <w:lang w:eastAsia="ko-KR"/>
        </w:rPr>
        <w:tab/>
      </w:r>
      <w:r w:rsidRPr="00994220">
        <w:rPr>
          <w:lang w:eastAsia="ko-KR"/>
        </w:rPr>
        <w:t>While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welcoming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certain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safeguards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included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Aliens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Act,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particular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with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regard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children,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remains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concerned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that: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(a)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use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detention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remains,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practice;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(b)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reports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detention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asylum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seekers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always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used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only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measure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last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resort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limitations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consistently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shortest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possible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time;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(c)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some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asylum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seekers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still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placed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remand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prisons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security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other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exceptional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reasons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(arts.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11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16).</w:t>
      </w:r>
    </w:p>
    <w:p w14:paraId="67016DDF" w14:textId="39127E25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rFonts w:eastAsia="Malgun Gothic"/>
          <w:lang w:eastAsia="ko-KR"/>
        </w:rPr>
        <w:t>18.</w:t>
      </w:r>
      <w:r w:rsidRPr="00994220">
        <w:rPr>
          <w:rFonts w:eastAsia="Malgun Gothic"/>
          <w:lang w:eastAsia="ko-KR"/>
        </w:rPr>
        <w:tab/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temporary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act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2016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governing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asylum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seekers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longer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force,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replaced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amendments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Aliens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Act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July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2021.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also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specific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obligations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mentioned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Act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with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regard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Convention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Rights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Child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Convention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Protection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Human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Rights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Fundamental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Freedoms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(European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Convention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Human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Rights);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however,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many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provisions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temporary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act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remain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force.</w:t>
      </w:r>
      <w:r w:rsidR="00047A2B">
        <w:rPr>
          <w:lang w:eastAsia="ko-KR"/>
        </w:rPr>
        <w:t xml:space="preserve"> </w:t>
      </w:r>
    </w:p>
    <w:p w14:paraId="3CE10497" w14:textId="34B865DA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rFonts w:eastAsia="Malgun Gothic"/>
          <w:lang w:eastAsia="ko-KR"/>
        </w:rPr>
        <w:t>19.</w:t>
      </w:r>
      <w:r w:rsidRPr="00994220">
        <w:rPr>
          <w:rFonts w:eastAsia="Malgun Gothic"/>
          <w:lang w:eastAsia="ko-KR"/>
        </w:rPr>
        <w:tab/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welcomes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establishment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Migration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Agency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database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jurisprudence,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which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includes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case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summaries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from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against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Torture.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encouraged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Swedish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Cross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will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provide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training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programme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Migration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Agency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personnel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identification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torture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trauma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victims.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improvements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have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been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made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migration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detention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facilities.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also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Sweden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does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accept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asylum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claims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diplomatic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missions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overseas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but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accepts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resettled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refugees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through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resettlement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programme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Office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United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Nations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High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Commissioner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Refugees.</w:t>
      </w:r>
      <w:r w:rsidR="00047A2B">
        <w:rPr>
          <w:rFonts w:eastAsia="Malgun Gothic"/>
          <w:lang w:eastAsia="ko-KR"/>
        </w:rPr>
        <w:t xml:space="preserve"> </w:t>
      </w:r>
    </w:p>
    <w:p w14:paraId="1F79E302" w14:textId="526F5800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rPr>
          <w:rFonts w:eastAsia="Malgun Gothic"/>
          <w:lang w:eastAsia="ko-KR"/>
        </w:rPr>
        <w:t>20</w:t>
      </w:r>
      <w:r w:rsidRPr="00994220">
        <w:rPr>
          <w:lang w:eastAsia="ko-KR"/>
        </w:rPr>
        <w:t>.</w:t>
      </w:r>
      <w:r w:rsidRPr="00994220">
        <w:rPr>
          <w:lang w:eastAsia="ko-KR"/>
        </w:rPr>
        <w:tab/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party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should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take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all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measures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necessary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ensure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detention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asylum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seekers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used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only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last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resort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where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necessary,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short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period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possible,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duration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which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should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prescribed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law,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without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excessive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restrictions.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Committee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recommends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appropriate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measures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implemented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guarantee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right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seek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asylum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ensure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fulfilment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obligations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under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article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3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Convention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asylum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seekers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difficult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circumstances.</w:t>
      </w:r>
      <w:r w:rsidR="00047A2B">
        <w:rPr>
          <w:b/>
          <w:lang w:eastAsia="ko-KR"/>
        </w:rPr>
        <w:t xml:space="preserve"> </w:t>
      </w:r>
    </w:p>
    <w:p w14:paraId="22068883" w14:textId="77777777" w:rsidR="009C6799" w:rsidRPr="00994220" w:rsidRDefault="009C6799" w:rsidP="009C6799">
      <w:pPr>
        <w:pStyle w:val="H23G"/>
        <w:rPr>
          <w:lang w:eastAsia="ko-KR"/>
        </w:rPr>
      </w:pPr>
      <w:r w:rsidRPr="00994220">
        <w:rPr>
          <w:lang w:eastAsia="ko-KR"/>
        </w:rPr>
        <w:tab/>
      </w:r>
      <w:r w:rsidRPr="00994220">
        <w:rPr>
          <w:lang w:eastAsia="ko-KR"/>
        </w:rPr>
        <w:tab/>
        <w:t>Non-refoulement</w:t>
      </w:r>
    </w:p>
    <w:p w14:paraId="6FAFD9B0" w14:textId="56F28E29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rFonts w:eastAsia="Malgun Gothic"/>
          <w:lang w:eastAsia="ko-KR"/>
        </w:rPr>
        <w:t>21</w:t>
      </w:r>
      <w:r w:rsidRPr="00994220">
        <w:rPr>
          <w:lang w:eastAsia="ko-KR"/>
        </w:rPr>
        <w:t>.</w:t>
      </w:r>
      <w:r w:rsidRPr="00994220">
        <w:rPr>
          <w:lang w:eastAsia="ko-KR"/>
        </w:rPr>
        <w:tab/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takes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information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provided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delegation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</w:t>
      </w:r>
      <w:r w:rsidR="00047A2B">
        <w:t xml:space="preserve"> </w:t>
      </w:r>
      <w:r w:rsidRPr="00994220">
        <w:rPr>
          <w:lang w:eastAsia="ko-KR"/>
        </w:rPr>
        <w:t>regular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review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international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case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law,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particular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European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Union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United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Nations,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officials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concerning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issues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related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asylum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non-refoulement.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also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welcomes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party’s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practice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accepting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diplomatic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assurances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from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other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States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parties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regarding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safe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return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(art.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3).</w:t>
      </w:r>
      <w:r w:rsidR="00047A2B">
        <w:rPr>
          <w:lang w:eastAsia="ko-KR"/>
        </w:rPr>
        <w:t xml:space="preserve"> </w:t>
      </w:r>
    </w:p>
    <w:p w14:paraId="483F1572" w14:textId="55AD44B5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rPr>
          <w:rFonts w:eastAsia="Malgun Gothic"/>
          <w:lang w:eastAsia="ko-KR"/>
        </w:rPr>
        <w:t>22</w:t>
      </w:r>
      <w:r w:rsidRPr="00994220">
        <w:rPr>
          <w:lang w:eastAsia="ko-KR"/>
        </w:rPr>
        <w:t>.</w:t>
      </w:r>
      <w:r w:rsidRPr="00994220">
        <w:rPr>
          <w:lang w:eastAsia="ko-KR"/>
        </w:rPr>
        <w:tab/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party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should:</w:t>
      </w:r>
    </w:p>
    <w:p w14:paraId="37268E75" w14:textId="0D00E052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rPr>
          <w:b/>
          <w:lang w:eastAsia="ko-KR"/>
        </w:rPr>
        <w:tab/>
      </w:r>
      <w:r w:rsidRPr="00994220">
        <w:rPr>
          <w:bCs/>
          <w:lang w:eastAsia="ko-KR"/>
        </w:rPr>
        <w:t>(a)</w:t>
      </w:r>
      <w:r w:rsidRPr="00994220">
        <w:rPr>
          <w:bCs/>
          <w:lang w:eastAsia="ko-KR"/>
        </w:rPr>
        <w:tab/>
      </w:r>
      <w:r w:rsidRPr="00994220">
        <w:rPr>
          <w:b/>
          <w:lang w:eastAsia="ko-KR"/>
        </w:rPr>
        <w:t>Guarantee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all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foreign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nationals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risk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deportation,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including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those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from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“safe”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countries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origin,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have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access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fair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procedures,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including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detailed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thorough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interview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assess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risk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may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subjected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torture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ill-treatment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their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country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origin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view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their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personal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circumstances;</w:t>
      </w:r>
    </w:p>
    <w:p w14:paraId="5D33E263" w14:textId="57928998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rPr>
          <w:b/>
          <w:lang w:eastAsia="ko-KR"/>
        </w:rPr>
        <w:tab/>
      </w:r>
      <w:r w:rsidRPr="00994220">
        <w:rPr>
          <w:bCs/>
          <w:lang w:eastAsia="ko-KR"/>
        </w:rPr>
        <w:t>(b)</w:t>
      </w:r>
      <w:r w:rsidRPr="00994220">
        <w:rPr>
          <w:b/>
          <w:lang w:eastAsia="ko-KR"/>
        </w:rPr>
        <w:tab/>
        <w:t>Ensure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all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credibility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assessments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undertaken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trained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professionals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non-arbitrary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way,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also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ensure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identification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torture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victims;</w:t>
      </w:r>
    </w:p>
    <w:p w14:paraId="2A80DF89" w14:textId="6F32C619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rPr>
          <w:b/>
          <w:lang w:eastAsia="ko-KR"/>
        </w:rPr>
        <w:tab/>
      </w:r>
      <w:r w:rsidRPr="00994220">
        <w:rPr>
          <w:bCs/>
          <w:lang w:eastAsia="ko-KR"/>
        </w:rPr>
        <w:t>(c)</w:t>
      </w:r>
      <w:r w:rsidRPr="00994220">
        <w:rPr>
          <w:rFonts w:eastAsia="Malgun Gothic"/>
          <w:bCs/>
          <w:lang w:eastAsia="ko-KR"/>
        </w:rPr>
        <w:tab/>
      </w:r>
      <w:r w:rsidRPr="00994220">
        <w:rPr>
          <w:b/>
          <w:lang w:eastAsia="ko-KR"/>
        </w:rPr>
        <w:t>Ensure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all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foreign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nationals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risk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deportation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able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seek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independent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effective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individual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review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deportation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decision,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with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automatic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suspensive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effect;</w:t>
      </w:r>
    </w:p>
    <w:p w14:paraId="2D0C5001" w14:textId="6B3A0D79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rPr>
          <w:b/>
          <w:lang w:eastAsia="ko-KR"/>
        </w:rPr>
        <w:tab/>
      </w:r>
      <w:r w:rsidRPr="00994220">
        <w:rPr>
          <w:bCs/>
          <w:lang w:eastAsia="ko-KR"/>
        </w:rPr>
        <w:t>(d)</w:t>
      </w:r>
      <w:r w:rsidRPr="00994220">
        <w:rPr>
          <w:b/>
          <w:lang w:eastAsia="ko-KR"/>
        </w:rPr>
        <w:tab/>
        <w:t>Refrain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from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deporting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foreigners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countries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origin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which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presence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armed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conflict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with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widespread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civilian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casualties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absence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rule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law,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practice,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strongly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indicate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those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persons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would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subjected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torture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ill-treatment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upon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their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return.</w:t>
      </w:r>
    </w:p>
    <w:p w14:paraId="4C6609E8" w14:textId="7B40E64D" w:rsidR="009C6799" w:rsidRPr="00994220" w:rsidRDefault="009C6799" w:rsidP="009C6799">
      <w:pPr>
        <w:pStyle w:val="H23G"/>
        <w:rPr>
          <w:lang w:eastAsia="ko-KR"/>
        </w:rPr>
      </w:pPr>
      <w:r w:rsidRPr="00994220">
        <w:rPr>
          <w:lang w:eastAsia="ko-KR"/>
        </w:rPr>
        <w:tab/>
      </w:r>
      <w:r w:rsidRPr="00994220">
        <w:rPr>
          <w:lang w:eastAsia="ko-KR"/>
        </w:rPr>
        <w:tab/>
        <w:t>Coronavirus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disease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(COVID-19)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detention</w:t>
      </w:r>
    </w:p>
    <w:p w14:paraId="0196F76E" w14:textId="5455FE02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rFonts w:eastAsia="Malgun Gothic"/>
          <w:lang w:eastAsia="ko-KR"/>
        </w:rPr>
        <w:t>23.</w:t>
      </w:r>
      <w:r w:rsidRPr="00994220">
        <w:rPr>
          <w:rFonts w:eastAsia="Malgun Gothic"/>
          <w:lang w:eastAsia="ko-KR"/>
        </w:rPr>
        <w:tab/>
        <w:t>With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respect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rFonts w:eastAsia="Malgun Gothic"/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COVID-19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pandemic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measures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remand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facilities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wider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penal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system,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infection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has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been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relatively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low,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deaths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have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been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reported.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also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all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inmates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have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been,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will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continue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be,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lastRenderedPageBreak/>
        <w:t>offered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vaccines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against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COVID-19.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further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reports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was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lack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personal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protective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equipment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detention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facilities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outset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pandemic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restrictions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had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been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imposed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day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releases.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further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compensatory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measures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were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put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place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mitigate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situation,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including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possibility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detainees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have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video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calls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with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family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members.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stage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was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access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legal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counsel,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officials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medical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care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suspended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(arts.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11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16).</w:t>
      </w:r>
      <w:r w:rsidR="00047A2B">
        <w:rPr>
          <w:rFonts w:eastAsia="Malgun Gothic"/>
          <w:lang w:eastAsia="ko-KR"/>
        </w:rPr>
        <w:t xml:space="preserve"> </w:t>
      </w:r>
    </w:p>
    <w:p w14:paraId="179EEAE4" w14:textId="799C7856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rPr>
          <w:lang w:eastAsia="ko-KR"/>
        </w:rPr>
        <w:t>2</w:t>
      </w:r>
      <w:r w:rsidRPr="00994220">
        <w:rPr>
          <w:rFonts w:eastAsia="Malgun Gothic"/>
          <w:lang w:eastAsia="ko-KR"/>
        </w:rPr>
        <w:t>4</w:t>
      </w:r>
      <w:r w:rsidRPr="00994220">
        <w:rPr>
          <w:lang w:eastAsia="ko-KR"/>
        </w:rPr>
        <w:t>.</w:t>
      </w:r>
      <w:r w:rsidRPr="00994220">
        <w:rPr>
          <w:lang w:eastAsia="ko-KR"/>
        </w:rPr>
        <w:tab/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party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should:</w:t>
      </w:r>
    </w:p>
    <w:p w14:paraId="46A5DB96" w14:textId="484BE66E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rPr>
          <w:b/>
          <w:lang w:eastAsia="ko-KR"/>
        </w:rPr>
        <w:tab/>
      </w:r>
      <w:r w:rsidRPr="00994220">
        <w:rPr>
          <w:bCs/>
          <w:lang w:eastAsia="ko-KR"/>
        </w:rPr>
        <w:t>(a)</w:t>
      </w:r>
      <w:r w:rsidRPr="00994220">
        <w:rPr>
          <w:bCs/>
          <w:lang w:eastAsia="ko-KR"/>
        </w:rPr>
        <w:tab/>
      </w:r>
      <w:r w:rsidRPr="00994220">
        <w:rPr>
          <w:b/>
          <w:lang w:eastAsia="ko-KR"/>
        </w:rPr>
        <w:t>Ensure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all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prisoners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detainees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continue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offered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COVID-19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vaccines;</w:t>
      </w:r>
    </w:p>
    <w:p w14:paraId="63E5D5A8" w14:textId="548647CF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rPr>
          <w:b/>
          <w:lang w:eastAsia="ko-KR"/>
        </w:rPr>
        <w:tab/>
      </w:r>
      <w:r w:rsidRPr="00994220">
        <w:rPr>
          <w:bCs/>
          <w:lang w:eastAsia="ko-KR"/>
        </w:rPr>
        <w:t>(b)</w:t>
      </w:r>
      <w:r w:rsidR="00047A2B">
        <w:rPr>
          <w:rFonts w:eastAsia="Malgun Gothic"/>
          <w:b/>
          <w:lang w:eastAsia="ko-KR"/>
        </w:rPr>
        <w:t xml:space="preserve"> </w:t>
      </w:r>
      <w:r w:rsidRPr="00994220">
        <w:rPr>
          <w:rFonts w:eastAsia="Malgun Gothic"/>
          <w:b/>
          <w:lang w:eastAsia="ko-KR"/>
        </w:rPr>
        <w:tab/>
      </w:r>
      <w:r w:rsidRPr="00994220">
        <w:rPr>
          <w:b/>
          <w:lang w:eastAsia="ko-KR"/>
        </w:rPr>
        <w:t>Integrate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lessons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learned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from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COVID-19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pandemic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trying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limit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detention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prison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admissions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making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greater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use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non-custodial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measures,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such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alternatives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remand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prison,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parole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early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release,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accordance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with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United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Nations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Standard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Minimum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Rules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Non-custodial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Measures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(the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Tokyo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Rules)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United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Nations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Rules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Treatment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Women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Prisoners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Non-custodial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Measures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Women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Offenders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(the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Bangkok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Rules).</w:t>
      </w:r>
    </w:p>
    <w:p w14:paraId="03426D32" w14:textId="61BFD25C" w:rsidR="009C6799" w:rsidRPr="00994220" w:rsidRDefault="009C6799" w:rsidP="009C6799">
      <w:pPr>
        <w:pStyle w:val="H23G"/>
        <w:rPr>
          <w:lang w:eastAsia="ko-KR"/>
        </w:rPr>
      </w:pPr>
      <w:r w:rsidRPr="00994220">
        <w:rPr>
          <w:lang w:eastAsia="ko-KR"/>
        </w:rPr>
        <w:tab/>
      </w:r>
      <w:r w:rsidRPr="00994220">
        <w:rPr>
          <w:lang w:eastAsia="ko-KR"/>
        </w:rPr>
        <w:tab/>
        <w:t>Unaccompanied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undocumented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children</w:t>
      </w:r>
    </w:p>
    <w:p w14:paraId="2663BE81" w14:textId="28C7DCEF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lang w:eastAsia="ko-KR"/>
        </w:rPr>
        <w:t>2</w:t>
      </w:r>
      <w:r w:rsidRPr="00994220">
        <w:rPr>
          <w:rFonts w:eastAsia="Malgun Gothic"/>
          <w:lang w:eastAsia="ko-KR"/>
        </w:rPr>
        <w:t>5</w:t>
      </w:r>
      <w:r w:rsidRPr="00994220">
        <w:rPr>
          <w:lang w:eastAsia="ko-KR"/>
        </w:rPr>
        <w:t>.</w:t>
      </w:r>
      <w:r w:rsidRPr="00994220">
        <w:rPr>
          <w:lang w:eastAsia="ko-KR"/>
        </w:rPr>
        <w:tab/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takes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additional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resources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provided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municipalities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receiving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unaccompanied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minors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measures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taken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combat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trafficking.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However,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remains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concerned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vulnerable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situation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unaccompanied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asylum-seeking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minors,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children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immigrants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irregular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situation,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undocumented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children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(art.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16).</w:t>
      </w:r>
    </w:p>
    <w:p w14:paraId="5B901C34" w14:textId="5728B221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lang w:eastAsia="ko-KR"/>
        </w:rPr>
        <w:t>2</w:t>
      </w:r>
      <w:r w:rsidRPr="00994220">
        <w:rPr>
          <w:rFonts w:eastAsia="Malgun Gothic"/>
          <w:lang w:eastAsia="ko-KR"/>
        </w:rPr>
        <w:t>6</w:t>
      </w:r>
      <w:r w:rsidRPr="00994220">
        <w:rPr>
          <w:lang w:eastAsia="ko-KR"/>
        </w:rPr>
        <w:t>.</w:t>
      </w:r>
      <w:r w:rsidRPr="00994220">
        <w:rPr>
          <w:lang w:eastAsia="ko-KR"/>
        </w:rPr>
        <w:tab/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party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should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strengthen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protection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measures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unaccompanied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undocumented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children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seeking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asylum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migrant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children,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including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improved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monitoring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persons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whose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care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child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placed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collection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data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all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placements.</w:t>
      </w:r>
      <w:r w:rsidR="00047A2B">
        <w:rPr>
          <w:lang w:eastAsia="ko-KR"/>
        </w:rPr>
        <w:t xml:space="preserve"> </w:t>
      </w:r>
    </w:p>
    <w:p w14:paraId="4296D05B" w14:textId="7EE5A28D" w:rsidR="009C6799" w:rsidRPr="00994220" w:rsidRDefault="009C6799" w:rsidP="009C6799">
      <w:pPr>
        <w:pStyle w:val="H23G"/>
        <w:rPr>
          <w:lang w:eastAsia="ko-KR"/>
        </w:rPr>
      </w:pPr>
      <w:r w:rsidRPr="00994220">
        <w:rPr>
          <w:lang w:eastAsia="ko-KR"/>
        </w:rPr>
        <w:tab/>
      </w:r>
      <w:r w:rsidRPr="00994220">
        <w:rPr>
          <w:lang w:eastAsia="ko-KR"/>
        </w:rPr>
        <w:tab/>
        <w:t>Use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coercive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intrusive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measures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psychiatric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hospitals</w:t>
      </w:r>
    </w:p>
    <w:p w14:paraId="2EC40841" w14:textId="41BFAFB2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lang w:eastAsia="ko-KR"/>
        </w:rPr>
        <w:t>2</w:t>
      </w:r>
      <w:r w:rsidRPr="00994220">
        <w:rPr>
          <w:rFonts w:eastAsia="Malgun Gothic"/>
          <w:lang w:eastAsia="ko-KR"/>
        </w:rPr>
        <w:t>7</w:t>
      </w:r>
      <w:r w:rsidRPr="00994220">
        <w:rPr>
          <w:lang w:eastAsia="ko-KR"/>
        </w:rPr>
        <w:t>.</w:t>
      </w:r>
      <w:r w:rsidRPr="00994220">
        <w:rPr>
          <w:lang w:eastAsia="ko-KR"/>
        </w:rPr>
        <w:tab/>
      </w:r>
      <w:r w:rsidRPr="00994220">
        <w:rPr>
          <w:bCs/>
          <w:lang w:eastAsia="ko-KR"/>
        </w:rPr>
        <w:t>The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Committee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is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concerned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at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reports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by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the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Parliamentary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Ombudsmen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and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non-governmental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organizations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that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some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young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people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in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residential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care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are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exposed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to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violence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by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staff,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including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reports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that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children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can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be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restrained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for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long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periods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of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time.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It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is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also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concerned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at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reports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that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staff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are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not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sufficiently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trained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and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that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children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suffer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physical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and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mental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harm.</w:t>
      </w:r>
      <w:r w:rsidR="00047A2B">
        <w:rPr>
          <w:rFonts w:eastAsia="Malgun Gothic"/>
          <w:bCs/>
          <w:lang w:eastAsia="ko-KR"/>
        </w:rPr>
        <w:t xml:space="preserve"> </w:t>
      </w:r>
      <w:r w:rsidRPr="00994220">
        <w:rPr>
          <w:bCs/>
          <w:lang w:eastAsia="ko-KR"/>
        </w:rPr>
        <w:t>The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Committee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notes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the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Government’s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concern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regarding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these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allegations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and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appreciates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its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commitment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to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investigate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further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(art.</w:t>
      </w:r>
      <w:r w:rsidR="00047A2B">
        <w:rPr>
          <w:bCs/>
          <w:lang w:eastAsia="ko-KR"/>
        </w:rPr>
        <w:t xml:space="preserve"> </w:t>
      </w:r>
      <w:r w:rsidRPr="00994220">
        <w:rPr>
          <w:bCs/>
          <w:lang w:eastAsia="ko-KR"/>
        </w:rPr>
        <w:t>12).</w:t>
      </w:r>
    </w:p>
    <w:p w14:paraId="317D6D3F" w14:textId="0E786FAE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rFonts w:eastAsia="Malgun Gothic"/>
          <w:lang w:eastAsia="ko-KR"/>
        </w:rPr>
        <w:t>28.</w:t>
      </w:r>
      <w:r w:rsidRPr="00994220">
        <w:rPr>
          <w:rFonts w:eastAsia="Malgun Gothic"/>
          <w:lang w:eastAsia="ko-KR"/>
        </w:rPr>
        <w:tab/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values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steps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taken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Government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reduce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use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coercive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measures,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including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allocation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funding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training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staff,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ensure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safety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patients,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including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minors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psychiatric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institutions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hospitals.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However,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remains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concerned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about:</w:t>
      </w:r>
      <w:r w:rsidR="00047A2B">
        <w:rPr>
          <w:lang w:eastAsia="ko-KR"/>
        </w:rPr>
        <w:t xml:space="preserve"> </w:t>
      </w:r>
    </w:p>
    <w:p w14:paraId="33D4D63D" w14:textId="59634258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lang w:eastAsia="ko-KR"/>
        </w:rPr>
        <w:tab/>
        <w:t>(a)</w:t>
      </w:r>
      <w:r w:rsidRPr="00994220">
        <w:rPr>
          <w:lang w:eastAsia="ko-KR"/>
        </w:rPr>
        <w:tab/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continued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use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coercive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intrusive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measures,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such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physical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restraints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solitary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confinement,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including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young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patients;</w:t>
      </w:r>
    </w:p>
    <w:p w14:paraId="072BBF86" w14:textId="46166F17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lang w:eastAsia="ko-KR"/>
        </w:rPr>
        <w:tab/>
        <w:t>(b)</w:t>
      </w:r>
      <w:r w:rsidRPr="00994220">
        <w:rPr>
          <w:lang w:eastAsia="ko-KR"/>
        </w:rPr>
        <w:tab/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lack,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date,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comprehensive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collection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data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coercive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measures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used,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example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restraints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(art.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16).</w:t>
      </w:r>
    </w:p>
    <w:p w14:paraId="345F3798" w14:textId="4A699457" w:rsidR="009C6799" w:rsidRPr="00994220" w:rsidRDefault="009C6799" w:rsidP="009C6799">
      <w:pPr>
        <w:pStyle w:val="SingleTxtG"/>
        <w:rPr>
          <w:b/>
        </w:rPr>
      </w:pPr>
      <w:r w:rsidRPr="00994220">
        <w:t>29.</w:t>
      </w:r>
      <w:r w:rsidRPr="00994220">
        <w:tab/>
      </w:r>
      <w:r w:rsidRPr="00994220">
        <w:rPr>
          <w:b/>
        </w:rPr>
        <w:t>The</w:t>
      </w:r>
      <w:r w:rsidR="00047A2B">
        <w:rPr>
          <w:b/>
        </w:rPr>
        <w:t xml:space="preserve"> </w:t>
      </w:r>
      <w:r w:rsidRPr="00994220">
        <w:rPr>
          <w:b/>
        </w:rPr>
        <w:t>State</w:t>
      </w:r>
      <w:r w:rsidR="00047A2B">
        <w:rPr>
          <w:b/>
        </w:rPr>
        <w:t xml:space="preserve"> </w:t>
      </w:r>
      <w:r w:rsidRPr="00994220">
        <w:rPr>
          <w:b/>
        </w:rPr>
        <w:t>party</w:t>
      </w:r>
      <w:r w:rsidR="00047A2B">
        <w:rPr>
          <w:b/>
        </w:rPr>
        <w:t xml:space="preserve"> </w:t>
      </w:r>
      <w:r w:rsidRPr="00994220">
        <w:rPr>
          <w:b/>
        </w:rPr>
        <w:t>should:</w:t>
      </w:r>
    </w:p>
    <w:p w14:paraId="43E499BC" w14:textId="0F6A671C" w:rsidR="009C6799" w:rsidRPr="00994220" w:rsidRDefault="009C6799" w:rsidP="009C6799">
      <w:pPr>
        <w:pStyle w:val="SingleTxtG"/>
        <w:rPr>
          <w:b/>
        </w:rPr>
      </w:pPr>
      <w:r w:rsidRPr="00994220">
        <w:rPr>
          <w:b/>
        </w:rPr>
        <w:tab/>
      </w:r>
      <w:r w:rsidRPr="00994220">
        <w:rPr>
          <w:bCs/>
        </w:rPr>
        <w:t>(a)</w:t>
      </w:r>
      <w:r w:rsidRPr="00994220">
        <w:rPr>
          <w:b/>
        </w:rPr>
        <w:tab/>
        <w:t>Use</w:t>
      </w:r>
      <w:r w:rsidR="00047A2B">
        <w:rPr>
          <w:b/>
        </w:rPr>
        <w:t xml:space="preserve"> </w:t>
      </w:r>
      <w:r w:rsidRPr="00994220">
        <w:rPr>
          <w:b/>
        </w:rPr>
        <w:t>restraints</w:t>
      </w:r>
      <w:r w:rsidR="00047A2B">
        <w:rPr>
          <w:b/>
        </w:rPr>
        <w:t xml:space="preserve"> </w:t>
      </w:r>
      <w:r w:rsidRPr="00994220">
        <w:rPr>
          <w:b/>
        </w:rPr>
        <w:t>and</w:t>
      </w:r>
      <w:r w:rsidR="00047A2B">
        <w:rPr>
          <w:b/>
        </w:rPr>
        <w:t xml:space="preserve"> </w:t>
      </w:r>
      <w:r w:rsidRPr="00994220">
        <w:rPr>
          <w:b/>
        </w:rPr>
        <w:t>solitary</w:t>
      </w:r>
      <w:r w:rsidR="00047A2B">
        <w:rPr>
          <w:b/>
        </w:rPr>
        <w:t xml:space="preserve"> </w:t>
      </w:r>
      <w:r w:rsidRPr="00994220">
        <w:rPr>
          <w:b/>
        </w:rPr>
        <w:t>confinement</w:t>
      </w:r>
      <w:r w:rsidR="00047A2B">
        <w:rPr>
          <w:b/>
        </w:rPr>
        <w:t xml:space="preserve"> </w:t>
      </w:r>
      <w:r w:rsidRPr="00994220">
        <w:rPr>
          <w:b/>
        </w:rPr>
        <w:t>as</w:t>
      </w:r>
      <w:r w:rsidR="00047A2B">
        <w:rPr>
          <w:b/>
        </w:rPr>
        <w:t xml:space="preserve"> </w:t>
      </w:r>
      <w:r w:rsidRPr="00994220">
        <w:rPr>
          <w:b/>
        </w:rPr>
        <w:t>a</w:t>
      </w:r>
      <w:r w:rsidR="00047A2B">
        <w:rPr>
          <w:b/>
        </w:rPr>
        <w:t xml:space="preserve"> </w:t>
      </w:r>
      <w:r w:rsidRPr="00994220">
        <w:rPr>
          <w:b/>
        </w:rPr>
        <w:t>measure</w:t>
      </w:r>
      <w:r w:rsidR="00047A2B">
        <w:rPr>
          <w:b/>
        </w:rPr>
        <w:t xml:space="preserve"> </w:t>
      </w:r>
      <w:r w:rsidRPr="00994220">
        <w:rPr>
          <w:b/>
        </w:rPr>
        <w:t>of</w:t>
      </w:r>
      <w:r w:rsidR="00047A2B">
        <w:rPr>
          <w:b/>
        </w:rPr>
        <w:t xml:space="preserve"> </w:t>
      </w:r>
      <w:r w:rsidRPr="00994220">
        <w:rPr>
          <w:b/>
        </w:rPr>
        <w:t>last</w:t>
      </w:r>
      <w:r w:rsidR="00047A2B">
        <w:rPr>
          <w:b/>
        </w:rPr>
        <w:t xml:space="preserve"> </w:t>
      </w:r>
      <w:r w:rsidRPr="00994220">
        <w:rPr>
          <w:b/>
        </w:rPr>
        <w:t>resort,</w:t>
      </w:r>
      <w:r w:rsidR="00047A2B">
        <w:rPr>
          <w:b/>
        </w:rPr>
        <w:t xml:space="preserve"> </w:t>
      </w:r>
      <w:r w:rsidRPr="00994220">
        <w:rPr>
          <w:b/>
        </w:rPr>
        <w:t>for</w:t>
      </w:r>
      <w:r w:rsidR="00047A2B">
        <w:rPr>
          <w:b/>
        </w:rPr>
        <w:t xml:space="preserve"> </w:t>
      </w:r>
      <w:r w:rsidRPr="00994220">
        <w:rPr>
          <w:b/>
        </w:rPr>
        <w:t>the</w:t>
      </w:r>
      <w:r w:rsidR="00047A2B">
        <w:rPr>
          <w:b/>
        </w:rPr>
        <w:t xml:space="preserve"> </w:t>
      </w:r>
      <w:r w:rsidRPr="00994220">
        <w:rPr>
          <w:b/>
        </w:rPr>
        <w:t>shortest</w:t>
      </w:r>
      <w:r w:rsidR="00047A2B">
        <w:rPr>
          <w:b/>
        </w:rPr>
        <w:t xml:space="preserve"> </w:t>
      </w:r>
      <w:r w:rsidRPr="00994220">
        <w:rPr>
          <w:b/>
        </w:rPr>
        <w:t>possible</w:t>
      </w:r>
      <w:r w:rsidR="00047A2B">
        <w:rPr>
          <w:b/>
        </w:rPr>
        <w:t xml:space="preserve"> </w:t>
      </w:r>
      <w:r w:rsidRPr="00994220">
        <w:rPr>
          <w:b/>
        </w:rPr>
        <w:t>time</w:t>
      </w:r>
      <w:r w:rsidR="00047A2B">
        <w:rPr>
          <w:b/>
        </w:rPr>
        <w:t xml:space="preserve"> </w:t>
      </w:r>
      <w:r w:rsidRPr="00994220">
        <w:rPr>
          <w:b/>
        </w:rPr>
        <w:t>and</w:t>
      </w:r>
      <w:r w:rsidR="00047A2B">
        <w:rPr>
          <w:b/>
        </w:rPr>
        <w:t xml:space="preserve"> </w:t>
      </w:r>
      <w:r w:rsidRPr="00994220">
        <w:rPr>
          <w:b/>
        </w:rPr>
        <w:t>under</w:t>
      </w:r>
      <w:r w:rsidR="00047A2B">
        <w:rPr>
          <w:b/>
        </w:rPr>
        <w:t xml:space="preserve"> </w:t>
      </w:r>
      <w:r w:rsidRPr="00994220">
        <w:rPr>
          <w:b/>
        </w:rPr>
        <w:t>strict</w:t>
      </w:r>
      <w:r w:rsidR="00047A2B">
        <w:rPr>
          <w:b/>
        </w:rPr>
        <w:t xml:space="preserve"> </w:t>
      </w:r>
      <w:r w:rsidRPr="00994220">
        <w:rPr>
          <w:b/>
        </w:rPr>
        <w:t>medical</w:t>
      </w:r>
      <w:r w:rsidR="00047A2B">
        <w:rPr>
          <w:b/>
        </w:rPr>
        <w:t xml:space="preserve"> </w:t>
      </w:r>
      <w:r w:rsidRPr="00994220">
        <w:rPr>
          <w:b/>
        </w:rPr>
        <w:t>supervision;</w:t>
      </w:r>
      <w:r w:rsidR="00047A2B">
        <w:rPr>
          <w:b/>
        </w:rPr>
        <w:t xml:space="preserve"> </w:t>
      </w:r>
    </w:p>
    <w:p w14:paraId="33EAA122" w14:textId="39164735" w:rsidR="009C6799" w:rsidRPr="00994220" w:rsidRDefault="009C6799" w:rsidP="009C6799">
      <w:pPr>
        <w:pStyle w:val="SingleTxtG"/>
        <w:rPr>
          <w:b/>
        </w:rPr>
      </w:pPr>
      <w:r w:rsidRPr="00994220">
        <w:rPr>
          <w:b/>
        </w:rPr>
        <w:tab/>
      </w:r>
      <w:r w:rsidRPr="00994220">
        <w:rPr>
          <w:bCs/>
        </w:rPr>
        <w:t>(b)</w:t>
      </w:r>
      <w:r w:rsidRPr="00994220">
        <w:rPr>
          <w:b/>
        </w:rPr>
        <w:tab/>
        <w:t>Ensure</w:t>
      </w:r>
      <w:r w:rsidR="00047A2B">
        <w:rPr>
          <w:b/>
        </w:rPr>
        <w:t xml:space="preserve"> </w:t>
      </w:r>
      <w:r w:rsidRPr="00994220">
        <w:rPr>
          <w:b/>
        </w:rPr>
        <w:t>ongoing</w:t>
      </w:r>
      <w:r w:rsidR="00047A2B">
        <w:rPr>
          <w:b/>
        </w:rPr>
        <w:t xml:space="preserve"> </w:t>
      </w:r>
      <w:r w:rsidRPr="00994220">
        <w:rPr>
          <w:b/>
        </w:rPr>
        <w:t>monitoring</w:t>
      </w:r>
      <w:r w:rsidR="00047A2B">
        <w:rPr>
          <w:b/>
        </w:rPr>
        <w:t xml:space="preserve"> </w:t>
      </w:r>
      <w:r w:rsidRPr="00994220">
        <w:rPr>
          <w:b/>
        </w:rPr>
        <w:t>of</w:t>
      </w:r>
      <w:r w:rsidR="00047A2B">
        <w:rPr>
          <w:b/>
        </w:rPr>
        <w:t xml:space="preserve"> </w:t>
      </w:r>
      <w:r w:rsidRPr="00994220">
        <w:rPr>
          <w:b/>
        </w:rPr>
        <w:t>the</w:t>
      </w:r>
      <w:r w:rsidR="00047A2B">
        <w:rPr>
          <w:b/>
        </w:rPr>
        <w:t xml:space="preserve"> </w:t>
      </w:r>
      <w:r w:rsidRPr="00994220">
        <w:rPr>
          <w:b/>
        </w:rPr>
        <w:t>conditions</w:t>
      </w:r>
      <w:r w:rsidR="00047A2B">
        <w:rPr>
          <w:b/>
        </w:rPr>
        <w:t xml:space="preserve"> </w:t>
      </w:r>
      <w:r w:rsidRPr="00994220">
        <w:rPr>
          <w:b/>
        </w:rPr>
        <w:t>in</w:t>
      </w:r>
      <w:r w:rsidR="00047A2B">
        <w:rPr>
          <w:b/>
        </w:rPr>
        <w:t xml:space="preserve"> </w:t>
      </w:r>
      <w:r w:rsidRPr="00994220">
        <w:rPr>
          <w:b/>
        </w:rPr>
        <w:t>psychiatric</w:t>
      </w:r>
      <w:r w:rsidR="00047A2B">
        <w:rPr>
          <w:b/>
        </w:rPr>
        <w:t xml:space="preserve"> </w:t>
      </w:r>
      <w:r w:rsidRPr="00994220">
        <w:rPr>
          <w:b/>
        </w:rPr>
        <w:t>institutions;</w:t>
      </w:r>
      <w:r w:rsidR="00047A2B">
        <w:rPr>
          <w:b/>
        </w:rPr>
        <w:t xml:space="preserve"> </w:t>
      </w:r>
    </w:p>
    <w:p w14:paraId="4B34550A" w14:textId="2F4911A7" w:rsidR="009C6799" w:rsidRPr="00994220" w:rsidRDefault="009C6799" w:rsidP="009C6799">
      <w:pPr>
        <w:pStyle w:val="SingleTxtG"/>
        <w:rPr>
          <w:b/>
        </w:rPr>
      </w:pPr>
      <w:r w:rsidRPr="00994220">
        <w:rPr>
          <w:b/>
        </w:rPr>
        <w:tab/>
      </w:r>
      <w:r w:rsidRPr="00994220">
        <w:rPr>
          <w:bCs/>
        </w:rPr>
        <w:t>(c)</w:t>
      </w:r>
      <w:r w:rsidRPr="00994220">
        <w:rPr>
          <w:b/>
        </w:rPr>
        <w:tab/>
        <w:t>Continue</w:t>
      </w:r>
      <w:r w:rsidR="00047A2B">
        <w:rPr>
          <w:b/>
        </w:rPr>
        <w:t xml:space="preserve"> </w:t>
      </w:r>
      <w:r w:rsidRPr="00994220">
        <w:rPr>
          <w:b/>
        </w:rPr>
        <w:t>to</w:t>
      </w:r>
      <w:r w:rsidR="00047A2B">
        <w:rPr>
          <w:b/>
        </w:rPr>
        <w:t xml:space="preserve"> </w:t>
      </w:r>
      <w:r w:rsidRPr="00994220">
        <w:rPr>
          <w:b/>
        </w:rPr>
        <w:t>train</w:t>
      </w:r>
      <w:r w:rsidR="00047A2B">
        <w:rPr>
          <w:b/>
        </w:rPr>
        <w:t xml:space="preserve"> </w:t>
      </w:r>
      <w:r w:rsidRPr="00994220">
        <w:rPr>
          <w:b/>
        </w:rPr>
        <w:t>all</w:t>
      </w:r>
      <w:r w:rsidR="00047A2B">
        <w:rPr>
          <w:b/>
        </w:rPr>
        <w:t xml:space="preserve"> </w:t>
      </w:r>
      <w:r w:rsidRPr="00994220">
        <w:rPr>
          <w:b/>
        </w:rPr>
        <w:t>medical</w:t>
      </w:r>
      <w:r w:rsidR="00047A2B">
        <w:rPr>
          <w:b/>
        </w:rPr>
        <w:t xml:space="preserve"> </w:t>
      </w:r>
      <w:r w:rsidRPr="00994220">
        <w:rPr>
          <w:b/>
        </w:rPr>
        <w:t>and</w:t>
      </w:r>
      <w:r w:rsidR="00047A2B">
        <w:rPr>
          <w:b/>
        </w:rPr>
        <w:t xml:space="preserve"> </w:t>
      </w:r>
      <w:r w:rsidRPr="00994220">
        <w:rPr>
          <w:b/>
        </w:rPr>
        <w:t>non-medical</w:t>
      </w:r>
      <w:r w:rsidR="00047A2B">
        <w:rPr>
          <w:b/>
        </w:rPr>
        <w:t xml:space="preserve"> </w:t>
      </w:r>
      <w:r w:rsidRPr="00994220">
        <w:rPr>
          <w:b/>
        </w:rPr>
        <w:t>staff</w:t>
      </w:r>
      <w:r w:rsidR="00047A2B">
        <w:rPr>
          <w:b/>
        </w:rPr>
        <w:t xml:space="preserve"> </w:t>
      </w:r>
      <w:r w:rsidRPr="00994220">
        <w:rPr>
          <w:b/>
        </w:rPr>
        <w:t>on</w:t>
      </w:r>
      <w:r w:rsidR="00047A2B">
        <w:rPr>
          <w:b/>
        </w:rPr>
        <w:t xml:space="preserve"> </w:t>
      </w:r>
      <w:r w:rsidRPr="00994220">
        <w:rPr>
          <w:b/>
        </w:rPr>
        <w:t>methods</w:t>
      </w:r>
      <w:r w:rsidR="00047A2B">
        <w:rPr>
          <w:b/>
        </w:rPr>
        <w:t xml:space="preserve"> </w:t>
      </w:r>
      <w:r w:rsidRPr="00994220">
        <w:rPr>
          <w:b/>
        </w:rPr>
        <w:t>of</w:t>
      </w:r>
      <w:r w:rsidR="00047A2B">
        <w:rPr>
          <w:b/>
        </w:rPr>
        <w:t xml:space="preserve"> </w:t>
      </w:r>
      <w:r w:rsidRPr="00994220">
        <w:rPr>
          <w:b/>
        </w:rPr>
        <w:t>non-violent</w:t>
      </w:r>
      <w:r w:rsidR="00047A2B">
        <w:rPr>
          <w:b/>
        </w:rPr>
        <w:t xml:space="preserve"> </w:t>
      </w:r>
      <w:r w:rsidRPr="00994220">
        <w:rPr>
          <w:b/>
        </w:rPr>
        <w:t>and</w:t>
      </w:r>
      <w:r w:rsidR="00047A2B">
        <w:rPr>
          <w:b/>
        </w:rPr>
        <w:t xml:space="preserve"> </w:t>
      </w:r>
      <w:r w:rsidRPr="00994220">
        <w:rPr>
          <w:b/>
        </w:rPr>
        <w:t>non-coercive</w:t>
      </w:r>
      <w:r w:rsidR="00047A2B">
        <w:rPr>
          <w:b/>
        </w:rPr>
        <w:t xml:space="preserve"> </w:t>
      </w:r>
      <w:r w:rsidRPr="00994220">
        <w:rPr>
          <w:b/>
        </w:rPr>
        <w:t>care;</w:t>
      </w:r>
      <w:r w:rsidR="00047A2B">
        <w:rPr>
          <w:b/>
        </w:rPr>
        <w:t xml:space="preserve"> </w:t>
      </w:r>
    </w:p>
    <w:p w14:paraId="31AF499C" w14:textId="3E3DA425" w:rsidR="009C6799" w:rsidRPr="00994220" w:rsidRDefault="009C6799" w:rsidP="009C6799">
      <w:pPr>
        <w:pStyle w:val="SingleTxtG"/>
        <w:rPr>
          <w:b/>
        </w:rPr>
      </w:pPr>
      <w:r w:rsidRPr="00994220">
        <w:rPr>
          <w:b/>
        </w:rPr>
        <w:tab/>
      </w:r>
      <w:r w:rsidRPr="00994220">
        <w:rPr>
          <w:bCs/>
        </w:rPr>
        <w:t>(d)</w:t>
      </w:r>
      <w:r w:rsidRPr="00994220">
        <w:rPr>
          <w:b/>
        </w:rPr>
        <w:tab/>
        <w:t>Ensure</w:t>
      </w:r>
      <w:r w:rsidR="00047A2B">
        <w:rPr>
          <w:b/>
        </w:rPr>
        <w:t xml:space="preserve"> </w:t>
      </w:r>
      <w:r w:rsidRPr="00994220">
        <w:rPr>
          <w:b/>
        </w:rPr>
        <w:t>the</w:t>
      </w:r>
      <w:r w:rsidR="00047A2B">
        <w:rPr>
          <w:b/>
        </w:rPr>
        <w:t xml:space="preserve"> </w:t>
      </w:r>
      <w:r w:rsidRPr="00994220">
        <w:rPr>
          <w:b/>
        </w:rPr>
        <w:t>comprehensive</w:t>
      </w:r>
      <w:r w:rsidR="00047A2B">
        <w:rPr>
          <w:b/>
        </w:rPr>
        <w:t xml:space="preserve"> </w:t>
      </w:r>
      <w:r w:rsidRPr="00994220">
        <w:rPr>
          <w:b/>
        </w:rPr>
        <w:t>and</w:t>
      </w:r>
      <w:r w:rsidR="00047A2B">
        <w:rPr>
          <w:b/>
        </w:rPr>
        <w:t xml:space="preserve"> </w:t>
      </w:r>
      <w:r w:rsidRPr="00994220">
        <w:rPr>
          <w:b/>
        </w:rPr>
        <w:t>systematized</w:t>
      </w:r>
      <w:r w:rsidR="00047A2B">
        <w:rPr>
          <w:b/>
        </w:rPr>
        <w:t xml:space="preserve"> </w:t>
      </w:r>
      <w:r w:rsidRPr="00994220">
        <w:rPr>
          <w:b/>
        </w:rPr>
        <w:t>collection</w:t>
      </w:r>
      <w:r w:rsidR="00047A2B">
        <w:rPr>
          <w:b/>
        </w:rPr>
        <w:t xml:space="preserve"> </w:t>
      </w:r>
      <w:r w:rsidRPr="00994220">
        <w:rPr>
          <w:b/>
        </w:rPr>
        <w:t>of</w:t>
      </w:r>
      <w:r w:rsidR="00047A2B">
        <w:rPr>
          <w:b/>
        </w:rPr>
        <w:t xml:space="preserve"> </w:t>
      </w:r>
      <w:r w:rsidRPr="00994220">
        <w:rPr>
          <w:b/>
        </w:rPr>
        <w:t>data</w:t>
      </w:r>
      <w:r w:rsidR="00047A2B">
        <w:rPr>
          <w:b/>
        </w:rPr>
        <w:t xml:space="preserve"> </w:t>
      </w:r>
      <w:r w:rsidRPr="00994220">
        <w:rPr>
          <w:b/>
        </w:rPr>
        <w:t>on</w:t>
      </w:r>
      <w:r w:rsidR="00047A2B">
        <w:rPr>
          <w:b/>
        </w:rPr>
        <w:t xml:space="preserve"> </w:t>
      </w:r>
      <w:r w:rsidRPr="00994220">
        <w:rPr>
          <w:b/>
        </w:rPr>
        <w:t>coercive</w:t>
      </w:r>
      <w:r w:rsidR="00047A2B">
        <w:rPr>
          <w:b/>
        </w:rPr>
        <w:t xml:space="preserve"> </w:t>
      </w:r>
      <w:r w:rsidRPr="00994220">
        <w:rPr>
          <w:b/>
        </w:rPr>
        <w:t>measures</w:t>
      </w:r>
      <w:r w:rsidR="00047A2B">
        <w:rPr>
          <w:b/>
        </w:rPr>
        <w:t xml:space="preserve"> </w:t>
      </w:r>
      <w:r w:rsidRPr="00994220">
        <w:rPr>
          <w:b/>
        </w:rPr>
        <w:t>used.</w:t>
      </w:r>
      <w:r w:rsidR="00047A2B">
        <w:rPr>
          <w:b/>
        </w:rPr>
        <w:t xml:space="preserve"> </w:t>
      </w:r>
    </w:p>
    <w:p w14:paraId="2CA7AB82" w14:textId="77777777" w:rsidR="009C6799" w:rsidRPr="00994220" w:rsidRDefault="009C6799" w:rsidP="009C6799">
      <w:pPr>
        <w:pStyle w:val="H23G"/>
        <w:rPr>
          <w:lang w:eastAsia="ko-KR"/>
        </w:rPr>
      </w:pPr>
      <w:r w:rsidRPr="00994220">
        <w:rPr>
          <w:lang w:eastAsia="ko-KR"/>
        </w:rPr>
        <w:lastRenderedPageBreak/>
        <w:tab/>
      </w:r>
      <w:r w:rsidRPr="00994220">
        <w:rPr>
          <w:lang w:eastAsia="ko-KR"/>
        </w:rPr>
        <w:tab/>
        <w:t>Investigations</w:t>
      </w:r>
    </w:p>
    <w:p w14:paraId="376B58CB" w14:textId="48D8C02D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rFonts w:eastAsia="Malgun Gothic"/>
          <w:lang w:eastAsia="ko-KR"/>
        </w:rPr>
        <w:t>30.</w:t>
      </w:r>
      <w:r w:rsidRPr="00994220">
        <w:rPr>
          <w:rFonts w:eastAsia="Malgun Gothic"/>
          <w:lang w:eastAsia="ko-KR"/>
        </w:rPr>
        <w:tab/>
      </w:r>
      <w:r w:rsidRPr="00994220">
        <w:rPr>
          <w:lang w:eastAsia="ko-KR"/>
        </w:rPr>
        <w:t>While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acknowledging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special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investigations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department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was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established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2015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independent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body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within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Police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Authority,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with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mandate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independently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conduct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investigative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work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gather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information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cases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allegations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ill-treatment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excessive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use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police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officials,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remains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concerned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about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perceived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lack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independence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department.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this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regard,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takes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explanations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offered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party’s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delegation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regarding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safeguards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place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ensure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independence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department,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particular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department’s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budget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caseload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had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increased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annually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since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2016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plans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change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current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structure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department,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which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includes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staffing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structure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separate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from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Police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Authority.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specific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outcomes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investigations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conducted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special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investigations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department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were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highlighted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delegation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(arts.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12–13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16).</w:t>
      </w:r>
    </w:p>
    <w:p w14:paraId="2C3A30EC" w14:textId="4E39C12B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rFonts w:eastAsia="Malgun Gothic"/>
          <w:lang w:eastAsia="ko-KR"/>
        </w:rPr>
        <w:t>31</w:t>
      </w:r>
      <w:r w:rsidRPr="00994220">
        <w:rPr>
          <w:lang w:eastAsia="ko-KR"/>
        </w:rPr>
        <w:t>.</w:t>
      </w:r>
      <w:r w:rsidRPr="00994220">
        <w:rPr>
          <w:lang w:eastAsia="ko-KR"/>
        </w:rPr>
        <w:tab/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Committee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urges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party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continue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ensure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prompt,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impartial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effective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investigation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special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investigations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department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all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allegations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ill-treatment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excessive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use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force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law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enforcement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officials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review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possible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changes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could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made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address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perceived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lack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independence.</w:t>
      </w:r>
      <w:r w:rsidR="00047A2B">
        <w:rPr>
          <w:lang w:eastAsia="ko-KR"/>
        </w:rPr>
        <w:t xml:space="preserve"> </w:t>
      </w:r>
    </w:p>
    <w:p w14:paraId="4F73AB05" w14:textId="5F684263" w:rsidR="009C6799" w:rsidRPr="00994220" w:rsidRDefault="009C6799" w:rsidP="009C6799">
      <w:pPr>
        <w:pStyle w:val="H23G"/>
        <w:rPr>
          <w:lang w:eastAsia="ko-KR"/>
        </w:rPr>
      </w:pPr>
      <w:r w:rsidRPr="00994220">
        <w:rPr>
          <w:lang w:eastAsia="ko-KR"/>
        </w:rPr>
        <w:tab/>
      </w:r>
      <w:r w:rsidRPr="00994220">
        <w:rPr>
          <w:lang w:eastAsia="ko-KR"/>
        </w:rPr>
        <w:tab/>
        <w:t>Hate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crimes</w:t>
      </w:r>
    </w:p>
    <w:p w14:paraId="2374BE21" w14:textId="3293D112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rFonts w:eastAsia="Malgun Gothic"/>
          <w:lang w:eastAsia="ko-KR"/>
        </w:rPr>
        <w:t>32.</w:t>
      </w:r>
      <w:r w:rsidRPr="00994220">
        <w:rPr>
          <w:rFonts w:eastAsia="Malgun Gothic"/>
          <w:lang w:eastAsia="ko-KR"/>
        </w:rPr>
        <w:tab/>
      </w:r>
      <w:r w:rsidRPr="00994220">
        <w:rPr>
          <w:lang w:eastAsia="ko-KR"/>
        </w:rPr>
        <w:t>While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acknowledging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legislative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other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measures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taken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party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combat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crime,</w:t>
      </w:r>
      <w:r w:rsidR="00047A2B">
        <w:t xml:space="preserve"> </w:t>
      </w:r>
      <w:r w:rsidRPr="00994220">
        <w:rPr>
          <w:lang w:eastAsia="ko-KR"/>
        </w:rPr>
        <w:t>such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national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plan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combat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racism,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published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February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2017</w:t>
      </w:r>
      <w:r w:rsidRPr="00994220">
        <w:t>,</w:t>
      </w:r>
      <w:r w:rsidR="00047A2B">
        <w:t xml:space="preserve"> </w:t>
      </w:r>
      <w:r w:rsidRPr="00994220"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Police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Authority’s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assessments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threats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religious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buildings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communities,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forum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holocaust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remembrance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combating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antisemitism,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new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pledges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encourage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remembrance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Holocaust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combat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antisemitism,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anti-</w:t>
      </w:r>
      <w:proofErr w:type="spellStart"/>
      <w:r w:rsidRPr="00994220">
        <w:rPr>
          <w:lang w:eastAsia="ko-KR"/>
        </w:rPr>
        <w:t>Gypsyism</w:t>
      </w:r>
      <w:proofErr w:type="spellEnd"/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other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forms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racism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(art.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16),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concerned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reports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has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received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regarding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threats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minorities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marginalized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individuals.</w:t>
      </w:r>
      <w:r w:rsidR="00047A2B">
        <w:rPr>
          <w:rFonts w:eastAsia="Malgun Gothic"/>
          <w:lang w:eastAsia="ko-KR"/>
        </w:rPr>
        <w:t xml:space="preserve"> </w:t>
      </w:r>
    </w:p>
    <w:p w14:paraId="50AEAD43" w14:textId="4F3E9A72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rPr>
          <w:rFonts w:eastAsia="Malgun Gothic"/>
          <w:lang w:eastAsia="ko-KR"/>
        </w:rPr>
        <w:t>33</w:t>
      </w:r>
      <w:r w:rsidRPr="00994220">
        <w:rPr>
          <w:lang w:eastAsia="ko-KR"/>
        </w:rPr>
        <w:t>.</w:t>
      </w:r>
      <w:r w:rsidRPr="00994220">
        <w:rPr>
          <w:lang w:eastAsia="ko-KR"/>
        </w:rPr>
        <w:tab/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Committee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recalls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its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position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special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protection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minorities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marginalized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individuals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religious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groups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especially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risk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part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obligation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party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prevent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torture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ill-treatment.</w:t>
      </w:r>
      <w:r w:rsidRPr="00F35A66">
        <w:rPr>
          <w:rStyle w:val="FootnoteReference"/>
          <w:bCs/>
          <w:lang w:eastAsia="ko-KR"/>
        </w:rPr>
        <w:footnoteReference w:id="10"/>
      </w:r>
      <w:r w:rsidR="00047A2B" w:rsidRPr="00F35A66">
        <w:rPr>
          <w:bCs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this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respect,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party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should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continue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its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efforts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prevent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prosecute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criminal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acts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motivated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discrimination,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intolerance,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hatred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negative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stereotype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by:</w:t>
      </w:r>
    </w:p>
    <w:p w14:paraId="5839C2CC" w14:textId="740475FA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rPr>
          <w:b/>
          <w:lang w:eastAsia="ko-KR"/>
        </w:rPr>
        <w:tab/>
      </w:r>
      <w:r w:rsidRPr="00994220">
        <w:rPr>
          <w:bCs/>
          <w:lang w:eastAsia="ko-KR"/>
        </w:rPr>
        <w:t>(a)</w:t>
      </w:r>
      <w:r w:rsidRPr="00994220">
        <w:rPr>
          <w:bCs/>
          <w:lang w:eastAsia="ko-KR"/>
        </w:rPr>
        <w:tab/>
      </w:r>
      <w:r w:rsidRPr="00994220">
        <w:rPr>
          <w:b/>
          <w:lang w:eastAsia="ko-KR"/>
        </w:rPr>
        <w:t>Ensuring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effective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investigation,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prosecution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punishment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perpetrators;</w:t>
      </w:r>
    </w:p>
    <w:p w14:paraId="3AF2F5AF" w14:textId="7A60D421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rPr>
          <w:b/>
          <w:lang w:eastAsia="ko-KR"/>
        </w:rPr>
        <w:tab/>
      </w:r>
      <w:r w:rsidRPr="00994220">
        <w:rPr>
          <w:bCs/>
          <w:lang w:eastAsia="ko-KR"/>
        </w:rPr>
        <w:t>(b)</w:t>
      </w:r>
      <w:r w:rsidRPr="00994220">
        <w:rPr>
          <w:b/>
          <w:lang w:eastAsia="ko-KR"/>
        </w:rPr>
        <w:tab/>
        <w:t>Collecting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detailed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information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statistics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number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type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hate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crimes,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administrative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judicial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measures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taken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investigate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prosecute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such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crimes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sentences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imposed.</w:t>
      </w:r>
    </w:p>
    <w:p w14:paraId="15C811CB" w14:textId="581572B9" w:rsidR="009C6799" w:rsidRPr="00994220" w:rsidRDefault="009C6799" w:rsidP="009C6799">
      <w:pPr>
        <w:pStyle w:val="H23G"/>
        <w:rPr>
          <w:lang w:eastAsia="ko-KR"/>
        </w:rPr>
      </w:pPr>
      <w:r w:rsidRPr="00994220">
        <w:rPr>
          <w:lang w:eastAsia="ko-KR"/>
        </w:rPr>
        <w:tab/>
      </w:r>
      <w:r w:rsidRPr="00994220">
        <w:rPr>
          <w:lang w:eastAsia="ko-KR"/>
        </w:rPr>
        <w:tab/>
        <w:t>Gender-based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violence</w:t>
      </w:r>
    </w:p>
    <w:p w14:paraId="375F5CB5" w14:textId="22CFC545" w:rsidR="009C6799" w:rsidRPr="00994220" w:rsidRDefault="009C6799" w:rsidP="009C6799">
      <w:pPr>
        <w:pStyle w:val="SingleTxtG"/>
      </w:pPr>
      <w:r w:rsidRPr="00994220">
        <w:rPr>
          <w:lang w:eastAsia="ko-KR"/>
        </w:rPr>
        <w:t>3</w:t>
      </w:r>
      <w:r w:rsidRPr="00994220">
        <w:rPr>
          <w:rFonts w:eastAsia="Malgun Gothic"/>
          <w:lang w:eastAsia="ko-KR"/>
        </w:rPr>
        <w:t>4</w:t>
      </w:r>
      <w:r w:rsidRPr="00994220">
        <w:rPr>
          <w:lang w:eastAsia="ko-KR"/>
        </w:rPr>
        <w:t>.</w:t>
      </w:r>
      <w:r w:rsidRPr="00994220">
        <w:rPr>
          <w:b/>
          <w:lang w:eastAsia="ko-KR"/>
        </w:rPr>
        <w:tab/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welcomes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broader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legal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definition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consent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rape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cases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increases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minimum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penalty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sexual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abuse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gross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sexual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abuse.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also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stricter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penalties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came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July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2017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certain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serious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violent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offences.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legislative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amendments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included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tougher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scales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penalties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offences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under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act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prohibiting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genital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mutilation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women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(1982:316).</w:t>
      </w:r>
      <w:r w:rsidR="00047A2B">
        <w:rPr>
          <w:rFonts w:eastAsia="Malgun Gothic"/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reports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numbers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domestic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abuse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crimes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sexual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offences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increasing,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while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low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prosecution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conviction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rates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these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cases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have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been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recorded.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concerned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about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sexual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gender-based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violence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against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women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refugees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asylum-seeking</w:t>
      </w:r>
      <w:r w:rsidR="00047A2B">
        <w:rPr>
          <w:lang w:eastAsia="ko-KR"/>
        </w:rPr>
        <w:t xml:space="preserve"> </w:t>
      </w:r>
      <w:r w:rsidRPr="00994220">
        <w:t>women.</w:t>
      </w:r>
      <w:r w:rsidR="00047A2B">
        <w:t xml:space="preserve"> </w:t>
      </w:r>
      <w:r w:rsidRPr="00994220">
        <w:t>(arts.</w:t>
      </w:r>
      <w:r w:rsidR="00047A2B">
        <w:t xml:space="preserve"> </w:t>
      </w:r>
      <w:r w:rsidRPr="00994220">
        <w:t>2,</w:t>
      </w:r>
      <w:r w:rsidR="00047A2B">
        <w:t xml:space="preserve"> </w:t>
      </w:r>
      <w:r w:rsidRPr="00994220">
        <w:t>4,</w:t>
      </w:r>
      <w:r w:rsidR="00047A2B">
        <w:t xml:space="preserve"> </w:t>
      </w:r>
      <w:r w:rsidRPr="00994220">
        <w:t>12–13</w:t>
      </w:r>
      <w:r w:rsidR="00047A2B">
        <w:t xml:space="preserve"> </w:t>
      </w:r>
      <w:r w:rsidRPr="00994220">
        <w:t>and</w:t>
      </w:r>
      <w:r w:rsidR="00047A2B">
        <w:t xml:space="preserve"> </w:t>
      </w:r>
      <w:r w:rsidRPr="00994220">
        <w:t>16).</w:t>
      </w:r>
    </w:p>
    <w:p w14:paraId="60745BED" w14:textId="256389CB" w:rsidR="009C6799" w:rsidRPr="00994220" w:rsidRDefault="009C6799" w:rsidP="009C6799">
      <w:pPr>
        <w:pStyle w:val="SingleTxtG"/>
        <w:rPr>
          <w:b/>
        </w:rPr>
      </w:pPr>
      <w:r w:rsidRPr="00994220">
        <w:t>35.</w:t>
      </w:r>
      <w:r w:rsidRPr="00994220">
        <w:tab/>
      </w:r>
      <w:r w:rsidRPr="00994220">
        <w:rPr>
          <w:b/>
        </w:rPr>
        <w:t>The</w:t>
      </w:r>
      <w:r w:rsidR="00047A2B">
        <w:rPr>
          <w:b/>
        </w:rPr>
        <w:t xml:space="preserve"> </w:t>
      </w:r>
      <w:r w:rsidRPr="00994220">
        <w:rPr>
          <w:b/>
        </w:rPr>
        <w:t>State</w:t>
      </w:r>
      <w:r w:rsidR="00047A2B">
        <w:rPr>
          <w:b/>
        </w:rPr>
        <w:t xml:space="preserve"> </w:t>
      </w:r>
      <w:r w:rsidRPr="00994220">
        <w:rPr>
          <w:b/>
        </w:rPr>
        <w:t>party</w:t>
      </w:r>
      <w:r w:rsidR="00047A2B">
        <w:rPr>
          <w:b/>
        </w:rPr>
        <w:t xml:space="preserve"> </w:t>
      </w:r>
      <w:r w:rsidRPr="00994220">
        <w:rPr>
          <w:b/>
        </w:rPr>
        <w:t>should</w:t>
      </w:r>
      <w:r w:rsidR="00047A2B">
        <w:rPr>
          <w:b/>
        </w:rPr>
        <w:t xml:space="preserve"> </w:t>
      </w:r>
      <w:r w:rsidRPr="00994220">
        <w:rPr>
          <w:b/>
        </w:rPr>
        <w:t>continue</w:t>
      </w:r>
      <w:r w:rsidR="00047A2B">
        <w:rPr>
          <w:b/>
        </w:rPr>
        <w:t xml:space="preserve"> </w:t>
      </w:r>
      <w:r w:rsidRPr="00994220">
        <w:rPr>
          <w:b/>
        </w:rPr>
        <w:t>its</w:t>
      </w:r>
      <w:r w:rsidR="00047A2B">
        <w:rPr>
          <w:b/>
        </w:rPr>
        <w:t xml:space="preserve"> </w:t>
      </w:r>
      <w:r w:rsidRPr="00994220">
        <w:rPr>
          <w:b/>
        </w:rPr>
        <w:t>ongoing</w:t>
      </w:r>
      <w:r w:rsidR="00047A2B">
        <w:rPr>
          <w:b/>
        </w:rPr>
        <w:t xml:space="preserve"> </w:t>
      </w:r>
      <w:r w:rsidRPr="00994220">
        <w:rPr>
          <w:b/>
        </w:rPr>
        <w:t>efforts</w:t>
      </w:r>
      <w:r w:rsidR="00047A2B">
        <w:rPr>
          <w:b/>
        </w:rPr>
        <w:t xml:space="preserve"> </w:t>
      </w:r>
      <w:r w:rsidRPr="00994220">
        <w:rPr>
          <w:b/>
        </w:rPr>
        <w:t>to</w:t>
      </w:r>
      <w:r w:rsidR="00047A2B">
        <w:rPr>
          <w:b/>
        </w:rPr>
        <w:t xml:space="preserve"> </w:t>
      </w:r>
      <w:r w:rsidRPr="00994220">
        <w:rPr>
          <w:b/>
        </w:rPr>
        <w:t>combat</w:t>
      </w:r>
      <w:r w:rsidR="00047A2B">
        <w:rPr>
          <w:b/>
        </w:rPr>
        <w:t xml:space="preserve"> </w:t>
      </w:r>
      <w:r w:rsidRPr="00994220">
        <w:rPr>
          <w:b/>
        </w:rPr>
        <w:t>all</w:t>
      </w:r>
      <w:r w:rsidR="00047A2B">
        <w:rPr>
          <w:b/>
        </w:rPr>
        <w:t xml:space="preserve"> </w:t>
      </w:r>
      <w:r w:rsidRPr="00994220">
        <w:rPr>
          <w:b/>
        </w:rPr>
        <w:t>forms</w:t>
      </w:r>
      <w:r w:rsidR="00047A2B">
        <w:rPr>
          <w:b/>
        </w:rPr>
        <w:t xml:space="preserve"> </w:t>
      </w:r>
      <w:r w:rsidRPr="00994220">
        <w:rPr>
          <w:b/>
        </w:rPr>
        <w:t>of</w:t>
      </w:r>
      <w:r w:rsidR="00047A2B">
        <w:rPr>
          <w:b/>
        </w:rPr>
        <w:t xml:space="preserve"> </w:t>
      </w:r>
      <w:r w:rsidRPr="00994220">
        <w:rPr>
          <w:b/>
        </w:rPr>
        <w:t>violence</w:t>
      </w:r>
      <w:r w:rsidR="00047A2B">
        <w:rPr>
          <w:b/>
        </w:rPr>
        <w:t xml:space="preserve"> </w:t>
      </w:r>
      <w:r w:rsidRPr="00994220">
        <w:rPr>
          <w:b/>
        </w:rPr>
        <w:t>against</w:t>
      </w:r>
      <w:r w:rsidR="00047A2B">
        <w:rPr>
          <w:b/>
        </w:rPr>
        <w:t xml:space="preserve"> </w:t>
      </w:r>
      <w:r w:rsidRPr="00994220">
        <w:rPr>
          <w:b/>
        </w:rPr>
        <w:t>women,</w:t>
      </w:r>
      <w:r w:rsidR="00047A2B">
        <w:rPr>
          <w:b/>
        </w:rPr>
        <w:t xml:space="preserve"> </w:t>
      </w:r>
      <w:r w:rsidRPr="00994220">
        <w:rPr>
          <w:b/>
        </w:rPr>
        <w:t>including</w:t>
      </w:r>
      <w:r w:rsidR="00047A2B">
        <w:rPr>
          <w:b/>
        </w:rPr>
        <w:t xml:space="preserve"> </w:t>
      </w:r>
      <w:r w:rsidRPr="00994220">
        <w:rPr>
          <w:b/>
        </w:rPr>
        <w:t>domestic</w:t>
      </w:r>
      <w:r w:rsidR="00047A2B">
        <w:rPr>
          <w:b/>
        </w:rPr>
        <w:t xml:space="preserve"> </w:t>
      </w:r>
      <w:r w:rsidRPr="00994220">
        <w:rPr>
          <w:b/>
        </w:rPr>
        <w:t>violence</w:t>
      </w:r>
      <w:r w:rsidR="00047A2B">
        <w:rPr>
          <w:b/>
        </w:rPr>
        <w:t xml:space="preserve"> </w:t>
      </w:r>
      <w:r w:rsidRPr="00994220">
        <w:rPr>
          <w:b/>
        </w:rPr>
        <w:t>and</w:t>
      </w:r>
      <w:r w:rsidR="00047A2B">
        <w:rPr>
          <w:b/>
        </w:rPr>
        <w:t xml:space="preserve"> </w:t>
      </w:r>
      <w:r w:rsidRPr="00994220">
        <w:rPr>
          <w:b/>
        </w:rPr>
        <w:t>rape,</w:t>
      </w:r>
      <w:r w:rsidR="00047A2B">
        <w:rPr>
          <w:b/>
        </w:rPr>
        <w:t xml:space="preserve"> </w:t>
      </w:r>
      <w:r w:rsidRPr="00994220">
        <w:rPr>
          <w:b/>
        </w:rPr>
        <w:t>especially</w:t>
      </w:r>
      <w:r w:rsidR="00047A2B">
        <w:rPr>
          <w:b/>
        </w:rPr>
        <w:t xml:space="preserve"> </w:t>
      </w:r>
      <w:r w:rsidRPr="00994220">
        <w:rPr>
          <w:b/>
        </w:rPr>
        <w:t>in</w:t>
      </w:r>
      <w:r w:rsidR="00047A2B">
        <w:rPr>
          <w:b/>
        </w:rPr>
        <w:t xml:space="preserve"> </w:t>
      </w:r>
      <w:r w:rsidRPr="00994220">
        <w:rPr>
          <w:b/>
        </w:rPr>
        <w:t>cases</w:t>
      </w:r>
      <w:r w:rsidR="00047A2B">
        <w:rPr>
          <w:b/>
        </w:rPr>
        <w:t xml:space="preserve"> </w:t>
      </w:r>
      <w:r w:rsidRPr="00994220">
        <w:rPr>
          <w:b/>
        </w:rPr>
        <w:t>involving</w:t>
      </w:r>
      <w:r w:rsidR="00047A2B">
        <w:rPr>
          <w:b/>
        </w:rPr>
        <w:t xml:space="preserve"> </w:t>
      </w:r>
      <w:r w:rsidRPr="00994220">
        <w:rPr>
          <w:b/>
        </w:rPr>
        <w:t>actions</w:t>
      </w:r>
      <w:r w:rsidR="00047A2B">
        <w:rPr>
          <w:b/>
        </w:rPr>
        <w:t xml:space="preserve"> </w:t>
      </w:r>
      <w:r w:rsidRPr="00994220">
        <w:rPr>
          <w:b/>
        </w:rPr>
        <w:t>or</w:t>
      </w:r>
      <w:r w:rsidR="00047A2B">
        <w:rPr>
          <w:b/>
        </w:rPr>
        <w:t xml:space="preserve"> </w:t>
      </w:r>
      <w:r w:rsidRPr="00994220">
        <w:rPr>
          <w:b/>
        </w:rPr>
        <w:t>omissions</w:t>
      </w:r>
      <w:r w:rsidR="00047A2B">
        <w:rPr>
          <w:b/>
        </w:rPr>
        <w:t xml:space="preserve"> </w:t>
      </w:r>
      <w:r w:rsidRPr="00994220">
        <w:rPr>
          <w:b/>
        </w:rPr>
        <w:t>by</w:t>
      </w:r>
      <w:r w:rsidR="00047A2B">
        <w:rPr>
          <w:b/>
        </w:rPr>
        <w:t xml:space="preserve"> </w:t>
      </w:r>
      <w:r w:rsidRPr="00994220">
        <w:rPr>
          <w:b/>
        </w:rPr>
        <w:t>State</w:t>
      </w:r>
      <w:r w:rsidR="00047A2B">
        <w:rPr>
          <w:b/>
        </w:rPr>
        <w:t xml:space="preserve"> </w:t>
      </w:r>
      <w:r w:rsidRPr="00994220">
        <w:rPr>
          <w:b/>
        </w:rPr>
        <w:t>authorities</w:t>
      </w:r>
      <w:r w:rsidR="00047A2B">
        <w:rPr>
          <w:b/>
        </w:rPr>
        <w:t xml:space="preserve"> </w:t>
      </w:r>
      <w:r w:rsidRPr="00994220">
        <w:rPr>
          <w:b/>
        </w:rPr>
        <w:t>or</w:t>
      </w:r>
      <w:r w:rsidR="00047A2B">
        <w:rPr>
          <w:b/>
        </w:rPr>
        <w:t xml:space="preserve"> </w:t>
      </w:r>
      <w:r w:rsidRPr="00994220">
        <w:rPr>
          <w:b/>
        </w:rPr>
        <w:t>other</w:t>
      </w:r>
      <w:r w:rsidR="00047A2B">
        <w:rPr>
          <w:b/>
        </w:rPr>
        <w:t xml:space="preserve"> </w:t>
      </w:r>
      <w:r w:rsidRPr="00994220">
        <w:rPr>
          <w:b/>
        </w:rPr>
        <w:t>entities</w:t>
      </w:r>
      <w:r w:rsidR="00047A2B">
        <w:rPr>
          <w:b/>
        </w:rPr>
        <w:t xml:space="preserve"> </w:t>
      </w:r>
      <w:r w:rsidRPr="00994220">
        <w:rPr>
          <w:b/>
        </w:rPr>
        <w:t>which</w:t>
      </w:r>
      <w:r w:rsidR="00047A2B">
        <w:rPr>
          <w:b/>
        </w:rPr>
        <w:t xml:space="preserve"> </w:t>
      </w:r>
      <w:r w:rsidRPr="00994220">
        <w:rPr>
          <w:b/>
        </w:rPr>
        <w:t>engage</w:t>
      </w:r>
      <w:r w:rsidR="00047A2B">
        <w:rPr>
          <w:b/>
        </w:rPr>
        <w:t xml:space="preserve"> </w:t>
      </w:r>
      <w:r w:rsidRPr="00994220">
        <w:rPr>
          <w:b/>
        </w:rPr>
        <w:t>the</w:t>
      </w:r>
      <w:r w:rsidR="00047A2B">
        <w:rPr>
          <w:b/>
        </w:rPr>
        <w:t xml:space="preserve"> </w:t>
      </w:r>
      <w:r w:rsidRPr="00994220">
        <w:rPr>
          <w:b/>
        </w:rPr>
        <w:t>international</w:t>
      </w:r>
      <w:r w:rsidR="00047A2B">
        <w:rPr>
          <w:b/>
        </w:rPr>
        <w:t xml:space="preserve"> </w:t>
      </w:r>
      <w:r w:rsidRPr="00994220">
        <w:rPr>
          <w:b/>
        </w:rPr>
        <w:t>responsibility</w:t>
      </w:r>
      <w:r w:rsidR="00047A2B">
        <w:rPr>
          <w:b/>
        </w:rPr>
        <w:t xml:space="preserve"> </w:t>
      </w:r>
      <w:r w:rsidRPr="00994220">
        <w:rPr>
          <w:b/>
        </w:rPr>
        <w:t>of</w:t>
      </w:r>
      <w:r w:rsidR="00047A2B">
        <w:rPr>
          <w:b/>
        </w:rPr>
        <w:t xml:space="preserve"> </w:t>
      </w:r>
      <w:r w:rsidRPr="00994220">
        <w:rPr>
          <w:b/>
        </w:rPr>
        <w:t>the</w:t>
      </w:r>
      <w:r w:rsidR="00047A2B">
        <w:rPr>
          <w:b/>
        </w:rPr>
        <w:t xml:space="preserve"> </w:t>
      </w:r>
      <w:r w:rsidRPr="00994220">
        <w:rPr>
          <w:b/>
        </w:rPr>
        <w:t>State</w:t>
      </w:r>
      <w:r w:rsidR="00047A2B">
        <w:rPr>
          <w:b/>
        </w:rPr>
        <w:t xml:space="preserve"> </w:t>
      </w:r>
      <w:r w:rsidRPr="00994220">
        <w:rPr>
          <w:b/>
        </w:rPr>
        <w:t>party</w:t>
      </w:r>
      <w:r w:rsidR="00047A2B">
        <w:rPr>
          <w:b/>
        </w:rPr>
        <w:t xml:space="preserve"> </w:t>
      </w:r>
      <w:r w:rsidRPr="00994220">
        <w:rPr>
          <w:b/>
        </w:rPr>
        <w:t>under</w:t>
      </w:r>
      <w:r w:rsidR="00047A2B">
        <w:rPr>
          <w:b/>
        </w:rPr>
        <w:t xml:space="preserve"> </w:t>
      </w:r>
      <w:r w:rsidRPr="00994220">
        <w:rPr>
          <w:b/>
        </w:rPr>
        <w:t>the</w:t>
      </w:r>
      <w:r w:rsidR="00047A2B">
        <w:rPr>
          <w:b/>
        </w:rPr>
        <w:t xml:space="preserve"> </w:t>
      </w:r>
      <w:r w:rsidRPr="00994220">
        <w:rPr>
          <w:b/>
        </w:rPr>
        <w:t>Convention.</w:t>
      </w:r>
      <w:r w:rsidR="00047A2B">
        <w:rPr>
          <w:b/>
        </w:rPr>
        <w:t xml:space="preserve"> </w:t>
      </w:r>
      <w:r w:rsidRPr="00994220">
        <w:rPr>
          <w:b/>
        </w:rPr>
        <w:t>In</w:t>
      </w:r>
      <w:r w:rsidR="00047A2B">
        <w:rPr>
          <w:b/>
        </w:rPr>
        <w:t xml:space="preserve"> </w:t>
      </w:r>
      <w:r w:rsidRPr="00994220">
        <w:rPr>
          <w:b/>
        </w:rPr>
        <w:t>particular,</w:t>
      </w:r>
      <w:r w:rsidR="00047A2B">
        <w:rPr>
          <w:b/>
        </w:rPr>
        <w:t xml:space="preserve"> </w:t>
      </w:r>
      <w:r w:rsidRPr="00994220">
        <w:rPr>
          <w:b/>
        </w:rPr>
        <w:t>it</w:t>
      </w:r>
      <w:r w:rsidR="00047A2B">
        <w:rPr>
          <w:b/>
        </w:rPr>
        <w:t xml:space="preserve"> </w:t>
      </w:r>
      <w:r w:rsidRPr="00994220">
        <w:rPr>
          <w:b/>
        </w:rPr>
        <w:t>should:</w:t>
      </w:r>
    </w:p>
    <w:p w14:paraId="6AF77A92" w14:textId="049B30DB" w:rsidR="009C6799" w:rsidRPr="00994220" w:rsidRDefault="009C6799" w:rsidP="009C6799">
      <w:pPr>
        <w:pStyle w:val="SingleTxtG"/>
        <w:rPr>
          <w:b/>
        </w:rPr>
      </w:pPr>
      <w:r w:rsidRPr="00994220">
        <w:rPr>
          <w:b/>
        </w:rPr>
        <w:lastRenderedPageBreak/>
        <w:tab/>
      </w:r>
      <w:r w:rsidRPr="00994220">
        <w:rPr>
          <w:bCs/>
        </w:rPr>
        <w:t>(a)</w:t>
      </w:r>
      <w:r w:rsidRPr="00994220">
        <w:rPr>
          <w:bCs/>
        </w:rPr>
        <w:tab/>
      </w:r>
      <w:r w:rsidRPr="00994220">
        <w:rPr>
          <w:b/>
        </w:rPr>
        <w:t>Review</w:t>
      </w:r>
      <w:r w:rsidR="00047A2B">
        <w:rPr>
          <w:b/>
        </w:rPr>
        <w:t xml:space="preserve"> </w:t>
      </w:r>
      <w:r w:rsidRPr="00994220">
        <w:rPr>
          <w:b/>
        </w:rPr>
        <w:t>the</w:t>
      </w:r>
      <w:r w:rsidR="00047A2B">
        <w:rPr>
          <w:b/>
        </w:rPr>
        <w:t xml:space="preserve"> </w:t>
      </w:r>
      <w:r w:rsidRPr="00994220">
        <w:rPr>
          <w:b/>
        </w:rPr>
        <w:t>system</w:t>
      </w:r>
      <w:r w:rsidR="00047A2B">
        <w:rPr>
          <w:b/>
        </w:rPr>
        <w:t xml:space="preserve"> </w:t>
      </w:r>
      <w:r w:rsidRPr="00994220">
        <w:rPr>
          <w:b/>
        </w:rPr>
        <w:t>for</w:t>
      </w:r>
      <w:r w:rsidR="00047A2B">
        <w:rPr>
          <w:b/>
        </w:rPr>
        <w:t xml:space="preserve"> </w:t>
      </w:r>
      <w:r w:rsidRPr="00994220">
        <w:rPr>
          <w:b/>
        </w:rPr>
        <w:t>receiving</w:t>
      </w:r>
      <w:r w:rsidR="00047A2B">
        <w:rPr>
          <w:b/>
        </w:rPr>
        <w:t xml:space="preserve"> </w:t>
      </w:r>
      <w:r w:rsidRPr="00994220">
        <w:rPr>
          <w:b/>
        </w:rPr>
        <w:t>and</w:t>
      </w:r>
      <w:r w:rsidR="00047A2B">
        <w:rPr>
          <w:b/>
        </w:rPr>
        <w:t xml:space="preserve"> </w:t>
      </w:r>
      <w:r w:rsidRPr="00994220">
        <w:rPr>
          <w:b/>
        </w:rPr>
        <w:t>dealing</w:t>
      </w:r>
      <w:r w:rsidR="00047A2B">
        <w:rPr>
          <w:b/>
        </w:rPr>
        <w:t xml:space="preserve"> </w:t>
      </w:r>
      <w:r w:rsidRPr="00994220">
        <w:rPr>
          <w:b/>
        </w:rPr>
        <w:t>with</w:t>
      </w:r>
      <w:r w:rsidR="00047A2B">
        <w:rPr>
          <w:b/>
        </w:rPr>
        <w:t xml:space="preserve"> </w:t>
      </w:r>
      <w:r w:rsidRPr="00994220">
        <w:rPr>
          <w:b/>
        </w:rPr>
        <w:t>such</w:t>
      </w:r>
      <w:r w:rsidR="00047A2B">
        <w:rPr>
          <w:b/>
        </w:rPr>
        <w:t xml:space="preserve"> </w:t>
      </w:r>
      <w:r w:rsidRPr="00994220">
        <w:rPr>
          <w:b/>
        </w:rPr>
        <w:t>complaints</w:t>
      </w:r>
      <w:r w:rsidR="00047A2B">
        <w:rPr>
          <w:b/>
        </w:rPr>
        <w:t xml:space="preserve"> </w:t>
      </w:r>
      <w:r w:rsidRPr="00994220">
        <w:rPr>
          <w:b/>
        </w:rPr>
        <w:t>to</w:t>
      </w:r>
      <w:r w:rsidR="00047A2B">
        <w:rPr>
          <w:b/>
        </w:rPr>
        <w:t xml:space="preserve"> </w:t>
      </w:r>
      <w:r w:rsidRPr="00994220">
        <w:rPr>
          <w:b/>
        </w:rPr>
        <w:t>ensure</w:t>
      </w:r>
      <w:r w:rsidR="00047A2B">
        <w:rPr>
          <w:b/>
        </w:rPr>
        <w:t xml:space="preserve"> </w:t>
      </w:r>
      <w:r w:rsidRPr="00994220">
        <w:rPr>
          <w:b/>
        </w:rPr>
        <w:t>a</w:t>
      </w:r>
      <w:r w:rsidR="00047A2B">
        <w:rPr>
          <w:b/>
        </w:rPr>
        <w:t xml:space="preserve"> </w:t>
      </w:r>
      <w:r w:rsidRPr="00994220">
        <w:rPr>
          <w:b/>
        </w:rPr>
        <w:t>gender-sensitive</w:t>
      </w:r>
      <w:r w:rsidR="00047A2B">
        <w:rPr>
          <w:b/>
        </w:rPr>
        <w:t xml:space="preserve"> </w:t>
      </w:r>
      <w:r w:rsidRPr="00994220">
        <w:rPr>
          <w:b/>
        </w:rPr>
        <w:t>response;</w:t>
      </w:r>
    </w:p>
    <w:p w14:paraId="33262D53" w14:textId="08AF9A0B" w:rsidR="009C6799" w:rsidRPr="00994220" w:rsidRDefault="009C6799" w:rsidP="009C6799">
      <w:pPr>
        <w:pStyle w:val="SingleTxtG"/>
        <w:rPr>
          <w:b/>
        </w:rPr>
      </w:pPr>
      <w:r w:rsidRPr="00994220">
        <w:rPr>
          <w:b/>
        </w:rPr>
        <w:tab/>
      </w:r>
      <w:r w:rsidRPr="00994220">
        <w:rPr>
          <w:bCs/>
        </w:rPr>
        <w:t>(b)</w:t>
      </w:r>
      <w:r w:rsidR="00047A2B">
        <w:rPr>
          <w:b/>
        </w:rPr>
        <w:t xml:space="preserve"> </w:t>
      </w:r>
      <w:r w:rsidRPr="00994220">
        <w:rPr>
          <w:b/>
        </w:rPr>
        <w:tab/>
        <w:t>Ensure</w:t>
      </w:r>
      <w:r w:rsidR="00047A2B">
        <w:rPr>
          <w:b/>
        </w:rPr>
        <w:t xml:space="preserve"> </w:t>
      </w:r>
      <w:r w:rsidRPr="00994220">
        <w:rPr>
          <w:b/>
        </w:rPr>
        <w:t>adequate</w:t>
      </w:r>
      <w:r w:rsidR="00047A2B">
        <w:rPr>
          <w:b/>
        </w:rPr>
        <w:t xml:space="preserve"> </w:t>
      </w:r>
      <w:r w:rsidRPr="00994220">
        <w:rPr>
          <w:b/>
        </w:rPr>
        <w:t>protection</w:t>
      </w:r>
      <w:r w:rsidR="00047A2B">
        <w:rPr>
          <w:b/>
        </w:rPr>
        <w:t xml:space="preserve"> </w:t>
      </w:r>
      <w:r w:rsidRPr="00994220">
        <w:rPr>
          <w:b/>
        </w:rPr>
        <w:t>and</w:t>
      </w:r>
      <w:r w:rsidR="00047A2B">
        <w:rPr>
          <w:b/>
        </w:rPr>
        <w:t xml:space="preserve"> </w:t>
      </w:r>
      <w:r w:rsidRPr="00994220">
        <w:rPr>
          <w:b/>
        </w:rPr>
        <w:t>assistance</w:t>
      </w:r>
      <w:r w:rsidR="00047A2B">
        <w:rPr>
          <w:b/>
        </w:rPr>
        <w:t xml:space="preserve"> </w:t>
      </w:r>
      <w:r w:rsidRPr="00994220">
        <w:rPr>
          <w:b/>
        </w:rPr>
        <w:t>for</w:t>
      </w:r>
      <w:r w:rsidR="00047A2B">
        <w:rPr>
          <w:b/>
        </w:rPr>
        <w:t xml:space="preserve"> </w:t>
      </w:r>
      <w:r w:rsidRPr="00994220">
        <w:rPr>
          <w:b/>
        </w:rPr>
        <w:t>the</w:t>
      </w:r>
      <w:r w:rsidR="00047A2B">
        <w:rPr>
          <w:b/>
        </w:rPr>
        <w:t xml:space="preserve"> </w:t>
      </w:r>
      <w:r w:rsidRPr="00994220">
        <w:rPr>
          <w:b/>
        </w:rPr>
        <w:t>victims;</w:t>
      </w:r>
      <w:r w:rsidR="00047A2B">
        <w:rPr>
          <w:b/>
        </w:rPr>
        <w:t xml:space="preserve"> </w:t>
      </w:r>
    </w:p>
    <w:p w14:paraId="5AA58D69" w14:textId="548BAAFC" w:rsidR="009C6799" w:rsidRPr="00994220" w:rsidRDefault="009C6799" w:rsidP="009C6799">
      <w:pPr>
        <w:pStyle w:val="SingleTxtG"/>
        <w:rPr>
          <w:b/>
        </w:rPr>
      </w:pPr>
      <w:r w:rsidRPr="00994220">
        <w:rPr>
          <w:b/>
        </w:rPr>
        <w:tab/>
      </w:r>
      <w:r w:rsidRPr="00994220">
        <w:rPr>
          <w:bCs/>
        </w:rPr>
        <w:t>(c)</w:t>
      </w:r>
      <w:r w:rsidR="00047A2B">
        <w:rPr>
          <w:b/>
        </w:rPr>
        <w:t xml:space="preserve"> </w:t>
      </w:r>
      <w:r w:rsidRPr="00994220">
        <w:rPr>
          <w:b/>
        </w:rPr>
        <w:tab/>
        <w:t>Improve</w:t>
      </w:r>
      <w:r w:rsidR="00047A2B">
        <w:rPr>
          <w:b/>
        </w:rPr>
        <w:t xml:space="preserve"> </w:t>
      </w:r>
      <w:r w:rsidRPr="00994220">
        <w:rPr>
          <w:b/>
        </w:rPr>
        <w:t>support</w:t>
      </w:r>
      <w:r w:rsidR="00047A2B">
        <w:rPr>
          <w:b/>
        </w:rPr>
        <w:t xml:space="preserve"> </w:t>
      </w:r>
      <w:r w:rsidRPr="00994220">
        <w:rPr>
          <w:b/>
        </w:rPr>
        <w:t>for</w:t>
      </w:r>
      <w:r w:rsidR="00047A2B">
        <w:rPr>
          <w:b/>
        </w:rPr>
        <w:t xml:space="preserve"> </w:t>
      </w:r>
      <w:r w:rsidRPr="00994220">
        <w:rPr>
          <w:b/>
        </w:rPr>
        <w:t>victims</w:t>
      </w:r>
      <w:r w:rsidR="00047A2B">
        <w:rPr>
          <w:b/>
        </w:rPr>
        <w:t xml:space="preserve"> </w:t>
      </w:r>
      <w:r w:rsidRPr="00994220">
        <w:rPr>
          <w:b/>
        </w:rPr>
        <w:t>and</w:t>
      </w:r>
      <w:r w:rsidR="00047A2B">
        <w:rPr>
          <w:b/>
        </w:rPr>
        <w:t xml:space="preserve"> </w:t>
      </w:r>
      <w:r w:rsidRPr="00994220">
        <w:rPr>
          <w:b/>
        </w:rPr>
        <w:t>family</w:t>
      </w:r>
      <w:r w:rsidR="00047A2B">
        <w:rPr>
          <w:b/>
        </w:rPr>
        <w:t xml:space="preserve"> </w:t>
      </w:r>
      <w:r w:rsidRPr="00994220">
        <w:rPr>
          <w:b/>
        </w:rPr>
        <w:t>members</w:t>
      </w:r>
      <w:r w:rsidR="00047A2B">
        <w:rPr>
          <w:b/>
        </w:rPr>
        <w:t xml:space="preserve"> </w:t>
      </w:r>
      <w:r w:rsidRPr="00994220">
        <w:rPr>
          <w:b/>
        </w:rPr>
        <w:t>whose</w:t>
      </w:r>
      <w:r w:rsidR="00047A2B">
        <w:rPr>
          <w:b/>
        </w:rPr>
        <w:t xml:space="preserve"> </w:t>
      </w:r>
      <w:r w:rsidRPr="00994220">
        <w:rPr>
          <w:b/>
        </w:rPr>
        <w:t>identity</w:t>
      </w:r>
      <w:r w:rsidR="00047A2B">
        <w:rPr>
          <w:b/>
        </w:rPr>
        <w:t xml:space="preserve"> </w:t>
      </w:r>
      <w:r w:rsidRPr="00994220">
        <w:rPr>
          <w:b/>
        </w:rPr>
        <w:t>is</w:t>
      </w:r>
      <w:r w:rsidR="00047A2B">
        <w:rPr>
          <w:b/>
        </w:rPr>
        <w:t xml:space="preserve"> </w:t>
      </w:r>
      <w:r w:rsidRPr="00994220">
        <w:rPr>
          <w:b/>
        </w:rPr>
        <w:t>protected</w:t>
      </w:r>
      <w:r w:rsidR="00047A2B">
        <w:rPr>
          <w:b/>
        </w:rPr>
        <w:t xml:space="preserve"> </w:t>
      </w:r>
      <w:r w:rsidRPr="00994220">
        <w:rPr>
          <w:b/>
        </w:rPr>
        <w:t>following</w:t>
      </w:r>
      <w:r w:rsidR="00047A2B">
        <w:rPr>
          <w:b/>
        </w:rPr>
        <w:t xml:space="preserve"> </w:t>
      </w:r>
      <w:r w:rsidRPr="00994220">
        <w:rPr>
          <w:b/>
        </w:rPr>
        <w:t>trials;</w:t>
      </w:r>
    </w:p>
    <w:p w14:paraId="1C2EE132" w14:textId="6B8CE8B0" w:rsidR="009C6799" w:rsidRPr="00994220" w:rsidRDefault="009C6799" w:rsidP="009C6799">
      <w:pPr>
        <w:pStyle w:val="SingleTxtG"/>
        <w:rPr>
          <w:b/>
        </w:rPr>
      </w:pPr>
      <w:r w:rsidRPr="00994220">
        <w:rPr>
          <w:b/>
        </w:rPr>
        <w:tab/>
      </w:r>
      <w:r w:rsidRPr="00994220">
        <w:rPr>
          <w:bCs/>
        </w:rPr>
        <w:t>(d)</w:t>
      </w:r>
      <w:r w:rsidRPr="00994220">
        <w:rPr>
          <w:b/>
        </w:rPr>
        <w:tab/>
        <w:t>Ensure</w:t>
      </w:r>
      <w:r w:rsidR="00047A2B">
        <w:rPr>
          <w:b/>
        </w:rPr>
        <w:t xml:space="preserve"> </w:t>
      </w:r>
      <w:r w:rsidRPr="00994220">
        <w:rPr>
          <w:b/>
        </w:rPr>
        <w:t>that</w:t>
      </w:r>
      <w:r w:rsidR="00047A2B">
        <w:rPr>
          <w:b/>
        </w:rPr>
        <w:t xml:space="preserve"> </w:t>
      </w:r>
      <w:r w:rsidRPr="00994220">
        <w:rPr>
          <w:b/>
        </w:rPr>
        <w:t>all</w:t>
      </w:r>
      <w:r w:rsidR="00047A2B">
        <w:rPr>
          <w:b/>
        </w:rPr>
        <w:t xml:space="preserve"> </w:t>
      </w:r>
      <w:r w:rsidRPr="00994220">
        <w:rPr>
          <w:b/>
        </w:rPr>
        <w:t>cases</w:t>
      </w:r>
      <w:r w:rsidR="00047A2B">
        <w:rPr>
          <w:b/>
        </w:rPr>
        <w:t xml:space="preserve"> </w:t>
      </w:r>
      <w:r w:rsidRPr="00994220">
        <w:rPr>
          <w:b/>
        </w:rPr>
        <w:t>are</w:t>
      </w:r>
      <w:r w:rsidR="00047A2B">
        <w:rPr>
          <w:b/>
        </w:rPr>
        <w:t xml:space="preserve"> </w:t>
      </w:r>
      <w:r w:rsidRPr="00994220">
        <w:rPr>
          <w:b/>
        </w:rPr>
        <w:t>thoroughly</w:t>
      </w:r>
      <w:r w:rsidR="00047A2B">
        <w:rPr>
          <w:b/>
        </w:rPr>
        <w:t xml:space="preserve"> </w:t>
      </w:r>
      <w:r w:rsidRPr="00994220">
        <w:rPr>
          <w:b/>
        </w:rPr>
        <w:t>investigated,</w:t>
      </w:r>
      <w:r w:rsidR="00047A2B">
        <w:rPr>
          <w:b/>
        </w:rPr>
        <w:t xml:space="preserve"> </w:t>
      </w:r>
      <w:r w:rsidRPr="00994220">
        <w:rPr>
          <w:b/>
        </w:rPr>
        <w:t>that</w:t>
      </w:r>
      <w:r w:rsidR="00047A2B">
        <w:rPr>
          <w:b/>
        </w:rPr>
        <w:t xml:space="preserve"> </w:t>
      </w:r>
      <w:r w:rsidRPr="00994220">
        <w:rPr>
          <w:b/>
        </w:rPr>
        <w:t>the</w:t>
      </w:r>
      <w:r w:rsidR="00047A2B">
        <w:rPr>
          <w:b/>
        </w:rPr>
        <w:t xml:space="preserve"> </w:t>
      </w:r>
      <w:r w:rsidRPr="00994220">
        <w:rPr>
          <w:b/>
        </w:rPr>
        <w:t>alleged</w:t>
      </w:r>
      <w:r w:rsidR="00047A2B">
        <w:rPr>
          <w:b/>
        </w:rPr>
        <w:t xml:space="preserve"> </w:t>
      </w:r>
      <w:r w:rsidRPr="00994220">
        <w:rPr>
          <w:b/>
        </w:rPr>
        <w:t>perpetrators</w:t>
      </w:r>
      <w:r w:rsidR="00047A2B">
        <w:rPr>
          <w:b/>
        </w:rPr>
        <w:t xml:space="preserve"> </w:t>
      </w:r>
      <w:r w:rsidRPr="00994220">
        <w:rPr>
          <w:b/>
        </w:rPr>
        <w:t>are</w:t>
      </w:r>
      <w:r w:rsidR="00047A2B">
        <w:rPr>
          <w:b/>
        </w:rPr>
        <w:t xml:space="preserve"> </w:t>
      </w:r>
      <w:r w:rsidRPr="00994220">
        <w:rPr>
          <w:b/>
        </w:rPr>
        <w:t>prosecuted</w:t>
      </w:r>
      <w:r w:rsidR="00047A2B">
        <w:rPr>
          <w:b/>
        </w:rPr>
        <w:t xml:space="preserve"> </w:t>
      </w:r>
      <w:r w:rsidRPr="00994220">
        <w:rPr>
          <w:b/>
        </w:rPr>
        <w:t>and,</w:t>
      </w:r>
      <w:r w:rsidR="00047A2B">
        <w:rPr>
          <w:b/>
        </w:rPr>
        <w:t xml:space="preserve"> </w:t>
      </w:r>
      <w:r w:rsidRPr="00994220">
        <w:rPr>
          <w:b/>
        </w:rPr>
        <w:t>if</w:t>
      </w:r>
      <w:r w:rsidR="00047A2B">
        <w:rPr>
          <w:b/>
        </w:rPr>
        <w:t xml:space="preserve"> </w:t>
      </w:r>
      <w:r w:rsidRPr="00994220">
        <w:rPr>
          <w:b/>
        </w:rPr>
        <w:t>convicted,</w:t>
      </w:r>
      <w:r w:rsidR="00047A2B">
        <w:rPr>
          <w:b/>
        </w:rPr>
        <w:t xml:space="preserve"> </w:t>
      </w:r>
      <w:r w:rsidRPr="00994220">
        <w:rPr>
          <w:b/>
        </w:rPr>
        <w:t>punished</w:t>
      </w:r>
      <w:r w:rsidR="00047A2B">
        <w:rPr>
          <w:b/>
        </w:rPr>
        <w:t xml:space="preserve"> </w:t>
      </w:r>
      <w:r w:rsidRPr="00994220">
        <w:rPr>
          <w:b/>
        </w:rPr>
        <w:t>appropriately,</w:t>
      </w:r>
      <w:r w:rsidR="00047A2B">
        <w:rPr>
          <w:b/>
        </w:rPr>
        <w:t xml:space="preserve"> </w:t>
      </w:r>
      <w:r w:rsidRPr="00994220">
        <w:rPr>
          <w:b/>
        </w:rPr>
        <w:t>and</w:t>
      </w:r>
      <w:r w:rsidR="00047A2B">
        <w:rPr>
          <w:b/>
        </w:rPr>
        <w:t xml:space="preserve"> </w:t>
      </w:r>
      <w:r w:rsidRPr="00994220">
        <w:rPr>
          <w:b/>
        </w:rPr>
        <w:t>that</w:t>
      </w:r>
      <w:r w:rsidR="00047A2B">
        <w:rPr>
          <w:b/>
        </w:rPr>
        <w:t xml:space="preserve"> </w:t>
      </w:r>
      <w:r w:rsidRPr="00994220">
        <w:rPr>
          <w:b/>
        </w:rPr>
        <w:t>the</w:t>
      </w:r>
      <w:r w:rsidR="00047A2B">
        <w:rPr>
          <w:b/>
        </w:rPr>
        <w:t xml:space="preserve"> </w:t>
      </w:r>
      <w:r w:rsidRPr="00994220">
        <w:rPr>
          <w:b/>
        </w:rPr>
        <w:t>victims</w:t>
      </w:r>
      <w:r w:rsidR="00047A2B">
        <w:rPr>
          <w:b/>
        </w:rPr>
        <w:t xml:space="preserve"> </w:t>
      </w:r>
      <w:r w:rsidRPr="00994220">
        <w:rPr>
          <w:b/>
        </w:rPr>
        <w:t>or</w:t>
      </w:r>
      <w:r w:rsidR="00047A2B">
        <w:rPr>
          <w:b/>
        </w:rPr>
        <w:t xml:space="preserve"> </w:t>
      </w:r>
      <w:r w:rsidRPr="00994220">
        <w:rPr>
          <w:b/>
        </w:rPr>
        <w:t>their</w:t>
      </w:r>
      <w:r w:rsidR="00047A2B">
        <w:rPr>
          <w:b/>
        </w:rPr>
        <w:t xml:space="preserve"> </w:t>
      </w:r>
      <w:r w:rsidRPr="00994220">
        <w:rPr>
          <w:b/>
        </w:rPr>
        <w:t>families</w:t>
      </w:r>
      <w:r w:rsidR="00047A2B">
        <w:rPr>
          <w:b/>
        </w:rPr>
        <w:t xml:space="preserve"> </w:t>
      </w:r>
      <w:r w:rsidRPr="00994220">
        <w:rPr>
          <w:b/>
        </w:rPr>
        <w:t>receive</w:t>
      </w:r>
      <w:r w:rsidR="00047A2B">
        <w:rPr>
          <w:b/>
        </w:rPr>
        <w:t xml:space="preserve"> </w:t>
      </w:r>
      <w:r w:rsidRPr="00994220">
        <w:rPr>
          <w:b/>
        </w:rPr>
        <w:t>redress,</w:t>
      </w:r>
      <w:r w:rsidR="00047A2B">
        <w:rPr>
          <w:b/>
        </w:rPr>
        <w:t xml:space="preserve"> </w:t>
      </w:r>
      <w:r w:rsidRPr="00994220">
        <w:rPr>
          <w:b/>
        </w:rPr>
        <w:t>including</w:t>
      </w:r>
      <w:r w:rsidR="00047A2B">
        <w:rPr>
          <w:b/>
        </w:rPr>
        <w:t xml:space="preserve"> </w:t>
      </w:r>
      <w:r w:rsidRPr="00994220">
        <w:rPr>
          <w:b/>
        </w:rPr>
        <w:t>adequate</w:t>
      </w:r>
      <w:r w:rsidR="00047A2B">
        <w:rPr>
          <w:b/>
        </w:rPr>
        <w:t xml:space="preserve"> </w:t>
      </w:r>
      <w:r w:rsidRPr="00994220">
        <w:rPr>
          <w:b/>
        </w:rPr>
        <w:t>compensation</w:t>
      </w:r>
      <w:r w:rsidR="00047A2B">
        <w:rPr>
          <w:b/>
        </w:rPr>
        <w:t xml:space="preserve"> </w:t>
      </w:r>
      <w:r w:rsidRPr="00994220">
        <w:rPr>
          <w:b/>
        </w:rPr>
        <w:t>and</w:t>
      </w:r>
      <w:r w:rsidR="00047A2B">
        <w:rPr>
          <w:b/>
        </w:rPr>
        <w:t xml:space="preserve"> </w:t>
      </w:r>
      <w:r w:rsidRPr="00994220">
        <w:rPr>
          <w:b/>
        </w:rPr>
        <w:t>appropriate</w:t>
      </w:r>
      <w:r w:rsidR="00047A2B">
        <w:rPr>
          <w:b/>
        </w:rPr>
        <w:t xml:space="preserve"> </w:t>
      </w:r>
      <w:r w:rsidRPr="00994220">
        <w:rPr>
          <w:b/>
        </w:rPr>
        <w:t>rehabilitation;</w:t>
      </w:r>
    </w:p>
    <w:p w14:paraId="4D81EBCB" w14:textId="6DED7D0D" w:rsidR="009C6799" w:rsidRPr="00994220" w:rsidRDefault="009C6799" w:rsidP="009C6799">
      <w:pPr>
        <w:pStyle w:val="SingleTxtG"/>
        <w:rPr>
          <w:b/>
        </w:rPr>
      </w:pPr>
      <w:r w:rsidRPr="00994220">
        <w:rPr>
          <w:b/>
        </w:rPr>
        <w:tab/>
      </w:r>
      <w:r w:rsidRPr="00994220">
        <w:rPr>
          <w:bCs/>
        </w:rPr>
        <w:t>(e)</w:t>
      </w:r>
      <w:r w:rsidRPr="00994220">
        <w:rPr>
          <w:b/>
        </w:rPr>
        <w:tab/>
        <w:t>Continue</w:t>
      </w:r>
      <w:r w:rsidR="00047A2B">
        <w:rPr>
          <w:b/>
        </w:rPr>
        <w:t xml:space="preserve"> </w:t>
      </w:r>
      <w:r w:rsidRPr="00994220">
        <w:rPr>
          <w:b/>
        </w:rPr>
        <w:t>to</w:t>
      </w:r>
      <w:r w:rsidR="00047A2B">
        <w:rPr>
          <w:b/>
        </w:rPr>
        <w:t xml:space="preserve"> </w:t>
      </w:r>
      <w:r w:rsidRPr="00994220">
        <w:rPr>
          <w:b/>
        </w:rPr>
        <w:t>provide</w:t>
      </w:r>
      <w:r w:rsidR="00047A2B">
        <w:rPr>
          <w:b/>
        </w:rPr>
        <w:t xml:space="preserve"> </w:t>
      </w:r>
      <w:r w:rsidRPr="00994220">
        <w:rPr>
          <w:b/>
        </w:rPr>
        <w:t>ongoing</w:t>
      </w:r>
      <w:r w:rsidR="00047A2B">
        <w:rPr>
          <w:b/>
        </w:rPr>
        <w:t xml:space="preserve"> </w:t>
      </w:r>
      <w:r w:rsidRPr="00994220">
        <w:rPr>
          <w:b/>
        </w:rPr>
        <w:t>training</w:t>
      </w:r>
      <w:r w:rsidR="00047A2B">
        <w:rPr>
          <w:b/>
        </w:rPr>
        <w:t xml:space="preserve"> </w:t>
      </w:r>
      <w:r w:rsidRPr="00994220">
        <w:rPr>
          <w:b/>
        </w:rPr>
        <w:t>on</w:t>
      </w:r>
      <w:r w:rsidR="00047A2B">
        <w:rPr>
          <w:b/>
        </w:rPr>
        <w:t xml:space="preserve"> </w:t>
      </w:r>
      <w:r w:rsidRPr="00994220">
        <w:rPr>
          <w:b/>
        </w:rPr>
        <w:t>gender-based</w:t>
      </w:r>
      <w:r w:rsidR="00047A2B">
        <w:rPr>
          <w:b/>
        </w:rPr>
        <w:t xml:space="preserve"> </w:t>
      </w:r>
      <w:r w:rsidRPr="00994220">
        <w:rPr>
          <w:b/>
        </w:rPr>
        <w:t>violence</w:t>
      </w:r>
      <w:r w:rsidR="00047A2B">
        <w:rPr>
          <w:b/>
        </w:rPr>
        <w:t xml:space="preserve"> </w:t>
      </w:r>
      <w:r w:rsidRPr="00994220">
        <w:rPr>
          <w:b/>
        </w:rPr>
        <w:t>and</w:t>
      </w:r>
      <w:r w:rsidR="00047A2B">
        <w:rPr>
          <w:b/>
        </w:rPr>
        <w:t xml:space="preserve"> </w:t>
      </w:r>
      <w:r w:rsidRPr="00994220">
        <w:rPr>
          <w:b/>
        </w:rPr>
        <w:t>domestic</w:t>
      </w:r>
      <w:r w:rsidR="00047A2B">
        <w:rPr>
          <w:b/>
        </w:rPr>
        <w:t xml:space="preserve"> </w:t>
      </w:r>
      <w:r w:rsidRPr="00994220">
        <w:rPr>
          <w:b/>
        </w:rPr>
        <w:t>violence</w:t>
      </w:r>
      <w:r w:rsidR="00047A2B">
        <w:rPr>
          <w:b/>
        </w:rPr>
        <w:t xml:space="preserve"> </w:t>
      </w:r>
      <w:r w:rsidRPr="00994220">
        <w:rPr>
          <w:b/>
        </w:rPr>
        <w:t>issues</w:t>
      </w:r>
      <w:r w:rsidR="00047A2B">
        <w:rPr>
          <w:b/>
        </w:rPr>
        <w:t xml:space="preserve"> </w:t>
      </w:r>
      <w:r w:rsidRPr="00994220">
        <w:rPr>
          <w:b/>
        </w:rPr>
        <w:t>for</w:t>
      </w:r>
      <w:r w:rsidR="00047A2B">
        <w:rPr>
          <w:b/>
        </w:rPr>
        <w:t xml:space="preserve"> </w:t>
      </w:r>
      <w:r w:rsidRPr="00994220">
        <w:rPr>
          <w:b/>
        </w:rPr>
        <w:t>law</w:t>
      </w:r>
      <w:r w:rsidR="00047A2B">
        <w:rPr>
          <w:b/>
        </w:rPr>
        <w:t xml:space="preserve"> </w:t>
      </w:r>
      <w:r w:rsidRPr="00994220">
        <w:rPr>
          <w:b/>
        </w:rPr>
        <w:t>enforcement</w:t>
      </w:r>
      <w:r w:rsidR="00047A2B">
        <w:rPr>
          <w:b/>
        </w:rPr>
        <w:t xml:space="preserve"> </w:t>
      </w:r>
      <w:r w:rsidRPr="00994220">
        <w:rPr>
          <w:b/>
        </w:rPr>
        <w:t>personnel,</w:t>
      </w:r>
      <w:r w:rsidR="00047A2B">
        <w:rPr>
          <w:b/>
        </w:rPr>
        <w:t xml:space="preserve"> </w:t>
      </w:r>
      <w:r w:rsidRPr="00994220">
        <w:rPr>
          <w:b/>
        </w:rPr>
        <w:t>judges,</w:t>
      </w:r>
      <w:r w:rsidR="00047A2B">
        <w:rPr>
          <w:b/>
        </w:rPr>
        <w:t xml:space="preserve"> </w:t>
      </w:r>
      <w:r w:rsidRPr="00994220">
        <w:rPr>
          <w:b/>
        </w:rPr>
        <w:t>lawyers,</w:t>
      </w:r>
      <w:r w:rsidR="00047A2B">
        <w:rPr>
          <w:b/>
        </w:rPr>
        <w:t xml:space="preserve"> </w:t>
      </w:r>
      <w:r w:rsidRPr="00994220">
        <w:rPr>
          <w:b/>
        </w:rPr>
        <w:t>medical</w:t>
      </w:r>
      <w:r w:rsidR="00047A2B">
        <w:rPr>
          <w:b/>
        </w:rPr>
        <w:t xml:space="preserve"> </w:t>
      </w:r>
      <w:r w:rsidRPr="00994220">
        <w:rPr>
          <w:b/>
        </w:rPr>
        <w:t>personnel</w:t>
      </w:r>
      <w:r w:rsidR="00047A2B">
        <w:rPr>
          <w:b/>
        </w:rPr>
        <w:t xml:space="preserve"> </w:t>
      </w:r>
      <w:r w:rsidRPr="00994220">
        <w:rPr>
          <w:b/>
        </w:rPr>
        <w:t>and</w:t>
      </w:r>
      <w:r w:rsidR="00047A2B">
        <w:rPr>
          <w:b/>
        </w:rPr>
        <w:t xml:space="preserve"> </w:t>
      </w:r>
      <w:r w:rsidRPr="00994220">
        <w:rPr>
          <w:b/>
        </w:rPr>
        <w:t>social</w:t>
      </w:r>
      <w:r w:rsidR="00047A2B">
        <w:rPr>
          <w:b/>
        </w:rPr>
        <w:t xml:space="preserve"> </w:t>
      </w:r>
      <w:r w:rsidRPr="00994220">
        <w:rPr>
          <w:b/>
        </w:rPr>
        <w:t>workers</w:t>
      </w:r>
      <w:r w:rsidR="00047A2B">
        <w:rPr>
          <w:b/>
        </w:rPr>
        <w:t xml:space="preserve"> </w:t>
      </w:r>
      <w:r w:rsidRPr="00994220">
        <w:rPr>
          <w:b/>
        </w:rPr>
        <w:t>who</w:t>
      </w:r>
      <w:r w:rsidR="00047A2B">
        <w:rPr>
          <w:b/>
        </w:rPr>
        <w:t xml:space="preserve"> </w:t>
      </w:r>
      <w:r w:rsidRPr="00994220">
        <w:rPr>
          <w:b/>
        </w:rPr>
        <w:t>interact</w:t>
      </w:r>
      <w:r w:rsidR="00047A2B">
        <w:rPr>
          <w:b/>
        </w:rPr>
        <w:t xml:space="preserve"> </w:t>
      </w:r>
      <w:r w:rsidRPr="00994220">
        <w:rPr>
          <w:b/>
        </w:rPr>
        <w:t>with</w:t>
      </w:r>
      <w:r w:rsidR="00047A2B">
        <w:rPr>
          <w:b/>
        </w:rPr>
        <w:t xml:space="preserve"> </w:t>
      </w:r>
      <w:r w:rsidRPr="00994220">
        <w:rPr>
          <w:b/>
        </w:rPr>
        <w:t>alleged</w:t>
      </w:r>
      <w:r w:rsidR="00047A2B">
        <w:rPr>
          <w:b/>
        </w:rPr>
        <w:t xml:space="preserve"> </w:t>
      </w:r>
      <w:r w:rsidRPr="00994220">
        <w:rPr>
          <w:b/>
        </w:rPr>
        <w:t>and</w:t>
      </w:r>
      <w:r w:rsidR="00047A2B">
        <w:rPr>
          <w:b/>
        </w:rPr>
        <w:t xml:space="preserve"> </w:t>
      </w:r>
      <w:r w:rsidRPr="00994220">
        <w:rPr>
          <w:b/>
        </w:rPr>
        <w:t>actual</w:t>
      </w:r>
      <w:r w:rsidR="00047A2B">
        <w:rPr>
          <w:b/>
        </w:rPr>
        <w:t xml:space="preserve"> </w:t>
      </w:r>
      <w:r w:rsidRPr="00994220">
        <w:rPr>
          <w:b/>
        </w:rPr>
        <w:t>victims,</w:t>
      </w:r>
      <w:r w:rsidR="00047A2B">
        <w:rPr>
          <w:b/>
        </w:rPr>
        <w:t xml:space="preserve"> </w:t>
      </w:r>
      <w:r w:rsidRPr="00994220">
        <w:rPr>
          <w:b/>
        </w:rPr>
        <w:t>in</w:t>
      </w:r>
      <w:r w:rsidR="00047A2B">
        <w:rPr>
          <w:b/>
        </w:rPr>
        <w:t xml:space="preserve"> </w:t>
      </w:r>
      <w:r w:rsidRPr="00994220">
        <w:rPr>
          <w:b/>
        </w:rPr>
        <w:t>order</w:t>
      </w:r>
      <w:r w:rsidR="00047A2B">
        <w:rPr>
          <w:b/>
        </w:rPr>
        <w:t xml:space="preserve"> </w:t>
      </w:r>
      <w:r w:rsidRPr="00994220">
        <w:rPr>
          <w:b/>
        </w:rPr>
        <w:t>to</w:t>
      </w:r>
      <w:r w:rsidR="00047A2B">
        <w:rPr>
          <w:b/>
        </w:rPr>
        <w:t xml:space="preserve"> </w:t>
      </w:r>
      <w:r w:rsidRPr="00994220">
        <w:rPr>
          <w:b/>
        </w:rPr>
        <w:t>prevent</w:t>
      </w:r>
      <w:r w:rsidR="00047A2B">
        <w:rPr>
          <w:b/>
        </w:rPr>
        <w:t xml:space="preserve"> </w:t>
      </w:r>
      <w:r w:rsidRPr="00994220">
        <w:rPr>
          <w:b/>
        </w:rPr>
        <w:t>and</w:t>
      </w:r>
      <w:r w:rsidR="00047A2B">
        <w:rPr>
          <w:b/>
        </w:rPr>
        <w:t xml:space="preserve"> </w:t>
      </w:r>
      <w:r w:rsidRPr="00994220">
        <w:rPr>
          <w:b/>
        </w:rPr>
        <w:t>prosecute</w:t>
      </w:r>
      <w:r w:rsidR="00047A2B">
        <w:rPr>
          <w:b/>
        </w:rPr>
        <w:t xml:space="preserve"> </w:t>
      </w:r>
      <w:r w:rsidRPr="00994220">
        <w:rPr>
          <w:b/>
        </w:rPr>
        <w:t>cases</w:t>
      </w:r>
      <w:r w:rsidR="00047A2B">
        <w:rPr>
          <w:b/>
        </w:rPr>
        <w:t xml:space="preserve"> </w:t>
      </w:r>
      <w:r w:rsidRPr="00994220">
        <w:rPr>
          <w:b/>
        </w:rPr>
        <w:t>of</w:t>
      </w:r>
      <w:r w:rsidR="00047A2B">
        <w:rPr>
          <w:b/>
        </w:rPr>
        <w:t xml:space="preserve"> </w:t>
      </w:r>
      <w:r w:rsidRPr="00994220">
        <w:rPr>
          <w:b/>
        </w:rPr>
        <w:t>gender-based</w:t>
      </w:r>
      <w:r w:rsidR="00047A2B">
        <w:rPr>
          <w:b/>
        </w:rPr>
        <w:t xml:space="preserve"> </w:t>
      </w:r>
      <w:r w:rsidRPr="00994220">
        <w:rPr>
          <w:b/>
        </w:rPr>
        <w:t>violence.</w:t>
      </w:r>
      <w:r w:rsidR="00047A2B">
        <w:rPr>
          <w:b/>
        </w:rPr>
        <w:t xml:space="preserve"> </w:t>
      </w:r>
    </w:p>
    <w:p w14:paraId="0C3FA02B" w14:textId="50401891" w:rsidR="009C6799" w:rsidRPr="00994220" w:rsidRDefault="009C6799" w:rsidP="009C6799">
      <w:pPr>
        <w:pStyle w:val="H23G"/>
        <w:rPr>
          <w:lang w:eastAsia="ko-KR"/>
        </w:rPr>
      </w:pPr>
      <w:r w:rsidRPr="00994220">
        <w:rPr>
          <w:lang w:eastAsia="ko-KR"/>
        </w:rPr>
        <w:tab/>
      </w:r>
      <w:r w:rsidRPr="00994220">
        <w:rPr>
          <w:lang w:eastAsia="ko-KR"/>
        </w:rPr>
        <w:tab/>
        <w:t>Trafficking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persons</w:t>
      </w:r>
      <w:r w:rsidR="00047A2B">
        <w:rPr>
          <w:lang w:eastAsia="ko-KR"/>
        </w:rPr>
        <w:t xml:space="preserve"> </w:t>
      </w:r>
    </w:p>
    <w:p w14:paraId="7FF047CA" w14:textId="418B28A8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rFonts w:eastAsia="Malgun Gothic"/>
          <w:lang w:eastAsia="ko-KR"/>
        </w:rPr>
        <w:t>36.</w:t>
      </w:r>
      <w:r w:rsidRPr="00994220">
        <w:rPr>
          <w:rFonts w:eastAsia="Malgun Gothic"/>
          <w:lang w:eastAsia="ko-KR"/>
        </w:rPr>
        <w:tab/>
      </w:r>
      <w:r w:rsidRPr="00994220">
        <w:rPr>
          <w:lang w:eastAsia="ko-KR"/>
        </w:rPr>
        <w:t>While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taking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significant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efforts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made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party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combat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trafficking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persons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assist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victims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trafficking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since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previous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review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period,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regrets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lack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standardized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data.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statistical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information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provided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number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offences,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investigated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offences,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prosecutions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initiated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conviction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decisions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indicates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rise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investigations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prosecutions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proportionate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rise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reported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offences.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also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figures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prosecutions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initiated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convictions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appear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relatively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low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(arts.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2,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12–14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16).</w:t>
      </w:r>
    </w:p>
    <w:p w14:paraId="3FFF1D19" w14:textId="42525536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rPr>
          <w:lang w:eastAsia="ko-KR"/>
        </w:rPr>
        <w:t>3</w:t>
      </w:r>
      <w:r w:rsidRPr="00994220">
        <w:rPr>
          <w:rFonts w:eastAsia="Malgun Gothic"/>
          <w:lang w:eastAsia="ko-KR"/>
        </w:rPr>
        <w:t>7</w:t>
      </w:r>
      <w:r w:rsidRPr="00994220">
        <w:rPr>
          <w:lang w:eastAsia="ko-KR"/>
        </w:rPr>
        <w:t>.</w:t>
      </w:r>
      <w:r w:rsidRPr="00994220">
        <w:rPr>
          <w:lang w:eastAsia="ko-KR"/>
        </w:rPr>
        <w:tab/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party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should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enhance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its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efforts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combat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trafficking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persons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prosecuting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punishing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perpetrators,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providing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adequate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protection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redress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victims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preventing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return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trafficked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persons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their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countries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origin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where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substantial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ground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believe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would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danger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torture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ill-treatment.</w:t>
      </w:r>
    </w:p>
    <w:p w14:paraId="390C26B8" w14:textId="77777777" w:rsidR="009C6799" w:rsidRPr="00994220" w:rsidRDefault="009C6799" w:rsidP="009C6799">
      <w:pPr>
        <w:pStyle w:val="H23G"/>
        <w:rPr>
          <w:lang w:eastAsia="ko-KR"/>
        </w:rPr>
      </w:pPr>
      <w:r w:rsidRPr="00994220">
        <w:rPr>
          <w:lang w:eastAsia="ko-KR"/>
        </w:rPr>
        <w:tab/>
      </w:r>
      <w:r w:rsidRPr="00994220">
        <w:rPr>
          <w:lang w:eastAsia="ko-KR"/>
        </w:rPr>
        <w:tab/>
        <w:t>Training</w:t>
      </w:r>
    </w:p>
    <w:p w14:paraId="22362422" w14:textId="4690CA6B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lang w:eastAsia="ko-KR"/>
        </w:rPr>
        <w:t>3</w:t>
      </w:r>
      <w:r w:rsidRPr="00994220">
        <w:rPr>
          <w:rFonts w:eastAsia="Malgun Gothic"/>
          <w:lang w:eastAsia="ko-KR"/>
        </w:rPr>
        <w:t>8</w:t>
      </w:r>
      <w:r w:rsidRPr="00994220">
        <w:rPr>
          <w:lang w:eastAsia="ko-KR"/>
        </w:rPr>
        <w:t>.</w:t>
      </w:r>
      <w:r w:rsidRPr="00994220">
        <w:rPr>
          <w:lang w:eastAsia="ko-KR"/>
        </w:rPr>
        <w:tab/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acknowledges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efforts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made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party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develop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implement,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allocate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resources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human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rights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training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programmes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law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enforcement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officials,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military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personnel,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coast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guard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officials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Migration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Agency,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including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those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deployed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internationally,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contain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modules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international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law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interviewing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techniques.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Nonetheless,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concerned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lack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information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evaluations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impact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those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programmes,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well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lack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specific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training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content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Convention.</w:t>
      </w:r>
    </w:p>
    <w:p w14:paraId="1214E42D" w14:textId="1E35DC44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rFonts w:eastAsia="Malgun Gothic"/>
          <w:lang w:eastAsia="ko-KR"/>
        </w:rPr>
        <w:t>39.</w:t>
      </w:r>
      <w:r w:rsidRPr="00994220">
        <w:rPr>
          <w:rFonts w:eastAsia="Malgun Gothic"/>
          <w:lang w:eastAsia="ko-KR"/>
        </w:rPr>
        <w:tab/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also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regrets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lack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specific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training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provided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law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enforcement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officials,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judges,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prosecutors,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forensic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doctors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medical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personnel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dealing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with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detained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persons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how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detect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document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physical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psychological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sequelae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torture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ill-treatment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(art.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10).</w:t>
      </w:r>
    </w:p>
    <w:p w14:paraId="46825230" w14:textId="03B7310B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rPr>
          <w:rFonts w:eastAsia="Malgun Gothic"/>
          <w:lang w:eastAsia="ko-KR"/>
        </w:rPr>
        <w:t>40</w:t>
      </w:r>
      <w:r w:rsidRPr="00994220">
        <w:rPr>
          <w:lang w:eastAsia="ko-KR"/>
        </w:rPr>
        <w:t>.</w:t>
      </w:r>
      <w:r w:rsidRPr="00994220">
        <w:rPr>
          <w:lang w:eastAsia="ko-KR"/>
        </w:rPr>
        <w:tab/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party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should:</w:t>
      </w:r>
    </w:p>
    <w:p w14:paraId="1097CBFD" w14:textId="78F42509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rPr>
          <w:b/>
          <w:lang w:eastAsia="ko-KR"/>
        </w:rPr>
        <w:tab/>
      </w:r>
      <w:r w:rsidRPr="00994220">
        <w:rPr>
          <w:bCs/>
          <w:lang w:eastAsia="ko-KR"/>
        </w:rPr>
        <w:t>(a)</w:t>
      </w:r>
      <w:r w:rsidRPr="00994220">
        <w:rPr>
          <w:bCs/>
          <w:lang w:eastAsia="ko-KR"/>
        </w:rPr>
        <w:tab/>
      </w:r>
      <w:r w:rsidRPr="00994220">
        <w:rPr>
          <w:b/>
          <w:lang w:eastAsia="ko-KR"/>
        </w:rPr>
        <w:t>Further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develop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mandatory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training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programmes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ensure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all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public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officials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well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acquainted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with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provisions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Convention;</w:t>
      </w:r>
      <w:r w:rsidR="00047A2B">
        <w:rPr>
          <w:b/>
          <w:lang w:eastAsia="ko-KR"/>
        </w:rPr>
        <w:t xml:space="preserve"> </w:t>
      </w:r>
    </w:p>
    <w:p w14:paraId="2A796681" w14:textId="14EEBE9E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rPr>
          <w:b/>
          <w:lang w:eastAsia="ko-KR"/>
        </w:rPr>
        <w:tab/>
      </w:r>
      <w:r w:rsidRPr="00994220">
        <w:rPr>
          <w:bCs/>
          <w:lang w:eastAsia="ko-KR"/>
        </w:rPr>
        <w:t>(b)</w:t>
      </w:r>
      <w:r w:rsidRPr="00994220">
        <w:rPr>
          <w:bCs/>
          <w:lang w:eastAsia="ko-KR"/>
        </w:rPr>
        <w:tab/>
      </w:r>
      <w:r w:rsidRPr="00994220">
        <w:rPr>
          <w:b/>
          <w:lang w:eastAsia="ko-KR"/>
        </w:rPr>
        <w:t>Ensure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all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relevant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staff,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including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medical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personnel,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specifically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trained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identify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cases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torture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ill-treatment,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accordance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with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Manual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Effective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Investigation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Documentation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Torture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Other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Cruel,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Inhuman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Degrading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Treatment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Punishment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(the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Istanbul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Protocol);</w:t>
      </w:r>
    </w:p>
    <w:p w14:paraId="0E5E222E" w14:textId="2039AD38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rPr>
          <w:b/>
          <w:lang w:eastAsia="ko-KR"/>
        </w:rPr>
        <w:tab/>
      </w:r>
      <w:r w:rsidRPr="00994220">
        <w:rPr>
          <w:bCs/>
          <w:lang w:eastAsia="ko-KR"/>
        </w:rPr>
        <w:t>(c)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ab/>
        <w:t>Develop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methodology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for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assessing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effectiveness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training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programmes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reducing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number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cases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torture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ill-treatment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ensuring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identification,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documentation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investigation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such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acts,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well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prosecution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those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responsible;</w:t>
      </w:r>
      <w:r w:rsidR="00047A2B">
        <w:rPr>
          <w:b/>
          <w:lang w:eastAsia="ko-KR"/>
        </w:rPr>
        <w:t xml:space="preserve"> </w:t>
      </w:r>
    </w:p>
    <w:p w14:paraId="4C5204D8" w14:textId="4173DF11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rPr>
          <w:b/>
          <w:lang w:eastAsia="ko-KR"/>
        </w:rPr>
        <w:tab/>
      </w:r>
      <w:r w:rsidRPr="00994220">
        <w:rPr>
          <w:bCs/>
          <w:lang w:eastAsia="ko-KR"/>
        </w:rPr>
        <w:t>(d)</w:t>
      </w:r>
      <w:r w:rsidRPr="00994220">
        <w:rPr>
          <w:bCs/>
          <w:lang w:eastAsia="ko-KR"/>
        </w:rPr>
        <w:tab/>
      </w:r>
      <w:r w:rsidRPr="00994220">
        <w:rPr>
          <w:b/>
          <w:lang w:eastAsia="ko-KR"/>
        </w:rPr>
        <w:t>Highlight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best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practices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training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nationally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internationally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sharing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expertise.</w:t>
      </w:r>
      <w:r w:rsidR="00047A2B">
        <w:rPr>
          <w:b/>
          <w:lang w:eastAsia="ko-KR"/>
        </w:rPr>
        <w:t xml:space="preserve"> </w:t>
      </w:r>
    </w:p>
    <w:p w14:paraId="0190ACE9" w14:textId="0B2F9B91" w:rsidR="009C6799" w:rsidRPr="00994220" w:rsidRDefault="009C6799" w:rsidP="009C6799">
      <w:pPr>
        <w:pStyle w:val="H23G"/>
        <w:rPr>
          <w:lang w:eastAsia="ko-KR"/>
        </w:rPr>
      </w:pPr>
      <w:r w:rsidRPr="00994220">
        <w:rPr>
          <w:lang w:eastAsia="ko-KR"/>
        </w:rPr>
        <w:lastRenderedPageBreak/>
        <w:tab/>
      </w:r>
      <w:r w:rsidRPr="00994220">
        <w:rPr>
          <w:lang w:eastAsia="ko-KR"/>
        </w:rPr>
        <w:tab/>
        <w:t>Data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collection</w:t>
      </w:r>
    </w:p>
    <w:p w14:paraId="26462357" w14:textId="3CF64022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rFonts w:eastAsia="Malgun Gothic"/>
          <w:lang w:eastAsia="ko-KR"/>
        </w:rPr>
        <w:t>41</w:t>
      </w:r>
      <w:r w:rsidRPr="00994220">
        <w:rPr>
          <w:lang w:eastAsia="ko-KR"/>
        </w:rPr>
        <w:t>.</w:t>
      </w:r>
      <w:r w:rsidRPr="00994220">
        <w:rPr>
          <w:b/>
          <w:lang w:eastAsia="ko-KR"/>
        </w:rPr>
        <w:tab/>
      </w:r>
      <w:r w:rsidRPr="00994220">
        <w:rPr>
          <w:lang w:eastAsia="ko-KR"/>
        </w:rPr>
        <w:t>While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some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statistics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have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been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provided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progress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digitalization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being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made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national,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regional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local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levels,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which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should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lead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more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effective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data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collection,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regrets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continued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overall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lack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comprehensive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disaggregated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data,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which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has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made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somewhat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challenging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="00734611">
        <w:rPr>
          <w:lang w:eastAsia="ko-KR"/>
        </w:rPr>
        <w:t xml:space="preserve">the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monitor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assess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implementation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Convention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party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national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level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(arts.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2,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12–14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16).</w:t>
      </w:r>
    </w:p>
    <w:p w14:paraId="6BC67906" w14:textId="2FA1DB34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rFonts w:eastAsia="Malgun Gothic"/>
          <w:lang w:eastAsia="ko-KR"/>
        </w:rPr>
        <w:t>42</w:t>
      </w:r>
      <w:r w:rsidRPr="00994220">
        <w:rPr>
          <w:lang w:eastAsia="ko-KR"/>
        </w:rPr>
        <w:t>.</w:t>
      </w:r>
      <w:r w:rsidRPr="00994220">
        <w:rPr>
          <w:lang w:eastAsia="ko-KR"/>
        </w:rPr>
        <w:tab/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party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should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ensure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that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its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new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digital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systems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have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capacity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compile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statistical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data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length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pretrial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detention,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solitary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confinement,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use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force,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complaints,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investigations,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prosecutions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convictions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cases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torture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ill-treatment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by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law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enforcement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prison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personnel;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gender-based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violence,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including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domestic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violence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trafficking;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hate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crimes;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use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coercive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measures;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means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of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redress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provided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victims,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including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compensation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rehabilitation.</w:t>
      </w:r>
    </w:p>
    <w:p w14:paraId="381DDE44" w14:textId="7E2B50C1" w:rsidR="009C6799" w:rsidRPr="00994220" w:rsidRDefault="009C6799" w:rsidP="009C6799">
      <w:pPr>
        <w:pStyle w:val="H23G"/>
        <w:rPr>
          <w:lang w:eastAsia="ko-KR"/>
        </w:rPr>
      </w:pPr>
      <w:r w:rsidRPr="00994220">
        <w:rPr>
          <w:lang w:eastAsia="ko-KR"/>
        </w:rPr>
        <w:tab/>
      </w:r>
      <w:r w:rsidRPr="00994220">
        <w:rPr>
          <w:lang w:eastAsia="ko-KR"/>
        </w:rPr>
        <w:tab/>
        <w:t>Redress,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including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compensation</w:t>
      </w:r>
    </w:p>
    <w:p w14:paraId="6CE4BB54" w14:textId="19E0C953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rFonts w:eastAsia="Malgun Gothic"/>
          <w:lang w:eastAsia="ko-KR"/>
        </w:rPr>
        <w:t>43</w:t>
      </w:r>
      <w:r w:rsidRPr="00994220">
        <w:rPr>
          <w:lang w:eastAsia="ko-KR"/>
        </w:rPr>
        <w:t>.</w:t>
      </w:r>
      <w:r w:rsidRPr="00994220">
        <w:rPr>
          <w:lang w:eastAsia="ko-KR"/>
        </w:rPr>
        <w:tab/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Committee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takes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note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extensive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information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provided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State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party’s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delegation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indicating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that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legislative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arrangements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regarding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redress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compliance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with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requirements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under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Convention.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also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appreciates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information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provided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cases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investigation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undertaken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special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investigations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department,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which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four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concerned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police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officers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custody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guards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concerned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prison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officer,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between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2018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2020.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Nevertheless,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observes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need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ongoing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systematic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documentation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redress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compensation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awards,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example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number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requests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for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compensation,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number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cases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where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compensation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has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been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granted,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amounts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ordered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and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provided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each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case,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order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to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facilitate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assessment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of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the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situation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in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a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comprehensive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manner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(art.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14).</w:t>
      </w:r>
    </w:p>
    <w:p w14:paraId="1DF3838C" w14:textId="449E8FBB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rFonts w:eastAsia="Malgun Gothic"/>
          <w:lang w:eastAsia="ko-KR"/>
        </w:rPr>
        <w:t>44</w:t>
      </w:r>
      <w:r w:rsidRPr="00994220">
        <w:rPr>
          <w:lang w:eastAsia="ko-KR"/>
        </w:rPr>
        <w:t>.</w:t>
      </w:r>
      <w:r w:rsidRPr="00994220">
        <w:rPr>
          <w:lang w:eastAsia="ko-KR"/>
        </w:rPr>
        <w:tab/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State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party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should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ensure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comprehensive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data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collection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all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redress,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including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compensation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rehabilitation,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provided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cases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pertaining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to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Convention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and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ensure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this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information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is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readily</w:t>
      </w:r>
      <w:r w:rsidR="00047A2B">
        <w:rPr>
          <w:b/>
          <w:lang w:eastAsia="ko-KR"/>
        </w:rPr>
        <w:t xml:space="preserve"> </w:t>
      </w:r>
      <w:r w:rsidRPr="00994220">
        <w:rPr>
          <w:b/>
          <w:lang w:eastAsia="ko-KR"/>
        </w:rPr>
        <w:t>available.</w:t>
      </w:r>
      <w:r w:rsidR="00047A2B">
        <w:rPr>
          <w:rFonts w:eastAsia="Malgun Gothic"/>
          <w:lang w:eastAsia="ko-KR"/>
        </w:rPr>
        <w:t xml:space="preserve"> </w:t>
      </w:r>
    </w:p>
    <w:p w14:paraId="220A596B" w14:textId="296E5BC7" w:rsidR="009C6799" w:rsidRPr="00994220" w:rsidRDefault="009C6799" w:rsidP="009C6799">
      <w:pPr>
        <w:pStyle w:val="H23G"/>
        <w:rPr>
          <w:lang w:eastAsia="ko-KR"/>
        </w:rPr>
      </w:pPr>
      <w:r w:rsidRPr="00994220">
        <w:rPr>
          <w:lang w:eastAsia="ko-KR"/>
        </w:rPr>
        <w:tab/>
      </w:r>
      <w:r w:rsidRPr="00994220">
        <w:rPr>
          <w:lang w:eastAsia="ko-KR"/>
        </w:rPr>
        <w:tab/>
        <w:t>Follow-up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procedure</w:t>
      </w:r>
    </w:p>
    <w:p w14:paraId="02152342" w14:textId="434011A4" w:rsidR="009C6799" w:rsidRPr="00994220" w:rsidRDefault="009C6799" w:rsidP="009C6799">
      <w:pPr>
        <w:pStyle w:val="SingleTxtG"/>
        <w:rPr>
          <w:b/>
          <w:lang w:eastAsia="ko-KR"/>
        </w:rPr>
      </w:pPr>
      <w:r w:rsidRPr="00994220">
        <w:t>45.</w:t>
      </w:r>
      <w:r w:rsidRPr="00994220">
        <w:tab/>
      </w:r>
      <w:r w:rsidRPr="00994220">
        <w:rPr>
          <w:b/>
          <w:bCs/>
        </w:rPr>
        <w:t>The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Committee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requests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the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State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party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to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provide,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by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3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December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2022,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information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on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follow-up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to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the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Committee’s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recommendations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on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the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definition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and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criminalization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of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torture,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on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the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imposition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of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restrictions,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including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solitary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confinement,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and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on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ensuring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identification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of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torture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victims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in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deportation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proceedings,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individual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review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of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deportation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decisions,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and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non-refoulement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(see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paras.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10,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16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and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22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above).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In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that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context,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the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State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party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is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invited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to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inform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the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Committee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about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its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plans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for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implementing,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within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the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coming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reporting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period,</w:t>
      </w:r>
      <w:r w:rsidR="00047A2B">
        <w:rPr>
          <w:b/>
          <w:bCs/>
        </w:rPr>
        <w:t xml:space="preserve"> </w:t>
      </w:r>
      <w:r w:rsidRPr="00994220">
        <w:rPr>
          <w:b/>
          <w:bCs/>
        </w:rPr>
        <w:t>some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or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all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of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the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remaining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recommendations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of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the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concluding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observations.</w:t>
      </w:r>
    </w:p>
    <w:p w14:paraId="7FF65617" w14:textId="4BEF2CE0" w:rsidR="009C6799" w:rsidRPr="00994220" w:rsidRDefault="009C6799" w:rsidP="009C6799">
      <w:pPr>
        <w:pStyle w:val="H23G"/>
        <w:rPr>
          <w:lang w:eastAsia="ko-KR"/>
        </w:rPr>
      </w:pPr>
      <w:r w:rsidRPr="00994220">
        <w:rPr>
          <w:lang w:eastAsia="ko-KR"/>
        </w:rPr>
        <w:tab/>
      </w:r>
      <w:r w:rsidRPr="00994220">
        <w:rPr>
          <w:lang w:eastAsia="ko-KR"/>
        </w:rPr>
        <w:tab/>
        <w:t>Other</w:t>
      </w:r>
      <w:r w:rsidR="00047A2B">
        <w:rPr>
          <w:lang w:eastAsia="ko-KR"/>
        </w:rPr>
        <w:t xml:space="preserve"> </w:t>
      </w:r>
      <w:r w:rsidRPr="00994220">
        <w:rPr>
          <w:lang w:eastAsia="ko-KR"/>
        </w:rPr>
        <w:t>issues</w:t>
      </w:r>
    </w:p>
    <w:p w14:paraId="2851BCA0" w14:textId="5A019790" w:rsidR="009C6799" w:rsidRPr="00994220" w:rsidRDefault="009C6799" w:rsidP="009C6799">
      <w:pPr>
        <w:pStyle w:val="SingleTxtG"/>
        <w:rPr>
          <w:lang w:eastAsia="ko-KR"/>
        </w:rPr>
      </w:pPr>
      <w:r w:rsidRPr="00994220">
        <w:rPr>
          <w:lang w:eastAsia="ko-KR"/>
        </w:rPr>
        <w:t>4</w:t>
      </w:r>
      <w:r w:rsidRPr="00994220">
        <w:rPr>
          <w:rFonts w:eastAsia="Malgun Gothic"/>
          <w:lang w:eastAsia="ko-KR"/>
        </w:rPr>
        <w:t>6</w:t>
      </w:r>
      <w:r w:rsidRPr="00994220">
        <w:rPr>
          <w:lang w:eastAsia="ko-KR"/>
        </w:rPr>
        <w:t>.</w:t>
      </w:r>
      <w:r w:rsidRPr="00994220">
        <w:rPr>
          <w:lang w:eastAsia="ko-KR"/>
        </w:rPr>
        <w:tab/>
      </w:r>
      <w:r w:rsidRPr="00994220">
        <w:rPr>
          <w:b/>
          <w:bCs/>
          <w:lang w:eastAsia="ko-KR"/>
        </w:rPr>
        <w:t>The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State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party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is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requested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to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widely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disseminate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the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report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submitted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to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the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Committee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and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the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present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concluding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observations,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in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appropriate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languages,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through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official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websites,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the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media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and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non-governmental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organizations</w:t>
      </w:r>
      <w:r w:rsidR="00047A2B">
        <w:rPr>
          <w:b/>
          <w:bCs/>
        </w:rPr>
        <w:t xml:space="preserve"> </w:t>
      </w:r>
      <w:r w:rsidRPr="00994220">
        <w:rPr>
          <w:b/>
          <w:bCs/>
          <w:lang w:eastAsia="ko-KR"/>
        </w:rPr>
        <w:t>and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to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inform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the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Committee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about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its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dissemination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activities.</w:t>
      </w:r>
    </w:p>
    <w:p w14:paraId="62BE11E0" w14:textId="324D5EBF" w:rsidR="009C6799" w:rsidRPr="00994220" w:rsidRDefault="009C6799" w:rsidP="009C6799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lang w:eastAsia="ko-KR"/>
        </w:rPr>
      </w:pPr>
      <w:r w:rsidRPr="00994220">
        <w:rPr>
          <w:lang w:eastAsia="ko-KR"/>
        </w:rPr>
        <w:t>4</w:t>
      </w:r>
      <w:r w:rsidRPr="00994220">
        <w:rPr>
          <w:rFonts w:eastAsia="Malgun Gothic"/>
          <w:lang w:eastAsia="ko-KR"/>
        </w:rPr>
        <w:t>7</w:t>
      </w:r>
      <w:r w:rsidRPr="00994220">
        <w:rPr>
          <w:lang w:eastAsia="ko-KR"/>
        </w:rPr>
        <w:t>.</w:t>
      </w:r>
      <w:r w:rsidRPr="00994220">
        <w:rPr>
          <w:lang w:eastAsia="ko-KR"/>
        </w:rPr>
        <w:tab/>
      </w:r>
      <w:r w:rsidRPr="00994220">
        <w:rPr>
          <w:b/>
          <w:bCs/>
          <w:lang w:eastAsia="ko-KR"/>
        </w:rPr>
        <w:t>The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Committee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requests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the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State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party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to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submit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its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next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periodic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report,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which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will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be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its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ninth,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by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3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December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2025.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For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that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purpose,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and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in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view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of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the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fact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that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the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State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party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has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agreed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to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report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to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the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Committee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under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the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simplified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reporting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procedure,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the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Committee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will,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in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due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course,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transmit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to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the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State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party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a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list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of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issues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prior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to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reporting.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The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State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party’s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replies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to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that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list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of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issues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will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</w:rPr>
        <w:t>constitute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its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ninth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periodic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report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under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article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19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of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the</w:t>
      </w:r>
      <w:r w:rsidR="00047A2B">
        <w:rPr>
          <w:b/>
          <w:bCs/>
          <w:lang w:eastAsia="ko-KR"/>
        </w:rPr>
        <w:t xml:space="preserve"> </w:t>
      </w:r>
      <w:r w:rsidRPr="00994220">
        <w:rPr>
          <w:b/>
          <w:bCs/>
          <w:lang w:eastAsia="ko-KR"/>
        </w:rPr>
        <w:t>Convention.</w:t>
      </w:r>
    </w:p>
    <w:p w14:paraId="30C0B0B8" w14:textId="77777777" w:rsidR="009C6799" w:rsidRPr="00994220" w:rsidRDefault="009C6799" w:rsidP="00734611">
      <w:pPr>
        <w:pStyle w:val="SingleTxtG"/>
        <w:spacing w:before="240"/>
        <w:jc w:val="center"/>
        <w:rPr>
          <w:u w:val="single"/>
        </w:rPr>
      </w:pPr>
      <w:r w:rsidRPr="00994220">
        <w:rPr>
          <w:u w:val="single"/>
        </w:rPr>
        <w:tab/>
      </w:r>
      <w:r w:rsidRPr="00994220">
        <w:rPr>
          <w:u w:val="single"/>
        </w:rPr>
        <w:tab/>
      </w:r>
      <w:r w:rsidRPr="00994220">
        <w:rPr>
          <w:u w:val="single"/>
        </w:rPr>
        <w:tab/>
      </w:r>
      <w:r w:rsidRPr="00994220">
        <w:rPr>
          <w:u w:val="single"/>
        </w:rPr>
        <w:tab/>
      </w:r>
    </w:p>
    <w:sectPr w:rsidR="009C6799" w:rsidRPr="00994220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0BADC" w14:textId="77777777" w:rsidR="00047A2B" w:rsidRPr="008779DC" w:rsidRDefault="00047A2B" w:rsidP="008779DC">
      <w:pPr>
        <w:pStyle w:val="Footer"/>
      </w:pPr>
    </w:p>
  </w:endnote>
  <w:endnote w:type="continuationSeparator" w:id="0">
    <w:p w14:paraId="56E3F410" w14:textId="77777777" w:rsidR="00047A2B" w:rsidRPr="008779DC" w:rsidRDefault="00047A2B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4A5B6" w14:textId="1566EFD1" w:rsidR="00047A2B" w:rsidRDefault="00047A2B" w:rsidP="009C6799">
    <w:pPr>
      <w:pStyle w:val="Footer"/>
      <w:tabs>
        <w:tab w:val="right" w:pos="9638"/>
      </w:tabs>
    </w:pPr>
    <w:r w:rsidRPr="009C6799">
      <w:rPr>
        <w:b/>
        <w:bCs/>
        <w:sz w:val="18"/>
      </w:rPr>
      <w:fldChar w:fldCharType="begin"/>
    </w:r>
    <w:r w:rsidRPr="009C6799">
      <w:rPr>
        <w:b/>
        <w:bCs/>
        <w:sz w:val="18"/>
      </w:rPr>
      <w:instrText xml:space="preserve"> PAGE  \* MERGEFORMAT </w:instrText>
    </w:r>
    <w:r w:rsidRPr="009C6799">
      <w:rPr>
        <w:b/>
        <w:bCs/>
        <w:sz w:val="18"/>
      </w:rPr>
      <w:fldChar w:fldCharType="separate"/>
    </w:r>
    <w:r w:rsidR="00C66910">
      <w:rPr>
        <w:b/>
        <w:bCs/>
        <w:noProof/>
        <w:sz w:val="18"/>
      </w:rPr>
      <w:t>8</w:t>
    </w:r>
    <w:r w:rsidRPr="009C6799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0F31E" w14:textId="2369D312" w:rsidR="00047A2B" w:rsidRDefault="00047A2B" w:rsidP="009C6799">
    <w:pPr>
      <w:pStyle w:val="Footer"/>
      <w:tabs>
        <w:tab w:val="right" w:pos="9638"/>
      </w:tabs>
    </w:pPr>
    <w:r>
      <w:tab/>
    </w:r>
    <w:r w:rsidRPr="009C6799">
      <w:rPr>
        <w:b/>
        <w:bCs/>
        <w:sz w:val="18"/>
      </w:rPr>
      <w:fldChar w:fldCharType="begin"/>
    </w:r>
    <w:r w:rsidRPr="009C6799">
      <w:rPr>
        <w:b/>
        <w:bCs/>
        <w:sz w:val="18"/>
      </w:rPr>
      <w:instrText xml:space="preserve"> PAGE  \* MERGEFORMAT </w:instrText>
    </w:r>
    <w:r w:rsidRPr="009C6799">
      <w:rPr>
        <w:b/>
        <w:bCs/>
        <w:sz w:val="18"/>
      </w:rPr>
      <w:fldChar w:fldCharType="separate"/>
    </w:r>
    <w:r w:rsidR="00C66910">
      <w:rPr>
        <w:b/>
        <w:bCs/>
        <w:noProof/>
        <w:sz w:val="18"/>
      </w:rPr>
      <w:t>9</w:t>
    </w:r>
    <w:r w:rsidRPr="009C6799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229DA" w14:textId="4E54940E" w:rsidR="0080107B" w:rsidRDefault="0080107B" w:rsidP="0080107B">
    <w:pPr>
      <w:pStyle w:val="Footer"/>
    </w:pPr>
    <w:bookmarkStart w:id="1" w:name="_GoBack"/>
    <w:bookmarkEnd w:id="1"/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32770A70" wp14:editId="1BD826C8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C0CF47" w14:textId="139D60BB" w:rsidR="0080107B" w:rsidRPr="0080107B" w:rsidRDefault="0080107B" w:rsidP="0080107B">
    <w:pPr>
      <w:pStyle w:val="Footer"/>
      <w:ind w:right="1134"/>
      <w:rPr>
        <w:sz w:val="20"/>
      </w:rPr>
    </w:pPr>
    <w:r>
      <w:rPr>
        <w:sz w:val="20"/>
      </w:rPr>
      <w:t>GE.21-19327(E)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ACDF4E7" wp14:editId="11B5FEA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70C2D" w14:textId="77777777" w:rsidR="00047A2B" w:rsidRPr="008779DC" w:rsidRDefault="00047A2B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3962ABB" w14:textId="77777777" w:rsidR="00047A2B" w:rsidRPr="008779DC" w:rsidRDefault="00047A2B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6B483D5C" w14:textId="69B170DA" w:rsidR="00047A2B" w:rsidRPr="00744C25" w:rsidRDefault="00047A2B" w:rsidP="002B5E62">
      <w:pPr>
        <w:pStyle w:val="FootnoteText"/>
      </w:pPr>
      <w:r>
        <w:tab/>
      </w:r>
      <w:r w:rsidRPr="002B5E62">
        <w:rPr>
          <w:sz w:val="20"/>
        </w:rPr>
        <w:t>*</w:t>
      </w:r>
      <w:r>
        <w:tab/>
      </w:r>
      <w:r w:rsidRPr="005F1CA5">
        <w:t>Adopted by the Committee at its seventy-second session (</w:t>
      </w:r>
      <w:bookmarkStart w:id="0" w:name="_Hlk89786757"/>
      <w:r w:rsidRPr="005F1CA5">
        <w:t>8 November</w:t>
      </w:r>
      <w:r>
        <w:t>–</w:t>
      </w:r>
      <w:r w:rsidRPr="005F1CA5">
        <w:t>3 December 2021</w:t>
      </w:r>
      <w:bookmarkEnd w:id="0"/>
      <w:r w:rsidRPr="005F1CA5">
        <w:t>).</w:t>
      </w:r>
    </w:p>
  </w:footnote>
  <w:footnote w:id="2">
    <w:p w14:paraId="4D66ED4E" w14:textId="7A78E532" w:rsidR="00047A2B" w:rsidRPr="00BA6FF9" w:rsidRDefault="00047A2B" w:rsidP="002B5E62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hyperlink r:id="rId1" w:history="1">
        <w:r w:rsidRPr="009C6799">
          <w:rPr>
            <w:rStyle w:val="Hyperlink"/>
          </w:rPr>
          <w:t>CAT/C/SWE/8</w:t>
        </w:r>
        <w:r w:rsidRPr="00047A2B">
          <w:rPr>
            <w:rStyle w:val="Hyperlink"/>
            <w:color w:val="auto"/>
          </w:rPr>
          <w:t>.</w:t>
        </w:r>
      </w:hyperlink>
    </w:p>
  </w:footnote>
  <w:footnote w:id="3">
    <w:p w14:paraId="00AA9EFC" w14:textId="6B311DA0" w:rsidR="00047A2B" w:rsidRPr="00BA6FF9" w:rsidRDefault="00047A2B" w:rsidP="002B5E62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>S</w:t>
      </w:r>
      <w:r w:rsidRPr="009C621A">
        <w:t xml:space="preserve">ee </w:t>
      </w:r>
      <w:hyperlink r:id="rId2" w:history="1">
        <w:r w:rsidRPr="009C6799">
          <w:rPr>
            <w:rStyle w:val="Hyperlink"/>
          </w:rPr>
          <w:t>CAT/C/SR.1842</w:t>
        </w:r>
      </w:hyperlink>
      <w:r w:rsidRPr="009C621A">
        <w:t xml:space="preserve"> and </w:t>
      </w:r>
      <w:hyperlink r:id="rId3" w:history="1">
        <w:r w:rsidRPr="009C6799">
          <w:rPr>
            <w:rStyle w:val="Hyperlink"/>
          </w:rPr>
          <w:t>CAT/C/SR.1845</w:t>
        </w:r>
        <w:r w:rsidRPr="00047A2B">
          <w:rPr>
            <w:rStyle w:val="Hyperlink"/>
            <w:color w:val="auto"/>
          </w:rPr>
          <w:t>.</w:t>
        </w:r>
      </w:hyperlink>
    </w:p>
  </w:footnote>
  <w:footnote w:id="4">
    <w:p w14:paraId="2CA1CE43" w14:textId="563188C3" w:rsidR="00047A2B" w:rsidRPr="00BA6FF9" w:rsidRDefault="00047A2B" w:rsidP="002B5E62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hyperlink r:id="rId4" w:history="1">
        <w:r w:rsidRPr="009C6799">
          <w:rPr>
            <w:rStyle w:val="Hyperlink"/>
          </w:rPr>
          <w:t>CAT/C/SWE/CO/6-7</w:t>
        </w:r>
      </w:hyperlink>
      <w:r w:rsidRPr="009C621A">
        <w:t>, para. 22</w:t>
      </w:r>
      <w:r>
        <w:t>.</w:t>
      </w:r>
    </w:p>
  </w:footnote>
  <w:footnote w:id="5">
    <w:p w14:paraId="5672BA54" w14:textId="4E75852C" w:rsidR="00047A2B" w:rsidRPr="00BA6FF9" w:rsidRDefault="00047A2B" w:rsidP="002B5E62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hyperlink r:id="rId5" w:history="1">
        <w:r w:rsidRPr="009C6799">
          <w:rPr>
            <w:rStyle w:val="Hyperlink"/>
          </w:rPr>
          <w:t>CAT/C/SWE/CO</w:t>
        </w:r>
        <w:r w:rsidRPr="009C6799">
          <w:rPr>
            <w:rStyle w:val="Hyperlink"/>
            <w:lang w:eastAsia="ko-KR"/>
          </w:rPr>
          <w:t>/6-7/Add.1</w:t>
        </w:r>
        <w:r w:rsidRPr="00047A2B">
          <w:rPr>
            <w:rStyle w:val="Hyperlink"/>
            <w:color w:val="auto"/>
            <w:lang w:eastAsia="ko-KR"/>
          </w:rPr>
          <w:t>.</w:t>
        </w:r>
      </w:hyperlink>
    </w:p>
  </w:footnote>
  <w:footnote w:id="6">
    <w:p w14:paraId="0A6313A1" w14:textId="77777777" w:rsidR="00047A2B" w:rsidRPr="00C87224" w:rsidRDefault="00047A2B" w:rsidP="002B5E62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See </w:t>
      </w:r>
      <w:r w:rsidRPr="000E007D">
        <w:t>https://tbinternet.ohchr.org/Treaties/CAT/Shared%20Documents/SWE/INT_CAT_FUL_SWE_25023_E.pdf</w:t>
      </w:r>
      <w:r>
        <w:t>.</w:t>
      </w:r>
    </w:p>
  </w:footnote>
  <w:footnote w:id="7">
    <w:p w14:paraId="15F4C0E3" w14:textId="3F6875AB" w:rsidR="00047A2B" w:rsidRPr="00BA6FF9" w:rsidRDefault="00047A2B" w:rsidP="002B5E62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hyperlink r:id="rId6" w:history="1">
        <w:r w:rsidRPr="009C6799">
          <w:rPr>
            <w:rStyle w:val="Hyperlink"/>
            <w:rFonts w:eastAsia="Malgun Gothic"/>
            <w:lang w:eastAsia="ko-KR"/>
          </w:rPr>
          <w:t>CAT/C/SWE/CO/6-7</w:t>
        </w:r>
      </w:hyperlink>
      <w:r w:rsidRPr="009C621A">
        <w:rPr>
          <w:rFonts w:eastAsia="Malgun Gothic"/>
          <w:lang w:eastAsia="ko-KR"/>
        </w:rPr>
        <w:t>, para. 6</w:t>
      </w:r>
      <w:r>
        <w:rPr>
          <w:rFonts w:eastAsia="Malgun Gothic"/>
          <w:lang w:eastAsia="ko-KR"/>
        </w:rPr>
        <w:t>.</w:t>
      </w:r>
    </w:p>
  </w:footnote>
  <w:footnote w:id="8">
    <w:p w14:paraId="69987D2F" w14:textId="6BEAF8A8" w:rsidR="00047A2B" w:rsidRPr="00BA6FF9" w:rsidRDefault="00047A2B" w:rsidP="002B5E62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See also </w:t>
      </w:r>
      <w:hyperlink r:id="rId7" w:history="1">
        <w:r w:rsidRPr="009C6799">
          <w:rPr>
            <w:rStyle w:val="Hyperlink"/>
            <w:rFonts w:eastAsia="Malgun Gothic"/>
            <w:lang w:eastAsia="ko-KR"/>
          </w:rPr>
          <w:t>CAT/C/5/Add.1</w:t>
        </w:r>
      </w:hyperlink>
      <w:r w:rsidRPr="009C621A">
        <w:rPr>
          <w:rFonts w:eastAsia="Malgun Gothic"/>
          <w:lang w:eastAsia="ko-KR"/>
        </w:rPr>
        <w:t>, paras. 1</w:t>
      </w:r>
      <w:r>
        <w:rPr>
          <w:rFonts w:eastAsia="Malgun Gothic"/>
          <w:lang w:eastAsia="ko-KR"/>
        </w:rPr>
        <w:t>–</w:t>
      </w:r>
      <w:r w:rsidRPr="009C621A">
        <w:rPr>
          <w:rFonts w:eastAsia="Malgun Gothic"/>
          <w:lang w:eastAsia="ko-KR"/>
        </w:rPr>
        <w:t>7</w:t>
      </w:r>
      <w:r>
        <w:rPr>
          <w:rFonts w:eastAsia="Malgun Gothic"/>
          <w:lang w:eastAsia="ko-KR"/>
        </w:rPr>
        <w:t>.</w:t>
      </w:r>
    </w:p>
  </w:footnote>
  <w:footnote w:id="9">
    <w:p w14:paraId="1A07612C" w14:textId="19F88C09" w:rsidR="00047A2B" w:rsidRPr="00BA6FF9" w:rsidRDefault="00047A2B" w:rsidP="002B5E62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hyperlink r:id="rId8" w:history="1">
        <w:r w:rsidRPr="009C6799">
          <w:rPr>
            <w:rStyle w:val="Hyperlink"/>
          </w:rPr>
          <w:t>CAT/C/SWE/8</w:t>
        </w:r>
      </w:hyperlink>
      <w:r>
        <w:t xml:space="preserve">, </w:t>
      </w:r>
      <w:r w:rsidRPr="009C621A">
        <w:rPr>
          <w:lang w:eastAsia="ko-KR"/>
        </w:rPr>
        <w:t>table 7</w:t>
      </w:r>
      <w:r>
        <w:rPr>
          <w:lang w:eastAsia="ko-KR"/>
        </w:rPr>
        <w:t>.</w:t>
      </w:r>
    </w:p>
  </w:footnote>
  <w:footnote w:id="10">
    <w:p w14:paraId="28279A72" w14:textId="77777777" w:rsidR="00047A2B" w:rsidRPr="00BA6FF9" w:rsidRDefault="00047A2B" w:rsidP="002B5E62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BA6FF9">
        <w:rPr>
          <w:bCs/>
          <w:lang w:eastAsia="ko-KR"/>
        </w:rPr>
        <w:t>General comment No. 2 (2007), para. 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A1B7F" w14:textId="77777777" w:rsidR="00047A2B" w:rsidRDefault="00047A2B" w:rsidP="009C6799">
    <w:pPr>
      <w:pStyle w:val="Header"/>
    </w:pPr>
    <w:r>
      <w:t>CAT/C/SWE/CO/8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9C9CF" w14:textId="77777777" w:rsidR="00047A2B" w:rsidRDefault="00047A2B" w:rsidP="009C6799">
    <w:pPr>
      <w:pStyle w:val="Header"/>
      <w:jc w:val="right"/>
    </w:pPr>
    <w:r>
      <w:t>CAT/C/SWE/CO/8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2B362816"/>
    <w:lvl w:ilvl="0" w:tplc="85C680DA">
      <w:start w:val="1"/>
      <w:numFmt w:val="decimal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ABA2F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023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6C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01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9A65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22F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61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64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82BDD"/>
    <w:multiLevelType w:val="hybridMultilevel"/>
    <w:tmpl w:val="130AC56E"/>
    <w:lvl w:ilvl="0" w:tplc="D3EA6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F4EB2"/>
    <w:multiLevelType w:val="hybridMultilevel"/>
    <w:tmpl w:val="CB6C816A"/>
    <w:lvl w:ilvl="0" w:tplc="B4E2EAA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43EE4CEA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2EE091AC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D626FF14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441E9D10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F2BCD8BC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48FC60AC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27E4DD98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A8A8BD58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584C22C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45E404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AD07B2"/>
    <w:multiLevelType w:val="hybridMultilevel"/>
    <w:tmpl w:val="7FEE3222"/>
    <w:lvl w:ilvl="0" w:tplc="F92E11F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94504C7C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ABFA1FE6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1390D626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1C0084B8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FEFC1A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1172C002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AAA2ADC4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C9FEC0F4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8"/>
  </w:num>
  <w:num w:numId="5">
    <w:abstractNumId w:val="19"/>
  </w:num>
  <w:num w:numId="6">
    <w:abstractNumId w:val="22"/>
  </w:num>
  <w:num w:numId="7">
    <w:abstractNumId w:val="12"/>
  </w:num>
  <w:num w:numId="8">
    <w:abstractNumId w:val="21"/>
  </w:num>
  <w:num w:numId="9">
    <w:abstractNumId w:val="16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DA1tjSyNDSzNLJQ0lEKTi0uzszPAykwNKkFAG3sLeItAAAA"/>
  </w:docVars>
  <w:rsids>
    <w:rsidRoot w:val="003B0D9D"/>
    <w:rsid w:val="000004EF"/>
    <w:rsid w:val="000367A1"/>
    <w:rsid w:val="00046E92"/>
    <w:rsid w:val="00047A2B"/>
    <w:rsid w:val="00062024"/>
    <w:rsid w:val="00091ABF"/>
    <w:rsid w:val="0011190E"/>
    <w:rsid w:val="00113E7B"/>
    <w:rsid w:val="00174FE0"/>
    <w:rsid w:val="001B598C"/>
    <w:rsid w:val="00247E2C"/>
    <w:rsid w:val="00254A4D"/>
    <w:rsid w:val="002B5E62"/>
    <w:rsid w:val="002C684E"/>
    <w:rsid w:val="002D6C53"/>
    <w:rsid w:val="002E0C8B"/>
    <w:rsid w:val="002F181B"/>
    <w:rsid w:val="002F5595"/>
    <w:rsid w:val="002F7D86"/>
    <w:rsid w:val="00317954"/>
    <w:rsid w:val="0032129C"/>
    <w:rsid w:val="00334F6A"/>
    <w:rsid w:val="00342AC8"/>
    <w:rsid w:val="00354EB9"/>
    <w:rsid w:val="00372E4B"/>
    <w:rsid w:val="003B0D9D"/>
    <w:rsid w:val="003B42AF"/>
    <w:rsid w:val="003B4550"/>
    <w:rsid w:val="00436EB9"/>
    <w:rsid w:val="00461253"/>
    <w:rsid w:val="004A635B"/>
    <w:rsid w:val="004A6B08"/>
    <w:rsid w:val="004D4BDA"/>
    <w:rsid w:val="004F256F"/>
    <w:rsid w:val="005042C2"/>
    <w:rsid w:val="005150EB"/>
    <w:rsid w:val="00515592"/>
    <w:rsid w:val="00535834"/>
    <w:rsid w:val="0054620A"/>
    <w:rsid w:val="005869C8"/>
    <w:rsid w:val="006365DF"/>
    <w:rsid w:val="00671529"/>
    <w:rsid w:val="006A7265"/>
    <w:rsid w:val="006E1B45"/>
    <w:rsid w:val="007237F2"/>
    <w:rsid w:val="007268F9"/>
    <w:rsid w:val="007309C0"/>
    <w:rsid w:val="00734611"/>
    <w:rsid w:val="007B0CE3"/>
    <w:rsid w:val="007C52B0"/>
    <w:rsid w:val="0080107B"/>
    <w:rsid w:val="00866CD3"/>
    <w:rsid w:val="008779DC"/>
    <w:rsid w:val="008A5333"/>
    <w:rsid w:val="008B5F85"/>
    <w:rsid w:val="008E6FA3"/>
    <w:rsid w:val="00917EBA"/>
    <w:rsid w:val="0093545A"/>
    <w:rsid w:val="009411B4"/>
    <w:rsid w:val="00994220"/>
    <w:rsid w:val="009C6799"/>
    <w:rsid w:val="009D0139"/>
    <w:rsid w:val="009E22DE"/>
    <w:rsid w:val="009F5CDC"/>
    <w:rsid w:val="00A13191"/>
    <w:rsid w:val="00A43F01"/>
    <w:rsid w:val="00A775CF"/>
    <w:rsid w:val="00AA1533"/>
    <w:rsid w:val="00AE2550"/>
    <w:rsid w:val="00AF4E36"/>
    <w:rsid w:val="00B06045"/>
    <w:rsid w:val="00B4355D"/>
    <w:rsid w:val="00B43930"/>
    <w:rsid w:val="00BD7379"/>
    <w:rsid w:val="00C27CE2"/>
    <w:rsid w:val="00C33E25"/>
    <w:rsid w:val="00C35A27"/>
    <w:rsid w:val="00C66910"/>
    <w:rsid w:val="00C77619"/>
    <w:rsid w:val="00C9269A"/>
    <w:rsid w:val="00D21609"/>
    <w:rsid w:val="00D926E5"/>
    <w:rsid w:val="00DB4722"/>
    <w:rsid w:val="00DC4F13"/>
    <w:rsid w:val="00E00D7B"/>
    <w:rsid w:val="00E02C2B"/>
    <w:rsid w:val="00E204D7"/>
    <w:rsid w:val="00E67689"/>
    <w:rsid w:val="00E67FFB"/>
    <w:rsid w:val="00E72E1A"/>
    <w:rsid w:val="00EC5EC0"/>
    <w:rsid w:val="00ED6C48"/>
    <w:rsid w:val="00EF3559"/>
    <w:rsid w:val="00F022BB"/>
    <w:rsid w:val="00F04DB0"/>
    <w:rsid w:val="00F35A66"/>
    <w:rsid w:val="00F52D40"/>
    <w:rsid w:val="00F61731"/>
    <w:rsid w:val="00F65F5D"/>
    <w:rsid w:val="00F86A3A"/>
    <w:rsid w:val="00FA6B47"/>
    <w:rsid w:val="00FA6FE3"/>
    <w:rsid w:val="00FC1527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2949EEC0"/>
  <w15:docId w15:val="{D39FEEBE-0431-4CCD-9896-A8BFFA2F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5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317954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qFormat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317954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semiHidden/>
    <w:rsid w:val="009C6799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C6799"/>
    <w:rPr>
      <w:color w:val="0000FF"/>
      <w:u w:val="none"/>
    </w:rPr>
  </w:style>
  <w:style w:type="table" w:customStyle="1" w:styleId="Tablaconcuadrcula1">
    <w:name w:val="Tabla con cuadrícula1"/>
    <w:basedOn w:val="TableNormal"/>
    <w:rsid w:val="009C679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">
    <w:name w:val="Table Grid1"/>
    <w:basedOn w:val="TableNormal"/>
    <w:rsid w:val="009C679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6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7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79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9C6799"/>
    <w:pPr>
      <w:suppressAutoHyphens w:val="0"/>
      <w:spacing w:line="240" w:lineRule="auto"/>
    </w:pPr>
    <w:rPr>
      <w:rFonts w:eastAsia="SimSu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9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en/CAT/C/SWE/8" TargetMode="External"/><Relationship Id="rId3" Type="http://schemas.openxmlformats.org/officeDocument/2006/relationships/hyperlink" Target="http://undocs.org/en/CAT/C/SR.1845" TargetMode="External"/><Relationship Id="rId7" Type="http://schemas.openxmlformats.org/officeDocument/2006/relationships/hyperlink" Target="http://undocs.org/en/CAT/C/5/Add.1" TargetMode="External"/><Relationship Id="rId2" Type="http://schemas.openxmlformats.org/officeDocument/2006/relationships/hyperlink" Target="http://undocs.org/en/CAT/C/SR.1842" TargetMode="External"/><Relationship Id="rId1" Type="http://schemas.openxmlformats.org/officeDocument/2006/relationships/hyperlink" Target="http://undocs.org/en/CAT/C/SWE/8" TargetMode="External"/><Relationship Id="rId6" Type="http://schemas.openxmlformats.org/officeDocument/2006/relationships/hyperlink" Target="http://undocs.org/en/CAT/C/SWE/CO/6-7" TargetMode="External"/><Relationship Id="rId5" Type="http://schemas.openxmlformats.org/officeDocument/2006/relationships/hyperlink" Target="http://undocs.org/en/CAT/C/SWE/CO/6-7/Add.1" TargetMode="External"/><Relationship Id="rId4" Type="http://schemas.openxmlformats.org/officeDocument/2006/relationships/hyperlink" Target="http://undocs.org/en/CAT/C/SWE/CO/6-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0699-7C3F-453A-9DAB-66C841CD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9</Pages>
  <Words>4881</Words>
  <Characters>27343</Characters>
  <Application>Microsoft Office Word</Application>
  <DocSecurity>0</DocSecurity>
  <Lines>439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CAT/C/SWE/CO/8</vt:lpstr>
    </vt:vector>
  </TitlesOfParts>
  <Company>DCM</Company>
  <LinksUpToDate>false</LinksUpToDate>
  <CharactersWithSpaces>32224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CAT/C/SWE/CO/8</dc:title>
  <dc:subject>2119327</dc:subject>
  <dc:creator>CPM</dc:creator>
  <cp:keywords/>
  <dc:description/>
  <cp:lastModifiedBy>Maria Rosario Corazon Gatmaytan</cp:lastModifiedBy>
  <cp:revision>2</cp:revision>
  <dcterms:created xsi:type="dcterms:W3CDTF">2021-12-20T12:52:00Z</dcterms:created>
  <dcterms:modified xsi:type="dcterms:W3CDTF">2021-12-20T12:52:00Z</dcterms:modified>
</cp:coreProperties>
</file>