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RPr="00531AD4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531AD4" w:rsidRDefault="00307688" w:rsidP="00C01462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531AD4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31AD4">
              <w:rPr>
                <w:sz w:val="28"/>
                <w:szCs w:val="28"/>
              </w:rPr>
              <w:t>United</w:t>
            </w:r>
            <w:r w:rsidR="00A74AC2" w:rsidRPr="00531AD4">
              <w:rPr>
                <w:sz w:val="28"/>
                <w:szCs w:val="28"/>
              </w:rPr>
              <w:t xml:space="preserve"> </w:t>
            </w:r>
            <w:r w:rsidRPr="00531AD4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531AD4" w:rsidRDefault="00C5372E" w:rsidP="00C5372E">
            <w:pPr>
              <w:suppressAutoHyphens w:val="0"/>
              <w:spacing w:after="20"/>
              <w:jc w:val="right"/>
            </w:pPr>
            <w:r w:rsidRPr="00531AD4">
              <w:rPr>
                <w:sz w:val="40"/>
              </w:rPr>
              <w:t>CERD</w:t>
            </w:r>
            <w:r w:rsidRPr="00531AD4">
              <w:t>/C/SAU/CO/4-9</w:t>
            </w:r>
          </w:p>
        </w:tc>
      </w:tr>
      <w:tr w:rsidR="00307688" w:rsidRPr="00531AD4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Pr="00531AD4" w:rsidRDefault="00307688" w:rsidP="00C01462">
            <w:pPr>
              <w:spacing w:before="120"/>
              <w:jc w:val="center"/>
            </w:pPr>
            <w:r w:rsidRPr="00531AD4">
              <w:rPr>
                <w:noProof/>
                <w:lang w:eastAsia="zh-CN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1249FF" w:rsidRDefault="00307688" w:rsidP="001249FF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531AD4">
              <w:rPr>
                <w:b/>
                <w:sz w:val="34"/>
                <w:szCs w:val="40"/>
              </w:rPr>
              <w:t>International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Convention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on</w:t>
            </w:r>
            <w:r w:rsidRPr="00531AD4">
              <w:rPr>
                <w:b/>
                <w:sz w:val="34"/>
                <w:szCs w:val="40"/>
              </w:rPr>
              <w:br/>
              <w:t>the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Elimination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of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All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Forms</w:t>
            </w:r>
            <w:r w:rsidRPr="00531AD4">
              <w:rPr>
                <w:b/>
                <w:sz w:val="34"/>
                <w:szCs w:val="40"/>
              </w:rPr>
              <w:br/>
              <w:t>of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Racial</w:t>
            </w:r>
            <w:r w:rsidR="00A74AC2" w:rsidRPr="00531AD4">
              <w:rPr>
                <w:b/>
                <w:sz w:val="34"/>
                <w:szCs w:val="40"/>
              </w:rPr>
              <w:t xml:space="preserve"> </w:t>
            </w:r>
            <w:r w:rsidRPr="00531AD4">
              <w:rPr>
                <w:b/>
                <w:sz w:val="34"/>
                <w:szCs w:val="40"/>
              </w:rPr>
              <w:t>Discrimination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Pr="00531AD4" w:rsidRDefault="00C5372E" w:rsidP="00C5372E">
            <w:pPr>
              <w:spacing w:before="240"/>
            </w:pPr>
            <w:r w:rsidRPr="00531AD4">
              <w:t>Distr.:</w:t>
            </w:r>
            <w:r w:rsidR="00A74AC2" w:rsidRPr="00531AD4">
              <w:t xml:space="preserve"> </w:t>
            </w:r>
            <w:r w:rsidRPr="00531AD4">
              <w:t>General</w:t>
            </w:r>
          </w:p>
          <w:p w:rsidR="00C5372E" w:rsidRPr="00531AD4" w:rsidRDefault="00C5372E" w:rsidP="00C5372E">
            <w:pPr>
              <w:suppressAutoHyphens w:val="0"/>
            </w:pPr>
            <w:r w:rsidRPr="00531AD4">
              <w:t>8</w:t>
            </w:r>
            <w:r w:rsidR="00A74AC2" w:rsidRPr="00531AD4">
              <w:t xml:space="preserve"> </w:t>
            </w:r>
            <w:r w:rsidRPr="00531AD4">
              <w:t>June</w:t>
            </w:r>
            <w:r w:rsidR="00A74AC2" w:rsidRPr="00531AD4">
              <w:t xml:space="preserve"> </w:t>
            </w:r>
            <w:r w:rsidRPr="00531AD4">
              <w:t>2018</w:t>
            </w:r>
          </w:p>
          <w:p w:rsidR="00C5372E" w:rsidRPr="00531AD4" w:rsidRDefault="00C5372E" w:rsidP="00C5372E">
            <w:pPr>
              <w:suppressAutoHyphens w:val="0"/>
            </w:pPr>
          </w:p>
          <w:p w:rsidR="00C5372E" w:rsidRPr="00531AD4" w:rsidRDefault="00C5372E" w:rsidP="00C5372E">
            <w:pPr>
              <w:suppressAutoHyphens w:val="0"/>
            </w:pPr>
            <w:r w:rsidRPr="00531AD4">
              <w:t>Original:</w:t>
            </w:r>
            <w:r w:rsidR="00A74AC2" w:rsidRPr="00531AD4">
              <w:t xml:space="preserve"> </w:t>
            </w:r>
            <w:r w:rsidRPr="00531AD4">
              <w:t>English</w:t>
            </w:r>
          </w:p>
        </w:tc>
      </w:tr>
    </w:tbl>
    <w:p w:rsidR="00C5372E" w:rsidRPr="00531AD4" w:rsidRDefault="00C5372E" w:rsidP="00F610A2">
      <w:pPr>
        <w:spacing w:before="120"/>
        <w:rPr>
          <w:b/>
          <w:bCs/>
          <w:sz w:val="24"/>
          <w:szCs w:val="24"/>
        </w:rPr>
      </w:pPr>
      <w:r w:rsidRPr="00531AD4">
        <w:rPr>
          <w:b/>
          <w:bCs/>
          <w:sz w:val="24"/>
          <w:szCs w:val="24"/>
        </w:rPr>
        <w:t>Committee</w:t>
      </w:r>
      <w:r w:rsidR="00A74AC2" w:rsidRPr="00531AD4">
        <w:rPr>
          <w:b/>
          <w:bCs/>
          <w:sz w:val="24"/>
          <w:szCs w:val="24"/>
        </w:rPr>
        <w:t xml:space="preserve"> </w:t>
      </w:r>
      <w:r w:rsidRPr="00531AD4">
        <w:rPr>
          <w:b/>
          <w:bCs/>
          <w:sz w:val="24"/>
          <w:szCs w:val="24"/>
        </w:rPr>
        <w:t>on</w:t>
      </w:r>
      <w:r w:rsidR="00A74AC2" w:rsidRPr="00531AD4">
        <w:rPr>
          <w:b/>
          <w:bCs/>
          <w:sz w:val="24"/>
          <w:szCs w:val="24"/>
        </w:rPr>
        <w:t xml:space="preserve"> </w:t>
      </w:r>
      <w:r w:rsidRPr="00531AD4">
        <w:rPr>
          <w:b/>
          <w:bCs/>
          <w:sz w:val="24"/>
          <w:szCs w:val="24"/>
        </w:rPr>
        <w:t>the</w:t>
      </w:r>
      <w:r w:rsidR="00A74AC2" w:rsidRPr="00531AD4">
        <w:rPr>
          <w:b/>
          <w:bCs/>
          <w:sz w:val="24"/>
          <w:szCs w:val="24"/>
        </w:rPr>
        <w:t xml:space="preserve"> </w:t>
      </w:r>
      <w:r w:rsidRPr="00531AD4">
        <w:rPr>
          <w:b/>
          <w:bCs/>
          <w:sz w:val="24"/>
          <w:szCs w:val="24"/>
        </w:rPr>
        <w:t>Elimination</w:t>
      </w:r>
      <w:r w:rsidR="00A74AC2" w:rsidRPr="00531AD4">
        <w:rPr>
          <w:b/>
          <w:bCs/>
          <w:sz w:val="24"/>
          <w:szCs w:val="24"/>
        </w:rPr>
        <w:t xml:space="preserve"> </w:t>
      </w:r>
      <w:r w:rsidRPr="00531AD4">
        <w:rPr>
          <w:b/>
          <w:bCs/>
          <w:sz w:val="24"/>
          <w:szCs w:val="24"/>
        </w:rPr>
        <w:t>of</w:t>
      </w:r>
      <w:r w:rsidR="00A74AC2" w:rsidRPr="00531AD4">
        <w:rPr>
          <w:b/>
          <w:bCs/>
          <w:sz w:val="24"/>
          <w:szCs w:val="24"/>
        </w:rPr>
        <w:t xml:space="preserve"> </w:t>
      </w:r>
      <w:r w:rsidRPr="00531AD4">
        <w:rPr>
          <w:b/>
          <w:bCs/>
          <w:sz w:val="24"/>
          <w:szCs w:val="24"/>
        </w:rPr>
        <w:t>Racial</w:t>
      </w:r>
      <w:r w:rsidR="00A74AC2" w:rsidRPr="00531AD4">
        <w:rPr>
          <w:b/>
          <w:bCs/>
          <w:sz w:val="24"/>
          <w:szCs w:val="24"/>
        </w:rPr>
        <w:t xml:space="preserve"> </w:t>
      </w:r>
      <w:r w:rsidRPr="00531AD4">
        <w:rPr>
          <w:b/>
          <w:bCs/>
          <w:sz w:val="24"/>
          <w:szCs w:val="24"/>
        </w:rPr>
        <w:t>Discrimination</w:t>
      </w:r>
      <w:r w:rsidR="00A74AC2" w:rsidRPr="00531AD4">
        <w:rPr>
          <w:b/>
          <w:bCs/>
          <w:sz w:val="24"/>
          <w:szCs w:val="24"/>
        </w:rPr>
        <w:t xml:space="preserve"> </w:t>
      </w:r>
    </w:p>
    <w:p w:rsidR="00C5372E" w:rsidRPr="00531AD4" w:rsidRDefault="00C5372E" w:rsidP="00F610A2">
      <w:pPr>
        <w:pStyle w:val="HChG"/>
      </w:pPr>
      <w:r w:rsidRPr="00531AD4">
        <w:tab/>
      </w:r>
      <w:r w:rsidRPr="00531AD4">
        <w:tab/>
        <w:t>Concluding</w:t>
      </w:r>
      <w:r w:rsidR="00A74AC2" w:rsidRPr="00531AD4">
        <w:t xml:space="preserve"> </w:t>
      </w:r>
      <w:r w:rsidRPr="00531AD4">
        <w:t>observations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combined</w:t>
      </w:r>
      <w:r w:rsidR="00A74AC2" w:rsidRPr="00531AD4">
        <w:t xml:space="preserve"> </w:t>
      </w:r>
      <w:r w:rsidRPr="00531AD4">
        <w:t>fourth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ninth</w:t>
      </w:r>
      <w:r w:rsidR="00A74AC2" w:rsidRPr="00531AD4">
        <w:t xml:space="preserve"> </w:t>
      </w:r>
      <w:r w:rsidRPr="00531AD4">
        <w:t>periodic</w:t>
      </w:r>
      <w:r w:rsidR="00A74AC2" w:rsidRPr="00531AD4">
        <w:t xml:space="preserve"> </w:t>
      </w:r>
      <w:r w:rsidRPr="00531AD4">
        <w:t>reports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Saudi</w:t>
      </w:r>
      <w:r w:rsidR="00A74AC2" w:rsidRPr="00531AD4">
        <w:t xml:space="preserve"> </w:t>
      </w:r>
      <w:r w:rsidRPr="00531AD4">
        <w:t>Arabia</w:t>
      </w:r>
      <w:r w:rsidR="00F610A2" w:rsidRPr="00531AD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A74AC2" w:rsidRPr="00531AD4">
        <w:rPr>
          <w:b w:val="0"/>
          <w:bCs/>
        </w:rPr>
        <w:t xml:space="preserve"> </w:t>
      </w:r>
    </w:p>
    <w:p w:rsidR="00C5372E" w:rsidRPr="00531AD4" w:rsidRDefault="00C5372E" w:rsidP="00F610A2">
      <w:pPr>
        <w:pStyle w:val="SingleTxtG"/>
      </w:pPr>
      <w:r w:rsidRPr="00531AD4">
        <w:t>1.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considered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combined</w:t>
      </w:r>
      <w:r w:rsidR="00A74AC2" w:rsidRPr="00531AD4">
        <w:t xml:space="preserve"> </w:t>
      </w:r>
      <w:r w:rsidRPr="00531AD4">
        <w:t>fourth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ninth</w:t>
      </w:r>
      <w:r w:rsidR="00A74AC2" w:rsidRPr="00531AD4">
        <w:t xml:space="preserve"> </w:t>
      </w:r>
      <w:r w:rsidRPr="00531AD4">
        <w:t>periodic</w:t>
      </w:r>
      <w:r w:rsidR="00A74AC2" w:rsidRPr="00531AD4">
        <w:t xml:space="preserve"> </w:t>
      </w:r>
      <w:r w:rsidRPr="00531AD4">
        <w:t>reports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Saudi</w:t>
      </w:r>
      <w:r w:rsidR="00A74AC2" w:rsidRPr="00531AD4">
        <w:t xml:space="preserve"> </w:t>
      </w:r>
      <w:bookmarkStart w:id="0" w:name="_GoBack"/>
      <w:r w:rsidRPr="00531AD4">
        <w:t>A</w:t>
      </w:r>
      <w:bookmarkEnd w:id="0"/>
      <w:r w:rsidRPr="00531AD4">
        <w:t>rabia</w:t>
      </w:r>
      <w:r w:rsidR="00A74AC2" w:rsidRPr="00531AD4">
        <w:t xml:space="preserve"> </w:t>
      </w:r>
      <w:r w:rsidRPr="00531AD4">
        <w:t>(CERD/C/SAU/4-9),</w:t>
      </w:r>
      <w:r w:rsidR="00A74AC2" w:rsidRPr="00531AD4">
        <w:t xml:space="preserve"> </w:t>
      </w:r>
      <w:r w:rsidRPr="00531AD4">
        <w:t>submitted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one</w:t>
      </w:r>
      <w:r w:rsidR="00A74AC2" w:rsidRPr="00531AD4">
        <w:t xml:space="preserve"> </w:t>
      </w:r>
      <w:r w:rsidRPr="00531AD4">
        <w:t>document,</w:t>
      </w:r>
      <w:r w:rsidR="00A74AC2" w:rsidRPr="00531AD4">
        <w:t xml:space="preserve"> </w:t>
      </w:r>
      <w:r w:rsidRPr="00531AD4">
        <w:t>at</w:t>
      </w:r>
      <w:r w:rsidR="00A74AC2" w:rsidRPr="00531AD4">
        <w:t xml:space="preserve"> </w:t>
      </w:r>
      <w:r w:rsidRPr="00531AD4">
        <w:t>its</w:t>
      </w:r>
      <w:r w:rsidR="00A74AC2" w:rsidRPr="00531AD4">
        <w:t xml:space="preserve"> </w:t>
      </w:r>
      <w:r w:rsidRPr="00531AD4">
        <w:t>2622nd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2623rd</w:t>
      </w:r>
      <w:r w:rsidR="00A74AC2" w:rsidRPr="00531AD4">
        <w:t xml:space="preserve"> </w:t>
      </w:r>
      <w:r w:rsidRPr="00531AD4">
        <w:t>meetings</w:t>
      </w:r>
      <w:r w:rsidR="00A74AC2" w:rsidRPr="00531AD4">
        <w:t xml:space="preserve"> </w:t>
      </w:r>
      <w:r w:rsidRPr="00531AD4">
        <w:t>(see</w:t>
      </w:r>
      <w:r w:rsidR="00A74AC2" w:rsidRPr="00531AD4">
        <w:t xml:space="preserve"> </w:t>
      </w:r>
      <w:r w:rsidRPr="00531AD4">
        <w:t>CERD/C/SR.2622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2623),</w:t>
      </w:r>
      <w:r w:rsidR="00A74AC2" w:rsidRPr="00531AD4">
        <w:t xml:space="preserve"> </w:t>
      </w:r>
      <w:r w:rsidRPr="00531AD4">
        <w:t>held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26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27</w:t>
      </w:r>
      <w:r w:rsidR="00A74AC2" w:rsidRPr="00531AD4">
        <w:t xml:space="preserve"> </w:t>
      </w:r>
      <w:r w:rsidRPr="00531AD4">
        <w:t>April</w:t>
      </w:r>
      <w:r w:rsidR="00A74AC2" w:rsidRPr="00531AD4">
        <w:t xml:space="preserve"> </w:t>
      </w:r>
      <w:r w:rsidRPr="00531AD4">
        <w:t>2018.</w:t>
      </w:r>
      <w:r w:rsidR="00A74AC2" w:rsidRPr="00531AD4">
        <w:t xml:space="preserve"> </w:t>
      </w:r>
      <w:r w:rsidRPr="00531AD4">
        <w:t>At</w:t>
      </w:r>
      <w:r w:rsidR="00A74AC2" w:rsidRPr="00531AD4">
        <w:t xml:space="preserve"> </w:t>
      </w:r>
      <w:r w:rsidRPr="00531AD4">
        <w:t>its</w:t>
      </w:r>
      <w:r w:rsidR="00A74AC2" w:rsidRPr="00531AD4">
        <w:t xml:space="preserve"> </w:t>
      </w:r>
      <w:r w:rsidRPr="00531AD4">
        <w:t>2636th</w:t>
      </w:r>
      <w:r w:rsidR="00A74AC2" w:rsidRPr="00531AD4">
        <w:t xml:space="preserve"> </w:t>
      </w:r>
      <w:r w:rsidRPr="00531AD4">
        <w:t>meeting,</w:t>
      </w:r>
      <w:r w:rsidR="00A74AC2" w:rsidRPr="00531AD4">
        <w:t xml:space="preserve"> </w:t>
      </w:r>
      <w:r w:rsidRPr="00531AD4">
        <w:t>held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7</w:t>
      </w:r>
      <w:r w:rsidR="00A74AC2" w:rsidRPr="00531AD4">
        <w:t xml:space="preserve"> </w:t>
      </w:r>
      <w:r w:rsidRPr="00531AD4">
        <w:t>May</w:t>
      </w:r>
      <w:r w:rsidR="00A74AC2" w:rsidRPr="00531AD4">
        <w:t xml:space="preserve"> </w:t>
      </w:r>
      <w:r w:rsidRPr="00531AD4">
        <w:t>2018,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r w:rsidRPr="00531AD4">
        <w:t>adopted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present</w:t>
      </w:r>
      <w:r w:rsidR="00A74AC2" w:rsidRPr="00531AD4">
        <w:t xml:space="preserve"> </w:t>
      </w:r>
      <w:r w:rsidRPr="00531AD4">
        <w:t>concluding</w:t>
      </w:r>
      <w:r w:rsidR="00A74AC2" w:rsidRPr="00531AD4">
        <w:t xml:space="preserve"> </w:t>
      </w:r>
      <w:r w:rsidRPr="00531AD4">
        <w:t>observations.</w:t>
      </w:r>
    </w:p>
    <w:p w:rsidR="00C5372E" w:rsidRPr="00531AD4" w:rsidRDefault="00C5372E" w:rsidP="00F610A2">
      <w:pPr>
        <w:pStyle w:val="H1G"/>
      </w:pPr>
      <w:r w:rsidRPr="00531AD4">
        <w:tab/>
        <w:t>A.</w:t>
      </w:r>
      <w:r w:rsidRPr="00531AD4">
        <w:tab/>
        <w:t>Introduction</w:t>
      </w:r>
    </w:p>
    <w:p w:rsidR="00C5372E" w:rsidRPr="00531AD4" w:rsidRDefault="00C5372E" w:rsidP="00F610A2">
      <w:pPr>
        <w:pStyle w:val="SingleTxtG"/>
      </w:pPr>
      <w:r w:rsidRPr="00531AD4">
        <w:t>2.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welcomes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submission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combined</w:t>
      </w:r>
      <w:r w:rsidR="00A74AC2" w:rsidRPr="00531AD4">
        <w:t xml:space="preserve"> </w:t>
      </w:r>
      <w:r w:rsidRPr="00531AD4">
        <w:t>fourth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ninth</w:t>
      </w:r>
      <w:r w:rsidR="00A74AC2" w:rsidRPr="00531AD4">
        <w:t xml:space="preserve"> </w:t>
      </w:r>
      <w:r w:rsidRPr="00531AD4">
        <w:t>periodic</w:t>
      </w:r>
      <w:r w:rsidR="00A74AC2" w:rsidRPr="00531AD4">
        <w:t xml:space="preserve"> </w:t>
      </w:r>
      <w:r w:rsidRPr="00531AD4">
        <w:t>reports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but</w:t>
      </w:r>
      <w:r w:rsidR="00A74AC2" w:rsidRPr="00531AD4">
        <w:t xml:space="preserve"> </w:t>
      </w:r>
      <w:r w:rsidRPr="00531AD4">
        <w:t>regrets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document</w:t>
      </w:r>
      <w:r w:rsidR="00A74AC2" w:rsidRPr="00531AD4">
        <w:t xml:space="preserve"> </w:t>
      </w:r>
      <w:proofErr w:type="gramStart"/>
      <w:r w:rsidRPr="00531AD4">
        <w:t>was</w:t>
      </w:r>
      <w:r w:rsidR="00A74AC2" w:rsidRPr="00531AD4">
        <w:t xml:space="preserve"> </w:t>
      </w:r>
      <w:r w:rsidRPr="00531AD4">
        <w:t>submitted</w:t>
      </w:r>
      <w:proofErr w:type="gramEnd"/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more</w:t>
      </w:r>
      <w:r w:rsidR="00A74AC2" w:rsidRPr="00531AD4">
        <w:t xml:space="preserve"> </w:t>
      </w:r>
      <w:r w:rsidRPr="00531AD4">
        <w:t>than</w:t>
      </w:r>
      <w:r w:rsidR="00A74AC2" w:rsidRPr="00531AD4">
        <w:t xml:space="preserve"> </w:t>
      </w:r>
      <w:r w:rsidRPr="00531AD4">
        <w:t>10</w:t>
      </w:r>
      <w:r w:rsidR="00A74AC2" w:rsidRPr="00531AD4">
        <w:t xml:space="preserve"> </w:t>
      </w:r>
      <w:r w:rsidRPr="00531AD4">
        <w:t>years</w:t>
      </w:r>
      <w:r w:rsidR="006E6153" w:rsidRPr="00531AD4">
        <w:t>’</w:t>
      </w:r>
      <w:r w:rsidR="00A74AC2" w:rsidRPr="00531AD4">
        <w:t xml:space="preserve"> </w:t>
      </w:r>
      <w:r w:rsidRPr="00531AD4">
        <w:t>delay.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expresses</w:t>
      </w:r>
      <w:r w:rsidR="00A74AC2" w:rsidRPr="00531AD4">
        <w:t xml:space="preserve"> </w:t>
      </w:r>
      <w:r w:rsidRPr="00531AD4">
        <w:t>its</w:t>
      </w:r>
      <w:r w:rsidR="00A74AC2" w:rsidRPr="00531AD4">
        <w:t xml:space="preserve"> </w:t>
      </w:r>
      <w:r w:rsidRPr="00531AD4">
        <w:t>appreciation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frank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constructive</w:t>
      </w:r>
      <w:r w:rsidR="00A74AC2" w:rsidRPr="00531AD4">
        <w:t xml:space="preserve"> </w:t>
      </w:r>
      <w:r w:rsidRPr="00531AD4">
        <w:t>dialogue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6E6153" w:rsidRPr="00531AD4">
        <w:t>’</w:t>
      </w:r>
      <w:r w:rsidRPr="00531AD4">
        <w:t>s</w:t>
      </w:r>
      <w:r w:rsidR="00A74AC2" w:rsidRPr="00531AD4">
        <w:t xml:space="preserve"> </w:t>
      </w:r>
      <w:r w:rsidRPr="00531AD4">
        <w:t>large</w:t>
      </w:r>
      <w:r w:rsidR="00A74AC2" w:rsidRPr="00531AD4">
        <w:t xml:space="preserve"> </w:t>
      </w:r>
      <w:r w:rsidRPr="00531AD4">
        <w:t>delegation.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r w:rsidRPr="00531AD4">
        <w:t>wishes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thank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delegation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provided</w:t>
      </w:r>
      <w:r w:rsidR="00A74AC2" w:rsidRPr="00531AD4">
        <w:t xml:space="preserve"> </w:t>
      </w:r>
      <w:r w:rsidRPr="00531AD4">
        <w:t>during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consideration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report.</w:t>
      </w:r>
    </w:p>
    <w:p w:rsidR="00C5372E" w:rsidRPr="00531AD4" w:rsidRDefault="00C5372E" w:rsidP="00F610A2">
      <w:pPr>
        <w:pStyle w:val="H1G"/>
      </w:pPr>
      <w:r w:rsidRPr="00531AD4">
        <w:tab/>
        <w:t>B.</w:t>
      </w:r>
      <w:r w:rsidRPr="00531AD4">
        <w:tab/>
        <w:t>Positive</w:t>
      </w:r>
      <w:r w:rsidR="00A74AC2" w:rsidRPr="00531AD4">
        <w:t xml:space="preserve"> </w:t>
      </w:r>
      <w:r w:rsidRPr="00531AD4">
        <w:t>aspects</w:t>
      </w:r>
    </w:p>
    <w:p w:rsidR="00C5372E" w:rsidRPr="00531AD4" w:rsidRDefault="00C5372E" w:rsidP="00F610A2">
      <w:pPr>
        <w:pStyle w:val="SingleTxtG"/>
      </w:pPr>
      <w:r w:rsidRPr="00531AD4">
        <w:t>3.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welcomes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ratification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following</w:t>
      </w:r>
      <w:r w:rsidR="00A74AC2" w:rsidRPr="00531AD4">
        <w:t xml:space="preserve"> </w:t>
      </w:r>
      <w:r w:rsidRPr="00531AD4">
        <w:t>international</w:t>
      </w:r>
      <w:r w:rsidR="00A74AC2" w:rsidRPr="00531AD4">
        <w:t xml:space="preserve"> </w:t>
      </w:r>
      <w:r w:rsidRPr="00531AD4">
        <w:t>human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instruments:</w:t>
      </w:r>
    </w:p>
    <w:p w:rsidR="00C5372E" w:rsidRPr="00531AD4" w:rsidRDefault="00F610A2" w:rsidP="00F610A2">
      <w:pPr>
        <w:pStyle w:val="SingleTxtG"/>
      </w:pPr>
      <w:r w:rsidRPr="00531AD4">
        <w:tab/>
      </w:r>
      <w:r w:rsidR="00C5372E" w:rsidRPr="00531AD4">
        <w:t>(a)</w:t>
      </w:r>
      <w:r w:rsidR="00C5372E" w:rsidRPr="00531AD4">
        <w:tab/>
        <w:t>The</w:t>
      </w:r>
      <w:r w:rsidR="00A74AC2" w:rsidRPr="00531AD4">
        <w:t xml:space="preserve"> </w:t>
      </w:r>
      <w:r w:rsidR="00C5372E" w:rsidRPr="00531AD4">
        <w:t>Convention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Rights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Persons</w:t>
      </w:r>
      <w:r w:rsidR="00A74AC2" w:rsidRPr="00531AD4">
        <w:t xml:space="preserve"> </w:t>
      </w:r>
      <w:r w:rsidR="00C5372E" w:rsidRPr="00531AD4">
        <w:t>with</w:t>
      </w:r>
      <w:r w:rsidR="00A74AC2" w:rsidRPr="00531AD4">
        <w:t xml:space="preserve"> </w:t>
      </w:r>
      <w:r w:rsidR="00C5372E" w:rsidRPr="00531AD4">
        <w:t>Disabilities,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2008;</w:t>
      </w:r>
    </w:p>
    <w:p w:rsidR="00C5372E" w:rsidRPr="00531AD4" w:rsidRDefault="00F610A2" w:rsidP="00F610A2">
      <w:pPr>
        <w:pStyle w:val="SingleTxtG"/>
      </w:pPr>
      <w:r w:rsidRPr="00531AD4">
        <w:tab/>
      </w:r>
      <w:r w:rsidR="00C5372E" w:rsidRPr="00531AD4">
        <w:t>(b)</w:t>
      </w:r>
      <w:r w:rsidR="00C5372E" w:rsidRPr="00531AD4">
        <w:tab/>
        <w:t>The</w:t>
      </w:r>
      <w:r w:rsidR="00A74AC2" w:rsidRPr="00531AD4">
        <w:t xml:space="preserve"> </w:t>
      </w:r>
      <w:r w:rsidR="00C5372E" w:rsidRPr="00531AD4">
        <w:t>Optional</w:t>
      </w:r>
      <w:r w:rsidR="00A74AC2" w:rsidRPr="00531AD4">
        <w:t xml:space="preserve"> </w:t>
      </w:r>
      <w:r w:rsidR="00C5372E" w:rsidRPr="00531AD4">
        <w:t>Protocol</w:t>
      </w:r>
      <w:r w:rsidR="00A74AC2" w:rsidRPr="00531AD4">
        <w:t xml:space="preserve"> </w:t>
      </w:r>
      <w:r w:rsidR="00C5372E" w:rsidRPr="00531AD4">
        <w:t>to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Convention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Rights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Persons</w:t>
      </w:r>
      <w:r w:rsidR="00A74AC2" w:rsidRPr="00531AD4">
        <w:t xml:space="preserve"> </w:t>
      </w:r>
      <w:r w:rsidR="00C5372E" w:rsidRPr="00531AD4">
        <w:t>with</w:t>
      </w:r>
      <w:r w:rsidR="00A74AC2" w:rsidRPr="00531AD4">
        <w:t xml:space="preserve"> </w:t>
      </w:r>
      <w:r w:rsidR="00C5372E" w:rsidRPr="00531AD4">
        <w:t>Disabilities,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2008;</w:t>
      </w:r>
    </w:p>
    <w:p w:rsidR="00C5372E" w:rsidRPr="00531AD4" w:rsidRDefault="00F610A2" w:rsidP="00F610A2">
      <w:pPr>
        <w:pStyle w:val="SingleTxtG"/>
      </w:pPr>
      <w:r w:rsidRPr="00531AD4">
        <w:tab/>
      </w:r>
      <w:r w:rsidR="00C5372E" w:rsidRPr="00531AD4">
        <w:t>(c)</w:t>
      </w:r>
      <w:r w:rsidR="00C5372E" w:rsidRPr="00531AD4">
        <w:tab/>
        <w:t>The</w:t>
      </w:r>
      <w:r w:rsidR="00A74AC2" w:rsidRPr="00531AD4">
        <w:t xml:space="preserve"> </w:t>
      </w:r>
      <w:r w:rsidR="00C5372E" w:rsidRPr="00531AD4">
        <w:t>Optional</w:t>
      </w:r>
      <w:r w:rsidR="00A74AC2" w:rsidRPr="00531AD4">
        <w:t xml:space="preserve"> </w:t>
      </w:r>
      <w:r w:rsidR="00C5372E" w:rsidRPr="00531AD4">
        <w:t>Protocol</w:t>
      </w:r>
      <w:r w:rsidR="00A74AC2" w:rsidRPr="00531AD4">
        <w:t xml:space="preserve"> </w:t>
      </w:r>
      <w:r w:rsidR="00C5372E" w:rsidRPr="00531AD4">
        <w:t>to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Convention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Rights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Child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sale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children,</w:t>
      </w:r>
      <w:r w:rsidR="00A74AC2" w:rsidRPr="00531AD4">
        <w:t xml:space="preserve"> </w:t>
      </w:r>
      <w:r w:rsidR="00C5372E" w:rsidRPr="00531AD4">
        <w:t>child</w:t>
      </w:r>
      <w:r w:rsidR="00A74AC2" w:rsidRPr="00531AD4">
        <w:t xml:space="preserve"> </w:t>
      </w:r>
      <w:r w:rsidR="00C5372E" w:rsidRPr="00531AD4">
        <w:t>prostitution</w:t>
      </w:r>
      <w:r w:rsidR="00A74AC2" w:rsidRPr="00531AD4">
        <w:t xml:space="preserve"> </w:t>
      </w:r>
      <w:r w:rsidR="00C5372E" w:rsidRPr="00531AD4">
        <w:t>and</w:t>
      </w:r>
      <w:r w:rsidR="00A74AC2" w:rsidRPr="00531AD4">
        <w:t xml:space="preserve"> </w:t>
      </w:r>
      <w:r w:rsidR="00C5372E" w:rsidRPr="00531AD4">
        <w:t>child</w:t>
      </w:r>
      <w:r w:rsidR="00A74AC2" w:rsidRPr="00531AD4">
        <w:t xml:space="preserve"> </w:t>
      </w:r>
      <w:r w:rsidR="00C5372E" w:rsidRPr="00531AD4">
        <w:t>pornography,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2010;</w:t>
      </w:r>
    </w:p>
    <w:p w:rsidR="00C5372E" w:rsidRPr="00531AD4" w:rsidRDefault="00F610A2" w:rsidP="00F610A2">
      <w:pPr>
        <w:pStyle w:val="SingleTxtG"/>
      </w:pPr>
      <w:r w:rsidRPr="00531AD4">
        <w:tab/>
      </w:r>
      <w:r w:rsidR="00C5372E" w:rsidRPr="00531AD4">
        <w:t>(d)</w:t>
      </w:r>
      <w:r w:rsidR="00C5372E" w:rsidRPr="00531AD4">
        <w:tab/>
        <w:t>The</w:t>
      </w:r>
      <w:r w:rsidR="00A74AC2" w:rsidRPr="00531AD4">
        <w:t xml:space="preserve"> </w:t>
      </w:r>
      <w:r w:rsidR="00C5372E" w:rsidRPr="00531AD4">
        <w:t>Optional</w:t>
      </w:r>
      <w:r w:rsidR="00A74AC2" w:rsidRPr="00531AD4">
        <w:t xml:space="preserve"> </w:t>
      </w:r>
      <w:r w:rsidR="00C5372E" w:rsidRPr="00531AD4">
        <w:t>Protocol</w:t>
      </w:r>
      <w:r w:rsidR="00A74AC2" w:rsidRPr="00531AD4">
        <w:t xml:space="preserve"> </w:t>
      </w:r>
      <w:r w:rsidR="00C5372E" w:rsidRPr="00531AD4">
        <w:t>to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Convention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Rights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Child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involvement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children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armed</w:t>
      </w:r>
      <w:r w:rsidR="00A74AC2" w:rsidRPr="00531AD4">
        <w:t xml:space="preserve"> </w:t>
      </w:r>
      <w:r w:rsidR="00C5372E" w:rsidRPr="00531AD4">
        <w:t>conflict,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2011.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4.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welcomes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following</w:t>
      </w:r>
      <w:r w:rsidR="00A74AC2" w:rsidRPr="00531AD4">
        <w:t xml:space="preserve"> </w:t>
      </w:r>
      <w:r w:rsidRPr="00531AD4">
        <w:t>legislative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policy</w:t>
      </w:r>
      <w:r w:rsidR="00A74AC2" w:rsidRPr="00531AD4">
        <w:t xml:space="preserve"> </w:t>
      </w:r>
      <w:r w:rsidRPr="00531AD4">
        <w:t>measures</w:t>
      </w:r>
      <w:r w:rsidR="00A74AC2" w:rsidRPr="00531AD4">
        <w:t xml:space="preserve"> </w:t>
      </w:r>
      <w:r w:rsidRPr="00531AD4">
        <w:t>taken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party:</w:t>
      </w:r>
      <w:r w:rsidR="00A74AC2" w:rsidRPr="00531AD4">
        <w:t xml:space="preserve"> </w:t>
      </w:r>
    </w:p>
    <w:p w:rsidR="00C5372E" w:rsidRPr="00531AD4" w:rsidRDefault="007905B5" w:rsidP="00F610A2">
      <w:pPr>
        <w:pStyle w:val="SingleTxtG"/>
      </w:pPr>
      <w:r w:rsidRPr="00531AD4">
        <w:tab/>
      </w:r>
      <w:r w:rsidR="00C5372E" w:rsidRPr="00531AD4">
        <w:t>(a)</w:t>
      </w:r>
      <w:r w:rsidR="00C5372E" w:rsidRPr="00531AD4">
        <w:tab/>
        <w:t>Establishment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Human</w:t>
      </w:r>
      <w:r w:rsidR="00A74AC2" w:rsidRPr="00531AD4">
        <w:t xml:space="preserve"> </w:t>
      </w:r>
      <w:r w:rsidR="00C5372E" w:rsidRPr="00531AD4">
        <w:t>Rights</w:t>
      </w:r>
      <w:r w:rsidR="00A74AC2" w:rsidRPr="00531AD4">
        <w:t xml:space="preserve"> </w:t>
      </w:r>
      <w:r w:rsidR="00C5372E" w:rsidRPr="00531AD4">
        <w:t>Commission,</w:t>
      </w:r>
      <w:r w:rsidR="00A74AC2" w:rsidRPr="00531AD4">
        <w:t xml:space="preserve"> </w:t>
      </w:r>
      <w:r w:rsidR="00C5372E" w:rsidRPr="00531AD4">
        <w:t>through</w:t>
      </w:r>
      <w:r w:rsidR="00A74AC2" w:rsidRPr="00531AD4">
        <w:t xml:space="preserve"> </w:t>
      </w:r>
      <w:r w:rsidR="00C5372E" w:rsidRPr="00531AD4">
        <w:t>Cabinet</w:t>
      </w:r>
      <w:r w:rsidR="00A74AC2" w:rsidRPr="00531AD4">
        <w:t xml:space="preserve"> </w:t>
      </w:r>
      <w:r w:rsidR="00C5372E" w:rsidRPr="00531AD4">
        <w:t>Decision</w:t>
      </w:r>
      <w:r w:rsidR="00A74AC2" w:rsidRPr="00531AD4">
        <w:t xml:space="preserve"> </w:t>
      </w:r>
      <w:r w:rsidR="00C5372E" w:rsidRPr="00531AD4">
        <w:t>No.</w:t>
      </w:r>
      <w:r w:rsidR="00A74AC2" w:rsidRPr="00531AD4">
        <w:t xml:space="preserve"> </w:t>
      </w:r>
      <w:r w:rsidR="00C5372E" w:rsidRPr="00531AD4">
        <w:t>207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12</w:t>
      </w:r>
      <w:r w:rsidR="00A74AC2" w:rsidRPr="00531AD4">
        <w:t xml:space="preserve"> </w:t>
      </w:r>
      <w:r w:rsidR="00C5372E" w:rsidRPr="00531AD4">
        <w:t>September</w:t>
      </w:r>
      <w:r w:rsidR="00A74AC2" w:rsidRPr="00531AD4">
        <w:t xml:space="preserve"> </w:t>
      </w:r>
      <w:r w:rsidR="00C5372E" w:rsidRPr="00531AD4">
        <w:t>2005;</w:t>
      </w:r>
    </w:p>
    <w:p w:rsidR="00C5372E" w:rsidRPr="00531AD4" w:rsidRDefault="007905B5" w:rsidP="00F610A2">
      <w:pPr>
        <w:pStyle w:val="SingleTxtG"/>
      </w:pPr>
      <w:r w:rsidRPr="00531AD4">
        <w:tab/>
      </w:r>
      <w:r w:rsidR="00C5372E" w:rsidRPr="00531AD4">
        <w:t>(b)</w:t>
      </w:r>
      <w:r w:rsidR="00C5372E" w:rsidRPr="00531AD4">
        <w:tab/>
        <w:t>Establishment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a</w:t>
      </w:r>
      <w:r w:rsidR="00A74AC2" w:rsidRPr="00531AD4">
        <w:t xml:space="preserve"> </w:t>
      </w:r>
      <w:r w:rsidR="00C5372E" w:rsidRPr="00531AD4">
        <w:t>standing</w:t>
      </w:r>
      <w:r w:rsidR="00A74AC2" w:rsidRPr="00531AD4">
        <w:t xml:space="preserve"> </w:t>
      </w:r>
      <w:r w:rsidR="00C5372E" w:rsidRPr="00531AD4">
        <w:t>committee</w:t>
      </w:r>
      <w:r w:rsidR="00A74AC2" w:rsidRPr="00531AD4">
        <w:t xml:space="preserve"> </w:t>
      </w:r>
      <w:r w:rsidR="00C5372E" w:rsidRPr="00531AD4">
        <w:t>to</w:t>
      </w:r>
      <w:r w:rsidR="00A74AC2" w:rsidRPr="00531AD4">
        <w:t xml:space="preserve"> </w:t>
      </w:r>
      <w:r w:rsidR="00C5372E" w:rsidRPr="00531AD4">
        <w:t>combat</w:t>
      </w:r>
      <w:r w:rsidR="00A74AC2" w:rsidRPr="00531AD4">
        <w:t xml:space="preserve"> </w:t>
      </w:r>
      <w:r w:rsidR="00C5372E" w:rsidRPr="00531AD4">
        <w:t>trafficking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persons,</w:t>
      </w:r>
      <w:r w:rsidR="00A74AC2" w:rsidRPr="00531AD4">
        <w:t xml:space="preserve"> </w:t>
      </w:r>
      <w:proofErr w:type="gramStart"/>
      <w:r w:rsidR="00C5372E" w:rsidRPr="00531AD4">
        <w:t>through</w:t>
      </w:r>
      <w:proofErr w:type="gramEnd"/>
      <w:r w:rsidR="00A74AC2" w:rsidRPr="00531AD4">
        <w:t xml:space="preserve"> </w:t>
      </w:r>
      <w:r w:rsidR="00C5372E" w:rsidRPr="00531AD4">
        <w:t>Cabinet</w:t>
      </w:r>
      <w:r w:rsidR="00A74AC2" w:rsidRPr="00531AD4">
        <w:t xml:space="preserve"> </w:t>
      </w:r>
      <w:r w:rsidR="00C5372E" w:rsidRPr="00531AD4">
        <w:t>Decision</w:t>
      </w:r>
      <w:r w:rsidR="00A74AC2" w:rsidRPr="00531AD4">
        <w:t xml:space="preserve"> </w:t>
      </w:r>
      <w:r w:rsidR="00C5372E" w:rsidRPr="00531AD4">
        <w:t>No.</w:t>
      </w:r>
      <w:r w:rsidR="00A74AC2" w:rsidRPr="00531AD4">
        <w:t xml:space="preserve"> </w:t>
      </w:r>
      <w:r w:rsidR="00C5372E" w:rsidRPr="00531AD4">
        <w:t>244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13</w:t>
      </w:r>
      <w:r w:rsidR="00A74AC2" w:rsidRPr="00531AD4">
        <w:t xml:space="preserve"> </w:t>
      </w:r>
      <w:r w:rsidR="00C5372E" w:rsidRPr="00531AD4">
        <w:t>July</w:t>
      </w:r>
      <w:r w:rsidR="00A74AC2" w:rsidRPr="00531AD4">
        <w:t xml:space="preserve"> </w:t>
      </w:r>
      <w:r w:rsidR="00C5372E" w:rsidRPr="00531AD4">
        <w:t>2009;</w:t>
      </w:r>
    </w:p>
    <w:p w:rsidR="00C5372E" w:rsidRPr="00531AD4" w:rsidRDefault="007905B5" w:rsidP="00F610A2">
      <w:pPr>
        <w:pStyle w:val="SingleTxtG"/>
      </w:pPr>
      <w:r w:rsidRPr="00531AD4">
        <w:tab/>
      </w:r>
      <w:r w:rsidR="00C5372E" w:rsidRPr="00531AD4">
        <w:t>(c)</w:t>
      </w:r>
      <w:r w:rsidR="00C5372E" w:rsidRPr="00531AD4">
        <w:tab/>
        <w:t>Prohibition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trafficking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persons,</w:t>
      </w:r>
      <w:r w:rsidR="00A74AC2" w:rsidRPr="00531AD4">
        <w:t xml:space="preserve"> </w:t>
      </w:r>
      <w:r w:rsidR="00C5372E" w:rsidRPr="00531AD4">
        <w:t>through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Anti-Trafficking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Persons</w:t>
      </w:r>
      <w:r w:rsidR="00A74AC2" w:rsidRPr="00531AD4">
        <w:t xml:space="preserve"> </w:t>
      </w:r>
      <w:r w:rsidR="00C5372E" w:rsidRPr="00531AD4">
        <w:t>Act,</w:t>
      </w:r>
      <w:r w:rsidR="00A74AC2" w:rsidRPr="00531AD4">
        <w:t xml:space="preserve"> </w:t>
      </w:r>
      <w:r w:rsidR="00C5372E" w:rsidRPr="00531AD4">
        <w:t>promulgated</w:t>
      </w:r>
      <w:r w:rsidR="00A74AC2" w:rsidRPr="00531AD4">
        <w:t xml:space="preserve"> </w:t>
      </w:r>
      <w:r w:rsidR="00C5372E" w:rsidRPr="00531AD4">
        <w:t>by</w:t>
      </w:r>
      <w:r w:rsidR="00A74AC2" w:rsidRPr="00531AD4">
        <w:t xml:space="preserve"> </w:t>
      </w:r>
      <w:r w:rsidR="00C5372E" w:rsidRPr="00531AD4">
        <w:t>Royal</w:t>
      </w:r>
      <w:r w:rsidR="00A74AC2" w:rsidRPr="00531AD4">
        <w:t xml:space="preserve"> </w:t>
      </w:r>
      <w:r w:rsidR="00C5372E" w:rsidRPr="00531AD4">
        <w:t>Decree</w:t>
      </w:r>
      <w:r w:rsidR="00A74AC2" w:rsidRPr="00531AD4">
        <w:t xml:space="preserve"> </w:t>
      </w:r>
      <w:r w:rsidR="00C5372E" w:rsidRPr="00531AD4">
        <w:t>No.</w:t>
      </w:r>
      <w:r w:rsidR="00A74AC2" w:rsidRPr="00531AD4">
        <w:t xml:space="preserve"> </w:t>
      </w:r>
      <w:r w:rsidR="00C5372E" w:rsidRPr="00531AD4">
        <w:t>M/40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14</w:t>
      </w:r>
      <w:r w:rsidR="00A74AC2" w:rsidRPr="00531AD4">
        <w:t xml:space="preserve"> </w:t>
      </w:r>
      <w:r w:rsidR="00C5372E" w:rsidRPr="00531AD4">
        <w:t>July</w:t>
      </w:r>
      <w:r w:rsidR="00A74AC2" w:rsidRPr="00531AD4">
        <w:t xml:space="preserve"> </w:t>
      </w:r>
      <w:r w:rsidR="00C5372E" w:rsidRPr="00531AD4">
        <w:t>2009;</w:t>
      </w:r>
    </w:p>
    <w:p w:rsidR="00C5372E" w:rsidRPr="00531AD4" w:rsidRDefault="007905B5" w:rsidP="00F610A2">
      <w:pPr>
        <w:pStyle w:val="SingleTxtG"/>
      </w:pPr>
      <w:r w:rsidRPr="00531AD4">
        <w:lastRenderedPageBreak/>
        <w:tab/>
      </w:r>
      <w:r w:rsidR="00C5372E" w:rsidRPr="00531AD4">
        <w:t>(d)</w:t>
      </w:r>
      <w:r w:rsidR="00C5372E" w:rsidRPr="00531AD4">
        <w:tab/>
        <w:t>Adoption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Act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protection</w:t>
      </w:r>
      <w:r w:rsidR="00A74AC2" w:rsidRPr="00531AD4">
        <w:t xml:space="preserve"> </w:t>
      </w:r>
      <w:r w:rsidR="00C5372E" w:rsidRPr="00531AD4">
        <w:t>from</w:t>
      </w:r>
      <w:r w:rsidR="00A74AC2" w:rsidRPr="00531AD4">
        <w:t xml:space="preserve"> </w:t>
      </w:r>
      <w:r w:rsidR="00C5372E" w:rsidRPr="00531AD4">
        <w:t>abuse,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2013;</w:t>
      </w:r>
    </w:p>
    <w:p w:rsidR="00C5372E" w:rsidRPr="00531AD4" w:rsidRDefault="00DD0496" w:rsidP="00F610A2">
      <w:pPr>
        <w:pStyle w:val="SingleTxtG"/>
      </w:pPr>
      <w:r w:rsidRPr="00531AD4">
        <w:tab/>
      </w:r>
      <w:r w:rsidR="00C5372E" w:rsidRPr="00531AD4">
        <w:t>(e)</w:t>
      </w:r>
      <w:r w:rsidR="00C5372E" w:rsidRPr="00531AD4">
        <w:tab/>
        <w:t>Adoption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Act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criminal</w:t>
      </w:r>
      <w:r w:rsidR="00A74AC2" w:rsidRPr="00531AD4">
        <w:t xml:space="preserve"> </w:t>
      </w:r>
      <w:r w:rsidR="00C5372E" w:rsidRPr="00531AD4">
        <w:t>procedure,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2013;</w:t>
      </w:r>
    </w:p>
    <w:p w:rsidR="00C5372E" w:rsidRPr="00531AD4" w:rsidRDefault="00DD0496" w:rsidP="00F610A2">
      <w:pPr>
        <w:pStyle w:val="SingleTxtG"/>
      </w:pPr>
      <w:r w:rsidRPr="00531AD4">
        <w:tab/>
      </w:r>
      <w:r w:rsidR="00C5372E" w:rsidRPr="00531AD4">
        <w:t>(f)</w:t>
      </w:r>
      <w:r w:rsidR="00C5372E" w:rsidRPr="00531AD4">
        <w:tab/>
        <w:t>Adoption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a</w:t>
      </w:r>
      <w:r w:rsidR="00A74AC2" w:rsidRPr="00531AD4">
        <w:t xml:space="preserve"> </w:t>
      </w:r>
      <w:r w:rsidR="00C5372E" w:rsidRPr="00531AD4">
        <w:t>national</w:t>
      </w:r>
      <w:r w:rsidR="00A74AC2" w:rsidRPr="00531AD4">
        <w:t xml:space="preserve"> </w:t>
      </w:r>
      <w:r w:rsidR="00C5372E" w:rsidRPr="00531AD4">
        <w:t>plan</w:t>
      </w:r>
      <w:r w:rsidR="00A74AC2" w:rsidRPr="00531AD4">
        <w:t xml:space="preserve"> </w:t>
      </w:r>
      <w:r w:rsidR="00C5372E" w:rsidRPr="00531AD4">
        <w:t>for</w:t>
      </w:r>
      <w:r w:rsidR="00A74AC2" w:rsidRPr="00531AD4">
        <w:t xml:space="preserve"> </w:t>
      </w:r>
      <w:r w:rsidR="00C5372E" w:rsidRPr="00531AD4">
        <w:t>combating</w:t>
      </w:r>
      <w:r w:rsidR="00A74AC2" w:rsidRPr="00531AD4">
        <w:t xml:space="preserve"> </w:t>
      </w:r>
      <w:r w:rsidR="00C5372E" w:rsidRPr="00531AD4">
        <w:t>trafficking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persons</w:t>
      </w:r>
      <w:r w:rsidR="00A74AC2" w:rsidRPr="00531AD4">
        <w:t xml:space="preserve"> </w:t>
      </w:r>
      <w:r w:rsidR="00C5372E" w:rsidRPr="00531AD4">
        <w:t>offences</w:t>
      </w:r>
      <w:r w:rsidR="00A74AC2" w:rsidRPr="00531AD4">
        <w:t xml:space="preserve"> </w:t>
      </w:r>
      <w:r w:rsidR="00C5372E" w:rsidRPr="00531AD4">
        <w:t>for</w:t>
      </w:r>
      <w:r w:rsidR="00A74AC2" w:rsidRPr="00531AD4">
        <w:t xml:space="preserve"> </w:t>
      </w:r>
      <w:r w:rsidR="00C5372E" w:rsidRPr="00531AD4">
        <w:t>the</w:t>
      </w:r>
      <w:r w:rsidR="00A74AC2" w:rsidRPr="00531AD4">
        <w:t xml:space="preserve"> </w:t>
      </w:r>
      <w:r w:rsidR="00C5372E" w:rsidRPr="00531AD4">
        <w:t>period</w:t>
      </w:r>
      <w:r w:rsidR="00A74AC2" w:rsidRPr="00531AD4">
        <w:t xml:space="preserve"> </w:t>
      </w:r>
      <w:r w:rsidR="00C5372E" w:rsidRPr="00531AD4">
        <w:t>2017</w:t>
      </w:r>
      <w:r w:rsidR="00A74AC2" w:rsidRPr="00531AD4">
        <w:t xml:space="preserve"> </w:t>
      </w:r>
      <w:r w:rsidR="00C5372E" w:rsidRPr="00531AD4">
        <w:t>to</w:t>
      </w:r>
      <w:r w:rsidR="00A74AC2" w:rsidRPr="00531AD4">
        <w:t xml:space="preserve"> </w:t>
      </w:r>
      <w:r w:rsidR="005B0EAD" w:rsidRPr="00531AD4">
        <w:t>2020;</w:t>
      </w:r>
    </w:p>
    <w:p w:rsidR="00C5372E" w:rsidRPr="00531AD4" w:rsidRDefault="00DD0496" w:rsidP="00F610A2">
      <w:pPr>
        <w:pStyle w:val="SingleTxtG"/>
      </w:pPr>
      <w:r w:rsidRPr="00531AD4">
        <w:tab/>
      </w:r>
      <w:r w:rsidR="00C5372E" w:rsidRPr="00531AD4">
        <w:t>(g)</w:t>
      </w:r>
      <w:r w:rsidR="00C5372E" w:rsidRPr="00531AD4">
        <w:tab/>
        <w:t>Adoption</w:t>
      </w:r>
      <w:r w:rsidR="00A74AC2" w:rsidRPr="00531AD4">
        <w:t xml:space="preserve"> </w:t>
      </w:r>
      <w:r w:rsidR="00C5372E" w:rsidRPr="00531AD4">
        <w:t>of</w:t>
      </w:r>
      <w:r w:rsidR="00A74AC2" w:rsidRPr="00531AD4">
        <w:t xml:space="preserve"> </w:t>
      </w:r>
      <w:r w:rsidR="00C5372E" w:rsidRPr="00531AD4">
        <w:t>Cabinet</w:t>
      </w:r>
      <w:r w:rsidR="00A74AC2" w:rsidRPr="00531AD4">
        <w:t xml:space="preserve"> </w:t>
      </w:r>
      <w:r w:rsidR="00C5372E" w:rsidRPr="00531AD4">
        <w:t>Decision</w:t>
      </w:r>
      <w:r w:rsidR="00A74AC2" w:rsidRPr="00531AD4">
        <w:t xml:space="preserve"> </w:t>
      </w:r>
      <w:r w:rsidR="00C5372E" w:rsidRPr="00531AD4">
        <w:t>No.</w:t>
      </w:r>
      <w:r w:rsidR="00A74AC2" w:rsidRPr="00531AD4">
        <w:t xml:space="preserve"> </w:t>
      </w:r>
      <w:r w:rsidR="00C5372E" w:rsidRPr="00531AD4">
        <w:t>308</w:t>
      </w:r>
      <w:r w:rsidR="00A74AC2" w:rsidRPr="00531AD4">
        <w:t xml:space="preserve"> </w:t>
      </w:r>
      <w:r w:rsidR="00C5372E" w:rsidRPr="00531AD4">
        <w:t>on</w:t>
      </w:r>
      <w:r w:rsidR="00A74AC2" w:rsidRPr="00531AD4">
        <w:t xml:space="preserve"> </w:t>
      </w:r>
      <w:r w:rsidR="00C5372E" w:rsidRPr="00531AD4">
        <w:t>Saudi</w:t>
      </w:r>
      <w:r w:rsidR="00A74AC2" w:rsidRPr="00531AD4">
        <w:t xml:space="preserve"> </w:t>
      </w:r>
      <w:r w:rsidR="00C5372E" w:rsidRPr="00531AD4">
        <w:t>Vision</w:t>
      </w:r>
      <w:r w:rsidR="00A74AC2" w:rsidRPr="00531AD4">
        <w:t xml:space="preserve"> </w:t>
      </w:r>
      <w:r w:rsidR="00C5372E" w:rsidRPr="00531AD4">
        <w:t>2030,</w:t>
      </w:r>
      <w:r w:rsidR="00A74AC2" w:rsidRPr="00531AD4">
        <w:t xml:space="preserve"> </w:t>
      </w:r>
      <w:r w:rsidR="00C5372E" w:rsidRPr="00531AD4">
        <w:t>in</w:t>
      </w:r>
      <w:r w:rsidR="00A74AC2" w:rsidRPr="00531AD4">
        <w:t xml:space="preserve"> </w:t>
      </w:r>
      <w:r w:rsidR="00C5372E" w:rsidRPr="00531AD4">
        <w:t>2016.</w:t>
      </w:r>
      <w:r w:rsidR="00A74AC2" w:rsidRPr="00531AD4">
        <w:t xml:space="preserve"> </w:t>
      </w:r>
    </w:p>
    <w:p w:rsidR="00C5372E" w:rsidRPr="00531AD4" w:rsidRDefault="00C5372E" w:rsidP="00DD0496">
      <w:pPr>
        <w:pStyle w:val="H1G"/>
      </w:pPr>
      <w:r w:rsidRPr="00531AD4">
        <w:tab/>
        <w:t>C.</w:t>
      </w:r>
      <w:r w:rsidRPr="00531AD4">
        <w:tab/>
        <w:t>Concerns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recommendations</w:t>
      </w:r>
      <w:r w:rsidRPr="00531AD4">
        <w:tab/>
      </w:r>
    </w:p>
    <w:p w:rsidR="00C5372E" w:rsidRPr="00531AD4" w:rsidRDefault="00C5372E" w:rsidP="00DD0496">
      <w:pPr>
        <w:pStyle w:val="H23G"/>
      </w:pPr>
      <w:r w:rsidRPr="00531AD4">
        <w:tab/>
      </w:r>
      <w:r w:rsidRPr="00531AD4">
        <w:tab/>
        <w:t>Reservations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5.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notes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concern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continues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maintain</w:t>
      </w:r>
      <w:r w:rsidR="00A74AC2" w:rsidRPr="00531AD4">
        <w:t xml:space="preserve"> </w:t>
      </w:r>
      <w:r w:rsidRPr="00531AD4">
        <w:t>its</w:t>
      </w:r>
      <w:r w:rsidR="00A74AC2" w:rsidRPr="00531AD4">
        <w:t xml:space="preserve"> </w:t>
      </w:r>
      <w:r w:rsidRPr="00531AD4">
        <w:t>broad</w:t>
      </w:r>
      <w:r w:rsidR="00A74AC2" w:rsidRPr="00531AD4">
        <w:t xml:space="preserve"> </w:t>
      </w:r>
      <w:r w:rsidRPr="00531AD4">
        <w:t>reservation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respect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implementing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provisions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provided</w:t>
      </w:r>
      <w:r w:rsidR="00A74AC2" w:rsidRPr="00531AD4">
        <w:t xml:space="preserve"> </w:t>
      </w:r>
      <w:r w:rsidRPr="00531AD4">
        <w:t>they</w:t>
      </w:r>
      <w:r w:rsidR="00A74AC2" w:rsidRPr="00531AD4">
        <w:t xml:space="preserve"> </w:t>
      </w:r>
      <w:r w:rsidRPr="00531AD4">
        <w:t>do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conflict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sharia,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well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its</w:t>
      </w:r>
      <w:r w:rsidR="00A74AC2" w:rsidRPr="00531AD4">
        <w:t xml:space="preserve"> </w:t>
      </w:r>
      <w:r w:rsidRPr="00531AD4">
        <w:t>reservation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article</w:t>
      </w:r>
      <w:r w:rsidR="00A74AC2" w:rsidRPr="00531AD4">
        <w:t xml:space="preserve"> </w:t>
      </w:r>
      <w:r w:rsidRPr="00531AD4">
        <w:t>22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Convention,</w:t>
      </w:r>
      <w:r w:rsidR="00A74AC2" w:rsidRPr="00531AD4">
        <w:t xml:space="preserve"> </w:t>
      </w:r>
      <w:r w:rsidRPr="00531AD4">
        <w:t>which</w:t>
      </w:r>
      <w:r w:rsidR="00A74AC2" w:rsidRPr="00531AD4">
        <w:t xml:space="preserve"> </w:t>
      </w:r>
      <w:r w:rsidRPr="00531AD4">
        <w:t>may</w:t>
      </w:r>
      <w:r w:rsidR="00A74AC2" w:rsidRPr="00531AD4">
        <w:t xml:space="preserve"> </w:t>
      </w:r>
      <w:r w:rsidRPr="00531AD4">
        <w:t>affect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full</w:t>
      </w:r>
      <w:r w:rsidR="00A74AC2" w:rsidRPr="00531AD4">
        <w:t xml:space="preserve"> </w:t>
      </w:r>
      <w:r w:rsidRPr="00531AD4">
        <w:t>implementation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2).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6.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invites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re-examine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consider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withdrawing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broad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reservation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order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full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implementation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party.</w:t>
      </w:r>
    </w:p>
    <w:p w:rsidR="00C5372E" w:rsidRPr="00531AD4" w:rsidRDefault="00C5372E" w:rsidP="00E41C0B">
      <w:pPr>
        <w:pStyle w:val="H23G"/>
      </w:pPr>
      <w:r w:rsidRPr="00531AD4">
        <w:tab/>
      </w:r>
      <w:r w:rsidRPr="00531AD4">
        <w:tab/>
        <w:t>Statistical</w:t>
      </w:r>
      <w:r w:rsidR="00A74AC2" w:rsidRPr="00531AD4">
        <w:t xml:space="preserve"> </w:t>
      </w:r>
      <w:r w:rsidRPr="00531AD4">
        <w:t>data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7.</w:t>
      </w:r>
      <w:r w:rsidRPr="00531AD4">
        <w:tab/>
        <w:t>While</w:t>
      </w:r>
      <w:r w:rsidR="00A74AC2" w:rsidRPr="00531AD4">
        <w:t xml:space="preserve"> </w:t>
      </w:r>
      <w:r w:rsidRPr="00531AD4">
        <w:t>welcoming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upcoming</w:t>
      </w:r>
      <w:r w:rsidR="00A74AC2" w:rsidRPr="00531AD4">
        <w:t xml:space="preserve"> </w:t>
      </w:r>
      <w:r w:rsidRPr="00531AD4">
        <w:t>census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proofErr w:type="gramStart"/>
      <w:r w:rsidRPr="00531AD4">
        <w:t>be</w:t>
      </w:r>
      <w:r w:rsidR="00A74AC2" w:rsidRPr="00531AD4">
        <w:t xml:space="preserve"> </w:t>
      </w:r>
      <w:r w:rsidRPr="00531AD4">
        <w:t>conducted</w:t>
      </w:r>
      <w:proofErr w:type="gramEnd"/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2020,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about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current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detailed</w:t>
      </w:r>
      <w:r w:rsidR="00A74AC2" w:rsidRPr="00531AD4">
        <w:t xml:space="preserve"> </w:t>
      </w:r>
      <w:r w:rsidRPr="00531AD4">
        <w:t>statistical</w:t>
      </w:r>
      <w:r w:rsidR="00A74AC2" w:rsidRPr="00531AD4">
        <w:t xml:space="preserve"> </w:t>
      </w:r>
      <w:r w:rsidRPr="00531AD4">
        <w:t>data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ethnic</w:t>
      </w:r>
      <w:r w:rsidR="00A74AC2" w:rsidRPr="00531AD4">
        <w:t xml:space="preserve"> </w:t>
      </w:r>
      <w:r w:rsidRPr="00531AD4">
        <w:t>composition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population,</w:t>
      </w:r>
      <w:r w:rsidR="00A74AC2" w:rsidRPr="00531AD4">
        <w:t xml:space="preserve"> </w:t>
      </w:r>
      <w:r w:rsidRPr="00531AD4">
        <w:t>including</w:t>
      </w:r>
      <w:r w:rsidR="00A74AC2" w:rsidRPr="00531AD4">
        <w:t xml:space="preserve"> </w:t>
      </w:r>
      <w:r w:rsidRPr="00531AD4">
        <w:t>non-citizens,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enjoyment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economic,</w:t>
      </w:r>
      <w:r w:rsidR="00A74AC2" w:rsidRPr="00531AD4">
        <w:t xml:space="preserve"> </w:t>
      </w:r>
      <w:r w:rsidRPr="00531AD4">
        <w:t>social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cultural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ethnic</w:t>
      </w:r>
      <w:r w:rsidR="00A74AC2" w:rsidRPr="00531AD4">
        <w:t xml:space="preserve"> </w:t>
      </w:r>
      <w:r w:rsidRPr="00531AD4">
        <w:t>groups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non-citizens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1).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proofErr w:type="gramStart"/>
      <w:r w:rsidRPr="00531AD4">
        <w:t>8.</w:t>
      </w:r>
      <w:r w:rsidRPr="00531AD4">
        <w:tab/>
      </w:r>
      <w:r w:rsidRPr="00531AD4">
        <w:rPr>
          <w:b/>
          <w:bCs/>
        </w:rPr>
        <w:t>Recalling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paragraphs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10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12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guidelines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under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(CERD/C/2007/1),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report: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(a)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statistical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data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demographic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composition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population,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non-citizens,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basis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self-identification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ethnic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groups,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disaggregated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(1)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Convention;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(b)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detailed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statistical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data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enjoyment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economic,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social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cultural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disaggregated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ethnic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group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citizen/non-citizen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status,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empirical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basis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evaluating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equal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enjoyment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under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Convention.</w:t>
      </w:r>
      <w:proofErr w:type="gramEnd"/>
    </w:p>
    <w:p w:rsidR="00C5372E" w:rsidRPr="00531AD4" w:rsidRDefault="00C5372E" w:rsidP="00E41C0B">
      <w:pPr>
        <w:pStyle w:val="H23G"/>
      </w:pPr>
      <w:r w:rsidRPr="00531AD4">
        <w:tab/>
      </w:r>
      <w:r w:rsidRPr="00531AD4">
        <w:tab/>
        <w:t>National</w:t>
      </w:r>
      <w:r w:rsidR="00A74AC2" w:rsidRPr="00531AD4">
        <w:t xml:space="preserve"> </w:t>
      </w:r>
      <w:r w:rsidRPr="00531AD4">
        <w:t>human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commission</w:t>
      </w:r>
    </w:p>
    <w:p w:rsidR="00C5372E" w:rsidRPr="00531AD4" w:rsidRDefault="00C5372E" w:rsidP="00F610A2">
      <w:pPr>
        <w:pStyle w:val="SingleTxtG"/>
      </w:pPr>
      <w:r w:rsidRPr="00531AD4">
        <w:t>9.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takes</w:t>
      </w:r>
      <w:r w:rsidR="00A74AC2" w:rsidRPr="00531AD4">
        <w:t xml:space="preserve"> </w:t>
      </w:r>
      <w:r w:rsidRPr="00531AD4">
        <w:t>note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amendments</w:t>
      </w:r>
      <w:r w:rsidR="00A74AC2" w:rsidRPr="00531AD4">
        <w:t xml:space="preserve"> </w:t>
      </w:r>
      <w:r w:rsidRPr="00531AD4">
        <w:t>adopted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2016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grant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national</w:t>
      </w:r>
      <w:r w:rsidR="00A74AC2" w:rsidRPr="00531AD4">
        <w:t xml:space="preserve"> </w:t>
      </w:r>
      <w:r w:rsidRPr="00531AD4">
        <w:t>human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commission</w:t>
      </w:r>
      <w:r w:rsidR="00A74AC2" w:rsidRPr="00531AD4">
        <w:t xml:space="preserve"> </w:t>
      </w:r>
      <w:r w:rsidRPr="00531AD4">
        <w:t>more</w:t>
      </w:r>
      <w:r w:rsidR="00A74AC2" w:rsidRPr="00531AD4">
        <w:t xml:space="preserve"> </w:t>
      </w:r>
      <w:r w:rsidRPr="00531AD4">
        <w:t>independence,</w:t>
      </w:r>
      <w:r w:rsidR="00A74AC2" w:rsidRPr="00531AD4">
        <w:t xml:space="preserve"> </w:t>
      </w:r>
      <w:r w:rsidRPr="00531AD4">
        <w:t>but</w:t>
      </w:r>
      <w:r w:rsidR="00A74AC2" w:rsidRPr="00531AD4">
        <w:t xml:space="preserve"> </w:t>
      </w:r>
      <w:r w:rsidRPr="00531AD4">
        <w:t>regrets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commission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yet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full</w:t>
      </w:r>
      <w:r w:rsidR="00A74AC2" w:rsidRPr="00531AD4">
        <w:t xml:space="preserve"> </w:t>
      </w:r>
      <w:r w:rsidRPr="00531AD4">
        <w:t>compliance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principles</w:t>
      </w:r>
      <w:r w:rsidR="00A74AC2" w:rsidRPr="00531AD4">
        <w:t xml:space="preserve"> </w:t>
      </w:r>
      <w:r w:rsidRPr="00531AD4">
        <w:t>relating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status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national</w:t>
      </w:r>
      <w:r w:rsidR="00A74AC2" w:rsidRPr="00531AD4">
        <w:t xml:space="preserve"> </w:t>
      </w:r>
      <w:r w:rsidRPr="00531AD4">
        <w:t>institutions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promotion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protection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human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(the</w:t>
      </w:r>
      <w:r w:rsidR="00A74AC2" w:rsidRPr="00531AD4">
        <w:t xml:space="preserve"> </w:t>
      </w:r>
      <w:r w:rsidRPr="00531AD4">
        <w:t>Paris</w:t>
      </w:r>
      <w:r w:rsidR="00A74AC2" w:rsidRPr="00531AD4">
        <w:t xml:space="preserve"> </w:t>
      </w:r>
      <w:r w:rsidRPr="00531AD4">
        <w:t>Principles)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2).</w:t>
      </w:r>
    </w:p>
    <w:p w:rsidR="00C5372E" w:rsidRPr="00531AD4" w:rsidRDefault="00C5372E" w:rsidP="00F610A2">
      <w:pPr>
        <w:pStyle w:val="SingleTxtG"/>
        <w:rPr>
          <w:b/>
          <w:bCs/>
        </w:rPr>
      </w:pPr>
      <w:proofErr w:type="gramStart"/>
      <w:r w:rsidRPr="00531AD4">
        <w:t>10.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necessary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bring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commission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Principles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Commission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sufficient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financial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resources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effectively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independently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discharge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mandate,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encourages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submit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application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commission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reviewed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accreditation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Global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Alliance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Institutions.</w:t>
      </w:r>
      <w:proofErr w:type="gramEnd"/>
    </w:p>
    <w:p w:rsidR="00C5372E" w:rsidRPr="00531AD4" w:rsidRDefault="00C5372E" w:rsidP="00E41C0B">
      <w:pPr>
        <w:pStyle w:val="H23G"/>
      </w:pPr>
      <w:r w:rsidRPr="00531AD4">
        <w:tab/>
      </w:r>
      <w:r w:rsidRPr="00531AD4">
        <w:tab/>
        <w:t>Prohibition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11.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notes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article</w:t>
      </w:r>
      <w:r w:rsidR="00A74AC2" w:rsidRPr="00531AD4">
        <w:t xml:space="preserve"> </w:t>
      </w:r>
      <w:r w:rsidRPr="00531AD4">
        <w:t>8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Basic</w:t>
      </w:r>
      <w:r w:rsidR="00A74AC2" w:rsidRPr="00531AD4">
        <w:t xml:space="preserve"> </w:t>
      </w:r>
      <w:r w:rsidRPr="00531AD4">
        <w:t>Law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Governance</w:t>
      </w:r>
      <w:r w:rsidR="00A74AC2" w:rsidRPr="00531AD4">
        <w:t xml:space="preserve"> </w:t>
      </w:r>
      <w:r w:rsidRPr="00531AD4">
        <w:t>guarantees</w:t>
      </w:r>
      <w:r w:rsidR="00A74AC2" w:rsidRPr="00531AD4">
        <w:t xml:space="preserve"> </w:t>
      </w:r>
      <w:r w:rsidRPr="00531AD4">
        <w:t>justice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equality,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part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national</w:t>
      </w:r>
      <w:r w:rsidR="00A74AC2" w:rsidRPr="00531AD4">
        <w:t xml:space="preserve"> </w:t>
      </w:r>
      <w:r w:rsidRPr="00531AD4">
        <w:t>law,</w:t>
      </w:r>
      <w:r w:rsidR="00A74AC2" w:rsidRPr="00531AD4">
        <w:t xml:space="preserve"> </w:t>
      </w:r>
      <w:r w:rsidRPr="00531AD4">
        <w:t>having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same</w:t>
      </w:r>
      <w:r w:rsidR="00A74AC2" w:rsidRPr="00531AD4">
        <w:t xml:space="preserve"> </w:t>
      </w:r>
      <w:r w:rsidRPr="00531AD4">
        <w:t>force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ordinary</w:t>
      </w:r>
      <w:r w:rsidR="00A74AC2" w:rsidRPr="00531AD4">
        <w:t xml:space="preserve"> </w:t>
      </w:r>
      <w:r w:rsidRPr="00531AD4">
        <w:t>laws.</w:t>
      </w:r>
      <w:r w:rsidR="00A74AC2" w:rsidRPr="00531AD4">
        <w:t xml:space="preserve"> </w:t>
      </w:r>
      <w:r w:rsidRPr="00531AD4">
        <w:t>However,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specific</w:t>
      </w:r>
      <w:r w:rsidR="00A74AC2" w:rsidRPr="00531AD4">
        <w:t xml:space="preserve"> </w:t>
      </w:r>
      <w:r w:rsidRPr="00531AD4">
        <w:t>domestic</w:t>
      </w:r>
      <w:r w:rsidR="00A74AC2" w:rsidRPr="00531AD4">
        <w:t xml:space="preserve"> </w:t>
      </w:r>
      <w:r w:rsidRPr="00531AD4">
        <w:t>legislation</w:t>
      </w:r>
      <w:r w:rsidR="00A74AC2" w:rsidRPr="00531AD4">
        <w:t xml:space="preserve"> </w:t>
      </w:r>
      <w:r w:rsidRPr="00531AD4">
        <w:t>prohibiting</w:t>
      </w:r>
      <w:r w:rsidR="00A74AC2" w:rsidRPr="00531AD4">
        <w:t xml:space="preserve"> </w:t>
      </w:r>
      <w:r w:rsidRPr="00531AD4">
        <w:t>direct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indirect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grounds</w:t>
      </w:r>
      <w:r w:rsidR="00A74AC2" w:rsidRPr="00531AD4">
        <w:t xml:space="preserve"> </w:t>
      </w:r>
      <w:r w:rsidRPr="00531AD4">
        <w:t>referred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article</w:t>
      </w:r>
      <w:r w:rsidR="00A74AC2" w:rsidRPr="00531AD4">
        <w:t xml:space="preserve"> </w:t>
      </w:r>
      <w:r w:rsidRPr="00531AD4">
        <w:t>1</w:t>
      </w:r>
      <w:r w:rsidR="00A74AC2" w:rsidRPr="00531AD4">
        <w:t xml:space="preserve"> </w:t>
      </w:r>
      <w:r w:rsidRPr="00531AD4">
        <w:t>may</w:t>
      </w:r>
      <w:r w:rsidR="00A74AC2" w:rsidRPr="00531AD4">
        <w:t xml:space="preserve"> </w:t>
      </w:r>
      <w:r w:rsidRPr="00531AD4">
        <w:t>be</w:t>
      </w:r>
      <w:r w:rsidR="00A74AC2" w:rsidRPr="00531AD4">
        <w:t xml:space="preserve"> </w:t>
      </w:r>
      <w:r w:rsidRPr="00531AD4">
        <w:t>impeding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implementation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set</w:t>
      </w:r>
      <w:r w:rsidR="00A74AC2" w:rsidRPr="00531AD4">
        <w:t xml:space="preserve"> </w:t>
      </w:r>
      <w:r w:rsidRPr="00531AD4">
        <w:t>out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Convention.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also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measures</w:t>
      </w:r>
      <w:r w:rsidR="00A74AC2" w:rsidRPr="00531AD4">
        <w:t xml:space="preserve"> </w:t>
      </w:r>
      <w:r w:rsidRPr="00531AD4">
        <w:t>taken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bring</w:t>
      </w:r>
      <w:r w:rsidR="00A74AC2" w:rsidRPr="00531AD4">
        <w:t xml:space="preserve"> </w:t>
      </w:r>
      <w:r w:rsidRPr="00531AD4">
        <w:t>existing</w:t>
      </w:r>
      <w:r w:rsidR="00A74AC2" w:rsidRPr="00531AD4">
        <w:t xml:space="preserve"> </w:t>
      </w:r>
      <w:r w:rsidRPr="00531AD4">
        <w:t>laws</w:t>
      </w:r>
      <w:r w:rsidR="00A74AC2" w:rsidRPr="00531AD4">
        <w:t xml:space="preserve"> </w:t>
      </w:r>
      <w:r w:rsidRPr="00531AD4">
        <w:t>into</w:t>
      </w:r>
      <w:r w:rsidR="00A74AC2" w:rsidRPr="00531AD4">
        <w:t xml:space="preserve"> </w:t>
      </w:r>
      <w:r w:rsidRPr="00531AD4">
        <w:t>line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1).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12.</w:t>
      </w:r>
      <w:r w:rsidRPr="00531AD4">
        <w:tab/>
      </w:r>
      <w:r w:rsidRPr="00531AD4">
        <w:rPr>
          <w:b/>
          <w:bCs/>
        </w:rPr>
        <w:t>Reiterating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previous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observations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(see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CERD/C/62/CO/8,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para.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10),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enact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comprehensive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lastRenderedPageBreak/>
        <w:t>legislation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prohibiting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direct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indirect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prohibited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grounds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specified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also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existing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legislation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fully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Pr="00531AD4">
        <w:t>.</w:t>
      </w:r>
    </w:p>
    <w:p w:rsidR="00C5372E" w:rsidRPr="00531AD4" w:rsidRDefault="00C5372E" w:rsidP="00E41C0B">
      <w:pPr>
        <w:pStyle w:val="H23G"/>
      </w:pPr>
      <w:r w:rsidRPr="00531AD4">
        <w:tab/>
      </w:r>
      <w:r w:rsidRPr="00531AD4">
        <w:tab/>
        <w:t>Racist</w:t>
      </w:r>
      <w:r w:rsidR="00A74AC2" w:rsidRPr="00531AD4">
        <w:t xml:space="preserve"> </w:t>
      </w:r>
      <w:r w:rsidRPr="00531AD4">
        <w:t>hate</w:t>
      </w:r>
      <w:r w:rsidR="00A74AC2" w:rsidRPr="00531AD4">
        <w:t xml:space="preserve"> </w:t>
      </w:r>
      <w:r w:rsidRPr="00531AD4">
        <w:t>speech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hate</w:t>
      </w:r>
      <w:r w:rsidR="00A74AC2" w:rsidRPr="00531AD4">
        <w:t xml:space="preserve"> </w:t>
      </w:r>
      <w:r w:rsidRPr="00531AD4">
        <w:t>crimes</w:t>
      </w:r>
    </w:p>
    <w:p w:rsidR="00C5372E" w:rsidRPr="00ED225A" w:rsidRDefault="00C5372E" w:rsidP="00F610A2">
      <w:pPr>
        <w:pStyle w:val="SingleTxtG"/>
        <w:rPr>
          <w:spacing w:val="-2"/>
        </w:rPr>
      </w:pPr>
      <w:r w:rsidRPr="00ED225A">
        <w:rPr>
          <w:spacing w:val="-2"/>
        </w:rPr>
        <w:t>13.</w:t>
      </w:r>
      <w:r w:rsidRPr="00ED225A">
        <w:rPr>
          <w:spacing w:val="-2"/>
        </w:rPr>
        <w:tab/>
        <w:t>The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Committee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regrets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the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lack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of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comprehensive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information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on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the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implementation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and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impact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of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legal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provisions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prohibiting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hate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crimes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and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hate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speech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(art.</w:t>
      </w:r>
      <w:r w:rsidR="00A74AC2" w:rsidRPr="00ED225A">
        <w:rPr>
          <w:spacing w:val="-2"/>
        </w:rPr>
        <w:t xml:space="preserve"> </w:t>
      </w:r>
      <w:r w:rsidRPr="00ED225A">
        <w:rPr>
          <w:spacing w:val="-2"/>
        </w:rPr>
        <w:t>4).</w:t>
      </w:r>
      <w:r w:rsidR="00A74AC2" w:rsidRPr="00ED225A">
        <w:rPr>
          <w:spacing w:val="-2"/>
        </w:rPr>
        <w:t xml:space="preserve"> </w:t>
      </w:r>
    </w:p>
    <w:p w:rsidR="00C5372E" w:rsidRPr="00531AD4" w:rsidRDefault="00C5372E" w:rsidP="00F610A2">
      <w:pPr>
        <w:pStyle w:val="SingleTxtG"/>
      </w:pPr>
      <w:proofErr w:type="gramStart"/>
      <w:r w:rsidRPr="00531AD4">
        <w:t>14.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recalling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6E6153" w:rsidRPr="00531AD4">
        <w:rPr>
          <w:b/>
          <w:bCs/>
        </w:rPr>
        <w:t xml:space="preserve"> </w:t>
      </w:r>
      <w:r w:rsidRPr="00531AD4">
        <w:rPr>
          <w:b/>
          <w:bCs/>
        </w:rPr>
        <w:t>7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(1985)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implementation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8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(1990)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concerning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interpretation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application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(1)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(4)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15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(1993)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35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(2013)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combating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racist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speech,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urges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legislation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prohibiting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speech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fully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Convention.</w:t>
      </w:r>
      <w:proofErr w:type="gramEnd"/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detailed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information,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respect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court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decisions,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implementation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impact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legislation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crimes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speech</w:t>
      </w:r>
      <w:r w:rsidRPr="00531AD4">
        <w:t>.</w:t>
      </w:r>
      <w:r w:rsidR="00A74AC2" w:rsidRPr="00531AD4">
        <w:t xml:space="preserve"> </w:t>
      </w:r>
    </w:p>
    <w:p w:rsidR="00C5372E" w:rsidRPr="00531AD4" w:rsidRDefault="00C5372E" w:rsidP="00E41C0B">
      <w:pPr>
        <w:pStyle w:val="H23G"/>
      </w:pPr>
      <w:r w:rsidRPr="00531AD4">
        <w:tab/>
      </w:r>
      <w:r w:rsidRPr="00531AD4">
        <w:tab/>
        <w:t>Complaints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15.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regrets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whether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proofErr w:type="gramStart"/>
      <w:r w:rsidRPr="00531AD4">
        <w:t>can</w:t>
      </w:r>
      <w:r w:rsidR="00A74AC2" w:rsidRPr="00531AD4">
        <w:t xml:space="preserve"> </w:t>
      </w:r>
      <w:r w:rsidRPr="00531AD4">
        <w:t>be</w:t>
      </w:r>
      <w:r w:rsidR="00A74AC2" w:rsidRPr="00531AD4">
        <w:t xml:space="preserve"> </w:t>
      </w:r>
      <w:r w:rsidRPr="00531AD4">
        <w:t>directly</w:t>
      </w:r>
      <w:r w:rsidR="00A74AC2" w:rsidRPr="00531AD4">
        <w:t xml:space="preserve"> </w:t>
      </w:r>
      <w:r w:rsidRPr="00531AD4">
        <w:t>invoked</w:t>
      </w:r>
      <w:proofErr w:type="gramEnd"/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national</w:t>
      </w:r>
      <w:r w:rsidR="00A74AC2" w:rsidRPr="00531AD4">
        <w:t xml:space="preserve"> </w:t>
      </w:r>
      <w:r w:rsidRPr="00531AD4">
        <w:t>courts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examples</w:t>
      </w:r>
      <w:r w:rsidR="00A74AC2" w:rsidRPr="00531AD4">
        <w:t xml:space="preserve"> </w:t>
      </w:r>
      <w:r w:rsidRPr="00531AD4">
        <w:t>where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has</w:t>
      </w:r>
      <w:r w:rsidR="00A74AC2" w:rsidRPr="00531AD4">
        <w:t xml:space="preserve"> </w:t>
      </w:r>
      <w:r w:rsidRPr="00531AD4">
        <w:t>served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legal</w:t>
      </w:r>
      <w:r w:rsidR="00A74AC2" w:rsidRPr="00531AD4">
        <w:t xml:space="preserve"> </w:t>
      </w:r>
      <w:r w:rsidRPr="00531AD4">
        <w:t>basis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court</w:t>
      </w:r>
      <w:r w:rsidR="00A74AC2" w:rsidRPr="00531AD4">
        <w:t xml:space="preserve"> </w:t>
      </w:r>
      <w:r w:rsidRPr="00531AD4">
        <w:t>decisions.</w:t>
      </w:r>
      <w:r w:rsidR="00A74AC2" w:rsidRPr="00531AD4">
        <w:t xml:space="preserve"> </w:t>
      </w:r>
      <w:proofErr w:type="gramStart"/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further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comprehensive</w:t>
      </w:r>
      <w:r w:rsidR="00A74AC2" w:rsidRPr="00531AD4">
        <w:t xml:space="preserve"> </w:t>
      </w:r>
      <w:r w:rsidRPr="00531AD4">
        <w:t>data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complaints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reminds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low</w:t>
      </w:r>
      <w:r w:rsidR="00A74AC2" w:rsidRPr="00531AD4">
        <w:t xml:space="preserve"> </w:t>
      </w:r>
      <w:r w:rsidRPr="00531AD4">
        <w:t>number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complaints</w:t>
      </w:r>
      <w:r w:rsidR="00A74AC2" w:rsidRPr="00531AD4">
        <w:t xml:space="preserve"> </w:t>
      </w:r>
      <w:r w:rsidRPr="00531AD4">
        <w:t>does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signify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absence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party,</w:t>
      </w:r>
      <w:r w:rsidR="00A74AC2" w:rsidRPr="00531AD4">
        <w:t xml:space="preserve"> </w:t>
      </w:r>
      <w:r w:rsidRPr="00531AD4">
        <w:t>but</w:t>
      </w:r>
      <w:r w:rsidR="00A74AC2" w:rsidRPr="00531AD4">
        <w:t xml:space="preserve"> </w:t>
      </w:r>
      <w:r w:rsidRPr="00531AD4">
        <w:t>may,</w:t>
      </w:r>
      <w:r w:rsidR="00A74AC2" w:rsidRPr="00531AD4">
        <w:t xml:space="preserve"> </w:t>
      </w:r>
      <w:r w:rsidRPr="00531AD4">
        <w:t>rather,</w:t>
      </w:r>
      <w:r w:rsidR="00A74AC2" w:rsidRPr="00531AD4">
        <w:t xml:space="preserve"> </w:t>
      </w:r>
      <w:r w:rsidRPr="00531AD4">
        <w:t>signify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barriers</w:t>
      </w:r>
      <w:r w:rsidR="00A74AC2" w:rsidRPr="00531AD4">
        <w:t xml:space="preserve"> </w:t>
      </w:r>
      <w:r w:rsidRPr="00531AD4">
        <w:t>exist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regard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invoking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under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before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domestic</w:t>
      </w:r>
      <w:r w:rsidR="00A74AC2" w:rsidRPr="00531AD4">
        <w:t xml:space="preserve"> </w:t>
      </w:r>
      <w:r w:rsidRPr="00531AD4">
        <w:t>courts,</w:t>
      </w:r>
      <w:r w:rsidR="00A74AC2" w:rsidRPr="00531AD4">
        <w:t xml:space="preserve"> </w:t>
      </w:r>
      <w:r w:rsidRPr="00531AD4">
        <w:t>including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public</w:t>
      </w:r>
      <w:r w:rsidR="00A74AC2" w:rsidRPr="00531AD4">
        <w:t xml:space="preserve"> </w:t>
      </w:r>
      <w:r w:rsidRPr="00531AD4">
        <w:t>awareness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those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methods</w:t>
      </w:r>
      <w:r w:rsidR="00A74AC2" w:rsidRPr="00531AD4">
        <w:t xml:space="preserve"> </w:t>
      </w:r>
      <w:r w:rsidRPr="00531AD4">
        <w:t>available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seeking</w:t>
      </w:r>
      <w:r w:rsidR="00A74AC2" w:rsidRPr="00531AD4">
        <w:t xml:space="preserve"> </w:t>
      </w:r>
      <w:r w:rsidRPr="00531AD4">
        <w:t>judicial</w:t>
      </w:r>
      <w:r w:rsidR="00A74AC2" w:rsidRPr="00531AD4">
        <w:t xml:space="preserve"> </w:t>
      </w:r>
      <w:r w:rsidRPr="00531AD4">
        <w:t>remedies</w:t>
      </w:r>
      <w:r w:rsidR="00A74AC2" w:rsidRPr="00531AD4">
        <w:t xml:space="preserve"> </w:t>
      </w:r>
      <w:r w:rsidRPr="00531AD4">
        <w:t>(arts.</w:t>
      </w:r>
      <w:r w:rsidR="00A74AC2" w:rsidRPr="00531AD4">
        <w:t xml:space="preserve"> </w:t>
      </w:r>
      <w:r w:rsidRPr="00531AD4">
        <w:t>6–7).</w:t>
      </w:r>
      <w:proofErr w:type="gramEnd"/>
    </w:p>
    <w:p w:rsidR="00C5372E" w:rsidRPr="00531AD4" w:rsidRDefault="00C5372E" w:rsidP="00F610A2">
      <w:pPr>
        <w:pStyle w:val="SingleTxtG"/>
      </w:pPr>
      <w:r w:rsidRPr="00531AD4">
        <w:t>16.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party:</w:t>
      </w:r>
    </w:p>
    <w:p w:rsidR="00C5372E" w:rsidRPr="00531AD4" w:rsidRDefault="00C660E7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(a)</w:t>
      </w:r>
      <w:r w:rsidR="00C5372E" w:rsidRPr="00531AD4">
        <w:tab/>
      </w:r>
      <w:r w:rsidR="00C5372E"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clarification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whether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proofErr w:type="gramStart"/>
      <w:r w:rsidR="00C5372E" w:rsidRPr="00531AD4">
        <w:rPr>
          <w:b/>
          <w:bCs/>
        </w:rPr>
        <w:t>can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invoked</w:t>
      </w:r>
      <w:proofErr w:type="gramEnd"/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national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courts,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examples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cases.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also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statistical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data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number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types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discrimination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number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prosecutions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convictions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perpetrators,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disaggregated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age,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gender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ethnic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origin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victims,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compensation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granted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victims;</w:t>
      </w:r>
    </w:p>
    <w:p w:rsidR="00C5372E" w:rsidRPr="00531AD4" w:rsidRDefault="00C660E7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(b)</w:t>
      </w:r>
      <w:r w:rsidR="00C5372E" w:rsidRPr="00531AD4">
        <w:tab/>
      </w:r>
      <w:r w:rsidR="00C5372E"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training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programmes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law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enforcement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officials,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prosecutors,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judges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identification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registration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incidents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discrimination</w:t>
      </w:r>
      <w:proofErr w:type="gramStart"/>
      <w:r w:rsidR="00C5372E" w:rsidRPr="00531AD4">
        <w:rPr>
          <w:b/>
          <w:bCs/>
        </w:rPr>
        <w:t>;</w:t>
      </w:r>
      <w:proofErr w:type="gramEnd"/>
    </w:p>
    <w:p w:rsidR="00C660E7" w:rsidRPr="00531AD4" w:rsidRDefault="00C660E7" w:rsidP="00C660E7">
      <w:pPr>
        <w:pStyle w:val="SingleTxtG"/>
      </w:pPr>
      <w:r w:rsidRPr="00531AD4">
        <w:tab/>
      </w:r>
      <w:r w:rsidR="00C5372E" w:rsidRPr="00531AD4">
        <w:t>(c)</w:t>
      </w:r>
      <w:r w:rsidR="00C5372E" w:rsidRPr="00531AD4">
        <w:tab/>
      </w:r>
      <w:r w:rsidR="00C5372E" w:rsidRPr="00531AD4">
        <w:rPr>
          <w:b/>
          <w:bCs/>
        </w:rPr>
        <w:t>Undertake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public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education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campaigns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covered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under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how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file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discrimination.</w:t>
      </w:r>
    </w:p>
    <w:p w:rsidR="00C5372E" w:rsidRPr="00531AD4" w:rsidRDefault="00C660E7" w:rsidP="00C660E7">
      <w:pPr>
        <w:pStyle w:val="H23G"/>
      </w:pPr>
      <w:r w:rsidRPr="00531AD4">
        <w:tab/>
      </w:r>
      <w:r w:rsidR="00C5372E" w:rsidRPr="00531AD4">
        <w:tab/>
        <w:t>Migrant</w:t>
      </w:r>
      <w:r w:rsidR="00A74AC2" w:rsidRPr="00531AD4">
        <w:t xml:space="preserve"> </w:t>
      </w:r>
      <w:r w:rsidR="00C5372E" w:rsidRPr="00531AD4">
        <w:t>workers</w:t>
      </w:r>
    </w:p>
    <w:p w:rsidR="00C5372E" w:rsidRPr="00531AD4" w:rsidRDefault="00C5372E" w:rsidP="00F610A2">
      <w:pPr>
        <w:pStyle w:val="SingleTxtG"/>
      </w:pPr>
      <w:r w:rsidRPr="00531AD4">
        <w:t>17.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notes</w:t>
      </w:r>
      <w:r w:rsidR="00A74AC2" w:rsidRPr="00531AD4">
        <w:t xml:space="preserve"> </w:t>
      </w:r>
      <w:r w:rsidRPr="00531AD4">
        <w:t>that,</w:t>
      </w:r>
      <w:r w:rsidR="00A74AC2" w:rsidRPr="00531AD4">
        <w:t xml:space="preserve"> </w:t>
      </w:r>
      <w:r w:rsidRPr="00531AD4">
        <w:t>under</w:t>
      </w:r>
      <w:r w:rsidR="00A74AC2" w:rsidRPr="00531AD4">
        <w:t xml:space="preserve"> </w:t>
      </w:r>
      <w:r w:rsidRPr="00531AD4">
        <w:t>Cabinet</w:t>
      </w:r>
      <w:r w:rsidR="00A74AC2" w:rsidRPr="00531AD4">
        <w:t xml:space="preserve"> </w:t>
      </w:r>
      <w:r w:rsidRPr="00531AD4">
        <w:t>Decision</w:t>
      </w:r>
      <w:r w:rsidR="00A74AC2" w:rsidRPr="00531AD4">
        <w:t xml:space="preserve"> </w:t>
      </w:r>
      <w:r w:rsidRPr="00531AD4">
        <w:t>No.</w:t>
      </w:r>
      <w:r w:rsidR="00A74AC2" w:rsidRPr="00531AD4">
        <w:t xml:space="preserve"> </w:t>
      </w:r>
      <w:r w:rsidRPr="00531AD4">
        <w:t>166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9</w:t>
      </w:r>
      <w:r w:rsidR="00A74AC2" w:rsidRPr="00531AD4">
        <w:t xml:space="preserve"> </w:t>
      </w:r>
      <w:r w:rsidRPr="00531AD4">
        <w:t>October</w:t>
      </w:r>
      <w:r w:rsidR="00A74AC2" w:rsidRPr="00531AD4">
        <w:t xml:space="preserve"> </w:t>
      </w:r>
      <w:r w:rsidRPr="00531AD4">
        <w:t>2000,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term</w:t>
      </w:r>
      <w:r w:rsidR="00A74AC2" w:rsidRPr="00531AD4">
        <w:t xml:space="preserve"> </w:t>
      </w:r>
      <w:proofErr w:type="spellStart"/>
      <w:r w:rsidRPr="00531AD4">
        <w:rPr>
          <w:i/>
          <w:iCs/>
        </w:rPr>
        <w:t>kafil</w:t>
      </w:r>
      <w:proofErr w:type="spellEnd"/>
      <w:r w:rsidR="00A74AC2" w:rsidRPr="00531AD4">
        <w:t xml:space="preserve"> </w:t>
      </w:r>
      <w:proofErr w:type="gramStart"/>
      <w:r w:rsidRPr="00531AD4">
        <w:t>has</w:t>
      </w:r>
      <w:r w:rsidR="00A74AC2" w:rsidRPr="00531AD4">
        <w:t xml:space="preserve"> </w:t>
      </w:r>
      <w:r w:rsidRPr="00531AD4">
        <w:t>been</w:t>
      </w:r>
      <w:r w:rsidR="00A74AC2" w:rsidRPr="00531AD4">
        <w:t xml:space="preserve"> </w:t>
      </w:r>
      <w:r w:rsidRPr="00531AD4">
        <w:t>replaced</w:t>
      </w:r>
      <w:proofErr w:type="gramEnd"/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term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="006E6153" w:rsidRPr="00531AD4">
        <w:t>“</w:t>
      </w:r>
      <w:r w:rsidRPr="00531AD4">
        <w:t>employer</w:t>
      </w:r>
      <w:r w:rsidR="006E6153" w:rsidRPr="00531AD4">
        <w:t>”</w:t>
      </w:r>
      <w:r w:rsidRPr="00531AD4">
        <w:t>.</w:t>
      </w:r>
      <w:r w:rsidR="00A74AC2" w:rsidRPr="00531AD4">
        <w:t xml:space="preserve"> </w:t>
      </w:r>
      <w:r w:rsidRPr="00531AD4">
        <w:t>However,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r w:rsidRPr="00531AD4">
        <w:t>remains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sponsorship</w:t>
      </w:r>
      <w:r w:rsidR="00A74AC2" w:rsidRPr="00531AD4">
        <w:t xml:space="preserve"> </w:t>
      </w:r>
      <w:r w:rsidRPr="00531AD4">
        <w:t>system</w:t>
      </w:r>
      <w:r w:rsidR="00A74AC2" w:rsidRPr="00531AD4">
        <w:t xml:space="preserve"> </w:t>
      </w:r>
      <w:r w:rsidRPr="00531AD4">
        <w:t>continues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persist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practice,</w:t>
      </w:r>
      <w:r w:rsidR="00A74AC2" w:rsidRPr="00531AD4">
        <w:t xml:space="preserve"> </w:t>
      </w:r>
      <w:r w:rsidRPr="00531AD4">
        <w:t>limiting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ability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an</w:t>
      </w:r>
      <w:r w:rsidR="00A74AC2" w:rsidRPr="00531AD4">
        <w:t xml:space="preserve"> </w:t>
      </w:r>
      <w:r w:rsidRPr="00531AD4">
        <w:t>employee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switch</w:t>
      </w:r>
      <w:r w:rsidR="00A74AC2" w:rsidRPr="00531AD4">
        <w:t xml:space="preserve"> </w:t>
      </w:r>
      <w:r w:rsidRPr="00531AD4">
        <w:t>or</w:t>
      </w:r>
      <w:r w:rsidR="00A74AC2" w:rsidRPr="00531AD4">
        <w:t xml:space="preserve"> </w:t>
      </w:r>
      <w:r w:rsidRPr="00531AD4">
        <w:t>terminate</w:t>
      </w:r>
      <w:r w:rsidR="00A74AC2" w:rsidRPr="00531AD4">
        <w:t xml:space="preserve"> </w:t>
      </w:r>
      <w:r w:rsidRPr="00531AD4">
        <w:t>an</w:t>
      </w:r>
      <w:r w:rsidR="00A74AC2" w:rsidRPr="00531AD4">
        <w:t xml:space="preserve"> </w:t>
      </w:r>
      <w:r w:rsidRPr="00531AD4">
        <w:t>employment</w:t>
      </w:r>
      <w:r w:rsidR="00A74AC2" w:rsidRPr="00531AD4">
        <w:t xml:space="preserve"> </w:t>
      </w:r>
      <w:r w:rsidRPr="00531AD4">
        <w:t>relationship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allowing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forced</w:t>
      </w:r>
      <w:r w:rsidR="00A74AC2" w:rsidRPr="00531AD4">
        <w:t xml:space="preserve"> </w:t>
      </w:r>
      <w:r w:rsidRPr="00531AD4">
        <w:t>labour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other</w:t>
      </w:r>
      <w:r w:rsidR="00A74AC2" w:rsidRPr="00531AD4">
        <w:t xml:space="preserve"> </w:t>
      </w:r>
      <w:r w:rsidRPr="00531AD4">
        <w:t>abusive</w:t>
      </w:r>
      <w:r w:rsidR="00A74AC2" w:rsidRPr="00531AD4">
        <w:t xml:space="preserve"> </w:t>
      </w:r>
      <w:r w:rsidRPr="00531AD4">
        <w:t>practices,</w:t>
      </w:r>
      <w:r w:rsidR="00A74AC2" w:rsidRPr="00531AD4">
        <w:t xml:space="preserve"> </w:t>
      </w:r>
      <w:r w:rsidRPr="00531AD4">
        <w:t>including</w:t>
      </w:r>
      <w:r w:rsidR="00A74AC2" w:rsidRPr="00531AD4">
        <w:t xml:space="preserve"> </w:t>
      </w:r>
      <w:r w:rsidRPr="00531AD4">
        <w:t>exploitative</w:t>
      </w:r>
      <w:r w:rsidR="00A74AC2" w:rsidRPr="00531AD4">
        <w:t xml:space="preserve"> </w:t>
      </w:r>
      <w:r w:rsidRPr="00531AD4">
        <w:t>working</w:t>
      </w:r>
      <w:r w:rsidR="00A74AC2" w:rsidRPr="00531AD4">
        <w:t xml:space="preserve"> </w:t>
      </w:r>
      <w:r w:rsidRPr="00531AD4">
        <w:t>conditions,</w:t>
      </w:r>
      <w:r w:rsidR="00A74AC2" w:rsidRPr="00531AD4">
        <w:t xml:space="preserve"> </w:t>
      </w:r>
      <w:r w:rsidRPr="00531AD4">
        <w:t>non-payment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wages,</w:t>
      </w:r>
      <w:r w:rsidR="00A74AC2" w:rsidRPr="00531AD4">
        <w:t xml:space="preserve"> </w:t>
      </w:r>
      <w:r w:rsidRPr="00531AD4">
        <w:t>confiscation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passports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restrictions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employees</w:t>
      </w:r>
      <w:r w:rsidR="006E6153" w:rsidRPr="00531AD4">
        <w:t>’</w:t>
      </w:r>
      <w:r w:rsidR="00A74AC2" w:rsidRPr="00531AD4">
        <w:t xml:space="preserve"> </w:t>
      </w:r>
      <w:r w:rsidRPr="00531AD4">
        <w:t>freedom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movement.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also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proofErr w:type="gramStart"/>
      <w:r w:rsidRPr="00531AD4">
        <w:t>migrants</w:t>
      </w:r>
      <w:r w:rsidR="00A74AC2" w:rsidRPr="00531AD4">
        <w:t xml:space="preserve"> </w:t>
      </w:r>
      <w:r w:rsidRPr="00531AD4">
        <w:t>may</w:t>
      </w:r>
      <w:r w:rsidR="00A74AC2" w:rsidRPr="00531AD4">
        <w:t xml:space="preserve"> </w:t>
      </w:r>
      <w:r w:rsidRPr="00531AD4">
        <w:t>be</w:t>
      </w:r>
      <w:r w:rsidR="00A74AC2" w:rsidRPr="00531AD4">
        <w:t xml:space="preserve"> </w:t>
      </w:r>
      <w:r w:rsidRPr="00531AD4">
        <w:t>limited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law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their</w:t>
      </w:r>
      <w:r w:rsidR="00A74AC2" w:rsidRPr="00531AD4">
        <w:t xml:space="preserve"> </w:t>
      </w:r>
      <w:r w:rsidRPr="00531AD4">
        <w:t>right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association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assembly</w:t>
      </w:r>
      <w:proofErr w:type="gramEnd"/>
      <w:r w:rsidRPr="00531AD4">
        <w:t>.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proofErr w:type="gramStart"/>
      <w:r w:rsidRPr="00531AD4">
        <w:t>is</w:t>
      </w:r>
      <w:r w:rsidR="00A74AC2" w:rsidRPr="00531AD4">
        <w:t xml:space="preserve"> </w:t>
      </w:r>
      <w:r w:rsidRPr="00531AD4">
        <w:t>further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high</w:t>
      </w:r>
      <w:r w:rsidR="00A74AC2" w:rsidRPr="00531AD4">
        <w:t xml:space="preserve"> </w:t>
      </w:r>
      <w:r w:rsidRPr="00531AD4">
        <w:t>rate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migrants</w:t>
      </w:r>
      <w:r w:rsidR="00A74AC2" w:rsidRPr="00531AD4">
        <w:t xml:space="preserve"> </w:t>
      </w:r>
      <w:r w:rsidRPr="00531AD4">
        <w:t>facing</w:t>
      </w:r>
      <w:r w:rsidR="00A74AC2" w:rsidRPr="00531AD4">
        <w:t xml:space="preserve"> </w:t>
      </w:r>
      <w:r w:rsidRPr="00531AD4">
        <w:t>arbitrary</w:t>
      </w:r>
      <w:r w:rsidR="00A74AC2" w:rsidRPr="00531AD4">
        <w:t xml:space="preserve"> </w:t>
      </w:r>
      <w:r w:rsidRPr="00531AD4">
        <w:t>detention,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disproportionally</w:t>
      </w:r>
      <w:r w:rsidR="00A74AC2" w:rsidRPr="00531AD4">
        <w:t xml:space="preserve"> </w:t>
      </w:r>
      <w:r w:rsidRPr="00531AD4">
        <w:t>high</w:t>
      </w:r>
      <w:r w:rsidR="00A74AC2" w:rsidRPr="00531AD4">
        <w:t xml:space="preserve"> </w:t>
      </w:r>
      <w:r w:rsidRPr="00531AD4">
        <w:t>representation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migrants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prison</w:t>
      </w:r>
      <w:r w:rsidR="00A74AC2" w:rsidRPr="00531AD4">
        <w:t xml:space="preserve"> </w:t>
      </w:r>
      <w:r w:rsidRPr="00531AD4">
        <w:t>population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among</w:t>
      </w:r>
      <w:r w:rsidR="00A74AC2" w:rsidRPr="00531AD4">
        <w:t xml:space="preserve"> </w:t>
      </w:r>
      <w:r w:rsidRPr="00531AD4">
        <w:t>those</w:t>
      </w:r>
      <w:r w:rsidR="00A74AC2" w:rsidRPr="00531AD4">
        <w:t xml:space="preserve"> </w:t>
      </w:r>
      <w:r w:rsidRPr="00531AD4">
        <w:t>sentenced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death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</w:t>
      </w:r>
      <w:proofErr w:type="gramEnd"/>
      <w:r w:rsidRPr="00531AD4">
        <w:t>.</w:t>
      </w:r>
      <w:r w:rsidR="00A74AC2" w:rsidRPr="00531AD4">
        <w:t xml:space="preserve"> </w:t>
      </w:r>
    </w:p>
    <w:p w:rsidR="00C5372E" w:rsidRPr="00531AD4" w:rsidRDefault="00C5372E" w:rsidP="00A74AC2">
      <w:pPr>
        <w:pStyle w:val="SingleTxtG"/>
        <w:keepNext/>
        <w:keepLines/>
      </w:pPr>
      <w:r w:rsidRPr="00531AD4">
        <w:lastRenderedPageBreak/>
        <w:t>18.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party:</w:t>
      </w:r>
    </w:p>
    <w:p w:rsidR="00C5372E" w:rsidRPr="00531AD4" w:rsidRDefault="00A74AC2" w:rsidP="00A74AC2">
      <w:pPr>
        <w:pStyle w:val="SingleTxtG"/>
        <w:keepNext/>
        <w:keepLines/>
        <w:rPr>
          <w:b/>
          <w:bCs/>
        </w:rPr>
      </w:pPr>
      <w:r w:rsidRPr="00531AD4">
        <w:tab/>
      </w:r>
      <w:r w:rsidR="00C5372E" w:rsidRPr="00531AD4">
        <w:t>(a)</w:t>
      </w:r>
      <w:r w:rsidR="00C5372E" w:rsidRPr="00531AD4">
        <w:tab/>
      </w:r>
      <w:r w:rsidR="00C5372E" w:rsidRPr="00531AD4">
        <w:rPr>
          <w:b/>
          <w:bCs/>
        </w:rPr>
        <w:t>End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sponsorship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system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practice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ensure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Pr="00531AD4">
        <w:rPr>
          <w:b/>
          <w:bCs/>
        </w:rPr>
        <w:t xml:space="preserve"> </w:t>
      </w:r>
      <w:proofErr w:type="gramStart"/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employment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regulated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labour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law</w:t>
      </w:r>
      <w:proofErr w:type="gramEnd"/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issuance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visas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residency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permits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managed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through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competent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ministry;</w:t>
      </w:r>
    </w:p>
    <w:p w:rsidR="00C5372E" w:rsidRPr="00531AD4" w:rsidRDefault="00A74AC2" w:rsidP="00A74AC2">
      <w:pPr>
        <w:pStyle w:val="SingleTxtG"/>
        <w:rPr>
          <w:b/>
          <w:bCs/>
        </w:rPr>
      </w:pPr>
      <w:r w:rsidRPr="00531AD4">
        <w:tab/>
      </w:r>
      <w:r w:rsidR="00C5372E" w:rsidRPr="00531AD4">
        <w:t>(b)</w:t>
      </w:r>
      <w:r w:rsidR="00C5372E" w:rsidRPr="00531AD4">
        <w:tab/>
      </w:r>
      <w:r w:rsidR="00C5372E" w:rsidRPr="00531AD4">
        <w:rPr>
          <w:b/>
          <w:bCs/>
        </w:rPr>
        <w:t>Ensure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existing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provisions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protect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from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abuse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exploitation</w:t>
      </w:r>
      <w:r w:rsidRPr="00531AD4">
        <w:rPr>
          <w:b/>
          <w:bCs/>
        </w:rPr>
        <w:t xml:space="preserve"> </w:t>
      </w:r>
      <w:proofErr w:type="gramStart"/>
      <w:r w:rsidR="00C5372E" w:rsidRPr="00531AD4">
        <w:rPr>
          <w:b/>
          <w:bCs/>
        </w:rPr>
        <w:t>are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enforced</w:t>
      </w:r>
      <w:proofErr w:type="gramEnd"/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effectively;</w:t>
      </w:r>
    </w:p>
    <w:p w:rsidR="00C5372E" w:rsidRPr="00531AD4" w:rsidRDefault="00A74AC2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(c)</w:t>
      </w:r>
      <w:r w:rsidR="00C5372E" w:rsidRPr="00531AD4">
        <w:tab/>
      </w:r>
      <w:r w:rsidR="00C5372E" w:rsidRPr="00531AD4">
        <w:rPr>
          <w:b/>
          <w:bCs/>
        </w:rPr>
        <w:t>Ensure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right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freedom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association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assembly</w:t>
      </w:r>
      <w:proofErr w:type="gramStart"/>
      <w:r w:rsidR="00C5372E" w:rsidRPr="00531AD4">
        <w:rPr>
          <w:b/>
          <w:bCs/>
        </w:rPr>
        <w:t>;</w:t>
      </w:r>
      <w:proofErr w:type="gramEnd"/>
      <w:r w:rsidRPr="00531AD4">
        <w:rPr>
          <w:b/>
          <w:bCs/>
        </w:rPr>
        <w:t xml:space="preserve"> </w:t>
      </w:r>
    </w:p>
    <w:p w:rsidR="00C5372E" w:rsidRPr="00531AD4" w:rsidRDefault="00A74AC2" w:rsidP="00F610A2">
      <w:pPr>
        <w:pStyle w:val="SingleTxtG"/>
      </w:pPr>
      <w:r w:rsidRPr="00531AD4">
        <w:tab/>
      </w:r>
      <w:r w:rsidR="00C5372E" w:rsidRPr="00531AD4">
        <w:t>(d)</w:t>
      </w:r>
      <w:r w:rsidR="00C5372E" w:rsidRPr="00531AD4">
        <w:tab/>
      </w:r>
      <w:r w:rsidR="00C5372E" w:rsidRPr="00531AD4">
        <w:rPr>
          <w:b/>
          <w:bCs/>
        </w:rPr>
        <w:t>Ensure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Pr="00531AD4">
        <w:rPr>
          <w:b/>
          <w:bCs/>
        </w:rPr>
        <w:t xml:space="preserve"> </w:t>
      </w:r>
      <w:proofErr w:type="gramStart"/>
      <w:r w:rsidR="00C5372E" w:rsidRPr="00531AD4">
        <w:rPr>
          <w:b/>
          <w:bCs/>
        </w:rPr>
        <w:t>inspections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conducted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qualified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officials</w:t>
      </w:r>
      <w:proofErr w:type="gramEnd"/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effective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manner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identify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abusive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labour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practices;</w:t>
      </w:r>
    </w:p>
    <w:p w:rsidR="00C5372E" w:rsidRPr="00531AD4" w:rsidRDefault="00A74AC2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(e)</w:t>
      </w:r>
      <w:r w:rsidR="00C5372E" w:rsidRPr="00531AD4">
        <w:tab/>
      </w:r>
      <w:r w:rsidR="00C5372E" w:rsidRPr="00531AD4">
        <w:rPr>
          <w:b/>
          <w:bCs/>
        </w:rPr>
        <w:t>Ensure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full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access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mechanisms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appropriate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remedies</w:t>
      </w:r>
      <w:proofErr w:type="gramStart"/>
      <w:r w:rsidR="00C5372E" w:rsidRPr="00531AD4">
        <w:rPr>
          <w:b/>
          <w:bCs/>
        </w:rPr>
        <w:t>;</w:t>
      </w:r>
      <w:proofErr w:type="gramEnd"/>
    </w:p>
    <w:p w:rsidR="00C5372E" w:rsidRPr="00531AD4" w:rsidRDefault="00A74AC2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(f)</w:t>
      </w:r>
      <w:r w:rsidR="00C5372E" w:rsidRPr="00531AD4">
        <w:tab/>
      </w:r>
      <w:r w:rsidR="00C5372E" w:rsidRPr="00531AD4">
        <w:rPr>
          <w:b/>
          <w:bCs/>
        </w:rPr>
        <w:t>Conduct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study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root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causes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overrepresentation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criminal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justice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system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with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view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addressing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those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causes,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light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general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recommendation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No.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31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(2005)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prevention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racial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discrimination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administration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functioning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criminal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justice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system;</w:t>
      </w:r>
    </w:p>
    <w:p w:rsidR="00C5372E" w:rsidRPr="00531AD4" w:rsidRDefault="00A74AC2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(g)</w:t>
      </w:r>
      <w:r w:rsidR="00C5372E" w:rsidRPr="00531AD4">
        <w:tab/>
      </w:r>
      <w:r w:rsidR="00C5372E" w:rsidRPr="00531AD4">
        <w:rPr>
          <w:b/>
          <w:bCs/>
        </w:rPr>
        <w:t>Consider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abolishing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death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penalty</w:t>
      </w:r>
      <w:proofErr w:type="gramStart"/>
      <w:r w:rsidR="00C5372E" w:rsidRPr="00531AD4">
        <w:rPr>
          <w:b/>
          <w:bCs/>
        </w:rPr>
        <w:t>;</w:t>
      </w:r>
      <w:proofErr w:type="gramEnd"/>
      <w:r w:rsidRPr="00531AD4">
        <w:rPr>
          <w:b/>
          <w:bCs/>
        </w:rPr>
        <w:t xml:space="preserve"> </w:t>
      </w:r>
    </w:p>
    <w:p w:rsidR="00C5372E" w:rsidRPr="00531AD4" w:rsidRDefault="00A74AC2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(h)</w:t>
      </w:r>
      <w:r w:rsidR="00C5372E" w:rsidRPr="00531AD4">
        <w:tab/>
      </w:r>
      <w:r w:rsidR="00C5372E" w:rsidRPr="00531AD4">
        <w:rPr>
          <w:b/>
          <w:bCs/>
        </w:rPr>
        <w:t>Include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its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next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periodic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report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detailed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information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regarding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status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abolition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facto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sponsorship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system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implementation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impact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protective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measures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workers.</w:t>
      </w:r>
    </w:p>
    <w:p w:rsidR="00C5372E" w:rsidRPr="00531AD4" w:rsidRDefault="00C5372E" w:rsidP="000716D6">
      <w:pPr>
        <w:pStyle w:val="H23G"/>
      </w:pPr>
      <w:r w:rsidRPr="00531AD4">
        <w:tab/>
      </w:r>
      <w:r w:rsidRPr="00531AD4">
        <w:tab/>
        <w:t>Domestic</w:t>
      </w:r>
      <w:r w:rsidR="00A74AC2" w:rsidRPr="00531AD4">
        <w:t xml:space="preserve"> </w:t>
      </w:r>
      <w:r w:rsidRPr="00531AD4">
        <w:t>workers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19.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notes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steps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proofErr w:type="gramStart"/>
      <w:r w:rsidRPr="00531AD4">
        <w:t>have</w:t>
      </w:r>
      <w:r w:rsidR="00A74AC2" w:rsidRPr="00531AD4">
        <w:t xml:space="preserve"> </w:t>
      </w:r>
      <w:r w:rsidRPr="00531AD4">
        <w:t>been</w:t>
      </w:r>
      <w:r w:rsidR="00A74AC2" w:rsidRPr="00531AD4">
        <w:t xml:space="preserve"> </w:t>
      </w:r>
      <w:r w:rsidRPr="00531AD4">
        <w:t>taken</w:t>
      </w:r>
      <w:proofErr w:type="gramEnd"/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improve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situation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domestic</w:t>
      </w:r>
      <w:r w:rsidR="00A74AC2" w:rsidRPr="00531AD4">
        <w:t xml:space="preserve"> </w:t>
      </w:r>
      <w:r w:rsidRPr="00531AD4">
        <w:t>workers,</w:t>
      </w:r>
      <w:r w:rsidR="00A74AC2" w:rsidRPr="00531AD4">
        <w:t xml:space="preserve"> </w:t>
      </w:r>
      <w:r w:rsidRPr="00531AD4">
        <w:t>including</w:t>
      </w:r>
      <w:r w:rsidR="00A74AC2" w:rsidRPr="00531AD4">
        <w:t xml:space="preserve"> </w:t>
      </w:r>
      <w:r w:rsidRPr="00531AD4">
        <w:t>regulations</w:t>
      </w:r>
      <w:r w:rsidR="00A74AC2" w:rsidRPr="00531AD4">
        <w:t xml:space="preserve"> </w:t>
      </w:r>
      <w:r w:rsidRPr="00531AD4">
        <w:t>concerning</w:t>
      </w:r>
      <w:r w:rsidR="00A74AC2" w:rsidRPr="00531AD4">
        <w:t xml:space="preserve"> </w:t>
      </w:r>
      <w:r w:rsidRPr="00531AD4">
        <w:t>their</w:t>
      </w:r>
      <w:r w:rsidR="00A74AC2" w:rsidRPr="00531AD4">
        <w:t xml:space="preserve"> </w:t>
      </w:r>
      <w:r w:rsidRPr="00531AD4">
        <w:t>relationship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employers,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establishment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hotline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provide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advice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domestic</w:t>
      </w:r>
      <w:r w:rsidR="00A74AC2" w:rsidRPr="00531AD4">
        <w:t xml:space="preserve"> </w:t>
      </w:r>
      <w:r w:rsidRPr="00531AD4">
        <w:t>workers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eight</w:t>
      </w:r>
      <w:r w:rsidR="00A74AC2" w:rsidRPr="00531AD4">
        <w:t xml:space="preserve"> </w:t>
      </w:r>
      <w:r w:rsidRPr="00531AD4">
        <w:t>languages,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workshops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their</w:t>
      </w:r>
      <w:r w:rsidR="00A74AC2" w:rsidRPr="00531AD4">
        <w:t xml:space="preserve"> </w:t>
      </w:r>
      <w:r w:rsidRPr="00531AD4">
        <w:t>rights.</w:t>
      </w:r>
      <w:r w:rsidR="00A74AC2" w:rsidRPr="00531AD4">
        <w:t xml:space="preserve"> </w:t>
      </w:r>
      <w:r w:rsidRPr="00531AD4">
        <w:t>However,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remains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domestic</w:t>
      </w:r>
      <w:r w:rsidR="00A74AC2" w:rsidRPr="00531AD4">
        <w:t xml:space="preserve"> </w:t>
      </w:r>
      <w:r w:rsidRPr="00531AD4">
        <w:t>workers,</w:t>
      </w:r>
      <w:r w:rsidR="00A74AC2" w:rsidRPr="00531AD4">
        <w:t xml:space="preserve"> </w:t>
      </w:r>
      <w:r w:rsidRPr="00531AD4">
        <w:t>two</w:t>
      </w:r>
      <w:r w:rsidR="00A74AC2" w:rsidRPr="00531AD4">
        <w:t xml:space="preserve"> </w:t>
      </w:r>
      <w:r w:rsidRPr="00531AD4">
        <w:t>thirds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whom</w:t>
      </w:r>
      <w:r w:rsidR="00A74AC2" w:rsidRPr="00531AD4">
        <w:t xml:space="preserve"> </w:t>
      </w:r>
      <w:r w:rsidRPr="00531AD4">
        <w:t>are</w:t>
      </w:r>
      <w:r w:rsidR="00A74AC2" w:rsidRPr="00531AD4">
        <w:t xml:space="preserve"> </w:t>
      </w:r>
      <w:r w:rsidRPr="00531AD4">
        <w:t>migrant</w:t>
      </w:r>
      <w:r w:rsidR="00A74AC2" w:rsidRPr="00531AD4">
        <w:t xml:space="preserve"> </w:t>
      </w:r>
      <w:r w:rsidRPr="00531AD4">
        <w:t>women,</w:t>
      </w:r>
      <w:r w:rsidR="00A74AC2" w:rsidRPr="00531AD4">
        <w:t xml:space="preserve"> </w:t>
      </w:r>
      <w:r w:rsidRPr="00531AD4">
        <w:t>do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enjoy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same</w:t>
      </w:r>
      <w:r w:rsidR="00A74AC2" w:rsidRPr="00531AD4">
        <w:t xml:space="preserve"> </w:t>
      </w:r>
      <w:r w:rsidRPr="00531AD4">
        <w:t>labour</w:t>
      </w:r>
      <w:r w:rsidR="00A74AC2" w:rsidRPr="00531AD4">
        <w:t xml:space="preserve"> </w:t>
      </w:r>
      <w:r w:rsidRPr="00531AD4">
        <w:t>protections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other</w:t>
      </w:r>
      <w:r w:rsidR="00A74AC2" w:rsidRPr="00531AD4">
        <w:t xml:space="preserve"> </w:t>
      </w:r>
      <w:r w:rsidRPr="00531AD4">
        <w:t>workers,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continue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face</w:t>
      </w:r>
      <w:r w:rsidR="00A74AC2" w:rsidRPr="00531AD4">
        <w:t xml:space="preserve"> </w:t>
      </w:r>
      <w:r w:rsidRPr="00531AD4">
        <w:t>abusive</w:t>
      </w:r>
      <w:r w:rsidR="00A74AC2" w:rsidRPr="00531AD4">
        <w:t xml:space="preserve"> </w:t>
      </w:r>
      <w:r w:rsidRPr="00531AD4">
        <w:t>working</w:t>
      </w:r>
      <w:r w:rsidR="00A74AC2" w:rsidRPr="00531AD4">
        <w:t xml:space="preserve"> </w:t>
      </w:r>
      <w:r w:rsidRPr="00531AD4">
        <w:t>practices</w:t>
      </w:r>
      <w:r w:rsidR="00A74AC2" w:rsidRPr="00531AD4">
        <w:t xml:space="preserve"> </w:t>
      </w:r>
      <w:r w:rsidRPr="00531AD4">
        <w:t>such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long</w:t>
      </w:r>
      <w:r w:rsidR="00A74AC2" w:rsidRPr="00531AD4">
        <w:t xml:space="preserve"> </w:t>
      </w:r>
      <w:r w:rsidRPr="00531AD4">
        <w:t>working</w:t>
      </w:r>
      <w:r w:rsidR="00A74AC2" w:rsidRPr="00531AD4">
        <w:t xml:space="preserve"> </w:t>
      </w:r>
      <w:r w:rsidRPr="00531AD4">
        <w:t>hours,</w:t>
      </w:r>
      <w:r w:rsidR="00A74AC2" w:rsidRPr="00531AD4">
        <w:t xml:space="preserve"> </w:t>
      </w:r>
      <w:r w:rsidRPr="00531AD4">
        <w:t>non-payment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wages,</w:t>
      </w:r>
      <w:r w:rsidR="00A74AC2" w:rsidRPr="00531AD4">
        <w:t xml:space="preserve"> </w:t>
      </w:r>
      <w:r w:rsidRPr="00531AD4">
        <w:t>retention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passports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physical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sexual</w:t>
      </w:r>
      <w:r w:rsidR="00A74AC2" w:rsidRPr="00531AD4">
        <w:t xml:space="preserve"> </w:t>
      </w:r>
      <w:r w:rsidRPr="00531AD4">
        <w:t>abuse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20.</w:t>
      </w:r>
      <w:r w:rsidRPr="00531AD4">
        <w:tab/>
      </w:r>
      <w:r w:rsidRPr="00531AD4">
        <w:rPr>
          <w:b/>
          <w:bCs/>
        </w:rPr>
        <w:t>Recalling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25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(2000)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gender-related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dimensions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party:</w:t>
      </w:r>
    </w:p>
    <w:p w:rsidR="00C5372E" w:rsidRPr="00531AD4" w:rsidRDefault="000716D6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(a)</w:t>
      </w:r>
      <w:r w:rsidR="00C5372E" w:rsidRPr="00531AD4">
        <w:tab/>
      </w:r>
      <w:r w:rsidR="00C5372E"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proofErr w:type="gramStart"/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employment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foreign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regulated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labour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laws</w:t>
      </w:r>
      <w:proofErr w:type="gramEnd"/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existing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provisions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protect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foreign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from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abuse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exploitation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enforced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effectively;</w:t>
      </w:r>
    </w:p>
    <w:p w:rsidR="00C5372E" w:rsidRPr="00531AD4" w:rsidRDefault="000716D6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(b)</w:t>
      </w:r>
      <w:r w:rsidR="00C5372E" w:rsidRPr="00531AD4">
        <w:tab/>
      </w:r>
      <w:r w:rsidR="00C5372E"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victims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abusive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exploitative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labour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practices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have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access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mechanisms,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judicial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recourse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shelters;</w:t>
      </w:r>
    </w:p>
    <w:p w:rsidR="00C5372E" w:rsidRPr="00531AD4" w:rsidRDefault="000716D6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(c)</w:t>
      </w:r>
      <w:r w:rsidR="00C5372E" w:rsidRPr="00531AD4">
        <w:tab/>
      </w:r>
      <w:r w:rsidR="00C5372E" w:rsidRPr="00531AD4">
        <w:rPr>
          <w:b/>
          <w:bCs/>
        </w:rPr>
        <w:t>Ratify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Convention,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2011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(No.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189)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Labour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Organization;</w:t>
      </w:r>
      <w:r w:rsidR="00A74AC2" w:rsidRPr="00531AD4">
        <w:rPr>
          <w:b/>
          <w:bCs/>
        </w:rPr>
        <w:t xml:space="preserve"> </w:t>
      </w:r>
    </w:p>
    <w:p w:rsidR="00C5372E" w:rsidRPr="00531AD4" w:rsidRDefault="000716D6" w:rsidP="00F610A2">
      <w:pPr>
        <w:pStyle w:val="SingleTxtG"/>
      </w:pPr>
      <w:r w:rsidRPr="00531AD4">
        <w:tab/>
      </w:r>
      <w:r w:rsidR="00C5372E" w:rsidRPr="00531AD4">
        <w:t>(d)</w:t>
      </w:r>
      <w:r w:rsidR="00C5372E" w:rsidRPr="00531AD4">
        <w:tab/>
      </w:r>
      <w:r w:rsidR="00C5372E"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detailed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implementation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impact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laws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policies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protect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foreign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from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exploitative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labour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practices,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data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filed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outcomes,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cases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where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domestic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were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able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switch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employers.</w:t>
      </w:r>
      <w:r w:rsidR="006E6153" w:rsidRPr="00531AD4">
        <w:t xml:space="preserve"> </w:t>
      </w:r>
    </w:p>
    <w:p w:rsidR="00C5372E" w:rsidRPr="00531AD4" w:rsidRDefault="00C5372E" w:rsidP="000716D6">
      <w:pPr>
        <w:pStyle w:val="H23G"/>
      </w:pPr>
      <w:r w:rsidRPr="00531AD4">
        <w:tab/>
      </w:r>
      <w:r w:rsidR="00A74AC2" w:rsidRPr="00531AD4">
        <w:t xml:space="preserve"> </w:t>
      </w:r>
      <w:r w:rsidR="006B26C4" w:rsidRPr="00531AD4">
        <w:tab/>
      </w:r>
      <w:r w:rsidRPr="00531AD4">
        <w:t>Access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justice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migrant</w:t>
      </w:r>
      <w:r w:rsidR="00A74AC2" w:rsidRPr="00531AD4">
        <w:t xml:space="preserve"> </w:t>
      </w:r>
      <w:r w:rsidRPr="00531AD4">
        <w:t>workers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21.</w:t>
      </w:r>
      <w:r w:rsidRPr="00531AD4">
        <w:tab/>
        <w:t>While</w:t>
      </w:r>
      <w:r w:rsidR="00A74AC2" w:rsidRPr="00531AD4">
        <w:t xml:space="preserve"> </w:t>
      </w:r>
      <w:r w:rsidRPr="00531AD4">
        <w:t>noting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interest</w:t>
      </w:r>
      <w:r w:rsidR="00A74AC2" w:rsidRPr="00531AD4">
        <w:t xml:space="preserve"> </w:t>
      </w:r>
      <w:r w:rsidRPr="00531AD4">
        <w:t>data</w:t>
      </w:r>
      <w:r w:rsidR="00A74AC2" w:rsidRPr="00531AD4">
        <w:t xml:space="preserve"> </w:t>
      </w:r>
      <w:r w:rsidRPr="00531AD4">
        <w:t>provided</w:t>
      </w:r>
      <w:r w:rsidR="00A74AC2" w:rsidRPr="00531AD4">
        <w:t xml:space="preserve"> </w:t>
      </w:r>
      <w:r w:rsidRPr="00531AD4">
        <w:t>during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dialogue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number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complaints</w:t>
      </w:r>
      <w:r w:rsidR="00A74AC2" w:rsidRPr="00531AD4">
        <w:t xml:space="preserve"> </w:t>
      </w:r>
      <w:r w:rsidRPr="00531AD4">
        <w:t>submitted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workers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labour</w:t>
      </w:r>
      <w:r w:rsidR="00A74AC2" w:rsidRPr="00531AD4">
        <w:t xml:space="preserve"> </w:t>
      </w:r>
      <w:r w:rsidRPr="00531AD4">
        <w:t>reconciliation</w:t>
      </w:r>
      <w:r w:rsidR="00A74AC2" w:rsidRPr="00531AD4">
        <w:t xml:space="preserve"> </w:t>
      </w:r>
      <w:r w:rsidRPr="00531AD4">
        <w:t>commissions,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well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establishment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complaint</w:t>
      </w:r>
      <w:r w:rsidR="00A74AC2" w:rsidRPr="00531AD4">
        <w:t xml:space="preserve"> </w:t>
      </w:r>
      <w:r w:rsidRPr="00531AD4">
        <w:t>mechanism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ministry</w:t>
      </w:r>
      <w:r w:rsidR="00A74AC2" w:rsidRPr="00531AD4">
        <w:t xml:space="preserve"> </w:t>
      </w:r>
      <w:r w:rsidRPr="00531AD4">
        <w:t>responsible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labour,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regrets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detailed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those</w:t>
      </w:r>
      <w:r w:rsidR="00A74AC2" w:rsidRPr="00531AD4">
        <w:t xml:space="preserve"> </w:t>
      </w:r>
      <w:r w:rsidRPr="00531AD4">
        <w:t>complaints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their</w:t>
      </w:r>
      <w:r w:rsidR="00A74AC2" w:rsidRPr="00531AD4">
        <w:t xml:space="preserve"> </w:t>
      </w:r>
      <w:r w:rsidRPr="00531AD4">
        <w:t>outcomes.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further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foreign</w:t>
      </w:r>
      <w:r w:rsidR="00A74AC2" w:rsidRPr="00531AD4">
        <w:t xml:space="preserve"> </w:t>
      </w:r>
      <w:r w:rsidRPr="00531AD4">
        <w:t>workers</w:t>
      </w:r>
      <w:r w:rsidR="00A74AC2" w:rsidRPr="00531AD4">
        <w:t xml:space="preserve"> </w:t>
      </w:r>
      <w:r w:rsidRPr="00531AD4">
        <w:t>may</w:t>
      </w:r>
      <w:r w:rsidR="00A74AC2" w:rsidRPr="00531AD4">
        <w:t xml:space="preserve"> </w:t>
      </w:r>
      <w:r w:rsidRPr="00531AD4">
        <w:t>face</w:t>
      </w:r>
      <w:r w:rsidR="00A74AC2" w:rsidRPr="00531AD4">
        <w:t xml:space="preserve"> </w:t>
      </w:r>
      <w:r w:rsidRPr="00531AD4">
        <w:t>barriers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access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justice,</w:t>
      </w:r>
      <w:r w:rsidR="00A74AC2" w:rsidRPr="00531AD4">
        <w:t xml:space="preserve"> </w:t>
      </w:r>
      <w:r w:rsidRPr="00531AD4">
        <w:t>such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empowerment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submit</w:t>
      </w:r>
      <w:r w:rsidR="00A74AC2" w:rsidRPr="00531AD4">
        <w:t xml:space="preserve"> </w:t>
      </w:r>
      <w:r w:rsidRPr="00531AD4">
        <w:t>complaints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fear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deportation</w:t>
      </w:r>
      <w:r w:rsidR="00A74AC2" w:rsidRPr="00531AD4">
        <w:t xml:space="preserve"> </w:t>
      </w:r>
      <w:r w:rsidRPr="00531AD4">
        <w:t>or</w:t>
      </w:r>
      <w:r w:rsidR="00A74AC2" w:rsidRPr="00531AD4">
        <w:t xml:space="preserve"> </w:t>
      </w:r>
      <w:r w:rsidRPr="00531AD4">
        <w:t>retaliatory</w:t>
      </w:r>
      <w:r w:rsidR="00A74AC2" w:rsidRPr="00531AD4">
        <w:t xml:space="preserve"> </w:t>
      </w:r>
      <w:r w:rsidRPr="00531AD4">
        <w:t>measures,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perpetrators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violations</w:t>
      </w:r>
      <w:r w:rsidR="00A74AC2" w:rsidRPr="00531AD4">
        <w:t xml:space="preserve"> </w:t>
      </w:r>
      <w:r w:rsidRPr="00531AD4">
        <w:t>remain</w:t>
      </w:r>
      <w:r w:rsidR="00A74AC2" w:rsidRPr="00531AD4">
        <w:t xml:space="preserve"> </w:t>
      </w:r>
      <w:r w:rsidRPr="00531AD4">
        <w:t>unpunished</w:t>
      </w:r>
      <w:r w:rsidR="00A74AC2" w:rsidRPr="00531AD4">
        <w:t xml:space="preserve"> </w:t>
      </w:r>
      <w:r w:rsidRPr="00531AD4">
        <w:t>(arts.</w:t>
      </w:r>
      <w:r w:rsidR="00A74AC2" w:rsidRPr="00531AD4">
        <w:t xml:space="preserve"> </w:t>
      </w:r>
      <w:r w:rsidRPr="00531AD4">
        <w:t>5</w:t>
      </w:r>
      <w:r w:rsidR="006E6153" w:rsidRPr="00531AD4">
        <w:t>–</w:t>
      </w:r>
      <w:r w:rsidRPr="00531AD4">
        <w:t>6).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lastRenderedPageBreak/>
        <w:t>22.</w:t>
      </w:r>
      <w:r w:rsidRPr="00531AD4">
        <w:tab/>
      </w:r>
      <w:r w:rsidRPr="00531AD4">
        <w:rPr>
          <w:b/>
          <w:bCs/>
        </w:rPr>
        <w:t>Recalling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31,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party:</w:t>
      </w:r>
      <w:r w:rsidR="00A74AC2" w:rsidRPr="00531AD4">
        <w:t xml:space="preserve"> </w:t>
      </w:r>
    </w:p>
    <w:p w:rsidR="00C5372E" w:rsidRPr="00531AD4" w:rsidRDefault="006B26C4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(a)</w:t>
      </w:r>
      <w:r w:rsidR="00C5372E" w:rsidRPr="00531AD4">
        <w:tab/>
      </w:r>
      <w:r w:rsidR="00C5372E"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barriers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access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justice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ensuring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foreign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have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access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independent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effective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mechanisms,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without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fear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acts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reprisal;</w:t>
      </w:r>
    </w:p>
    <w:p w:rsidR="00C5372E" w:rsidRPr="00531AD4" w:rsidRDefault="006B26C4" w:rsidP="006B26C4">
      <w:pPr>
        <w:pStyle w:val="SingleTxtG"/>
        <w:rPr>
          <w:b/>
          <w:bCs/>
        </w:rPr>
      </w:pPr>
      <w:r w:rsidRPr="00531AD4">
        <w:tab/>
      </w:r>
      <w:r w:rsidR="00C5372E" w:rsidRPr="00531AD4">
        <w:t>(b)</w:t>
      </w:r>
      <w:r w:rsidR="00C5372E" w:rsidRPr="00531AD4">
        <w:tab/>
      </w:r>
      <w:r w:rsidR="00C5372E" w:rsidRPr="00531AD4">
        <w:rPr>
          <w:b/>
          <w:bCs/>
        </w:rPr>
        <w:t>Conduct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awareness-raising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activities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regarding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respective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duties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employers</w:t>
      </w:r>
      <w:proofErr w:type="gramStart"/>
      <w:r w:rsidRPr="00531AD4">
        <w:rPr>
          <w:b/>
          <w:bCs/>
        </w:rPr>
        <w:t>;</w:t>
      </w:r>
      <w:proofErr w:type="gramEnd"/>
    </w:p>
    <w:p w:rsidR="00C5372E" w:rsidRPr="00531AD4" w:rsidRDefault="006B26C4" w:rsidP="00F610A2">
      <w:pPr>
        <w:pStyle w:val="SingleTxtG"/>
        <w:rPr>
          <w:b/>
          <w:bCs/>
        </w:rPr>
      </w:pPr>
      <w:r w:rsidRPr="00531AD4">
        <w:tab/>
      </w:r>
      <w:r w:rsidR="00C5372E" w:rsidRPr="00531AD4">
        <w:t>(c)</w:t>
      </w:r>
      <w:r w:rsidR="00C5372E" w:rsidRPr="00531AD4">
        <w:tab/>
      </w:r>
      <w:r w:rsidR="00C5372E" w:rsidRPr="00531AD4">
        <w:rPr>
          <w:b/>
          <w:bCs/>
        </w:rPr>
        <w:t>Enforce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existing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protective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policies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legislation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reported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cases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abuse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against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migrant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proofErr w:type="gramStart"/>
      <w:r w:rsidR="00C5372E"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investigated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prosecuted</w:t>
      </w:r>
      <w:proofErr w:type="gramEnd"/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perpetrators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sanctioned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effectively;</w:t>
      </w:r>
      <w:r w:rsidR="00A74AC2" w:rsidRPr="00531AD4">
        <w:rPr>
          <w:b/>
          <w:bCs/>
        </w:rPr>
        <w:t xml:space="preserve"> </w:t>
      </w:r>
    </w:p>
    <w:p w:rsidR="00C5372E" w:rsidRPr="00531AD4" w:rsidRDefault="006B26C4" w:rsidP="00F610A2">
      <w:pPr>
        <w:pStyle w:val="SingleTxtG"/>
      </w:pPr>
      <w:r w:rsidRPr="00531AD4">
        <w:tab/>
      </w:r>
      <w:r w:rsidR="00C5372E" w:rsidRPr="00531AD4">
        <w:t>(d)</w:t>
      </w:r>
      <w:r w:rsidR="00C5372E" w:rsidRPr="00531AD4">
        <w:tab/>
      </w:r>
      <w:r w:rsidR="00C5372E"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number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types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complaints,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disaggregated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sex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ethnicity,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lodged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foreign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workers,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number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investigations,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prosecutions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convictions,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penalties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imposed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remedies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provided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="00C5372E" w:rsidRPr="00531AD4">
        <w:rPr>
          <w:b/>
          <w:bCs/>
        </w:rPr>
        <w:t>victims.</w:t>
      </w:r>
      <w:r w:rsidR="00A74AC2" w:rsidRPr="00531AD4">
        <w:t xml:space="preserve"> </w:t>
      </w:r>
    </w:p>
    <w:p w:rsidR="00C5372E" w:rsidRPr="00531AD4" w:rsidRDefault="00C5372E" w:rsidP="006B26C4">
      <w:pPr>
        <w:pStyle w:val="H23G"/>
      </w:pPr>
      <w:r w:rsidRPr="00531AD4">
        <w:tab/>
      </w:r>
      <w:r w:rsidRPr="00531AD4">
        <w:tab/>
        <w:t>Freedom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religion</w:t>
      </w:r>
    </w:p>
    <w:p w:rsidR="00C5372E" w:rsidRPr="00531AD4" w:rsidRDefault="00C5372E" w:rsidP="00F610A2">
      <w:pPr>
        <w:pStyle w:val="SingleTxtG"/>
      </w:pPr>
      <w:r w:rsidRPr="00531AD4">
        <w:t>23.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ethno-religious</w:t>
      </w:r>
      <w:r w:rsidR="00A74AC2" w:rsidRPr="00531AD4">
        <w:t xml:space="preserve"> </w:t>
      </w:r>
      <w:r w:rsidRPr="00531AD4">
        <w:t>minorities</w:t>
      </w:r>
      <w:r w:rsidR="00A74AC2" w:rsidRPr="00531AD4">
        <w:t xml:space="preserve"> </w:t>
      </w:r>
      <w:r w:rsidRPr="00531AD4">
        <w:t>face</w:t>
      </w:r>
      <w:r w:rsidR="00A74AC2" w:rsidRPr="00531AD4">
        <w:t xml:space="preserve"> </w:t>
      </w:r>
      <w:r w:rsidRPr="00531AD4">
        <w:t>obstacles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freely</w:t>
      </w:r>
      <w:r w:rsidR="00A74AC2" w:rsidRPr="00531AD4">
        <w:t xml:space="preserve"> </w:t>
      </w:r>
      <w:r w:rsidRPr="00531AD4">
        <w:t>practicing</w:t>
      </w:r>
      <w:r w:rsidR="00A74AC2" w:rsidRPr="00531AD4">
        <w:t xml:space="preserve"> </w:t>
      </w:r>
      <w:r w:rsidRPr="00531AD4">
        <w:t>their</w:t>
      </w:r>
      <w:r w:rsidR="00A74AC2" w:rsidRPr="00531AD4">
        <w:t xml:space="preserve"> </w:t>
      </w:r>
      <w:r w:rsidRPr="00531AD4">
        <w:t>right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freedom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religion</w:t>
      </w:r>
      <w:r w:rsidR="00A74AC2" w:rsidRPr="00531AD4">
        <w:t xml:space="preserve"> </w:t>
      </w:r>
      <w:r w:rsidRPr="00531AD4">
        <w:t>or</w:t>
      </w:r>
      <w:r w:rsidR="00A74AC2" w:rsidRPr="00531AD4">
        <w:t xml:space="preserve"> </w:t>
      </w:r>
      <w:r w:rsidRPr="00531AD4">
        <w:t>belief,</w:t>
      </w:r>
      <w:r w:rsidR="00A74AC2" w:rsidRPr="00531AD4">
        <w:t xml:space="preserve"> </w:t>
      </w:r>
      <w:r w:rsidRPr="00531AD4">
        <w:t>including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prohibition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constructing</w:t>
      </w:r>
      <w:r w:rsidR="00A74AC2" w:rsidRPr="00531AD4">
        <w:t xml:space="preserve"> </w:t>
      </w:r>
      <w:r w:rsidRPr="00531AD4">
        <w:t>religious</w:t>
      </w:r>
      <w:r w:rsidR="00A74AC2" w:rsidRPr="00531AD4">
        <w:t xml:space="preserve"> </w:t>
      </w:r>
      <w:r w:rsidRPr="00531AD4">
        <w:t>places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worship</w:t>
      </w:r>
      <w:r w:rsidR="00A74AC2" w:rsidRPr="00531AD4">
        <w:t xml:space="preserve"> </w:t>
      </w:r>
      <w:r w:rsidRPr="00531AD4">
        <w:t>or</w:t>
      </w:r>
      <w:r w:rsidR="00A74AC2" w:rsidRPr="00531AD4">
        <w:t xml:space="preserve"> </w:t>
      </w:r>
      <w:r w:rsidRPr="00531AD4">
        <w:t>conducting</w:t>
      </w:r>
      <w:r w:rsidR="00A74AC2" w:rsidRPr="00531AD4">
        <w:t xml:space="preserve"> </w:t>
      </w:r>
      <w:r w:rsidRPr="00531AD4">
        <w:t>public</w:t>
      </w:r>
      <w:r w:rsidR="00A74AC2" w:rsidRPr="00531AD4">
        <w:t xml:space="preserve"> </w:t>
      </w:r>
      <w:r w:rsidRPr="00531AD4">
        <w:t>worship.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also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certain</w:t>
      </w:r>
      <w:r w:rsidR="00A74AC2" w:rsidRPr="00531AD4">
        <w:t xml:space="preserve"> </w:t>
      </w:r>
      <w:r w:rsidRPr="00531AD4">
        <w:t>ethno-religious</w:t>
      </w:r>
      <w:r w:rsidR="00A74AC2" w:rsidRPr="00531AD4">
        <w:t xml:space="preserve"> </w:t>
      </w:r>
      <w:r w:rsidRPr="00531AD4">
        <w:t>minorities</w:t>
      </w:r>
      <w:r w:rsidR="00A74AC2" w:rsidRPr="00531AD4">
        <w:t xml:space="preserve"> </w:t>
      </w:r>
      <w:r w:rsidRPr="00531AD4">
        <w:t>face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education,</w:t>
      </w:r>
      <w:r w:rsidR="00A74AC2" w:rsidRPr="00531AD4">
        <w:t xml:space="preserve"> </w:t>
      </w:r>
      <w:r w:rsidRPr="00531AD4">
        <w:t>employment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legal</w:t>
      </w:r>
      <w:r w:rsidR="00A74AC2" w:rsidRPr="00531AD4">
        <w:t xml:space="preserve"> </w:t>
      </w:r>
      <w:r w:rsidRPr="00531AD4">
        <w:t>system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24.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necessary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ethno-religious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minorities,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freedom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thought,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conscience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religion,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without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</w:t>
      </w:r>
      <w:r w:rsidR="00A74AC2" w:rsidRPr="00531AD4">
        <w:rPr>
          <w:b/>
          <w:bCs/>
        </w:rPr>
        <w:t xml:space="preserve"> </w:t>
      </w:r>
      <w:proofErr w:type="gramStart"/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basis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proofErr w:type="gramEnd"/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colour,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descent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ethnic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origin,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specified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5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Convention.</w:t>
      </w:r>
      <w:r w:rsidR="006E6153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also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barriers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faced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ethno-religious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minorities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education,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removing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from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textbooks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derogatory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comments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other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religions,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well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employment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legal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system.</w:t>
      </w:r>
      <w:r w:rsidR="00A74AC2" w:rsidRPr="00531AD4">
        <w:rPr>
          <w:b/>
          <w:bCs/>
        </w:rPr>
        <w:t xml:space="preserve"> </w:t>
      </w:r>
    </w:p>
    <w:p w:rsidR="00C5372E" w:rsidRPr="00531AD4" w:rsidRDefault="00C5372E" w:rsidP="00AC659B">
      <w:pPr>
        <w:pStyle w:val="H23G"/>
      </w:pPr>
      <w:r w:rsidRPr="00531AD4">
        <w:tab/>
      </w:r>
      <w:r w:rsidRPr="00531AD4">
        <w:tab/>
        <w:t>Situation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ethnic</w:t>
      </w:r>
      <w:r w:rsidR="00A74AC2" w:rsidRPr="00531AD4">
        <w:t xml:space="preserve"> </w:t>
      </w:r>
      <w:r w:rsidRPr="00531AD4">
        <w:t>minorities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25.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proofErr w:type="gramStart"/>
      <w:r w:rsidRPr="00531AD4">
        <w:t>is</w:t>
      </w:r>
      <w:r w:rsidR="00A74AC2" w:rsidRPr="00531AD4">
        <w:t xml:space="preserve"> </w:t>
      </w:r>
      <w:r w:rsidRPr="00531AD4">
        <w:t>concerned</w:t>
      </w:r>
      <w:proofErr w:type="gramEnd"/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reports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persons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Asian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African</w:t>
      </w:r>
      <w:r w:rsidR="00A74AC2" w:rsidRPr="00531AD4">
        <w:t xml:space="preserve"> </w:t>
      </w:r>
      <w:r w:rsidRPr="00531AD4">
        <w:t>descent</w:t>
      </w:r>
      <w:r w:rsidR="00A74AC2" w:rsidRPr="00531AD4">
        <w:t xml:space="preserve"> </w:t>
      </w:r>
      <w:r w:rsidRPr="00531AD4">
        <w:t>face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access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housing,</w:t>
      </w:r>
      <w:r w:rsidR="00A74AC2" w:rsidRPr="00531AD4">
        <w:t xml:space="preserve"> </w:t>
      </w:r>
      <w:r w:rsidRPr="00531AD4">
        <w:t>education,</w:t>
      </w:r>
      <w:r w:rsidR="00A74AC2" w:rsidRPr="00531AD4">
        <w:t xml:space="preserve"> </w:t>
      </w:r>
      <w:r w:rsidRPr="00531AD4">
        <w:t>health</w:t>
      </w:r>
      <w:r w:rsidR="00A74AC2" w:rsidRPr="00531AD4">
        <w:t xml:space="preserve"> </w:t>
      </w:r>
      <w:r w:rsidRPr="00531AD4">
        <w:t>care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employment,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well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societal</w:t>
      </w:r>
      <w:r w:rsidR="00A74AC2" w:rsidRPr="00531AD4">
        <w:t xml:space="preserve"> </w:t>
      </w:r>
      <w:r w:rsidRPr="00531AD4">
        <w:t>racism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26.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barriers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equal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access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housing,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education,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health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care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employment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persons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Asian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African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descent,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without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also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continue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training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efforts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societal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racism.</w:t>
      </w:r>
      <w:r w:rsidR="00A74AC2" w:rsidRPr="00531AD4">
        <w:t xml:space="preserve"> </w:t>
      </w:r>
    </w:p>
    <w:p w:rsidR="00C5372E" w:rsidRPr="00531AD4" w:rsidRDefault="00C5372E" w:rsidP="00AC659B">
      <w:pPr>
        <w:pStyle w:val="H23G"/>
      </w:pPr>
      <w:r w:rsidRPr="00531AD4">
        <w:tab/>
      </w:r>
      <w:r w:rsidRPr="00531AD4">
        <w:tab/>
        <w:t>Situation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minority</w:t>
      </w:r>
      <w:r w:rsidR="00A74AC2" w:rsidRPr="00531AD4">
        <w:t xml:space="preserve"> </w:t>
      </w:r>
      <w:r w:rsidRPr="00531AD4">
        <w:t>women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27.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notes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concern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women</w:t>
      </w:r>
      <w:r w:rsidR="00A74AC2" w:rsidRPr="00531AD4">
        <w:t xml:space="preserve"> </w:t>
      </w:r>
      <w:r w:rsidRPr="00531AD4">
        <w:t>from</w:t>
      </w:r>
      <w:r w:rsidR="00A74AC2" w:rsidRPr="00531AD4">
        <w:t xml:space="preserve"> </w:t>
      </w:r>
      <w:r w:rsidRPr="00531AD4">
        <w:t>minority</w:t>
      </w:r>
      <w:r w:rsidR="00A74AC2" w:rsidRPr="00531AD4">
        <w:t xml:space="preserve"> </w:t>
      </w:r>
      <w:r w:rsidRPr="00531AD4">
        <w:t>groups</w:t>
      </w:r>
      <w:r w:rsidR="00A74AC2" w:rsidRPr="00531AD4">
        <w:t xml:space="preserve"> </w:t>
      </w:r>
      <w:r w:rsidRPr="00531AD4">
        <w:t>face</w:t>
      </w:r>
      <w:r w:rsidR="00A74AC2" w:rsidRPr="00531AD4">
        <w:t xml:space="preserve"> </w:t>
      </w:r>
      <w:r w:rsidRPr="00531AD4">
        <w:t>multiple</w:t>
      </w:r>
      <w:r w:rsidR="00A74AC2" w:rsidRPr="00531AD4">
        <w:t xml:space="preserve"> </w:t>
      </w:r>
      <w:r w:rsidRPr="00531AD4">
        <w:t>forms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  <w:proofErr w:type="gramStart"/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basis</w:t>
      </w:r>
      <w:r w:rsidR="00A74AC2" w:rsidRPr="00531AD4">
        <w:t xml:space="preserve"> </w:t>
      </w:r>
      <w:r w:rsidRPr="00531AD4">
        <w:t>of</w:t>
      </w:r>
      <w:proofErr w:type="gramEnd"/>
      <w:r w:rsidR="00A74AC2" w:rsidRPr="00531AD4">
        <w:t xml:space="preserve"> </w:t>
      </w:r>
      <w:r w:rsidRPr="00531AD4">
        <w:t>both</w:t>
      </w:r>
      <w:r w:rsidR="00A74AC2" w:rsidRPr="00531AD4">
        <w:t xml:space="preserve"> </w:t>
      </w:r>
      <w:r w:rsidRPr="00531AD4">
        <w:t>ethnic</w:t>
      </w:r>
      <w:r w:rsidR="00A74AC2" w:rsidRPr="00531AD4">
        <w:t xml:space="preserve"> </w:t>
      </w:r>
      <w:r w:rsidRPr="00531AD4">
        <w:t>origin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gender,</w:t>
      </w:r>
      <w:r w:rsidR="00A74AC2" w:rsidRPr="00531AD4">
        <w:t xml:space="preserve"> </w:t>
      </w:r>
      <w:r w:rsidRPr="00531AD4">
        <w:t>including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regard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difficulty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accessing</w:t>
      </w:r>
      <w:r w:rsidR="00A74AC2" w:rsidRPr="00531AD4">
        <w:t xml:space="preserve"> </w:t>
      </w:r>
      <w:r w:rsidRPr="00531AD4">
        <w:t>employment,</w:t>
      </w:r>
      <w:r w:rsidR="00A74AC2" w:rsidRPr="00531AD4">
        <w:t xml:space="preserve"> </w:t>
      </w:r>
      <w:r w:rsidRPr="00531AD4">
        <w:t>education,</w:t>
      </w:r>
      <w:r w:rsidR="00A74AC2" w:rsidRPr="00531AD4">
        <w:t xml:space="preserve"> </w:t>
      </w:r>
      <w:r w:rsidRPr="00531AD4">
        <w:t>health</w:t>
      </w:r>
      <w:r w:rsidR="00A74AC2" w:rsidRPr="00531AD4">
        <w:t xml:space="preserve"> </w:t>
      </w:r>
      <w:r w:rsidRPr="00531AD4">
        <w:t>care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justice</w:t>
      </w:r>
      <w:r w:rsidR="00A74AC2" w:rsidRPr="00531AD4">
        <w:t xml:space="preserve"> </w:t>
      </w:r>
      <w:r w:rsidRPr="00531AD4">
        <w:t>(arts.</w:t>
      </w:r>
      <w:r w:rsidR="00A74AC2" w:rsidRPr="00531AD4">
        <w:t xml:space="preserve"> </w:t>
      </w:r>
      <w:r w:rsidRPr="00531AD4">
        <w:t>2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5).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28.</w:t>
      </w:r>
      <w:r w:rsidRPr="00531AD4">
        <w:tab/>
      </w:r>
      <w:r w:rsidRPr="00531AD4">
        <w:rPr>
          <w:b/>
          <w:bCs/>
        </w:rPr>
        <w:t>Recalling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25,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barriers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faced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minority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women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access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employment,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education,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health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care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justice.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end,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incorporate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minority-women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perspective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gender-related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policies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strategies.</w:t>
      </w:r>
    </w:p>
    <w:p w:rsidR="00C5372E" w:rsidRPr="00531AD4" w:rsidRDefault="00C5372E" w:rsidP="00AC659B">
      <w:pPr>
        <w:pStyle w:val="H23G"/>
      </w:pPr>
      <w:r w:rsidRPr="00531AD4">
        <w:tab/>
      </w:r>
      <w:r w:rsidRPr="00531AD4">
        <w:tab/>
        <w:t>Nationality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29.</w:t>
      </w:r>
      <w:r w:rsidRPr="00531AD4">
        <w:tab/>
        <w:t>While</w:t>
      </w:r>
      <w:r w:rsidR="00A74AC2" w:rsidRPr="00531AD4">
        <w:t xml:space="preserve"> </w:t>
      </w:r>
      <w:r w:rsidRPr="00531AD4">
        <w:t>noting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Cabinet</w:t>
      </w:r>
      <w:r w:rsidR="00A74AC2" w:rsidRPr="00531AD4">
        <w:t xml:space="preserve"> </w:t>
      </w:r>
      <w:r w:rsidRPr="00531AD4">
        <w:t>Decision</w:t>
      </w:r>
      <w:r w:rsidR="00A74AC2" w:rsidRPr="00531AD4">
        <w:t xml:space="preserve"> </w:t>
      </w:r>
      <w:r w:rsidRPr="00531AD4">
        <w:t>No.</w:t>
      </w:r>
      <w:r w:rsidR="00A74AC2" w:rsidRPr="00531AD4">
        <w:t xml:space="preserve"> </w:t>
      </w:r>
      <w:r w:rsidRPr="00531AD4">
        <w:t>406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12</w:t>
      </w:r>
      <w:r w:rsidR="00A74AC2" w:rsidRPr="00531AD4">
        <w:t xml:space="preserve"> </w:t>
      </w:r>
      <w:r w:rsidRPr="00531AD4">
        <w:t>November</w:t>
      </w:r>
      <w:r w:rsidR="00A74AC2" w:rsidRPr="00531AD4">
        <w:t xml:space="preserve"> </w:t>
      </w:r>
      <w:r w:rsidRPr="00531AD4">
        <w:t>2012</w:t>
      </w:r>
      <w:r w:rsidR="00A74AC2" w:rsidRPr="00531AD4">
        <w:t xml:space="preserve"> </w:t>
      </w:r>
      <w:r w:rsidRPr="00531AD4">
        <w:t>allows</w:t>
      </w:r>
      <w:r w:rsidR="00A74AC2" w:rsidRPr="00531AD4">
        <w:t xml:space="preserve"> </w:t>
      </w:r>
      <w:r w:rsidRPr="00531AD4">
        <w:t>some</w:t>
      </w:r>
      <w:r w:rsidR="00A74AC2" w:rsidRPr="00531AD4">
        <w:t xml:space="preserve"> </w:t>
      </w:r>
      <w:r w:rsidRPr="00531AD4">
        <w:t>benefits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foreign-national</w:t>
      </w:r>
      <w:r w:rsidR="00A74AC2" w:rsidRPr="00531AD4">
        <w:t xml:space="preserve"> </w:t>
      </w:r>
      <w:r w:rsidRPr="00531AD4">
        <w:t>spouses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Saudi</w:t>
      </w:r>
      <w:r w:rsidR="00A74AC2" w:rsidRPr="00531AD4">
        <w:t xml:space="preserve"> </w:t>
      </w:r>
      <w:r w:rsidRPr="00531AD4">
        <w:t>women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children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such</w:t>
      </w:r>
      <w:r w:rsidR="00A74AC2" w:rsidRPr="00531AD4">
        <w:t xml:space="preserve"> </w:t>
      </w:r>
      <w:r w:rsidRPr="00531AD4">
        <w:t>unions,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regrets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under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Act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nationality,</w:t>
      </w:r>
      <w:r w:rsidR="00A74AC2" w:rsidRPr="00531AD4">
        <w:t xml:space="preserve"> </w:t>
      </w:r>
      <w:r w:rsidRPr="00531AD4">
        <w:t>citizenship</w:t>
      </w:r>
      <w:r w:rsidR="00A74AC2" w:rsidRPr="00531AD4">
        <w:t xml:space="preserve"> </w:t>
      </w:r>
      <w:proofErr w:type="gramStart"/>
      <w:r w:rsidRPr="00531AD4">
        <w:t>is</w:t>
      </w:r>
      <w:r w:rsidR="00A74AC2" w:rsidRPr="00531AD4">
        <w:t xml:space="preserve"> </w:t>
      </w:r>
      <w:r w:rsidRPr="00531AD4">
        <w:t>still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granted</w:t>
      </w:r>
      <w:proofErr w:type="gramEnd"/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such</w:t>
      </w:r>
      <w:r w:rsidR="00A74AC2" w:rsidRPr="00531AD4">
        <w:t xml:space="preserve"> </w:t>
      </w:r>
      <w:r w:rsidRPr="00531AD4">
        <w:t>children.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also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foreign</w:t>
      </w:r>
      <w:r w:rsidR="00A74AC2" w:rsidRPr="00531AD4">
        <w:t xml:space="preserve"> </w:t>
      </w:r>
      <w:r w:rsidRPr="00531AD4">
        <w:t>national</w:t>
      </w:r>
      <w:r w:rsidR="00A74AC2" w:rsidRPr="00531AD4">
        <w:t xml:space="preserve"> </w:t>
      </w:r>
      <w:r w:rsidRPr="00531AD4">
        <w:t>married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Saudi</w:t>
      </w:r>
      <w:r w:rsidR="00A74AC2" w:rsidRPr="00531AD4">
        <w:t xml:space="preserve"> </w:t>
      </w:r>
      <w:r w:rsidRPr="00531AD4">
        <w:lastRenderedPageBreak/>
        <w:t>woman</w:t>
      </w:r>
      <w:r w:rsidR="00A74AC2" w:rsidRPr="00531AD4">
        <w:t xml:space="preserve"> </w:t>
      </w:r>
      <w:r w:rsidRPr="00531AD4">
        <w:t>cannot</w:t>
      </w:r>
      <w:r w:rsidR="00A74AC2" w:rsidRPr="00531AD4">
        <w:t xml:space="preserve"> </w:t>
      </w:r>
      <w:r w:rsidRPr="00531AD4">
        <w:t>obtain</w:t>
      </w:r>
      <w:r w:rsidR="00A74AC2" w:rsidRPr="00531AD4">
        <w:t xml:space="preserve"> </w:t>
      </w:r>
      <w:r w:rsidRPr="00531AD4">
        <w:t>Saudi</w:t>
      </w:r>
      <w:r w:rsidR="00A74AC2" w:rsidRPr="00531AD4">
        <w:t xml:space="preserve"> </w:t>
      </w:r>
      <w:r w:rsidRPr="00531AD4">
        <w:t>nationality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same</w:t>
      </w:r>
      <w:r w:rsidR="00A74AC2" w:rsidRPr="00531AD4">
        <w:t xml:space="preserve"> </w:t>
      </w:r>
      <w:r w:rsidRPr="00531AD4">
        <w:t>manner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foreign</w:t>
      </w:r>
      <w:r w:rsidR="00A74AC2" w:rsidRPr="00531AD4">
        <w:t xml:space="preserve"> </w:t>
      </w:r>
      <w:r w:rsidRPr="00531AD4">
        <w:t>woman</w:t>
      </w:r>
      <w:r w:rsidR="00A74AC2" w:rsidRPr="00531AD4">
        <w:t xml:space="preserve"> </w:t>
      </w:r>
      <w:r w:rsidRPr="00531AD4">
        <w:t>married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Saudi</w:t>
      </w:r>
      <w:r w:rsidR="00A74AC2" w:rsidRPr="00531AD4">
        <w:t xml:space="preserve"> </w:t>
      </w:r>
      <w:r w:rsidRPr="00531AD4">
        <w:t>man</w:t>
      </w:r>
      <w:r w:rsidR="00A74AC2" w:rsidRPr="00531AD4">
        <w:t xml:space="preserve"> </w:t>
      </w:r>
      <w:r w:rsidRPr="00531AD4">
        <w:t>(arts.</w:t>
      </w:r>
      <w:r w:rsidR="00A74AC2" w:rsidRPr="00531AD4">
        <w:t xml:space="preserve"> </w:t>
      </w:r>
      <w:r w:rsidRPr="00531AD4">
        <w:t>2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proofErr w:type="gramStart"/>
      <w:r w:rsidRPr="00531AD4">
        <w:t>30.</w:t>
      </w:r>
      <w:r w:rsidRPr="00531AD4">
        <w:tab/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light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30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(2004)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against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non-citizens,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especially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paragraph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16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reducing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statelessness,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among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children,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bring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legislation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amending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nationality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provisions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against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foreign-national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spouses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Saudi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women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children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Saudi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women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married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foreign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nationals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provisions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allowing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Saudi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women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transmit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nationality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foreign-national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spouses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children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from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birth,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without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discrimination.</w:t>
      </w:r>
      <w:proofErr w:type="gramEnd"/>
    </w:p>
    <w:p w:rsidR="00C5372E" w:rsidRPr="00531AD4" w:rsidRDefault="00C5372E" w:rsidP="00105B78">
      <w:pPr>
        <w:pStyle w:val="H23G"/>
      </w:pPr>
      <w:r w:rsidRPr="00531AD4">
        <w:tab/>
      </w:r>
      <w:r w:rsidRPr="00531AD4">
        <w:tab/>
        <w:t>Special</w:t>
      </w:r>
      <w:r w:rsidR="00A74AC2" w:rsidRPr="00531AD4">
        <w:t xml:space="preserve"> </w:t>
      </w:r>
      <w:r w:rsidRPr="00531AD4">
        <w:t>measures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31.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about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situation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non-Saudis</w:t>
      </w:r>
      <w:r w:rsidR="00A74AC2" w:rsidRPr="00531AD4">
        <w:t xml:space="preserve"> </w:t>
      </w:r>
      <w:r w:rsidRPr="00531AD4">
        <w:t>who</w:t>
      </w:r>
      <w:r w:rsidR="00A74AC2" w:rsidRPr="00531AD4">
        <w:t xml:space="preserve"> </w:t>
      </w:r>
      <w:r w:rsidRPr="00531AD4">
        <w:t>are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migrant</w:t>
      </w:r>
      <w:r w:rsidR="00A74AC2" w:rsidRPr="00531AD4">
        <w:t xml:space="preserve"> </w:t>
      </w:r>
      <w:r w:rsidRPr="00531AD4">
        <w:t>workers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who</w:t>
      </w:r>
      <w:r w:rsidR="00A74AC2" w:rsidRPr="00531AD4">
        <w:t xml:space="preserve"> </w:t>
      </w:r>
      <w:r w:rsidRPr="00531AD4">
        <w:t>are</w:t>
      </w:r>
      <w:r w:rsidR="00A74AC2" w:rsidRPr="00531AD4">
        <w:t xml:space="preserve"> </w:t>
      </w:r>
      <w:r w:rsidRPr="00531AD4">
        <w:t>living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poverty,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particular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regard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their</w:t>
      </w:r>
      <w:r w:rsidR="00A74AC2" w:rsidRPr="00531AD4">
        <w:t xml:space="preserve"> </w:t>
      </w:r>
      <w:r w:rsidRPr="00531AD4">
        <w:t>inability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receive</w:t>
      </w:r>
      <w:r w:rsidR="00A74AC2" w:rsidRPr="00531AD4">
        <w:t xml:space="preserve"> </w:t>
      </w:r>
      <w:r w:rsidRPr="00531AD4">
        <w:t>social</w:t>
      </w:r>
      <w:r w:rsidR="00A74AC2" w:rsidRPr="00531AD4">
        <w:t xml:space="preserve"> </w:t>
      </w:r>
      <w:r w:rsidRPr="00531AD4">
        <w:t>benefits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32.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effective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accordance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32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(2009)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scope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improve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situation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marginalized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groups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living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poverty,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such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non-Saudis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who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migrant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workers.</w:t>
      </w:r>
      <w:r w:rsidR="00A74AC2" w:rsidRPr="00531AD4">
        <w:rPr>
          <w:b/>
          <w:bCs/>
        </w:rPr>
        <w:t xml:space="preserve"> </w:t>
      </w:r>
    </w:p>
    <w:p w:rsidR="00C5372E" w:rsidRPr="00531AD4" w:rsidRDefault="00C5372E" w:rsidP="00105B78">
      <w:pPr>
        <w:pStyle w:val="H23G"/>
      </w:pPr>
      <w:r w:rsidRPr="00531AD4">
        <w:tab/>
      </w:r>
      <w:r w:rsidRPr="00531AD4">
        <w:tab/>
        <w:t>Refugees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asylum</w:t>
      </w:r>
      <w:r w:rsidR="00A74AC2" w:rsidRPr="00531AD4">
        <w:t xml:space="preserve"> </w:t>
      </w:r>
      <w:r w:rsidRPr="00531AD4">
        <w:t>seekers</w:t>
      </w:r>
    </w:p>
    <w:p w:rsidR="00C5372E" w:rsidRPr="00531AD4" w:rsidRDefault="00C5372E" w:rsidP="00F610A2">
      <w:pPr>
        <w:pStyle w:val="SingleTxtG"/>
      </w:pPr>
      <w:r w:rsidRPr="00531AD4">
        <w:t>33.</w:t>
      </w:r>
      <w:r w:rsidRPr="00531AD4">
        <w:tab/>
        <w:t>While</w:t>
      </w:r>
      <w:r w:rsidR="00A74AC2" w:rsidRPr="00531AD4">
        <w:t xml:space="preserve"> </w:t>
      </w:r>
      <w:r w:rsidRPr="00531AD4">
        <w:t>welcoming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from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refugees</w:t>
      </w:r>
      <w:r w:rsidR="00A74AC2" w:rsidRPr="00531AD4">
        <w:t xml:space="preserve"> </w:t>
      </w:r>
      <w:r w:rsidRPr="00531AD4">
        <w:t>are</w:t>
      </w:r>
      <w:r w:rsidR="00A74AC2" w:rsidRPr="00531AD4">
        <w:t xml:space="preserve"> </w:t>
      </w:r>
      <w:r w:rsidRPr="00531AD4">
        <w:t>treated</w:t>
      </w:r>
      <w:r w:rsidR="00A74AC2" w:rsidRPr="00531AD4">
        <w:t xml:space="preserve"> </w:t>
      </w:r>
      <w:r w:rsidRPr="00531AD4">
        <w:t>as</w:t>
      </w:r>
      <w:r w:rsidR="00A74AC2" w:rsidRPr="00531AD4">
        <w:t xml:space="preserve"> </w:t>
      </w:r>
      <w:r w:rsidRPr="00531AD4">
        <w:t>guests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country,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has</w:t>
      </w:r>
      <w:r w:rsidR="00A74AC2" w:rsidRPr="00531AD4">
        <w:t xml:space="preserve"> </w:t>
      </w:r>
      <w:r w:rsidRPr="00531AD4">
        <w:t>not</w:t>
      </w:r>
      <w:r w:rsidR="00A74AC2" w:rsidRPr="00531AD4">
        <w:t xml:space="preserve"> </w:t>
      </w:r>
      <w:r w:rsidRPr="00531AD4">
        <w:t>ratified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relating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Status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Refugees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34.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ratify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Status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Refugees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Protocol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Status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Refugees.</w:t>
      </w:r>
    </w:p>
    <w:p w:rsidR="00C5372E" w:rsidRPr="00531AD4" w:rsidRDefault="00C5372E" w:rsidP="00105B78">
      <w:pPr>
        <w:pStyle w:val="H23G"/>
      </w:pPr>
      <w:r w:rsidRPr="00531AD4">
        <w:tab/>
      </w:r>
      <w:r w:rsidRPr="00531AD4">
        <w:tab/>
        <w:t>Trafficking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persons</w:t>
      </w:r>
    </w:p>
    <w:p w:rsidR="00C5372E" w:rsidRPr="00531AD4" w:rsidRDefault="00C5372E" w:rsidP="00F610A2">
      <w:pPr>
        <w:pStyle w:val="SingleTxtG"/>
      </w:pPr>
      <w:r w:rsidRPr="00531AD4">
        <w:t>35.</w:t>
      </w:r>
      <w:r w:rsidRPr="00531AD4">
        <w:tab/>
        <w:t>The</w:t>
      </w:r>
      <w:r w:rsidR="00A74AC2" w:rsidRPr="00531AD4">
        <w:t xml:space="preserve"> </w:t>
      </w:r>
      <w:r w:rsidRPr="00531AD4">
        <w:t>Committee,</w:t>
      </w:r>
      <w:r w:rsidR="00A74AC2" w:rsidRPr="00531AD4">
        <w:t xml:space="preserve"> </w:t>
      </w:r>
      <w:r w:rsidRPr="00531AD4">
        <w:t>while</w:t>
      </w:r>
      <w:r w:rsidR="00A74AC2" w:rsidRPr="00531AD4">
        <w:t xml:space="preserve"> </w:t>
      </w:r>
      <w:r w:rsidRPr="00531AD4">
        <w:t>noting</w:t>
      </w:r>
      <w:r w:rsidR="00A74AC2" w:rsidRPr="00531AD4">
        <w:t xml:space="preserve"> </w:t>
      </w:r>
      <w:r w:rsidRPr="00531AD4">
        <w:t>efforts</w:t>
      </w:r>
      <w:r w:rsidR="00A74AC2" w:rsidRPr="00531AD4">
        <w:t xml:space="preserve"> </w:t>
      </w:r>
      <w:r w:rsidRPr="00531AD4">
        <w:t>by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prevent</w:t>
      </w:r>
      <w:r w:rsidR="00A74AC2" w:rsidRPr="00531AD4">
        <w:t xml:space="preserve"> </w:t>
      </w:r>
      <w:r w:rsidRPr="00531AD4">
        <w:t>trafficking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persons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prosecute</w:t>
      </w:r>
      <w:r w:rsidR="00A74AC2" w:rsidRPr="00531AD4">
        <w:t xml:space="preserve"> </w:t>
      </w:r>
      <w:r w:rsidRPr="00531AD4">
        <w:t>perpetrators,</w:t>
      </w:r>
      <w:r w:rsidR="00A74AC2" w:rsidRPr="00531AD4">
        <w:t xml:space="preserve"> </w:t>
      </w:r>
      <w:r w:rsidRPr="00531AD4">
        <w:t>remains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that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party</w:t>
      </w:r>
      <w:r w:rsidR="00A74AC2" w:rsidRPr="00531AD4">
        <w:t xml:space="preserve"> </w:t>
      </w:r>
      <w:r w:rsidRPr="00531AD4">
        <w:t>continues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be</w:t>
      </w:r>
      <w:r w:rsidR="00A74AC2" w:rsidRPr="00531AD4">
        <w:t xml:space="preserve"> </w:t>
      </w:r>
      <w:r w:rsidRPr="00531AD4">
        <w:t>a</w:t>
      </w:r>
      <w:r w:rsidR="00A74AC2" w:rsidRPr="00531AD4">
        <w:t xml:space="preserve"> </w:t>
      </w:r>
      <w:r w:rsidRPr="00531AD4">
        <w:t>destination</w:t>
      </w:r>
      <w:r w:rsidR="00A74AC2" w:rsidRPr="00531AD4">
        <w:t xml:space="preserve"> </w:t>
      </w:r>
      <w:r w:rsidRPr="00531AD4">
        <w:t>country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persons</w:t>
      </w:r>
      <w:r w:rsidR="00A74AC2" w:rsidRPr="00531AD4">
        <w:t xml:space="preserve"> </w:t>
      </w:r>
      <w:r w:rsidRPr="00531AD4">
        <w:t>trafficked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forced</w:t>
      </w:r>
      <w:r w:rsidR="00A74AC2" w:rsidRPr="00531AD4">
        <w:t xml:space="preserve"> </w:t>
      </w:r>
      <w:r w:rsidRPr="00531AD4">
        <w:t>labour</w:t>
      </w:r>
      <w:r w:rsidR="00A74AC2" w:rsidRPr="00531AD4">
        <w:t xml:space="preserve"> </w:t>
      </w:r>
      <w:r w:rsidRPr="00531AD4">
        <w:t>and,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some</w:t>
      </w:r>
      <w:r w:rsidR="00A74AC2" w:rsidRPr="00531AD4">
        <w:t xml:space="preserve"> </w:t>
      </w:r>
      <w:r w:rsidRPr="00531AD4">
        <w:t>cases,</w:t>
      </w:r>
      <w:r w:rsidR="00A74AC2" w:rsidRPr="00531AD4">
        <w:t xml:space="preserve"> </w:t>
      </w:r>
      <w:r w:rsidRPr="00531AD4">
        <w:t>forced</w:t>
      </w:r>
      <w:r w:rsidR="00A74AC2" w:rsidRPr="00531AD4">
        <w:t xml:space="preserve"> </w:t>
      </w:r>
      <w:r w:rsidRPr="00531AD4">
        <w:t>prostitution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5).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36.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continue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step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up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efforts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trafficking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persons,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through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enforcement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laws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strategies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ensure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cases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trafficking</w:t>
      </w:r>
      <w:r w:rsidR="00A74AC2" w:rsidRPr="00531AD4">
        <w:rPr>
          <w:b/>
          <w:bCs/>
        </w:rPr>
        <w:t xml:space="preserve"> </w:t>
      </w:r>
      <w:proofErr w:type="gramStart"/>
      <w:r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investigated</w:t>
      </w:r>
      <w:proofErr w:type="gramEnd"/>
      <w:r w:rsidRPr="00531AD4">
        <w:rPr>
          <w:b/>
          <w:bCs/>
        </w:rPr>
        <w:t>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perpetrators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prosecuted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appropriate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penalties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imposed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perpetrators.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also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increase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assistance,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adequate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remedies,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victims.</w:t>
      </w:r>
      <w:r w:rsidR="00A74AC2" w:rsidRPr="00531AD4">
        <w:rPr>
          <w:b/>
          <w:bCs/>
        </w:rPr>
        <w:t xml:space="preserve"> 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Training</w:t>
      </w:r>
      <w:r w:rsidR="00A74AC2" w:rsidRPr="00531AD4">
        <w:t xml:space="preserve"> </w:t>
      </w:r>
      <w:r w:rsidRPr="00531AD4">
        <w:t>courses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</w:pPr>
      <w:r w:rsidRPr="00531AD4">
        <w:t>37.</w:t>
      </w:r>
      <w:r w:rsidRPr="00531AD4">
        <w:tab/>
        <w:t>The</w:t>
      </w:r>
      <w:r w:rsidR="00A74AC2" w:rsidRPr="00531AD4">
        <w:t xml:space="preserve"> </w:t>
      </w:r>
      <w:r w:rsidRPr="00531AD4">
        <w:t>Committee</w:t>
      </w:r>
      <w:r w:rsidR="00A74AC2" w:rsidRPr="00531AD4">
        <w:t xml:space="preserve"> </w:t>
      </w:r>
      <w:r w:rsidRPr="00531AD4">
        <w:t>notes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appreciation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teaching</w:t>
      </w:r>
      <w:r w:rsidR="00A74AC2" w:rsidRPr="00531AD4">
        <w:t xml:space="preserve"> </w:t>
      </w:r>
      <w:r w:rsidRPr="00531AD4">
        <w:t>tolerance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cross-cultural</w:t>
      </w:r>
      <w:r w:rsidR="00A74AC2" w:rsidRPr="00531AD4">
        <w:t xml:space="preserve"> </w:t>
      </w:r>
      <w:r w:rsidRPr="00531AD4">
        <w:t>education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schools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training</w:t>
      </w:r>
      <w:r w:rsidR="00A74AC2" w:rsidRPr="00531AD4">
        <w:t xml:space="preserve"> </w:t>
      </w:r>
      <w:r w:rsidRPr="00531AD4">
        <w:t>courses</w:t>
      </w:r>
      <w:r w:rsidR="00A74AC2" w:rsidRPr="00531AD4">
        <w:t xml:space="preserve"> </w:t>
      </w:r>
      <w:r w:rsidRPr="00531AD4">
        <w:t>held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several</w:t>
      </w:r>
      <w:r w:rsidR="00A74AC2" w:rsidRPr="00531AD4">
        <w:t xml:space="preserve"> </w:t>
      </w:r>
      <w:r w:rsidRPr="00531AD4">
        <w:t>thousand</w:t>
      </w:r>
      <w:r w:rsidR="00A74AC2" w:rsidRPr="00531AD4">
        <w:t xml:space="preserve"> </w:t>
      </w:r>
      <w:r w:rsidRPr="00531AD4">
        <w:t>participants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tolerance,</w:t>
      </w:r>
      <w:r w:rsidR="00A74AC2" w:rsidRPr="00531AD4">
        <w:t xml:space="preserve"> </w:t>
      </w:r>
      <w:r w:rsidRPr="00531AD4">
        <w:t>peace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coexistence.</w:t>
      </w:r>
      <w:r w:rsidR="00A74AC2" w:rsidRPr="00531AD4">
        <w:t xml:space="preserve"> </w:t>
      </w:r>
      <w:r w:rsidRPr="00531AD4">
        <w:t>It</w:t>
      </w:r>
      <w:r w:rsidR="00A74AC2" w:rsidRPr="00531AD4">
        <w:t xml:space="preserve"> </w:t>
      </w:r>
      <w:r w:rsidRPr="00531AD4">
        <w:t>is</w:t>
      </w:r>
      <w:r w:rsidR="00A74AC2" w:rsidRPr="00531AD4">
        <w:t xml:space="preserve"> </w:t>
      </w:r>
      <w:r w:rsidRPr="00531AD4">
        <w:t>concerned</w:t>
      </w:r>
      <w:r w:rsidR="00A74AC2" w:rsidRPr="00531AD4">
        <w:t xml:space="preserve"> </w:t>
      </w:r>
      <w:r w:rsidRPr="00531AD4">
        <w:t>at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lack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updated</w:t>
      </w:r>
      <w:r w:rsidR="00A74AC2" w:rsidRPr="00531AD4">
        <w:t xml:space="preserve"> </w:t>
      </w:r>
      <w:r w:rsidRPr="00531AD4">
        <w:t>detailed</w:t>
      </w:r>
      <w:r w:rsidR="00A74AC2" w:rsidRPr="00531AD4">
        <w:t xml:space="preserve"> </w:t>
      </w:r>
      <w:r w:rsidRPr="00531AD4">
        <w:t>information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training</w:t>
      </w:r>
      <w:r w:rsidR="00A74AC2" w:rsidRPr="00531AD4">
        <w:t xml:space="preserve"> </w:t>
      </w:r>
      <w:r w:rsidRPr="00531AD4">
        <w:t>courses</w:t>
      </w:r>
      <w:r w:rsidR="00A74AC2" w:rsidRPr="00531AD4">
        <w:t xml:space="preserve"> </w:t>
      </w:r>
      <w:r w:rsidRPr="00531AD4">
        <w:t>conducted</w:t>
      </w:r>
      <w:r w:rsidR="00A74AC2" w:rsidRPr="00531AD4">
        <w:t xml:space="preserve"> </w:t>
      </w:r>
      <w:r w:rsidRPr="00531AD4">
        <w:t>specifically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racial</w:t>
      </w:r>
      <w:r w:rsidR="00A74AC2" w:rsidRPr="00531AD4">
        <w:t xml:space="preserve"> </w:t>
      </w:r>
      <w:r w:rsidRPr="00531AD4">
        <w:t>discrimination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rights</w:t>
      </w:r>
      <w:r w:rsidR="00A74AC2" w:rsidRPr="00531AD4">
        <w:t xml:space="preserve"> </w:t>
      </w:r>
      <w:r w:rsidRPr="00531AD4">
        <w:t>enshrined</w:t>
      </w:r>
      <w:r w:rsidR="00A74AC2" w:rsidRPr="00531AD4">
        <w:t xml:space="preserve"> </w:t>
      </w:r>
      <w:r w:rsidRPr="00531AD4">
        <w:t>in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law</w:t>
      </w:r>
      <w:r w:rsidR="00A74AC2" w:rsidRPr="00531AD4">
        <w:t xml:space="preserve"> </w:t>
      </w:r>
      <w:r w:rsidRPr="00531AD4">
        <w:t>enforcement</w:t>
      </w:r>
      <w:r w:rsidR="00A74AC2" w:rsidRPr="00531AD4">
        <w:t xml:space="preserve"> </w:t>
      </w:r>
      <w:r w:rsidRPr="00531AD4">
        <w:t>officials,</w:t>
      </w:r>
      <w:r w:rsidR="00A74AC2" w:rsidRPr="00531AD4">
        <w:t xml:space="preserve"> </w:t>
      </w:r>
      <w:r w:rsidRPr="00531AD4">
        <w:t>judges,</w:t>
      </w:r>
      <w:r w:rsidR="00A74AC2" w:rsidRPr="00531AD4">
        <w:t xml:space="preserve"> </w:t>
      </w:r>
      <w:r w:rsidRPr="00531AD4">
        <w:t>lawyers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representatives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State</w:t>
      </w:r>
      <w:r w:rsidR="00A74AC2" w:rsidRPr="00531AD4">
        <w:t xml:space="preserve"> </w:t>
      </w:r>
      <w:r w:rsidRPr="00531AD4">
        <w:t>bodies,</w:t>
      </w:r>
      <w:r w:rsidR="00A74AC2" w:rsidRPr="00531AD4">
        <w:t xml:space="preserve"> </w:t>
      </w:r>
      <w:r w:rsidRPr="00531AD4">
        <w:t>local</w:t>
      </w:r>
      <w:r w:rsidR="00A74AC2" w:rsidRPr="00531AD4">
        <w:t xml:space="preserve"> </w:t>
      </w:r>
      <w:r w:rsidRPr="00531AD4">
        <w:t>government</w:t>
      </w:r>
      <w:r w:rsidR="00A74AC2" w:rsidRPr="00531AD4">
        <w:t xml:space="preserve"> </w:t>
      </w:r>
      <w:r w:rsidRPr="00531AD4">
        <w:t>entities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relevant</w:t>
      </w:r>
      <w:r w:rsidR="00A74AC2" w:rsidRPr="00531AD4">
        <w:t xml:space="preserve"> </w:t>
      </w:r>
      <w:r w:rsidRPr="00531AD4">
        <w:t>associations,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on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impact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such</w:t>
      </w:r>
      <w:r w:rsidR="00A74AC2" w:rsidRPr="00531AD4">
        <w:t xml:space="preserve"> </w:t>
      </w:r>
      <w:r w:rsidRPr="00531AD4">
        <w:t>training</w:t>
      </w:r>
      <w:r w:rsidR="00A74AC2" w:rsidRPr="00531AD4">
        <w:t xml:space="preserve"> </w:t>
      </w:r>
      <w:r w:rsidRPr="00531AD4">
        <w:t>programmes</w:t>
      </w:r>
      <w:r w:rsidR="00A74AC2" w:rsidRPr="00531AD4">
        <w:t xml:space="preserve"> </w:t>
      </w:r>
      <w:r w:rsidRPr="00531AD4">
        <w:t>(art.</w:t>
      </w:r>
      <w:r w:rsidR="00A74AC2" w:rsidRPr="00531AD4">
        <w:t xml:space="preserve"> </w:t>
      </w:r>
      <w:r w:rsidRPr="00531AD4">
        <w:t>7).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38.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continue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education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efforts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training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courses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conduct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specific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training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courses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law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enforcement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officials,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judges,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lawyers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officials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enshrined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specialized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training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courses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requests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updated,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detailed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such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training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courses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impact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efforts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eliminate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party.</w:t>
      </w:r>
    </w:p>
    <w:p w:rsidR="00C5372E" w:rsidRPr="00531AD4" w:rsidRDefault="00C5372E" w:rsidP="005465AA">
      <w:pPr>
        <w:pStyle w:val="H1G"/>
      </w:pPr>
      <w:r w:rsidRPr="00531AD4">
        <w:lastRenderedPageBreak/>
        <w:tab/>
        <w:t>D.</w:t>
      </w:r>
      <w:r w:rsidRPr="00531AD4">
        <w:tab/>
        <w:t>Other</w:t>
      </w:r>
      <w:r w:rsidR="00A74AC2" w:rsidRPr="00531AD4">
        <w:t xml:space="preserve"> </w:t>
      </w:r>
      <w:r w:rsidRPr="00531AD4">
        <w:t>recommendations</w:t>
      </w:r>
      <w:r w:rsidR="00A74AC2" w:rsidRPr="00531AD4">
        <w:t xml:space="preserve"> 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Ratification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other</w:t>
      </w:r>
      <w:r w:rsidR="00A74AC2" w:rsidRPr="00531AD4">
        <w:t xml:space="preserve"> </w:t>
      </w:r>
      <w:r w:rsidRPr="00531AD4">
        <w:t>instruments</w:t>
      </w:r>
    </w:p>
    <w:p w:rsidR="00C5372E" w:rsidRPr="00531AD4" w:rsidRDefault="00C5372E" w:rsidP="00F610A2">
      <w:pPr>
        <w:pStyle w:val="SingleTxtG"/>
        <w:rPr>
          <w:b/>
          <w:bCs/>
        </w:rPr>
      </w:pPr>
      <w:proofErr w:type="gramStart"/>
      <w:r w:rsidRPr="00531AD4">
        <w:t>39.</w:t>
      </w:r>
      <w:r w:rsidRPr="00531AD4">
        <w:tab/>
      </w:r>
      <w:r w:rsidRPr="00531AD4">
        <w:rPr>
          <w:b/>
          <w:bCs/>
        </w:rPr>
        <w:t>Bearing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indivisibility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urges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consider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ratifying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those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instruments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yet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ratified,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particular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treaties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provisions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direct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relevance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communities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may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subjected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Covenant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Civil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Political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Covenant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Economic,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Social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Cultural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Protection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Migrant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Workers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Members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Families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Protection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Persons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from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Enforced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Disappearance,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well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1954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relating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Status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Stateless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Persons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1961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Reduction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Statelessness.</w:t>
      </w:r>
      <w:proofErr w:type="gramEnd"/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Follow-up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Durban</w:t>
      </w:r>
      <w:r w:rsidR="00A74AC2" w:rsidRPr="00531AD4">
        <w:t xml:space="preserve"> </w:t>
      </w:r>
      <w:r w:rsidRPr="00531AD4">
        <w:t>Declaration</w:t>
      </w:r>
      <w:r w:rsidR="00A74AC2" w:rsidRPr="00531AD4">
        <w:t xml:space="preserve"> </w:t>
      </w:r>
      <w:r w:rsidRPr="00531AD4">
        <w:t>and</w:t>
      </w:r>
      <w:r w:rsidR="00A74AC2" w:rsidRPr="00531AD4">
        <w:t xml:space="preserve"> </w:t>
      </w:r>
      <w:r w:rsidRPr="00531AD4">
        <w:t>Programme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Action</w:t>
      </w:r>
    </w:p>
    <w:p w:rsidR="00C5372E" w:rsidRPr="00531AD4" w:rsidRDefault="00C5372E" w:rsidP="00F610A2">
      <w:pPr>
        <w:pStyle w:val="SingleTxtG"/>
        <w:rPr>
          <w:b/>
          <w:bCs/>
        </w:rPr>
      </w:pPr>
      <w:proofErr w:type="gramStart"/>
      <w:r w:rsidRPr="00531AD4">
        <w:t>40.</w:t>
      </w:r>
      <w:r w:rsidRPr="00531AD4">
        <w:tab/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light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33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(2009)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follow-up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Durban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Review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Conference,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give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effect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Durban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Declaration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Programme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adopted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September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2001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World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Conference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against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Racism,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Xenophobia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Related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Intolerance,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account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outcome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document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Durban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Review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Conference,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held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Geneva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April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2009,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accordingly.</w:t>
      </w:r>
      <w:proofErr w:type="gramEnd"/>
      <w:r w:rsidR="00A74AC2" w:rsidRPr="00531AD4">
        <w:rPr>
          <w:b/>
          <w:bCs/>
        </w:rPr>
        <w:t xml:space="preserve"> 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International</w:t>
      </w:r>
      <w:r w:rsidR="00A74AC2" w:rsidRPr="00531AD4">
        <w:t xml:space="preserve"> </w:t>
      </w:r>
      <w:r w:rsidRPr="00531AD4">
        <w:t>Decade</w:t>
      </w:r>
      <w:r w:rsidR="00A74AC2" w:rsidRPr="00531AD4">
        <w:t xml:space="preserve"> </w:t>
      </w:r>
      <w:r w:rsidRPr="00531AD4">
        <w:t>for</w:t>
      </w:r>
      <w:r w:rsidR="00A74AC2" w:rsidRPr="00531AD4">
        <w:t xml:space="preserve"> </w:t>
      </w:r>
      <w:r w:rsidRPr="00531AD4">
        <w:t>People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African</w:t>
      </w:r>
      <w:r w:rsidR="00A74AC2" w:rsidRPr="00531AD4">
        <w:t xml:space="preserve"> </w:t>
      </w:r>
      <w:r w:rsidRPr="00531AD4">
        <w:t>Descent</w:t>
      </w:r>
      <w:r w:rsidR="00A74AC2" w:rsidRPr="00531AD4">
        <w:t xml:space="preserve"> 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41.</w:t>
      </w:r>
      <w:r w:rsidRPr="00531AD4">
        <w:tab/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light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Assembly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resolution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68/237,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requests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include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precise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concrete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adopted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framework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Decade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People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African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Descent,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account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6E6153" w:rsidRPr="00531AD4">
        <w:rPr>
          <w:b/>
          <w:bCs/>
        </w:rPr>
        <w:t>’</w:t>
      </w:r>
      <w:r w:rsidRPr="00531AD4">
        <w:rPr>
          <w:b/>
          <w:bCs/>
        </w:rPr>
        <w:t>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No.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(2011)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against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people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African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descent.</w:t>
      </w:r>
      <w:r w:rsidR="00A74AC2" w:rsidRPr="00531AD4">
        <w:rPr>
          <w:b/>
          <w:bCs/>
        </w:rPr>
        <w:t xml:space="preserve"> 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Consultations</w:t>
      </w:r>
      <w:r w:rsidR="00A74AC2" w:rsidRPr="00531AD4">
        <w:t xml:space="preserve"> </w:t>
      </w:r>
      <w:r w:rsidRPr="00531AD4">
        <w:t>with</w:t>
      </w:r>
      <w:r w:rsidR="00A74AC2" w:rsidRPr="00531AD4">
        <w:t xml:space="preserve"> </w:t>
      </w:r>
      <w:r w:rsidRPr="00531AD4">
        <w:t>civil</w:t>
      </w:r>
      <w:r w:rsidR="00A74AC2" w:rsidRPr="00531AD4">
        <w:t xml:space="preserve"> </w:t>
      </w:r>
      <w:r w:rsidRPr="00531AD4">
        <w:t>society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42.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continue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consulting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increasing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dialogue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civil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society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organizations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working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area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protection,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particular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those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working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combat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discrimination,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connection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preparation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follow-up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present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observations.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Declaration</w:t>
      </w:r>
      <w:r w:rsidR="00A74AC2" w:rsidRPr="00531AD4">
        <w:t xml:space="preserve"> </w:t>
      </w:r>
      <w:r w:rsidRPr="00531AD4">
        <w:t>under</w:t>
      </w:r>
      <w:r w:rsidR="00A74AC2" w:rsidRPr="00531AD4">
        <w:t xml:space="preserve"> </w:t>
      </w:r>
      <w:r w:rsidRPr="00531AD4">
        <w:t>article</w:t>
      </w:r>
      <w:r w:rsidR="00A74AC2" w:rsidRPr="00531AD4">
        <w:t xml:space="preserve"> </w:t>
      </w:r>
      <w:r w:rsidRPr="00531AD4">
        <w:t>14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Convention</w:t>
      </w:r>
    </w:p>
    <w:p w:rsidR="00C5372E" w:rsidRPr="00531AD4" w:rsidRDefault="00C5372E" w:rsidP="00F610A2">
      <w:pPr>
        <w:pStyle w:val="SingleTxtG"/>
      </w:pPr>
      <w:r w:rsidRPr="00531AD4">
        <w:t>43.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encourages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make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optional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declaration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recognizing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competence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receive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consider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individual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complaints.</w:t>
      </w:r>
      <w:r w:rsidR="00A74AC2" w:rsidRPr="00531AD4">
        <w:t xml:space="preserve"> 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Common</w:t>
      </w:r>
      <w:r w:rsidR="00A74AC2" w:rsidRPr="00531AD4">
        <w:t xml:space="preserve"> </w:t>
      </w:r>
      <w:r w:rsidRPr="00531AD4">
        <w:t>core</w:t>
      </w:r>
      <w:r w:rsidR="00A74AC2" w:rsidRPr="00531AD4">
        <w:t xml:space="preserve"> </w:t>
      </w:r>
      <w:r w:rsidRPr="00531AD4">
        <w:t>document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44.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encourages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submit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document,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accordance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harmonized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guidelines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under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international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treaties,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particular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those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core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document,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adopted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fifth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inter-committee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meeting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human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rights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treaty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bodies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held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June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2006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(HRI/GEN/2/Rev.6,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chap.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I).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light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Assembly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resolution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68/268,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urges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limit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42,400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such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documents.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Follow-up</w:t>
      </w:r>
      <w:r w:rsidR="00A74AC2" w:rsidRPr="00531AD4">
        <w:t xml:space="preserve"> </w:t>
      </w:r>
      <w:r w:rsidRPr="00531AD4">
        <w:t>to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present</w:t>
      </w:r>
      <w:r w:rsidR="00A74AC2" w:rsidRPr="00531AD4">
        <w:t xml:space="preserve"> </w:t>
      </w:r>
      <w:r w:rsidRPr="00531AD4">
        <w:t>concluding</w:t>
      </w:r>
      <w:r w:rsidR="00A74AC2" w:rsidRPr="00531AD4">
        <w:t xml:space="preserve"> </w:t>
      </w:r>
      <w:r w:rsidRPr="00531AD4">
        <w:t>observations</w:t>
      </w:r>
    </w:p>
    <w:p w:rsidR="00C5372E" w:rsidRPr="00531AD4" w:rsidRDefault="00C5372E" w:rsidP="00F610A2">
      <w:pPr>
        <w:pStyle w:val="SingleTxtG"/>
      </w:pPr>
      <w:r w:rsidRPr="00531AD4">
        <w:t>45.</w:t>
      </w:r>
      <w:r w:rsidRPr="00531AD4">
        <w:tab/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accordance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article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9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(1)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Convention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rule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65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rules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procedure,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requests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year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lastRenderedPageBreak/>
        <w:t>adoption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present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observations,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implementation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contained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paragraphs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20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(a)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(b)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24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above.</w:t>
      </w:r>
      <w:r w:rsidR="00A74AC2" w:rsidRPr="00531AD4">
        <w:t xml:space="preserve"> </w:t>
      </w:r>
    </w:p>
    <w:p w:rsidR="00C5372E" w:rsidRPr="00531AD4" w:rsidRDefault="00C5372E" w:rsidP="005465AA">
      <w:pPr>
        <w:pStyle w:val="H23G"/>
      </w:pPr>
      <w:r w:rsidRPr="00531AD4">
        <w:tab/>
      </w:r>
      <w:r w:rsidRPr="00531AD4">
        <w:tab/>
        <w:t>Paragraphs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particular</w:t>
      </w:r>
      <w:r w:rsidR="00A74AC2" w:rsidRPr="00531AD4">
        <w:t xml:space="preserve"> </w:t>
      </w:r>
      <w:r w:rsidRPr="00531AD4">
        <w:t>importance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46.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wishes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draw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attention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particular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importance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contained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paragraphs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10,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16,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24,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28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30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above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requests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provide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detailed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information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next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concrete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measures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taken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implement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those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recommendations.</w:t>
      </w:r>
      <w:r w:rsidR="00A74AC2" w:rsidRPr="00531AD4">
        <w:rPr>
          <w:b/>
          <w:bCs/>
        </w:rPr>
        <w:t xml:space="preserve"> </w:t>
      </w:r>
    </w:p>
    <w:p w:rsidR="00C5372E" w:rsidRPr="00531AD4" w:rsidRDefault="00C5372E" w:rsidP="006E6153">
      <w:pPr>
        <w:pStyle w:val="H23G"/>
      </w:pPr>
      <w:r w:rsidRPr="00531AD4">
        <w:tab/>
      </w:r>
      <w:r w:rsidRPr="00531AD4">
        <w:tab/>
        <w:t>Dissemination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information</w:t>
      </w:r>
    </w:p>
    <w:p w:rsidR="00C5372E" w:rsidRPr="00531AD4" w:rsidRDefault="00C5372E" w:rsidP="00F610A2">
      <w:pPr>
        <w:pStyle w:val="SingleTxtG"/>
        <w:rPr>
          <w:b/>
          <w:bCs/>
        </w:rPr>
      </w:pPr>
      <w:r w:rsidRPr="00531AD4">
        <w:t>47.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6E6153" w:rsidRPr="00531AD4">
        <w:rPr>
          <w:b/>
          <w:bCs/>
        </w:rPr>
        <w:t>’</w:t>
      </w:r>
      <w:r w:rsidRPr="00531AD4">
        <w:rPr>
          <w:b/>
          <w:bCs/>
        </w:rPr>
        <w:t>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reports</w:t>
      </w:r>
      <w:r w:rsidR="00A74AC2" w:rsidRPr="00531AD4">
        <w:rPr>
          <w:b/>
          <w:bCs/>
        </w:rPr>
        <w:t xml:space="preserve"> </w:t>
      </w:r>
      <w:proofErr w:type="gramStart"/>
      <w:r w:rsidRPr="00531AD4">
        <w:rPr>
          <w:b/>
          <w:bCs/>
        </w:rPr>
        <w:t>be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made</w:t>
      </w:r>
      <w:proofErr w:type="gramEnd"/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readily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available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accessible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public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time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their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submission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observations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with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respect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those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similarly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publicized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official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other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commonly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used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languages,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appropriate.</w:t>
      </w:r>
      <w:r w:rsidR="00A74AC2" w:rsidRPr="00531AD4">
        <w:rPr>
          <w:b/>
          <w:bCs/>
        </w:rPr>
        <w:t xml:space="preserve"> </w:t>
      </w:r>
    </w:p>
    <w:p w:rsidR="00C5372E" w:rsidRPr="00531AD4" w:rsidRDefault="00C5372E" w:rsidP="006E6153">
      <w:pPr>
        <w:pStyle w:val="H23G"/>
      </w:pPr>
      <w:r w:rsidRPr="00531AD4">
        <w:tab/>
      </w:r>
      <w:r w:rsidRPr="00531AD4">
        <w:tab/>
        <w:t>Preparation</w:t>
      </w:r>
      <w:r w:rsidR="00A74AC2" w:rsidRPr="00531AD4">
        <w:t xml:space="preserve"> </w:t>
      </w:r>
      <w:r w:rsidRPr="00531AD4">
        <w:t>of</w:t>
      </w:r>
      <w:r w:rsidR="00A74AC2" w:rsidRPr="00531AD4">
        <w:t xml:space="preserve"> </w:t>
      </w:r>
      <w:r w:rsidRPr="00531AD4">
        <w:t>the</w:t>
      </w:r>
      <w:r w:rsidR="00A74AC2" w:rsidRPr="00531AD4">
        <w:t xml:space="preserve"> </w:t>
      </w:r>
      <w:r w:rsidRPr="00531AD4">
        <w:t>next</w:t>
      </w:r>
      <w:r w:rsidR="00A74AC2" w:rsidRPr="00531AD4">
        <w:t xml:space="preserve"> </w:t>
      </w:r>
      <w:r w:rsidRPr="00531AD4">
        <w:t>periodic</w:t>
      </w:r>
      <w:r w:rsidR="00A74AC2" w:rsidRPr="00531AD4">
        <w:t xml:space="preserve"> </w:t>
      </w:r>
      <w:r w:rsidRPr="00531AD4">
        <w:t>report</w:t>
      </w:r>
    </w:p>
    <w:p w:rsidR="00C5372E" w:rsidRPr="00531AD4" w:rsidRDefault="00C5372E" w:rsidP="006E6153">
      <w:pPr>
        <w:pStyle w:val="SingleTxtG"/>
      </w:pPr>
      <w:r w:rsidRPr="00531AD4">
        <w:t>48.</w:t>
      </w:r>
      <w:r w:rsidRPr="00531AD4">
        <w:tab/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recommends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that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submit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combined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tenth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eleventh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reports,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single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document,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22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October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2020,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taking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account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guidelines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adopted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by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during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seventy-first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session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(CERD/C/2007/1)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and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addressing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all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points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raised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present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concluding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observations.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In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light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General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Assembly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resolution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68/268,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Committee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urges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State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party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to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observe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the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limit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of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21,200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words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for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periodic</w:t>
      </w:r>
      <w:r w:rsidR="00A74AC2" w:rsidRPr="00531AD4">
        <w:rPr>
          <w:b/>
          <w:bCs/>
        </w:rPr>
        <w:t xml:space="preserve"> </w:t>
      </w:r>
      <w:r w:rsidRPr="00531AD4">
        <w:rPr>
          <w:b/>
          <w:bCs/>
        </w:rPr>
        <w:t>reports.</w:t>
      </w:r>
    </w:p>
    <w:p w:rsidR="006E6153" w:rsidRPr="00531AD4" w:rsidRDefault="006E6153">
      <w:pPr>
        <w:spacing w:before="240"/>
        <w:jc w:val="center"/>
        <w:rPr>
          <w:u w:val="single"/>
        </w:rPr>
      </w:pPr>
      <w:r w:rsidRPr="00531AD4">
        <w:rPr>
          <w:u w:val="single"/>
        </w:rPr>
        <w:tab/>
      </w:r>
      <w:r w:rsidRPr="00531AD4">
        <w:rPr>
          <w:u w:val="single"/>
        </w:rPr>
        <w:tab/>
      </w:r>
      <w:r w:rsidRPr="00531AD4">
        <w:rPr>
          <w:u w:val="single"/>
        </w:rPr>
        <w:tab/>
      </w:r>
    </w:p>
    <w:sectPr w:rsidR="006E6153" w:rsidRPr="00531AD4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D6" w:rsidRPr="00A0297D" w:rsidRDefault="000716D6" w:rsidP="00A0297D">
      <w:pPr>
        <w:pStyle w:val="Footer"/>
      </w:pPr>
    </w:p>
  </w:endnote>
  <w:endnote w:type="continuationSeparator" w:id="0">
    <w:p w:rsidR="000716D6" w:rsidRPr="00A0297D" w:rsidRDefault="000716D6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D6" w:rsidRDefault="000716D6" w:rsidP="00C5372E">
    <w:pPr>
      <w:pStyle w:val="Footer"/>
      <w:tabs>
        <w:tab w:val="right" w:pos="9638"/>
      </w:tabs>
    </w:pPr>
    <w:r w:rsidRPr="00C5372E">
      <w:rPr>
        <w:b/>
        <w:bCs/>
        <w:sz w:val="18"/>
      </w:rPr>
      <w:fldChar w:fldCharType="begin"/>
    </w:r>
    <w:r w:rsidRPr="00C5372E">
      <w:rPr>
        <w:b/>
        <w:bCs/>
        <w:sz w:val="18"/>
      </w:rPr>
      <w:instrText xml:space="preserve"> PAGE  \* MERGEFORMAT </w:instrText>
    </w:r>
    <w:r w:rsidRPr="00C5372E">
      <w:rPr>
        <w:b/>
        <w:bCs/>
        <w:sz w:val="18"/>
      </w:rPr>
      <w:fldChar w:fldCharType="separate"/>
    </w:r>
    <w:r w:rsidR="000877ED">
      <w:rPr>
        <w:b/>
        <w:bCs/>
        <w:noProof/>
        <w:sz w:val="18"/>
      </w:rPr>
      <w:t>8</w:t>
    </w:r>
    <w:r w:rsidRPr="00C5372E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D6" w:rsidRDefault="000716D6" w:rsidP="00C5372E">
    <w:pPr>
      <w:pStyle w:val="Footer"/>
      <w:tabs>
        <w:tab w:val="right" w:pos="9638"/>
      </w:tabs>
    </w:pPr>
    <w:r>
      <w:tab/>
    </w:r>
    <w:r w:rsidRPr="00C5372E">
      <w:rPr>
        <w:b/>
        <w:bCs/>
        <w:sz w:val="18"/>
      </w:rPr>
      <w:fldChar w:fldCharType="begin"/>
    </w:r>
    <w:r w:rsidRPr="00C5372E">
      <w:rPr>
        <w:b/>
        <w:bCs/>
        <w:sz w:val="18"/>
      </w:rPr>
      <w:instrText xml:space="preserve"> PAGE  \* MERGEFORMAT </w:instrText>
    </w:r>
    <w:r w:rsidRPr="00C5372E">
      <w:rPr>
        <w:b/>
        <w:bCs/>
        <w:sz w:val="18"/>
      </w:rPr>
      <w:fldChar w:fldCharType="separate"/>
    </w:r>
    <w:r w:rsidR="000877ED">
      <w:rPr>
        <w:b/>
        <w:bCs/>
        <w:noProof/>
        <w:sz w:val="18"/>
      </w:rPr>
      <w:t>7</w:t>
    </w:r>
    <w:r w:rsidRPr="00C5372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ED" w:rsidRDefault="000877ED" w:rsidP="000877E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7ED" w:rsidRDefault="000877ED" w:rsidP="000877ED">
    <w:pPr>
      <w:pStyle w:val="Footer"/>
      <w:ind w:right="1134"/>
      <w:rPr>
        <w:sz w:val="20"/>
      </w:rPr>
    </w:pPr>
    <w:r>
      <w:rPr>
        <w:sz w:val="20"/>
      </w:rPr>
      <w:t>GE.18-09381(E)</w:t>
    </w:r>
  </w:p>
  <w:p w:rsidR="000877ED" w:rsidRPr="000877ED" w:rsidRDefault="000877ED" w:rsidP="000877E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SAU/CO/4-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SAU/CO/4-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D6" w:rsidRPr="00A0297D" w:rsidRDefault="000716D6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716D6" w:rsidRPr="00A0297D" w:rsidRDefault="000716D6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716D6" w:rsidRPr="00F610A2" w:rsidRDefault="000716D6">
      <w:pPr>
        <w:pStyle w:val="FootnoteText"/>
      </w:pPr>
      <w:r>
        <w:rPr>
          <w:rStyle w:val="FootnoteReference"/>
        </w:rPr>
        <w:tab/>
      </w:r>
      <w:r w:rsidRPr="00F610A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E74BD">
        <w:rPr>
          <w:szCs w:val="18"/>
        </w:rPr>
        <w:t>Adopted by th</w:t>
      </w:r>
      <w:r>
        <w:rPr>
          <w:szCs w:val="18"/>
        </w:rPr>
        <w:t>e Committee at its ninety-fifth</w:t>
      </w:r>
      <w:r w:rsidRPr="00DE74BD">
        <w:rPr>
          <w:szCs w:val="18"/>
        </w:rPr>
        <w:t xml:space="preserve"> session (</w:t>
      </w:r>
      <w:r>
        <w:rPr>
          <w:szCs w:val="18"/>
        </w:rPr>
        <w:t>23 April–11 May 2018</w:t>
      </w:r>
      <w:r w:rsidRPr="00DE74BD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D6" w:rsidRDefault="000716D6" w:rsidP="00C5372E">
    <w:pPr>
      <w:pStyle w:val="Header"/>
    </w:pPr>
    <w:r>
      <w:t>CERD/C/SAU/CO/4-9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D6" w:rsidRDefault="000716D6" w:rsidP="00C5372E">
    <w:pPr>
      <w:pStyle w:val="Header"/>
      <w:jc w:val="right"/>
    </w:pPr>
    <w:r>
      <w:t>CERD/C/SAU/CO/4-9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625"/>
    <w:rsid w:val="00046E92"/>
    <w:rsid w:val="000716D6"/>
    <w:rsid w:val="000877ED"/>
    <w:rsid w:val="00105B78"/>
    <w:rsid w:val="001249FF"/>
    <w:rsid w:val="00247E2C"/>
    <w:rsid w:val="002D6C53"/>
    <w:rsid w:val="002F5595"/>
    <w:rsid w:val="00307688"/>
    <w:rsid w:val="00334F6A"/>
    <w:rsid w:val="00342AC8"/>
    <w:rsid w:val="003B4550"/>
    <w:rsid w:val="00461253"/>
    <w:rsid w:val="005042C2"/>
    <w:rsid w:val="00531AD4"/>
    <w:rsid w:val="005465AA"/>
    <w:rsid w:val="00557F19"/>
    <w:rsid w:val="005B0EAD"/>
    <w:rsid w:val="00671529"/>
    <w:rsid w:val="006B26C4"/>
    <w:rsid w:val="006E6153"/>
    <w:rsid w:val="007268F9"/>
    <w:rsid w:val="00735147"/>
    <w:rsid w:val="007905B5"/>
    <w:rsid w:val="007C52B0"/>
    <w:rsid w:val="00883988"/>
    <w:rsid w:val="008E0F96"/>
    <w:rsid w:val="009411B4"/>
    <w:rsid w:val="009C393A"/>
    <w:rsid w:val="009D0139"/>
    <w:rsid w:val="009F5CDC"/>
    <w:rsid w:val="00A0297D"/>
    <w:rsid w:val="00A5233E"/>
    <w:rsid w:val="00A74AC2"/>
    <w:rsid w:val="00A775CF"/>
    <w:rsid w:val="00AC659B"/>
    <w:rsid w:val="00B06045"/>
    <w:rsid w:val="00C01462"/>
    <w:rsid w:val="00C35A27"/>
    <w:rsid w:val="00C5275B"/>
    <w:rsid w:val="00C5372E"/>
    <w:rsid w:val="00C660E7"/>
    <w:rsid w:val="00CB1FB9"/>
    <w:rsid w:val="00DA7116"/>
    <w:rsid w:val="00DD0496"/>
    <w:rsid w:val="00E02C2B"/>
    <w:rsid w:val="00E41C0B"/>
    <w:rsid w:val="00E76625"/>
    <w:rsid w:val="00ED225A"/>
    <w:rsid w:val="00ED6C48"/>
    <w:rsid w:val="00F610A2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8D1DA0B-39C3-49CE-8E1D-048B184F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C85D-38BC-4516-836F-90CA76DC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8</Pages>
  <Words>3708</Words>
  <Characters>20801</Characters>
  <Application>Microsoft Office Word</Application>
  <DocSecurity>0</DocSecurity>
  <Lines>355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CERD/C/SAU/CO/4-9</vt:lpstr>
    </vt:vector>
  </TitlesOfParts>
  <Company>DCM</Company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CERD/C/SAU/CO/4-9</dc:title>
  <dc:subject>1809381</dc:subject>
  <dc:creator>Brigoli</dc:creator>
  <cp:keywords/>
  <dc:description/>
  <cp:lastModifiedBy>Generic Desk Anglais</cp:lastModifiedBy>
  <cp:revision>2</cp:revision>
  <cp:lastPrinted>2018-06-07T16:10:00Z</cp:lastPrinted>
  <dcterms:created xsi:type="dcterms:W3CDTF">2018-06-08T11:02:00Z</dcterms:created>
  <dcterms:modified xsi:type="dcterms:W3CDTF">2018-06-08T11:02:00Z</dcterms:modified>
</cp:coreProperties>
</file>