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A90E5F"/>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A90E5F" w:rsidP="00A90E5F">
            <w:pPr>
              <w:jc w:val="right"/>
            </w:pPr>
            <w:r w:rsidRPr="00A90E5F">
              <w:rPr>
                <w:sz w:val="40"/>
              </w:rPr>
              <w:t>CAT</w:t>
            </w:r>
            <w:r>
              <w:t>/C/60/D/602/2014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90E5F" w:rsidP="00A704A8">
            <w:pPr>
              <w:spacing w:before="240"/>
            </w:pPr>
            <w:proofErr w:type="spellStart"/>
            <w:r>
              <w:t>Distr</w:t>
            </w:r>
            <w:proofErr w:type="spellEnd"/>
            <w:r>
              <w:t>. générale</w:t>
            </w:r>
          </w:p>
          <w:p w:rsidR="00A90E5F" w:rsidRDefault="00A90E5F" w:rsidP="00A90E5F">
            <w:pPr>
              <w:spacing w:line="240" w:lineRule="exact"/>
            </w:pPr>
            <w:r>
              <w:t>7 juillet 2017</w:t>
            </w:r>
          </w:p>
          <w:p w:rsidR="00A90E5F" w:rsidRDefault="00A90E5F" w:rsidP="00A90E5F">
            <w:pPr>
              <w:spacing w:line="240" w:lineRule="exact"/>
            </w:pPr>
            <w:r>
              <w:t>Français</w:t>
            </w:r>
          </w:p>
          <w:p w:rsidR="00A90E5F" w:rsidRPr="00DB58B5" w:rsidRDefault="00A90E5F" w:rsidP="00A90E5F">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A90E5F" w:rsidRPr="009F7F79" w:rsidRDefault="00A90E5F" w:rsidP="00277E98">
      <w:pPr>
        <w:pStyle w:val="HChG"/>
      </w:pPr>
      <w:r>
        <w:tab/>
      </w:r>
      <w:r>
        <w:tab/>
        <w:t>D</w:t>
      </w:r>
      <w:r w:rsidRPr="00AE68FC">
        <w:t xml:space="preserve">écision du </w:t>
      </w:r>
      <w:r>
        <w:t>C</w:t>
      </w:r>
      <w:r w:rsidRPr="00AE68FC">
        <w:t xml:space="preserve">omité contre la torture au titre de </w:t>
      </w:r>
      <w:r>
        <w:br/>
      </w:r>
      <w:r w:rsidRPr="00AE68FC">
        <w:t>l</w:t>
      </w:r>
      <w:r w:rsidR="00D31389">
        <w:t>’</w:t>
      </w:r>
      <w:r w:rsidRPr="00AE68FC">
        <w:t>article 22</w:t>
      </w:r>
      <w:r>
        <w:t xml:space="preserve"> </w:t>
      </w:r>
      <w:r w:rsidRPr="00AE68FC">
        <w:t xml:space="preserve">de la </w:t>
      </w:r>
      <w:r>
        <w:t>C</w:t>
      </w:r>
      <w:r w:rsidRPr="00AE68FC">
        <w:t>onvention</w:t>
      </w:r>
      <w:r>
        <w:t xml:space="preserve">, concernant la </w:t>
      </w:r>
      <w:r>
        <w:br/>
        <w:t xml:space="preserve">communication </w:t>
      </w:r>
      <w:r>
        <w:rPr>
          <w:rFonts w:eastAsia="MS Mincho"/>
        </w:rPr>
        <w:t>n</w:t>
      </w:r>
      <w:r>
        <w:rPr>
          <w:rFonts w:eastAsia="MS Mincho"/>
          <w:vertAlign w:val="superscript"/>
        </w:rPr>
        <w:t>o</w:t>
      </w:r>
      <w:r>
        <w:t xml:space="preserve"> 602/2014</w:t>
      </w:r>
      <w:r w:rsidRPr="00A90E5F">
        <w:rPr>
          <w:rStyle w:val="Appelnotedebasdep"/>
          <w:b w:val="0"/>
          <w:sz w:val="20"/>
          <w:vertAlign w:val="baseline"/>
        </w:rPr>
        <w:footnoteReference w:customMarkFollows="1" w:id="2"/>
        <w:t>*</w:t>
      </w:r>
      <w:r w:rsidRPr="00A90E5F">
        <w:rPr>
          <w:sz w:val="20"/>
          <w:vertAlign w:val="superscript"/>
        </w:rPr>
        <w:t>,</w:t>
      </w:r>
      <w:r w:rsidRPr="00A90E5F">
        <w:rPr>
          <w:sz w:val="20"/>
        </w:rPr>
        <w:t xml:space="preserve"> </w:t>
      </w:r>
      <w:r w:rsidRPr="00A90E5F">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A90E5F" w:rsidTr="00793C4B">
        <w:tc>
          <w:tcPr>
            <w:tcW w:w="2835" w:type="dxa"/>
          </w:tcPr>
          <w:p w:rsidR="00A90E5F" w:rsidRDefault="00A90E5F" w:rsidP="00A90E5F">
            <w:pPr>
              <w:pStyle w:val="SingleTxtG"/>
              <w:ind w:left="0" w:right="0"/>
              <w:jc w:val="left"/>
              <w:rPr>
                <w:i/>
              </w:rPr>
            </w:pPr>
            <w:r>
              <w:rPr>
                <w:i/>
              </w:rPr>
              <w:t>Communication p</w:t>
            </w:r>
            <w:r w:rsidRPr="00FD511F">
              <w:rPr>
                <w:i/>
              </w:rPr>
              <w:t>résentée par</w:t>
            </w:r>
            <w:r>
              <w:t> :</w:t>
            </w:r>
          </w:p>
        </w:tc>
        <w:tc>
          <w:tcPr>
            <w:tcW w:w="3970" w:type="dxa"/>
          </w:tcPr>
          <w:p w:rsidR="00A90E5F" w:rsidRPr="00A90E5F" w:rsidRDefault="00A90E5F" w:rsidP="00A90E5F">
            <w:pPr>
              <w:pStyle w:val="SingleTxtG"/>
              <w:ind w:left="0" w:right="0"/>
              <w:jc w:val="left"/>
            </w:pPr>
            <w:r w:rsidRPr="00A90E5F">
              <w:rPr>
                <w:lang w:val="fr-FR"/>
              </w:rPr>
              <w:t xml:space="preserve">S. B. B. (représenté par un conseil, </w:t>
            </w:r>
            <w:r w:rsidR="005375D6">
              <w:rPr>
                <w:lang w:val="fr-FR"/>
              </w:rPr>
              <w:br/>
            </w:r>
            <w:r w:rsidRPr="00A90E5F">
              <w:rPr>
                <w:lang w:val="fr-FR"/>
              </w:rPr>
              <w:t>Niels</w:t>
            </w:r>
            <w:r w:rsidRPr="00A90E5F">
              <w:rPr>
                <w:lang w:val="fr-FR"/>
              </w:rPr>
              <w:noBreakHyphen/>
              <w:t>Erik Hansen)</w:t>
            </w:r>
          </w:p>
        </w:tc>
      </w:tr>
      <w:tr w:rsidR="00A90E5F" w:rsidTr="00793C4B">
        <w:tc>
          <w:tcPr>
            <w:tcW w:w="2835" w:type="dxa"/>
          </w:tcPr>
          <w:p w:rsidR="00A90E5F" w:rsidRPr="00FD511F" w:rsidRDefault="00A90E5F" w:rsidP="00A90E5F">
            <w:pPr>
              <w:pStyle w:val="SingleTxtG"/>
              <w:ind w:left="0" w:right="0"/>
              <w:jc w:val="left"/>
              <w:rPr>
                <w:i/>
              </w:rPr>
            </w:pPr>
            <w:r w:rsidRPr="00FD511F">
              <w:rPr>
                <w:i/>
              </w:rPr>
              <w:t>Au nom de</w:t>
            </w:r>
            <w:r>
              <w:t> :</w:t>
            </w:r>
          </w:p>
        </w:tc>
        <w:tc>
          <w:tcPr>
            <w:tcW w:w="3970" w:type="dxa"/>
          </w:tcPr>
          <w:p w:rsidR="00A90E5F" w:rsidRDefault="00A90E5F" w:rsidP="00A90E5F">
            <w:pPr>
              <w:pStyle w:val="SingleTxtG"/>
              <w:ind w:left="0" w:right="0"/>
              <w:jc w:val="left"/>
            </w:pPr>
            <w:r w:rsidRPr="0065127E">
              <w:rPr>
                <w:snapToGrid w:val="0"/>
                <w:lang w:val="fr-FR"/>
              </w:rPr>
              <w:t>S. B. B.</w:t>
            </w:r>
          </w:p>
        </w:tc>
      </w:tr>
      <w:tr w:rsidR="00A90E5F" w:rsidTr="00793C4B">
        <w:tc>
          <w:tcPr>
            <w:tcW w:w="2835" w:type="dxa"/>
          </w:tcPr>
          <w:p w:rsidR="00A90E5F" w:rsidRPr="00FD511F" w:rsidRDefault="00A90E5F" w:rsidP="00A90E5F">
            <w:pPr>
              <w:pStyle w:val="SingleTxtG"/>
              <w:ind w:left="0" w:right="0"/>
              <w:jc w:val="left"/>
              <w:rPr>
                <w:i/>
              </w:rPr>
            </w:pPr>
            <w:r w:rsidRPr="00FD511F">
              <w:rPr>
                <w:i/>
              </w:rPr>
              <w:t>État partie</w:t>
            </w:r>
            <w:r>
              <w:t> :</w:t>
            </w:r>
          </w:p>
        </w:tc>
        <w:tc>
          <w:tcPr>
            <w:tcW w:w="3970" w:type="dxa"/>
          </w:tcPr>
          <w:p w:rsidR="00A90E5F" w:rsidRDefault="00A90E5F" w:rsidP="00A90E5F">
            <w:pPr>
              <w:pStyle w:val="SingleTxtG"/>
              <w:ind w:left="0" w:right="0"/>
              <w:jc w:val="left"/>
            </w:pPr>
            <w:r w:rsidRPr="0065127E">
              <w:rPr>
                <w:lang w:val="fr-FR"/>
              </w:rPr>
              <w:t>Danemark</w:t>
            </w:r>
          </w:p>
        </w:tc>
      </w:tr>
      <w:tr w:rsidR="00A90E5F" w:rsidTr="00793C4B">
        <w:trPr>
          <w:trHeight w:val="274"/>
        </w:trPr>
        <w:tc>
          <w:tcPr>
            <w:tcW w:w="2835" w:type="dxa"/>
          </w:tcPr>
          <w:p w:rsidR="00A90E5F" w:rsidRPr="00FD511F" w:rsidRDefault="00A90E5F" w:rsidP="00A90E5F">
            <w:pPr>
              <w:pStyle w:val="SingleTxtG"/>
              <w:ind w:left="0" w:right="0"/>
              <w:jc w:val="left"/>
              <w:rPr>
                <w:i/>
              </w:rPr>
            </w:pPr>
            <w:r w:rsidRPr="00FD511F">
              <w:rPr>
                <w:i/>
              </w:rPr>
              <w:t xml:space="preserve">Date de la </w:t>
            </w:r>
            <w:r>
              <w:rPr>
                <w:i/>
              </w:rPr>
              <w:t>requête</w:t>
            </w:r>
            <w:r>
              <w:t> :</w:t>
            </w:r>
          </w:p>
        </w:tc>
        <w:tc>
          <w:tcPr>
            <w:tcW w:w="3970" w:type="dxa"/>
          </w:tcPr>
          <w:p w:rsidR="00A90E5F" w:rsidRDefault="00A90E5F" w:rsidP="00A90E5F">
            <w:pPr>
              <w:pStyle w:val="SingleTxtG"/>
              <w:ind w:left="0" w:right="0"/>
              <w:jc w:val="left"/>
            </w:pPr>
            <w:r w:rsidRPr="0065127E">
              <w:rPr>
                <w:lang w:val="fr-FR"/>
              </w:rPr>
              <w:t>9 mai 2014 (date de la lettre initiale)</w:t>
            </w:r>
          </w:p>
        </w:tc>
      </w:tr>
      <w:tr w:rsidR="00A90E5F" w:rsidTr="00A71CC5">
        <w:trPr>
          <w:trHeight w:hRule="exact" w:val="397"/>
        </w:trPr>
        <w:tc>
          <w:tcPr>
            <w:tcW w:w="2835" w:type="dxa"/>
          </w:tcPr>
          <w:p w:rsidR="00A90E5F" w:rsidRPr="00FD511F" w:rsidRDefault="00A90E5F" w:rsidP="00A90E5F">
            <w:pPr>
              <w:pStyle w:val="SingleTxtG"/>
              <w:spacing w:after="480"/>
              <w:ind w:left="0" w:right="0"/>
              <w:jc w:val="left"/>
              <w:rPr>
                <w:i/>
              </w:rPr>
            </w:pPr>
            <w:r w:rsidRPr="00FD511F">
              <w:rPr>
                <w:i/>
              </w:rPr>
              <w:t xml:space="preserve">Date de </w:t>
            </w:r>
            <w:r>
              <w:rPr>
                <w:i/>
              </w:rPr>
              <w:t>la présente décision</w:t>
            </w:r>
            <w:r>
              <w:t> :</w:t>
            </w:r>
          </w:p>
        </w:tc>
        <w:tc>
          <w:tcPr>
            <w:tcW w:w="3970" w:type="dxa"/>
            <w:vAlign w:val="bottom"/>
          </w:tcPr>
          <w:p w:rsidR="00A90E5F" w:rsidRDefault="00A90E5F" w:rsidP="00A90E5F">
            <w:pPr>
              <w:pStyle w:val="SingleTxtG"/>
              <w:spacing w:after="480"/>
              <w:ind w:left="0" w:right="0"/>
              <w:jc w:val="left"/>
            </w:pPr>
            <w:r w:rsidRPr="0065127E">
              <w:rPr>
                <w:lang w:val="fr-FR"/>
              </w:rPr>
              <w:t>28 avril 2017</w:t>
            </w:r>
          </w:p>
        </w:tc>
      </w:tr>
      <w:tr w:rsidR="00A90E5F" w:rsidTr="00793C4B">
        <w:tc>
          <w:tcPr>
            <w:tcW w:w="2835" w:type="dxa"/>
          </w:tcPr>
          <w:p w:rsidR="00A90E5F" w:rsidRDefault="00A90E5F" w:rsidP="00A90E5F">
            <w:pPr>
              <w:pStyle w:val="SingleTxtG"/>
              <w:ind w:left="0" w:right="0"/>
              <w:jc w:val="left"/>
              <w:rPr>
                <w:i/>
              </w:rPr>
            </w:pPr>
            <w:r>
              <w:rPr>
                <w:i/>
                <w:noProof/>
                <w:lang w:val="fr-FR" w:eastAsia="fr-FR"/>
              </w:rPr>
              <w:t>Objet :</w:t>
            </w:r>
          </w:p>
        </w:tc>
        <w:tc>
          <w:tcPr>
            <w:tcW w:w="3970" w:type="dxa"/>
          </w:tcPr>
          <w:p w:rsidR="00A90E5F" w:rsidRPr="00AE68FC" w:rsidRDefault="00A90E5F" w:rsidP="00A90E5F">
            <w:pPr>
              <w:pStyle w:val="SingleTxtG"/>
              <w:ind w:left="0" w:right="0"/>
              <w:jc w:val="left"/>
            </w:pPr>
            <w:r w:rsidRPr="00150E08">
              <w:rPr>
                <w:snapToGrid w:val="0"/>
                <w:lang w:val="fr-FR"/>
              </w:rPr>
              <w:t>Expulsion ; risque de torture</w:t>
            </w:r>
          </w:p>
        </w:tc>
      </w:tr>
      <w:tr w:rsidR="00A90E5F" w:rsidTr="00793C4B">
        <w:tc>
          <w:tcPr>
            <w:tcW w:w="2835" w:type="dxa"/>
          </w:tcPr>
          <w:p w:rsidR="00A90E5F" w:rsidRPr="00FD511F" w:rsidRDefault="00A90E5F" w:rsidP="00A90E5F">
            <w:pPr>
              <w:pStyle w:val="SingleTxtG"/>
              <w:ind w:left="0" w:right="0"/>
              <w:jc w:val="left"/>
              <w:rPr>
                <w:i/>
              </w:rPr>
            </w:pPr>
            <w:r>
              <w:rPr>
                <w:i/>
              </w:rPr>
              <w:t>Questions de procédure :</w:t>
            </w:r>
          </w:p>
        </w:tc>
        <w:tc>
          <w:tcPr>
            <w:tcW w:w="3970" w:type="dxa"/>
          </w:tcPr>
          <w:p w:rsidR="00A90E5F" w:rsidRDefault="00A90E5F" w:rsidP="00A90E5F">
            <w:pPr>
              <w:pStyle w:val="SingleTxtG"/>
              <w:ind w:left="0" w:right="0"/>
              <w:jc w:val="left"/>
            </w:pPr>
            <w:r>
              <w:rPr>
                <w:snapToGrid w:val="0"/>
                <w:color w:val="000000"/>
                <w:lang w:val="fr-FR"/>
              </w:rPr>
              <w:t xml:space="preserve">Recevabilité ; </w:t>
            </w:r>
            <w:r w:rsidRPr="00150E08">
              <w:rPr>
                <w:snapToGrid w:val="0"/>
                <w:color w:val="000000"/>
                <w:lang w:val="fr-FR"/>
              </w:rPr>
              <w:t>requête manifestement mal fondée</w:t>
            </w:r>
          </w:p>
        </w:tc>
      </w:tr>
      <w:tr w:rsidR="00A90E5F" w:rsidTr="00793C4B">
        <w:tc>
          <w:tcPr>
            <w:tcW w:w="2835" w:type="dxa"/>
          </w:tcPr>
          <w:p w:rsidR="00A90E5F" w:rsidRPr="00FD511F" w:rsidRDefault="00A90E5F" w:rsidP="00A90E5F">
            <w:pPr>
              <w:pStyle w:val="SingleTxtG"/>
              <w:ind w:left="0" w:right="0"/>
              <w:jc w:val="left"/>
              <w:rPr>
                <w:i/>
              </w:rPr>
            </w:pPr>
            <w:r>
              <w:rPr>
                <w:i/>
              </w:rPr>
              <w:t>Questions de fond :</w:t>
            </w:r>
          </w:p>
        </w:tc>
        <w:tc>
          <w:tcPr>
            <w:tcW w:w="3970" w:type="dxa"/>
          </w:tcPr>
          <w:p w:rsidR="00A90E5F" w:rsidRDefault="00A90E5F" w:rsidP="00A90E5F">
            <w:pPr>
              <w:pStyle w:val="SingleTxtG"/>
              <w:ind w:left="0" w:right="0"/>
              <w:jc w:val="left"/>
            </w:pPr>
            <w:r w:rsidRPr="00150E08">
              <w:rPr>
                <w:snapToGrid w:val="0"/>
                <w:lang w:val="fr-FR"/>
              </w:rPr>
              <w:t>Non</w:t>
            </w:r>
            <w:r>
              <w:rPr>
                <w:snapToGrid w:val="0"/>
                <w:lang w:val="fr-FR"/>
              </w:rPr>
              <w:noBreakHyphen/>
            </w:r>
            <w:r w:rsidRPr="00150E08">
              <w:rPr>
                <w:snapToGrid w:val="0"/>
                <w:lang w:val="fr-FR"/>
              </w:rPr>
              <w:t>refoulement</w:t>
            </w:r>
          </w:p>
        </w:tc>
      </w:tr>
      <w:tr w:rsidR="00A90E5F" w:rsidTr="00793C4B">
        <w:tc>
          <w:tcPr>
            <w:tcW w:w="2835" w:type="dxa"/>
          </w:tcPr>
          <w:p w:rsidR="00A90E5F" w:rsidRPr="00FD511F" w:rsidRDefault="00A90E5F" w:rsidP="00A90E5F">
            <w:pPr>
              <w:pStyle w:val="SingleTxtG"/>
              <w:ind w:left="0" w:right="0"/>
              <w:jc w:val="left"/>
              <w:rPr>
                <w:i/>
              </w:rPr>
            </w:pPr>
            <w:r>
              <w:rPr>
                <w:i/>
              </w:rPr>
              <w:t>Article de la Convention :</w:t>
            </w:r>
          </w:p>
        </w:tc>
        <w:tc>
          <w:tcPr>
            <w:tcW w:w="3970" w:type="dxa"/>
          </w:tcPr>
          <w:p w:rsidR="00A90E5F" w:rsidRDefault="00A90E5F" w:rsidP="00A90E5F">
            <w:pPr>
              <w:pStyle w:val="SingleTxtG"/>
              <w:ind w:left="0" w:right="0"/>
              <w:jc w:val="left"/>
            </w:pPr>
            <w:r w:rsidRPr="00150E08">
              <w:rPr>
                <w:lang w:val="fr-FR"/>
              </w:rPr>
              <w:t>3 et 22</w:t>
            </w:r>
          </w:p>
        </w:tc>
      </w:tr>
    </w:tbl>
    <w:p w:rsidR="00A90E5F" w:rsidRPr="00A90E5F" w:rsidRDefault="00A90E5F" w:rsidP="00A90E5F">
      <w:pPr>
        <w:pStyle w:val="SingleTxtG"/>
        <w:spacing w:before="120"/>
      </w:pPr>
      <w:r w:rsidRPr="00A90E5F">
        <w:rPr>
          <w:lang w:val="fr-FR"/>
        </w:rPr>
        <w:t>1.1</w:t>
      </w:r>
      <w:r w:rsidRPr="00A90E5F">
        <w:rPr>
          <w:lang w:val="fr-FR"/>
        </w:rPr>
        <w:tab/>
        <w:t>Le requérant est S. S .B., de nationalité soudanaise, né le 24 juin 1974. Il a présenté une demande d</w:t>
      </w:r>
      <w:r w:rsidR="00D31389">
        <w:rPr>
          <w:lang w:val="fr-FR"/>
        </w:rPr>
        <w:t>’</w:t>
      </w:r>
      <w:r w:rsidRPr="00A90E5F">
        <w:rPr>
          <w:lang w:val="fr-FR"/>
        </w:rPr>
        <w:t>asile au Danemark et a été débouté. Conformément à une décision de la Commission danoise de recours pour les réfugiés datée du 23 avril 2014, il a été prié de quitter volontairement le Danemark sous quinze jours. Au moment où la communication a été soumise, il n</w:t>
      </w:r>
      <w:r w:rsidR="00D31389">
        <w:rPr>
          <w:lang w:val="fr-FR"/>
        </w:rPr>
        <w:t>’</w:t>
      </w:r>
      <w:r w:rsidRPr="00A90E5F">
        <w:rPr>
          <w:lang w:val="fr-FR"/>
        </w:rPr>
        <w:t>avait pas quitté le pays et il était frappé d</w:t>
      </w:r>
      <w:r w:rsidR="00D31389">
        <w:rPr>
          <w:lang w:val="fr-FR"/>
        </w:rPr>
        <w:t>’</w:t>
      </w:r>
      <w:r w:rsidRPr="00A90E5F">
        <w:rPr>
          <w:lang w:val="fr-FR"/>
        </w:rPr>
        <w:t>une mesure d</w:t>
      </w:r>
      <w:r w:rsidR="00D31389">
        <w:rPr>
          <w:lang w:val="fr-FR"/>
        </w:rPr>
        <w:t>’</w:t>
      </w:r>
      <w:r w:rsidRPr="00A90E5F">
        <w:rPr>
          <w:lang w:val="fr-FR"/>
        </w:rPr>
        <w:t>expulsion. Le requérant affirme que son expulsion vers le Soudan constituerait une violation par le Danemark des droits</w:t>
      </w:r>
      <w:r w:rsidR="00CB54B7">
        <w:rPr>
          <w:lang w:val="fr-FR"/>
        </w:rPr>
        <w:t xml:space="preserve"> </w:t>
      </w:r>
      <w:r w:rsidRPr="00A90E5F">
        <w:rPr>
          <w:lang w:val="fr-FR"/>
        </w:rPr>
        <w:t>qu</w:t>
      </w:r>
      <w:r w:rsidR="00D31389">
        <w:rPr>
          <w:lang w:val="fr-FR"/>
        </w:rPr>
        <w:t>’</w:t>
      </w:r>
      <w:r w:rsidRPr="00A90E5F">
        <w:rPr>
          <w:lang w:val="fr-FR"/>
        </w:rPr>
        <w:t>il tient de l</w:t>
      </w:r>
      <w:r w:rsidR="00D31389">
        <w:rPr>
          <w:lang w:val="fr-FR"/>
        </w:rPr>
        <w:t>’</w:t>
      </w:r>
      <w:r w:rsidRPr="00A90E5F">
        <w:rPr>
          <w:lang w:val="fr-FR"/>
        </w:rPr>
        <w:t>article 3 de la Convention contre la torture. Le requérant est représenté par un conseil</w:t>
      </w:r>
      <w:r w:rsidRPr="00FF2AC9">
        <w:rPr>
          <w:rStyle w:val="Appelnotedebasdep"/>
        </w:rPr>
        <w:footnoteReference w:id="4"/>
      </w:r>
      <w:r w:rsidRPr="00A90E5F">
        <w:t>.</w:t>
      </w:r>
    </w:p>
    <w:p w:rsidR="00A90E5F" w:rsidRPr="00A90E5F" w:rsidRDefault="00A90E5F" w:rsidP="00A90E5F">
      <w:pPr>
        <w:pStyle w:val="SingleTxtG"/>
        <w:rPr>
          <w:lang w:val="fr-FR"/>
        </w:rPr>
      </w:pPr>
      <w:r w:rsidRPr="00A90E5F">
        <w:rPr>
          <w:lang w:val="fr-FR"/>
        </w:rPr>
        <w:t>1.2</w:t>
      </w:r>
      <w:r w:rsidRPr="00A90E5F">
        <w:rPr>
          <w:lang w:val="fr-FR"/>
        </w:rPr>
        <w:tab/>
        <w:t>Le 16 mai 2014, le Comité, agissant par l</w:t>
      </w:r>
      <w:r w:rsidR="00D31389">
        <w:rPr>
          <w:lang w:val="fr-FR"/>
        </w:rPr>
        <w:t>’</w:t>
      </w:r>
      <w:r w:rsidRPr="00A90E5F">
        <w:rPr>
          <w:lang w:val="fr-FR"/>
        </w:rPr>
        <w:t>intermédiaire de son Rapporteur chargé des nouvelles requêtes et des mesures provisoires, a demandé à l</w:t>
      </w:r>
      <w:r w:rsidR="00D31389">
        <w:rPr>
          <w:lang w:val="fr-FR"/>
        </w:rPr>
        <w:t>’</w:t>
      </w:r>
      <w:r w:rsidRPr="00A90E5F">
        <w:rPr>
          <w:lang w:val="fr-FR"/>
        </w:rPr>
        <w:t>État partie de ne pas expulser le requérant tant que sa requête serait à l</w:t>
      </w:r>
      <w:r w:rsidR="00D31389">
        <w:rPr>
          <w:lang w:val="fr-FR"/>
        </w:rPr>
        <w:t>’</w:t>
      </w:r>
      <w:r w:rsidRPr="00A90E5F">
        <w:rPr>
          <w:lang w:val="fr-FR"/>
        </w:rPr>
        <w:t>examen. Le 27 mai 2014, la Commission de recours pour les réfugiés a suspendu jusqu</w:t>
      </w:r>
      <w:r w:rsidR="00D31389">
        <w:rPr>
          <w:lang w:val="fr-FR"/>
        </w:rPr>
        <w:t>’</w:t>
      </w:r>
      <w:r w:rsidRPr="00A90E5F">
        <w:rPr>
          <w:lang w:val="fr-FR"/>
        </w:rPr>
        <w:t>à nouvel ordre le délai imparti au requérant pour quitter le pays, conformément à la demande du Comité. Le 17 novembre 2014, l</w:t>
      </w:r>
      <w:r w:rsidR="00D31389">
        <w:rPr>
          <w:lang w:val="fr-FR"/>
        </w:rPr>
        <w:t>’</w:t>
      </w:r>
      <w:r w:rsidRPr="00A90E5F">
        <w:rPr>
          <w:lang w:val="fr-FR"/>
        </w:rPr>
        <w:t>État partie a demandé au Comité de lever ces mesures provisoires, demande que ce dernier, agissant par l</w:t>
      </w:r>
      <w:r w:rsidR="00D31389">
        <w:rPr>
          <w:lang w:val="fr-FR"/>
        </w:rPr>
        <w:t>’</w:t>
      </w:r>
      <w:r w:rsidRPr="00A90E5F">
        <w:rPr>
          <w:lang w:val="fr-FR"/>
        </w:rPr>
        <w:t>intermédiaire du Rapporteur, a rejetée le 16 février 2016.</w:t>
      </w:r>
    </w:p>
    <w:p w:rsidR="00A90E5F" w:rsidRPr="00A90E5F" w:rsidRDefault="00A90E5F" w:rsidP="00FF2AC9">
      <w:pPr>
        <w:pStyle w:val="H23G"/>
        <w:rPr>
          <w:lang w:val="fr-FR"/>
        </w:rPr>
      </w:pPr>
      <w:r w:rsidRPr="00A90E5F">
        <w:rPr>
          <w:lang w:val="fr-FR"/>
        </w:rPr>
        <w:lastRenderedPageBreak/>
        <w:tab/>
      </w:r>
      <w:r w:rsidRPr="00A90E5F">
        <w:rPr>
          <w:lang w:val="fr-FR"/>
        </w:rPr>
        <w:tab/>
        <w:t>Rappel des faits présentés par le requérant</w:t>
      </w:r>
    </w:p>
    <w:p w:rsidR="00A90E5F" w:rsidRPr="00A90E5F" w:rsidRDefault="00A90E5F" w:rsidP="00A90E5F">
      <w:pPr>
        <w:pStyle w:val="SingleTxtG"/>
        <w:rPr>
          <w:lang w:val="fr-FR"/>
        </w:rPr>
      </w:pPr>
      <w:r w:rsidRPr="00A90E5F">
        <w:rPr>
          <w:lang w:val="fr-FR"/>
        </w:rPr>
        <w:t>2.1</w:t>
      </w:r>
      <w:r w:rsidRPr="00A90E5F">
        <w:rPr>
          <w:lang w:val="fr-FR"/>
        </w:rPr>
        <w:tab/>
        <w:t>Le requérant est originaire du Darfour. En 2004, il a déménagé à Khartoum</w:t>
      </w:r>
      <w:r w:rsidR="00CB54B7">
        <w:rPr>
          <w:lang w:val="fr-FR"/>
        </w:rPr>
        <w:t xml:space="preserve"> </w:t>
      </w:r>
      <w:r w:rsidRPr="00A90E5F">
        <w:rPr>
          <w:lang w:val="fr-FR"/>
        </w:rPr>
        <w:t>et travaillait dans un magasin jusqu</w:t>
      </w:r>
      <w:r w:rsidR="00D31389">
        <w:rPr>
          <w:lang w:val="fr-FR"/>
        </w:rPr>
        <w:t>’</w:t>
      </w:r>
      <w:r w:rsidRPr="00A90E5F">
        <w:rPr>
          <w:lang w:val="fr-FR"/>
        </w:rPr>
        <w:t>en 2007. La même année, à une date non précisée, trois hommes des forces de sécurité nationale ont pénétré dans le magasin où il travaillait et lui ont infligé des mauvais traitements physiques. Ils voulaient savoir où se trouvait son frère, qui appartient à un groupe d</w:t>
      </w:r>
      <w:r w:rsidR="00D31389">
        <w:rPr>
          <w:lang w:val="fr-FR"/>
        </w:rPr>
        <w:t>’</w:t>
      </w:r>
      <w:r w:rsidRPr="00A90E5F">
        <w:rPr>
          <w:lang w:val="fr-FR"/>
        </w:rPr>
        <w:t>opposition, le</w:t>
      </w:r>
      <w:r w:rsidR="00CB54B7">
        <w:rPr>
          <w:lang w:val="fr-FR"/>
        </w:rPr>
        <w:t xml:space="preserve"> </w:t>
      </w:r>
      <w:r w:rsidRPr="00A90E5F">
        <w:rPr>
          <w:lang w:val="fr-FR"/>
        </w:rPr>
        <w:t>Mouvement pour la justice et l</w:t>
      </w:r>
      <w:r w:rsidR="00D31389">
        <w:rPr>
          <w:lang w:val="fr-FR"/>
        </w:rPr>
        <w:t>’</w:t>
      </w:r>
      <w:r w:rsidRPr="00A90E5F">
        <w:rPr>
          <w:lang w:val="fr-FR"/>
        </w:rPr>
        <w:t>égalité. Ils l</w:t>
      </w:r>
      <w:r w:rsidR="00D31389">
        <w:rPr>
          <w:lang w:val="fr-FR"/>
        </w:rPr>
        <w:t>’</w:t>
      </w:r>
      <w:r w:rsidRPr="00A90E5F">
        <w:rPr>
          <w:lang w:val="fr-FR"/>
        </w:rPr>
        <w:t>ont frappé de plusieurs coups de couteau puis l</w:t>
      </w:r>
      <w:r w:rsidR="00D31389">
        <w:rPr>
          <w:lang w:val="fr-FR"/>
        </w:rPr>
        <w:t>’</w:t>
      </w:r>
      <w:r w:rsidRPr="00A90E5F">
        <w:rPr>
          <w:lang w:val="fr-FR"/>
        </w:rPr>
        <w:t>ont conduit à un hôpital militaire. Son arrestation lui a été signifiée.</w:t>
      </w:r>
    </w:p>
    <w:p w:rsidR="00A90E5F" w:rsidRPr="00A90E5F" w:rsidRDefault="00A90E5F" w:rsidP="00A90E5F">
      <w:pPr>
        <w:pStyle w:val="SingleTxtG"/>
        <w:rPr>
          <w:lang w:val="fr-FR"/>
        </w:rPr>
      </w:pPr>
      <w:r w:rsidRPr="00A90E5F">
        <w:rPr>
          <w:lang w:val="fr-FR"/>
        </w:rPr>
        <w:t>2.2</w:t>
      </w:r>
      <w:r w:rsidRPr="00A90E5F">
        <w:rPr>
          <w:lang w:val="fr-FR"/>
        </w:rPr>
        <w:tab/>
        <w:t>Le 24 avril 2007, des fonctionnaires de police sont venus interroger le requérant à l</w:t>
      </w:r>
      <w:r w:rsidR="00D31389">
        <w:rPr>
          <w:lang w:val="fr-FR"/>
        </w:rPr>
        <w:t>’</w:t>
      </w:r>
      <w:r w:rsidRPr="00A90E5F">
        <w:rPr>
          <w:lang w:val="fr-FR"/>
        </w:rPr>
        <w:t>hôpital. Ils ont menacé de le battre à mort s</w:t>
      </w:r>
      <w:r w:rsidR="00D31389">
        <w:rPr>
          <w:lang w:val="fr-FR"/>
        </w:rPr>
        <w:t>’</w:t>
      </w:r>
      <w:r w:rsidRPr="00A90E5F">
        <w:rPr>
          <w:lang w:val="fr-FR"/>
        </w:rPr>
        <w:t>il refusait de leur dire où était son frère et de leur donner des renseignements sur ce que celui-ci faisait au sein du Mouvement pour la justice et l</w:t>
      </w:r>
      <w:r w:rsidR="00D31389">
        <w:rPr>
          <w:lang w:val="fr-FR"/>
        </w:rPr>
        <w:t>’</w:t>
      </w:r>
      <w:r w:rsidRPr="00A90E5F">
        <w:rPr>
          <w:lang w:val="fr-FR"/>
        </w:rPr>
        <w:t>égalité. Ils ont accusé le requérant de ne pas être un vrai musulman parce qu</w:t>
      </w:r>
      <w:r w:rsidR="00D31389">
        <w:rPr>
          <w:lang w:val="fr-FR"/>
        </w:rPr>
        <w:t>’</w:t>
      </w:r>
      <w:r w:rsidRPr="00A90E5F">
        <w:rPr>
          <w:lang w:val="fr-FR"/>
        </w:rPr>
        <w:t>il vivait avec une chrétienne. Une heure après la fin de l</w:t>
      </w:r>
      <w:r w:rsidR="00D31389">
        <w:rPr>
          <w:lang w:val="fr-FR"/>
        </w:rPr>
        <w:t>’</w:t>
      </w:r>
      <w:r w:rsidRPr="00A90E5F">
        <w:rPr>
          <w:lang w:val="fr-FR"/>
        </w:rPr>
        <w:t>interrogatoire, un agent d</w:t>
      </w:r>
      <w:r w:rsidR="00D31389">
        <w:rPr>
          <w:lang w:val="fr-FR"/>
        </w:rPr>
        <w:t>’</w:t>
      </w:r>
      <w:r w:rsidRPr="00A90E5F">
        <w:rPr>
          <w:lang w:val="fr-FR"/>
        </w:rPr>
        <w:t>entretien qui avait assisté à la scène a dit au requérant que s</w:t>
      </w:r>
      <w:r w:rsidR="00D31389">
        <w:rPr>
          <w:lang w:val="fr-FR"/>
        </w:rPr>
        <w:t>’</w:t>
      </w:r>
      <w:r w:rsidRPr="00A90E5F">
        <w:rPr>
          <w:lang w:val="fr-FR"/>
        </w:rPr>
        <w:t>il ne s</w:t>
      </w:r>
      <w:r w:rsidR="00D31389">
        <w:rPr>
          <w:lang w:val="fr-FR"/>
        </w:rPr>
        <w:t>’</w:t>
      </w:r>
      <w:r w:rsidRPr="00A90E5F">
        <w:rPr>
          <w:lang w:val="fr-FR"/>
        </w:rPr>
        <w:t>enfuyait pas au plus vite, la police le tuerait. Le requérant s</w:t>
      </w:r>
      <w:r w:rsidR="00D31389">
        <w:rPr>
          <w:lang w:val="fr-FR"/>
        </w:rPr>
        <w:t>’</w:t>
      </w:r>
      <w:r w:rsidRPr="00A90E5F">
        <w:rPr>
          <w:lang w:val="fr-FR"/>
        </w:rPr>
        <w:t>est échappé de l</w:t>
      </w:r>
      <w:r w:rsidR="00D31389">
        <w:rPr>
          <w:lang w:val="fr-FR"/>
        </w:rPr>
        <w:t>’</w:t>
      </w:r>
      <w:r w:rsidRPr="00A90E5F">
        <w:rPr>
          <w:lang w:val="fr-FR"/>
        </w:rPr>
        <w:t>hôpital et il est parvenu à quitter le Soudan avec l</w:t>
      </w:r>
      <w:r w:rsidR="00D31389">
        <w:rPr>
          <w:lang w:val="fr-FR"/>
        </w:rPr>
        <w:t>’</w:t>
      </w:r>
      <w:r w:rsidRPr="00A90E5F">
        <w:rPr>
          <w:lang w:val="fr-FR"/>
        </w:rPr>
        <w:t>aide d</w:t>
      </w:r>
      <w:r w:rsidR="00D31389">
        <w:rPr>
          <w:lang w:val="fr-FR"/>
        </w:rPr>
        <w:t>’</w:t>
      </w:r>
      <w:r w:rsidRPr="00A90E5F">
        <w:rPr>
          <w:lang w:val="fr-FR"/>
        </w:rPr>
        <w:t>un « agent ».</w:t>
      </w:r>
    </w:p>
    <w:p w:rsidR="00A90E5F" w:rsidRPr="00A90E5F" w:rsidRDefault="00A90E5F" w:rsidP="00A90E5F">
      <w:pPr>
        <w:pStyle w:val="SingleTxtG"/>
        <w:rPr>
          <w:lang w:val="fr-FR"/>
        </w:rPr>
      </w:pPr>
      <w:r w:rsidRPr="00A90E5F">
        <w:rPr>
          <w:lang w:val="fr-FR"/>
        </w:rPr>
        <w:t>2.3</w:t>
      </w:r>
      <w:r w:rsidRPr="00A90E5F">
        <w:rPr>
          <w:lang w:val="fr-FR"/>
        </w:rPr>
        <w:tab/>
        <w:t>De 2007 à 2013, le requérant a vécu en Grèce où il avait le statut de demandeur d</w:t>
      </w:r>
      <w:r w:rsidR="00D31389">
        <w:rPr>
          <w:lang w:val="fr-FR"/>
        </w:rPr>
        <w:t>’</w:t>
      </w:r>
      <w:r w:rsidRPr="00A90E5F">
        <w:rPr>
          <w:lang w:val="fr-FR"/>
        </w:rPr>
        <w:t>asile. Le 25 avril 2012, sa compagne, qu</w:t>
      </w:r>
      <w:r w:rsidR="00D31389">
        <w:rPr>
          <w:lang w:val="fr-FR"/>
        </w:rPr>
        <w:t>’</w:t>
      </w:r>
      <w:r w:rsidRPr="00A90E5F">
        <w:rPr>
          <w:lang w:val="fr-FR"/>
        </w:rPr>
        <w:t>il avait rencontrée au Soudan en 2006 et qui est de nationalité érythréenne, ainsi que leurs deux enfants, ont obtenu un permis de séjour au Danemark. Le requérant est entré au Danemark et a déposé une demande d</w:t>
      </w:r>
      <w:r w:rsidR="00D31389">
        <w:rPr>
          <w:lang w:val="fr-FR"/>
        </w:rPr>
        <w:t>’</w:t>
      </w:r>
      <w:r w:rsidRPr="00A90E5F">
        <w:rPr>
          <w:lang w:val="fr-FR"/>
        </w:rPr>
        <w:t>asile le 25 août 2013.</w:t>
      </w:r>
    </w:p>
    <w:p w:rsidR="00A90E5F" w:rsidRPr="00A90E5F" w:rsidRDefault="00A90E5F" w:rsidP="00A90E5F">
      <w:pPr>
        <w:pStyle w:val="SingleTxtG"/>
        <w:rPr>
          <w:lang w:val="fr-FR"/>
        </w:rPr>
      </w:pPr>
      <w:r w:rsidRPr="00A90E5F">
        <w:rPr>
          <w:lang w:val="fr-FR"/>
        </w:rPr>
        <w:t>2.4</w:t>
      </w:r>
      <w:r w:rsidRPr="00A90E5F">
        <w:rPr>
          <w:lang w:val="fr-FR"/>
        </w:rPr>
        <w:tab/>
        <w:t>Le 29 janvier 2014, le requérant a été débouté de sa demande d</w:t>
      </w:r>
      <w:r w:rsidR="00D31389">
        <w:rPr>
          <w:lang w:val="fr-FR"/>
        </w:rPr>
        <w:t>’</w:t>
      </w:r>
      <w:r w:rsidRPr="00A90E5F">
        <w:rPr>
          <w:lang w:val="fr-FR"/>
        </w:rPr>
        <w:t>asile par le Service danois de l</w:t>
      </w:r>
      <w:r w:rsidR="00D31389">
        <w:rPr>
          <w:lang w:val="fr-FR"/>
        </w:rPr>
        <w:t>’</w:t>
      </w:r>
      <w:r w:rsidRPr="00A90E5F">
        <w:rPr>
          <w:lang w:val="fr-FR"/>
        </w:rPr>
        <w:t>immigration. À une date non précisée, il a fait appel devant la Commission de recours pour les réfugiés. Le 23 avril 2014, concluant que le récit du requérant n</w:t>
      </w:r>
      <w:r w:rsidR="00D31389">
        <w:rPr>
          <w:lang w:val="fr-FR"/>
        </w:rPr>
        <w:t>’</w:t>
      </w:r>
      <w:r w:rsidRPr="00A90E5F">
        <w:rPr>
          <w:lang w:val="fr-FR"/>
        </w:rPr>
        <w:t>était pas cohérent, la Commission a confirmé la décision du Service danois de l</w:t>
      </w:r>
      <w:r w:rsidR="00D31389">
        <w:rPr>
          <w:lang w:val="fr-FR"/>
        </w:rPr>
        <w:t>’</w:t>
      </w:r>
      <w:r w:rsidRPr="00A90E5F">
        <w:rPr>
          <w:lang w:val="fr-FR"/>
        </w:rPr>
        <w:t>immigration. Elle n</w:t>
      </w:r>
      <w:r w:rsidR="00D31389">
        <w:rPr>
          <w:lang w:val="fr-FR"/>
        </w:rPr>
        <w:t>’</w:t>
      </w:r>
      <w:r w:rsidRPr="00A90E5F">
        <w:rPr>
          <w:lang w:val="fr-FR"/>
        </w:rPr>
        <w:t>a pas jugé crédibles les déclarations du requérant sur les mauvais traitements subis, son hospitalisation et son évasion de l</w:t>
      </w:r>
      <w:r w:rsidR="00D31389">
        <w:rPr>
          <w:lang w:val="fr-FR"/>
        </w:rPr>
        <w:t>’</w:t>
      </w:r>
      <w:r w:rsidRPr="00A90E5F">
        <w:rPr>
          <w:lang w:val="fr-FR"/>
        </w:rPr>
        <w:t>hôpital militaire. Conformément à cette décision, le requérant</w:t>
      </w:r>
      <w:r w:rsidR="00CB54B7">
        <w:rPr>
          <w:lang w:val="fr-FR"/>
        </w:rPr>
        <w:t xml:space="preserve"> </w:t>
      </w:r>
      <w:r w:rsidRPr="00A90E5F">
        <w:rPr>
          <w:lang w:val="fr-FR"/>
        </w:rPr>
        <w:t>devait quitter volontairement le Danemark sous quinze jours.</w:t>
      </w:r>
    </w:p>
    <w:p w:rsidR="00A90E5F" w:rsidRPr="00A90E5F" w:rsidRDefault="00A90E5F" w:rsidP="00A90E5F">
      <w:pPr>
        <w:pStyle w:val="SingleTxtG"/>
        <w:rPr>
          <w:lang w:val="fr-FR"/>
        </w:rPr>
      </w:pPr>
      <w:r w:rsidRPr="00A90E5F">
        <w:rPr>
          <w:lang w:val="fr-FR"/>
        </w:rPr>
        <w:t>2.5</w:t>
      </w:r>
      <w:r w:rsidRPr="00A90E5F">
        <w:rPr>
          <w:lang w:val="fr-FR"/>
        </w:rPr>
        <w:tab/>
        <w:t>Étant donné que la loi relative aux étrangers ne permet pas de faire appel de la décision de la Commission de recours pour les</w:t>
      </w:r>
      <w:r w:rsidR="00CB54B7">
        <w:rPr>
          <w:lang w:val="fr-FR"/>
        </w:rPr>
        <w:t xml:space="preserve"> </w:t>
      </w:r>
      <w:r w:rsidRPr="00A90E5F">
        <w:rPr>
          <w:lang w:val="fr-FR"/>
        </w:rPr>
        <w:t>réfugiés, le requérant affirme avoir épuisé tous les recours internes utiles disponibles. Il</w:t>
      </w:r>
      <w:r w:rsidR="00CB54B7">
        <w:rPr>
          <w:lang w:val="fr-FR"/>
        </w:rPr>
        <w:t xml:space="preserve"> </w:t>
      </w:r>
      <w:r w:rsidRPr="00A90E5F">
        <w:rPr>
          <w:lang w:val="fr-FR"/>
        </w:rPr>
        <w:t>ajoute que sa requête n</w:t>
      </w:r>
      <w:r w:rsidR="00D31389">
        <w:rPr>
          <w:lang w:val="fr-FR"/>
        </w:rPr>
        <w:t>’</w:t>
      </w:r>
      <w:r w:rsidRPr="00A90E5F">
        <w:rPr>
          <w:lang w:val="fr-FR"/>
        </w:rPr>
        <w:t>est pas en cours d</w:t>
      </w:r>
      <w:r w:rsidR="00D31389">
        <w:rPr>
          <w:lang w:val="fr-FR"/>
        </w:rPr>
        <w:t>’</w:t>
      </w:r>
      <w:r w:rsidRPr="00A90E5F">
        <w:rPr>
          <w:lang w:val="fr-FR"/>
        </w:rPr>
        <w:t>examen devant une autre instance internationale d</w:t>
      </w:r>
      <w:r w:rsidR="00D31389">
        <w:rPr>
          <w:lang w:val="fr-FR"/>
        </w:rPr>
        <w:t>’</w:t>
      </w:r>
      <w:r w:rsidRPr="00A90E5F">
        <w:rPr>
          <w:lang w:val="fr-FR"/>
        </w:rPr>
        <w:t>enquête ou de règlement.</w:t>
      </w:r>
    </w:p>
    <w:p w:rsidR="00A90E5F" w:rsidRPr="00A90E5F" w:rsidRDefault="00A90E5F" w:rsidP="00FF2AC9">
      <w:pPr>
        <w:pStyle w:val="H23G"/>
        <w:rPr>
          <w:lang w:val="fr-FR"/>
        </w:rPr>
      </w:pPr>
      <w:r w:rsidRPr="00A90E5F">
        <w:rPr>
          <w:lang w:val="fr-FR"/>
        </w:rPr>
        <w:tab/>
      </w:r>
      <w:r w:rsidRPr="00A90E5F">
        <w:rPr>
          <w:lang w:val="fr-FR"/>
        </w:rPr>
        <w:tab/>
        <w:t>Teneur de la plainte</w:t>
      </w:r>
    </w:p>
    <w:p w:rsidR="00A90E5F" w:rsidRPr="00A90E5F" w:rsidRDefault="00A90E5F" w:rsidP="00A90E5F">
      <w:pPr>
        <w:pStyle w:val="SingleTxtG"/>
        <w:rPr>
          <w:lang w:val="fr-FR"/>
        </w:rPr>
      </w:pPr>
      <w:r w:rsidRPr="00A90E5F">
        <w:rPr>
          <w:lang w:val="fr-FR"/>
        </w:rPr>
        <w:t>3.1</w:t>
      </w:r>
      <w:r w:rsidRPr="00A90E5F">
        <w:rPr>
          <w:lang w:val="fr-FR"/>
        </w:rPr>
        <w:tab/>
        <w:t>Le requérant affirme qu</w:t>
      </w:r>
      <w:r w:rsidR="00D31389">
        <w:rPr>
          <w:lang w:val="fr-FR"/>
        </w:rPr>
        <w:t>’</w:t>
      </w:r>
      <w:r w:rsidRPr="00A90E5F">
        <w:rPr>
          <w:lang w:val="fr-FR"/>
        </w:rPr>
        <w:t>en l</w:t>
      </w:r>
      <w:r w:rsidR="00D31389">
        <w:rPr>
          <w:lang w:val="fr-FR"/>
        </w:rPr>
        <w:t>’</w:t>
      </w:r>
      <w:r w:rsidRPr="00A90E5F">
        <w:rPr>
          <w:lang w:val="fr-FR"/>
        </w:rPr>
        <w:t>expulsant vers le Soudan le Danemark violerait les droits</w:t>
      </w:r>
      <w:r w:rsidR="00CB54B7">
        <w:rPr>
          <w:lang w:val="fr-FR"/>
        </w:rPr>
        <w:t xml:space="preserve"> </w:t>
      </w:r>
      <w:r w:rsidRPr="00A90E5F">
        <w:rPr>
          <w:lang w:val="fr-FR"/>
        </w:rPr>
        <w:t>qu</w:t>
      </w:r>
      <w:r w:rsidR="00D31389">
        <w:rPr>
          <w:lang w:val="fr-FR"/>
        </w:rPr>
        <w:t>’</w:t>
      </w:r>
      <w:r w:rsidRPr="00A90E5F">
        <w:rPr>
          <w:lang w:val="fr-FR"/>
        </w:rPr>
        <w:t>il tient de l</w:t>
      </w:r>
      <w:r w:rsidR="00D31389">
        <w:rPr>
          <w:lang w:val="fr-FR"/>
        </w:rPr>
        <w:t>’</w:t>
      </w:r>
      <w:r w:rsidRPr="00A90E5F">
        <w:rPr>
          <w:lang w:val="fr-FR"/>
        </w:rPr>
        <w:t>article 3 de la Convention car il courrait personnellement le risque d</w:t>
      </w:r>
      <w:r w:rsidR="00D31389">
        <w:rPr>
          <w:lang w:val="fr-FR"/>
        </w:rPr>
        <w:t>’</w:t>
      </w:r>
      <w:r w:rsidRPr="00A90E5F">
        <w:rPr>
          <w:lang w:val="fr-FR"/>
        </w:rPr>
        <w:t>être persécuté et torturé à son retour. Il craint, s</w:t>
      </w:r>
      <w:r w:rsidR="00D31389">
        <w:rPr>
          <w:lang w:val="fr-FR"/>
        </w:rPr>
        <w:t>’</w:t>
      </w:r>
      <w:r w:rsidRPr="00A90E5F">
        <w:rPr>
          <w:lang w:val="fr-FR"/>
        </w:rPr>
        <w:t>il rentre au Soudan, d</w:t>
      </w:r>
      <w:r w:rsidR="00D31389">
        <w:rPr>
          <w:lang w:val="fr-FR"/>
        </w:rPr>
        <w:t>’</w:t>
      </w:r>
      <w:r w:rsidRPr="00A90E5F">
        <w:rPr>
          <w:lang w:val="fr-FR"/>
        </w:rPr>
        <w:t xml:space="preserve">être persécuté voire tué, en raison des activités militantes de son frère et parce que sa compagne est chrétienne. </w:t>
      </w:r>
    </w:p>
    <w:p w:rsidR="00A90E5F" w:rsidRPr="00A90E5F" w:rsidRDefault="00A90E5F" w:rsidP="00A90E5F">
      <w:pPr>
        <w:pStyle w:val="SingleTxtG"/>
        <w:rPr>
          <w:lang w:val="fr-FR"/>
        </w:rPr>
      </w:pPr>
      <w:r w:rsidRPr="00A90E5F">
        <w:rPr>
          <w:lang w:val="fr-FR"/>
        </w:rPr>
        <w:t>3.2</w:t>
      </w:r>
      <w:r w:rsidRPr="00A90E5F">
        <w:rPr>
          <w:lang w:val="fr-FR"/>
        </w:rPr>
        <w:tab/>
        <w:t>Le requérant ajoute que la décision par laquelle la Commission de recours pour les réfugiés l</w:t>
      </w:r>
      <w:r w:rsidR="00D31389">
        <w:rPr>
          <w:lang w:val="fr-FR"/>
        </w:rPr>
        <w:t>’</w:t>
      </w:r>
      <w:r w:rsidRPr="00A90E5F">
        <w:rPr>
          <w:lang w:val="fr-FR"/>
        </w:rPr>
        <w:t>a débouté de sa demande d</w:t>
      </w:r>
      <w:r w:rsidR="00D31389">
        <w:rPr>
          <w:lang w:val="fr-FR"/>
        </w:rPr>
        <w:t>’</w:t>
      </w:r>
      <w:r w:rsidRPr="00A90E5F">
        <w:rPr>
          <w:lang w:val="fr-FR"/>
        </w:rPr>
        <w:t>asile, qui ne repose pas sur une enquête appropriée et n</w:t>
      </w:r>
      <w:r w:rsidR="00D31389">
        <w:rPr>
          <w:lang w:val="fr-FR"/>
        </w:rPr>
        <w:t>’</w:t>
      </w:r>
      <w:r w:rsidRPr="00A90E5F">
        <w:rPr>
          <w:lang w:val="fr-FR"/>
        </w:rPr>
        <w:t>est pas dûment étayée, contrevient aux dispositions du paragraphe 2 de l</w:t>
      </w:r>
      <w:r w:rsidR="00D31389">
        <w:rPr>
          <w:lang w:val="fr-FR"/>
        </w:rPr>
        <w:t>’</w:t>
      </w:r>
      <w:r w:rsidRPr="00A90E5F">
        <w:rPr>
          <w:lang w:val="fr-FR"/>
        </w:rPr>
        <w:t>article 3 de la Convention. De plus, les autorités danoises n</w:t>
      </w:r>
      <w:r w:rsidR="00D31389">
        <w:rPr>
          <w:lang w:val="fr-FR"/>
        </w:rPr>
        <w:t>’</w:t>
      </w:r>
      <w:r w:rsidRPr="00A90E5F">
        <w:rPr>
          <w:lang w:val="fr-FR"/>
        </w:rPr>
        <w:t>ont pas ordonné d</w:t>
      </w:r>
      <w:r w:rsidR="00D31389">
        <w:rPr>
          <w:lang w:val="fr-FR"/>
        </w:rPr>
        <w:t>’</w:t>
      </w:r>
      <w:r w:rsidRPr="00A90E5F">
        <w:rPr>
          <w:lang w:val="fr-FR"/>
        </w:rPr>
        <w:t>examen médical visant à confirmer ou réfuter la réalité des mauvais traitements physiques qui lui ont été infligés.</w:t>
      </w:r>
    </w:p>
    <w:p w:rsidR="00A90E5F" w:rsidRPr="00A90E5F" w:rsidRDefault="00A90E5F" w:rsidP="00FF2AC9">
      <w:pPr>
        <w:pStyle w:val="H23G"/>
        <w:rPr>
          <w:lang w:val="fr-FR"/>
        </w:rPr>
      </w:pPr>
      <w:r w:rsidRPr="00A90E5F">
        <w:rPr>
          <w:lang w:val="fr-FR"/>
        </w:rPr>
        <w:tab/>
      </w:r>
      <w:r w:rsidRPr="00A90E5F">
        <w:rPr>
          <w:lang w:val="fr-FR"/>
        </w:rPr>
        <w:tab/>
        <w:t>Observations de l</w:t>
      </w:r>
      <w:r w:rsidR="00D31389">
        <w:rPr>
          <w:lang w:val="fr-FR"/>
        </w:rPr>
        <w:t>’</w:t>
      </w:r>
      <w:r w:rsidRPr="00A90E5F">
        <w:rPr>
          <w:lang w:val="fr-FR"/>
        </w:rPr>
        <w:t>État partie sur la recevabilité et sur le fond</w:t>
      </w:r>
    </w:p>
    <w:p w:rsidR="00A90E5F" w:rsidRPr="00A90E5F" w:rsidRDefault="00A90E5F" w:rsidP="00A90E5F">
      <w:pPr>
        <w:pStyle w:val="SingleTxtG"/>
        <w:rPr>
          <w:lang w:val="fr-FR"/>
        </w:rPr>
      </w:pPr>
      <w:r w:rsidRPr="00A90E5F">
        <w:rPr>
          <w:lang w:val="fr-FR"/>
        </w:rPr>
        <w:t>4.1</w:t>
      </w:r>
      <w:r w:rsidRPr="00A90E5F">
        <w:rPr>
          <w:lang w:val="fr-FR"/>
        </w:rPr>
        <w:tab/>
        <w:t xml:space="preserve">Dans ses observations du </w:t>
      </w:r>
      <w:r w:rsidRPr="00A90E5F">
        <w:rPr>
          <w:bCs/>
          <w:lang w:val="fr-FR"/>
        </w:rPr>
        <w:t>17 novembre 2014</w:t>
      </w:r>
      <w:r w:rsidRPr="00A90E5F">
        <w:rPr>
          <w:lang w:val="fr-FR"/>
        </w:rPr>
        <w:t>, l</w:t>
      </w:r>
      <w:r w:rsidR="00D31389">
        <w:rPr>
          <w:lang w:val="fr-FR"/>
        </w:rPr>
        <w:t>’</w:t>
      </w:r>
      <w:r w:rsidRPr="00A90E5F">
        <w:rPr>
          <w:lang w:val="fr-FR"/>
        </w:rPr>
        <w:t>État partie explique que le requérant est entré au Danemark le 25 août 2013 sans document de voyage valide et a déposé le même jour une demande d</w:t>
      </w:r>
      <w:r w:rsidR="00D31389">
        <w:rPr>
          <w:lang w:val="fr-FR"/>
        </w:rPr>
        <w:t>’</w:t>
      </w:r>
      <w:r w:rsidRPr="00A90E5F">
        <w:rPr>
          <w:lang w:val="fr-FR"/>
        </w:rPr>
        <w:t>asile. Le Service danois de l</w:t>
      </w:r>
      <w:r w:rsidR="00D31389">
        <w:rPr>
          <w:lang w:val="fr-FR"/>
        </w:rPr>
        <w:t>’</w:t>
      </w:r>
      <w:r w:rsidRPr="00A90E5F">
        <w:rPr>
          <w:lang w:val="fr-FR"/>
        </w:rPr>
        <w:t xml:space="preserve">immigration a rejeté la demande le 29 janvier 2014. Le 23 avril 2014, la Commission de recours pour les réfugiés a confirmé le rejet. </w:t>
      </w:r>
    </w:p>
    <w:p w:rsidR="00A90E5F" w:rsidRPr="00A90E5F" w:rsidRDefault="00A90E5F" w:rsidP="00A90E5F">
      <w:pPr>
        <w:pStyle w:val="SingleTxtG"/>
        <w:rPr>
          <w:lang w:val="fr-FR"/>
        </w:rPr>
      </w:pPr>
      <w:r w:rsidRPr="00A90E5F">
        <w:rPr>
          <w:lang w:val="fr-FR"/>
        </w:rPr>
        <w:t>4.2</w:t>
      </w:r>
      <w:r w:rsidRPr="00A90E5F">
        <w:rPr>
          <w:lang w:val="fr-FR"/>
        </w:rPr>
        <w:tab/>
        <w:t>Dans sa décision du 23 avril 2014, la Commission de recours pour les réfugiés a noté, entre autres éléments, que le requérant appartenait au clan el </w:t>
      </w:r>
      <w:proofErr w:type="spellStart"/>
      <w:r w:rsidRPr="00A90E5F">
        <w:rPr>
          <w:lang w:val="fr-FR"/>
        </w:rPr>
        <w:t>Barti</w:t>
      </w:r>
      <w:proofErr w:type="spellEnd"/>
      <w:r w:rsidRPr="00A90E5F">
        <w:rPr>
          <w:lang w:val="fr-FR"/>
        </w:rPr>
        <w:t>, qu</w:t>
      </w:r>
      <w:r w:rsidR="00D31389">
        <w:rPr>
          <w:lang w:val="fr-FR"/>
        </w:rPr>
        <w:t>’</w:t>
      </w:r>
      <w:r w:rsidRPr="00A90E5F">
        <w:rPr>
          <w:lang w:val="fr-FR"/>
        </w:rPr>
        <w:t>il était de confession musulmane et qu</w:t>
      </w:r>
      <w:r w:rsidR="00D31389">
        <w:rPr>
          <w:lang w:val="fr-FR"/>
        </w:rPr>
        <w:t>’</w:t>
      </w:r>
      <w:r w:rsidRPr="00A90E5F">
        <w:rPr>
          <w:lang w:val="fr-FR"/>
        </w:rPr>
        <w:t xml:space="preserve">il était né à Mallet, dans la région du Darfour, </w:t>
      </w:r>
      <w:r w:rsidR="00AA1A00">
        <w:rPr>
          <w:lang w:val="fr-FR"/>
        </w:rPr>
        <w:t>au Soudan. Il n</w:t>
      </w:r>
      <w:r w:rsidR="00D31389">
        <w:rPr>
          <w:lang w:val="fr-FR"/>
        </w:rPr>
        <w:t>’</w:t>
      </w:r>
      <w:r w:rsidR="00AA1A00">
        <w:rPr>
          <w:lang w:val="fr-FR"/>
        </w:rPr>
        <w:t>était membre d</w:t>
      </w:r>
      <w:r w:rsidR="00D31389">
        <w:rPr>
          <w:lang w:val="fr-FR"/>
        </w:rPr>
        <w:t>’</w:t>
      </w:r>
      <w:r w:rsidRPr="00A90E5F">
        <w:rPr>
          <w:lang w:val="fr-FR"/>
        </w:rPr>
        <w:t xml:space="preserve">aucune association ou organisation politique ou religieuse, mais avait participé une seule fois à une manifestation, à Mallet, quand la région dont il était originaire </w:t>
      </w:r>
      <w:r w:rsidRPr="00A90E5F">
        <w:rPr>
          <w:lang w:val="fr-FR"/>
        </w:rPr>
        <w:lastRenderedPageBreak/>
        <w:t>avait été attaquée par le Gouvernement. Il ressort également de la décision de la Commission que le requérant a</w:t>
      </w:r>
      <w:r w:rsidR="00CB54B7">
        <w:rPr>
          <w:lang w:val="fr-FR"/>
        </w:rPr>
        <w:t xml:space="preserve"> </w:t>
      </w:r>
      <w:r w:rsidRPr="00A90E5F">
        <w:rPr>
          <w:lang w:val="fr-FR"/>
        </w:rPr>
        <w:t>dit qu</w:t>
      </w:r>
      <w:r w:rsidR="00D31389">
        <w:rPr>
          <w:lang w:val="fr-FR"/>
        </w:rPr>
        <w:t>’</w:t>
      </w:r>
      <w:r w:rsidRPr="00A90E5F">
        <w:rPr>
          <w:lang w:val="fr-FR"/>
        </w:rPr>
        <w:t>il avait peur d</w:t>
      </w:r>
      <w:r w:rsidR="00D31389">
        <w:rPr>
          <w:lang w:val="fr-FR"/>
        </w:rPr>
        <w:t>’</w:t>
      </w:r>
      <w:r w:rsidRPr="00A90E5F">
        <w:rPr>
          <w:lang w:val="fr-FR"/>
        </w:rPr>
        <w:t>être arrêté et assassiné par les services de renseignement s</w:t>
      </w:r>
      <w:r w:rsidR="00D31389">
        <w:rPr>
          <w:lang w:val="fr-FR"/>
        </w:rPr>
        <w:t>’</w:t>
      </w:r>
      <w:r w:rsidRPr="00A90E5F">
        <w:rPr>
          <w:lang w:val="fr-FR"/>
        </w:rPr>
        <w:t>il était renvoyé au Soudan du fait de l</w:t>
      </w:r>
      <w:r w:rsidR="00D31389">
        <w:rPr>
          <w:lang w:val="fr-FR"/>
        </w:rPr>
        <w:t>’</w:t>
      </w:r>
      <w:r w:rsidRPr="00A90E5F">
        <w:rPr>
          <w:lang w:val="fr-FR"/>
        </w:rPr>
        <w:t>appartenance de son frère au Mouvement pour la justice et l</w:t>
      </w:r>
      <w:r w:rsidR="00D31389">
        <w:rPr>
          <w:lang w:val="fr-FR"/>
        </w:rPr>
        <w:t>’</w:t>
      </w:r>
      <w:r w:rsidRPr="00A90E5F">
        <w:rPr>
          <w:lang w:val="fr-FR"/>
        </w:rPr>
        <w:t>égalité. Le requérant a aussi mentionné sa crainte de subir des représailles de la part aussi bien de particuliers que des autorités, y compris d</w:t>
      </w:r>
      <w:r w:rsidR="00D31389">
        <w:rPr>
          <w:lang w:val="fr-FR"/>
        </w:rPr>
        <w:t>’</w:t>
      </w:r>
      <w:r w:rsidRPr="00A90E5F">
        <w:rPr>
          <w:lang w:val="fr-FR"/>
        </w:rPr>
        <w:t>être assassiné, parce qu</w:t>
      </w:r>
      <w:r w:rsidR="00D31389">
        <w:rPr>
          <w:lang w:val="fr-FR"/>
        </w:rPr>
        <w:t>’</w:t>
      </w:r>
      <w:r w:rsidRPr="00A90E5F">
        <w:rPr>
          <w:lang w:val="fr-FR"/>
        </w:rPr>
        <w:t>il</w:t>
      </w:r>
      <w:r w:rsidR="00CB54B7">
        <w:rPr>
          <w:lang w:val="fr-FR"/>
        </w:rPr>
        <w:t xml:space="preserve"> </w:t>
      </w:r>
      <w:r w:rsidRPr="00A90E5F">
        <w:rPr>
          <w:lang w:val="fr-FR"/>
        </w:rPr>
        <w:t>avait une relation de couple avec une chrétienne depuis 2006. À l</w:t>
      </w:r>
      <w:r w:rsidR="00D31389">
        <w:rPr>
          <w:lang w:val="fr-FR"/>
        </w:rPr>
        <w:t>’</w:t>
      </w:r>
      <w:r w:rsidRPr="00A90E5F">
        <w:rPr>
          <w:lang w:val="fr-FR"/>
        </w:rPr>
        <w:t>appui de sa demande d</w:t>
      </w:r>
      <w:r w:rsidR="00D31389">
        <w:rPr>
          <w:lang w:val="fr-FR"/>
        </w:rPr>
        <w:t>’</w:t>
      </w:r>
      <w:r w:rsidRPr="00A90E5F">
        <w:rPr>
          <w:lang w:val="fr-FR"/>
        </w:rPr>
        <w:t>asile, le requérant alléguait avoir été placé en détention le 12 avril 2007 et torturé. Il avait ensuite été admis dans un hôpital militaire parce qu</w:t>
      </w:r>
      <w:r w:rsidR="00D31389">
        <w:rPr>
          <w:lang w:val="fr-FR"/>
        </w:rPr>
        <w:t>’</w:t>
      </w:r>
      <w:r w:rsidRPr="00A90E5F">
        <w:rPr>
          <w:lang w:val="fr-FR"/>
        </w:rPr>
        <w:t>il avait perdu connaissance. Il s</w:t>
      </w:r>
      <w:r w:rsidR="00D31389">
        <w:rPr>
          <w:lang w:val="fr-FR"/>
        </w:rPr>
        <w:t>’</w:t>
      </w:r>
      <w:r w:rsidRPr="00A90E5F">
        <w:rPr>
          <w:lang w:val="fr-FR"/>
        </w:rPr>
        <w:t>en était échappé avec l</w:t>
      </w:r>
      <w:r w:rsidR="00D31389">
        <w:rPr>
          <w:lang w:val="fr-FR"/>
        </w:rPr>
        <w:t>’</w:t>
      </w:r>
      <w:r w:rsidRPr="00A90E5F">
        <w:rPr>
          <w:lang w:val="fr-FR"/>
        </w:rPr>
        <w:t>aide d</w:t>
      </w:r>
      <w:r w:rsidR="00D31389">
        <w:rPr>
          <w:lang w:val="fr-FR"/>
        </w:rPr>
        <w:t>’</w:t>
      </w:r>
      <w:r w:rsidRPr="00A90E5F">
        <w:rPr>
          <w:lang w:val="fr-FR"/>
        </w:rPr>
        <w:t xml:space="preserve">un agent hospitalier. </w:t>
      </w:r>
    </w:p>
    <w:p w:rsidR="00A90E5F" w:rsidRPr="00A90E5F" w:rsidRDefault="00A90E5F" w:rsidP="00A90E5F">
      <w:pPr>
        <w:pStyle w:val="SingleTxtG"/>
        <w:rPr>
          <w:lang w:val="fr-FR"/>
        </w:rPr>
      </w:pPr>
      <w:r w:rsidRPr="00A90E5F">
        <w:rPr>
          <w:lang w:val="fr-FR"/>
        </w:rPr>
        <w:t>4.3</w:t>
      </w:r>
      <w:r w:rsidRPr="00A90E5F">
        <w:rPr>
          <w:lang w:val="fr-FR"/>
        </w:rPr>
        <w:tab/>
        <w:t>La majorité des membres de la Commission de recours pour les réfugiés n</w:t>
      </w:r>
      <w:r w:rsidR="00D31389">
        <w:rPr>
          <w:lang w:val="fr-FR"/>
        </w:rPr>
        <w:t>’</w:t>
      </w:r>
      <w:r w:rsidRPr="00A90E5F">
        <w:rPr>
          <w:lang w:val="fr-FR"/>
        </w:rPr>
        <w:t>a pas pu retenir comme des faits les déclarations du requérant sur sa détention, son hospitalisation et son évasion de l</w:t>
      </w:r>
      <w:r w:rsidR="00D31389">
        <w:rPr>
          <w:lang w:val="fr-FR"/>
        </w:rPr>
        <w:t>’</w:t>
      </w:r>
      <w:r w:rsidRPr="00A90E5F">
        <w:rPr>
          <w:lang w:val="fr-FR"/>
        </w:rPr>
        <w:t>hôpital militaire. Dans son évaluation, la Commission a souligné que, sur des points essentiels, le requérant avait varié dans ses déclarations, lesquelles étaient exagérées, et que ses explications et celles de sa compagne sur la raison de leur départ du Soudan étaient</w:t>
      </w:r>
      <w:r w:rsidR="00CB54B7">
        <w:rPr>
          <w:lang w:val="fr-FR"/>
        </w:rPr>
        <w:t xml:space="preserve"> </w:t>
      </w:r>
      <w:r w:rsidRPr="00A90E5F">
        <w:rPr>
          <w:lang w:val="fr-FR"/>
        </w:rPr>
        <w:t>contradictoires. Quand il a été interrogé</w:t>
      </w:r>
      <w:r w:rsidR="00CB54B7">
        <w:rPr>
          <w:lang w:val="fr-FR"/>
        </w:rPr>
        <w:t xml:space="preserve"> </w:t>
      </w:r>
      <w:r w:rsidRPr="00A90E5F">
        <w:rPr>
          <w:lang w:val="fr-FR"/>
        </w:rPr>
        <w:t>par le Service danois de l</w:t>
      </w:r>
      <w:r w:rsidR="00D31389">
        <w:rPr>
          <w:lang w:val="fr-FR"/>
        </w:rPr>
        <w:t>’</w:t>
      </w:r>
      <w:r w:rsidRPr="00A90E5F">
        <w:rPr>
          <w:lang w:val="fr-FR"/>
        </w:rPr>
        <w:t>immigration, le requérant a indiqué qu</w:t>
      </w:r>
      <w:r w:rsidR="00D31389">
        <w:rPr>
          <w:lang w:val="fr-FR"/>
        </w:rPr>
        <w:t>’</w:t>
      </w:r>
      <w:r w:rsidRPr="00A90E5F">
        <w:rPr>
          <w:lang w:val="fr-FR"/>
        </w:rPr>
        <w:t>il avait participé à une manifestation en 2003, ce qui ne lui avait valu aucun problème, et qu</w:t>
      </w:r>
      <w:r w:rsidR="00D31389">
        <w:rPr>
          <w:lang w:val="fr-FR"/>
        </w:rPr>
        <w:t>’</w:t>
      </w:r>
      <w:r w:rsidRPr="00A90E5F">
        <w:rPr>
          <w:lang w:val="fr-FR"/>
        </w:rPr>
        <w:t>il s</w:t>
      </w:r>
      <w:r w:rsidR="00D31389">
        <w:rPr>
          <w:lang w:val="fr-FR"/>
        </w:rPr>
        <w:t>’</w:t>
      </w:r>
      <w:r w:rsidRPr="00A90E5F">
        <w:rPr>
          <w:lang w:val="fr-FR"/>
        </w:rPr>
        <w:t>était installé à Khartoum en 2005 parce qu</w:t>
      </w:r>
      <w:r w:rsidR="00D31389">
        <w:rPr>
          <w:lang w:val="fr-FR"/>
        </w:rPr>
        <w:t>’</w:t>
      </w:r>
      <w:r w:rsidRPr="00A90E5F">
        <w:rPr>
          <w:lang w:val="fr-FR"/>
        </w:rPr>
        <w:t>il ne voulait pas vivre dans la même ville que son frère.</w:t>
      </w:r>
      <w:r w:rsidR="00CB54B7">
        <w:rPr>
          <w:lang w:val="fr-FR"/>
        </w:rPr>
        <w:t xml:space="preserve"> </w:t>
      </w:r>
      <w:r w:rsidRPr="00A90E5F">
        <w:rPr>
          <w:lang w:val="fr-FR"/>
        </w:rPr>
        <w:t>À l</w:t>
      </w:r>
      <w:r w:rsidR="00D31389">
        <w:rPr>
          <w:lang w:val="fr-FR"/>
        </w:rPr>
        <w:t>’</w:t>
      </w:r>
      <w:r w:rsidRPr="00A90E5F">
        <w:rPr>
          <w:lang w:val="fr-FR"/>
        </w:rPr>
        <w:t>audience devant la Commission, le requérant a d</w:t>
      </w:r>
      <w:r w:rsidR="00D31389">
        <w:rPr>
          <w:lang w:val="fr-FR"/>
        </w:rPr>
        <w:t>’</w:t>
      </w:r>
      <w:r w:rsidRPr="00A90E5F">
        <w:rPr>
          <w:lang w:val="fr-FR"/>
        </w:rPr>
        <w:t>abord déclaré qu</w:t>
      </w:r>
      <w:r w:rsidR="00D31389">
        <w:rPr>
          <w:lang w:val="fr-FR"/>
        </w:rPr>
        <w:t>’</w:t>
      </w:r>
      <w:r w:rsidRPr="00A90E5F">
        <w:rPr>
          <w:lang w:val="fr-FR"/>
        </w:rPr>
        <w:t>il s</w:t>
      </w:r>
      <w:r w:rsidR="00D31389">
        <w:rPr>
          <w:lang w:val="fr-FR"/>
        </w:rPr>
        <w:t>’</w:t>
      </w:r>
      <w:r w:rsidRPr="00A90E5F">
        <w:rPr>
          <w:lang w:val="fr-FR"/>
        </w:rPr>
        <w:t>était installé à Khartoum en 2003 parce qu</w:t>
      </w:r>
      <w:r w:rsidR="00D31389">
        <w:rPr>
          <w:lang w:val="fr-FR"/>
        </w:rPr>
        <w:t>’</w:t>
      </w:r>
      <w:r w:rsidRPr="00A90E5F">
        <w:rPr>
          <w:lang w:val="fr-FR"/>
        </w:rPr>
        <w:t>il était berger et que son troupeau avait été décimé, puis il a changé de version et déclaré qu</w:t>
      </w:r>
      <w:r w:rsidR="00D31389">
        <w:rPr>
          <w:lang w:val="fr-FR"/>
        </w:rPr>
        <w:t>’</w:t>
      </w:r>
      <w:r w:rsidRPr="00A90E5F">
        <w:rPr>
          <w:lang w:val="fr-FR"/>
        </w:rPr>
        <w:t>il avait commencé à faire des allers et retours à Khartoum en 2003, mais qu</w:t>
      </w:r>
      <w:r w:rsidR="00D31389">
        <w:rPr>
          <w:lang w:val="fr-FR"/>
        </w:rPr>
        <w:t>’</w:t>
      </w:r>
      <w:r w:rsidRPr="00A90E5F">
        <w:rPr>
          <w:lang w:val="fr-FR"/>
        </w:rPr>
        <w:t>il ne s</w:t>
      </w:r>
      <w:r w:rsidR="00D31389">
        <w:rPr>
          <w:lang w:val="fr-FR"/>
        </w:rPr>
        <w:t>’</w:t>
      </w:r>
      <w:r w:rsidRPr="00A90E5F">
        <w:rPr>
          <w:lang w:val="fr-FR"/>
        </w:rPr>
        <w:t>y était installé qu</w:t>
      </w:r>
      <w:r w:rsidR="00D31389">
        <w:rPr>
          <w:lang w:val="fr-FR"/>
        </w:rPr>
        <w:t>’</w:t>
      </w:r>
      <w:r w:rsidRPr="00A90E5F">
        <w:rPr>
          <w:lang w:val="fr-FR"/>
        </w:rPr>
        <w:t>en 2005. Le 20 novembre 2013, pendant son entretien avec le Service danois de l</w:t>
      </w:r>
      <w:r w:rsidR="00D31389">
        <w:rPr>
          <w:lang w:val="fr-FR"/>
        </w:rPr>
        <w:t>’</w:t>
      </w:r>
      <w:r w:rsidRPr="00A90E5F">
        <w:rPr>
          <w:lang w:val="fr-FR"/>
        </w:rPr>
        <w:t>immigration, le requérant a déclaré que trois hommes l</w:t>
      </w:r>
      <w:r w:rsidR="00D31389">
        <w:rPr>
          <w:lang w:val="fr-FR"/>
        </w:rPr>
        <w:t>’</w:t>
      </w:r>
      <w:r w:rsidRPr="00A90E5F">
        <w:rPr>
          <w:lang w:val="fr-FR"/>
        </w:rPr>
        <w:t>avaient abordé sur son lieu de travail, l</w:t>
      </w:r>
      <w:r w:rsidR="00D31389">
        <w:rPr>
          <w:lang w:val="fr-FR"/>
        </w:rPr>
        <w:t>’</w:t>
      </w:r>
      <w:r w:rsidRPr="00A90E5F">
        <w:rPr>
          <w:lang w:val="fr-FR"/>
        </w:rPr>
        <w:t>avaient roué de coups et torturé en lui lacérant tout le corps avec un couteau jusqu</w:t>
      </w:r>
      <w:r w:rsidR="00D31389">
        <w:rPr>
          <w:lang w:val="fr-FR"/>
        </w:rPr>
        <w:t>’</w:t>
      </w:r>
      <w:r w:rsidRPr="00A90E5F">
        <w:rPr>
          <w:lang w:val="fr-FR"/>
        </w:rPr>
        <w:t>à ce qu</w:t>
      </w:r>
      <w:r w:rsidR="00D31389">
        <w:rPr>
          <w:lang w:val="fr-FR"/>
        </w:rPr>
        <w:t>’</w:t>
      </w:r>
      <w:r w:rsidRPr="00A90E5F">
        <w:rPr>
          <w:lang w:val="fr-FR"/>
        </w:rPr>
        <w:t>il perde connaissance, puis l</w:t>
      </w:r>
      <w:r w:rsidR="00D31389">
        <w:rPr>
          <w:lang w:val="fr-FR"/>
        </w:rPr>
        <w:t>’</w:t>
      </w:r>
      <w:r w:rsidRPr="00A90E5F">
        <w:rPr>
          <w:lang w:val="fr-FR"/>
        </w:rPr>
        <w:t>avaient laissé dans un hôpital militaire. Lors de son entretien du 17 janvier 2014, le requérant a déclaré que trois ou quatre individus étaient venus le chercher et l</w:t>
      </w:r>
      <w:r w:rsidR="00D31389">
        <w:rPr>
          <w:lang w:val="fr-FR"/>
        </w:rPr>
        <w:t>’</w:t>
      </w:r>
      <w:r w:rsidRPr="00A90E5F">
        <w:rPr>
          <w:lang w:val="fr-FR"/>
        </w:rPr>
        <w:t>avaient conduit au poste de police où il avait été</w:t>
      </w:r>
      <w:r w:rsidR="00CB54B7">
        <w:rPr>
          <w:lang w:val="fr-FR"/>
        </w:rPr>
        <w:t xml:space="preserve"> </w:t>
      </w:r>
      <w:r w:rsidRPr="00A90E5F">
        <w:rPr>
          <w:lang w:val="fr-FR"/>
        </w:rPr>
        <w:t>frappé et fouetté sur les cuisses ; le lendemain, il avait perdu connaissance et avait donc été transféré dans un hôpital. Le 14 septembre 2009, sa compagne a déclaré au Service danois de l</w:t>
      </w:r>
      <w:r w:rsidR="00D31389">
        <w:rPr>
          <w:lang w:val="fr-FR"/>
        </w:rPr>
        <w:t>’</w:t>
      </w:r>
      <w:r w:rsidRPr="00A90E5F">
        <w:rPr>
          <w:lang w:val="fr-FR"/>
        </w:rPr>
        <w:t>immigration que le requérant avait été arrêté au domicile de ses parents. Devant la Commission, le requérant a déclaré qu</w:t>
      </w:r>
      <w:r w:rsidR="00D31389">
        <w:rPr>
          <w:lang w:val="fr-FR"/>
        </w:rPr>
        <w:t>’</w:t>
      </w:r>
      <w:r w:rsidRPr="00A90E5F">
        <w:rPr>
          <w:lang w:val="fr-FR"/>
        </w:rPr>
        <w:t xml:space="preserve">on lui avait lacéré le corps avec des bouts de métal. </w:t>
      </w:r>
    </w:p>
    <w:p w:rsidR="00A90E5F" w:rsidRPr="00A90E5F" w:rsidRDefault="00A90E5F" w:rsidP="00A90E5F">
      <w:pPr>
        <w:pStyle w:val="SingleTxtG"/>
        <w:rPr>
          <w:lang w:val="fr-FR"/>
        </w:rPr>
      </w:pPr>
      <w:r w:rsidRPr="00A90E5F">
        <w:rPr>
          <w:lang w:val="fr-FR"/>
        </w:rPr>
        <w:t>4.4</w:t>
      </w:r>
      <w:r w:rsidRPr="00A90E5F">
        <w:rPr>
          <w:lang w:val="fr-FR"/>
        </w:rPr>
        <w:tab/>
        <w:t>De plus, le requérant et sa compagne ont fait des déclarations</w:t>
      </w:r>
      <w:r w:rsidR="00CB54B7">
        <w:rPr>
          <w:lang w:val="fr-FR"/>
        </w:rPr>
        <w:t xml:space="preserve"> </w:t>
      </w:r>
      <w:r w:rsidRPr="00A90E5F">
        <w:rPr>
          <w:lang w:val="fr-FR"/>
        </w:rPr>
        <w:t>différentes sur la raison pour laquelle le requérant avait fui le Soudan. Pendant l</w:t>
      </w:r>
      <w:r w:rsidR="00D31389">
        <w:rPr>
          <w:lang w:val="fr-FR"/>
        </w:rPr>
        <w:t>’</w:t>
      </w:r>
      <w:r w:rsidRPr="00A90E5F">
        <w:rPr>
          <w:lang w:val="fr-FR"/>
        </w:rPr>
        <w:t>examen de la demande d</w:t>
      </w:r>
      <w:r w:rsidR="00D31389">
        <w:rPr>
          <w:lang w:val="fr-FR"/>
        </w:rPr>
        <w:t>’</w:t>
      </w:r>
      <w:r w:rsidRPr="00A90E5F">
        <w:rPr>
          <w:lang w:val="fr-FR"/>
        </w:rPr>
        <w:t>asile de sa compagne, celle-ci a déclaré que le requérant avait eu maille à partir avec les autorités parce qu</w:t>
      </w:r>
      <w:r w:rsidR="00D31389">
        <w:rPr>
          <w:lang w:val="fr-FR"/>
        </w:rPr>
        <w:t>’</w:t>
      </w:r>
      <w:r w:rsidRPr="00A90E5F">
        <w:rPr>
          <w:lang w:val="fr-FR"/>
        </w:rPr>
        <w:t>il était objecteur de conscience, tandis que le requérant a déclaré que c</w:t>
      </w:r>
      <w:r w:rsidR="00D31389">
        <w:rPr>
          <w:lang w:val="fr-FR"/>
        </w:rPr>
        <w:t>’</w:t>
      </w:r>
      <w:r w:rsidRPr="00A90E5F">
        <w:rPr>
          <w:lang w:val="fr-FR"/>
        </w:rPr>
        <w:t>était en raison de l</w:t>
      </w:r>
      <w:r w:rsidR="00D31389">
        <w:rPr>
          <w:lang w:val="fr-FR"/>
        </w:rPr>
        <w:t>’</w:t>
      </w:r>
      <w:r w:rsidRPr="00A90E5F">
        <w:rPr>
          <w:lang w:val="fr-FR"/>
        </w:rPr>
        <w:t>appartenance de son frère au Mouvement pour la justice et l</w:t>
      </w:r>
      <w:r w:rsidR="00D31389">
        <w:rPr>
          <w:lang w:val="fr-FR"/>
        </w:rPr>
        <w:t>’</w:t>
      </w:r>
      <w:r w:rsidRPr="00A90E5F">
        <w:rPr>
          <w:lang w:val="fr-FR"/>
        </w:rPr>
        <w:t>égalité qu</w:t>
      </w:r>
      <w:r w:rsidR="00D31389">
        <w:rPr>
          <w:lang w:val="fr-FR"/>
        </w:rPr>
        <w:t>’</w:t>
      </w:r>
      <w:r w:rsidRPr="00A90E5F">
        <w:rPr>
          <w:lang w:val="fr-FR"/>
        </w:rPr>
        <w:t>il avait eu des problèmes. Enfin, il ressort de la décision de la Commission que la majorité de ses membres a insisté sur le fait qu</w:t>
      </w:r>
      <w:r w:rsidR="00D31389">
        <w:rPr>
          <w:lang w:val="fr-FR"/>
        </w:rPr>
        <w:t>’</w:t>
      </w:r>
      <w:r w:rsidRPr="00A90E5F">
        <w:rPr>
          <w:lang w:val="fr-FR"/>
        </w:rPr>
        <w:t>il était peu vraisemblable que le requérant se soit échappé d</w:t>
      </w:r>
      <w:r w:rsidR="00D31389">
        <w:rPr>
          <w:lang w:val="fr-FR"/>
        </w:rPr>
        <w:t>’</w:t>
      </w:r>
      <w:r w:rsidRPr="00A90E5F">
        <w:rPr>
          <w:lang w:val="fr-FR"/>
        </w:rPr>
        <w:t>un hôpital militaire comme il l</w:t>
      </w:r>
      <w:r w:rsidR="00D31389">
        <w:rPr>
          <w:lang w:val="fr-FR"/>
        </w:rPr>
        <w:t>’</w:t>
      </w:r>
      <w:r w:rsidRPr="00A90E5F">
        <w:rPr>
          <w:lang w:val="fr-FR"/>
        </w:rPr>
        <w:t>affirmait. La Commission a estimé en outre que la relation du requérant avec une chrétienne ne pouvait pas justifier l</w:t>
      </w:r>
      <w:r w:rsidR="00D31389">
        <w:rPr>
          <w:lang w:val="fr-FR"/>
        </w:rPr>
        <w:t>’</w:t>
      </w:r>
      <w:r w:rsidRPr="00A90E5F">
        <w:rPr>
          <w:lang w:val="fr-FR"/>
        </w:rPr>
        <w:t>octroi de l</w:t>
      </w:r>
      <w:r w:rsidR="00D31389">
        <w:rPr>
          <w:lang w:val="fr-FR"/>
        </w:rPr>
        <w:t>’</w:t>
      </w:r>
      <w:r w:rsidRPr="00A90E5F">
        <w:rPr>
          <w:lang w:val="fr-FR"/>
        </w:rPr>
        <w:t>asile. Elle a souligné qu</w:t>
      </w:r>
      <w:r w:rsidR="00D31389">
        <w:rPr>
          <w:lang w:val="fr-FR"/>
        </w:rPr>
        <w:t>’</w:t>
      </w:r>
      <w:r w:rsidRPr="00A90E5F">
        <w:rPr>
          <w:lang w:val="fr-FR"/>
        </w:rPr>
        <w:t>il ressortait des informations générales disponibles sur le Soudan que les unions entre un homme musulman et une femme chrétienne étaient autorisées, que rien ne portait à croire que les autorités s</w:t>
      </w:r>
      <w:r w:rsidR="00D31389">
        <w:rPr>
          <w:lang w:val="fr-FR"/>
        </w:rPr>
        <w:t>’</w:t>
      </w:r>
      <w:r w:rsidRPr="00A90E5F">
        <w:rPr>
          <w:lang w:val="fr-FR"/>
        </w:rPr>
        <w:t>élèveraient contre de telles unions et qu</w:t>
      </w:r>
      <w:r w:rsidR="00D31389">
        <w:rPr>
          <w:lang w:val="fr-FR"/>
        </w:rPr>
        <w:t>’</w:t>
      </w:r>
      <w:r w:rsidRPr="00A90E5F">
        <w:rPr>
          <w:lang w:val="fr-FR"/>
        </w:rPr>
        <w:t>il était très peu probable que ces relations soient signalées à la police puisqu</w:t>
      </w:r>
      <w:r w:rsidR="00D31389">
        <w:rPr>
          <w:lang w:val="fr-FR"/>
        </w:rPr>
        <w:t>’</w:t>
      </w:r>
      <w:r w:rsidRPr="00A90E5F">
        <w:rPr>
          <w:lang w:val="fr-FR"/>
        </w:rPr>
        <w:t>elles n</w:t>
      </w:r>
      <w:r w:rsidR="00D31389">
        <w:rPr>
          <w:lang w:val="fr-FR"/>
        </w:rPr>
        <w:t>’</w:t>
      </w:r>
      <w:r w:rsidRPr="00A90E5F">
        <w:rPr>
          <w:lang w:val="fr-FR"/>
        </w:rPr>
        <w:t>étaient pas illégales. La majorité des membres de la Commission a conclu qu</w:t>
      </w:r>
      <w:r w:rsidR="00D31389">
        <w:rPr>
          <w:lang w:val="fr-FR"/>
        </w:rPr>
        <w:t>’</w:t>
      </w:r>
      <w:r w:rsidRPr="00A90E5F">
        <w:rPr>
          <w:lang w:val="fr-FR"/>
        </w:rPr>
        <w:t>il n</w:t>
      </w:r>
      <w:r w:rsidR="00D31389">
        <w:rPr>
          <w:lang w:val="fr-FR"/>
        </w:rPr>
        <w:t>’</w:t>
      </w:r>
      <w:r w:rsidRPr="00A90E5F">
        <w:rPr>
          <w:lang w:val="fr-FR"/>
        </w:rPr>
        <w:t xml:space="preserve">y avait pas lieu de suspendre la procédure en attendant un examen visant à constater des signes de torture. </w:t>
      </w:r>
    </w:p>
    <w:p w:rsidR="00A90E5F" w:rsidRPr="00A90E5F" w:rsidRDefault="00A90E5F" w:rsidP="00A90E5F">
      <w:pPr>
        <w:pStyle w:val="SingleTxtG"/>
        <w:rPr>
          <w:lang w:val="fr-FR"/>
        </w:rPr>
      </w:pPr>
      <w:r w:rsidRPr="00A90E5F">
        <w:rPr>
          <w:lang w:val="fr-FR"/>
        </w:rPr>
        <w:t>4.5</w:t>
      </w:r>
      <w:r w:rsidRPr="00A90E5F">
        <w:rPr>
          <w:lang w:val="fr-FR"/>
        </w:rPr>
        <w:tab/>
        <w:t>La majorité a donc conclu que le requérant n</w:t>
      </w:r>
      <w:r w:rsidR="00D31389">
        <w:rPr>
          <w:lang w:val="fr-FR"/>
        </w:rPr>
        <w:t>’</w:t>
      </w:r>
      <w:r w:rsidRPr="00A90E5F">
        <w:rPr>
          <w:lang w:val="fr-FR"/>
        </w:rPr>
        <w:t>était pas victime de persécution au moment de son départ et qu</w:t>
      </w:r>
      <w:r w:rsidR="00D31389">
        <w:rPr>
          <w:lang w:val="fr-FR"/>
        </w:rPr>
        <w:t>’</w:t>
      </w:r>
      <w:r w:rsidRPr="00A90E5F">
        <w:rPr>
          <w:lang w:val="fr-FR"/>
        </w:rPr>
        <w:t>il ne courrait pas, en cas de renvoi, un risque de persécution tel qu</w:t>
      </w:r>
      <w:r w:rsidR="00D31389">
        <w:rPr>
          <w:lang w:val="fr-FR"/>
        </w:rPr>
        <w:t>’</w:t>
      </w:r>
      <w:r w:rsidRPr="00A90E5F">
        <w:rPr>
          <w:lang w:val="fr-FR"/>
        </w:rPr>
        <w:t>il justifie l</w:t>
      </w:r>
      <w:r w:rsidR="00D31389">
        <w:rPr>
          <w:lang w:val="fr-FR"/>
        </w:rPr>
        <w:t>’</w:t>
      </w:r>
      <w:r w:rsidRPr="00A90E5F">
        <w:rPr>
          <w:lang w:val="fr-FR"/>
        </w:rPr>
        <w:t>octroi d</w:t>
      </w:r>
      <w:r w:rsidR="00D31389">
        <w:rPr>
          <w:lang w:val="fr-FR"/>
        </w:rPr>
        <w:t>’</w:t>
      </w:r>
      <w:r w:rsidRPr="00A90E5F">
        <w:rPr>
          <w:lang w:val="fr-FR"/>
        </w:rPr>
        <w:t>un permis de séjour au titre de l</w:t>
      </w:r>
      <w:r w:rsidR="00D31389">
        <w:rPr>
          <w:lang w:val="fr-FR"/>
        </w:rPr>
        <w:t>’</w:t>
      </w:r>
      <w:r w:rsidRPr="00A90E5F">
        <w:rPr>
          <w:lang w:val="fr-FR"/>
        </w:rPr>
        <w:t>article 7 de la loi relative aux étrangers.</w:t>
      </w:r>
    </w:p>
    <w:p w:rsidR="00A90E5F" w:rsidRPr="00A90E5F" w:rsidRDefault="00A90E5F" w:rsidP="00A90E5F">
      <w:pPr>
        <w:pStyle w:val="SingleTxtG"/>
        <w:rPr>
          <w:lang w:val="fr-FR"/>
        </w:rPr>
      </w:pPr>
      <w:r w:rsidRPr="00A90E5F">
        <w:rPr>
          <w:lang w:val="fr-FR"/>
        </w:rPr>
        <w:t>4.6</w:t>
      </w:r>
      <w:r w:rsidRPr="00A90E5F">
        <w:rPr>
          <w:lang w:val="fr-FR"/>
        </w:rPr>
        <w:tab/>
        <w:t>L</w:t>
      </w:r>
      <w:r w:rsidR="00D31389">
        <w:rPr>
          <w:lang w:val="fr-FR"/>
        </w:rPr>
        <w:t>’</w:t>
      </w:r>
      <w:r w:rsidRPr="00A90E5F">
        <w:rPr>
          <w:lang w:val="fr-FR"/>
        </w:rPr>
        <w:t>État partie donne également une description détaillée de l</w:t>
      </w:r>
      <w:r w:rsidR="00D31389">
        <w:rPr>
          <w:lang w:val="fr-FR"/>
        </w:rPr>
        <w:t>’</w:t>
      </w:r>
      <w:r w:rsidRPr="00A90E5F">
        <w:rPr>
          <w:lang w:val="fr-FR"/>
        </w:rPr>
        <w:t>ensemble des règles qui régissent les activités de la Commission de recours pour les réfugiés ainsi que de ses méthodes de travail</w:t>
      </w:r>
      <w:r w:rsidR="00FF2AC9">
        <w:rPr>
          <w:rStyle w:val="Appelnotedebasdep"/>
        </w:rPr>
        <w:footnoteReference w:id="5"/>
      </w:r>
      <w:r w:rsidR="00FF2AC9">
        <w:rPr>
          <w:lang w:val="fr-FR"/>
        </w:rPr>
        <w:t>.</w:t>
      </w:r>
    </w:p>
    <w:p w:rsidR="00A90E5F" w:rsidRPr="00A90E5F" w:rsidRDefault="00A90E5F" w:rsidP="00A90E5F">
      <w:pPr>
        <w:pStyle w:val="SingleTxtG"/>
        <w:rPr>
          <w:lang w:val="fr-FR"/>
        </w:rPr>
      </w:pPr>
      <w:r w:rsidRPr="00A90E5F">
        <w:rPr>
          <w:lang w:val="fr-FR"/>
        </w:rPr>
        <w:lastRenderedPageBreak/>
        <w:t>4.7</w:t>
      </w:r>
      <w:r w:rsidRPr="00A90E5F">
        <w:rPr>
          <w:lang w:val="fr-FR"/>
        </w:rPr>
        <w:tab/>
        <w:t>En ce qui concerne l</w:t>
      </w:r>
      <w:r w:rsidR="00D31389">
        <w:rPr>
          <w:lang w:val="fr-FR"/>
        </w:rPr>
        <w:t>’</w:t>
      </w:r>
      <w:r w:rsidRPr="00A90E5F">
        <w:rPr>
          <w:lang w:val="fr-FR"/>
        </w:rPr>
        <w:t>importance de la crédibilité du demandeur d</w:t>
      </w:r>
      <w:r w:rsidR="00D31389">
        <w:rPr>
          <w:lang w:val="fr-FR"/>
        </w:rPr>
        <w:t>’</w:t>
      </w:r>
      <w:r w:rsidRPr="00A90E5F">
        <w:rPr>
          <w:lang w:val="fr-FR"/>
        </w:rPr>
        <w:t>asile par rapport à celle des renseignements médicaux, l</w:t>
      </w:r>
      <w:r w:rsidR="00D31389">
        <w:rPr>
          <w:lang w:val="fr-FR"/>
        </w:rPr>
        <w:t>’</w:t>
      </w:r>
      <w:r w:rsidRPr="00A90E5F">
        <w:rPr>
          <w:lang w:val="fr-FR"/>
        </w:rPr>
        <w:t xml:space="preserve">État partie renvoie à la décision </w:t>
      </w:r>
      <w:r w:rsidR="007D6292">
        <w:rPr>
          <w:lang w:val="fr-FR"/>
        </w:rPr>
        <w:t>dans l</w:t>
      </w:r>
      <w:r w:rsidR="00D31389">
        <w:rPr>
          <w:lang w:val="fr-FR"/>
        </w:rPr>
        <w:t>’</w:t>
      </w:r>
      <w:r w:rsidR="007D6292">
        <w:rPr>
          <w:lang w:val="fr-FR"/>
        </w:rPr>
        <w:t>affaire</w:t>
      </w:r>
      <w:r w:rsidRPr="00A90E5F">
        <w:rPr>
          <w:lang w:val="fr-FR"/>
        </w:rPr>
        <w:t xml:space="preserve"> </w:t>
      </w:r>
      <w:r w:rsidRPr="00A90E5F">
        <w:rPr>
          <w:i/>
          <w:iCs/>
          <w:lang w:val="fr-FR"/>
        </w:rPr>
        <w:t>Otman</w:t>
      </w:r>
      <w:r w:rsidR="007D6292">
        <w:rPr>
          <w:i/>
          <w:iCs/>
          <w:lang w:val="fr-FR"/>
        </w:rPr>
        <w:t> </w:t>
      </w:r>
      <w:r w:rsidRPr="00A90E5F">
        <w:rPr>
          <w:iCs/>
          <w:lang w:val="fr-FR"/>
        </w:rPr>
        <w:t>c.</w:t>
      </w:r>
      <w:r w:rsidRPr="00A90E5F">
        <w:rPr>
          <w:i/>
          <w:iCs/>
          <w:lang w:val="fr-FR"/>
        </w:rPr>
        <w:t> Danemark</w:t>
      </w:r>
      <w:r w:rsidR="00FF2AC9" w:rsidRPr="00FF2AC9">
        <w:rPr>
          <w:rStyle w:val="Appelnotedebasdep"/>
          <w:iCs/>
        </w:rPr>
        <w:footnoteReference w:id="6"/>
      </w:r>
      <w:r w:rsidRPr="00FF2AC9">
        <w:rPr>
          <w:iCs/>
          <w:lang w:val="fr-FR"/>
        </w:rPr>
        <w:t>,</w:t>
      </w:r>
      <w:r w:rsidRPr="00A90E5F">
        <w:rPr>
          <w:iCs/>
          <w:lang w:val="fr-FR"/>
        </w:rPr>
        <w:t xml:space="preserve"> </w:t>
      </w:r>
      <w:r w:rsidRPr="00A90E5F">
        <w:rPr>
          <w:lang w:val="fr-FR"/>
        </w:rPr>
        <w:t>dans laquelle le Comité a écarté les allégations de torture du requérant et les renseignements médicaux fournis en raison d</w:t>
      </w:r>
      <w:r w:rsidR="00D31389">
        <w:rPr>
          <w:lang w:val="fr-FR"/>
        </w:rPr>
        <w:t>’</w:t>
      </w:r>
      <w:r w:rsidRPr="00A90E5F">
        <w:rPr>
          <w:lang w:val="fr-FR"/>
        </w:rPr>
        <w:t>un manque général de crédibilité. Dans cette décision, le Comité s</w:t>
      </w:r>
      <w:r w:rsidR="00D31389">
        <w:rPr>
          <w:lang w:val="fr-FR"/>
        </w:rPr>
        <w:t>’</w:t>
      </w:r>
      <w:r w:rsidRPr="00A90E5F">
        <w:rPr>
          <w:lang w:val="fr-FR"/>
        </w:rPr>
        <w:t>est référé au paragraphe 8 de son observation générale n</w:t>
      </w:r>
      <w:r w:rsidRPr="00A90E5F">
        <w:rPr>
          <w:vertAlign w:val="superscript"/>
          <w:lang w:val="fr-FR"/>
        </w:rPr>
        <w:t>o</w:t>
      </w:r>
      <w:r w:rsidRPr="00A90E5F">
        <w:rPr>
          <w:lang w:val="fr-FR"/>
        </w:rPr>
        <w:t xml:space="preserve"> 1 (1997) sur la mise en </w:t>
      </w:r>
      <w:r w:rsidR="00FF2AC9" w:rsidRPr="00A90E5F">
        <w:rPr>
          <w:lang w:val="fr-FR"/>
        </w:rPr>
        <w:t>œuvre</w:t>
      </w:r>
      <w:r w:rsidRPr="00A90E5F">
        <w:rPr>
          <w:lang w:val="fr-FR"/>
        </w:rPr>
        <w:t xml:space="preserve"> de l</w:t>
      </w:r>
      <w:r w:rsidR="00D31389">
        <w:rPr>
          <w:lang w:val="fr-FR"/>
        </w:rPr>
        <w:t>’</w:t>
      </w:r>
      <w:r w:rsidRPr="00A90E5F">
        <w:rPr>
          <w:lang w:val="fr-FR"/>
        </w:rPr>
        <w:t>article 3, dans laquelle il souligne que la crédibilité du requérant et la présence ou non d</w:t>
      </w:r>
      <w:r w:rsidR="00D31389">
        <w:rPr>
          <w:lang w:val="fr-FR"/>
        </w:rPr>
        <w:t>’</w:t>
      </w:r>
      <w:r w:rsidRPr="00A90E5F">
        <w:rPr>
          <w:lang w:val="fr-FR"/>
        </w:rPr>
        <w:t>incohérences factuelles dans ce qu</w:t>
      </w:r>
      <w:r w:rsidR="00D31389">
        <w:rPr>
          <w:lang w:val="fr-FR"/>
        </w:rPr>
        <w:t>’</w:t>
      </w:r>
      <w:r w:rsidRPr="00A90E5F">
        <w:rPr>
          <w:lang w:val="fr-FR"/>
        </w:rPr>
        <w:t>il affirme comptent parmi les éléments à prendre en considération pour déterminer s</w:t>
      </w:r>
      <w:r w:rsidR="00D31389">
        <w:rPr>
          <w:lang w:val="fr-FR"/>
        </w:rPr>
        <w:t>’</w:t>
      </w:r>
      <w:r w:rsidRPr="00A90E5F">
        <w:rPr>
          <w:lang w:val="fr-FR"/>
        </w:rPr>
        <w:t>il risque d</w:t>
      </w:r>
      <w:r w:rsidR="00D31389">
        <w:rPr>
          <w:lang w:val="fr-FR"/>
        </w:rPr>
        <w:t>’</w:t>
      </w:r>
      <w:r w:rsidRPr="00A90E5F">
        <w:rPr>
          <w:lang w:val="fr-FR"/>
        </w:rPr>
        <w:t>être soumis à la torture à son retour. L</w:t>
      </w:r>
      <w:r w:rsidR="00D31389">
        <w:rPr>
          <w:lang w:val="fr-FR"/>
        </w:rPr>
        <w:t>’</w:t>
      </w:r>
      <w:r w:rsidRPr="00A90E5F">
        <w:rPr>
          <w:lang w:val="fr-FR"/>
        </w:rPr>
        <w:t>État partie renvoie aussi à la décision dans l</w:t>
      </w:r>
      <w:r w:rsidR="00D31389">
        <w:rPr>
          <w:lang w:val="fr-FR"/>
        </w:rPr>
        <w:t>’</w:t>
      </w:r>
      <w:r w:rsidRPr="00A90E5F">
        <w:rPr>
          <w:lang w:val="fr-FR"/>
        </w:rPr>
        <w:t>affaire</w:t>
      </w:r>
      <w:r w:rsidR="00CB54B7">
        <w:rPr>
          <w:lang w:val="fr-FR"/>
        </w:rPr>
        <w:t xml:space="preserve"> </w:t>
      </w:r>
      <w:r w:rsidRPr="00A90E5F">
        <w:rPr>
          <w:i/>
          <w:iCs/>
          <w:lang w:val="fr-FR"/>
        </w:rPr>
        <w:t xml:space="preserve">Alp </w:t>
      </w:r>
      <w:r w:rsidRPr="00A90E5F">
        <w:rPr>
          <w:iCs/>
          <w:lang w:val="fr-FR"/>
        </w:rPr>
        <w:t>c.</w:t>
      </w:r>
      <w:r w:rsidRPr="00A90E5F">
        <w:rPr>
          <w:i/>
          <w:iCs/>
          <w:lang w:val="fr-FR"/>
        </w:rPr>
        <w:t> Danemark</w:t>
      </w:r>
      <w:r w:rsidR="00FF2AC9" w:rsidRPr="00FF2AC9">
        <w:rPr>
          <w:rStyle w:val="Appelnotedebasdep"/>
          <w:iCs/>
        </w:rPr>
        <w:footnoteReference w:id="7"/>
      </w:r>
      <w:r w:rsidRPr="00A90E5F">
        <w:rPr>
          <w:iCs/>
          <w:lang w:val="fr-FR"/>
        </w:rPr>
        <w:t>, dans laquelle le Comité a noté q</w:t>
      </w:r>
      <w:r w:rsidRPr="00A90E5F">
        <w:rPr>
          <w:lang w:val="fr-FR"/>
        </w:rPr>
        <w:t>ue les autorités de l</w:t>
      </w:r>
      <w:r w:rsidR="00D31389">
        <w:rPr>
          <w:lang w:val="fr-FR"/>
        </w:rPr>
        <w:t>’</w:t>
      </w:r>
      <w:r w:rsidRPr="00A90E5F">
        <w:rPr>
          <w:lang w:val="fr-FR"/>
        </w:rPr>
        <w:t>État partie avaient procédé à un examen approfondi de tous les éléments présentés par le requérant, avaient conclu qu</w:t>
      </w:r>
      <w:r w:rsidR="00D31389">
        <w:rPr>
          <w:lang w:val="fr-FR"/>
        </w:rPr>
        <w:t>’</w:t>
      </w:r>
      <w:r w:rsidRPr="00A90E5F">
        <w:rPr>
          <w:lang w:val="fr-FR"/>
        </w:rPr>
        <w:t>ils n</w:t>
      </w:r>
      <w:r w:rsidR="00D31389">
        <w:rPr>
          <w:lang w:val="fr-FR"/>
        </w:rPr>
        <w:t>’</w:t>
      </w:r>
      <w:r w:rsidRPr="00A90E5F">
        <w:rPr>
          <w:lang w:val="fr-FR"/>
        </w:rPr>
        <w:t>étaient guère crédibles et n</w:t>
      </w:r>
      <w:r w:rsidR="00D31389">
        <w:rPr>
          <w:lang w:val="fr-FR"/>
        </w:rPr>
        <w:t>’</w:t>
      </w:r>
      <w:r w:rsidRPr="00A90E5F">
        <w:rPr>
          <w:lang w:val="fr-FR"/>
        </w:rPr>
        <w:t>avaient pas jugé nécessaire d</w:t>
      </w:r>
      <w:r w:rsidR="00D31389">
        <w:rPr>
          <w:lang w:val="fr-FR"/>
        </w:rPr>
        <w:t>’</w:t>
      </w:r>
      <w:r w:rsidRPr="00A90E5F">
        <w:rPr>
          <w:lang w:val="fr-FR"/>
        </w:rPr>
        <w:t>ordonner un examen médical</w:t>
      </w:r>
      <w:r w:rsidRPr="00A90E5F">
        <w:rPr>
          <w:iCs/>
          <w:lang w:val="fr-FR"/>
        </w:rPr>
        <w:t>.</w:t>
      </w:r>
    </w:p>
    <w:p w:rsidR="00A90E5F" w:rsidRPr="00A90E5F" w:rsidRDefault="00A90E5F" w:rsidP="00A90E5F">
      <w:pPr>
        <w:pStyle w:val="SingleTxtG"/>
        <w:rPr>
          <w:lang w:val="fr-FR"/>
        </w:rPr>
      </w:pPr>
      <w:r w:rsidRPr="00A90E5F">
        <w:rPr>
          <w:lang w:val="fr-FR"/>
        </w:rPr>
        <w:t>4.8</w:t>
      </w:r>
      <w:r w:rsidRPr="00A90E5F">
        <w:rPr>
          <w:lang w:val="fr-FR"/>
        </w:rPr>
        <w:tab/>
        <w:t>L</w:t>
      </w:r>
      <w:r w:rsidR="00D31389">
        <w:rPr>
          <w:lang w:val="fr-FR"/>
        </w:rPr>
        <w:t>’</w:t>
      </w:r>
      <w:r w:rsidRPr="00A90E5F">
        <w:rPr>
          <w:lang w:val="fr-FR"/>
        </w:rPr>
        <w:t>État partie renvoie aux constatations du Comité</w:t>
      </w:r>
      <w:r w:rsidR="00CB54B7">
        <w:rPr>
          <w:lang w:val="fr-FR"/>
        </w:rPr>
        <w:t xml:space="preserve"> </w:t>
      </w:r>
      <w:r w:rsidRPr="00A90E5F">
        <w:rPr>
          <w:lang w:val="fr-FR"/>
        </w:rPr>
        <w:t>dans l</w:t>
      </w:r>
      <w:r w:rsidR="00D31389">
        <w:rPr>
          <w:lang w:val="fr-FR"/>
        </w:rPr>
        <w:t>’</w:t>
      </w:r>
      <w:r w:rsidRPr="00A90E5F">
        <w:rPr>
          <w:lang w:val="fr-FR"/>
        </w:rPr>
        <w:t xml:space="preserve">affaire </w:t>
      </w:r>
      <w:r w:rsidRPr="00A90E5F">
        <w:rPr>
          <w:i/>
          <w:iCs/>
          <w:lang w:val="fr-FR"/>
        </w:rPr>
        <w:t xml:space="preserve">X, Y et Z </w:t>
      </w:r>
      <w:r w:rsidRPr="00A90E5F">
        <w:rPr>
          <w:iCs/>
          <w:lang w:val="fr-FR"/>
        </w:rPr>
        <w:t>c.</w:t>
      </w:r>
      <w:r w:rsidRPr="00A90E5F">
        <w:rPr>
          <w:i/>
          <w:iCs/>
          <w:lang w:val="fr-FR"/>
        </w:rPr>
        <w:t> Suède</w:t>
      </w:r>
      <w:r w:rsidRPr="00FF2AC9">
        <w:rPr>
          <w:rStyle w:val="Appelnotedebasdep"/>
        </w:rPr>
        <w:footnoteReference w:id="8"/>
      </w:r>
      <w:r w:rsidRPr="00A90E5F">
        <w:rPr>
          <w:iCs/>
          <w:lang w:val="fr-FR"/>
        </w:rPr>
        <w:t xml:space="preserve"> et à sa décision</w:t>
      </w:r>
      <w:r w:rsidR="00C96F26">
        <w:rPr>
          <w:lang w:val="fr-FR"/>
        </w:rPr>
        <w:t xml:space="preserve"> dans l</w:t>
      </w:r>
      <w:r w:rsidR="00D31389">
        <w:rPr>
          <w:lang w:val="fr-FR"/>
        </w:rPr>
        <w:t>’</w:t>
      </w:r>
      <w:r w:rsidR="00C96F26">
        <w:rPr>
          <w:lang w:val="fr-FR"/>
        </w:rPr>
        <w:t>affaire</w:t>
      </w:r>
      <w:r w:rsidRPr="00A90E5F">
        <w:rPr>
          <w:lang w:val="fr-FR"/>
        </w:rPr>
        <w:t xml:space="preserve"> </w:t>
      </w:r>
      <w:r w:rsidRPr="00A90E5F">
        <w:rPr>
          <w:i/>
          <w:iCs/>
          <w:lang w:val="fr-FR"/>
        </w:rPr>
        <w:t xml:space="preserve">M. C. M. V. F. </w:t>
      </w:r>
      <w:r w:rsidRPr="00A90E5F">
        <w:rPr>
          <w:iCs/>
          <w:lang w:val="fr-FR"/>
        </w:rPr>
        <w:t>c.</w:t>
      </w:r>
      <w:r w:rsidRPr="00A90E5F">
        <w:rPr>
          <w:i/>
          <w:iCs/>
          <w:lang w:val="fr-FR"/>
        </w:rPr>
        <w:t> Suède</w:t>
      </w:r>
      <w:r w:rsidRPr="00FF2AC9">
        <w:rPr>
          <w:rStyle w:val="Appelnotedebasdep"/>
        </w:rPr>
        <w:footnoteReference w:id="9"/>
      </w:r>
      <w:r w:rsidRPr="00A90E5F">
        <w:rPr>
          <w:iCs/>
          <w:lang w:val="fr-FR"/>
        </w:rPr>
        <w:t xml:space="preserve"> et maintient que l</w:t>
      </w:r>
      <w:r w:rsidR="00D31389">
        <w:rPr>
          <w:iCs/>
          <w:lang w:val="fr-FR"/>
        </w:rPr>
        <w:t>’</w:t>
      </w:r>
      <w:r w:rsidRPr="00A90E5F">
        <w:rPr>
          <w:iCs/>
          <w:lang w:val="fr-FR"/>
        </w:rPr>
        <w:t>élément déterminant est la situation qui existe dans le pays d</w:t>
      </w:r>
      <w:r w:rsidR="00D31389">
        <w:rPr>
          <w:iCs/>
          <w:lang w:val="fr-FR"/>
        </w:rPr>
        <w:t>’</w:t>
      </w:r>
      <w:r w:rsidRPr="00A90E5F">
        <w:rPr>
          <w:iCs/>
          <w:lang w:val="fr-FR"/>
        </w:rPr>
        <w:t>origine au moment où le demandeur d</w:t>
      </w:r>
      <w:r w:rsidR="00D31389">
        <w:rPr>
          <w:iCs/>
          <w:lang w:val="fr-FR"/>
        </w:rPr>
        <w:t>’</w:t>
      </w:r>
      <w:r w:rsidRPr="00A90E5F">
        <w:rPr>
          <w:iCs/>
          <w:lang w:val="fr-FR"/>
        </w:rPr>
        <w:t>asile est susceptible d</w:t>
      </w:r>
      <w:r w:rsidR="00D31389">
        <w:rPr>
          <w:iCs/>
          <w:lang w:val="fr-FR"/>
        </w:rPr>
        <w:t>’</w:t>
      </w:r>
      <w:r w:rsidRPr="00A90E5F">
        <w:rPr>
          <w:iCs/>
          <w:lang w:val="fr-FR"/>
        </w:rPr>
        <w:t>y être renvoyé</w:t>
      </w:r>
      <w:r w:rsidRPr="00A90E5F">
        <w:rPr>
          <w:lang w:val="fr-FR"/>
        </w:rPr>
        <w:t xml:space="preserve">. </w:t>
      </w:r>
    </w:p>
    <w:p w:rsidR="00A90E5F" w:rsidRPr="00A90E5F" w:rsidRDefault="00A90E5F" w:rsidP="00A90E5F">
      <w:pPr>
        <w:pStyle w:val="SingleTxtG"/>
        <w:rPr>
          <w:lang w:val="fr-FR"/>
        </w:rPr>
      </w:pPr>
      <w:r w:rsidRPr="00A90E5F">
        <w:rPr>
          <w:lang w:val="fr-FR"/>
        </w:rPr>
        <w:t>4.9</w:t>
      </w:r>
      <w:r w:rsidRPr="00A90E5F">
        <w:rPr>
          <w:lang w:val="fr-FR"/>
        </w:rPr>
        <w:tab/>
        <w:t>L</w:t>
      </w:r>
      <w:r w:rsidR="00D31389">
        <w:rPr>
          <w:lang w:val="fr-FR"/>
        </w:rPr>
        <w:t>’</w:t>
      </w:r>
      <w:r w:rsidRPr="00A90E5F">
        <w:rPr>
          <w:lang w:val="fr-FR"/>
        </w:rPr>
        <w:t>État partie affirme que le requérant n</w:t>
      </w:r>
      <w:r w:rsidR="00D31389">
        <w:rPr>
          <w:lang w:val="fr-FR"/>
        </w:rPr>
        <w:t>’</w:t>
      </w:r>
      <w:r w:rsidRPr="00A90E5F">
        <w:rPr>
          <w:lang w:val="fr-FR"/>
        </w:rPr>
        <w:t>a pas établi qu</w:t>
      </w:r>
      <w:r w:rsidR="00D31389">
        <w:rPr>
          <w:lang w:val="fr-FR"/>
        </w:rPr>
        <w:t>’</w:t>
      </w:r>
      <w:r w:rsidRPr="00A90E5F">
        <w:rPr>
          <w:lang w:val="fr-FR"/>
        </w:rPr>
        <w:t>à première vue sa requête était recevable au titre de l</w:t>
      </w:r>
      <w:r w:rsidR="00D31389">
        <w:rPr>
          <w:lang w:val="fr-FR"/>
        </w:rPr>
        <w:t>’</w:t>
      </w:r>
      <w:r w:rsidRPr="00A90E5F">
        <w:rPr>
          <w:lang w:val="fr-FR"/>
        </w:rPr>
        <w:t>article 3 de la Convention et renvoie à l</w:t>
      </w:r>
      <w:r w:rsidR="00D31389">
        <w:rPr>
          <w:lang w:val="fr-FR"/>
        </w:rPr>
        <w:t>’</w:t>
      </w:r>
      <w:r w:rsidRPr="00A90E5F">
        <w:rPr>
          <w:lang w:val="fr-FR"/>
        </w:rPr>
        <w:t>article 113 du règlement intérieur du Comité. Il n</w:t>
      </w:r>
      <w:r w:rsidR="00D31389">
        <w:rPr>
          <w:lang w:val="fr-FR"/>
        </w:rPr>
        <w:t>’</w:t>
      </w:r>
      <w:r w:rsidRPr="00A90E5F">
        <w:rPr>
          <w:lang w:val="fr-FR"/>
        </w:rPr>
        <w:t>a pas été établi qu</w:t>
      </w:r>
      <w:r w:rsidR="00D31389">
        <w:rPr>
          <w:lang w:val="fr-FR"/>
        </w:rPr>
        <w:t>’</w:t>
      </w:r>
      <w:r w:rsidRPr="00A90E5F">
        <w:rPr>
          <w:lang w:val="fr-FR"/>
        </w:rPr>
        <w:t>il existait des motifs sérieux de croire que le requérant risquait d</w:t>
      </w:r>
      <w:r w:rsidR="00D31389">
        <w:rPr>
          <w:lang w:val="fr-FR"/>
        </w:rPr>
        <w:t>’</w:t>
      </w:r>
      <w:r w:rsidRPr="00A90E5F">
        <w:rPr>
          <w:lang w:val="fr-FR"/>
        </w:rPr>
        <w:t>être soumis à la torture s</w:t>
      </w:r>
      <w:r w:rsidR="00D31389">
        <w:rPr>
          <w:lang w:val="fr-FR"/>
        </w:rPr>
        <w:t>’</w:t>
      </w:r>
      <w:r w:rsidRPr="00A90E5F">
        <w:rPr>
          <w:lang w:val="fr-FR"/>
        </w:rPr>
        <w:t>il était renvoyé au Soudan. Il s</w:t>
      </w:r>
      <w:r w:rsidR="00D31389">
        <w:rPr>
          <w:lang w:val="fr-FR"/>
        </w:rPr>
        <w:t>’</w:t>
      </w:r>
      <w:r w:rsidRPr="00A90E5F">
        <w:rPr>
          <w:lang w:val="fr-FR"/>
        </w:rPr>
        <w:t>ensuit que sa requête est manifestement dénuée de fondement et qu</w:t>
      </w:r>
      <w:r w:rsidR="00D31389">
        <w:rPr>
          <w:lang w:val="fr-FR"/>
        </w:rPr>
        <w:t>’</w:t>
      </w:r>
      <w:r w:rsidRPr="00A90E5F">
        <w:rPr>
          <w:lang w:val="fr-FR"/>
        </w:rPr>
        <w:t>elle devrait être déclarée irrecevable. Si le Comité devait la juger recevable, l</w:t>
      </w:r>
      <w:r w:rsidR="00D31389">
        <w:rPr>
          <w:lang w:val="fr-FR"/>
        </w:rPr>
        <w:t>’</w:t>
      </w:r>
      <w:r w:rsidRPr="00A90E5F">
        <w:rPr>
          <w:lang w:val="fr-FR"/>
        </w:rPr>
        <w:t>État partie objecte que le requérant n</w:t>
      </w:r>
      <w:r w:rsidR="00D31389">
        <w:rPr>
          <w:lang w:val="fr-FR"/>
        </w:rPr>
        <w:t>’</w:t>
      </w:r>
      <w:r w:rsidRPr="00A90E5F">
        <w:rPr>
          <w:lang w:val="fr-FR"/>
        </w:rPr>
        <w:t>a pas suffisamment montré que son renvoi au Soudan constituerait une violation de l</w:t>
      </w:r>
      <w:r w:rsidR="00D31389">
        <w:rPr>
          <w:lang w:val="fr-FR"/>
        </w:rPr>
        <w:t>’</w:t>
      </w:r>
      <w:r w:rsidRPr="00A90E5F">
        <w:rPr>
          <w:lang w:val="fr-FR"/>
        </w:rPr>
        <w:t>article 3 de la Convention.</w:t>
      </w:r>
    </w:p>
    <w:p w:rsidR="00A90E5F" w:rsidRPr="00A90E5F" w:rsidRDefault="00A90E5F" w:rsidP="00A90E5F">
      <w:pPr>
        <w:pStyle w:val="SingleTxtG"/>
        <w:rPr>
          <w:lang w:val="fr-FR"/>
        </w:rPr>
      </w:pPr>
      <w:r w:rsidRPr="00A90E5F">
        <w:rPr>
          <w:lang w:val="fr-FR"/>
        </w:rPr>
        <w:t>4.10</w:t>
      </w:r>
      <w:r w:rsidRPr="00A90E5F">
        <w:rPr>
          <w:lang w:val="fr-FR"/>
        </w:rPr>
        <w:tab/>
        <w:t>Il ressort de la décision rendue par la Commission de recours pour les réfugiés que celle-ci n</w:t>
      </w:r>
      <w:r w:rsidR="00D31389">
        <w:rPr>
          <w:lang w:val="fr-FR"/>
        </w:rPr>
        <w:t>’</w:t>
      </w:r>
      <w:r w:rsidRPr="00A90E5F">
        <w:rPr>
          <w:lang w:val="fr-FR"/>
        </w:rPr>
        <w:t>a pas retenu les déclarations du requérant sur les motifs de sa demande d</w:t>
      </w:r>
      <w:r w:rsidR="00D31389">
        <w:rPr>
          <w:lang w:val="fr-FR"/>
        </w:rPr>
        <w:t>’</w:t>
      </w:r>
      <w:r w:rsidRPr="00A90E5F">
        <w:rPr>
          <w:lang w:val="fr-FR"/>
        </w:rPr>
        <w:t>asile comme établissant des faits, une majorité de membres ayant relevé que sur des points essentiels l</w:t>
      </w:r>
      <w:r w:rsidR="00D31389">
        <w:rPr>
          <w:lang w:val="fr-FR"/>
        </w:rPr>
        <w:t>’</w:t>
      </w:r>
      <w:r w:rsidRPr="00A90E5F">
        <w:rPr>
          <w:lang w:val="fr-FR"/>
        </w:rPr>
        <w:t>intéressé avait varié dans ses déclarations, qui étaient exagérées, et que ses déclarations et celles de sa compagne sur la raison de leur départ du Soudan étaient différentes (voir plus haut par. 4.3 et 4.4). La Commission a conclu en conséquence que le requérant n</w:t>
      </w:r>
      <w:r w:rsidR="00D31389">
        <w:rPr>
          <w:lang w:val="fr-FR"/>
        </w:rPr>
        <w:t>’</w:t>
      </w:r>
      <w:r w:rsidRPr="00A90E5F">
        <w:rPr>
          <w:lang w:val="fr-FR"/>
        </w:rPr>
        <w:t>était pas parvenu à démontrer qu</w:t>
      </w:r>
      <w:r w:rsidR="00D31389">
        <w:rPr>
          <w:lang w:val="fr-FR"/>
        </w:rPr>
        <w:t>’</w:t>
      </w:r>
      <w:r w:rsidRPr="00A90E5F">
        <w:rPr>
          <w:lang w:val="fr-FR"/>
        </w:rPr>
        <w:t>il avait été victime d</w:t>
      </w:r>
      <w:r w:rsidR="00D31389">
        <w:rPr>
          <w:lang w:val="fr-FR"/>
        </w:rPr>
        <w:t>’</w:t>
      </w:r>
      <w:r w:rsidRPr="00A90E5F">
        <w:rPr>
          <w:lang w:val="fr-FR"/>
        </w:rPr>
        <w:t>actes de torture.</w:t>
      </w:r>
    </w:p>
    <w:p w:rsidR="00A90E5F" w:rsidRPr="00A90E5F" w:rsidRDefault="00A90E5F" w:rsidP="00A90E5F">
      <w:pPr>
        <w:pStyle w:val="SingleTxtG"/>
        <w:rPr>
          <w:lang w:val="fr-FR"/>
        </w:rPr>
      </w:pPr>
      <w:r w:rsidRPr="00A90E5F">
        <w:rPr>
          <w:lang w:val="fr-FR"/>
        </w:rPr>
        <w:t>4.11</w:t>
      </w:r>
      <w:r w:rsidRPr="00A90E5F">
        <w:rPr>
          <w:lang w:val="fr-FR"/>
        </w:rPr>
        <w:tab/>
        <w:t>Pour ce qui est de l</w:t>
      </w:r>
      <w:r w:rsidR="00D31389">
        <w:rPr>
          <w:lang w:val="fr-FR"/>
        </w:rPr>
        <w:t>’</w:t>
      </w:r>
      <w:r w:rsidRPr="00A90E5F">
        <w:rPr>
          <w:lang w:val="fr-FR"/>
        </w:rPr>
        <w:t>observation du requérant</w:t>
      </w:r>
      <w:r w:rsidR="00CB54B7">
        <w:rPr>
          <w:lang w:val="fr-FR"/>
        </w:rPr>
        <w:t xml:space="preserve"> </w:t>
      </w:r>
      <w:r w:rsidRPr="00A90E5F">
        <w:rPr>
          <w:lang w:val="fr-FR"/>
        </w:rPr>
        <w:t>qui souligne que le Service danois de l</w:t>
      </w:r>
      <w:r w:rsidR="00D31389">
        <w:rPr>
          <w:lang w:val="fr-FR"/>
        </w:rPr>
        <w:t>’</w:t>
      </w:r>
      <w:r w:rsidRPr="00A90E5F">
        <w:rPr>
          <w:lang w:val="fr-FR"/>
        </w:rPr>
        <w:t>immigration a statué sur sa demande d</w:t>
      </w:r>
      <w:r w:rsidR="00D31389">
        <w:rPr>
          <w:lang w:val="fr-FR"/>
        </w:rPr>
        <w:t>’</w:t>
      </w:r>
      <w:r w:rsidRPr="00A90E5F">
        <w:rPr>
          <w:lang w:val="fr-FR"/>
        </w:rPr>
        <w:t>asile sans demander qu</w:t>
      </w:r>
      <w:r w:rsidR="00D31389">
        <w:rPr>
          <w:lang w:val="fr-FR"/>
        </w:rPr>
        <w:t>’</w:t>
      </w:r>
      <w:r w:rsidRPr="00A90E5F">
        <w:rPr>
          <w:lang w:val="fr-FR"/>
        </w:rPr>
        <w:t>un examen visant à constater des</w:t>
      </w:r>
      <w:r w:rsidR="00CB54B7">
        <w:rPr>
          <w:lang w:val="fr-FR"/>
        </w:rPr>
        <w:t xml:space="preserve"> </w:t>
      </w:r>
      <w:r w:rsidRPr="00A90E5F">
        <w:rPr>
          <w:lang w:val="fr-FR"/>
        </w:rPr>
        <w:t>marques de torture soit effectué alors que l</w:t>
      </w:r>
      <w:r w:rsidR="00D31389">
        <w:rPr>
          <w:lang w:val="fr-FR"/>
        </w:rPr>
        <w:t>’</w:t>
      </w:r>
      <w:r w:rsidRPr="00A90E5F">
        <w:rPr>
          <w:lang w:val="fr-FR"/>
        </w:rPr>
        <w:t>intéressé consentait à</w:t>
      </w:r>
      <w:r w:rsidR="00CB54B7">
        <w:rPr>
          <w:lang w:val="fr-FR"/>
        </w:rPr>
        <w:t xml:space="preserve"> </w:t>
      </w:r>
      <w:r w:rsidRPr="00A90E5F">
        <w:rPr>
          <w:lang w:val="fr-FR"/>
        </w:rPr>
        <w:t>se faire examiner, l</w:t>
      </w:r>
      <w:r w:rsidR="00D31389">
        <w:rPr>
          <w:lang w:val="fr-FR"/>
        </w:rPr>
        <w:t>’</w:t>
      </w:r>
      <w:r w:rsidRPr="00A90E5F">
        <w:rPr>
          <w:lang w:val="fr-FR"/>
        </w:rPr>
        <w:t>État partie fait remarquer que généralement la Commission de recours pour les réfugiés n</w:t>
      </w:r>
      <w:r w:rsidR="00D31389">
        <w:rPr>
          <w:lang w:val="fr-FR"/>
        </w:rPr>
        <w:t>’</w:t>
      </w:r>
      <w:r w:rsidRPr="00A90E5F">
        <w:rPr>
          <w:lang w:val="fr-FR"/>
        </w:rPr>
        <w:t>ordonne pas cet examen médical dans le cas où le demandeur d</w:t>
      </w:r>
      <w:r w:rsidR="00D31389">
        <w:rPr>
          <w:lang w:val="fr-FR"/>
        </w:rPr>
        <w:t>’</w:t>
      </w:r>
      <w:r w:rsidRPr="00A90E5F">
        <w:rPr>
          <w:lang w:val="fr-FR"/>
        </w:rPr>
        <w:t>asile n</w:t>
      </w:r>
      <w:r w:rsidR="00D31389">
        <w:rPr>
          <w:lang w:val="fr-FR"/>
        </w:rPr>
        <w:t>’</w:t>
      </w:r>
      <w:r w:rsidRPr="00A90E5F">
        <w:rPr>
          <w:lang w:val="fr-FR"/>
        </w:rPr>
        <w:t>est pas apparu comme crédible pendant toute la procédure et</w:t>
      </w:r>
      <w:r w:rsidR="00CB54B7">
        <w:rPr>
          <w:lang w:val="fr-FR"/>
        </w:rPr>
        <w:t xml:space="preserve"> </w:t>
      </w:r>
      <w:r w:rsidRPr="00A90E5F">
        <w:rPr>
          <w:lang w:val="fr-FR"/>
        </w:rPr>
        <w:t>où la Commission a dû rejeter dans leur intégralité ses déclarations</w:t>
      </w:r>
      <w:r w:rsidR="00CB54B7">
        <w:rPr>
          <w:lang w:val="fr-FR"/>
        </w:rPr>
        <w:t xml:space="preserve"> </w:t>
      </w:r>
      <w:r w:rsidRPr="00A90E5F">
        <w:rPr>
          <w:lang w:val="fr-FR"/>
        </w:rPr>
        <w:t>concernant la torture. L</w:t>
      </w:r>
      <w:r w:rsidR="00D31389">
        <w:rPr>
          <w:lang w:val="fr-FR"/>
        </w:rPr>
        <w:t>’</w:t>
      </w:r>
      <w:r w:rsidRPr="00A90E5F">
        <w:rPr>
          <w:lang w:val="fr-FR"/>
        </w:rPr>
        <w:t>État partie considère que</w:t>
      </w:r>
      <w:r w:rsidR="00CB54B7">
        <w:rPr>
          <w:lang w:val="fr-FR"/>
        </w:rPr>
        <w:t xml:space="preserve"> </w:t>
      </w:r>
      <w:r w:rsidRPr="00A90E5F">
        <w:rPr>
          <w:lang w:val="fr-FR"/>
        </w:rPr>
        <w:t>l</w:t>
      </w:r>
      <w:r w:rsidR="00D31389">
        <w:rPr>
          <w:lang w:val="fr-FR"/>
        </w:rPr>
        <w:t>’</w:t>
      </w:r>
      <w:r w:rsidRPr="00A90E5F">
        <w:rPr>
          <w:lang w:val="fr-FR"/>
        </w:rPr>
        <w:t>affaire</w:t>
      </w:r>
      <w:r w:rsidRPr="00A90E5F">
        <w:rPr>
          <w:i/>
          <w:iCs/>
          <w:lang w:val="fr-FR"/>
        </w:rPr>
        <w:t xml:space="preserve"> K. H. </w:t>
      </w:r>
      <w:r w:rsidRPr="00A90E5F">
        <w:rPr>
          <w:iCs/>
          <w:lang w:val="fr-FR"/>
        </w:rPr>
        <w:t>c.</w:t>
      </w:r>
      <w:r w:rsidRPr="00A90E5F">
        <w:rPr>
          <w:i/>
          <w:iCs/>
          <w:lang w:val="fr-FR"/>
        </w:rPr>
        <w:t> Danemark</w:t>
      </w:r>
      <w:r w:rsidR="00FF2AC9" w:rsidRPr="00FF2AC9">
        <w:rPr>
          <w:rStyle w:val="Appelnotedebasdep"/>
          <w:iCs/>
        </w:rPr>
        <w:footnoteReference w:id="10"/>
      </w:r>
      <w:r w:rsidRPr="00A90E5F">
        <w:rPr>
          <w:iCs/>
          <w:lang w:val="fr-FR"/>
        </w:rPr>
        <w:t>, examinée par le Comité, diffère considérablement de la présente affaire puisqu</w:t>
      </w:r>
      <w:r w:rsidR="00D31389">
        <w:rPr>
          <w:iCs/>
          <w:lang w:val="fr-FR"/>
        </w:rPr>
        <w:t>’</w:t>
      </w:r>
      <w:r w:rsidRPr="00A90E5F">
        <w:rPr>
          <w:iCs/>
          <w:lang w:val="fr-FR"/>
        </w:rPr>
        <w:t>elle concernait un Afghan qui avait déposé une demande d</w:t>
      </w:r>
      <w:r w:rsidR="00D31389">
        <w:rPr>
          <w:iCs/>
          <w:lang w:val="fr-FR"/>
        </w:rPr>
        <w:t>’</w:t>
      </w:r>
      <w:r w:rsidRPr="00A90E5F">
        <w:rPr>
          <w:iCs/>
          <w:lang w:val="fr-FR"/>
        </w:rPr>
        <w:t xml:space="preserve">asile pour des motifs liés aux actes des Talibans et que la Commission avait jugé « crédibles </w:t>
      </w:r>
      <w:r w:rsidRPr="00A90E5F">
        <w:t>les déclarations</w:t>
      </w:r>
      <w:r w:rsidRPr="00A90E5F">
        <w:rPr>
          <w:iCs/>
          <w:lang w:val="fr-FR"/>
        </w:rPr>
        <w:t xml:space="preserve"> du requérant sur ses différends avec les Talibans ».</w:t>
      </w:r>
    </w:p>
    <w:p w:rsidR="00A90E5F" w:rsidRPr="00A90E5F" w:rsidRDefault="00A90E5F" w:rsidP="00A90E5F">
      <w:pPr>
        <w:pStyle w:val="SingleTxtG"/>
        <w:rPr>
          <w:lang w:val="fr-FR"/>
        </w:rPr>
      </w:pPr>
      <w:r w:rsidRPr="00A90E5F">
        <w:rPr>
          <w:lang w:val="fr-FR"/>
        </w:rPr>
        <w:t>4.12</w:t>
      </w:r>
      <w:r w:rsidRPr="00A90E5F">
        <w:rPr>
          <w:lang w:val="fr-FR"/>
        </w:rPr>
        <w:tab/>
        <w:t>La Commission de recours pour les réfugiés a également conclu que la relation du requérant avec une chrétienne ne justifiait pas l</w:t>
      </w:r>
      <w:r w:rsidR="00D31389">
        <w:rPr>
          <w:lang w:val="fr-FR"/>
        </w:rPr>
        <w:t>’</w:t>
      </w:r>
      <w:r w:rsidRPr="00A90E5F">
        <w:rPr>
          <w:lang w:val="fr-FR"/>
        </w:rPr>
        <w:t>octroi de l</w:t>
      </w:r>
      <w:r w:rsidR="00D31389">
        <w:rPr>
          <w:lang w:val="fr-FR"/>
        </w:rPr>
        <w:t>’</w:t>
      </w:r>
      <w:r w:rsidRPr="00A90E5F">
        <w:rPr>
          <w:lang w:val="fr-FR"/>
        </w:rPr>
        <w:t>asile (voir plus haut par. 4.4). L</w:t>
      </w:r>
      <w:r w:rsidR="00D31389">
        <w:rPr>
          <w:lang w:val="fr-FR"/>
        </w:rPr>
        <w:t>’</w:t>
      </w:r>
      <w:r w:rsidRPr="00A90E5F">
        <w:rPr>
          <w:lang w:val="fr-FR"/>
        </w:rPr>
        <w:t>État partie renvoie à</w:t>
      </w:r>
      <w:r w:rsidR="00CB54B7">
        <w:rPr>
          <w:lang w:val="fr-FR"/>
        </w:rPr>
        <w:t xml:space="preserve"> </w:t>
      </w:r>
      <w:r w:rsidRPr="00A90E5F">
        <w:rPr>
          <w:lang w:val="fr-FR"/>
        </w:rPr>
        <w:t xml:space="preserve">ce sujet à un rapport </w:t>
      </w:r>
      <w:r w:rsidRPr="00A90E5F">
        <w:rPr>
          <w:iCs/>
          <w:lang w:val="fr-FR"/>
        </w:rPr>
        <w:t xml:space="preserve">du </w:t>
      </w:r>
      <w:r w:rsidRPr="00A90E5F">
        <w:rPr>
          <w:lang w:val="fr-FR"/>
        </w:rPr>
        <w:t>Département d</w:t>
      </w:r>
      <w:r w:rsidR="00D31389">
        <w:rPr>
          <w:lang w:val="fr-FR"/>
        </w:rPr>
        <w:t>’</w:t>
      </w:r>
      <w:r w:rsidRPr="00A90E5F">
        <w:rPr>
          <w:lang w:val="fr-FR"/>
        </w:rPr>
        <w:t xml:space="preserve">État des États-Unis en date du 30 juillet 2012 intitulé </w:t>
      </w:r>
      <w:r w:rsidRPr="00A90E5F">
        <w:rPr>
          <w:i/>
          <w:iCs/>
          <w:lang w:val="fr-FR"/>
        </w:rPr>
        <w:t>International </w:t>
      </w:r>
      <w:proofErr w:type="spellStart"/>
      <w:r w:rsidRPr="00A90E5F">
        <w:rPr>
          <w:i/>
          <w:iCs/>
          <w:lang w:val="fr-FR"/>
        </w:rPr>
        <w:t>Religious</w:t>
      </w:r>
      <w:proofErr w:type="spellEnd"/>
      <w:r w:rsidRPr="00A90E5F">
        <w:rPr>
          <w:i/>
          <w:iCs/>
          <w:lang w:val="fr-FR"/>
        </w:rPr>
        <w:t> </w:t>
      </w:r>
      <w:proofErr w:type="spellStart"/>
      <w:r w:rsidRPr="00A90E5F">
        <w:rPr>
          <w:i/>
          <w:iCs/>
          <w:lang w:val="fr-FR"/>
        </w:rPr>
        <w:t>Freedom</w:t>
      </w:r>
      <w:proofErr w:type="spellEnd"/>
      <w:r w:rsidRPr="00A90E5F">
        <w:rPr>
          <w:i/>
          <w:iCs/>
          <w:lang w:val="fr-FR"/>
        </w:rPr>
        <w:t> Report for 2012</w:t>
      </w:r>
      <w:r w:rsidR="00D31389">
        <w:rPr>
          <w:i/>
          <w:iCs/>
          <w:lang w:val="fr-FR"/>
        </w:rPr>
        <w:t> −</w:t>
      </w:r>
      <w:r w:rsidRPr="00A90E5F">
        <w:rPr>
          <w:i/>
          <w:iCs/>
          <w:lang w:val="fr-FR"/>
        </w:rPr>
        <w:t> </w:t>
      </w:r>
      <w:proofErr w:type="spellStart"/>
      <w:r w:rsidRPr="00A90E5F">
        <w:rPr>
          <w:i/>
          <w:iCs/>
          <w:lang w:val="fr-FR"/>
        </w:rPr>
        <w:t>Sudan</w:t>
      </w:r>
      <w:proofErr w:type="spellEnd"/>
      <w:r w:rsidRPr="00FF2AC9">
        <w:rPr>
          <w:rStyle w:val="Appelnotedebasdep"/>
        </w:rPr>
        <w:footnoteReference w:id="11"/>
      </w:r>
      <w:r w:rsidRPr="00A90E5F">
        <w:rPr>
          <w:iCs/>
          <w:lang w:val="fr-FR"/>
        </w:rPr>
        <w:t xml:space="preserve">, </w:t>
      </w:r>
      <w:r w:rsidRPr="00A90E5F">
        <w:rPr>
          <w:lang w:val="fr-FR"/>
        </w:rPr>
        <w:lastRenderedPageBreak/>
        <w:t>lequel</w:t>
      </w:r>
      <w:r w:rsidR="00CB54B7">
        <w:rPr>
          <w:lang w:val="fr-FR"/>
        </w:rPr>
        <w:t xml:space="preserve"> </w:t>
      </w:r>
      <w:r w:rsidRPr="00A90E5F">
        <w:rPr>
          <w:lang w:val="fr-FR"/>
        </w:rPr>
        <w:t>figurait parmi</w:t>
      </w:r>
      <w:r w:rsidR="00CB54B7">
        <w:rPr>
          <w:lang w:val="fr-FR"/>
        </w:rPr>
        <w:t xml:space="preserve"> </w:t>
      </w:r>
      <w:r w:rsidRPr="00A90E5F">
        <w:rPr>
          <w:lang w:val="fr-FR"/>
        </w:rPr>
        <w:t>les documents de référence utilisés par la Commission pour</w:t>
      </w:r>
      <w:r w:rsidR="00CB54B7">
        <w:rPr>
          <w:lang w:val="fr-FR"/>
        </w:rPr>
        <w:t xml:space="preserve"> </w:t>
      </w:r>
      <w:r w:rsidRPr="00A90E5F">
        <w:rPr>
          <w:lang w:val="fr-FR"/>
        </w:rPr>
        <w:t>évaluer le cas</w:t>
      </w:r>
      <w:r w:rsidR="00CB54B7">
        <w:rPr>
          <w:lang w:val="fr-FR"/>
        </w:rPr>
        <w:t xml:space="preserve"> </w:t>
      </w:r>
      <w:r w:rsidRPr="00A90E5F">
        <w:rPr>
          <w:lang w:val="fr-FR"/>
        </w:rPr>
        <w:t>du requérant. Après avoir évalué l</w:t>
      </w:r>
      <w:r w:rsidR="00D31389">
        <w:rPr>
          <w:lang w:val="fr-FR"/>
        </w:rPr>
        <w:t>’</w:t>
      </w:r>
      <w:r w:rsidRPr="00A90E5F">
        <w:rPr>
          <w:lang w:val="fr-FR"/>
        </w:rPr>
        <w:t>ensemble des renseignements donnés par l</w:t>
      </w:r>
      <w:r w:rsidR="00D31389">
        <w:rPr>
          <w:lang w:val="fr-FR"/>
        </w:rPr>
        <w:t>’</w:t>
      </w:r>
      <w:r w:rsidRPr="00A90E5F">
        <w:rPr>
          <w:lang w:val="fr-FR"/>
        </w:rPr>
        <w:t>intéressé et les informations circonstanciées versées au dossier, notamment les renseignements communiqués par sa compagne et les informations générales disponibles sur la situation dans la région d</w:t>
      </w:r>
      <w:r w:rsidR="00D31389">
        <w:rPr>
          <w:lang w:val="fr-FR"/>
        </w:rPr>
        <w:t>’</w:t>
      </w:r>
      <w:r w:rsidRPr="00A90E5F">
        <w:rPr>
          <w:lang w:val="fr-FR"/>
        </w:rPr>
        <w:t>origine du requérant, la majorité des membres de la Commission n</w:t>
      </w:r>
      <w:r w:rsidR="00D31389">
        <w:rPr>
          <w:lang w:val="fr-FR"/>
        </w:rPr>
        <w:t>’</w:t>
      </w:r>
      <w:r w:rsidRPr="00A90E5F">
        <w:rPr>
          <w:lang w:val="fr-FR"/>
        </w:rPr>
        <w:t>a pas considéré que les déclarations du requérant sur les conflits qu</w:t>
      </w:r>
      <w:r w:rsidR="00D31389">
        <w:rPr>
          <w:lang w:val="fr-FR"/>
        </w:rPr>
        <w:t>’</w:t>
      </w:r>
      <w:r w:rsidRPr="00A90E5F">
        <w:rPr>
          <w:lang w:val="fr-FR"/>
        </w:rPr>
        <w:t>il aurait eus avec les autorités ou d</w:t>
      </w:r>
      <w:r w:rsidR="00D31389">
        <w:rPr>
          <w:lang w:val="fr-FR"/>
        </w:rPr>
        <w:t>’</w:t>
      </w:r>
      <w:r w:rsidRPr="00A90E5F">
        <w:rPr>
          <w:lang w:val="fr-FR"/>
        </w:rPr>
        <w:t>autres personnes au Soudan avant</w:t>
      </w:r>
      <w:r w:rsidR="00CB54B7">
        <w:rPr>
          <w:lang w:val="fr-FR"/>
        </w:rPr>
        <w:t xml:space="preserve"> </w:t>
      </w:r>
      <w:r w:rsidRPr="00A90E5F">
        <w:rPr>
          <w:lang w:val="fr-FR"/>
        </w:rPr>
        <w:t>de quitter le pays étaient des faits établis. De plus, pour l</w:t>
      </w:r>
      <w:r w:rsidR="00D31389">
        <w:rPr>
          <w:lang w:val="fr-FR"/>
        </w:rPr>
        <w:t>’</w:t>
      </w:r>
      <w:r w:rsidRPr="00A90E5F">
        <w:rPr>
          <w:lang w:val="fr-FR"/>
        </w:rPr>
        <w:t>État partie, ni le fait que la décision de la Commission n</w:t>
      </w:r>
      <w:r w:rsidR="00D31389">
        <w:rPr>
          <w:lang w:val="fr-FR"/>
        </w:rPr>
        <w:t>’</w:t>
      </w:r>
      <w:r w:rsidRPr="00A90E5F">
        <w:rPr>
          <w:lang w:val="fr-FR"/>
        </w:rPr>
        <w:t>a pas été unanime ni le fait que le requérant vienne d</w:t>
      </w:r>
      <w:r w:rsidR="00D31389">
        <w:rPr>
          <w:lang w:val="fr-FR"/>
        </w:rPr>
        <w:t>’</w:t>
      </w:r>
      <w:r w:rsidRPr="00A90E5F">
        <w:rPr>
          <w:lang w:val="fr-FR"/>
        </w:rPr>
        <w:t>un pays où des violations graves des droits de l</w:t>
      </w:r>
      <w:r w:rsidR="00D31389">
        <w:rPr>
          <w:lang w:val="fr-FR"/>
        </w:rPr>
        <w:t>’</w:t>
      </w:r>
      <w:r w:rsidRPr="00A90E5F">
        <w:rPr>
          <w:lang w:val="fr-FR"/>
        </w:rPr>
        <w:t>homme sont commises ne peuvent conduire à apprécier différemment l</w:t>
      </w:r>
      <w:r w:rsidR="00D31389">
        <w:rPr>
          <w:lang w:val="fr-FR"/>
        </w:rPr>
        <w:t>’</w:t>
      </w:r>
      <w:r w:rsidRPr="00A90E5F">
        <w:rPr>
          <w:lang w:val="fr-FR"/>
        </w:rPr>
        <w:t>affaire.</w:t>
      </w:r>
    </w:p>
    <w:p w:rsidR="00A90E5F" w:rsidRPr="00A90E5F" w:rsidRDefault="00A90E5F" w:rsidP="00A90E5F">
      <w:pPr>
        <w:pStyle w:val="SingleTxtG"/>
        <w:rPr>
          <w:lang w:val="fr-FR"/>
        </w:rPr>
      </w:pPr>
      <w:r w:rsidRPr="00A90E5F">
        <w:rPr>
          <w:lang w:val="fr-FR"/>
        </w:rPr>
        <w:t>4.13</w:t>
      </w:r>
      <w:r w:rsidRPr="00A90E5F">
        <w:rPr>
          <w:lang w:val="fr-FR"/>
        </w:rPr>
        <w:tab/>
        <w:t>L</w:t>
      </w:r>
      <w:r w:rsidR="00D31389">
        <w:rPr>
          <w:lang w:val="fr-FR"/>
        </w:rPr>
        <w:t>’</w:t>
      </w:r>
      <w:r w:rsidRPr="00A90E5F">
        <w:rPr>
          <w:lang w:val="fr-FR"/>
        </w:rPr>
        <w:t>État partie fait observer que dans sa plainte au Comité le requérant n</w:t>
      </w:r>
      <w:r w:rsidR="00D31389">
        <w:rPr>
          <w:lang w:val="fr-FR"/>
        </w:rPr>
        <w:t>’</w:t>
      </w:r>
      <w:r w:rsidRPr="00A90E5F">
        <w:rPr>
          <w:lang w:val="fr-FR"/>
        </w:rPr>
        <w:t>apporte aucune autre information sur les mauvais traitements qu</w:t>
      </w:r>
      <w:r w:rsidR="00D31389">
        <w:rPr>
          <w:lang w:val="fr-FR"/>
        </w:rPr>
        <w:t>’</w:t>
      </w:r>
      <w:r w:rsidRPr="00A90E5F">
        <w:rPr>
          <w:lang w:val="fr-FR"/>
        </w:rPr>
        <w:t>il aurait subis dans son pays d</w:t>
      </w:r>
      <w:r w:rsidR="00D31389">
        <w:rPr>
          <w:lang w:val="fr-FR"/>
        </w:rPr>
        <w:t>’</w:t>
      </w:r>
      <w:r w:rsidRPr="00A90E5F">
        <w:rPr>
          <w:lang w:val="fr-FR"/>
        </w:rPr>
        <w:t>origine que celles dont la Commission disposait lorsqu</w:t>
      </w:r>
      <w:r w:rsidR="00D31389">
        <w:rPr>
          <w:lang w:val="fr-FR"/>
        </w:rPr>
        <w:t>’</w:t>
      </w:r>
      <w:r w:rsidRPr="00A90E5F">
        <w:rPr>
          <w:lang w:val="fr-FR"/>
        </w:rPr>
        <w:t>elle a statué sur son recours et sur lesquelles</w:t>
      </w:r>
      <w:r w:rsidR="00CB54B7">
        <w:rPr>
          <w:lang w:val="fr-FR"/>
        </w:rPr>
        <w:t xml:space="preserve"> </w:t>
      </w:r>
      <w:r w:rsidRPr="00A90E5F">
        <w:rPr>
          <w:lang w:val="fr-FR"/>
        </w:rPr>
        <w:t>elle a fondé sa décision. Aucun autre renseignement n</w:t>
      </w:r>
      <w:r w:rsidR="00D31389">
        <w:rPr>
          <w:lang w:val="fr-FR"/>
        </w:rPr>
        <w:t>’</w:t>
      </w:r>
      <w:r w:rsidRPr="00A90E5F">
        <w:rPr>
          <w:lang w:val="fr-FR"/>
        </w:rPr>
        <w:t>a non plus été apporté au Comité qui puisse entraîner une évaluation différente de la crédibilité des informations données par le requérant à l</w:t>
      </w:r>
      <w:r w:rsidR="00D31389">
        <w:rPr>
          <w:lang w:val="fr-FR"/>
        </w:rPr>
        <w:t>’</w:t>
      </w:r>
      <w:r w:rsidRPr="00A90E5F">
        <w:rPr>
          <w:lang w:val="fr-FR"/>
        </w:rPr>
        <w:t>appui de sa demande d</w:t>
      </w:r>
      <w:r w:rsidR="00D31389">
        <w:rPr>
          <w:lang w:val="fr-FR"/>
        </w:rPr>
        <w:t>’</w:t>
      </w:r>
      <w:r w:rsidRPr="00A90E5F">
        <w:rPr>
          <w:lang w:val="fr-FR"/>
        </w:rPr>
        <w:t>asile. L</w:t>
      </w:r>
      <w:r w:rsidR="00D31389">
        <w:rPr>
          <w:lang w:val="fr-FR"/>
        </w:rPr>
        <w:t>’</w:t>
      </w:r>
      <w:r w:rsidRPr="00A90E5F">
        <w:rPr>
          <w:lang w:val="fr-FR"/>
        </w:rPr>
        <w:t>État partie renvoie en outre aux constatations de la Cour européenne des droits de l</w:t>
      </w:r>
      <w:r w:rsidR="00D31389">
        <w:rPr>
          <w:lang w:val="fr-FR"/>
        </w:rPr>
        <w:t>’</w:t>
      </w:r>
      <w:r w:rsidRPr="00A90E5F">
        <w:rPr>
          <w:lang w:val="fr-FR"/>
        </w:rPr>
        <w:t>homme dans plusieurs affaires relatives à l</w:t>
      </w:r>
      <w:r w:rsidR="00D31389">
        <w:rPr>
          <w:lang w:val="fr-FR"/>
        </w:rPr>
        <w:t>’</w:t>
      </w:r>
      <w:r w:rsidRPr="00A90E5F">
        <w:rPr>
          <w:lang w:val="fr-FR"/>
        </w:rPr>
        <w:t>évaluation de la crédibilité des demandeurs dans les procédures d</w:t>
      </w:r>
      <w:r w:rsidR="00D31389">
        <w:rPr>
          <w:lang w:val="fr-FR"/>
        </w:rPr>
        <w:t>’</w:t>
      </w:r>
      <w:r w:rsidRPr="00A90E5F">
        <w:rPr>
          <w:lang w:val="fr-FR"/>
        </w:rPr>
        <w:t>asile, notamment à l</w:t>
      </w:r>
      <w:r w:rsidR="00D31389">
        <w:rPr>
          <w:lang w:val="fr-FR"/>
        </w:rPr>
        <w:t>’</w:t>
      </w:r>
      <w:r w:rsidRPr="00A90E5F">
        <w:rPr>
          <w:lang w:val="fr-FR"/>
        </w:rPr>
        <w:t>arrêt dans l</w:t>
      </w:r>
      <w:r w:rsidR="00D31389">
        <w:rPr>
          <w:lang w:val="fr-FR"/>
        </w:rPr>
        <w:t>’</w:t>
      </w:r>
      <w:r w:rsidRPr="00A90E5F">
        <w:rPr>
          <w:lang w:val="fr-FR"/>
        </w:rPr>
        <w:t xml:space="preserve">affaire </w:t>
      </w:r>
      <w:r w:rsidRPr="00A90E5F">
        <w:rPr>
          <w:i/>
          <w:iCs/>
          <w:lang w:val="fr-FR"/>
        </w:rPr>
        <w:t xml:space="preserve">R. C. </w:t>
      </w:r>
      <w:r w:rsidRPr="00A90E5F">
        <w:rPr>
          <w:iCs/>
          <w:lang w:val="fr-FR"/>
        </w:rPr>
        <w:t>c.</w:t>
      </w:r>
      <w:r w:rsidRPr="00A90E5F">
        <w:rPr>
          <w:i/>
          <w:iCs/>
          <w:lang w:val="fr-FR"/>
        </w:rPr>
        <w:t> Suède</w:t>
      </w:r>
      <w:r w:rsidRPr="00A90E5F">
        <w:rPr>
          <w:lang w:val="fr-FR"/>
        </w:rPr>
        <w:t> </w:t>
      </w:r>
      <w:r w:rsidRPr="00CB54B7">
        <w:rPr>
          <w:lang w:val="fr-FR"/>
        </w:rPr>
        <w:t>:</w:t>
      </w:r>
      <w:r w:rsidRPr="00A90E5F">
        <w:rPr>
          <w:lang w:val="fr-FR"/>
        </w:rPr>
        <w:t xml:space="preserve"> « La</w:t>
      </w:r>
      <w:r w:rsidR="00FF2AC9">
        <w:rPr>
          <w:lang w:val="fr-FR"/>
        </w:rPr>
        <w:t xml:space="preserve"> </w:t>
      </w:r>
      <w:r w:rsidRPr="00A90E5F">
        <w:rPr>
          <w:lang w:val="fr-FR"/>
        </w:rPr>
        <w:t>Cour</w:t>
      </w:r>
      <w:r w:rsidR="00FF2AC9">
        <w:rPr>
          <w:lang w:val="fr-FR"/>
        </w:rPr>
        <w:t xml:space="preserve"> </w:t>
      </w:r>
      <w:r w:rsidRPr="00A90E5F">
        <w:rPr>
          <w:lang w:val="fr-FR"/>
        </w:rPr>
        <w:t>observe, dès le départ, qu</w:t>
      </w:r>
      <w:r w:rsidR="00D31389">
        <w:rPr>
          <w:lang w:val="fr-FR"/>
        </w:rPr>
        <w:t>’</w:t>
      </w:r>
      <w:r w:rsidRPr="00A90E5F">
        <w:rPr>
          <w:lang w:val="fr-FR"/>
        </w:rPr>
        <w:t>il y a un désaccord entre les parties en ce qui concerne les faits, et que le</w:t>
      </w:r>
      <w:r w:rsidR="00FF2AC9">
        <w:rPr>
          <w:lang w:val="fr-FR"/>
        </w:rPr>
        <w:t xml:space="preserve"> </w:t>
      </w:r>
      <w:r w:rsidRPr="00A90E5F">
        <w:rPr>
          <w:lang w:val="fr-FR"/>
        </w:rPr>
        <w:t>Gouvernement a mis en cause la crédibilité de l</w:t>
      </w:r>
      <w:r w:rsidR="00D31389">
        <w:rPr>
          <w:lang w:val="fr-FR"/>
        </w:rPr>
        <w:t>’</w:t>
      </w:r>
      <w:r w:rsidRPr="00A90E5F">
        <w:rPr>
          <w:lang w:val="fr-FR"/>
        </w:rPr>
        <w:t>auteur et souligné certaines incohérences dans son récit. Elle reconnaît qu</w:t>
      </w:r>
      <w:r w:rsidR="00D31389">
        <w:rPr>
          <w:lang w:val="fr-FR"/>
        </w:rPr>
        <w:t>’</w:t>
      </w:r>
      <w:r w:rsidRPr="00A90E5F">
        <w:rPr>
          <w:lang w:val="fr-FR"/>
        </w:rPr>
        <w:t>il est souvent difficile d</w:t>
      </w:r>
      <w:r w:rsidR="00D31389">
        <w:rPr>
          <w:lang w:val="fr-FR"/>
        </w:rPr>
        <w:t>’</w:t>
      </w:r>
      <w:r w:rsidRPr="00A90E5F">
        <w:rPr>
          <w:lang w:val="fr-FR"/>
        </w:rPr>
        <w:t>établir avec précision la réalité des faits dans des affaires comme celle-ci. La Cour reconnaît, en tant que principe général, que les autorités nationales sont les mieux placées pour évaluer non seulement les faits mais, plus particulièrement, la crédibilité des témoins, car ce sont elles qui ont eu l</w:t>
      </w:r>
      <w:r w:rsidR="00D31389">
        <w:rPr>
          <w:lang w:val="fr-FR"/>
        </w:rPr>
        <w:t>’</w:t>
      </w:r>
      <w:r w:rsidRPr="00A90E5F">
        <w:rPr>
          <w:lang w:val="fr-FR"/>
        </w:rPr>
        <w:t>occasion de voir l</w:t>
      </w:r>
      <w:r w:rsidR="00D31389">
        <w:rPr>
          <w:lang w:val="fr-FR"/>
        </w:rPr>
        <w:t>’</w:t>
      </w:r>
      <w:r w:rsidRPr="00A90E5F">
        <w:rPr>
          <w:lang w:val="fr-FR"/>
        </w:rPr>
        <w:t>intéressé, de l</w:t>
      </w:r>
      <w:r w:rsidR="00D31389">
        <w:rPr>
          <w:lang w:val="fr-FR"/>
        </w:rPr>
        <w:t>’</w:t>
      </w:r>
      <w:r w:rsidRPr="00A90E5F">
        <w:rPr>
          <w:lang w:val="fr-FR"/>
        </w:rPr>
        <w:t>entendre et d</w:t>
      </w:r>
      <w:r w:rsidR="00D31389">
        <w:rPr>
          <w:lang w:val="fr-FR"/>
        </w:rPr>
        <w:t>’</w:t>
      </w:r>
      <w:r w:rsidRPr="00A90E5F">
        <w:rPr>
          <w:lang w:val="fr-FR"/>
        </w:rPr>
        <w:t>apprécier son comportement</w:t>
      </w:r>
      <w:r w:rsidR="00665590">
        <w:rPr>
          <w:rStyle w:val="Appelnotedebasdep"/>
        </w:rPr>
        <w:footnoteReference w:id="12"/>
      </w:r>
      <w:r w:rsidR="00CB54B7">
        <w:rPr>
          <w:lang w:val="fr-FR"/>
        </w:rPr>
        <w:t>.</w:t>
      </w:r>
      <w:r w:rsidRPr="00A90E5F">
        <w:rPr>
          <w:lang w:val="fr-FR"/>
        </w:rPr>
        <w:t> ».</w:t>
      </w:r>
    </w:p>
    <w:p w:rsidR="00A90E5F" w:rsidRPr="00A90E5F" w:rsidRDefault="00A90E5F" w:rsidP="00A90E5F">
      <w:pPr>
        <w:pStyle w:val="SingleTxtG"/>
        <w:rPr>
          <w:lang w:val="fr-FR"/>
        </w:rPr>
      </w:pPr>
      <w:r w:rsidRPr="00A90E5F">
        <w:rPr>
          <w:lang w:val="fr-FR"/>
        </w:rPr>
        <w:t>4.14</w:t>
      </w:r>
      <w:r w:rsidRPr="00A90E5F">
        <w:rPr>
          <w:lang w:val="fr-FR"/>
        </w:rPr>
        <w:tab/>
        <w:t>L</w:t>
      </w:r>
      <w:r w:rsidR="00D31389">
        <w:rPr>
          <w:lang w:val="fr-FR"/>
        </w:rPr>
        <w:t>’</w:t>
      </w:r>
      <w:r w:rsidRPr="00A90E5F">
        <w:rPr>
          <w:lang w:val="fr-FR"/>
        </w:rPr>
        <w:t>État partie souligne également que conformément à la jurisprudence du Comité tout le crédit voulu doit être accordé aux conclusio</w:t>
      </w:r>
      <w:r w:rsidR="00FF2AC9">
        <w:rPr>
          <w:lang w:val="fr-FR"/>
        </w:rPr>
        <w:t>ns des autorités sur les faits</w:t>
      </w:r>
      <w:r w:rsidR="00665590">
        <w:rPr>
          <w:rStyle w:val="Appelnotedebasdep"/>
        </w:rPr>
        <w:footnoteReference w:id="13"/>
      </w:r>
      <w:r w:rsidRPr="00A90E5F">
        <w:rPr>
          <w:lang w:val="fr-FR"/>
        </w:rPr>
        <w:t>. La Commission de recours pour les réfugiés a rendu sa décision au terme d</w:t>
      </w:r>
      <w:r w:rsidR="00D31389">
        <w:rPr>
          <w:lang w:val="fr-FR"/>
        </w:rPr>
        <w:t>’</w:t>
      </w:r>
      <w:r w:rsidRPr="00A90E5F">
        <w:rPr>
          <w:lang w:val="fr-FR"/>
        </w:rPr>
        <w:t>une procédure pendant laquelle le requérant a pu présenter ses vues, tant par écrit qu</w:t>
      </w:r>
      <w:r w:rsidR="00D31389">
        <w:rPr>
          <w:lang w:val="fr-FR"/>
        </w:rPr>
        <w:t>’</w:t>
      </w:r>
      <w:r w:rsidRPr="00A90E5F">
        <w:rPr>
          <w:lang w:val="fr-FR"/>
        </w:rPr>
        <w:t>oralement, avec l</w:t>
      </w:r>
      <w:r w:rsidR="00D31389">
        <w:rPr>
          <w:lang w:val="fr-FR"/>
        </w:rPr>
        <w:t>’</w:t>
      </w:r>
      <w:r w:rsidRPr="00A90E5F">
        <w:rPr>
          <w:lang w:val="fr-FR"/>
        </w:rPr>
        <w:t>assistance d</w:t>
      </w:r>
      <w:r w:rsidR="00D31389">
        <w:rPr>
          <w:lang w:val="fr-FR"/>
        </w:rPr>
        <w:t>’</w:t>
      </w:r>
      <w:r w:rsidRPr="00A90E5F">
        <w:rPr>
          <w:lang w:val="fr-FR"/>
        </w:rPr>
        <w:t>un conseil. Cette décision repose par conséquent sur un examen complet et approfondi de tous les éléments disponibles. Pour juger de la crédibilité du requérant, la Commission</w:t>
      </w:r>
      <w:r w:rsidR="00CB54B7">
        <w:rPr>
          <w:lang w:val="fr-FR"/>
        </w:rPr>
        <w:t xml:space="preserve"> </w:t>
      </w:r>
      <w:r w:rsidRPr="00A90E5F">
        <w:rPr>
          <w:lang w:val="fr-FR"/>
        </w:rPr>
        <w:t>a fait</w:t>
      </w:r>
      <w:r w:rsidR="00CB54B7">
        <w:rPr>
          <w:lang w:val="fr-FR"/>
        </w:rPr>
        <w:t xml:space="preserve"> </w:t>
      </w:r>
      <w:r w:rsidRPr="00A90E5F">
        <w:rPr>
          <w:lang w:val="fr-FR"/>
        </w:rPr>
        <w:t>une</w:t>
      </w:r>
      <w:r w:rsidR="00CB54B7">
        <w:rPr>
          <w:lang w:val="fr-FR"/>
        </w:rPr>
        <w:t xml:space="preserve"> </w:t>
      </w:r>
      <w:r w:rsidRPr="00A90E5F">
        <w:rPr>
          <w:lang w:val="fr-FR"/>
        </w:rPr>
        <w:t>évaluation générale et a tenu compte des déclarations et du comportement de l</w:t>
      </w:r>
      <w:r w:rsidR="00D31389">
        <w:rPr>
          <w:lang w:val="fr-FR"/>
        </w:rPr>
        <w:t>’</w:t>
      </w:r>
      <w:r w:rsidRPr="00A90E5F">
        <w:rPr>
          <w:lang w:val="fr-FR"/>
        </w:rPr>
        <w:t>intéressé pendant l</w:t>
      </w:r>
      <w:r w:rsidR="00D31389">
        <w:rPr>
          <w:lang w:val="fr-FR"/>
        </w:rPr>
        <w:t>’</w:t>
      </w:r>
      <w:r w:rsidRPr="00A90E5F">
        <w:rPr>
          <w:lang w:val="fr-FR"/>
        </w:rPr>
        <w:t>audience ainsi que d</w:t>
      </w:r>
      <w:r w:rsidR="00D31389">
        <w:rPr>
          <w:lang w:val="fr-FR"/>
        </w:rPr>
        <w:t>’</w:t>
      </w:r>
      <w:r w:rsidRPr="00A90E5F">
        <w:rPr>
          <w:lang w:val="fr-FR"/>
        </w:rPr>
        <w:t>autres éléments versés au dossier. Ainsi, elle s</w:t>
      </w:r>
      <w:r w:rsidR="00D31389">
        <w:rPr>
          <w:lang w:val="fr-FR"/>
        </w:rPr>
        <w:t>’</w:t>
      </w:r>
      <w:r w:rsidRPr="00A90E5F">
        <w:rPr>
          <w:lang w:val="fr-FR"/>
        </w:rPr>
        <w:t>est efforcée de déterminer si les déclarations du requérant étaient plausibles et cohérentes conformément à la jurisprudence du Comité. Dans la plainte qu</w:t>
      </w:r>
      <w:r w:rsidR="00D31389">
        <w:rPr>
          <w:lang w:val="fr-FR"/>
        </w:rPr>
        <w:t>’</w:t>
      </w:r>
      <w:r w:rsidRPr="00A90E5F">
        <w:rPr>
          <w:lang w:val="fr-FR"/>
        </w:rPr>
        <w:t>il a adressée au Comité, le requérant n</w:t>
      </w:r>
      <w:r w:rsidR="00D31389">
        <w:rPr>
          <w:lang w:val="fr-FR"/>
        </w:rPr>
        <w:t>’</w:t>
      </w:r>
      <w:r w:rsidRPr="00A90E5F">
        <w:rPr>
          <w:lang w:val="fr-FR"/>
        </w:rPr>
        <w:t>apporte pas de nouvelles précisions sur sa situation et tente en réalité d</w:t>
      </w:r>
      <w:r w:rsidR="00D31389">
        <w:rPr>
          <w:lang w:val="fr-FR"/>
        </w:rPr>
        <w:t>’</w:t>
      </w:r>
      <w:r w:rsidRPr="00A90E5F">
        <w:rPr>
          <w:lang w:val="fr-FR"/>
        </w:rPr>
        <w:t>utiliser le Comité comme un organe d</w:t>
      </w:r>
      <w:r w:rsidR="00D31389">
        <w:rPr>
          <w:lang w:val="fr-FR"/>
        </w:rPr>
        <w:t>’</w:t>
      </w:r>
      <w:r w:rsidRPr="00A90E5F">
        <w:rPr>
          <w:lang w:val="fr-FR"/>
        </w:rPr>
        <w:t>appel pour obtenir que celui-ci réexamine les faits qu</w:t>
      </w:r>
      <w:r w:rsidR="00D31389">
        <w:rPr>
          <w:lang w:val="fr-FR"/>
        </w:rPr>
        <w:t>’</w:t>
      </w:r>
      <w:r w:rsidRPr="00A90E5F">
        <w:rPr>
          <w:lang w:val="fr-FR"/>
        </w:rPr>
        <w:t>il a présentés dans sa demande d</w:t>
      </w:r>
      <w:r w:rsidR="00D31389">
        <w:rPr>
          <w:lang w:val="fr-FR"/>
        </w:rPr>
        <w:t>’</w:t>
      </w:r>
      <w:r w:rsidRPr="00A90E5F">
        <w:rPr>
          <w:lang w:val="fr-FR"/>
        </w:rPr>
        <w:t>asile. L</w:t>
      </w:r>
      <w:r w:rsidR="00D31389">
        <w:rPr>
          <w:lang w:val="fr-FR"/>
        </w:rPr>
        <w:t>’</w:t>
      </w:r>
      <w:r w:rsidRPr="00A90E5F">
        <w:rPr>
          <w:lang w:val="fr-FR"/>
        </w:rPr>
        <w:t xml:space="preserve">État partie estime que le Comité doit accorder un poids considérable aux conclusions de fait de la Commission de recours pour les réfugiés qui, </w:t>
      </w:r>
      <w:r w:rsidR="00EA6C43">
        <w:rPr>
          <w:lang w:val="fr-FR"/>
        </w:rPr>
        <w:t>en l</w:t>
      </w:r>
      <w:r w:rsidR="00D31389">
        <w:rPr>
          <w:lang w:val="fr-FR"/>
        </w:rPr>
        <w:t>’</w:t>
      </w:r>
      <w:r w:rsidR="00EA6C43">
        <w:rPr>
          <w:lang w:val="fr-FR"/>
        </w:rPr>
        <w:t>espèce, est le mieux placé</w:t>
      </w:r>
      <w:r w:rsidR="000A3AAA">
        <w:rPr>
          <w:lang w:val="fr-FR"/>
        </w:rPr>
        <w:t>e</w:t>
      </w:r>
      <w:r w:rsidRPr="00A90E5F">
        <w:rPr>
          <w:lang w:val="fr-FR"/>
        </w:rPr>
        <w:t xml:space="preserve"> pour apprécier les faits.</w:t>
      </w:r>
    </w:p>
    <w:p w:rsidR="00A90E5F" w:rsidRPr="00A90E5F" w:rsidRDefault="00A90E5F" w:rsidP="00FF2AC9">
      <w:pPr>
        <w:pStyle w:val="H23G"/>
        <w:rPr>
          <w:lang w:val="fr-FR"/>
        </w:rPr>
      </w:pPr>
      <w:r w:rsidRPr="00A90E5F">
        <w:rPr>
          <w:lang w:val="fr-FR"/>
        </w:rPr>
        <w:tab/>
      </w:r>
      <w:r w:rsidRPr="00A90E5F">
        <w:rPr>
          <w:lang w:val="fr-FR"/>
        </w:rPr>
        <w:tab/>
        <w:t>Commentaires du requérant sur les observations de l</w:t>
      </w:r>
      <w:r w:rsidR="00D31389">
        <w:rPr>
          <w:lang w:val="fr-FR"/>
        </w:rPr>
        <w:t>’</w:t>
      </w:r>
      <w:r w:rsidRPr="00A90E5F">
        <w:rPr>
          <w:lang w:val="fr-FR"/>
        </w:rPr>
        <w:t>État partie</w:t>
      </w:r>
    </w:p>
    <w:p w:rsidR="00A90E5F" w:rsidRPr="00A90E5F" w:rsidRDefault="00A90E5F" w:rsidP="00A90E5F">
      <w:pPr>
        <w:pStyle w:val="SingleTxtG"/>
        <w:rPr>
          <w:lang w:val="fr-FR"/>
        </w:rPr>
      </w:pPr>
      <w:r w:rsidRPr="00A90E5F">
        <w:rPr>
          <w:lang w:val="fr-FR"/>
        </w:rPr>
        <w:t>5.1</w:t>
      </w:r>
      <w:r w:rsidRPr="00A90E5F">
        <w:rPr>
          <w:lang w:val="fr-FR"/>
        </w:rPr>
        <w:tab/>
        <w:t>Dans des réponses du</w:t>
      </w:r>
      <w:r w:rsidR="00CB54B7">
        <w:rPr>
          <w:lang w:val="fr-FR"/>
        </w:rPr>
        <w:t xml:space="preserve"> </w:t>
      </w:r>
      <w:r w:rsidRPr="00A90E5F">
        <w:rPr>
          <w:lang w:val="fr-FR"/>
        </w:rPr>
        <w:t>21 janvier et du 2 février 2016, le requérant fait observer que le Service danois de l</w:t>
      </w:r>
      <w:r w:rsidR="00D31389">
        <w:rPr>
          <w:lang w:val="fr-FR"/>
        </w:rPr>
        <w:t>’</w:t>
      </w:r>
      <w:r w:rsidRPr="00A90E5F">
        <w:rPr>
          <w:lang w:val="fr-FR"/>
        </w:rPr>
        <w:t>immigration et la Commission de recours pour les réfugiés ne semblaient pas</w:t>
      </w:r>
      <w:r w:rsidR="00CB54B7">
        <w:rPr>
          <w:lang w:val="fr-FR"/>
        </w:rPr>
        <w:t xml:space="preserve"> </w:t>
      </w:r>
      <w:r w:rsidRPr="00A90E5F">
        <w:rPr>
          <w:lang w:val="fr-FR"/>
        </w:rPr>
        <w:t>comprendre la nécessité de faire pratiquer des examens médicaux dans les dossiers de torture</w:t>
      </w:r>
      <w:r w:rsidR="00195DD1">
        <w:rPr>
          <w:lang w:val="fr-FR"/>
        </w:rPr>
        <w:t>.</w:t>
      </w:r>
      <w:r w:rsidRPr="00A90E5F">
        <w:rPr>
          <w:lang w:val="fr-FR"/>
        </w:rPr>
        <w:t xml:space="preserve"> Quand il est arrivé au Danemark le requérant et</w:t>
      </w:r>
      <w:r w:rsidR="00CB54B7">
        <w:rPr>
          <w:lang w:val="fr-FR"/>
        </w:rPr>
        <w:t xml:space="preserve"> </w:t>
      </w:r>
      <w:r w:rsidRPr="00A90E5F">
        <w:rPr>
          <w:lang w:val="fr-FR"/>
        </w:rPr>
        <w:t>sa compagne n</w:t>
      </w:r>
      <w:r w:rsidR="00D31389">
        <w:rPr>
          <w:lang w:val="fr-FR"/>
        </w:rPr>
        <w:t>’</w:t>
      </w:r>
      <w:r w:rsidRPr="00A90E5F">
        <w:rPr>
          <w:lang w:val="fr-FR"/>
        </w:rPr>
        <w:t>ont pas pu obtenir le regroupement familial conformément aux règles applicables au Danemark. Victime d</w:t>
      </w:r>
      <w:r w:rsidR="00D31389">
        <w:rPr>
          <w:lang w:val="fr-FR"/>
        </w:rPr>
        <w:t>’</w:t>
      </w:r>
      <w:r w:rsidRPr="00A90E5F">
        <w:rPr>
          <w:lang w:val="fr-FR"/>
        </w:rPr>
        <w:t>actes de torture dans son pays d</w:t>
      </w:r>
      <w:r w:rsidR="00D31389">
        <w:rPr>
          <w:lang w:val="fr-FR"/>
        </w:rPr>
        <w:t>’</w:t>
      </w:r>
      <w:r w:rsidRPr="00A90E5F">
        <w:rPr>
          <w:lang w:val="fr-FR"/>
        </w:rPr>
        <w:t>origine, le requérant a présenté une demande de protection au Danemark</w:t>
      </w:r>
      <w:r w:rsidR="00CB54B7">
        <w:rPr>
          <w:lang w:val="fr-FR"/>
        </w:rPr>
        <w:t xml:space="preserve"> </w:t>
      </w:r>
      <w:r w:rsidRPr="00A90E5F">
        <w:rPr>
          <w:lang w:val="fr-FR"/>
        </w:rPr>
        <w:t>pour éviter l</w:t>
      </w:r>
      <w:r w:rsidR="00D31389">
        <w:rPr>
          <w:lang w:val="fr-FR"/>
        </w:rPr>
        <w:t>’</w:t>
      </w:r>
      <w:r w:rsidRPr="00A90E5F">
        <w:rPr>
          <w:lang w:val="fr-FR"/>
        </w:rPr>
        <w:t>expulsion vers le Soudan.</w:t>
      </w:r>
    </w:p>
    <w:p w:rsidR="00A90E5F" w:rsidRPr="00A90E5F" w:rsidRDefault="00A90E5F" w:rsidP="00B00257">
      <w:pPr>
        <w:pStyle w:val="SingleTxtG"/>
        <w:keepNext/>
        <w:keepLines/>
        <w:rPr>
          <w:lang w:val="fr-FR"/>
        </w:rPr>
      </w:pPr>
      <w:r w:rsidRPr="00A90E5F">
        <w:rPr>
          <w:lang w:val="fr-FR"/>
        </w:rPr>
        <w:lastRenderedPageBreak/>
        <w:t>5.2</w:t>
      </w:r>
      <w:r w:rsidRPr="00A90E5F">
        <w:rPr>
          <w:lang w:val="fr-FR"/>
        </w:rPr>
        <w:tab/>
        <w:t>Le requérant relève que dans toutes les communications relatives à des expulsions, l</w:t>
      </w:r>
      <w:r w:rsidR="00D31389">
        <w:rPr>
          <w:lang w:val="fr-FR"/>
        </w:rPr>
        <w:t>’</w:t>
      </w:r>
      <w:r w:rsidRPr="00A90E5F">
        <w:rPr>
          <w:lang w:val="fr-FR"/>
        </w:rPr>
        <w:t>État partie soutient que les requérants n</w:t>
      </w:r>
      <w:r w:rsidR="00D31389">
        <w:rPr>
          <w:lang w:val="fr-FR"/>
        </w:rPr>
        <w:t>’</w:t>
      </w:r>
      <w:r w:rsidRPr="00A90E5F">
        <w:rPr>
          <w:lang w:val="fr-FR"/>
        </w:rPr>
        <w:t>ont pas établi à première vue que leur requête était recevable et en tire, à l</w:t>
      </w:r>
      <w:r w:rsidR="00D31389">
        <w:rPr>
          <w:lang w:val="fr-FR"/>
        </w:rPr>
        <w:t>’</w:t>
      </w:r>
      <w:r w:rsidRPr="00A90E5F">
        <w:rPr>
          <w:lang w:val="fr-FR"/>
        </w:rPr>
        <w:t>issue d</w:t>
      </w:r>
      <w:r w:rsidR="00D31389">
        <w:rPr>
          <w:lang w:val="fr-FR"/>
        </w:rPr>
        <w:t>’</w:t>
      </w:r>
      <w:r w:rsidRPr="00A90E5F">
        <w:rPr>
          <w:lang w:val="fr-FR"/>
        </w:rPr>
        <w:t>une argumentation très brève, la conclusion qu</w:t>
      </w:r>
      <w:r w:rsidR="00D31389">
        <w:rPr>
          <w:lang w:val="fr-FR"/>
        </w:rPr>
        <w:t>’</w:t>
      </w:r>
      <w:r w:rsidRPr="00A90E5F">
        <w:rPr>
          <w:lang w:val="fr-FR"/>
        </w:rPr>
        <w:t>elle est</w:t>
      </w:r>
      <w:r w:rsidR="00CB54B7">
        <w:rPr>
          <w:lang w:val="fr-FR"/>
        </w:rPr>
        <w:t xml:space="preserve"> </w:t>
      </w:r>
      <w:r w:rsidRPr="00A90E5F">
        <w:rPr>
          <w:lang w:val="fr-FR"/>
        </w:rPr>
        <w:t>dénuée de fondement. Le requérant ajoute que l</w:t>
      </w:r>
      <w:r w:rsidR="00D31389">
        <w:rPr>
          <w:lang w:val="fr-FR"/>
        </w:rPr>
        <w:t>’</w:t>
      </w:r>
      <w:r w:rsidRPr="00A90E5F">
        <w:rPr>
          <w:lang w:val="fr-FR"/>
        </w:rPr>
        <w:t>État partie a raison quand il dit qu</w:t>
      </w:r>
      <w:r w:rsidR="00D31389">
        <w:rPr>
          <w:lang w:val="fr-FR"/>
        </w:rPr>
        <w:t>’</w:t>
      </w:r>
      <w:r w:rsidRPr="00A90E5F">
        <w:rPr>
          <w:lang w:val="fr-FR"/>
        </w:rPr>
        <w:t>il tente d</w:t>
      </w:r>
      <w:r w:rsidR="00D31389">
        <w:rPr>
          <w:lang w:val="fr-FR"/>
        </w:rPr>
        <w:t>’</w:t>
      </w:r>
      <w:r w:rsidRPr="00A90E5F">
        <w:rPr>
          <w:lang w:val="fr-FR"/>
        </w:rPr>
        <w:t>utiliser le Comité comme un organe d</w:t>
      </w:r>
      <w:r w:rsidR="00D31389">
        <w:rPr>
          <w:lang w:val="fr-FR"/>
        </w:rPr>
        <w:t>’</w:t>
      </w:r>
      <w:r w:rsidRPr="00A90E5F">
        <w:rPr>
          <w:lang w:val="fr-FR"/>
        </w:rPr>
        <w:t>appel parce qu</w:t>
      </w:r>
      <w:r w:rsidR="00D31389">
        <w:rPr>
          <w:lang w:val="fr-FR"/>
        </w:rPr>
        <w:t>’</w:t>
      </w:r>
      <w:r w:rsidRPr="00A90E5F">
        <w:rPr>
          <w:lang w:val="fr-FR"/>
        </w:rPr>
        <w:t>il a effectivement « désespérément besoin de son aide ». La législation danoise ne prévoit pas la possibilité de faire appel des décisions de la Commission de recours pour les réfugiés,</w:t>
      </w:r>
      <w:r w:rsidR="00CB54B7">
        <w:rPr>
          <w:lang w:val="fr-FR"/>
        </w:rPr>
        <w:t xml:space="preserve"> </w:t>
      </w:r>
      <w:r w:rsidRPr="00A90E5F">
        <w:rPr>
          <w:lang w:val="fr-FR"/>
        </w:rPr>
        <w:t>même dans les dossiers où elle est divisée, comme c</w:t>
      </w:r>
      <w:r w:rsidR="00D31389">
        <w:rPr>
          <w:lang w:val="fr-FR"/>
        </w:rPr>
        <w:t>’</w:t>
      </w:r>
      <w:r w:rsidRPr="00A90E5F">
        <w:rPr>
          <w:lang w:val="fr-FR"/>
        </w:rPr>
        <w:t>est le cas en l</w:t>
      </w:r>
      <w:r w:rsidR="00D31389">
        <w:rPr>
          <w:lang w:val="fr-FR"/>
        </w:rPr>
        <w:t>’</w:t>
      </w:r>
      <w:r w:rsidRPr="00A90E5F">
        <w:rPr>
          <w:lang w:val="fr-FR"/>
        </w:rPr>
        <w:t>espèce. Une minorité de membres souhaitait que la Commission accorde l</w:t>
      </w:r>
      <w:r w:rsidR="00D31389">
        <w:rPr>
          <w:lang w:val="fr-FR"/>
        </w:rPr>
        <w:t>’</w:t>
      </w:r>
      <w:r w:rsidRPr="00A90E5F">
        <w:rPr>
          <w:lang w:val="fr-FR"/>
        </w:rPr>
        <w:t>asile au requérant ou qu</w:t>
      </w:r>
      <w:r w:rsidR="00D31389">
        <w:rPr>
          <w:lang w:val="fr-FR"/>
        </w:rPr>
        <w:t>’</w:t>
      </w:r>
      <w:r w:rsidRPr="00A90E5F">
        <w:rPr>
          <w:lang w:val="fr-FR"/>
        </w:rPr>
        <w:t>elle ordonne un examen médical avant de rendre une décision définitive. Or ces options ont été écartées par une majorité de membres qui a rendu une décision négative. Le requérant soutient que, conformément au droit à un procès équitable, une telle décision devrait être susceptible d</w:t>
      </w:r>
      <w:r w:rsidR="00D31389">
        <w:rPr>
          <w:lang w:val="fr-FR"/>
        </w:rPr>
        <w:t>’</w:t>
      </w:r>
      <w:r w:rsidRPr="00A90E5F">
        <w:rPr>
          <w:lang w:val="fr-FR"/>
        </w:rPr>
        <w:t>appel devant une organe supérieur, ce qui n</w:t>
      </w:r>
      <w:r w:rsidR="00D31389">
        <w:rPr>
          <w:lang w:val="fr-FR"/>
        </w:rPr>
        <w:t>’</w:t>
      </w:r>
      <w:r w:rsidRPr="00A90E5F">
        <w:rPr>
          <w:lang w:val="fr-FR"/>
        </w:rPr>
        <w:t>est pas possible au Danemark. Par conséquent, le requérant convient avec l</w:t>
      </w:r>
      <w:r w:rsidR="00D31389">
        <w:rPr>
          <w:lang w:val="fr-FR"/>
        </w:rPr>
        <w:t>’</w:t>
      </w:r>
      <w:r w:rsidRPr="00A90E5F">
        <w:rPr>
          <w:lang w:val="fr-FR"/>
        </w:rPr>
        <w:t>État partie que le Comité sert</w:t>
      </w:r>
      <w:r w:rsidR="00CB54B7">
        <w:rPr>
          <w:lang w:val="fr-FR"/>
        </w:rPr>
        <w:t xml:space="preserve"> </w:t>
      </w:r>
      <w:r w:rsidR="00AA1A00" w:rsidRPr="00A90E5F">
        <w:rPr>
          <w:lang w:val="fr-FR"/>
        </w:rPr>
        <w:t>d</w:t>
      </w:r>
      <w:r w:rsidR="00D31389">
        <w:rPr>
          <w:lang w:val="fr-FR"/>
        </w:rPr>
        <w:t>’</w:t>
      </w:r>
      <w:r w:rsidR="00AA1A00" w:rsidRPr="00A90E5F">
        <w:rPr>
          <w:lang w:val="fr-FR"/>
        </w:rPr>
        <w:t>organe</w:t>
      </w:r>
      <w:r w:rsidRPr="00A90E5F">
        <w:rPr>
          <w:lang w:val="fr-FR"/>
        </w:rPr>
        <w:t xml:space="preserve"> d</w:t>
      </w:r>
      <w:r w:rsidR="00D31389">
        <w:rPr>
          <w:lang w:val="fr-FR"/>
        </w:rPr>
        <w:t>’</w:t>
      </w:r>
      <w:r w:rsidRPr="00A90E5F">
        <w:rPr>
          <w:lang w:val="fr-FR"/>
        </w:rPr>
        <w:t>appel, mais il conteste l</w:t>
      </w:r>
      <w:r w:rsidR="00D31389">
        <w:rPr>
          <w:lang w:val="fr-FR"/>
        </w:rPr>
        <w:t>’</w:t>
      </w:r>
      <w:r w:rsidRPr="00A90E5F">
        <w:rPr>
          <w:lang w:val="fr-FR"/>
        </w:rPr>
        <w:t>argument selon lequel le Comité devrait accorder du poids aux conclusions de la majorité des membres de la Commission, faisant valoir que ces conclusions n</w:t>
      </w:r>
      <w:r w:rsidR="00D31389">
        <w:rPr>
          <w:lang w:val="fr-FR"/>
        </w:rPr>
        <w:t>’</w:t>
      </w:r>
      <w:r w:rsidRPr="00A90E5F">
        <w:rPr>
          <w:lang w:val="fr-FR"/>
        </w:rPr>
        <w:t>ont pas de « fondement approprié » − en l</w:t>
      </w:r>
      <w:r w:rsidR="00D31389">
        <w:rPr>
          <w:lang w:val="fr-FR"/>
        </w:rPr>
        <w:t>’</w:t>
      </w:r>
      <w:r w:rsidRPr="00A90E5F">
        <w:rPr>
          <w:lang w:val="fr-FR"/>
        </w:rPr>
        <w:t>espèce, un examen médical visant à établir la réalité des actes de torture.</w:t>
      </w:r>
    </w:p>
    <w:p w:rsidR="00A90E5F" w:rsidRPr="00A90E5F" w:rsidRDefault="00A90E5F" w:rsidP="00A90E5F">
      <w:pPr>
        <w:pStyle w:val="SingleTxtG"/>
        <w:rPr>
          <w:lang w:val="fr-FR"/>
        </w:rPr>
      </w:pPr>
      <w:r w:rsidRPr="00A90E5F">
        <w:rPr>
          <w:lang w:val="fr-FR"/>
        </w:rPr>
        <w:t>5.3</w:t>
      </w:r>
      <w:r w:rsidRPr="00A90E5F">
        <w:rPr>
          <w:lang w:val="fr-FR"/>
        </w:rPr>
        <w:tab/>
        <w:t>Le requérant maintient que le Comité devrait déclarer sa communication recevable et rejette l</w:t>
      </w:r>
      <w:r w:rsidR="00D31389">
        <w:rPr>
          <w:lang w:val="fr-FR"/>
        </w:rPr>
        <w:t>’</w:t>
      </w:r>
      <w:r w:rsidRPr="00A90E5F">
        <w:rPr>
          <w:lang w:val="fr-FR"/>
        </w:rPr>
        <w:t>argument selon lequel il n</w:t>
      </w:r>
      <w:r w:rsidR="00D31389">
        <w:rPr>
          <w:lang w:val="fr-FR"/>
        </w:rPr>
        <w:t>’</w:t>
      </w:r>
      <w:r w:rsidRPr="00A90E5F">
        <w:rPr>
          <w:lang w:val="fr-FR"/>
        </w:rPr>
        <w:t>a pas</w:t>
      </w:r>
      <w:r w:rsidR="00CB54B7">
        <w:rPr>
          <w:lang w:val="fr-FR"/>
        </w:rPr>
        <w:t xml:space="preserve"> </w:t>
      </w:r>
      <w:r w:rsidRPr="00A90E5F">
        <w:rPr>
          <w:lang w:val="fr-FR"/>
        </w:rPr>
        <w:t>apporté d</w:t>
      </w:r>
      <w:r w:rsidR="00D31389">
        <w:rPr>
          <w:lang w:val="fr-FR"/>
        </w:rPr>
        <w:t>’</w:t>
      </w:r>
      <w:r w:rsidRPr="00A90E5F">
        <w:rPr>
          <w:lang w:val="fr-FR"/>
        </w:rPr>
        <w:t>éléments</w:t>
      </w:r>
      <w:r w:rsidR="00CB54B7">
        <w:rPr>
          <w:lang w:val="fr-FR"/>
        </w:rPr>
        <w:t xml:space="preserve"> </w:t>
      </w:r>
      <w:r w:rsidRPr="00A90E5F">
        <w:rPr>
          <w:lang w:val="fr-FR"/>
        </w:rPr>
        <w:t>montrant qu</w:t>
      </w:r>
      <w:r w:rsidR="00D31389">
        <w:rPr>
          <w:lang w:val="fr-FR"/>
        </w:rPr>
        <w:t>’</w:t>
      </w:r>
      <w:r w:rsidRPr="00A90E5F">
        <w:rPr>
          <w:lang w:val="fr-FR"/>
        </w:rPr>
        <w:t>elle était recevable.</w:t>
      </w:r>
    </w:p>
    <w:p w:rsidR="00A90E5F" w:rsidRPr="00A90E5F" w:rsidRDefault="00A90E5F" w:rsidP="00A90E5F">
      <w:pPr>
        <w:pStyle w:val="SingleTxtG"/>
        <w:rPr>
          <w:lang w:val="fr-FR"/>
        </w:rPr>
      </w:pPr>
      <w:r w:rsidRPr="00A90E5F">
        <w:rPr>
          <w:lang w:val="fr-FR"/>
        </w:rPr>
        <w:t>5.4</w:t>
      </w:r>
      <w:r w:rsidRPr="00A90E5F">
        <w:rPr>
          <w:lang w:val="fr-FR"/>
        </w:rPr>
        <w:tab/>
        <w:t>Le requérant renvoie aux décisions du Comité dans l</w:t>
      </w:r>
      <w:r w:rsidR="00D31389">
        <w:rPr>
          <w:lang w:val="fr-FR"/>
        </w:rPr>
        <w:t>’</w:t>
      </w:r>
      <w:r w:rsidRPr="00A90E5F">
        <w:rPr>
          <w:lang w:val="fr-FR"/>
        </w:rPr>
        <w:t>affaire</w:t>
      </w:r>
      <w:r w:rsidRPr="00A90E5F">
        <w:rPr>
          <w:bCs/>
          <w:lang w:val="fr-FR"/>
        </w:rPr>
        <w:t xml:space="preserve"> </w:t>
      </w:r>
      <w:proofErr w:type="spellStart"/>
      <w:r w:rsidRPr="00A90E5F">
        <w:rPr>
          <w:bCs/>
          <w:i/>
          <w:lang w:val="fr-FR"/>
        </w:rPr>
        <w:t>Amini</w:t>
      </w:r>
      <w:proofErr w:type="spellEnd"/>
      <w:r w:rsidRPr="00A90E5F">
        <w:rPr>
          <w:bCs/>
          <w:i/>
          <w:lang w:val="fr-FR"/>
        </w:rPr>
        <w:t xml:space="preserve"> </w:t>
      </w:r>
      <w:r w:rsidRPr="00A90E5F">
        <w:rPr>
          <w:bCs/>
          <w:lang w:val="fr-FR"/>
        </w:rPr>
        <w:t>c.</w:t>
      </w:r>
      <w:r w:rsidRPr="00A90E5F">
        <w:rPr>
          <w:bCs/>
          <w:i/>
          <w:lang w:val="fr-FR"/>
        </w:rPr>
        <w:t> Danemark</w:t>
      </w:r>
      <w:r w:rsidRPr="00FF2AC9">
        <w:rPr>
          <w:rStyle w:val="Appelnotedebasdep"/>
        </w:rPr>
        <w:footnoteReference w:id="14"/>
      </w:r>
      <w:r w:rsidRPr="00A90E5F">
        <w:rPr>
          <w:bCs/>
          <w:lang w:val="fr-FR"/>
        </w:rPr>
        <w:t>, et dans l</w:t>
      </w:r>
      <w:r w:rsidR="00D31389">
        <w:rPr>
          <w:bCs/>
          <w:lang w:val="fr-FR"/>
        </w:rPr>
        <w:t>’</w:t>
      </w:r>
      <w:r w:rsidRPr="00A90E5F">
        <w:rPr>
          <w:bCs/>
          <w:lang w:val="fr-FR"/>
        </w:rPr>
        <w:t xml:space="preserve">affaire </w:t>
      </w:r>
      <w:r w:rsidRPr="00A90E5F">
        <w:rPr>
          <w:i/>
          <w:lang w:val="fr-FR"/>
        </w:rPr>
        <w:t xml:space="preserve">K. H. </w:t>
      </w:r>
      <w:r w:rsidRPr="00A90E5F">
        <w:rPr>
          <w:lang w:val="fr-FR"/>
        </w:rPr>
        <w:t>c.</w:t>
      </w:r>
      <w:r w:rsidRPr="00A90E5F">
        <w:rPr>
          <w:i/>
          <w:lang w:val="fr-FR"/>
        </w:rPr>
        <w:t> Danemark</w:t>
      </w:r>
      <w:r w:rsidRPr="00A90E5F">
        <w:rPr>
          <w:lang w:val="fr-FR"/>
        </w:rPr>
        <w:t xml:space="preserve"> (par. 4.5), relevant que, dans les deux cas, la Commission de recours pour les réfugiés a considéré que les requérants avaient menti lorsqu</w:t>
      </w:r>
      <w:r w:rsidR="00D31389">
        <w:rPr>
          <w:lang w:val="fr-FR"/>
        </w:rPr>
        <w:t>’</w:t>
      </w:r>
      <w:r w:rsidRPr="00A90E5F">
        <w:rPr>
          <w:lang w:val="fr-FR"/>
        </w:rPr>
        <w:t>ils avaient déclaré avoir subi des actes de torture et n</w:t>
      </w:r>
      <w:r w:rsidR="00D31389">
        <w:rPr>
          <w:lang w:val="fr-FR"/>
        </w:rPr>
        <w:t>’</w:t>
      </w:r>
      <w:r w:rsidRPr="00A90E5F">
        <w:rPr>
          <w:lang w:val="fr-FR"/>
        </w:rPr>
        <w:t>a pas ordonné d</w:t>
      </w:r>
      <w:r w:rsidR="00D31389">
        <w:rPr>
          <w:lang w:val="fr-FR"/>
        </w:rPr>
        <w:t>’</w:t>
      </w:r>
      <w:r w:rsidRPr="00A90E5F">
        <w:rPr>
          <w:lang w:val="fr-FR"/>
        </w:rPr>
        <w:t>examen médical, mais que les intéressés avaient pu se faire examiner gratuitement par des médecins de l</w:t>
      </w:r>
      <w:r w:rsidR="00D31389">
        <w:rPr>
          <w:lang w:val="fr-FR"/>
        </w:rPr>
        <w:t>’</w:t>
      </w:r>
      <w:r w:rsidRPr="00A90E5F">
        <w:rPr>
          <w:lang w:val="fr-FR"/>
        </w:rPr>
        <w:t>équipe médicale de la section danoise d</w:t>
      </w:r>
      <w:r w:rsidR="00D31389">
        <w:rPr>
          <w:lang w:val="fr-FR"/>
        </w:rPr>
        <w:t>’</w:t>
      </w:r>
      <w:r w:rsidRPr="00A90E5F">
        <w:rPr>
          <w:lang w:val="fr-FR"/>
        </w:rPr>
        <w:t>Amnesty International afin d</w:t>
      </w:r>
      <w:r w:rsidR="00D31389">
        <w:rPr>
          <w:lang w:val="fr-FR"/>
        </w:rPr>
        <w:t>’</w:t>
      </w:r>
      <w:r w:rsidRPr="00A90E5F">
        <w:rPr>
          <w:lang w:val="fr-FR"/>
        </w:rPr>
        <w:t>établir la réalité des actes de torture qu</w:t>
      </w:r>
      <w:r w:rsidR="00D31389">
        <w:rPr>
          <w:lang w:val="fr-FR"/>
        </w:rPr>
        <w:t>’</w:t>
      </w:r>
      <w:r w:rsidRPr="00A90E5F">
        <w:rPr>
          <w:lang w:val="fr-FR"/>
        </w:rPr>
        <w:t>ils disaient avoir subis. Au Danemark, les demandeurs d</w:t>
      </w:r>
      <w:r w:rsidR="00D31389">
        <w:rPr>
          <w:lang w:val="fr-FR"/>
        </w:rPr>
        <w:t>’</w:t>
      </w:r>
      <w:r w:rsidRPr="00A90E5F">
        <w:rPr>
          <w:lang w:val="fr-FR"/>
        </w:rPr>
        <w:t>asile ne reçoivent pas de permis de travail et n</w:t>
      </w:r>
      <w:r w:rsidR="00D31389">
        <w:rPr>
          <w:lang w:val="fr-FR"/>
        </w:rPr>
        <w:t>’</w:t>
      </w:r>
      <w:r w:rsidRPr="00A90E5F">
        <w:rPr>
          <w:lang w:val="fr-FR"/>
        </w:rPr>
        <w:t>ont donc pas les moyens de payer cet examen. Lorsqu</w:t>
      </w:r>
      <w:r w:rsidR="00D31389">
        <w:rPr>
          <w:lang w:val="fr-FR"/>
        </w:rPr>
        <w:t>’</w:t>
      </w:r>
      <w:r w:rsidRPr="00A90E5F">
        <w:rPr>
          <w:lang w:val="fr-FR"/>
        </w:rPr>
        <w:t>un examen médical visant à établir la réalité des actes de torture n</w:t>
      </w:r>
      <w:r w:rsidR="00D31389">
        <w:rPr>
          <w:lang w:val="fr-FR"/>
        </w:rPr>
        <w:t>’</w:t>
      </w:r>
      <w:r w:rsidRPr="00A90E5F">
        <w:rPr>
          <w:lang w:val="fr-FR"/>
        </w:rPr>
        <w:t>a pas été ordonné par les autorités, de nombreux demandeurs d</w:t>
      </w:r>
      <w:r w:rsidR="00D31389">
        <w:rPr>
          <w:lang w:val="fr-FR"/>
        </w:rPr>
        <w:t>’</w:t>
      </w:r>
      <w:r w:rsidRPr="00A90E5F">
        <w:rPr>
          <w:lang w:val="fr-FR"/>
        </w:rPr>
        <w:t>asile font donc appel à Amnesty International pour se faire examiner gratuitement. Toutefois l</w:t>
      </w:r>
      <w:r w:rsidR="00D31389">
        <w:rPr>
          <w:lang w:val="fr-FR"/>
        </w:rPr>
        <w:t>’</w:t>
      </w:r>
      <w:r w:rsidRPr="00A90E5F">
        <w:rPr>
          <w:lang w:val="fr-FR"/>
        </w:rPr>
        <w:t>organisation ne peut traiter qu</w:t>
      </w:r>
      <w:r w:rsidR="00D31389">
        <w:rPr>
          <w:lang w:val="fr-FR"/>
        </w:rPr>
        <w:t>’</w:t>
      </w:r>
      <w:r w:rsidRPr="00A90E5F">
        <w:rPr>
          <w:lang w:val="fr-FR"/>
        </w:rPr>
        <w:t>un nombre limité de cas et jusqu</w:t>
      </w:r>
      <w:r w:rsidR="00D31389">
        <w:rPr>
          <w:lang w:val="fr-FR"/>
        </w:rPr>
        <w:t>’</w:t>
      </w:r>
      <w:r w:rsidRPr="00A90E5F">
        <w:rPr>
          <w:lang w:val="fr-FR"/>
        </w:rPr>
        <w:t>ici le requé</w:t>
      </w:r>
      <w:r w:rsidR="00FF2AC9">
        <w:rPr>
          <w:lang w:val="fr-FR"/>
        </w:rPr>
        <w:t>rant n</w:t>
      </w:r>
      <w:r w:rsidR="00D31389">
        <w:rPr>
          <w:lang w:val="fr-FR"/>
        </w:rPr>
        <w:t>’</w:t>
      </w:r>
      <w:r w:rsidR="00FF2AC9">
        <w:rPr>
          <w:lang w:val="fr-FR"/>
        </w:rPr>
        <w:t xml:space="preserve">a pas pu en bénéficier </w:t>
      </w:r>
      <w:r w:rsidRPr="00A90E5F">
        <w:rPr>
          <w:lang w:val="fr-FR"/>
        </w:rPr>
        <w:t>mais il a déposé une demande. Le requérant maintient que c</w:t>
      </w:r>
      <w:r w:rsidR="00D31389">
        <w:rPr>
          <w:lang w:val="fr-FR"/>
        </w:rPr>
        <w:t>’</w:t>
      </w:r>
      <w:r w:rsidRPr="00A90E5F">
        <w:rPr>
          <w:lang w:val="fr-FR"/>
        </w:rPr>
        <w:t>est l</w:t>
      </w:r>
      <w:r w:rsidR="00D31389">
        <w:rPr>
          <w:lang w:val="fr-FR"/>
        </w:rPr>
        <w:t>’</w:t>
      </w:r>
      <w:r w:rsidRPr="00A90E5F">
        <w:rPr>
          <w:lang w:val="fr-FR"/>
        </w:rPr>
        <w:t>État partie à la Convention qui devrait être tenu de prendre l</w:t>
      </w:r>
      <w:r w:rsidR="00D31389">
        <w:rPr>
          <w:lang w:val="fr-FR"/>
        </w:rPr>
        <w:t>’</w:t>
      </w:r>
      <w:r w:rsidRPr="00A90E5F">
        <w:rPr>
          <w:lang w:val="fr-FR"/>
        </w:rPr>
        <w:t>initiative de l</w:t>
      </w:r>
      <w:r w:rsidR="00D31389">
        <w:rPr>
          <w:lang w:val="fr-FR"/>
        </w:rPr>
        <w:t>’</w:t>
      </w:r>
      <w:r w:rsidRPr="00A90E5F">
        <w:rPr>
          <w:lang w:val="fr-FR"/>
        </w:rPr>
        <w:t>examen médical visant à</w:t>
      </w:r>
      <w:r w:rsidR="00CB54B7">
        <w:rPr>
          <w:lang w:val="fr-FR"/>
        </w:rPr>
        <w:t xml:space="preserve"> </w:t>
      </w:r>
      <w:r w:rsidRPr="00A90E5F">
        <w:rPr>
          <w:lang w:val="fr-FR"/>
        </w:rPr>
        <w:t>constater des marques de torture et non le plaignant, qui n</w:t>
      </w:r>
      <w:r w:rsidR="00D31389">
        <w:rPr>
          <w:lang w:val="fr-FR"/>
        </w:rPr>
        <w:t>’</w:t>
      </w:r>
      <w:r w:rsidRPr="00A90E5F">
        <w:rPr>
          <w:lang w:val="fr-FR"/>
        </w:rPr>
        <w:t>a pas de ressources, ni des organisations non gouvernementales qui ont des</w:t>
      </w:r>
      <w:r w:rsidR="00CB54B7">
        <w:rPr>
          <w:lang w:val="fr-FR"/>
        </w:rPr>
        <w:t xml:space="preserve"> </w:t>
      </w:r>
      <w:r w:rsidRPr="00A90E5F">
        <w:rPr>
          <w:lang w:val="fr-FR"/>
        </w:rPr>
        <w:t>moyens limités et travaillent uniquement avec des bénévoles.</w:t>
      </w:r>
    </w:p>
    <w:p w:rsidR="00A90E5F" w:rsidRPr="00A90E5F" w:rsidRDefault="00A90E5F" w:rsidP="00A90E5F">
      <w:pPr>
        <w:pStyle w:val="SingleTxtG"/>
        <w:rPr>
          <w:lang w:val="fr-FR"/>
        </w:rPr>
      </w:pPr>
      <w:r w:rsidRPr="00A90E5F">
        <w:rPr>
          <w:lang w:val="fr-FR"/>
        </w:rPr>
        <w:t>5.5</w:t>
      </w:r>
      <w:r w:rsidRPr="00A90E5F">
        <w:rPr>
          <w:lang w:val="fr-FR"/>
        </w:rPr>
        <w:tab/>
        <w:t>Le requérant mentionne le cas d</w:t>
      </w:r>
      <w:r w:rsidR="00D31389">
        <w:rPr>
          <w:lang w:val="fr-FR"/>
        </w:rPr>
        <w:t>’</w:t>
      </w:r>
      <w:r w:rsidRPr="00A90E5F">
        <w:rPr>
          <w:lang w:val="fr-FR"/>
        </w:rPr>
        <w:t>un ressortissant turc d</w:t>
      </w:r>
      <w:r w:rsidR="00D31389">
        <w:rPr>
          <w:lang w:val="fr-FR"/>
        </w:rPr>
        <w:t>’</w:t>
      </w:r>
      <w:r w:rsidRPr="00A90E5F">
        <w:rPr>
          <w:lang w:val="fr-FR"/>
        </w:rPr>
        <w:t>origine kurde qui avait demandé l</w:t>
      </w:r>
      <w:r w:rsidR="00D31389">
        <w:rPr>
          <w:lang w:val="fr-FR"/>
        </w:rPr>
        <w:t>’</w:t>
      </w:r>
      <w:r w:rsidRPr="00A90E5F">
        <w:rPr>
          <w:lang w:val="fr-FR"/>
        </w:rPr>
        <w:t>asile</w:t>
      </w:r>
      <w:r w:rsidR="00CB54B7">
        <w:rPr>
          <w:lang w:val="fr-FR"/>
        </w:rPr>
        <w:t xml:space="preserve"> </w:t>
      </w:r>
      <w:r w:rsidRPr="00A90E5F">
        <w:rPr>
          <w:lang w:val="fr-FR"/>
        </w:rPr>
        <w:t>parce</w:t>
      </w:r>
      <w:r w:rsidR="00CB54B7">
        <w:rPr>
          <w:lang w:val="fr-FR"/>
        </w:rPr>
        <w:t xml:space="preserve"> </w:t>
      </w:r>
      <w:r w:rsidRPr="00A90E5F">
        <w:rPr>
          <w:lang w:val="fr-FR"/>
        </w:rPr>
        <w:t>qu</w:t>
      </w:r>
      <w:r w:rsidR="00D31389">
        <w:rPr>
          <w:lang w:val="fr-FR"/>
        </w:rPr>
        <w:t>’</w:t>
      </w:r>
      <w:r w:rsidRPr="00A90E5F">
        <w:rPr>
          <w:lang w:val="fr-FR"/>
        </w:rPr>
        <w:t>il avait subi des actes de torture avant de</w:t>
      </w:r>
      <w:r w:rsidR="00CB54B7">
        <w:rPr>
          <w:lang w:val="fr-FR"/>
        </w:rPr>
        <w:t xml:space="preserve"> </w:t>
      </w:r>
      <w:r w:rsidRPr="00A90E5F">
        <w:rPr>
          <w:lang w:val="fr-FR"/>
        </w:rPr>
        <w:t>prendre la fuite. La Commission de recours pour les réfugiés avait ordonné une expertise médicale pour déterminer s</w:t>
      </w:r>
      <w:r w:rsidR="00D31389">
        <w:rPr>
          <w:lang w:val="fr-FR"/>
        </w:rPr>
        <w:t>’</w:t>
      </w:r>
      <w:r w:rsidRPr="00A90E5F">
        <w:rPr>
          <w:lang w:val="fr-FR"/>
        </w:rPr>
        <w:t>il avait subi des actes de torture et décidé, sur la base des résultats obtenus, de lui accorder l</w:t>
      </w:r>
      <w:r w:rsidR="00D31389">
        <w:rPr>
          <w:lang w:val="fr-FR"/>
        </w:rPr>
        <w:t>’</w:t>
      </w:r>
      <w:r w:rsidRPr="00A90E5F">
        <w:rPr>
          <w:lang w:val="fr-FR"/>
        </w:rPr>
        <w:t>asile. Elle avait reporté sa décision en attendant</w:t>
      </w:r>
      <w:r w:rsidR="00CB54B7">
        <w:rPr>
          <w:lang w:val="fr-FR"/>
        </w:rPr>
        <w:t xml:space="preserve"> </w:t>
      </w:r>
      <w:r w:rsidRPr="00A90E5F">
        <w:rPr>
          <w:lang w:val="fr-FR"/>
        </w:rPr>
        <w:t>les conclusions de l</w:t>
      </w:r>
      <w:r w:rsidR="00D31389">
        <w:rPr>
          <w:lang w:val="fr-FR"/>
        </w:rPr>
        <w:t>’</w:t>
      </w:r>
      <w:r w:rsidRPr="00A90E5F">
        <w:rPr>
          <w:lang w:val="fr-FR"/>
        </w:rPr>
        <w:t>examen médical</w:t>
      </w:r>
      <w:r w:rsidR="00665590">
        <w:rPr>
          <w:rStyle w:val="Appelnotedebasdep"/>
        </w:rPr>
        <w:footnoteReference w:id="15"/>
      </w:r>
      <w:r w:rsidRPr="00A90E5F">
        <w:rPr>
          <w:lang w:val="fr-FR"/>
        </w:rPr>
        <w:t>. Le requérant soutient que telle est la « procédure correcte » qui aurait dû être appliquée dans son cas puisqu</w:t>
      </w:r>
      <w:r w:rsidR="00D31389">
        <w:rPr>
          <w:lang w:val="fr-FR"/>
        </w:rPr>
        <w:t>’</w:t>
      </w:r>
      <w:r w:rsidRPr="00A90E5F">
        <w:rPr>
          <w:lang w:val="fr-FR"/>
        </w:rPr>
        <w:t>il est essentiel</w:t>
      </w:r>
      <w:r w:rsidR="00CB54B7">
        <w:rPr>
          <w:lang w:val="fr-FR"/>
        </w:rPr>
        <w:t xml:space="preserve"> </w:t>
      </w:r>
      <w:r w:rsidRPr="00A90E5F">
        <w:rPr>
          <w:lang w:val="fr-FR"/>
        </w:rPr>
        <w:t>d</w:t>
      </w:r>
      <w:r w:rsidR="00D31389">
        <w:rPr>
          <w:lang w:val="fr-FR"/>
        </w:rPr>
        <w:t>’</w:t>
      </w:r>
      <w:r w:rsidRPr="00A90E5F">
        <w:rPr>
          <w:lang w:val="fr-FR"/>
        </w:rPr>
        <w:t>établir s</w:t>
      </w:r>
      <w:r w:rsidR="00D31389">
        <w:rPr>
          <w:lang w:val="fr-FR"/>
        </w:rPr>
        <w:t>’</w:t>
      </w:r>
      <w:r w:rsidRPr="00A90E5F">
        <w:rPr>
          <w:lang w:val="fr-FR"/>
        </w:rPr>
        <w:t>il a été victime d</w:t>
      </w:r>
      <w:r w:rsidR="00D31389">
        <w:rPr>
          <w:lang w:val="fr-FR"/>
        </w:rPr>
        <w:t>’</w:t>
      </w:r>
      <w:r w:rsidRPr="00A90E5F">
        <w:rPr>
          <w:lang w:val="fr-FR"/>
        </w:rPr>
        <w:t>actes de torture avant de s</w:t>
      </w:r>
      <w:r w:rsidR="00D31389">
        <w:rPr>
          <w:lang w:val="fr-FR"/>
        </w:rPr>
        <w:t>’</w:t>
      </w:r>
      <w:r w:rsidRPr="00A90E5F">
        <w:rPr>
          <w:lang w:val="fr-FR"/>
        </w:rPr>
        <w:t>enfuir du pays pour pouvoir déterminer s</w:t>
      </w:r>
      <w:r w:rsidR="00D31389">
        <w:rPr>
          <w:lang w:val="fr-FR"/>
        </w:rPr>
        <w:t>’</w:t>
      </w:r>
      <w:r w:rsidRPr="00A90E5F">
        <w:rPr>
          <w:lang w:val="fr-FR"/>
        </w:rPr>
        <w:t>il sera (de nouveau) soumis à la torture en cas de retour. À l</w:t>
      </w:r>
      <w:r w:rsidR="00D31389">
        <w:rPr>
          <w:lang w:val="fr-FR"/>
        </w:rPr>
        <w:t>’</w:t>
      </w:r>
      <w:r w:rsidRPr="00A90E5F">
        <w:rPr>
          <w:lang w:val="fr-FR"/>
        </w:rPr>
        <w:t>appui de son argumentation, le requérant renvoie aux décisions du Comité</w:t>
      </w:r>
      <w:r w:rsidR="00CB54B7">
        <w:rPr>
          <w:lang w:val="fr-FR"/>
        </w:rPr>
        <w:t xml:space="preserve"> </w:t>
      </w:r>
      <w:r w:rsidRPr="00A90E5F">
        <w:rPr>
          <w:lang w:val="fr-FR"/>
        </w:rPr>
        <w:t>dans l</w:t>
      </w:r>
      <w:r w:rsidR="00D31389">
        <w:rPr>
          <w:lang w:val="fr-FR"/>
        </w:rPr>
        <w:t>’</w:t>
      </w:r>
      <w:r w:rsidRPr="00A90E5F">
        <w:rPr>
          <w:lang w:val="fr-FR"/>
        </w:rPr>
        <w:t xml:space="preserve">affaire </w:t>
      </w:r>
      <w:proofErr w:type="spellStart"/>
      <w:r w:rsidRPr="00A90E5F">
        <w:rPr>
          <w:i/>
          <w:lang w:val="fr-FR"/>
        </w:rPr>
        <w:t>Arana</w:t>
      </w:r>
      <w:proofErr w:type="spellEnd"/>
      <w:r w:rsidRPr="00A90E5F">
        <w:rPr>
          <w:i/>
          <w:lang w:val="fr-FR"/>
        </w:rPr>
        <w:t xml:space="preserve"> </w:t>
      </w:r>
      <w:r w:rsidRPr="00A90E5F">
        <w:rPr>
          <w:lang w:val="fr-FR"/>
        </w:rPr>
        <w:t>c.</w:t>
      </w:r>
      <w:r w:rsidRPr="00A90E5F">
        <w:rPr>
          <w:i/>
          <w:lang w:val="fr-FR"/>
        </w:rPr>
        <w:t> France</w:t>
      </w:r>
      <w:r w:rsidR="00665590" w:rsidRPr="00665590">
        <w:rPr>
          <w:rStyle w:val="Appelnotedebasdep"/>
        </w:rPr>
        <w:footnoteReference w:id="16"/>
      </w:r>
      <w:r w:rsidRPr="00A90E5F">
        <w:rPr>
          <w:lang w:val="fr-FR"/>
        </w:rPr>
        <w:t>,</w:t>
      </w:r>
      <w:r w:rsidRPr="00A90E5F">
        <w:rPr>
          <w:i/>
          <w:lang w:val="fr-FR"/>
        </w:rPr>
        <w:t> </w:t>
      </w:r>
      <w:r w:rsidRPr="00A90E5F">
        <w:rPr>
          <w:lang w:val="fr-FR"/>
        </w:rPr>
        <w:t>dans l</w:t>
      </w:r>
      <w:r w:rsidR="00D31389">
        <w:rPr>
          <w:lang w:val="fr-FR"/>
        </w:rPr>
        <w:t>’</w:t>
      </w:r>
      <w:r w:rsidRPr="00A90E5F">
        <w:rPr>
          <w:lang w:val="fr-FR"/>
        </w:rPr>
        <w:t>affaire</w:t>
      </w:r>
      <w:r w:rsidRPr="00A90E5F">
        <w:rPr>
          <w:bCs/>
          <w:lang w:val="fr-FR"/>
        </w:rPr>
        <w:t xml:space="preserve"> </w:t>
      </w:r>
      <w:proofErr w:type="spellStart"/>
      <w:r w:rsidRPr="00A90E5F">
        <w:rPr>
          <w:i/>
          <w:lang w:val="fr-FR"/>
        </w:rPr>
        <w:t>Agiza</w:t>
      </w:r>
      <w:proofErr w:type="spellEnd"/>
      <w:r w:rsidRPr="00A90E5F">
        <w:rPr>
          <w:i/>
          <w:lang w:val="fr-FR"/>
        </w:rPr>
        <w:t xml:space="preserve"> </w:t>
      </w:r>
      <w:r w:rsidRPr="00A90E5F">
        <w:rPr>
          <w:lang w:val="fr-FR"/>
        </w:rPr>
        <w:t>c.</w:t>
      </w:r>
      <w:r w:rsidRPr="00A90E5F">
        <w:rPr>
          <w:i/>
          <w:lang w:val="fr-FR"/>
        </w:rPr>
        <w:t> Suède</w:t>
      </w:r>
      <w:r w:rsidR="00665590" w:rsidRPr="00665590">
        <w:rPr>
          <w:rStyle w:val="Appelnotedebasdep"/>
        </w:rPr>
        <w:footnoteReference w:id="17"/>
      </w:r>
      <w:r w:rsidR="00FF2AC9">
        <w:rPr>
          <w:lang w:val="fr-FR"/>
        </w:rPr>
        <w:t xml:space="preserve">, </w:t>
      </w:r>
      <w:r w:rsidRPr="00A90E5F">
        <w:rPr>
          <w:lang w:val="fr-FR"/>
        </w:rPr>
        <w:t xml:space="preserve">et </w:t>
      </w:r>
      <w:r w:rsidRPr="00A90E5F">
        <w:rPr>
          <w:i/>
          <w:lang w:val="fr-FR"/>
        </w:rPr>
        <w:t xml:space="preserve">Chun </w:t>
      </w:r>
      <w:proofErr w:type="spellStart"/>
      <w:r w:rsidRPr="00A90E5F">
        <w:rPr>
          <w:i/>
          <w:lang w:val="fr-FR"/>
        </w:rPr>
        <w:t>Rong</w:t>
      </w:r>
      <w:proofErr w:type="spellEnd"/>
      <w:r w:rsidRPr="00A90E5F">
        <w:rPr>
          <w:i/>
          <w:lang w:val="fr-FR"/>
        </w:rPr>
        <w:t xml:space="preserve"> </w:t>
      </w:r>
      <w:r w:rsidRPr="00A90E5F">
        <w:rPr>
          <w:lang w:val="fr-FR"/>
        </w:rPr>
        <w:t>c.</w:t>
      </w:r>
      <w:r w:rsidRPr="00A90E5F">
        <w:rPr>
          <w:i/>
          <w:lang w:val="fr-FR"/>
        </w:rPr>
        <w:t> Australie</w:t>
      </w:r>
      <w:r w:rsidR="00665590">
        <w:rPr>
          <w:rStyle w:val="Appelnotedebasdep"/>
        </w:rPr>
        <w:footnoteReference w:id="18"/>
      </w:r>
      <w:r w:rsidRPr="00A90E5F">
        <w:rPr>
          <w:lang w:val="fr-FR"/>
        </w:rPr>
        <w:t>. Il renvoie aussi à la décision</w:t>
      </w:r>
      <w:r w:rsidR="00CB54B7">
        <w:rPr>
          <w:lang w:val="fr-FR"/>
        </w:rPr>
        <w:t xml:space="preserve"> </w:t>
      </w:r>
      <w:r w:rsidRPr="00A90E5F">
        <w:rPr>
          <w:lang w:val="fr-FR"/>
        </w:rPr>
        <w:t xml:space="preserve">dans </w:t>
      </w:r>
      <w:r w:rsidRPr="00A90E5F">
        <w:rPr>
          <w:i/>
          <w:lang w:val="fr-FR"/>
        </w:rPr>
        <w:t>K.</w:t>
      </w:r>
      <w:r w:rsidR="00B00257">
        <w:rPr>
          <w:i/>
          <w:lang w:val="fr-FR"/>
        </w:rPr>
        <w:t> </w:t>
      </w:r>
      <w:r w:rsidRPr="00A90E5F">
        <w:rPr>
          <w:i/>
          <w:lang w:val="fr-FR"/>
        </w:rPr>
        <w:t xml:space="preserve">H. </w:t>
      </w:r>
      <w:r w:rsidRPr="00A90E5F">
        <w:rPr>
          <w:lang w:val="fr-FR"/>
        </w:rPr>
        <w:t>c.</w:t>
      </w:r>
      <w:r w:rsidRPr="00A90E5F">
        <w:rPr>
          <w:i/>
          <w:lang w:val="fr-FR"/>
        </w:rPr>
        <w:t> Danemark</w:t>
      </w:r>
      <w:r w:rsidR="00CB54B7">
        <w:rPr>
          <w:i/>
          <w:lang w:val="fr-FR"/>
        </w:rPr>
        <w:t xml:space="preserve"> </w:t>
      </w:r>
      <w:r w:rsidRPr="00A90E5F">
        <w:rPr>
          <w:lang w:val="fr-FR"/>
        </w:rPr>
        <w:t xml:space="preserve">(par. 8.8) dans laquelle </w:t>
      </w:r>
      <w:r w:rsidR="004B19BF">
        <w:rPr>
          <w:lang w:val="fr-FR"/>
        </w:rPr>
        <w:t xml:space="preserve">le </w:t>
      </w:r>
      <w:r w:rsidRPr="00A90E5F">
        <w:rPr>
          <w:lang w:val="fr-FR"/>
        </w:rPr>
        <w:t>Comité a considéré clairement « qu</w:t>
      </w:r>
      <w:r w:rsidR="00D31389">
        <w:rPr>
          <w:lang w:val="fr-FR"/>
        </w:rPr>
        <w:t>’</w:t>
      </w:r>
      <w:r w:rsidRPr="00A90E5F">
        <w:rPr>
          <w:lang w:val="fr-FR"/>
        </w:rPr>
        <w:t>en rejetant la demande d</w:t>
      </w:r>
      <w:r w:rsidR="00D31389">
        <w:rPr>
          <w:lang w:val="fr-FR"/>
        </w:rPr>
        <w:t>’</w:t>
      </w:r>
      <w:r w:rsidRPr="00A90E5F">
        <w:rPr>
          <w:lang w:val="fr-FR"/>
        </w:rPr>
        <w:t>asile du requérant sans chercher à vérifier davantage ses allégations ni ordonner un examen médical, l</w:t>
      </w:r>
      <w:r w:rsidR="00D31389">
        <w:rPr>
          <w:lang w:val="fr-FR"/>
        </w:rPr>
        <w:t>’</w:t>
      </w:r>
      <w:r w:rsidRPr="00A90E5F">
        <w:rPr>
          <w:lang w:val="fr-FR"/>
        </w:rPr>
        <w:t>État partie n</w:t>
      </w:r>
      <w:r w:rsidR="00D31389">
        <w:rPr>
          <w:lang w:val="fr-FR"/>
        </w:rPr>
        <w:t>’</w:t>
      </w:r>
      <w:r w:rsidRPr="00A90E5F">
        <w:rPr>
          <w:lang w:val="fr-FR"/>
        </w:rPr>
        <w:t>a pas déterminé s</w:t>
      </w:r>
      <w:r w:rsidR="00D31389">
        <w:rPr>
          <w:lang w:val="fr-FR"/>
        </w:rPr>
        <w:t>’</w:t>
      </w:r>
      <w:r w:rsidRPr="00A90E5F">
        <w:rPr>
          <w:lang w:val="fr-FR"/>
        </w:rPr>
        <w:t>il existait des motifs sérieux de croire que le requérant risquait d</w:t>
      </w:r>
      <w:r w:rsidR="00D31389">
        <w:rPr>
          <w:lang w:val="fr-FR"/>
        </w:rPr>
        <w:t>’</w:t>
      </w:r>
      <w:r w:rsidRPr="00A90E5F">
        <w:rPr>
          <w:lang w:val="fr-FR"/>
        </w:rPr>
        <w:t>être soumis à la torture s</w:t>
      </w:r>
      <w:r w:rsidR="00D31389">
        <w:rPr>
          <w:lang w:val="fr-FR"/>
        </w:rPr>
        <w:t>’</w:t>
      </w:r>
      <w:r w:rsidRPr="00A90E5F">
        <w:rPr>
          <w:lang w:val="fr-FR"/>
        </w:rPr>
        <w:t>il était expulsé », et a constaté une violation de l</w:t>
      </w:r>
      <w:r w:rsidR="00D31389">
        <w:rPr>
          <w:lang w:val="fr-FR"/>
        </w:rPr>
        <w:t>’</w:t>
      </w:r>
      <w:r w:rsidRPr="00A90E5F">
        <w:rPr>
          <w:lang w:val="fr-FR"/>
        </w:rPr>
        <w:t xml:space="preserve">article 3. </w:t>
      </w:r>
    </w:p>
    <w:p w:rsidR="00A90E5F" w:rsidRPr="00A90E5F" w:rsidRDefault="00A90E5F" w:rsidP="00A90E5F">
      <w:pPr>
        <w:pStyle w:val="SingleTxtG"/>
        <w:rPr>
          <w:lang w:val="fr-FR"/>
        </w:rPr>
      </w:pPr>
      <w:r w:rsidRPr="00A90E5F">
        <w:rPr>
          <w:lang w:val="fr-FR"/>
        </w:rPr>
        <w:lastRenderedPageBreak/>
        <w:t>5.6</w:t>
      </w:r>
      <w:r w:rsidRPr="00A90E5F">
        <w:rPr>
          <w:lang w:val="fr-FR"/>
        </w:rPr>
        <w:tab/>
        <w:t>Le requérant se réfère en outre à deux arrêts de la Cour européenne des droits de l</w:t>
      </w:r>
      <w:r w:rsidR="00D31389">
        <w:rPr>
          <w:lang w:val="fr-FR"/>
        </w:rPr>
        <w:t>’</w:t>
      </w:r>
      <w:r w:rsidRPr="00A90E5F">
        <w:rPr>
          <w:lang w:val="fr-FR"/>
        </w:rPr>
        <w:t xml:space="preserve">homme : </w:t>
      </w:r>
      <w:r w:rsidRPr="00A90E5F">
        <w:rPr>
          <w:i/>
          <w:lang w:val="fr-FR"/>
        </w:rPr>
        <w:t xml:space="preserve">A. A. </w:t>
      </w:r>
      <w:r w:rsidRPr="00A90E5F">
        <w:rPr>
          <w:lang w:val="fr-FR"/>
        </w:rPr>
        <w:t>c.</w:t>
      </w:r>
      <w:r w:rsidRPr="00A90E5F">
        <w:rPr>
          <w:i/>
          <w:lang w:val="fr-FR"/>
        </w:rPr>
        <w:t> France</w:t>
      </w:r>
      <w:r w:rsidRPr="00A90E5F">
        <w:rPr>
          <w:lang w:val="fr-FR"/>
        </w:rPr>
        <w:t xml:space="preserve"> et </w:t>
      </w:r>
      <w:r w:rsidRPr="00A90E5F">
        <w:rPr>
          <w:i/>
          <w:lang w:val="fr-FR"/>
        </w:rPr>
        <w:t xml:space="preserve">A. F. </w:t>
      </w:r>
      <w:r w:rsidRPr="00A90E5F">
        <w:rPr>
          <w:lang w:val="fr-FR"/>
        </w:rPr>
        <w:t>c.</w:t>
      </w:r>
      <w:r w:rsidRPr="00A90E5F">
        <w:rPr>
          <w:i/>
          <w:lang w:val="fr-FR"/>
        </w:rPr>
        <w:t> France</w:t>
      </w:r>
      <w:r w:rsidR="00FF2AC9" w:rsidRPr="00FF2AC9">
        <w:rPr>
          <w:rStyle w:val="Appelnotedebasdep"/>
        </w:rPr>
        <w:footnoteReference w:id="19"/>
      </w:r>
      <w:r w:rsidRPr="00A90E5F">
        <w:rPr>
          <w:lang w:val="fr-FR"/>
        </w:rPr>
        <w:t>, dans lesquelles les requérants étaient des demandeurs d</w:t>
      </w:r>
      <w:r w:rsidR="00D31389">
        <w:rPr>
          <w:lang w:val="fr-FR"/>
        </w:rPr>
        <w:t>’</w:t>
      </w:r>
      <w:r w:rsidRPr="00A90E5F">
        <w:rPr>
          <w:lang w:val="fr-FR"/>
        </w:rPr>
        <w:t>asile originaires du Soudan. Dans les deux affaires, la Cour avait constaté une violation par la France de l</w:t>
      </w:r>
      <w:r w:rsidR="00D31389">
        <w:rPr>
          <w:lang w:val="fr-FR"/>
        </w:rPr>
        <w:t>’</w:t>
      </w:r>
      <w:r w:rsidRPr="00A90E5F">
        <w:rPr>
          <w:lang w:val="fr-FR"/>
        </w:rPr>
        <w:t>article 3 de la Convention européenne de sauvegarde des droits de l</w:t>
      </w:r>
      <w:r w:rsidR="00D31389">
        <w:rPr>
          <w:lang w:val="fr-FR"/>
        </w:rPr>
        <w:t>’</w:t>
      </w:r>
      <w:r w:rsidRPr="00A90E5F">
        <w:rPr>
          <w:lang w:val="fr-FR"/>
        </w:rPr>
        <w:t>homme et des libertés fondamentales</w:t>
      </w:r>
      <w:r w:rsidR="00CB54B7">
        <w:rPr>
          <w:lang w:val="fr-FR"/>
        </w:rPr>
        <w:t xml:space="preserve"> </w:t>
      </w:r>
      <w:r w:rsidRPr="00A90E5F">
        <w:rPr>
          <w:lang w:val="fr-FR"/>
        </w:rPr>
        <w:t>en se fondant</w:t>
      </w:r>
      <w:r w:rsidR="00CB54B7">
        <w:rPr>
          <w:lang w:val="fr-FR"/>
        </w:rPr>
        <w:t xml:space="preserve"> </w:t>
      </w:r>
      <w:r w:rsidRPr="00A90E5F">
        <w:rPr>
          <w:lang w:val="fr-FR"/>
        </w:rPr>
        <w:t>notamment sur un</w:t>
      </w:r>
      <w:r w:rsidR="00CB54B7">
        <w:rPr>
          <w:lang w:val="fr-FR"/>
        </w:rPr>
        <w:t xml:space="preserve"> </w:t>
      </w:r>
      <w:r w:rsidRPr="00A90E5F">
        <w:rPr>
          <w:lang w:val="fr-FR"/>
        </w:rPr>
        <w:t>examen minutieux des informations générales disponibles sur la situation des droits de l</w:t>
      </w:r>
      <w:r w:rsidR="00D31389">
        <w:rPr>
          <w:lang w:val="fr-FR"/>
        </w:rPr>
        <w:t>’</w:t>
      </w:r>
      <w:r w:rsidRPr="00A90E5F">
        <w:rPr>
          <w:lang w:val="fr-FR"/>
        </w:rPr>
        <w:t>homme au Soudan. Dans le second arrêt, la Cour a estimé qu</w:t>
      </w:r>
      <w:r w:rsidR="00D31389">
        <w:rPr>
          <w:lang w:val="fr-FR"/>
        </w:rPr>
        <w:t>’</w:t>
      </w:r>
      <w:r w:rsidRPr="00A90E5F">
        <w:rPr>
          <w:lang w:val="fr-FR"/>
        </w:rPr>
        <w:t>il était </w:t>
      </w:r>
      <w:r w:rsidRPr="00A90E5F">
        <w:rPr>
          <w:iCs/>
          <w:lang w:val="fr-FR"/>
        </w:rPr>
        <w:t>probable que le requérant, à son arrivée à l</w:t>
      </w:r>
      <w:r w:rsidR="00D31389">
        <w:rPr>
          <w:iCs/>
          <w:lang w:val="fr-FR"/>
        </w:rPr>
        <w:t>’</w:t>
      </w:r>
      <w:r w:rsidRPr="00A90E5F">
        <w:rPr>
          <w:iCs/>
          <w:lang w:val="fr-FR"/>
        </w:rPr>
        <w:t>aéroport de Khartoum, attire l</w:t>
      </w:r>
      <w:r w:rsidR="00D31389">
        <w:rPr>
          <w:iCs/>
          <w:lang w:val="fr-FR"/>
        </w:rPr>
        <w:t>’</w:t>
      </w:r>
      <w:r w:rsidRPr="00A90E5F">
        <w:rPr>
          <w:iCs/>
          <w:lang w:val="fr-FR"/>
        </w:rPr>
        <w:t>attention défavorable des autorités en raison des quelques années qu</w:t>
      </w:r>
      <w:r w:rsidR="00D31389">
        <w:rPr>
          <w:iCs/>
          <w:lang w:val="fr-FR"/>
        </w:rPr>
        <w:t>’</w:t>
      </w:r>
      <w:r w:rsidRPr="00A90E5F">
        <w:rPr>
          <w:iCs/>
          <w:lang w:val="fr-FR"/>
        </w:rPr>
        <w:t>il avait passées</w:t>
      </w:r>
      <w:r w:rsidRPr="00A90E5F">
        <w:rPr>
          <w:i/>
          <w:iCs/>
          <w:lang w:val="fr-FR"/>
        </w:rPr>
        <w:t xml:space="preserve"> </w:t>
      </w:r>
      <w:r w:rsidRPr="00A90E5F">
        <w:rPr>
          <w:iCs/>
          <w:lang w:val="fr-FR"/>
        </w:rPr>
        <w:t>à l</w:t>
      </w:r>
      <w:r w:rsidR="00D31389">
        <w:rPr>
          <w:iCs/>
          <w:lang w:val="fr-FR"/>
        </w:rPr>
        <w:t>’</w:t>
      </w:r>
      <w:r w:rsidRPr="00A90E5F">
        <w:rPr>
          <w:iCs/>
          <w:lang w:val="fr-FR"/>
        </w:rPr>
        <w:t>étranger</w:t>
      </w:r>
      <w:r w:rsidR="00665590">
        <w:rPr>
          <w:rStyle w:val="Appelnotedebasdep"/>
          <w:iCs/>
        </w:rPr>
        <w:footnoteReference w:id="20"/>
      </w:r>
      <w:r w:rsidRPr="00A90E5F">
        <w:rPr>
          <w:iCs/>
          <w:lang w:val="fr-FR"/>
        </w:rPr>
        <w:t xml:space="preserve">. </w:t>
      </w:r>
      <w:r w:rsidRPr="00A90E5F">
        <w:rPr>
          <w:lang w:val="fr-FR"/>
        </w:rPr>
        <w:t>Le requérant affirme qu</w:t>
      </w:r>
      <w:r w:rsidR="00D31389">
        <w:rPr>
          <w:lang w:val="fr-FR"/>
        </w:rPr>
        <w:t>’</w:t>
      </w:r>
      <w:r w:rsidRPr="00A90E5F">
        <w:rPr>
          <w:lang w:val="fr-FR"/>
        </w:rPr>
        <w:t>il a</w:t>
      </w:r>
      <w:r w:rsidR="00CB54B7">
        <w:rPr>
          <w:lang w:val="fr-FR"/>
        </w:rPr>
        <w:t xml:space="preserve"> </w:t>
      </w:r>
      <w:r w:rsidRPr="00A90E5F">
        <w:rPr>
          <w:lang w:val="fr-FR"/>
        </w:rPr>
        <w:t>lui-même passé beaucoup de temps à l</w:t>
      </w:r>
      <w:r w:rsidR="00D31389">
        <w:rPr>
          <w:lang w:val="fr-FR"/>
        </w:rPr>
        <w:t>’</w:t>
      </w:r>
      <w:r w:rsidRPr="00A90E5F">
        <w:rPr>
          <w:lang w:val="fr-FR"/>
        </w:rPr>
        <w:t>étranger et attirerait l</w:t>
      </w:r>
      <w:r w:rsidR="00D31389">
        <w:rPr>
          <w:lang w:val="fr-FR"/>
        </w:rPr>
        <w:t>’</w:t>
      </w:r>
      <w:r w:rsidRPr="00A90E5F">
        <w:rPr>
          <w:lang w:val="fr-FR"/>
        </w:rPr>
        <w:t>attention des autorités à son retour et que les cicatrices laissées par les actes de torture qu</w:t>
      </w:r>
      <w:r w:rsidR="00D31389">
        <w:rPr>
          <w:lang w:val="fr-FR"/>
        </w:rPr>
        <w:t>’</w:t>
      </w:r>
      <w:r w:rsidRPr="00A90E5F">
        <w:rPr>
          <w:lang w:val="fr-FR"/>
        </w:rPr>
        <w:t>il a subis seraient immédiatement découvertes. La police et les services de sécurité soudanais comprendront alors qu</w:t>
      </w:r>
      <w:r w:rsidR="00D31389">
        <w:rPr>
          <w:lang w:val="fr-FR"/>
        </w:rPr>
        <w:t>’</w:t>
      </w:r>
      <w:r w:rsidRPr="00A90E5F">
        <w:rPr>
          <w:lang w:val="fr-FR"/>
        </w:rPr>
        <w:t>ils ont affaire à u</w:t>
      </w:r>
      <w:r w:rsidR="00FF2AC9">
        <w:rPr>
          <w:lang w:val="fr-FR"/>
        </w:rPr>
        <w:t>n de leurs anciens « clients ».</w:t>
      </w:r>
      <w:r w:rsidRPr="00A90E5F">
        <w:rPr>
          <w:lang w:val="fr-FR"/>
        </w:rPr>
        <w:t xml:space="preserve"> Il serait donc soumis à un interrogatoire et très probablement torturé. À l</w:t>
      </w:r>
      <w:r w:rsidR="00D31389">
        <w:rPr>
          <w:lang w:val="fr-FR"/>
        </w:rPr>
        <w:t>’</w:t>
      </w:r>
      <w:r w:rsidRPr="00A90E5F">
        <w:rPr>
          <w:lang w:val="fr-FR"/>
        </w:rPr>
        <w:t>appui de ses affirmations, le requérant joint une photo de ses cicatrices.</w:t>
      </w:r>
    </w:p>
    <w:p w:rsidR="00A90E5F" w:rsidRPr="00A90E5F" w:rsidRDefault="00A90E5F" w:rsidP="00A90E5F">
      <w:pPr>
        <w:pStyle w:val="SingleTxtG"/>
        <w:rPr>
          <w:lang w:val="fr-FR"/>
        </w:rPr>
      </w:pPr>
      <w:r w:rsidRPr="00A90E5F">
        <w:rPr>
          <w:lang w:val="fr-FR"/>
        </w:rPr>
        <w:t>5.7</w:t>
      </w:r>
      <w:r w:rsidRPr="00A90E5F">
        <w:rPr>
          <w:lang w:val="fr-FR"/>
        </w:rPr>
        <w:tab/>
        <w:t>Le requérant réaffirme qu</w:t>
      </w:r>
      <w:r w:rsidR="00D31389">
        <w:rPr>
          <w:lang w:val="fr-FR"/>
        </w:rPr>
        <w:t>’</w:t>
      </w:r>
      <w:r w:rsidRPr="00A90E5F">
        <w:rPr>
          <w:lang w:val="fr-FR"/>
        </w:rPr>
        <w:t>il ressort clairement de l</w:t>
      </w:r>
      <w:r w:rsidR="00D31389">
        <w:rPr>
          <w:lang w:val="fr-FR"/>
        </w:rPr>
        <w:t>’</w:t>
      </w:r>
      <w:r w:rsidRPr="00A90E5F">
        <w:rPr>
          <w:lang w:val="fr-FR"/>
        </w:rPr>
        <w:t>observation générale n</w:t>
      </w:r>
      <w:r w:rsidRPr="00A90E5F">
        <w:rPr>
          <w:vertAlign w:val="superscript"/>
          <w:lang w:val="fr-FR"/>
        </w:rPr>
        <w:t>o</w:t>
      </w:r>
      <w:r w:rsidRPr="00A90E5F">
        <w:rPr>
          <w:lang w:val="fr-FR"/>
        </w:rPr>
        <w:t> 1 du Comité que l</w:t>
      </w:r>
      <w:r w:rsidR="00D31389">
        <w:rPr>
          <w:lang w:val="fr-FR"/>
        </w:rPr>
        <w:t>’</w:t>
      </w:r>
      <w:r w:rsidRPr="00A90E5F">
        <w:rPr>
          <w:lang w:val="fr-FR"/>
        </w:rPr>
        <w:t>État partie, lorsqu</w:t>
      </w:r>
      <w:r w:rsidR="00D31389">
        <w:rPr>
          <w:lang w:val="fr-FR"/>
        </w:rPr>
        <w:t>’</w:t>
      </w:r>
      <w:r w:rsidRPr="00A90E5F">
        <w:rPr>
          <w:lang w:val="fr-FR"/>
        </w:rPr>
        <w:t>il sait que des violations massives des droits de l</w:t>
      </w:r>
      <w:r w:rsidR="00D31389">
        <w:rPr>
          <w:lang w:val="fr-FR"/>
        </w:rPr>
        <w:t>’</w:t>
      </w:r>
      <w:r w:rsidRPr="00A90E5F">
        <w:rPr>
          <w:lang w:val="fr-FR"/>
        </w:rPr>
        <w:t>homme sont commises dans le pays d</w:t>
      </w:r>
      <w:r w:rsidR="00D31389">
        <w:rPr>
          <w:lang w:val="fr-FR"/>
        </w:rPr>
        <w:t>’</w:t>
      </w:r>
      <w:r w:rsidRPr="00A90E5F">
        <w:rPr>
          <w:lang w:val="fr-FR"/>
        </w:rPr>
        <w:t>origine, doit déterminer si le demandeur d</w:t>
      </w:r>
      <w:r w:rsidR="00D31389">
        <w:rPr>
          <w:lang w:val="fr-FR"/>
        </w:rPr>
        <w:t>’</w:t>
      </w:r>
      <w:r w:rsidRPr="00A90E5F">
        <w:rPr>
          <w:lang w:val="fr-FR"/>
        </w:rPr>
        <w:t>asile a subi ou non des actes de torture avant de quitter son pays. Ce point essentiel doit être éclairci pour déterminer si le requérant risque également d</w:t>
      </w:r>
      <w:r w:rsidR="00D31389">
        <w:rPr>
          <w:lang w:val="fr-FR"/>
        </w:rPr>
        <w:t>’</w:t>
      </w:r>
      <w:r w:rsidRPr="00A90E5F">
        <w:rPr>
          <w:lang w:val="fr-FR"/>
        </w:rPr>
        <w:t>être soumis à la torture à son retour. Il semble que l</w:t>
      </w:r>
      <w:r w:rsidR="00D31389">
        <w:rPr>
          <w:lang w:val="fr-FR"/>
        </w:rPr>
        <w:t>’</w:t>
      </w:r>
      <w:r w:rsidRPr="00A90E5F">
        <w:rPr>
          <w:lang w:val="fr-FR"/>
        </w:rPr>
        <w:t>État partie estime (à tort) qu</w:t>
      </w:r>
      <w:r w:rsidR="00D31389">
        <w:rPr>
          <w:lang w:val="fr-FR"/>
        </w:rPr>
        <w:t>’</w:t>
      </w:r>
      <w:r w:rsidRPr="00A90E5F">
        <w:rPr>
          <w:lang w:val="fr-FR"/>
        </w:rPr>
        <w:t>il n</w:t>
      </w:r>
      <w:r w:rsidR="00D31389">
        <w:rPr>
          <w:lang w:val="fr-FR"/>
        </w:rPr>
        <w:t>’</w:t>
      </w:r>
      <w:r w:rsidRPr="00A90E5F">
        <w:rPr>
          <w:lang w:val="fr-FR"/>
        </w:rPr>
        <w:t>avait pas à déterminer si le requérant avait subi ou non des actes de torture avant de quitter le pays pour apprécier le risque de torture qu</w:t>
      </w:r>
      <w:r w:rsidR="00D31389">
        <w:rPr>
          <w:lang w:val="fr-FR"/>
        </w:rPr>
        <w:t>’</w:t>
      </w:r>
      <w:r w:rsidRPr="00A90E5F">
        <w:rPr>
          <w:lang w:val="fr-FR"/>
        </w:rPr>
        <w:t>il encourt à son retour. Par conséquent, le requérant considère, sur le fond de l</w:t>
      </w:r>
      <w:r w:rsidR="00D31389">
        <w:rPr>
          <w:lang w:val="fr-FR"/>
        </w:rPr>
        <w:t>’</w:t>
      </w:r>
      <w:r w:rsidRPr="00A90E5F">
        <w:rPr>
          <w:lang w:val="fr-FR"/>
        </w:rPr>
        <w:t>affaire, que la majorité des membres de la Commission, qui avait refusé la possibilité de le faire examiner par un médecin avant de</w:t>
      </w:r>
      <w:r w:rsidR="00CB54B7">
        <w:rPr>
          <w:lang w:val="fr-FR"/>
        </w:rPr>
        <w:t xml:space="preserve"> </w:t>
      </w:r>
      <w:r w:rsidRPr="00A90E5F">
        <w:rPr>
          <w:lang w:val="fr-FR"/>
        </w:rPr>
        <w:t>rejeter sa demande d</w:t>
      </w:r>
      <w:r w:rsidR="00D31389">
        <w:rPr>
          <w:lang w:val="fr-FR"/>
        </w:rPr>
        <w:t>’</w:t>
      </w:r>
      <w:r w:rsidRPr="00A90E5F">
        <w:rPr>
          <w:lang w:val="fr-FR"/>
        </w:rPr>
        <w:t>asile, a violé les « aspects procéduraux » de l</w:t>
      </w:r>
      <w:r w:rsidR="00D31389">
        <w:rPr>
          <w:lang w:val="fr-FR"/>
        </w:rPr>
        <w:t>’</w:t>
      </w:r>
      <w:r w:rsidRPr="00A90E5F">
        <w:rPr>
          <w:lang w:val="fr-FR"/>
        </w:rPr>
        <w:t>article 3.</w:t>
      </w:r>
    </w:p>
    <w:p w:rsidR="00A90E5F" w:rsidRPr="00A90E5F" w:rsidRDefault="00A90E5F" w:rsidP="00FF2AC9">
      <w:pPr>
        <w:pStyle w:val="H23G"/>
        <w:rPr>
          <w:lang w:val="fr-FR"/>
        </w:rPr>
      </w:pPr>
      <w:r w:rsidRPr="00A90E5F">
        <w:rPr>
          <w:lang w:val="fr-FR"/>
        </w:rPr>
        <w:tab/>
      </w:r>
      <w:r w:rsidRPr="00A90E5F">
        <w:rPr>
          <w:lang w:val="fr-FR"/>
        </w:rPr>
        <w:tab/>
        <w:t>Observations complémentaires de l</w:t>
      </w:r>
      <w:r w:rsidR="00D31389">
        <w:rPr>
          <w:lang w:val="fr-FR"/>
        </w:rPr>
        <w:t>’</w:t>
      </w:r>
      <w:r w:rsidRPr="00A90E5F">
        <w:rPr>
          <w:lang w:val="fr-FR"/>
        </w:rPr>
        <w:t>État partie</w:t>
      </w:r>
    </w:p>
    <w:p w:rsidR="00A90E5F" w:rsidRPr="00A90E5F" w:rsidRDefault="00A90E5F" w:rsidP="00A90E5F">
      <w:pPr>
        <w:pStyle w:val="SingleTxtG"/>
        <w:rPr>
          <w:lang w:val="fr-FR"/>
        </w:rPr>
      </w:pPr>
      <w:r w:rsidRPr="00A90E5F">
        <w:rPr>
          <w:lang w:val="fr-FR"/>
        </w:rPr>
        <w:t>6.1</w:t>
      </w:r>
      <w:r w:rsidRPr="00A90E5F">
        <w:rPr>
          <w:lang w:val="fr-FR"/>
        </w:rPr>
        <w:tab/>
        <w:t xml:space="preserve">Dans une note du </w:t>
      </w:r>
      <w:r w:rsidRPr="00A90E5F">
        <w:rPr>
          <w:bCs/>
          <w:lang w:val="fr-FR"/>
        </w:rPr>
        <w:t xml:space="preserve">10 juin 2016, </w:t>
      </w:r>
      <w:r w:rsidRPr="00A90E5F">
        <w:rPr>
          <w:lang w:val="fr-FR"/>
        </w:rPr>
        <w:t>l</w:t>
      </w:r>
      <w:r w:rsidR="00D31389">
        <w:rPr>
          <w:lang w:val="fr-FR"/>
        </w:rPr>
        <w:t>’</w:t>
      </w:r>
      <w:r w:rsidRPr="00A90E5F">
        <w:rPr>
          <w:lang w:val="fr-FR"/>
        </w:rPr>
        <w:t xml:space="preserve">État partie a </w:t>
      </w:r>
      <w:r w:rsidRPr="00A90E5F">
        <w:rPr>
          <w:bCs/>
          <w:lang w:val="fr-FR"/>
        </w:rPr>
        <w:t>répondu aux commentaires du requérant en date du </w:t>
      </w:r>
      <w:r w:rsidRPr="00A90E5F">
        <w:rPr>
          <w:lang w:val="fr-FR"/>
        </w:rPr>
        <w:t>21 janvier 2016 ;</w:t>
      </w:r>
      <w:r w:rsidR="00CB54B7">
        <w:rPr>
          <w:lang w:val="fr-FR"/>
        </w:rPr>
        <w:t xml:space="preserve"> </w:t>
      </w:r>
      <w:r w:rsidRPr="00A90E5F">
        <w:rPr>
          <w:lang w:val="fr-FR"/>
        </w:rPr>
        <w:t xml:space="preserve">il </w:t>
      </w:r>
      <w:r w:rsidR="00AA1A00" w:rsidRPr="00A90E5F">
        <w:rPr>
          <w:lang w:val="fr-FR"/>
        </w:rPr>
        <w:t>main</w:t>
      </w:r>
      <w:r w:rsidR="00AA1A00">
        <w:rPr>
          <w:lang w:val="fr-FR"/>
        </w:rPr>
        <w:t>t</w:t>
      </w:r>
      <w:r w:rsidR="00AA1A00" w:rsidRPr="00A90E5F">
        <w:rPr>
          <w:lang w:val="fr-FR"/>
        </w:rPr>
        <w:t>ie</w:t>
      </w:r>
      <w:r w:rsidR="00AA1A00">
        <w:rPr>
          <w:lang w:val="fr-FR"/>
        </w:rPr>
        <w:t>n</w:t>
      </w:r>
      <w:r w:rsidR="00AA1A00" w:rsidRPr="00A90E5F">
        <w:rPr>
          <w:lang w:val="fr-FR"/>
        </w:rPr>
        <w:t>t</w:t>
      </w:r>
      <w:r w:rsidRPr="00A90E5F">
        <w:rPr>
          <w:lang w:val="fr-FR"/>
        </w:rPr>
        <w:t xml:space="preserve"> ses observations du 17 novembre 2014. Il ajoute qu</w:t>
      </w:r>
      <w:r w:rsidR="00D31389">
        <w:rPr>
          <w:lang w:val="fr-FR"/>
        </w:rPr>
        <w:t>’</w:t>
      </w:r>
      <w:r w:rsidRPr="00A90E5F">
        <w:rPr>
          <w:lang w:val="fr-FR"/>
        </w:rPr>
        <w:t>il ressort de la décision de la Commission de recours pour les réfugiés que la majorité de ses membres « n</w:t>
      </w:r>
      <w:r w:rsidR="00D31389">
        <w:rPr>
          <w:lang w:val="fr-FR"/>
        </w:rPr>
        <w:t>’</w:t>
      </w:r>
      <w:r w:rsidRPr="00A90E5F">
        <w:rPr>
          <w:lang w:val="fr-FR"/>
        </w:rPr>
        <w:t>a pas jugé crédible la déclaratio</w:t>
      </w:r>
      <w:r w:rsidR="00FF2AC9">
        <w:rPr>
          <w:lang w:val="fr-FR"/>
        </w:rPr>
        <w:t>n du plaignant » selon laquelle</w:t>
      </w:r>
      <w:r w:rsidRPr="00A90E5F">
        <w:rPr>
          <w:lang w:val="fr-FR"/>
        </w:rPr>
        <w:t>, il avait été placé en détention en avril 2007 et torturé par des individus proches des autorités soudanaises</w:t>
      </w:r>
      <w:r w:rsidR="00CB54B7">
        <w:rPr>
          <w:lang w:val="fr-FR"/>
        </w:rPr>
        <w:t xml:space="preserve"> </w:t>
      </w:r>
      <w:r w:rsidRPr="00A90E5F">
        <w:rPr>
          <w:lang w:val="fr-FR"/>
        </w:rPr>
        <w:t>parce que son frère était membre du Mouvement pour la justice et l</w:t>
      </w:r>
      <w:r w:rsidR="00D31389">
        <w:rPr>
          <w:lang w:val="fr-FR"/>
        </w:rPr>
        <w:t>’</w:t>
      </w:r>
      <w:r w:rsidRPr="00A90E5F">
        <w:rPr>
          <w:lang w:val="fr-FR"/>
        </w:rPr>
        <w:t>égalité. La majorité des membres de la Commission a souligné à ce</w:t>
      </w:r>
      <w:r w:rsidR="00CB54B7">
        <w:rPr>
          <w:lang w:val="fr-FR"/>
        </w:rPr>
        <w:t xml:space="preserve"> </w:t>
      </w:r>
      <w:r w:rsidRPr="00A90E5F">
        <w:rPr>
          <w:lang w:val="fr-FR"/>
        </w:rPr>
        <w:t>sujet que le requérant avait fait des déclarations exagérées et divergentes sur des aspects essentiels des motifs de sa demande d</w:t>
      </w:r>
      <w:r w:rsidR="00D31389">
        <w:rPr>
          <w:lang w:val="fr-FR"/>
        </w:rPr>
        <w:t>’</w:t>
      </w:r>
      <w:r w:rsidRPr="00A90E5F">
        <w:rPr>
          <w:lang w:val="fr-FR"/>
        </w:rPr>
        <w:t>asile et qu</w:t>
      </w:r>
      <w:r w:rsidR="00D31389">
        <w:rPr>
          <w:lang w:val="fr-FR"/>
        </w:rPr>
        <w:t>’</w:t>
      </w:r>
      <w:r w:rsidRPr="00A90E5F">
        <w:rPr>
          <w:lang w:val="fr-FR"/>
        </w:rPr>
        <w:t>il n</w:t>
      </w:r>
      <w:r w:rsidR="00D31389">
        <w:rPr>
          <w:lang w:val="fr-FR"/>
        </w:rPr>
        <w:t>’</w:t>
      </w:r>
      <w:r w:rsidRPr="00A90E5F">
        <w:rPr>
          <w:lang w:val="fr-FR"/>
        </w:rPr>
        <w:t xml:space="preserve">avait pas donné la même version que sa compagne sur la raison de leur départ du Soudan (voir plus haut par. 4.1 à 4.4). </w:t>
      </w:r>
    </w:p>
    <w:p w:rsidR="00A90E5F" w:rsidRPr="00A90E5F" w:rsidRDefault="00A90E5F" w:rsidP="00A90E5F">
      <w:pPr>
        <w:pStyle w:val="SingleTxtG"/>
        <w:rPr>
          <w:lang w:val="fr-FR"/>
        </w:rPr>
      </w:pPr>
      <w:r w:rsidRPr="00A90E5F">
        <w:rPr>
          <w:lang w:val="fr-FR"/>
        </w:rPr>
        <w:t>6.2</w:t>
      </w:r>
      <w:r w:rsidRPr="00A90E5F">
        <w:rPr>
          <w:lang w:val="fr-FR"/>
        </w:rPr>
        <w:tab/>
        <w:t>L</w:t>
      </w:r>
      <w:r w:rsidR="00D31389">
        <w:rPr>
          <w:lang w:val="fr-FR"/>
        </w:rPr>
        <w:t>’</w:t>
      </w:r>
      <w:r w:rsidRPr="00A90E5F">
        <w:rPr>
          <w:lang w:val="fr-FR"/>
        </w:rPr>
        <w:t>État partie indique que le dossier de la compagne du requérant, que l</w:t>
      </w:r>
      <w:r w:rsidR="00D31389">
        <w:rPr>
          <w:lang w:val="fr-FR"/>
        </w:rPr>
        <w:t>’</w:t>
      </w:r>
      <w:r w:rsidRPr="00A90E5F">
        <w:rPr>
          <w:lang w:val="fr-FR"/>
        </w:rPr>
        <w:t>intéressé avait rencontrée en 2006 au Soudan et avec qui il vivait avant qu</w:t>
      </w:r>
      <w:r w:rsidR="00D31389">
        <w:rPr>
          <w:lang w:val="fr-FR"/>
        </w:rPr>
        <w:t>’</w:t>
      </w:r>
      <w:r w:rsidRPr="00A90E5F">
        <w:rPr>
          <w:lang w:val="fr-FR"/>
        </w:rPr>
        <w:t>ils ne quittent ce pays en 2007, a été pris en considération dans l</w:t>
      </w:r>
      <w:r w:rsidR="00D31389">
        <w:rPr>
          <w:lang w:val="fr-FR"/>
        </w:rPr>
        <w:t>’</w:t>
      </w:r>
      <w:r w:rsidRPr="00A90E5F">
        <w:rPr>
          <w:lang w:val="fr-FR"/>
        </w:rPr>
        <w:t>examen de la demande d</w:t>
      </w:r>
      <w:r w:rsidR="00D31389">
        <w:rPr>
          <w:lang w:val="fr-FR"/>
        </w:rPr>
        <w:t>’</w:t>
      </w:r>
      <w:r w:rsidRPr="00A90E5F">
        <w:rPr>
          <w:lang w:val="fr-FR"/>
        </w:rPr>
        <w:t>asile du requérant et donc</w:t>
      </w:r>
      <w:r w:rsidR="00CB54B7">
        <w:rPr>
          <w:lang w:val="fr-FR"/>
        </w:rPr>
        <w:t xml:space="preserve"> </w:t>
      </w:r>
      <w:r w:rsidRPr="00A90E5F">
        <w:rPr>
          <w:lang w:val="fr-FR"/>
        </w:rPr>
        <w:t>que c</w:t>
      </w:r>
      <w:r w:rsidR="00D31389">
        <w:rPr>
          <w:lang w:val="fr-FR"/>
        </w:rPr>
        <w:t>’</w:t>
      </w:r>
      <w:r w:rsidRPr="00A90E5F">
        <w:rPr>
          <w:lang w:val="fr-FR"/>
        </w:rPr>
        <w:t>est un des</w:t>
      </w:r>
      <w:r w:rsidR="00CB54B7">
        <w:rPr>
          <w:lang w:val="fr-FR"/>
        </w:rPr>
        <w:t xml:space="preserve"> </w:t>
      </w:r>
      <w:r w:rsidRPr="00A90E5F">
        <w:rPr>
          <w:lang w:val="fr-FR"/>
        </w:rPr>
        <w:t>éléments</w:t>
      </w:r>
      <w:r w:rsidR="00CB54B7">
        <w:rPr>
          <w:lang w:val="fr-FR"/>
        </w:rPr>
        <w:t xml:space="preserve"> </w:t>
      </w:r>
      <w:r w:rsidRPr="00A90E5F">
        <w:rPr>
          <w:lang w:val="fr-FR"/>
        </w:rPr>
        <w:t>qui ont servi de fondement aux décisions du Service danois de l</w:t>
      </w:r>
      <w:r w:rsidR="00D31389">
        <w:rPr>
          <w:lang w:val="fr-FR"/>
        </w:rPr>
        <w:t>’</w:t>
      </w:r>
      <w:r w:rsidRPr="00A90E5F">
        <w:rPr>
          <w:lang w:val="fr-FR"/>
        </w:rPr>
        <w:t>immigration et de la Commission de recours pour les réfugiés. L</w:t>
      </w:r>
      <w:r w:rsidR="00D31389">
        <w:rPr>
          <w:lang w:val="fr-FR"/>
        </w:rPr>
        <w:t>’</w:t>
      </w:r>
      <w:r w:rsidRPr="00A90E5F">
        <w:rPr>
          <w:lang w:val="fr-FR"/>
        </w:rPr>
        <w:t>État partie confirme les renseignements du requérant sur la procédure d</w:t>
      </w:r>
      <w:r w:rsidR="00D31389">
        <w:rPr>
          <w:lang w:val="fr-FR"/>
        </w:rPr>
        <w:t>’</w:t>
      </w:r>
      <w:r w:rsidRPr="00A90E5F">
        <w:rPr>
          <w:lang w:val="fr-FR"/>
        </w:rPr>
        <w:t>examen de la demande d</w:t>
      </w:r>
      <w:r w:rsidR="00D31389">
        <w:rPr>
          <w:lang w:val="fr-FR"/>
        </w:rPr>
        <w:t>’</w:t>
      </w:r>
      <w:r w:rsidRPr="00A90E5F">
        <w:rPr>
          <w:lang w:val="fr-FR"/>
        </w:rPr>
        <w:t>asile présentée par sa compagne, notamment le fait que, le 25 avril 2012, la Commission a accordé à cette dernière un permis de séjour au titre de l</w:t>
      </w:r>
      <w:r w:rsidR="00D31389">
        <w:rPr>
          <w:lang w:val="fr-FR"/>
        </w:rPr>
        <w:t>’</w:t>
      </w:r>
      <w:r w:rsidRPr="00A90E5F">
        <w:rPr>
          <w:lang w:val="fr-FR"/>
        </w:rPr>
        <w:t>article 7 (par. 2) de la loi relative aux étrangers, en tenant compte de son départ illégal d</w:t>
      </w:r>
      <w:r w:rsidR="00D31389">
        <w:rPr>
          <w:lang w:val="fr-FR"/>
        </w:rPr>
        <w:t>’</w:t>
      </w:r>
      <w:r w:rsidRPr="00A90E5F">
        <w:rPr>
          <w:lang w:val="fr-FR"/>
        </w:rPr>
        <w:t>Érythrée, de son séjour prolongé à l</w:t>
      </w:r>
      <w:r w:rsidR="00D31389">
        <w:rPr>
          <w:lang w:val="fr-FR"/>
        </w:rPr>
        <w:t>’</w:t>
      </w:r>
      <w:r w:rsidRPr="00A90E5F">
        <w:rPr>
          <w:lang w:val="fr-FR"/>
        </w:rPr>
        <w:t>étranger et de son insoumission au service militaire. Il ressort</w:t>
      </w:r>
      <w:r w:rsidR="00CB54B7">
        <w:rPr>
          <w:lang w:val="fr-FR"/>
        </w:rPr>
        <w:t xml:space="preserve"> </w:t>
      </w:r>
      <w:r w:rsidRPr="00A90E5F">
        <w:rPr>
          <w:lang w:val="fr-FR"/>
        </w:rPr>
        <w:t>également du dossier de demande d</w:t>
      </w:r>
      <w:r w:rsidR="00D31389">
        <w:rPr>
          <w:lang w:val="fr-FR"/>
        </w:rPr>
        <w:t>’</w:t>
      </w:r>
      <w:r w:rsidRPr="00A90E5F">
        <w:rPr>
          <w:lang w:val="fr-FR"/>
        </w:rPr>
        <w:t>asile de la compagne du requérant que celle-ci a déclaré lors de son entretien du 14 décembre 2009 devant le Service danois de l</w:t>
      </w:r>
      <w:r w:rsidR="00D31389">
        <w:rPr>
          <w:lang w:val="fr-FR"/>
        </w:rPr>
        <w:t>’</w:t>
      </w:r>
      <w:r w:rsidRPr="00A90E5F">
        <w:rPr>
          <w:lang w:val="fr-FR"/>
        </w:rPr>
        <w:t>immigration que le requérant n</w:t>
      </w:r>
      <w:r w:rsidR="00D31389">
        <w:rPr>
          <w:lang w:val="fr-FR"/>
        </w:rPr>
        <w:t>’</w:t>
      </w:r>
      <w:r w:rsidRPr="00A90E5F">
        <w:rPr>
          <w:lang w:val="fr-FR"/>
        </w:rPr>
        <w:t>avait pas achevé son service militaire obligatoire et qu</w:t>
      </w:r>
      <w:r w:rsidR="00D31389">
        <w:rPr>
          <w:lang w:val="fr-FR"/>
        </w:rPr>
        <w:t>’</w:t>
      </w:r>
      <w:r w:rsidRPr="00A90E5F">
        <w:rPr>
          <w:lang w:val="fr-FR"/>
        </w:rPr>
        <w:t>il avait de ce fait été arrêté au domicile de ses parents, puis qu</w:t>
      </w:r>
      <w:r w:rsidR="00D31389">
        <w:rPr>
          <w:lang w:val="fr-FR"/>
        </w:rPr>
        <w:t>’</w:t>
      </w:r>
      <w:r w:rsidRPr="00A90E5F">
        <w:rPr>
          <w:lang w:val="fr-FR"/>
        </w:rPr>
        <w:t>il s</w:t>
      </w:r>
      <w:r w:rsidR="00D31389">
        <w:rPr>
          <w:lang w:val="fr-FR"/>
        </w:rPr>
        <w:t>’</w:t>
      </w:r>
      <w:r w:rsidRPr="00A90E5F">
        <w:rPr>
          <w:lang w:val="fr-FR"/>
        </w:rPr>
        <w:t xml:space="preserve">était échappé après avoir été détenu pendant quatorze jours et que le couple avait quitté </w:t>
      </w:r>
      <w:r w:rsidRPr="00A90E5F">
        <w:rPr>
          <w:lang w:val="fr-FR"/>
        </w:rPr>
        <w:lastRenderedPageBreak/>
        <w:t>le Soudan. Toutefois,</w:t>
      </w:r>
      <w:r w:rsidR="00CB54B7">
        <w:rPr>
          <w:lang w:val="fr-FR"/>
        </w:rPr>
        <w:t xml:space="preserve"> </w:t>
      </w:r>
      <w:r w:rsidRPr="00A90E5F">
        <w:rPr>
          <w:lang w:val="fr-FR"/>
        </w:rPr>
        <w:t>le dossier de demande d</w:t>
      </w:r>
      <w:r w:rsidR="00D31389">
        <w:rPr>
          <w:lang w:val="fr-FR"/>
        </w:rPr>
        <w:t>’</w:t>
      </w:r>
      <w:r w:rsidRPr="00A90E5F">
        <w:rPr>
          <w:lang w:val="fr-FR"/>
        </w:rPr>
        <w:t>asile du requérant montre que celui-ci a déclaré lors de l</w:t>
      </w:r>
      <w:r w:rsidR="00D31389">
        <w:rPr>
          <w:lang w:val="fr-FR"/>
        </w:rPr>
        <w:t>’</w:t>
      </w:r>
      <w:r w:rsidRPr="00A90E5F">
        <w:rPr>
          <w:lang w:val="fr-FR"/>
        </w:rPr>
        <w:t>entretien du 17 janvier 2014 avoir dit à sa compagne qu</w:t>
      </w:r>
      <w:r w:rsidR="00D31389">
        <w:rPr>
          <w:lang w:val="fr-FR"/>
        </w:rPr>
        <w:t>’</w:t>
      </w:r>
      <w:r w:rsidRPr="00A90E5F">
        <w:rPr>
          <w:lang w:val="fr-FR"/>
        </w:rPr>
        <w:t>il avait été arrêté en raison des liens de son frère avec le Mouvement pour la justice et l</w:t>
      </w:r>
      <w:r w:rsidR="00D31389">
        <w:rPr>
          <w:lang w:val="fr-FR"/>
        </w:rPr>
        <w:t>’</w:t>
      </w:r>
      <w:r w:rsidRPr="00A90E5F">
        <w:rPr>
          <w:lang w:val="fr-FR"/>
        </w:rPr>
        <w:t>égalité et qu</w:t>
      </w:r>
      <w:r w:rsidR="00D31389">
        <w:rPr>
          <w:lang w:val="fr-FR"/>
        </w:rPr>
        <w:t>’</w:t>
      </w:r>
      <w:r w:rsidRPr="00A90E5F">
        <w:rPr>
          <w:lang w:val="fr-FR"/>
        </w:rPr>
        <w:t>il était convaincu qu</w:t>
      </w:r>
      <w:r w:rsidR="00D31389">
        <w:rPr>
          <w:lang w:val="fr-FR"/>
        </w:rPr>
        <w:t>’</w:t>
      </w:r>
      <w:r w:rsidRPr="00A90E5F">
        <w:rPr>
          <w:lang w:val="fr-FR"/>
        </w:rPr>
        <w:t>elle n</w:t>
      </w:r>
      <w:r w:rsidR="00D31389">
        <w:rPr>
          <w:lang w:val="fr-FR"/>
        </w:rPr>
        <w:t>’</w:t>
      </w:r>
      <w:r w:rsidRPr="00A90E5F">
        <w:rPr>
          <w:lang w:val="fr-FR"/>
        </w:rPr>
        <w:t>en avait pas fait état devant le Service danois de l</w:t>
      </w:r>
      <w:r w:rsidR="00D31389">
        <w:rPr>
          <w:lang w:val="fr-FR"/>
        </w:rPr>
        <w:t>’</w:t>
      </w:r>
      <w:r w:rsidRPr="00A90E5F">
        <w:rPr>
          <w:lang w:val="fr-FR"/>
        </w:rPr>
        <w:t>immigration parce que cela ne la concernait pas. Le requérant a également dit que sa compagne avait peut-être besoin d</w:t>
      </w:r>
      <w:r w:rsidR="00D31389">
        <w:rPr>
          <w:lang w:val="fr-FR"/>
        </w:rPr>
        <w:t>’</w:t>
      </w:r>
      <w:r w:rsidRPr="00A90E5F">
        <w:rPr>
          <w:lang w:val="fr-FR"/>
        </w:rPr>
        <w:t>une prise en charge psychologique et qu</w:t>
      </w:r>
      <w:r w:rsidR="00D31389">
        <w:rPr>
          <w:lang w:val="fr-FR"/>
        </w:rPr>
        <w:t>’</w:t>
      </w:r>
      <w:r w:rsidRPr="00A90E5F">
        <w:rPr>
          <w:lang w:val="fr-FR"/>
        </w:rPr>
        <w:t>elle ne s</w:t>
      </w:r>
      <w:r w:rsidR="00D31389">
        <w:rPr>
          <w:lang w:val="fr-FR"/>
        </w:rPr>
        <w:t>’</w:t>
      </w:r>
      <w:r w:rsidRPr="00A90E5F">
        <w:rPr>
          <w:lang w:val="fr-FR"/>
        </w:rPr>
        <w:t>exprimait pas très clairement. Le 23 avril 2014, pendant l</w:t>
      </w:r>
      <w:r w:rsidR="00D31389">
        <w:rPr>
          <w:lang w:val="fr-FR"/>
        </w:rPr>
        <w:t>’</w:t>
      </w:r>
      <w:r w:rsidRPr="00A90E5F">
        <w:rPr>
          <w:lang w:val="fr-FR"/>
        </w:rPr>
        <w:t>audience devant la Commission de recours pour les réfugiés, il a été prié d</w:t>
      </w:r>
      <w:r w:rsidR="00D31389">
        <w:rPr>
          <w:lang w:val="fr-FR"/>
        </w:rPr>
        <w:t>’</w:t>
      </w:r>
      <w:r w:rsidRPr="00A90E5F">
        <w:rPr>
          <w:lang w:val="fr-FR"/>
        </w:rPr>
        <w:t>expliquer pourquoi sa compagne avait déclaré lors de l</w:t>
      </w:r>
      <w:r w:rsidR="00D31389">
        <w:rPr>
          <w:lang w:val="fr-FR"/>
        </w:rPr>
        <w:t>’</w:t>
      </w:r>
      <w:r w:rsidRPr="00A90E5F">
        <w:rPr>
          <w:lang w:val="fr-FR"/>
        </w:rPr>
        <w:t>examen de sa propre demande d</w:t>
      </w:r>
      <w:r w:rsidR="00D31389">
        <w:rPr>
          <w:lang w:val="fr-FR"/>
        </w:rPr>
        <w:t>’</w:t>
      </w:r>
      <w:r w:rsidRPr="00A90E5F">
        <w:rPr>
          <w:lang w:val="fr-FR"/>
        </w:rPr>
        <w:t>asile qu</w:t>
      </w:r>
      <w:r w:rsidR="00D31389">
        <w:rPr>
          <w:lang w:val="fr-FR"/>
        </w:rPr>
        <w:t>’</w:t>
      </w:r>
      <w:r w:rsidRPr="00A90E5F">
        <w:rPr>
          <w:lang w:val="fr-FR"/>
        </w:rPr>
        <w:t>il avait dû quitter son pays d</w:t>
      </w:r>
      <w:r w:rsidR="00D31389">
        <w:rPr>
          <w:lang w:val="fr-FR"/>
        </w:rPr>
        <w:t>’</w:t>
      </w:r>
      <w:r w:rsidRPr="00A90E5F">
        <w:rPr>
          <w:lang w:val="fr-FR"/>
        </w:rPr>
        <w:t>origine en raison de ses obligations militaires. Le requérant a répondu que sa compagne ne maîtrisait pas l</w:t>
      </w:r>
      <w:r w:rsidR="00D31389">
        <w:rPr>
          <w:lang w:val="fr-FR"/>
        </w:rPr>
        <w:t>’</w:t>
      </w:r>
      <w:r w:rsidRPr="00A90E5F">
        <w:rPr>
          <w:lang w:val="fr-FR"/>
        </w:rPr>
        <w:t>arabe et qu</w:t>
      </w:r>
      <w:r w:rsidR="00D31389">
        <w:rPr>
          <w:lang w:val="fr-FR"/>
        </w:rPr>
        <w:t>’</w:t>
      </w:r>
      <w:r w:rsidRPr="00A90E5F">
        <w:rPr>
          <w:lang w:val="fr-FR"/>
        </w:rPr>
        <w:t>il ne voulait pas qu</w:t>
      </w:r>
      <w:r w:rsidR="00D31389">
        <w:rPr>
          <w:lang w:val="fr-FR"/>
        </w:rPr>
        <w:t>’</w:t>
      </w:r>
      <w:r w:rsidRPr="00A90E5F">
        <w:rPr>
          <w:lang w:val="fr-FR"/>
        </w:rPr>
        <w:t>elle sache toute la vérité. L</w:t>
      </w:r>
      <w:r w:rsidR="00D31389">
        <w:rPr>
          <w:lang w:val="fr-FR"/>
        </w:rPr>
        <w:t>’</w:t>
      </w:r>
      <w:r w:rsidRPr="00A90E5F">
        <w:rPr>
          <w:lang w:val="fr-FR"/>
        </w:rPr>
        <w:t>État partie s</w:t>
      </w:r>
      <w:r w:rsidR="00D31389">
        <w:rPr>
          <w:lang w:val="fr-FR"/>
        </w:rPr>
        <w:t>’</w:t>
      </w:r>
      <w:r w:rsidRPr="00A90E5F">
        <w:rPr>
          <w:lang w:val="fr-FR"/>
        </w:rPr>
        <w:t>est demandé si les déclarations discordantes du requérant et de sa compagne sur l</w:t>
      </w:r>
      <w:r w:rsidR="00D31389">
        <w:rPr>
          <w:lang w:val="fr-FR"/>
        </w:rPr>
        <w:t>’</w:t>
      </w:r>
      <w:r w:rsidRPr="00A90E5F">
        <w:rPr>
          <w:lang w:val="fr-FR"/>
        </w:rPr>
        <w:t>incident à l</w:t>
      </w:r>
      <w:r w:rsidR="00D31389">
        <w:rPr>
          <w:lang w:val="fr-FR"/>
        </w:rPr>
        <w:t>’</w:t>
      </w:r>
      <w:r w:rsidRPr="00A90E5F">
        <w:rPr>
          <w:lang w:val="fr-FR"/>
        </w:rPr>
        <w:t>origine de leur départ du Soudan en 2007 et si les exagérations et contradictions marquant le récit du requérant pouvaient être attribuables à la torture, comme le prétendait le requérant lui-même, mais il a conclu que ce n</w:t>
      </w:r>
      <w:r w:rsidR="00D31389">
        <w:rPr>
          <w:lang w:val="fr-FR"/>
        </w:rPr>
        <w:t>’</w:t>
      </w:r>
      <w:r w:rsidRPr="00A90E5F">
        <w:rPr>
          <w:lang w:val="fr-FR"/>
        </w:rPr>
        <w:t>était pas le cas.</w:t>
      </w:r>
    </w:p>
    <w:p w:rsidR="00A90E5F" w:rsidRPr="00A90E5F" w:rsidRDefault="00A90E5F" w:rsidP="00A90E5F">
      <w:pPr>
        <w:pStyle w:val="SingleTxtG"/>
        <w:rPr>
          <w:lang w:val="fr-FR"/>
        </w:rPr>
      </w:pPr>
      <w:r w:rsidRPr="00A90E5F">
        <w:rPr>
          <w:lang w:val="fr-FR"/>
        </w:rPr>
        <w:t>6.3</w:t>
      </w:r>
      <w:r w:rsidRPr="00A90E5F">
        <w:rPr>
          <w:lang w:val="fr-FR"/>
        </w:rPr>
        <w:tab/>
        <w:t>Pour ce qui est de la photographie des cicatrices sur le corps du requérant, l</w:t>
      </w:r>
      <w:r w:rsidR="00D31389">
        <w:rPr>
          <w:lang w:val="fr-FR"/>
        </w:rPr>
        <w:t>’</w:t>
      </w:r>
      <w:r w:rsidRPr="00A90E5F">
        <w:rPr>
          <w:lang w:val="fr-FR"/>
        </w:rPr>
        <w:t>État partie fait observer qu</w:t>
      </w:r>
      <w:r w:rsidR="00D31389">
        <w:rPr>
          <w:lang w:val="fr-FR"/>
        </w:rPr>
        <w:t>’</w:t>
      </w:r>
      <w:r w:rsidRPr="00A90E5F">
        <w:rPr>
          <w:lang w:val="fr-FR"/>
        </w:rPr>
        <w:t>on ne peut pas conclure du fait que le requérant ait ces cicatrices qu</w:t>
      </w:r>
      <w:r w:rsidR="00D31389">
        <w:rPr>
          <w:lang w:val="fr-FR"/>
        </w:rPr>
        <w:t>’</w:t>
      </w:r>
      <w:r w:rsidRPr="00A90E5F">
        <w:rPr>
          <w:lang w:val="fr-FR"/>
        </w:rPr>
        <w:t>il a été soumis à des mauvais traitements physiques</w:t>
      </w:r>
      <w:r w:rsidR="00CB54B7">
        <w:rPr>
          <w:lang w:val="fr-FR"/>
        </w:rPr>
        <w:t xml:space="preserve"> </w:t>
      </w:r>
      <w:r w:rsidRPr="00A90E5F">
        <w:rPr>
          <w:lang w:val="fr-FR"/>
        </w:rPr>
        <w:t>comme il l</w:t>
      </w:r>
      <w:r w:rsidR="00D31389">
        <w:rPr>
          <w:lang w:val="fr-FR"/>
        </w:rPr>
        <w:t>’</w:t>
      </w:r>
      <w:r w:rsidRPr="00A90E5F">
        <w:rPr>
          <w:lang w:val="fr-FR"/>
        </w:rPr>
        <w:t>affirme. Quand un demandeur d</w:t>
      </w:r>
      <w:r w:rsidR="00D31389">
        <w:rPr>
          <w:lang w:val="fr-FR"/>
        </w:rPr>
        <w:t>’</w:t>
      </w:r>
      <w:r w:rsidRPr="00A90E5F">
        <w:rPr>
          <w:lang w:val="fr-FR"/>
        </w:rPr>
        <w:t>asile dit avoir subi dans son pays d</w:t>
      </w:r>
      <w:r w:rsidR="00D31389">
        <w:rPr>
          <w:lang w:val="fr-FR"/>
        </w:rPr>
        <w:t>’</w:t>
      </w:r>
      <w:r w:rsidRPr="00A90E5F">
        <w:rPr>
          <w:lang w:val="fr-FR"/>
        </w:rPr>
        <w:t>origine des actes de torture</w:t>
      </w:r>
      <w:r w:rsidR="00CB54B7">
        <w:rPr>
          <w:lang w:val="fr-FR"/>
        </w:rPr>
        <w:t xml:space="preserve"> </w:t>
      </w:r>
      <w:r w:rsidRPr="00A90E5F">
        <w:rPr>
          <w:lang w:val="fr-FR"/>
        </w:rPr>
        <w:t>en raison de circonstances qui continuent de prévaloir et qu</w:t>
      </w:r>
      <w:r w:rsidR="00D31389">
        <w:rPr>
          <w:lang w:val="fr-FR"/>
        </w:rPr>
        <w:t>’</w:t>
      </w:r>
      <w:r w:rsidRPr="00A90E5F">
        <w:rPr>
          <w:lang w:val="fr-FR"/>
        </w:rPr>
        <w:t>il risque de ce fait d</w:t>
      </w:r>
      <w:r w:rsidR="00D31389">
        <w:rPr>
          <w:lang w:val="fr-FR"/>
        </w:rPr>
        <w:t>’</w:t>
      </w:r>
      <w:r w:rsidRPr="00A90E5F">
        <w:rPr>
          <w:lang w:val="fr-FR"/>
        </w:rPr>
        <w:t>être de nouveau soumis à la torture</w:t>
      </w:r>
      <w:r w:rsidR="00CB54B7">
        <w:rPr>
          <w:lang w:val="fr-FR"/>
        </w:rPr>
        <w:t xml:space="preserve"> </w:t>
      </w:r>
      <w:r w:rsidRPr="00A90E5F">
        <w:rPr>
          <w:lang w:val="fr-FR"/>
        </w:rPr>
        <w:t>s</w:t>
      </w:r>
      <w:r w:rsidR="00D31389">
        <w:rPr>
          <w:lang w:val="fr-FR"/>
        </w:rPr>
        <w:t>’</w:t>
      </w:r>
      <w:r w:rsidRPr="00A90E5F">
        <w:rPr>
          <w:lang w:val="fr-FR"/>
        </w:rPr>
        <w:t>il retourne dans ce pays, la Commission de recours pour les réfugiés n</w:t>
      </w:r>
      <w:r w:rsidR="00D31389">
        <w:rPr>
          <w:lang w:val="fr-FR"/>
        </w:rPr>
        <w:t>’</w:t>
      </w:r>
      <w:r w:rsidRPr="00A90E5F">
        <w:rPr>
          <w:lang w:val="fr-FR"/>
        </w:rPr>
        <w:t>ordonne généralement pas d</w:t>
      </w:r>
      <w:r w:rsidR="00D31389">
        <w:rPr>
          <w:lang w:val="fr-FR"/>
        </w:rPr>
        <w:t>’</w:t>
      </w:r>
      <w:r w:rsidRPr="00A90E5F">
        <w:rPr>
          <w:lang w:val="fr-FR"/>
        </w:rPr>
        <w:t>examen visant à constater d</w:t>
      </w:r>
      <w:r w:rsidR="00D31389">
        <w:rPr>
          <w:lang w:val="fr-FR"/>
        </w:rPr>
        <w:t>’</w:t>
      </w:r>
      <w:r w:rsidRPr="00A90E5F">
        <w:rPr>
          <w:lang w:val="fr-FR"/>
        </w:rPr>
        <w:t>éventuels signes de torture si le demandeur d</w:t>
      </w:r>
      <w:r w:rsidR="00D31389">
        <w:rPr>
          <w:lang w:val="fr-FR"/>
        </w:rPr>
        <w:t>’</w:t>
      </w:r>
      <w:r w:rsidRPr="00A90E5F">
        <w:rPr>
          <w:lang w:val="fr-FR"/>
        </w:rPr>
        <w:t>asile n</w:t>
      </w:r>
      <w:r w:rsidR="00D31389">
        <w:rPr>
          <w:lang w:val="fr-FR"/>
        </w:rPr>
        <w:t>’</w:t>
      </w:r>
      <w:r w:rsidRPr="00A90E5F">
        <w:rPr>
          <w:lang w:val="fr-FR"/>
        </w:rPr>
        <w:t>a pas été crédible tout au long de la procédure, comme en l</w:t>
      </w:r>
      <w:r w:rsidR="00D31389">
        <w:rPr>
          <w:lang w:val="fr-FR"/>
        </w:rPr>
        <w:t>’</w:t>
      </w:r>
      <w:r w:rsidRPr="00A90E5F">
        <w:rPr>
          <w:lang w:val="fr-FR"/>
        </w:rPr>
        <w:t>espèce. Elle écarte donc totalement les déclarations du demandeur d</w:t>
      </w:r>
      <w:r w:rsidR="00D31389">
        <w:rPr>
          <w:lang w:val="fr-FR"/>
        </w:rPr>
        <w:t>’</w:t>
      </w:r>
      <w:r w:rsidRPr="00A90E5F">
        <w:rPr>
          <w:lang w:val="fr-FR"/>
        </w:rPr>
        <w:t>asile concerné sur les actes de torture allégués ou sur les circonstances</w:t>
      </w:r>
      <w:r w:rsidR="00CB54B7">
        <w:rPr>
          <w:lang w:val="fr-FR"/>
        </w:rPr>
        <w:t xml:space="preserve"> </w:t>
      </w:r>
      <w:r w:rsidRPr="00A90E5F">
        <w:rPr>
          <w:lang w:val="fr-FR"/>
        </w:rPr>
        <w:t>qui ont donné lieu à la torture. Si les déclarations du demandeur d</w:t>
      </w:r>
      <w:r w:rsidR="00D31389">
        <w:rPr>
          <w:lang w:val="fr-FR"/>
        </w:rPr>
        <w:t>’</w:t>
      </w:r>
      <w:r w:rsidRPr="00A90E5F">
        <w:rPr>
          <w:lang w:val="fr-FR"/>
        </w:rPr>
        <w:t>asile sur les raisons pour lesquelles il a été torturé ne sont pas considérées comme</w:t>
      </w:r>
      <w:r w:rsidR="00CB54B7">
        <w:rPr>
          <w:lang w:val="fr-FR"/>
        </w:rPr>
        <w:t xml:space="preserve"> </w:t>
      </w:r>
      <w:r w:rsidRPr="00A90E5F">
        <w:rPr>
          <w:lang w:val="fr-FR"/>
        </w:rPr>
        <w:t>crédibles</w:t>
      </w:r>
      <w:r w:rsidR="00CB54B7">
        <w:rPr>
          <w:lang w:val="fr-FR"/>
        </w:rPr>
        <w:t xml:space="preserve"> </w:t>
      </w:r>
      <w:r w:rsidRPr="00A90E5F">
        <w:rPr>
          <w:lang w:val="fr-FR"/>
        </w:rPr>
        <w:t>et que les circonstances qui créent un risque de torture à son retour continuent selon lui de prévaloir, il est naturellement impossible de conclure, sur la base d</w:t>
      </w:r>
      <w:r w:rsidR="00D31389">
        <w:rPr>
          <w:lang w:val="fr-FR"/>
        </w:rPr>
        <w:t>’</w:t>
      </w:r>
      <w:r w:rsidRPr="00A90E5F">
        <w:rPr>
          <w:lang w:val="fr-FR"/>
        </w:rPr>
        <w:t>une telle affirmation, que le demandeur d</w:t>
      </w:r>
      <w:r w:rsidR="00D31389">
        <w:rPr>
          <w:lang w:val="fr-FR"/>
        </w:rPr>
        <w:t>’</w:t>
      </w:r>
      <w:r w:rsidRPr="00A90E5F">
        <w:rPr>
          <w:lang w:val="fr-FR"/>
        </w:rPr>
        <w:t>asile risque d</w:t>
      </w:r>
      <w:r w:rsidR="00D31389">
        <w:rPr>
          <w:lang w:val="fr-FR"/>
        </w:rPr>
        <w:t>’</w:t>
      </w:r>
      <w:r w:rsidRPr="00A90E5F">
        <w:rPr>
          <w:lang w:val="fr-FR"/>
        </w:rPr>
        <w:t>être soumis à la torture s</w:t>
      </w:r>
      <w:r w:rsidR="00D31389">
        <w:rPr>
          <w:lang w:val="fr-FR"/>
        </w:rPr>
        <w:t>’</w:t>
      </w:r>
      <w:r w:rsidRPr="00A90E5F">
        <w:rPr>
          <w:lang w:val="fr-FR"/>
        </w:rPr>
        <w:t>il est renvoyé dans son pays d</w:t>
      </w:r>
      <w:r w:rsidR="00D31389">
        <w:rPr>
          <w:lang w:val="fr-FR"/>
        </w:rPr>
        <w:t>’</w:t>
      </w:r>
      <w:r w:rsidRPr="00A90E5F">
        <w:rPr>
          <w:lang w:val="fr-FR"/>
        </w:rPr>
        <w:t>origine. L</w:t>
      </w:r>
      <w:r w:rsidR="00D31389">
        <w:rPr>
          <w:lang w:val="fr-FR"/>
        </w:rPr>
        <w:t>’</w:t>
      </w:r>
      <w:r w:rsidRPr="00A90E5F">
        <w:rPr>
          <w:lang w:val="fr-FR"/>
        </w:rPr>
        <w:t xml:space="preserve">État partie renvoie à la </w:t>
      </w:r>
      <w:r w:rsidR="00A16010">
        <w:rPr>
          <w:lang w:val="fr-FR"/>
        </w:rPr>
        <w:t>décision dans l</w:t>
      </w:r>
      <w:r w:rsidR="00D31389">
        <w:rPr>
          <w:lang w:val="fr-FR"/>
        </w:rPr>
        <w:t>’</w:t>
      </w:r>
      <w:r w:rsidR="00A16010">
        <w:rPr>
          <w:lang w:val="fr-FR"/>
        </w:rPr>
        <w:t>affaire</w:t>
      </w:r>
      <w:r w:rsidRPr="00A90E5F">
        <w:rPr>
          <w:lang w:val="fr-FR"/>
        </w:rPr>
        <w:t xml:space="preserve"> </w:t>
      </w:r>
      <w:r w:rsidRPr="00A90E5F">
        <w:rPr>
          <w:i/>
          <w:iCs/>
          <w:lang w:val="fr-FR"/>
        </w:rPr>
        <w:t>S. A. P.</w:t>
      </w:r>
      <w:r w:rsidR="00A16010">
        <w:rPr>
          <w:i/>
          <w:iCs/>
          <w:lang w:val="fr-FR"/>
        </w:rPr>
        <w:t xml:space="preserve"> </w:t>
      </w:r>
      <w:r w:rsidRPr="00A90E5F">
        <w:rPr>
          <w:iCs/>
          <w:lang w:val="fr-FR"/>
        </w:rPr>
        <w:t>c</w:t>
      </w:r>
      <w:r w:rsidRPr="00A90E5F">
        <w:rPr>
          <w:i/>
          <w:iCs/>
          <w:lang w:val="fr-FR"/>
        </w:rPr>
        <w:t>. Suisse</w:t>
      </w:r>
      <w:r w:rsidR="00665590" w:rsidRPr="00665590">
        <w:rPr>
          <w:rStyle w:val="Appelnotedebasdep"/>
          <w:iCs/>
        </w:rPr>
        <w:footnoteReference w:id="21"/>
      </w:r>
      <w:r w:rsidRPr="00A90E5F">
        <w:rPr>
          <w:iCs/>
          <w:lang w:val="fr-FR"/>
        </w:rPr>
        <w:t xml:space="preserve">, dans laquelle </w:t>
      </w:r>
      <w:r w:rsidRPr="00A90E5F">
        <w:rPr>
          <w:lang w:val="fr-FR"/>
        </w:rPr>
        <w:t>la requérante avait fourni des certificats médicaux à l</w:t>
      </w:r>
      <w:r w:rsidR="00D31389">
        <w:rPr>
          <w:lang w:val="fr-FR"/>
        </w:rPr>
        <w:t>’</w:t>
      </w:r>
      <w:r w:rsidRPr="00A90E5F">
        <w:rPr>
          <w:lang w:val="fr-FR"/>
        </w:rPr>
        <w:t>appui de sa demande d</w:t>
      </w:r>
      <w:r w:rsidR="00D31389">
        <w:rPr>
          <w:lang w:val="fr-FR"/>
        </w:rPr>
        <w:t>’</w:t>
      </w:r>
      <w:r w:rsidRPr="00A90E5F">
        <w:rPr>
          <w:lang w:val="fr-FR"/>
        </w:rPr>
        <w:t>asile, et relève que le Comité avait déclaré que la requérante alléguait</w:t>
      </w:r>
      <w:r w:rsidR="00CB54B7">
        <w:rPr>
          <w:lang w:val="fr-FR"/>
        </w:rPr>
        <w:t xml:space="preserve"> </w:t>
      </w:r>
      <w:r w:rsidR="00AA1A00" w:rsidRPr="00A90E5F">
        <w:rPr>
          <w:lang w:val="fr-FR"/>
        </w:rPr>
        <w:t>qu</w:t>
      </w:r>
      <w:r w:rsidR="00D31389">
        <w:rPr>
          <w:lang w:val="fr-FR"/>
        </w:rPr>
        <w:t>’</w:t>
      </w:r>
      <w:r w:rsidR="00AA1A00" w:rsidRPr="00A90E5F">
        <w:rPr>
          <w:lang w:val="fr-FR"/>
        </w:rPr>
        <w:t>elle</w:t>
      </w:r>
      <w:r w:rsidRPr="00A90E5F">
        <w:rPr>
          <w:lang w:val="fr-FR"/>
        </w:rPr>
        <w:t xml:space="preserve"> avait été victime de blessures extrême</w:t>
      </w:r>
      <w:r w:rsidR="00D8311A">
        <w:rPr>
          <w:lang w:val="fr-FR"/>
        </w:rPr>
        <w:t>ment graves et de troubles post</w:t>
      </w:r>
      <w:r w:rsidR="00D8311A">
        <w:rPr>
          <w:lang w:val="fr-FR"/>
        </w:rPr>
        <w:noBreakHyphen/>
      </w:r>
      <w:r w:rsidRPr="00A90E5F">
        <w:rPr>
          <w:lang w:val="fr-FR"/>
        </w:rPr>
        <w:t>traumatiques.</w:t>
      </w:r>
      <w:r w:rsidR="00CB54B7">
        <w:rPr>
          <w:lang w:val="fr-FR"/>
        </w:rPr>
        <w:t xml:space="preserve"> </w:t>
      </w:r>
      <w:r w:rsidR="00A16010">
        <w:rPr>
          <w:lang w:val="fr-FR"/>
        </w:rPr>
        <w:t>« Le </w:t>
      </w:r>
      <w:r w:rsidRPr="00A90E5F">
        <w:rPr>
          <w:lang w:val="fr-FR"/>
        </w:rPr>
        <w:t>Comité considère toutefois que les requérants n</w:t>
      </w:r>
      <w:r w:rsidR="00D31389">
        <w:rPr>
          <w:lang w:val="fr-FR"/>
        </w:rPr>
        <w:t>’</w:t>
      </w:r>
      <w:r w:rsidRPr="00A90E5F">
        <w:rPr>
          <w:lang w:val="fr-FR"/>
        </w:rPr>
        <w:t>ont pas fourni d</w:t>
      </w:r>
      <w:r w:rsidR="00D31389">
        <w:rPr>
          <w:lang w:val="fr-FR"/>
        </w:rPr>
        <w:t>’</w:t>
      </w:r>
      <w:r w:rsidRPr="00A90E5F">
        <w:rPr>
          <w:lang w:val="fr-FR"/>
        </w:rPr>
        <w:t>éléments de preuve suffisants pour lui permettre de conclure que les blessures constatées ont été causées par les actes présumés de persécution et mauvais traitements par les autorités</w:t>
      </w:r>
      <w:r w:rsidR="00CB54B7">
        <w:rPr>
          <w:lang w:val="fr-FR"/>
        </w:rPr>
        <w:t>. »</w:t>
      </w:r>
    </w:p>
    <w:p w:rsidR="00A90E5F" w:rsidRPr="00A90E5F" w:rsidRDefault="00A90E5F" w:rsidP="00A90E5F">
      <w:pPr>
        <w:pStyle w:val="SingleTxtG"/>
        <w:rPr>
          <w:lang w:val="fr-FR"/>
        </w:rPr>
      </w:pPr>
      <w:r w:rsidRPr="00A90E5F">
        <w:rPr>
          <w:lang w:val="fr-FR"/>
        </w:rPr>
        <w:t>6.4</w:t>
      </w:r>
      <w:r w:rsidRPr="00A90E5F">
        <w:rPr>
          <w:lang w:val="fr-FR"/>
        </w:rPr>
        <w:tab/>
        <w:t>L</w:t>
      </w:r>
      <w:r w:rsidR="00D31389">
        <w:rPr>
          <w:lang w:val="fr-FR"/>
        </w:rPr>
        <w:t>’</w:t>
      </w:r>
      <w:r w:rsidRPr="00A90E5F">
        <w:rPr>
          <w:lang w:val="fr-FR"/>
        </w:rPr>
        <w:t>État partie signale qu</w:t>
      </w:r>
      <w:r w:rsidR="00D31389">
        <w:rPr>
          <w:lang w:val="fr-FR"/>
        </w:rPr>
        <w:t>’</w:t>
      </w:r>
      <w:r w:rsidRPr="00A90E5F">
        <w:rPr>
          <w:lang w:val="fr-FR"/>
        </w:rPr>
        <w:t>il n</w:t>
      </w:r>
      <w:r w:rsidR="00D31389">
        <w:rPr>
          <w:lang w:val="fr-FR"/>
        </w:rPr>
        <w:t>’</w:t>
      </w:r>
      <w:r w:rsidR="00FF2AC9">
        <w:rPr>
          <w:lang w:val="fr-FR"/>
        </w:rPr>
        <w:t>ignore</w:t>
      </w:r>
      <w:r w:rsidR="00CB54B7">
        <w:rPr>
          <w:lang w:val="fr-FR"/>
        </w:rPr>
        <w:t xml:space="preserve"> </w:t>
      </w:r>
      <w:r w:rsidR="00FF2AC9">
        <w:rPr>
          <w:lang w:val="fr-FR"/>
        </w:rPr>
        <w:t>pas la décision récente</w:t>
      </w:r>
      <w:r w:rsidRPr="00A90E5F">
        <w:rPr>
          <w:lang w:val="fr-FR"/>
        </w:rPr>
        <w:t xml:space="preserve"> dans l</w:t>
      </w:r>
      <w:r w:rsidR="00D31389">
        <w:rPr>
          <w:lang w:val="fr-FR"/>
        </w:rPr>
        <w:t>’</w:t>
      </w:r>
      <w:r w:rsidRPr="00A90E5F">
        <w:rPr>
          <w:lang w:val="fr-FR"/>
        </w:rPr>
        <w:t xml:space="preserve">affaire </w:t>
      </w:r>
      <w:r w:rsidRPr="00A90E5F">
        <w:rPr>
          <w:i/>
          <w:iCs/>
          <w:lang w:val="fr-FR"/>
        </w:rPr>
        <w:t>F. K.</w:t>
      </w:r>
      <w:r w:rsidR="00FF2AC9">
        <w:rPr>
          <w:i/>
          <w:iCs/>
          <w:lang w:val="fr-FR"/>
        </w:rPr>
        <w:t> </w:t>
      </w:r>
      <w:r w:rsidRPr="00A90E5F">
        <w:rPr>
          <w:iCs/>
          <w:lang w:val="fr-FR"/>
        </w:rPr>
        <w:t>c.</w:t>
      </w:r>
      <w:r w:rsidRPr="00A90E5F">
        <w:rPr>
          <w:i/>
          <w:iCs/>
          <w:lang w:val="fr-FR"/>
        </w:rPr>
        <w:t> Danemark</w:t>
      </w:r>
      <w:r w:rsidR="00665590" w:rsidRPr="00665590">
        <w:rPr>
          <w:rStyle w:val="Appelnotedebasdep"/>
          <w:iCs/>
        </w:rPr>
        <w:footnoteReference w:id="22"/>
      </w:r>
      <w:r w:rsidRPr="00A90E5F">
        <w:rPr>
          <w:lang w:val="fr-FR"/>
        </w:rPr>
        <w:t xml:space="preserve"> dans laquelle le Comité fait valoir notamment ce qui suit : « […]</w:t>
      </w:r>
      <w:r w:rsidR="00CB54B7">
        <w:rPr>
          <w:lang w:val="fr-FR"/>
        </w:rPr>
        <w:t xml:space="preserve"> </w:t>
      </w:r>
      <w:r w:rsidRPr="00A90E5F">
        <w:rPr>
          <w:lang w:val="fr-FR"/>
        </w:rPr>
        <w:t>le Comité considère que l</w:t>
      </w:r>
      <w:r w:rsidR="00D31389">
        <w:rPr>
          <w:lang w:val="fr-FR"/>
        </w:rPr>
        <w:t>’</w:t>
      </w:r>
      <w:r w:rsidRPr="00A90E5F">
        <w:rPr>
          <w:lang w:val="fr-FR"/>
        </w:rPr>
        <w:t>État partie a soulevé d</w:t>
      </w:r>
      <w:r w:rsidR="00D31389">
        <w:rPr>
          <w:lang w:val="fr-FR"/>
        </w:rPr>
        <w:t>’</w:t>
      </w:r>
      <w:r w:rsidRPr="00A90E5F">
        <w:rPr>
          <w:lang w:val="fr-FR"/>
        </w:rPr>
        <w:t>importants problèmes de crédibilité, mais qu</w:t>
      </w:r>
      <w:r w:rsidR="00D31389">
        <w:rPr>
          <w:lang w:val="fr-FR"/>
        </w:rPr>
        <w:t>’</w:t>
      </w:r>
      <w:r w:rsidRPr="00A90E5F">
        <w:rPr>
          <w:lang w:val="fr-FR"/>
        </w:rPr>
        <w:t>il a conclu au manque de crédibilité du requérant sans tenir compte d</w:t>
      </w:r>
      <w:r w:rsidR="00D31389">
        <w:rPr>
          <w:lang w:val="fr-FR"/>
        </w:rPr>
        <w:t>’</w:t>
      </w:r>
      <w:r w:rsidRPr="00A90E5F">
        <w:rPr>
          <w:lang w:val="fr-FR"/>
        </w:rPr>
        <w:t>un aspect fondamental de sa demande. Il estime donc qu</w:t>
      </w:r>
      <w:r w:rsidR="00D31389">
        <w:rPr>
          <w:lang w:val="fr-FR"/>
        </w:rPr>
        <w:t>’</w:t>
      </w:r>
      <w:r w:rsidRPr="00A90E5F">
        <w:rPr>
          <w:lang w:val="fr-FR"/>
        </w:rPr>
        <w:t>en rejetant la demande d</w:t>
      </w:r>
      <w:r w:rsidR="00D31389">
        <w:rPr>
          <w:lang w:val="fr-FR"/>
        </w:rPr>
        <w:t>’</w:t>
      </w:r>
      <w:r w:rsidRPr="00A90E5F">
        <w:rPr>
          <w:lang w:val="fr-FR"/>
        </w:rPr>
        <w:t>asile du requérant sans ordonner d</w:t>
      </w:r>
      <w:r w:rsidR="00D31389">
        <w:rPr>
          <w:lang w:val="fr-FR"/>
        </w:rPr>
        <w:t>’</w:t>
      </w:r>
      <w:r w:rsidRPr="00A90E5F">
        <w:rPr>
          <w:lang w:val="fr-FR"/>
        </w:rPr>
        <w:t>examen médical, l</w:t>
      </w:r>
      <w:r w:rsidR="00D31389">
        <w:rPr>
          <w:lang w:val="fr-FR"/>
        </w:rPr>
        <w:t>’</w:t>
      </w:r>
      <w:r w:rsidRPr="00A90E5F">
        <w:rPr>
          <w:lang w:val="fr-FR"/>
        </w:rPr>
        <w:t>État partie ne s</w:t>
      </w:r>
      <w:r w:rsidR="00D31389">
        <w:rPr>
          <w:lang w:val="fr-FR"/>
        </w:rPr>
        <w:t>’</w:t>
      </w:r>
      <w:r w:rsidRPr="00A90E5F">
        <w:rPr>
          <w:lang w:val="fr-FR"/>
        </w:rPr>
        <w:t>est pas suffisamment efforcé d</w:t>
      </w:r>
      <w:r w:rsidR="00D31389">
        <w:rPr>
          <w:lang w:val="fr-FR"/>
        </w:rPr>
        <w:t>’</w:t>
      </w:r>
      <w:r w:rsidRPr="00A90E5F">
        <w:rPr>
          <w:lang w:val="fr-FR"/>
        </w:rPr>
        <w:t>établir s</w:t>
      </w:r>
      <w:r w:rsidR="00D31389">
        <w:rPr>
          <w:lang w:val="fr-FR"/>
        </w:rPr>
        <w:t>’</w:t>
      </w:r>
      <w:r w:rsidRPr="00A90E5F">
        <w:rPr>
          <w:lang w:val="fr-FR"/>
        </w:rPr>
        <w:t>il existait des motifs sérieux de croire que le requérant risquait d</w:t>
      </w:r>
      <w:r w:rsidR="00D31389">
        <w:rPr>
          <w:lang w:val="fr-FR"/>
        </w:rPr>
        <w:t>’</w:t>
      </w:r>
      <w:r w:rsidRPr="00A90E5F">
        <w:rPr>
          <w:lang w:val="fr-FR"/>
        </w:rPr>
        <w:t>être soumis à la torture s</w:t>
      </w:r>
      <w:r w:rsidR="00D31389">
        <w:rPr>
          <w:lang w:val="fr-FR"/>
        </w:rPr>
        <w:t>’</w:t>
      </w:r>
      <w:r w:rsidRPr="00A90E5F">
        <w:rPr>
          <w:lang w:val="fr-FR"/>
        </w:rPr>
        <w:t>il était renvoyé en Turquie</w:t>
      </w:r>
      <w:r w:rsidR="00CB54B7">
        <w:rPr>
          <w:lang w:val="fr-FR"/>
        </w:rPr>
        <w:t>.</w:t>
      </w:r>
      <w:r w:rsidRPr="00A90E5F">
        <w:rPr>
          <w:lang w:val="fr-FR"/>
        </w:rPr>
        <w:t> ». De l</w:t>
      </w:r>
      <w:r w:rsidR="00D31389">
        <w:rPr>
          <w:lang w:val="fr-FR"/>
        </w:rPr>
        <w:t>’</w:t>
      </w:r>
      <w:r w:rsidRPr="00A90E5F">
        <w:rPr>
          <w:lang w:val="fr-FR"/>
        </w:rPr>
        <w:t>avis de l</w:t>
      </w:r>
      <w:r w:rsidR="00D31389">
        <w:rPr>
          <w:lang w:val="fr-FR"/>
        </w:rPr>
        <w:t>’</w:t>
      </w:r>
      <w:r w:rsidRPr="00A90E5F">
        <w:rPr>
          <w:lang w:val="fr-FR"/>
        </w:rPr>
        <w:t xml:space="preserve">État partie, on ne peut cependant inférer de cette décision </w:t>
      </w:r>
      <w:r w:rsidRPr="00A90E5F">
        <w:rPr>
          <w:iCs/>
          <w:lang w:val="fr-FR"/>
        </w:rPr>
        <w:t>qu</w:t>
      </w:r>
      <w:r w:rsidR="00D31389">
        <w:rPr>
          <w:iCs/>
          <w:lang w:val="fr-FR"/>
        </w:rPr>
        <w:t>’</w:t>
      </w:r>
      <w:r w:rsidRPr="00A90E5F">
        <w:rPr>
          <w:iCs/>
          <w:lang w:val="fr-FR"/>
        </w:rPr>
        <w:t>il existe une obligation générale de procéder à un examen visant à détecter d</w:t>
      </w:r>
      <w:r w:rsidR="00D31389">
        <w:rPr>
          <w:iCs/>
          <w:lang w:val="fr-FR"/>
        </w:rPr>
        <w:t>’</w:t>
      </w:r>
      <w:r w:rsidRPr="00A90E5F">
        <w:rPr>
          <w:iCs/>
          <w:lang w:val="fr-FR"/>
        </w:rPr>
        <w:t xml:space="preserve">éventuels signes de torture </w:t>
      </w:r>
      <w:r w:rsidRPr="00A90E5F">
        <w:rPr>
          <w:lang w:val="fr-FR"/>
        </w:rPr>
        <w:t>dans les cas où la déclaration d</w:t>
      </w:r>
      <w:r w:rsidR="00D31389">
        <w:rPr>
          <w:lang w:val="fr-FR"/>
        </w:rPr>
        <w:t>’</w:t>
      </w:r>
      <w:r w:rsidRPr="00A90E5F">
        <w:rPr>
          <w:lang w:val="fr-FR"/>
        </w:rPr>
        <w:t>un demandeur d</w:t>
      </w:r>
      <w:r w:rsidR="00D31389">
        <w:rPr>
          <w:lang w:val="fr-FR"/>
        </w:rPr>
        <w:t>’</w:t>
      </w:r>
      <w:r w:rsidRPr="00A90E5F">
        <w:rPr>
          <w:lang w:val="fr-FR"/>
        </w:rPr>
        <w:t>asile concernant les motifs de sa demande ne peut être considérée comme un fait établi parce qu</w:t>
      </w:r>
      <w:r w:rsidR="00D31389">
        <w:rPr>
          <w:lang w:val="fr-FR"/>
        </w:rPr>
        <w:t>’</w:t>
      </w:r>
      <w:r w:rsidRPr="00A90E5F">
        <w:rPr>
          <w:lang w:val="fr-FR"/>
        </w:rPr>
        <w:t>elle manque de crédibilité</w:t>
      </w:r>
      <w:r w:rsidRPr="00A90E5F">
        <w:rPr>
          <w:iCs/>
          <w:lang w:val="fr-FR"/>
        </w:rPr>
        <w:t>. Le raisonnement suivi dans la décision concernant l</w:t>
      </w:r>
      <w:r w:rsidR="00D31389">
        <w:rPr>
          <w:iCs/>
          <w:lang w:val="fr-FR"/>
        </w:rPr>
        <w:t>’</w:t>
      </w:r>
      <w:r w:rsidRPr="00A90E5F">
        <w:rPr>
          <w:iCs/>
          <w:lang w:val="fr-FR"/>
        </w:rPr>
        <w:t xml:space="preserve">affaire </w:t>
      </w:r>
      <w:r w:rsidRPr="00A90E5F">
        <w:rPr>
          <w:i/>
          <w:iCs/>
          <w:lang w:val="fr-FR"/>
        </w:rPr>
        <w:t xml:space="preserve">F. K. </w:t>
      </w:r>
      <w:r w:rsidRPr="00A90E5F">
        <w:rPr>
          <w:iCs/>
          <w:lang w:val="fr-FR"/>
        </w:rPr>
        <w:t>c.</w:t>
      </w:r>
      <w:r w:rsidRPr="00A90E5F">
        <w:rPr>
          <w:i/>
          <w:iCs/>
          <w:lang w:val="fr-FR"/>
        </w:rPr>
        <w:t xml:space="preserve"> Danemark </w:t>
      </w:r>
      <w:r w:rsidRPr="00A90E5F">
        <w:rPr>
          <w:iCs/>
          <w:lang w:val="fr-FR"/>
        </w:rPr>
        <w:t>est donc très particulier</w:t>
      </w:r>
      <w:r w:rsidRPr="00A90E5F">
        <w:rPr>
          <w:lang w:val="fr-FR"/>
        </w:rPr>
        <w:t xml:space="preserve">. </w:t>
      </w:r>
    </w:p>
    <w:p w:rsidR="00A90E5F" w:rsidRPr="00A90E5F" w:rsidRDefault="00A90E5F" w:rsidP="00A90E5F">
      <w:pPr>
        <w:pStyle w:val="SingleTxtG"/>
        <w:rPr>
          <w:lang w:val="fr-FR"/>
        </w:rPr>
      </w:pPr>
      <w:r w:rsidRPr="00A90E5F">
        <w:rPr>
          <w:lang w:val="fr-FR"/>
        </w:rPr>
        <w:t>6.5</w:t>
      </w:r>
      <w:r w:rsidRPr="00A90E5F">
        <w:rPr>
          <w:lang w:val="fr-FR"/>
        </w:rPr>
        <w:tab/>
        <w:t>L</w:t>
      </w:r>
      <w:r w:rsidR="00D31389">
        <w:rPr>
          <w:lang w:val="fr-FR"/>
        </w:rPr>
        <w:t>’</w:t>
      </w:r>
      <w:r w:rsidRPr="00A90E5F">
        <w:rPr>
          <w:lang w:val="fr-FR"/>
        </w:rPr>
        <w:t>État partie affirme qu</w:t>
      </w:r>
      <w:r w:rsidR="00D31389">
        <w:rPr>
          <w:lang w:val="fr-FR"/>
        </w:rPr>
        <w:t>’</w:t>
      </w:r>
      <w:r w:rsidRPr="00A90E5F">
        <w:rPr>
          <w:lang w:val="fr-FR"/>
        </w:rPr>
        <w:t>indépendamment de la question de savoir s</w:t>
      </w:r>
      <w:r w:rsidR="00D31389">
        <w:rPr>
          <w:lang w:val="fr-FR"/>
        </w:rPr>
        <w:t>’</w:t>
      </w:r>
      <w:r w:rsidRPr="00A90E5F">
        <w:rPr>
          <w:lang w:val="fr-FR"/>
        </w:rPr>
        <w:t>il peut être considéré comme un fait établi qu</w:t>
      </w:r>
      <w:r w:rsidR="00D31389">
        <w:rPr>
          <w:lang w:val="fr-FR"/>
        </w:rPr>
        <w:t>’</w:t>
      </w:r>
      <w:r w:rsidRPr="00A90E5F">
        <w:rPr>
          <w:lang w:val="fr-FR"/>
        </w:rPr>
        <w:t>il existe au Soudan un ensemble systématique de violations graves, flagrantes ou massives des droits de l</w:t>
      </w:r>
      <w:r w:rsidR="00D31389">
        <w:rPr>
          <w:lang w:val="fr-FR"/>
        </w:rPr>
        <w:t>’</w:t>
      </w:r>
      <w:r w:rsidRPr="00A90E5F">
        <w:rPr>
          <w:lang w:val="fr-FR"/>
        </w:rPr>
        <w:t>homme, il arrive à la conclusion que le requérant ne courrait pas personnellement un risque précis d</w:t>
      </w:r>
      <w:r w:rsidR="00D31389">
        <w:rPr>
          <w:lang w:val="fr-FR"/>
        </w:rPr>
        <w:t>’</w:t>
      </w:r>
      <w:r w:rsidRPr="00A90E5F">
        <w:rPr>
          <w:lang w:val="fr-FR"/>
        </w:rPr>
        <w:t xml:space="preserve">être soumis à des </w:t>
      </w:r>
      <w:r w:rsidRPr="00A90E5F">
        <w:rPr>
          <w:lang w:val="fr-FR"/>
        </w:rPr>
        <w:lastRenderedPageBreak/>
        <w:t>violences relevant de l</w:t>
      </w:r>
      <w:r w:rsidR="00D31389">
        <w:rPr>
          <w:lang w:val="fr-FR"/>
        </w:rPr>
        <w:t>’</w:t>
      </w:r>
      <w:r w:rsidRPr="00A90E5F">
        <w:rPr>
          <w:lang w:val="fr-FR"/>
        </w:rPr>
        <w:t>article 3 de la Convention s</w:t>
      </w:r>
      <w:r w:rsidR="00D31389">
        <w:rPr>
          <w:lang w:val="fr-FR"/>
        </w:rPr>
        <w:t>’</w:t>
      </w:r>
      <w:r w:rsidRPr="00A90E5F">
        <w:rPr>
          <w:lang w:val="fr-FR"/>
        </w:rPr>
        <w:t>il est renvoyé dans ce pays. L</w:t>
      </w:r>
      <w:r w:rsidR="00D31389">
        <w:rPr>
          <w:lang w:val="fr-FR"/>
        </w:rPr>
        <w:t>’</w:t>
      </w:r>
      <w:r w:rsidRPr="00A90E5F">
        <w:rPr>
          <w:lang w:val="fr-FR"/>
        </w:rPr>
        <w:t xml:space="preserve">État partie se réfère aux décisions dans les affaires </w:t>
      </w:r>
      <w:r w:rsidRPr="00A90E5F">
        <w:rPr>
          <w:i/>
          <w:lang w:val="fr-FR"/>
        </w:rPr>
        <w:t xml:space="preserve">Z. </w:t>
      </w:r>
      <w:r w:rsidRPr="00A90E5F">
        <w:rPr>
          <w:lang w:val="fr-FR"/>
        </w:rPr>
        <w:t>c.</w:t>
      </w:r>
      <w:r w:rsidRPr="00A90E5F">
        <w:rPr>
          <w:i/>
          <w:lang w:val="fr-FR"/>
        </w:rPr>
        <w:t> Danemark</w:t>
      </w:r>
      <w:r w:rsidR="00665590" w:rsidRPr="00665590">
        <w:rPr>
          <w:rStyle w:val="Appelnotedebasdep"/>
        </w:rPr>
        <w:footnoteReference w:id="23"/>
      </w:r>
      <w:r w:rsidRPr="00A90E5F">
        <w:rPr>
          <w:lang w:val="fr-FR"/>
        </w:rPr>
        <w:t xml:space="preserve"> et </w:t>
      </w:r>
      <w:r w:rsidRPr="00A90E5F">
        <w:rPr>
          <w:i/>
          <w:lang w:val="fr-FR"/>
        </w:rPr>
        <w:t xml:space="preserve">M. S. </w:t>
      </w:r>
      <w:r w:rsidRPr="00A90E5F">
        <w:rPr>
          <w:lang w:val="fr-FR"/>
        </w:rPr>
        <w:t>c.</w:t>
      </w:r>
      <w:r w:rsidRPr="00A90E5F">
        <w:rPr>
          <w:i/>
          <w:lang w:val="fr-FR"/>
        </w:rPr>
        <w:t> Danemark</w:t>
      </w:r>
      <w:r w:rsidRPr="00FF2AC9">
        <w:rPr>
          <w:rStyle w:val="Appelnotedebasdep"/>
        </w:rPr>
        <w:footnoteReference w:id="24"/>
      </w:r>
      <w:r w:rsidRPr="00A90E5F">
        <w:rPr>
          <w:lang w:val="fr-FR"/>
        </w:rPr>
        <w:t xml:space="preserve"> dans lesquelles le Comité a déclaré que l</w:t>
      </w:r>
      <w:r w:rsidR="00D31389">
        <w:rPr>
          <w:lang w:val="fr-FR"/>
        </w:rPr>
        <w:t>’</w:t>
      </w:r>
      <w:r w:rsidRPr="00A90E5F">
        <w:rPr>
          <w:lang w:val="fr-FR"/>
        </w:rPr>
        <w:t>existence, dans un pays, d</w:t>
      </w:r>
      <w:r w:rsidR="00D31389">
        <w:rPr>
          <w:lang w:val="fr-FR"/>
        </w:rPr>
        <w:t>’</w:t>
      </w:r>
      <w:r w:rsidRPr="00A90E5F">
        <w:rPr>
          <w:lang w:val="fr-FR"/>
        </w:rPr>
        <w:t>un ensemble de violations systématiques des droits de l</w:t>
      </w:r>
      <w:r w:rsidR="00D31389">
        <w:rPr>
          <w:lang w:val="fr-FR"/>
        </w:rPr>
        <w:t>’</w:t>
      </w:r>
      <w:r w:rsidRPr="00A90E5F">
        <w:rPr>
          <w:lang w:val="fr-FR"/>
        </w:rPr>
        <w:t>homme graves, flagrantes ou massives, ne constitue pas en soi une raison suffisante d</w:t>
      </w:r>
      <w:r w:rsidR="00D31389">
        <w:rPr>
          <w:lang w:val="fr-FR"/>
        </w:rPr>
        <w:t>’</w:t>
      </w:r>
      <w:r w:rsidRPr="00A90E5F">
        <w:rPr>
          <w:lang w:val="fr-FR"/>
        </w:rPr>
        <w:t>établir qu</w:t>
      </w:r>
      <w:r w:rsidR="00D31389">
        <w:rPr>
          <w:lang w:val="fr-FR"/>
        </w:rPr>
        <w:t>’</w:t>
      </w:r>
      <w:r w:rsidRPr="00A90E5F">
        <w:rPr>
          <w:lang w:val="fr-FR"/>
        </w:rPr>
        <w:t>une personne donnée serait en danger d</w:t>
      </w:r>
      <w:r w:rsidR="00D31389">
        <w:rPr>
          <w:lang w:val="fr-FR"/>
        </w:rPr>
        <w:t>’</w:t>
      </w:r>
      <w:r w:rsidRPr="00A90E5F">
        <w:rPr>
          <w:lang w:val="fr-FR"/>
        </w:rPr>
        <w:t>être soumise à la torture à son retour dans ce pays ; il doit exister des motifs supplémentaires portant à croire que l</w:t>
      </w:r>
      <w:r w:rsidR="00D31389">
        <w:rPr>
          <w:lang w:val="fr-FR"/>
        </w:rPr>
        <w:t>’</w:t>
      </w:r>
      <w:r w:rsidRPr="00A90E5F">
        <w:rPr>
          <w:lang w:val="fr-FR"/>
        </w:rPr>
        <w:t>intéressé court personnellement un risque. L</w:t>
      </w:r>
      <w:r w:rsidR="00D31389">
        <w:rPr>
          <w:lang w:val="fr-FR"/>
        </w:rPr>
        <w:t>’</w:t>
      </w:r>
      <w:r w:rsidRPr="00A90E5F">
        <w:rPr>
          <w:lang w:val="fr-FR"/>
        </w:rPr>
        <w:t>État partie affirme en outre que la référence du requérant aux arrêts de la Cour européenne des droits de l</w:t>
      </w:r>
      <w:r w:rsidR="00D31389">
        <w:rPr>
          <w:lang w:val="fr-FR"/>
        </w:rPr>
        <w:t>’</w:t>
      </w:r>
      <w:r w:rsidRPr="00A90E5F">
        <w:rPr>
          <w:lang w:val="fr-FR"/>
        </w:rPr>
        <w:t xml:space="preserve">homme dans les affaires </w:t>
      </w:r>
      <w:r w:rsidRPr="00A90E5F">
        <w:rPr>
          <w:i/>
          <w:lang w:val="fr-FR"/>
        </w:rPr>
        <w:t xml:space="preserve">A. A. </w:t>
      </w:r>
      <w:r w:rsidRPr="00A90E5F">
        <w:rPr>
          <w:lang w:val="fr-FR"/>
        </w:rPr>
        <w:t>c.</w:t>
      </w:r>
      <w:r w:rsidRPr="00A90E5F">
        <w:rPr>
          <w:i/>
          <w:lang w:val="fr-FR"/>
        </w:rPr>
        <w:t xml:space="preserve"> France </w:t>
      </w:r>
      <w:r w:rsidRPr="00A90E5F">
        <w:rPr>
          <w:lang w:val="fr-FR"/>
        </w:rPr>
        <w:t xml:space="preserve">et </w:t>
      </w:r>
      <w:r w:rsidRPr="00A90E5F">
        <w:rPr>
          <w:i/>
          <w:lang w:val="fr-FR"/>
        </w:rPr>
        <w:t xml:space="preserve">A. F. </w:t>
      </w:r>
      <w:r w:rsidRPr="00A90E5F">
        <w:rPr>
          <w:lang w:val="fr-FR"/>
        </w:rPr>
        <w:t>c.</w:t>
      </w:r>
      <w:r w:rsidRPr="00A90E5F">
        <w:rPr>
          <w:i/>
          <w:lang w:val="fr-FR"/>
        </w:rPr>
        <w:t xml:space="preserve"> France </w:t>
      </w:r>
      <w:r w:rsidR="00AA1A00" w:rsidRPr="00A90E5F">
        <w:rPr>
          <w:lang w:val="fr-FR"/>
        </w:rPr>
        <w:t>(voir</w:t>
      </w:r>
      <w:r w:rsidRPr="00A90E5F">
        <w:rPr>
          <w:lang w:val="fr-FR"/>
        </w:rPr>
        <w:t xml:space="preserve"> plus haut par. 5.6) ne peut pas conduire à une appréciation différente de sa demande.</w:t>
      </w:r>
    </w:p>
    <w:p w:rsidR="00A90E5F" w:rsidRPr="00A90E5F" w:rsidRDefault="00A90E5F" w:rsidP="00A90E5F">
      <w:pPr>
        <w:pStyle w:val="SingleTxtG"/>
        <w:rPr>
          <w:lang w:val="fr-FR"/>
        </w:rPr>
      </w:pPr>
      <w:r w:rsidRPr="00A90E5F">
        <w:rPr>
          <w:lang w:val="fr-FR"/>
        </w:rPr>
        <w:t>6.6</w:t>
      </w:r>
      <w:r w:rsidRPr="00A90E5F">
        <w:rPr>
          <w:lang w:val="fr-FR"/>
        </w:rPr>
        <w:tab/>
        <w:t>L</w:t>
      </w:r>
      <w:r w:rsidR="00D31389">
        <w:rPr>
          <w:lang w:val="fr-FR"/>
        </w:rPr>
        <w:t>’</w:t>
      </w:r>
      <w:r w:rsidRPr="00A90E5F">
        <w:rPr>
          <w:lang w:val="fr-FR"/>
        </w:rPr>
        <w:t>État partie fait valoir que</w:t>
      </w:r>
      <w:r w:rsidR="000738D3">
        <w:rPr>
          <w:lang w:val="fr-FR"/>
        </w:rPr>
        <w:t>,</w:t>
      </w:r>
      <w:r w:rsidRPr="00A90E5F">
        <w:rPr>
          <w:lang w:val="fr-FR"/>
        </w:rPr>
        <w:t xml:space="preserve"> d</w:t>
      </w:r>
      <w:r w:rsidR="00D31389">
        <w:rPr>
          <w:lang w:val="fr-FR"/>
        </w:rPr>
        <w:t>’</w:t>
      </w:r>
      <w:r w:rsidRPr="00A90E5F">
        <w:rPr>
          <w:lang w:val="fr-FR"/>
        </w:rPr>
        <w:t>après les renseignements qu</w:t>
      </w:r>
      <w:r w:rsidR="00D31389">
        <w:rPr>
          <w:lang w:val="fr-FR"/>
        </w:rPr>
        <w:t>’</w:t>
      </w:r>
      <w:r w:rsidRPr="00A90E5F">
        <w:rPr>
          <w:lang w:val="fr-FR"/>
        </w:rPr>
        <w:t>il a apportés</w:t>
      </w:r>
      <w:r w:rsidR="000738D3">
        <w:rPr>
          <w:lang w:val="fr-FR"/>
        </w:rPr>
        <w:t>,</w:t>
      </w:r>
      <w:r w:rsidRPr="00A90E5F">
        <w:rPr>
          <w:lang w:val="fr-FR"/>
        </w:rPr>
        <w:t xml:space="preserve"> le requérant n</w:t>
      </w:r>
      <w:r w:rsidR="00D31389">
        <w:rPr>
          <w:lang w:val="fr-FR"/>
        </w:rPr>
        <w:t>’</w:t>
      </w:r>
      <w:r w:rsidRPr="00A90E5F">
        <w:rPr>
          <w:lang w:val="fr-FR"/>
        </w:rPr>
        <w:t>appartenait à aucune association ou organisation politique et n</w:t>
      </w:r>
      <w:r w:rsidR="00D31389">
        <w:rPr>
          <w:lang w:val="fr-FR"/>
        </w:rPr>
        <w:t>’</w:t>
      </w:r>
      <w:r w:rsidRPr="00A90E5F">
        <w:rPr>
          <w:lang w:val="fr-FR"/>
        </w:rPr>
        <w:t>avait pas eu affaire aux autorités avant l</w:t>
      </w:r>
      <w:r w:rsidR="00D31389">
        <w:rPr>
          <w:lang w:val="fr-FR"/>
        </w:rPr>
        <w:t>’</w:t>
      </w:r>
      <w:r w:rsidRPr="00A90E5F">
        <w:rPr>
          <w:lang w:val="fr-FR"/>
        </w:rPr>
        <w:t>incident qui se serait produit en 2007, incident que la majorité des membres de la Commission de recours pour les réfugiés n</w:t>
      </w:r>
      <w:r w:rsidR="00D31389">
        <w:rPr>
          <w:lang w:val="fr-FR"/>
        </w:rPr>
        <w:t>’</w:t>
      </w:r>
      <w:r w:rsidRPr="00A90E5F">
        <w:rPr>
          <w:lang w:val="fr-FR"/>
        </w:rPr>
        <w:t>a pas retenu comme</w:t>
      </w:r>
      <w:r w:rsidR="00CB54B7">
        <w:rPr>
          <w:lang w:val="fr-FR"/>
        </w:rPr>
        <w:t xml:space="preserve"> </w:t>
      </w:r>
      <w:r w:rsidRPr="00A90E5F">
        <w:rPr>
          <w:lang w:val="fr-FR"/>
        </w:rPr>
        <w:t>un fait établi. L</w:t>
      </w:r>
      <w:r w:rsidR="00D31389">
        <w:rPr>
          <w:lang w:val="fr-FR"/>
        </w:rPr>
        <w:t>’</w:t>
      </w:r>
      <w:r w:rsidRPr="00A90E5F">
        <w:rPr>
          <w:lang w:val="fr-FR"/>
        </w:rPr>
        <w:t>octroi d</w:t>
      </w:r>
      <w:r w:rsidR="00D31389">
        <w:rPr>
          <w:lang w:val="fr-FR"/>
        </w:rPr>
        <w:t>’</w:t>
      </w:r>
      <w:r w:rsidRPr="00A90E5F">
        <w:rPr>
          <w:lang w:val="fr-FR"/>
        </w:rPr>
        <w:t>un permis de séjour au titre de l</w:t>
      </w:r>
      <w:r w:rsidR="00D31389">
        <w:rPr>
          <w:lang w:val="fr-FR"/>
        </w:rPr>
        <w:t>’</w:t>
      </w:r>
      <w:r w:rsidRPr="00A90E5F">
        <w:rPr>
          <w:lang w:val="fr-FR"/>
        </w:rPr>
        <w:t>article 7 de la loi relative aux étrangers ne peut pas être justifié par le fait que le requérant est d</w:t>
      </w:r>
      <w:r w:rsidR="00D31389">
        <w:rPr>
          <w:lang w:val="fr-FR"/>
        </w:rPr>
        <w:t>’</w:t>
      </w:r>
      <w:r w:rsidRPr="00A90E5F">
        <w:rPr>
          <w:lang w:val="fr-FR"/>
        </w:rPr>
        <w:t>ascendance africaine et qu</w:t>
      </w:r>
      <w:r w:rsidR="00D31389">
        <w:rPr>
          <w:lang w:val="fr-FR"/>
        </w:rPr>
        <w:t>’</w:t>
      </w:r>
      <w:r w:rsidRPr="00A90E5F">
        <w:rPr>
          <w:lang w:val="fr-FR"/>
        </w:rPr>
        <w:t>il vient à l</w:t>
      </w:r>
      <w:r w:rsidR="00D31389">
        <w:rPr>
          <w:lang w:val="fr-FR"/>
        </w:rPr>
        <w:t>’</w:t>
      </w:r>
      <w:r w:rsidRPr="00A90E5F">
        <w:rPr>
          <w:lang w:val="fr-FR"/>
        </w:rPr>
        <w:t>origine du Darfour. Il n</w:t>
      </w:r>
      <w:r w:rsidR="00D31389">
        <w:rPr>
          <w:lang w:val="fr-FR"/>
        </w:rPr>
        <w:t>’</w:t>
      </w:r>
      <w:r w:rsidRPr="00A90E5F">
        <w:rPr>
          <w:lang w:val="fr-FR"/>
        </w:rPr>
        <w:t>a pas été montré qu</w:t>
      </w:r>
      <w:r w:rsidR="00D31389">
        <w:rPr>
          <w:lang w:val="fr-FR"/>
        </w:rPr>
        <w:t>’</w:t>
      </w:r>
      <w:r w:rsidRPr="00A90E5F">
        <w:rPr>
          <w:lang w:val="fr-FR"/>
        </w:rPr>
        <w:t>il serait probable que, du simple fait de son séjour prolongé à l</w:t>
      </w:r>
      <w:r w:rsidR="00D31389">
        <w:rPr>
          <w:lang w:val="fr-FR"/>
        </w:rPr>
        <w:t>’</w:t>
      </w:r>
      <w:r w:rsidRPr="00A90E5F">
        <w:rPr>
          <w:lang w:val="fr-FR"/>
        </w:rPr>
        <w:t>étranger, le requérant attirerait l</w:t>
      </w:r>
      <w:r w:rsidR="00D31389">
        <w:rPr>
          <w:lang w:val="fr-FR"/>
        </w:rPr>
        <w:t>’</w:t>
      </w:r>
      <w:r w:rsidRPr="00A90E5F">
        <w:rPr>
          <w:lang w:val="fr-FR"/>
        </w:rPr>
        <w:t>attention des autorités soudanaises à son retour. Par conséquent, l</w:t>
      </w:r>
      <w:r w:rsidR="00D31389">
        <w:rPr>
          <w:lang w:val="fr-FR"/>
        </w:rPr>
        <w:t>’</w:t>
      </w:r>
      <w:r w:rsidRPr="00A90E5F">
        <w:rPr>
          <w:lang w:val="fr-FR"/>
        </w:rPr>
        <w:t>État partie considère que le requérant semble être peu intéressant pour les autorités soudanaises et qu</w:t>
      </w:r>
      <w:r w:rsidR="00D31389">
        <w:rPr>
          <w:lang w:val="fr-FR"/>
        </w:rPr>
        <w:t>’</w:t>
      </w:r>
      <w:r w:rsidRPr="00A90E5F">
        <w:rPr>
          <w:lang w:val="fr-FR"/>
        </w:rPr>
        <w:t>il ne risque pas de subir des violences à son retour au Soudan. Quant aux autres communications auxquelles le requérant renvoie, l</w:t>
      </w:r>
      <w:r w:rsidR="00D31389">
        <w:rPr>
          <w:lang w:val="fr-FR"/>
        </w:rPr>
        <w:t>’</w:t>
      </w:r>
      <w:r w:rsidRPr="00A90E5F">
        <w:rPr>
          <w:lang w:val="fr-FR"/>
        </w:rPr>
        <w:t>État partie relève qu</w:t>
      </w:r>
      <w:r w:rsidR="00D31389">
        <w:rPr>
          <w:lang w:val="fr-FR"/>
        </w:rPr>
        <w:t>’</w:t>
      </w:r>
      <w:r w:rsidRPr="00A90E5F">
        <w:rPr>
          <w:lang w:val="fr-FR"/>
        </w:rPr>
        <w:t>elles concernent des demandeurs d</w:t>
      </w:r>
      <w:r w:rsidR="00D31389">
        <w:rPr>
          <w:lang w:val="fr-FR"/>
        </w:rPr>
        <w:t>’</w:t>
      </w:r>
      <w:r w:rsidRPr="00A90E5F">
        <w:rPr>
          <w:lang w:val="fr-FR"/>
        </w:rPr>
        <w:t>asile originaires de pays différents et qu</w:t>
      </w:r>
      <w:r w:rsidR="00D31389">
        <w:rPr>
          <w:lang w:val="fr-FR"/>
        </w:rPr>
        <w:t>’</w:t>
      </w:r>
      <w:r w:rsidRPr="00A90E5F">
        <w:rPr>
          <w:lang w:val="fr-FR"/>
        </w:rPr>
        <w:t>aucun parallèle n</w:t>
      </w:r>
      <w:r w:rsidR="00D31389">
        <w:rPr>
          <w:lang w:val="fr-FR"/>
        </w:rPr>
        <w:t>’</w:t>
      </w:r>
      <w:r w:rsidRPr="00A90E5F">
        <w:rPr>
          <w:lang w:val="fr-FR"/>
        </w:rPr>
        <w:t>a été établi entre les circonstances de ces affaires et celles de l</w:t>
      </w:r>
      <w:r w:rsidR="00D31389">
        <w:rPr>
          <w:lang w:val="fr-FR"/>
        </w:rPr>
        <w:t>’</w:t>
      </w:r>
      <w:r w:rsidRPr="00A90E5F">
        <w:rPr>
          <w:lang w:val="fr-FR"/>
        </w:rPr>
        <w:t>affaire examinée. Il considère par conséquent que ces références ne peuvent pas conduire à apprécier différemment la requête.</w:t>
      </w:r>
    </w:p>
    <w:p w:rsidR="00A90E5F" w:rsidRPr="00A90E5F" w:rsidRDefault="00A90E5F" w:rsidP="00A90E5F">
      <w:pPr>
        <w:pStyle w:val="SingleTxtG"/>
        <w:rPr>
          <w:lang w:val="fr-FR"/>
        </w:rPr>
      </w:pPr>
      <w:r w:rsidRPr="00A90E5F">
        <w:rPr>
          <w:lang w:val="fr-FR"/>
        </w:rPr>
        <w:t>6.7</w:t>
      </w:r>
      <w:r w:rsidRPr="00A90E5F">
        <w:rPr>
          <w:lang w:val="fr-FR"/>
        </w:rPr>
        <w:tab/>
        <w:t>L</w:t>
      </w:r>
      <w:r w:rsidR="00D31389">
        <w:rPr>
          <w:lang w:val="fr-FR"/>
        </w:rPr>
        <w:t>’</w:t>
      </w:r>
      <w:r w:rsidRPr="00A90E5F">
        <w:rPr>
          <w:lang w:val="fr-FR"/>
        </w:rPr>
        <w:t>État partie renvoie aux constatations du Comité des droits de l</w:t>
      </w:r>
      <w:r w:rsidR="00D31389">
        <w:rPr>
          <w:lang w:val="fr-FR"/>
        </w:rPr>
        <w:t>’</w:t>
      </w:r>
      <w:r w:rsidRPr="00A90E5F">
        <w:rPr>
          <w:lang w:val="fr-FR"/>
        </w:rPr>
        <w:t xml:space="preserve">homme les affaires </w:t>
      </w:r>
      <w:r w:rsidRPr="00A90E5F">
        <w:rPr>
          <w:i/>
          <w:iCs/>
          <w:lang w:val="fr-FR"/>
        </w:rPr>
        <w:t xml:space="preserve">P. T. </w:t>
      </w:r>
      <w:r w:rsidRPr="00A90E5F">
        <w:rPr>
          <w:iCs/>
          <w:lang w:val="fr-FR"/>
        </w:rPr>
        <w:t>c.</w:t>
      </w:r>
      <w:r w:rsidRPr="00A90E5F">
        <w:rPr>
          <w:i/>
          <w:iCs/>
          <w:lang w:val="fr-FR"/>
        </w:rPr>
        <w:t> Danemark</w:t>
      </w:r>
      <w:r w:rsidR="00FF2AC9" w:rsidRPr="00FF2AC9">
        <w:rPr>
          <w:rStyle w:val="Appelnotedebasdep"/>
          <w:iCs/>
        </w:rPr>
        <w:footnoteReference w:id="25"/>
      </w:r>
      <w:r w:rsidRPr="00A90E5F">
        <w:rPr>
          <w:lang w:val="fr-FR"/>
        </w:rPr>
        <w:t xml:space="preserve">, </w:t>
      </w:r>
      <w:r w:rsidRPr="00A90E5F">
        <w:rPr>
          <w:i/>
          <w:iCs/>
          <w:lang w:val="fr-FR"/>
        </w:rPr>
        <w:t xml:space="preserve">K. </w:t>
      </w:r>
      <w:r w:rsidRPr="00A90E5F">
        <w:rPr>
          <w:iCs/>
          <w:lang w:val="fr-FR"/>
        </w:rPr>
        <w:t>c</w:t>
      </w:r>
      <w:r w:rsidRPr="00A90E5F">
        <w:rPr>
          <w:i/>
          <w:iCs/>
          <w:lang w:val="fr-FR"/>
        </w:rPr>
        <w:t>. Danemark</w:t>
      </w:r>
      <w:r w:rsidR="00FF2AC9" w:rsidRPr="00FF2AC9">
        <w:rPr>
          <w:rStyle w:val="Appelnotedebasdep"/>
          <w:iCs/>
        </w:rPr>
        <w:footnoteReference w:id="26"/>
      </w:r>
      <w:r w:rsidRPr="00A90E5F">
        <w:rPr>
          <w:lang w:val="fr-FR"/>
        </w:rPr>
        <w:t xml:space="preserve">, et </w:t>
      </w:r>
      <w:r w:rsidRPr="00A90E5F">
        <w:rPr>
          <w:i/>
          <w:iCs/>
          <w:lang w:val="fr-FR"/>
        </w:rPr>
        <w:t xml:space="preserve">N. </w:t>
      </w:r>
      <w:r w:rsidRPr="00A90E5F">
        <w:rPr>
          <w:iCs/>
          <w:lang w:val="fr-FR"/>
        </w:rPr>
        <w:t>c.</w:t>
      </w:r>
      <w:r w:rsidRPr="00A90E5F">
        <w:rPr>
          <w:i/>
          <w:iCs/>
          <w:lang w:val="fr-FR"/>
        </w:rPr>
        <w:t> Danemark</w:t>
      </w:r>
      <w:r w:rsidR="00665590" w:rsidRPr="00665590">
        <w:rPr>
          <w:rStyle w:val="Appelnotedebasdep"/>
          <w:iCs/>
        </w:rPr>
        <w:footnoteReference w:id="27"/>
      </w:r>
      <w:r w:rsidRPr="00A90E5F">
        <w:rPr>
          <w:lang w:val="fr-FR"/>
        </w:rPr>
        <w:t>. Il maintient que la communication soumise par le requérant reflète simplement son désaccord avec l</w:t>
      </w:r>
      <w:r w:rsidR="00D31389">
        <w:rPr>
          <w:lang w:val="fr-FR"/>
        </w:rPr>
        <w:t>’</w:t>
      </w:r>
      <w:r w:rsidRPr="00A90E5F">
        <w:rPr>
          <w:lang w:val="fr-FR"/>
        </w:rPr>
        <w:t>évaluation par la Commission de recours pour les réfugiés de son cas particulier et des documents de référence. Le requérant n</w:t>
      </w:r>
      <w:r w:rsidR="00D31389">
        <w:rPr>
          <w:lang w:val="fr-FR"/>
        </w:rPr>
        <w:t>’</w:t>
      </w:r>
      <w:r w:rsidRPr="00A90E5F">
        <w:rPr>
          <w:lang w:val="fr-FR"/>
        </w:rPr>
        <w:t>a mis</w:t>
      </w:r>
      <w:r w:rsidR="00CB54B7">
        <w:rPr>
          <w:lang w:val="fr-FR"/>
        </w:rPr>
        <w:t xml:space="preserve"> </w:t>
      </w:r>
      <w:r w:rsidRPr="00A90E5F">
        <w:rPr>
          <w:lang w:val="fr-FR"/>
        </w:rPr>
        <w:t>en évidence aucune irrégularité dans la procédure de</w:t>
      </w:r>
      <w:r w:rsidR="00CB54B7">
        <w:rPr>
          <w:lang w:val="fr-FR"/>
        </w:rPr>
        <w:t xml:space="preserve"> </w:t>
      </w:r>
      <w:r w:rsidRPr="00A90E5F">
        <w:rPr>
          <w:lang w:val="fr-FR"/>
        </w:rPr>
        <w:t>décision, ni aucun facteur de risque dont la Commission n</w:t>
      </w:r>
      <w:r w:rsidR="00D31389">
        <w:rPr>
          <w:lang w:val="fr-FR"/>
        </w:rPr>
        <w:t>’</w:t>
      </w:r>
      <w:r w:rsidRPr="00A90E5F">
        <w:rPr>
          <w:lang w:val="fr-FR"/>
        </w:rPr>
        <w:t>aurait pas dûment tenu compte. Par conséquent, l</w:t>
      </w:r>
      <w:r w:rsidR="00D31389">
        <w:rPr>
          <w:lang w:val="fr-FR"/>
        </w:rPr>
        <w:t>’</w:t>
      </w:r>
      <w:r w:rsidRPr="00A90E5F">
        <w:rPr>
          <w:lang w:val="fr-FR"/>
        </w:rPr>
        <w:t>État partie réaffirme que le requérant tente en fait d</w:t>
      </w:r>
      <w:r w:rsidR="00D31389">
        <w:rPr>
          <w:lang w:val="fr-FR"/>
        </w:rPr>
        <w:t>’</w:t>
      </w:r>
      <w:r w:rsidRPr="00A90E5F">
        <w:rPr>
          <w:lang w:val="fr-FR"/>
        </w:rPr>
        <w:t>utiliser le</w:t>
      </w:r>
      <w:r w:rsidR="00683FB6">
        <w:rPr>
          <w:lang w:val="fr-FR"/>
        </w:rPr>
        <w:t xml:space="preserve"> </w:t>
      </w:r>
      <w:r w:rsidRPr="00A90E5F">
        <w:rPr>
          <w:lang w:val="fr-FR"/>
        </w:rPr>
        <w:t>Comité comme un organe d</w:t>
      </w:r>
      <w:r w:rsidR="00D31389">
        <w:rPr>
          <w:lang w:val="fr-FR"/>
        </w:rPr>
        <w:t>’</w:t>
      </w:r>
      <w:r w:rsidRPr="00A90E5F">
        <w:rPr>
          <w:lang w:val="fr-FR"/>
        </w:rPr>
        <w:t>appel pour obtenir un réexamen des circonstances de fait avancées à l</w:t>
      </w:r>
      <w:r w:rsidR="00D31389">
        <w:rPr>
          <w:lang w:val="fr-FR"/>
        </w:rPr>
        <w:t>’</w:t>
      </w:r>
      <w:r w:rsidRPr="00A90E5F">
        <w:rPr>
          <w:lang w:val="fr-FR"/>
        </w:rPr>
        <w:t>appui de sa demande d</w:t>
      </w:r>
      <w:r w:rsidR="00D31389">
        <w:rPr>
          <w:lang w:val="fr-FR"/>
        </w:rPr>
        <w:t>’</w:t>
      </w:r>
      <w:r w:rsidRPr="00A90E5F">
        <w:rPr>
          <w:lang w:val="fr-FR"/>
        </w:rPr>
        <w:t>asile. Il rappelle en outre que le Comité doit accorder un poids considérable aux conclusions de la Commission danoise de recours pour les réfugiés, laquelle, en l</w:t>
      </w:r>
      <w:r w:rsidR="00D31389">
        <w:rPr>
          <w:lang w:val="fr-FR"/>
        </w:rPr>
        <w:t>’</w:t>
      </w:r>
      <w:r w:rsidRPr="00A90E5F">
        <w:rPr>
          <w:lang w:val="fr-FR"/>
        </w:rPr>
        <w:t xml:space="preserve">espèce, est </w:t>
      </w:r>
      <w:r w:rsidR="000A3AAA" w:rsidRPr="00A90E5F">
        <w:rPr>
          <w:lang w:val="fr-FR"/>
        </w:rPr>
        <w:t xml:space="preserve">le </w:t>
      </w:r>
      <w:r w:rsidRPr="00A90E5F">
        <w:rPr>
          <w:lang w:val="fr-FR"/>
        </w:rPr>
        <w:t>mieux p</w:t>
      </w:r>
      <w:r w:rsidR="00FF2AC9">
        <w:rPr>
          <w:lang w:val="fr-FR"/>
        </w:rPr>
        <w:t>lacée pour apprécier les faits</w:t>
      </w:r>
      <w:r w:rsidR="00665590">
        <w:rPr>
          <w:rStyle w:val="Appelnotedebasdep"/>
        </w:rPr>
        <w:footnoteReference w:id="28"/>
      </w:r>
      <w:r w:rsidRPr="00A90E5F">
        <w:rPr>
          <w:lang w:val="fr-FR"/>
        </w:rPr>
        <w:t>.</w:t>
      </w:r>
    </w:p>
    <w:p w:rsidR="00A90E5F" w:rsidRPr="00A90E5F" w:rsidRDefault="00A90E5F" w:rsidP="00FF2AC9">
      <w:pPr>
        <w:pStyle w:val="H23G"/>
        <w:rPr>
          <w:lang w:val="fr-FR"/>
        </w:rPr>
      </w:pPr>
      <w:r w:rsidRPr="00A90E5F">
        <w:rPr>
          <w:lang w:val="fr-FR"/>
        </w:rPr>
        <w:tab/>
      </w:r>
      <w:r w:rsidRPr="00A90E5F">
        <w:rPr>
          <w:lang w:val="fr-FR"/>
        </w:rPr>
        <w:tab/>
        <w:t>Délibérations</w:t>
      </w:r>
    </w:p>
    <w:p w:rsidR="00A90E5F" w:rsidRPr="00A90E5F" w:rsidRDefault="00A90E5F" w:rsidP="00FF2AC9">
      <w:pPr>
        <w:pStyle w:val="H4G"/>
        <w:rPr>
          <w:lang w:val="fr-FR"/>
        </w:rPr>
      </w:pPr>
      <w:r w:rsidRPr="00A90E5F">
        <w:rPr>
          <w:lang w:val="fr-FR"/>
        </w:rPr>
        <w:tab/>
      </w:r>
      <w:r w:rsidRPr="00A90E5F">
        <w:rPr>
          <w:lang w:val="fr-FR"/>
        </w:rPr>
        <w:tab/>
        <w:t xml:space="preserve">Examen de la recevabilité </w:t>
      </w:r>
    </w:p>
    <w:p w:rsidR="00A90E5F" w:rsidRPr="00A90E5F" w:rsidRDefault="00A90E5F" w:rsidP="00A90E5F">
      <w:pPr>
        <w:pStyle w:val="SingleTxtG"/>
        <w:rPr>
          <w:lang w:val="fr-FR"/>
        </w:rPr>
      </w:pPr>
      <w:r w:rsidRPr="00A90E5F">
        <w:rPr>
          <w:lang w:val="fr-FR"/>
        </w:rPr>
        <w:t>7.1</w:t>
      </w:r>
      <w:r w:rsidRPr="00A90E5F">
        <w:rPr>
          <w:i/>
          <w:lang w:val="fr-FR"/>
        </w:rPr>
        <w:tab/>
      </w:r>
      <w:r w:rsidRPr="00A90E5F">
        <w:rPr>
          <w:lang w:val="fr-FR"/>
        </w:rPr>
        <w:t>Avant d</w:t>
      </w:r>
      <w:r w:rsidR="00D31389">
        <w:rPr>
          <w:lang w:val="fr-FR"/>
        </w:rPr>
        <w:t>’</w:t>
      </w:r>
      <w:r w:rsidRPr="00A90E5F">
        <w:rPr>
          <w:lang w:val="fr-FR"/>
        </w:rPr>
        <w:t>examiner une plainte soumise dans une requête, le Comité contre la torture doit déterminer si la requête est recevable en vertu de l</w:t>
      </w:r>
      <w:r w:rsidR="00D31389">
        <w:rPr>
          <w:lang w:val="fr-FR"/>
        </w:rPr>
        <w:t>’</w:t>
      </w:r>
      <w:r w:rsidRPr="00A90E5F">
        <w:rPr>
          <w:lang w:val="fr-FR"/>
        </w:rPr>
        <w:t>article 22 de la Convention. Le Comité s</w:t>
      </w:r>
      <w:r w:rsidR="00D31389">
        <w:rPr>
          <w:lang w:val="fr-FR"/>
        </w:rPr>
        <w:t>’</w:t>
      </w:r>
      <w:r w:rsidRPr="00A90E5F">
        <w:rPr>
          <w:lang w:val="fr-FR"/>
        </w:rPr>
        <w:t>est assuré, comme il est tenu de le faire conformément au paragraphe 5 a) de l</w:t>
      </w:r>
      <w:r w:rsidR="00D31389">
        <w:rPr>
          <w:lang w:val="fr-FR"/>
        </w:rPr>
        <w:t>’</w:t>
      </w:r>
      <w:r w:rsidRPr="00A90E5F">
        <w:rPr>
          <w:lang w:val="fr-FR"/>
        </w:rPr>
        <w:t>article 22 de la Convention, que la même question n</w:t>
      </w:r>
      <w:r w:rsidR="00D31389">
        <w:rPr>
          <w:lang w:val="fr-FR"/>
        </w:rPr>
        <w:t>’</w:t>
      </w:r>
      <w:r w:rsidRPr="00A90E5F">
        <w:rPr>
          <w:lang w:val="fr-FR"/>
        </w:rPr>
        <w:t>a pas été examinée et n</w:t>
      </w:r>
      <w:r w:rsidR="00D31389">
        <w:rPr>
          <w:lang w:val="fr-FR"/>
        </w:rPr>
        <w:t>’</w:t>
      </w:r>
      <w:r w:rsidRPr="00A90E5F">
        <w:rPr>
          <w:lang w:val="fr-FR"/>
        </w:rPr>
        <w:t>est pas en cours d</w:t>
      </w:r>
      <w:r w:rsidR="00D31389">
        <w:rPr>
          <w:lang w:val="fr-FR"/>
        </w:rPr>
        <w:t>’</w:t>
      </w:r>
      <w:r w:rsidRPr="00A90E5F">
        <w:rPr>
          <w:lang w:val="fr-FR"/>
        </w:rPr>
        <w:t>examen par une autre instance internationale d</w:t>
      </w:r>
      <w:r w:rsidR="00D31389">
        <w:rPr>
          <w:lang w:val="fr-FR"/>
        </w:rPr>
        <w:t>’</w:t>
      </w:r>
      <w:r w:rsidRPr="00A90E5F">
        <w:rPr>
          <w:lang w:val="fr-FR"/>
        </w:rPr>
        <w:t>enquête ou de règlement.</w:t>
      </w:r>
    </w:p>
    <w:p w:rsidR="00A90E5F" w:rsidRPr="00A90E5F" w:rsidRDefault="00A90E5F" w:rsidP="00A90E5F">
      <w:pPr>
        <w:pStyle w:val="SingleTxtG"/>
        <w:rPr>
          <w:lang w:val="fr-FR"/>
        </w:rPr>
      </w:pPr>
      <w:r w:rsidRPr="00A90E5F">
        <w:rPr>
          <w:lang w:val="fr-FR"/>
        </w:rPr>
        <w:lastRenderedPageBreak/>
        <w:t>7.2</w:t>
      </w:r>
      <w:r w:rsidRPr="00A90E5F">
        <w:rPr>
          <w:lang w:val="fr-FR"/>
        </w:rPr>
        <w:tab/>
        <w:t>Le Comité rappelle que, conformément au paragraphe 5 </w:t>
      </w:r>
      <w:r w:rsidR="00D31389">
        <w:rPr>
          <w:lang w:val="fr-FR"/>
        </w:rPr>
        <w:t>b</w:t>
      </w:r>
      <w:r w:rsidRPr="00A90E5F">
        <w:rPr>
          <w:lang w:val="fr-FR"/>
        </w:rPr>
        <w:t>) de l</w:t>
      </w:r>
      <w:r w:rsidR="00D31389">
        <w:rPr>
          <w:lang w:val="fr-FR"/>
        </w:rPr>
        <w:t>’</w:t>
      </w:r>
      <w:r w:rsidRPr="00A90E5F">
        <w:rPr>
          <w:lang w:val="fr-FR"/>
        </w:rPr>
        <w:t>article 22 de la Convention, il n</w:t>
      </w:r>
      <w:r w:rsidR="00D31389">
        <w:rPr>
          <w:lang w:val="fr-FR"/>
        </w:rPr>
        <w:t>’</w:t>
      </w:r>
      <w:r w:rsidRPr="00A90E5F">
        <w:rPr>
          <w:lang w:val="fr-FR"/>
        </w:rPr>
        <w:t>examine aucune communication sans s</w:t>
      </w:r>
      <w:r w:rsidR="00D31389">
        <w:rPr>
          <w:lang w:val="fr-FR"/>
        </w:rPr>
        <w:t>’</w:t>
      </w:r>
      <w:r w:rsidRPr="00A90E5F">
        <w:rPr>
          <w:lang w:val="fr-FR"/>
        </w:rPr>
        <w:t>être assuré que le requérant a épuisé tous les recours internes disponibles. Il note qu</w:t>
      </w:r>
      <w:r w:rsidR="00D31389">
        <w:rPr>
          <w:lang w:val="fr-FR"/>
        </w:rPr>
        <w:t>’</w:t>
      </w:r>
      <w:r w:rsidRPr="00A90E5F">
        <w:rPr>
          <w:lang w:val="fr-FR"/>
        </w:rPr>
        <w:t>en l</w:t>
      </w:r>
      <w:r w:rsidR="00D31389">
        <w:rPr>
          <w:lang w:val="fr-FR"/>
        </w:rPr>
        <w:t>’</w:t>
      </w:r>
      <w:r w:rsidRPr="00A90E5F">
        <w:rPr>
          <w:lang w:val="fr-FR"/>
        </w:rPr>
        <w:t>espèce, l</w:t>
      </w:r>
      <w:r w:rsidR="00D31389">
        <w:rPr>
          <w:lang w:val="fr-FR"/>
        </w:rPr>
        <w:t>’</w:t>
      </w:r>
      <w:r w:rsidRPr="00A90E5F">
        <w:rPr>
          <w:lang w:val="fr-FR"/>
        </w:rPr>
        <w:t>État partie ne conteste pas que tous les recours internes disponibles ont été épuisés.</w:t>
      </w:r>
    </w:p>
    <w:p w:rsidR="00A90E5F" w:rsidRPr="00A90E5F" w:rsidRDefault="00A90E5F" w:rsidP="00A90E5F">
      <w:pPr>
        <w:pStyle w:val="SingleTxtG"/>
        <w:rPr>
          <w:lang w:val="fr-FR"/>
        </w:rPr>
      </w:pPr>
      <w:r w:rsidRPr="00A90E5F">
        <w:rPr>
          <w:lang w:val="fr-FR"/>
        </w:rPr>
        <w:t>7.3</w:t>
      </w:r>
      <w:r w:rsidRPr="00A90E5F">
        <w:rPr>
          <w:lang w:val="fr-FR"/>
        </w:rPr>
        <w:tab/>
        <w:t>Le Comité rappelle que, pour être recevable en vertu de l</w:t>
      </w:r>
      <w:r w:rsidR="00D31389">
        <w:rPr>
          <w:lang w:val="fr-FR"/>
        </w:rPr>
        <w:t>’</w:t>
      </w:r>
      <w:r w:rsidRPr="00A90E5F">
        <w:rPr>
          <w:lang w:val="fr-FR"/>
        </w:rPr>
        <w:t>a</w:t>
      </w:r>
      <w:r w:rsidRPr="00A90E5F">
        <w:rPr>
          <w:bCs/>
          <w:lang w:val="fr-FR"/>
        </w:rPr>
        <w:t>rticle 22 de la Convention et de l</w:t>
      </w:r>
      <w:r w:rsidR="00D31389">
        <w:rPr>
          <w:bCs/>
          <w:lang w:val="fr-FR"/>
        </w:rPr>
        <w:t>’</w:t>
      </w:r>
      <w:r w:rsidRPr="00A90E5F">
        <w:rPr>
          <w:bCs/>
          <w:lang w:val="fr-FR"/>
        </w:rPr>
        <w:t>article 113 b) de son règlement intérieur, une requête doit apporter le minimum d</w:t>
      </w:r>
      <w:r w:rsidR="00D31389">
        <w:rPr>
          <w:bCs/>
          <w:lang w:val="fr-FR"/>
        </w:rPr>
        <w:t>’</w:t>
      </w:r>
      <w:r w:rsidRPr="00A90E5F">
        <w:rPr>
          <w:bCs/>
          <w:lang w:val="fr-FR"/>
        </w:rPr>
        <w:t>éléments de preuve requis aux fins de la receva</w:t>
      </w:r>
      <w:r w:rsidR="00FF2AC9">
        <w:rPr>
          <w:bCs/>
          <w:lang w:val="fr-FR"/>
        </w:rPr>
        <w:t>bilité</w:t>
      </w:r>
      <w:r w:rsidR="00665590">
        <w:rPr>
          <w:rStyle w:val="Appelnotedebasdep"/>
          <w:bCs/>
        </w:rPr>
        <w:footnoteReference w:id="29"/>
      </w:r>
      <w:r w:rsidRPr="00A90E5F">
        <w:rPr>
          <w:bCs/>
          <w:lang w:val="fr-FR"/>
        </w:rPr>
        <w:t>. Le Comité prend note de l</w:t>
      </w:r>
      <w:r w:rsidR="00D31389">
        <w:rPr>
          <w:bCs/>
          <w:lang w:val="fr-FR"/>
        </w:rPr>
        <w:t>’</w:t>
      </w:r>
      <w:r w:rsidRPr="00A90E5F">
        <w:rPr>
          <w:bCs/>
          <w:lang w:val="fr-FR"/>
        </w:rPr>
        <w:t>argument de l</w:t>
      </w:r>
      <w:r w:rsidR="00D31389">
        <w:rPr>
          <w:bCs/>
          <w:lang w:val="fr-FR"/>
        </w:rPr>
        <w:t>’</w:t>
      </w:r>
      <w:r w:rsidRPr="00A90E5F">
        <w:rPr>
          <w:bCs/>
          <w:lang w:val="fr-FR"/>
        </w:rPr>
        <w:t>État partie selon lequel la communication est manifestement mal fondée faute d</w:t>
      </w:r>
      <w:r w:rsidR="00D31389">
        <w:rPr>
          <w:bCs/>
          <w:lang w:val="fr-FR"/>
        </w:rPr>
        <w:t>’</w:t>
      </w:r>
      <w:r w:rsidRPr="00A90E5F">
        <w:rPr>
          <w:bCs/>
          <w:lang w:val="fr-FR"/>
        </w:rPr>
        <w:t>être suffisamment étayée. Le Comité considère toutefois que les arguments avancés par le requérant soulèvent des questions importantes au regard de l</w:t>
      </w:r>
      <w:r w:rsidR="00D31389">
        <w:rPr>
          <w:bCs/>
          <w:lang w:val="fr-FR"/>
        </w:rPr>
        <w:t>’</w:t>
      </w:r>
      <w:r w:rsidRPr="00A90E5F">
        <w:rPr>
          <w:lang w:val="fr-FR"/>
        </w:rPr>
        <w:t>article 3 de la Convention et qu</w:t>
      </w:r>
      <w:r w:rsidR="00D31389">
        <w:rPr>
          <w:lang w:val="fr-FR"/>
        </w:rPr>
        <w:t>’</w:t>
      </w:r>
      <w:r w:rsidRPr="00A90E5F">
        <w:rPr>
          <w:lang w:val="fr-FR"/>
        </w:rPr>
        <w:t>ils devraient être examinés au fond. En conséquence, le Comité ne constate pas d</w:t>
      </w:r>
      <w:r w:rsidR="00D31389">
        <w:rPr>
          <w:lang w:val="fr-FR"/>
        </w:rPr>
        <w:t>’</w:t>
      </w:r>
      <w:r w:rsidRPr="00A90E5F">
        <w:rPr>
          <w:lang w:val="fr-FR"/>
        </w:rPr>
        <w:t>obstacles à la recevabilité et déclare la communication recevable.</w:t>
      </w:r>
    </w:p>
    <w:p w:rsidR="00A90E5F" w:rsidRPr="00A90E5F" w:rsidRDefault="00A90E5F" w:rsidP="00FF2AC9">
      <w:pPr>
        <w:pStyle w:val="H4G"/>
        <w:rPr>
          <w:lang w:val="fr-FR"/>
        </w:rPr>
      </w:pPr>
      <w:r w:rsidRPr="00A90E5F">
        <w:rPr>
          <w:lang w:val="fr-FR"/>
        </w:rPr>
        <w:tab/>
      </w:r>
      <w:r w:rsidRPr="00A90E5F">
        <w:rPr>
          <w:lang w:val="fr-FR"/>
        </w:rPr>
        <w:tab/>
        <w:t>Examen au fond</w:t>
      </w:r>
    </w:p>
    <w:p w:rsidR="00A90E5F" w:rsidRPr="00A90E5F" w:rsidRDefault="00A90E5F" w:rsidP="00A90E5F">
      <w:pPr>
        <w:pStyle w:val="SingleTxtG"/>
        <w:rPr>
          <w:lang w:val="fr-FR"/>
        </w:rPr>
      </w:pPr>
      <w:r w:rsidRPr="00A90E5F">
        <w:rPr>
          <w:lang w:val="fr-FR"/>
        </w:rPr>
        <w:t>8.1</w:t>
      </w:r>
      <w:r w:rsidRPr="00A90E5F">
        <w:rPr>
          <w:lang w:val="fr-FR"/>
        </w:rPr>
        <w:tab/>
        <w:t>Conformément au paragraphe 4 de l</w:t>
      </w:r>
      <w:r w:rsidR="00D31389">
        <w:rPr>
          <w:lang w:val="fr-FR"/>
        </w:rPr>
        <w:t>’</w:t>
      </w:r>
      <w:r w:rsidRPr="00A90E5F">
        <w:rPr>
          <w:lang w:val="fr-FR"/>
        </w:rPr>
        <w:t>article 22 de la Convention, le Comité a examiné la communication en tenant compte de toutes les informations qui lui ont été communiquées par les parties.</w:t>
      </w:r>
    </w:p>
    <w:p w:rsidR="00A90E5F" w:rsidRPr="00A90E5F" w:rsidRDefault="00A90E5F" w:rsidP="00A90E5F">
      <w:pPr>
        <w:pStyle w:val="SingleTxtG"/>
        <w:rPr>
          <w:lang w:val="fr-FR"/>
        </w:rPr>
      </w:pPr>
      <w:r w:rsidRPr="00A90E5F">
        <w:rPr>
          <w:lang w:val="fr-FR"/>
        </w:rPr>
        <w:t>8.2</w:t>
      </w:r>
      <w:r w:rsidRPr="00A90E5F">
        <w:rPr>
          <w:lang w:val="fr-FR"/>
        </w:rPr>
        <w:tab/>
        <w:t>Le Comité doit déterminer si, en renvoyant le requérant au Soudan, l</w:t>
      </w:r>
      <w:r w:rsidR="00D31389">
        <w:rPr>
          <w:lang w:val="fr-FR"/>
        </w:rPr>
        <w:t>’</w:t>
      </w:r>
      <w:r w:rsidRPr="00A90E5F">
        <w:rPr>
          <w:lang w:val="fr-FR"/>
        </w:rPr>
        <w:t>État partie manquerait à l</w:t>
      </w:r>
      <w:r w:rsidR="00D31389">
        <w:rPr>
          <w:lang w:val="fr-FR"/>
        </w:rPr>
        <w:t>’</w:t>
      </w:r>
      <w:r w:rsidRPr="00A90E5F">
        <w:rPr>
          <w:lang w:val="fr-FR"/>
        </w:rPr>
        <w:t>obligation qui lui est faite en vertu de l</w:t>
      </w:r>
      <w:r w:rsidR="00D31389">
        <w:rPr>
          <w:lang w:val="fr-FR"/>
        </w:rPr>
        <w:t>’</w:t>
      </w:r>
      <w:r w:rsidRPr="00A90E5F">
        <w:rPr>
          <w:lang w:val="fr-FR"/>
        </w:rPr>
        <w:t>article 3 de la Convention de ne pas expulser ou refouler un individu vers un État où il y a des motifs sérieux de croire qu</w:t>
      </w:r>
      <w:r w:rsidR="00D31389">
        <w:rPr>
          <w:lang w:val="fr-FR"/>
        </w:rPr>
        <w:t>’</w:t>
      </w:r>
      <w:r w:rsidRPr="00A90E5F">
        <w:rPr>
          <w:lang w:val="fr-FR"/>
        </w:rPr>
        <w:t>il risque d</w:t>
      </w:r>
      <w:r w:rsidR="00D31389">
        <w:rPr>
          <w:lang w:val="fr-FR"/>
        </w:rPr>
        <w:t>’</w:t>
      </w:r>
      <w:r w:rsidRPr="00A90E5F">
        <w:rPr>
          <w:lang w:val="fr-FR"/>
        </w:rPr>
        <w:t>être soumis à la torture.</w:t>
      </w:r>
    </w:p>
    <w:p w:rsidR="00A90E5F" w:rsidRPr="00A90E5F" w:rsidRDefault="00A90E5F" w:rsidP="00A90E5F">
      <w:pPr>
        <w:pStyle w:val="SingleTxtG"/>
        <w:rPr>
          <w:lang w:val="fr-FR"/>
        </w:rPr>
      </w:pPr>
      <w:r w:rsidRPr="00A90E5F">
        <w:rPr>
          <w:lang w:val="fr-FR"/>
        </w:rPr>
        <w:t>8.3</w:t>
      </w:r>
      <w:r w:rsidRPr="00A90E5F">
        <w:rPr>
          <w:lang w:val="fr-FR"/>
        </w:rPr>
        <w:tab/>
        <w:t>Le Comité doit déterminer s</w:t>
      </w:r>
      <w:r w:rsidR="00D31389">
        <w:rPr>
          <w:lang w:val="fr-FR"/>
        </w:rPr>
        <w:t>’</w:t>
      </w:r>
      <w:r w:rsidRPr="00A90E5F">
        <w:rPr>
          <w:lang w:val="fr-FR"/>
        </w:rPr>
        <w:t>il existe des motifs sérieux de croire que le requérant risquerait personnellement d</w:t>
      </w:r>
      <w:r w:rsidR="00D31389">
        <w:rPr>
          <w:lang w:val="fr-FR"/>
        </w:rPr>
        <w:t>’</w:t>
      </w:r>
      <w:r w:rsidRPr="00A90E5F">
        <w:rPr>
          <w:lang w:val="fr-FR"/>
        </w:rPr>
        <w:t>être soumis à la torture s</w:t>
      </w:r>
      <w:r w:rsidR="00D31389">
        <w:rPr>
          <w:lang w:val="fr-FR"/>
        </w:rPr>
        <w:t>’</w:t>
      </w:r>
      <w:r w:rsidRPr="00A90E5F">
        <w:rPr>
          <w:lang w:val="fr-FR"/>
        </w:rPr>
        <w:t>il était renvoyé au Soudan. Pour évaluer ce risque, il doit tenir compte de tous les éléments pertinents, conformément au paragraphe 2 de l</w:t>
      </w:r>
      <w:r w:rsidR="00D31389">
        <w:rPr>
          <w:lang w:val="fr-FR"/>
        </w:rPr>
        <w:t>’</w:t>
      </w:r>
      <w:r w:rsidRPr="00A90E5F">
        <w:rPr>
          <w:lang w:val="fr-FR"/>
        </w:rPr>
        <w:t>article 3 de la Convention, y compris l</w:t>
      </w:r>
      <w:r w:rsidR="00D31389">
        <w:rPr>
          <w:lang w:val="fr-FR"/>
        </w:rPr>
        <w:t>’</w:t>
      </w:r>
      <w:r w:rsidRPr="00A90E5F">
        <w:rPr>
          <w:lang w:val="fr-FR"/>
        </w:rPr>
        <w:t>existence, le cas échéant, d</w:t>
      </w:r>
      <w:r w:rsidR="00D31389">
        <w:rPr>
          <w:lang w:val="fr-FR"/>
        </w:rPr>
        <w:t>’</w:t>
      </w:r>
      <w:r w:rsidRPr="00A90E5F">
        <w:rPr>
          <w:lang w:val="fr-FR"/>
        </w:rPr>
        <w:t>un ensemble de violations systématiques des droits de l</w:t>
      </w:r>
      <w:r w:rsidR="00D31389">
        <w:rPr>
          <w:lang w:val="fr-FR"/>
        </w:rPr>
        <w:t>’</w:t>
      </w:r>
      <w:r w:rsidRPr="00A90E5F">
        <w:rPr>
          <w:lang w:val="fr-FR"/>
        </w:rPr>
        <w:t>homme, graves, flagrantes ou massives. Le Comité demeure sérieusement préoccupé par les allégations persistantes et cohérentes laissant entendre que</w:t>
      </w:r>
      <w:r w:rsidR="00CB54B7">
        <w:rPr>
          <w:lang w:val="fr-FR"/>
        </w:rPr>
        <w:t xml:space="preserve"> </w:t>
      </w:r>
      <w:r w:rsidRPr="00A90E5F">
        <w:rPr>
          <w:lang w:val="fr-FR"/>
        </w:rPr>
        <w:t>l</w:t>
      </w:r>
      <w:r w:rsidR="00D31389">
        <w:rPr>
          <w:lang w:val="fr-FR"/>
        </w:rPr>
        <w:t>’</w:t>
      </w:r>
      <w:r w:rsidRPr="00A90E5F">
        <w:rPr>
          <w:lang w:val="fr-FR"/>
        </w:rPr>
        <w:t>utilisation généralisée de la torture et d</w:t>
      </w:r>
      <w:r w:rsidR="00D31389">
        <w:rPr>
          <w:lang w:val="fr-FR"/>
        </w:rPr>
        <w:t>’</w:t>
      </w:r>
      <w:r w:rsidRPr="00A90E5F">
        <w:rPr>
          <w:lang w:val="fr-FR"/>
        </w:rPr>
        <w:t>autres traitements cruels, inhumains ou dégradants par des acteurs étatiques, qu</w:t>
      </w:r>
      <w:r w:rsidR="00D31389">
        <w:rPr>
          <w:lang w:val="fr-FR"/>
        </w:rPr>
        <w:t>’</w:t>
      </w:r>
      <w:r w:rsidRPr="00A90E5F">
        <w:rPr>
          <w:lang w:val="fr-FR"/>
        </w:rPr>
        <w:t>il s</w:t>
      </w:r>
      <w:r w:rsidR="00D31389">
        <w:rPr>
          <w:lang w:val="fr-FR"/>
        </w:rPr>
        <w:t>’</w:t>
      </w:r>
      <w:r w:rsidRPr="00A90E5F">
        <w:rPr>
          <w:lang w:val="fr-FR"/>
        </w:rPr>
        <w:t>agisse de l</w:t>
      </w:r>
      <w:r w:rsidR="00D31389">
        <w:rPr>
          <w:lang w:val="fr-FR"/>
        </w:rPr>
        <w:t>’</w:t>
      </w:r>
      <w:r w:rsidRPr="00A90E5F">
        <w:rPr>
          <w:lang w:val="fr-FR"/>
        </w:rPr>
        <w:t>armée ou de la police, persiste dans d</w:t>
      </w:r>
      <w:r w:rsidR="00FF2AC9">
        <w:rPr>
          <w:lang w:val="fr-FR"/>
        </w:rPr>
        <w:t>e nombreuses parties du Soudan</w:t>
      </w:r>
      <w:r w:rsidR="00BD4CE5">
        <w:rPr>
          <w:rStyle w:val="Appelnotedebasdep"/>
        </w:rPr>
        <w:footnoteReference w:id="30"/>
      </w:r>
      <w:r w:rsidRPr="00A90E5F">
        <w:rPr>
          <w:lang w:val="fr-FR"/>
        </w:rPr>
        <w:t>. Il rappelle toutefois qu</w:t>
      </w:r>
      <w:r w:rsidR="00D31389">
        <w:rPr>
          <w:lang w:val="fr-FR"/>
        </w:rPr>
        <w:t>’</w:t>
      </w:r>
      <w:r w:rsidRPr="00A90E5F">
        <w:rPr>
          <w:lang w:val="fr-FR"/>
        </w:rPr>
        <w:t>il s</w:t>
      </w:r>
      <w:r w:rsidR="00D31389">
        <w:rPr>
          <w:lang w:val="fr-FR"/>
        </w:rPr>
        <w:t>’</w:t>
      </w:r>
      <w:r w:rsidRPr="00A90E5F">
        <w:rPr>
          <w:lang w:val="fr-FR"/>
        </w:rPr>
        <w:t>agit de déterminer si l</w:t>
      </w:r>
      <w:r w:rsidR="00D31389">
        <w:rPr>
          <w:lang w:val="fr-FR"/>
        </w:rPr>
        <w:t>’</w:t>
      </w:r>
      <w:r w:rsidRPr="00A90E5F">
        <w:rPr>
          <w:lang w:val="fr-FR"/>
        </w:rPr>
        <w:t>intéressé court personnellement un risque prévisible et réel d</w:t>
      </w:r>
      <w:r w:rsidR="00D31389">
        <w:rPr>
          <w:lang w:val="fr-FR"/>
        </w:rPr>
        <w:t>’</w:t>
      </w:r>
      <w:r w:rsidRPr="00A90E5F">
        <w:rPr>
          <w:lang w:val="fr-FR"/>
        </w:rPr>
        <w:t>être soumis à la torture dans le pays où il serait renvoyé ; des raisons supplémentaires de penser qu</w:t>
      </w:r>
      <w:r w:rsidR="00D31389">
        <w:rPr>
          <w:lang w:val="fr-FR"/>
        </w:rPr>
        <w:t>’</w:t>
      </w:r>
      <w:r w:rsidRPr="00A90E5F">
        <w:rPr>
          <w:lang w:val="fr-FR"/>
        </w:rPr>
        <w:t xml:space="preserve">il serait personnellement en </w:t>
      </w:r>
      <w:r w:rsidR="00FF2AC9">
        <w:rPr>
          <w:lang w:val="fr-FR"/>
        </w:rPr>
        <w:t>danger doivent être présentées</w:t>
      </w:r>
      <w:r w:rsidR="00BD4CE5">
        <w:rPr>
          <w:rStyle w:val="Appelnotedebasdep"/>
        </w:rPr>
        <w:footnoteReference w:id="31"/>
      </w:r>
      <w:r w:rsidRPr="00A90E5F">
        <w:rPr>
          <w:lang w:val="fr-FR"/>
        </w:rPr>
        <w:t>.</w:t>
      </w:r>
    </w:p>
    <w:p w:rsidR="00A90E5F" w:rsidRPr="00A90E5F" w:rsidRDefault="00A90E5F" w:rsidP="00A90E5F">
      <w:pPr>
        <w:pStyle w:val="SingleTxtG"/>
        <w:rPr>
          <w:lang w:val="fr-FR"/>
        </w:rPr>
      </w:pPr>
      <w:r w:rsidRPr="00A90E5F">
        <w:rPr>
          <w:lang w:val="fr-FR"/>
        </w:rPr>
        <w:t>8.4</w:t>
      </w:r>
      <w:r w:rsidRPr="00A90E5F">
        <w:rPr>
          <w:lang w:val="fr-FR"/>
        </w:rPr>
        <w:tab/>
        <w:t>Le Comité rappelle son observation générale n</w:t>
      </w:r>
      <w:r w:rsidRPr="00A90E5F">
        <w:rPr>
          <w:vertAlign w:val="superscript"/>
          <w:lang w:val="fr-FR"/>
        </w:rPr>
        <w:t>o</w:t>
      </w:r>
      <w:r w:rsidRPr="00A90E5F">
        <w:rPr>
          <w:lang w:val="fr-FR"/>
        </w:rPr>
        <w:t> 1 dans laquelle il déclare</w:t>
      </w:r>
      <w:r w:rsidR="00D54128">
        <w:rPr>
          <w:lang w:val="fr-FR"/>
        </w:rPr>
        <w:t xml:space="preserve"> que</w:t>
      </w:r>
      <w:r w:rsidRPr="00A90E5F">
        <w:rPr>
          <w:lang w:val="fr-FR"/>
        </w:rPr>
        <w:t xml:space="preserve"> l</w:t>
      </w:r>
      <w:r w:rsidR="00D31389">
        <w:rPr>
          <w:lang w:val="fr-FR"/>
        </w:rPr>
        <w:t>’</w:t>
      </w:r>
      <w:r w:rsidRPr="00A90E5F">
        <w:rPr>
          <w:lang w:val="fr-FR"/>
        </w:rPr>
        <w:t>existence du risque de torture doit être appréciée selon des éléments qui ne se limitent pas à de simples supputations ou soupçons.</w:t>
      </w:r>
      <w:r w:rsidR="00D54128">
        <w:rPr>
          <w:lang w:val="fr-FR"/>
        </w:rPr>
        <w:t xml:space="preserve"> Il</w:t>
      </w:r>
      <w:r w:rsidRPr="00A90E5F">
        <w:rPr>
          <w:lang w:val="fr-FR"/>
        </w:rPr>
        <w:t xml:space="preserve"> n</w:t>
      </w:r>
      <w:r w:rsidR="00D31389">
        <w:rPr>
          <w:lang w:val="fr-FR"/>
        </w:rPr>
        <w:t>’</w:t>
      </w:r>
      <w:r w:rsidRPr="00A90E5F">
        <w:rPr>
          <w:lang w:val="fr-FR"/>
        </w:rPr>
        <w:t>est pas nécessaire de montrer que le risque couru est hautement probable</w:t>
      </w:r>
      <w:r w:rsidR="00CB54B7">
        <w:rPr>
          <w:lang w:val="fr-FR"/>
        </w:rPr>
        <w:t xml:space="preserve"> </w:t>
      </w:r>
      <w:r w:rsidRPr="00A90E5F">
        <w:rPr>
          <w:lang w:val="fr-FR"/>
        </w:rPr>
        <w:t>mais il doit être encouru personnellement et actuellement. Le Comité a établi dans de précédentes décisions que le risque de torture devait être prévisible, réel et personnel. Le Comité rappelle que, conformément à son observation générale n</w:t>
      </w:r>
      <w:r w:rsidRPr="00A90E5F">
        <w:rPr>
          <w:vertAlign w:val="superscript"/>
          <w:lang w:val="fr-FR"/>
        </w:rPr>
        <w:t>o</w:t>
      </w:r>
      <w:r w:rsidRPr="00A90E5F">
        <w:rPr>
          <w:lang w:val="fr-FR"/>
        </w:rPr>
        <w:t> 1, il accorde un poids considérable aux constatations de fait des organes de l</w:t>
      </w:r>
      <w:r w:rsidR="00D31389">
        <w:rPr>
          <w:lang w:val="fr-FR"/>
        </w:rPr>
        <w:t>’</w:t>
      </w:r>
      <w:r w:rsidRPr="00A90E5F">
        <w:rPr>
          <w:lang w:val="fr-FR"/>
        </w:rPr>
        <w:t>État partie intéressé, mais qu</w:t>
      </w:r>
      <w:r w:rsidR="00D31389">
        <w:rPr>
          <w:lang w:val="fr-FR"/>
        </w:rPr>
        <w:t>’</w:t>
      </w:r>
      <w:r w:rsidRPr="00A90E5F">
        <w:rPr>
          <w:lang w:val="fr-FR"/>
        </w:rPr>
        <w:t>il n</w:t>
      </w:r>
      <w:r w:rsidR="00D31389">
        <w:rPr>
          <w:lang w:val="fr-FR"/>
        </w:rPr>
        <w:t>’</w:t>
      </w:r>
      <w:r w:rsidRPr="00A90E5F">
        <w:rPr>
          <w:lang w:val="fr-FR"/>
        </w:rPr>
        <w:t>est pas lié par de telles constatations et est au contraire habilité, en vertu du paragraphe 4 de l</w:t>
      </w:r>
      <w:r w:rsidR="00D31389">
        <w:rPr>
          <w:lang w:val="fr-FR"/>
        </w:rPr>
        <w:t>’</w:t>
      </w:r>
      <w:r w:rsidRPr="00A90E5F">
        <w:rPr>
          <w:lang w:val="fr-FR"/>
        </w:rPr>
        <w:t>article</w:t>
      </w:r>
      <w:r w:rsidRPr="00A90E5F">
        <w:rPr>
          <w:b/>
          <w:lang w:val="fr-FR"/>
        </w:rPr>
        <w:t> </w:t>
      </w:r>
      <w:r w:rsidRPr="00A90E5F">
        <w:rPr>
          <w:lang w:val="fr-FR"/>
        </w:rPr>
        <w:t>22 de la Convention, à apprécier librement les faits en se fondant sur l</w:t>
      </w:r>
      <w:r w:rsidR="00D31389">
        <w:rPr>
          <w:lang w:val="fr-FR"/>
        </w:rPr>
        <w:t>’</w:t>
      </w:r>
      <w:r w:rsidRPr="00A90E5F">
        <w:rPr>
          <w:lang w:val="fr-FR"/>
        </w:rPr>
        <w:t>ensemble des circonstances de chaque affaire.</w:t>
      </w:r>
    </w:p>
    <w:p w:rsidR="00A90E5F" w:rsidRPr="00A90E5F" w:rsidRDefault="00A90E5F" w:rsidP="00A90E5F">
      <w:pPr>
        <w:pStyle w:val="SingleTxtG"/>
        <w:rPr>
          <w:lang w:val="fr-FR"/>
        </w:rPr>
      </w:pPr>
      <w:r w:rsidRPr="00A90E5F">
        <w:rPr>
          <w:lang w:val="fr-FR"/>
        </w:rPr>
        <w:t>8.5</w:t>
      </w:r>
      <w:r w:rsidRPr="00A90E5F">
        <w:rPr>
          <w:lang w:val="fr-FR"/>
        </w:rPr>
        <w:tab/>
        <w:t>Le Comité relève que le requérant affirme courir personnellement un risque réel d</w:t>
      </w:r>
      <w:r w:rsidR="00D31389">
        <w:rPr>
          <w:lang w:val="fr-FR"/>
        </w:rPr>
        <w:t>’</w:t>
      </w:r>
      <w:r w:rsidRPr="00A90E5F">
        <w:rPr>
          <w:lang w:val="fr-FR"/>
        </w:rPr>
        <w:t>être soumis à la torture en cas de renvoi au Soudan pour les raisons suivantes : il a été interrogé par des agents des forces de sécurité nationale et des fonctionnaires de police sur les activités de son frère au sein du Mouvement pour la justice et l</w:t>
      </w:r>
      <w:r w:rsidR="00D31389">
        <w:rPr>
          <w:lang w:val="fr-FR"/>
        </w:rPr>
        <w:t>’</w:t>
      </w:r>
      <w:r w:rsidRPr="00A90E5F">
        <w:rPr>
          <w:lang w:val="fr-FR"/>
        </w:rPr>
        <w:t>égalité et sur l</w:t>
      </w:r>
      <w:r w:rsidR="00D31389">
        <w:rPr>
          <w:lang w:val="fr-FR"/>
        </w:rPr>
        <w:t>’</w:t>
      </w:r>
      <w:r w:rsidRPr="00A90E5F">
        <w:rPr>
          <w:lang w:val="fr-FR"/>
        </w:rPr>
        <w:t>endroit où celui-ci se trouvait ; il a été frappé de plusieurs coups de couteau par des agents des forces de sécurité ; il a été menacé de mort par des fonctionnaires de police et il s</w:t>
      </w:r>
      <w:r w:rsidR="00D31389">
        <w:rPr>
          <w:lang w:val="fr-FR"/>
        </w:rPr>
        <w:t>’</w:t>
      </w:r>
      <w:r w:rsidRPr="00A90E5F">
        <w:rPr>
          <w:lang w:val="fr-FR"/>
        </w:rPr>
        <w:t xml:space="preserve">est échappé de </w:t>
      </w:r>
      <w:r w:rsidRPr="00A90E5F">
        <w:rPr>
          <w:lang w:val="fr-FR"/>
        </w:rPr>
        <w:lastRenderedPageBreak/>
        <w:t>l</w:t>
      </w:r>
      <w:r w:rsidR="00D31389">
        <w:rPr>
          <w:lang w:val="fr-FR"/>
        </w:rPr>
        <w:t>’</w:t>
      </w:r>
      <w:r w:rsidRPr="00A90E5F">
        <w:rPr>
          <w:lang w:val="fr-FR"/>
        </w:rPr>
        <w:t>hôpital militaire où il était détenu, puis a quitté le pays. Le requérant a également peur de rentrer au Soudan parce qu</w:t>
      </w:r>
      <w:r w:rsidR="00D31389">
        <w:rPr>
          <w:lang w:val="fr-FR"/>
        </w:rPr>
        <w:t>’</w:t>
      </w:r>
      <w:r w:rsidRPr="00A90E5F">
        <w:rPr>
          <w:lang w:val="fr-FR"/>
        </w:rPr>
        <w:t>il a une relation de</w:t>
      </w:r>
      <w:r w:rsidR="00CB54B7">
        <w:rPr>
          <w:lang w:val="fr-FR"/>
        </w:rPr>
        <w:t xml:space="preserve"> </w:t>
      </w:r>
      <w:r w:rsidRPr="00A90E5F">
        <w:rPr>
          <w:lang w:val="fr-FR"/>
        </w:rPr>
        <w:t>couple avec une chrétienne, raison pour laquelle</w:t>
      </w:r>
      <w:r w:rsidR="00CB54B7">
        <w:rPr>
          <w:lang w:val="fr-FR"/>
        </w:rPr>
        <w:t xml:space="preserve"> </w:t>
      </w:r>
      <w:r w:rsidRPr="00A90E5F">
        <w:rPr>
          <w:lang w:val="fr-FR"/>
        </w:rPr>
        <w:t>des policiers l</w:t>
      </w:r>
      <w:r w:rsidR="00D31389">
        <w:rPr>
          <w:lang w:val="fr-FR"/>
        </w:rPr>
        <w:t>’</w:t>
      </w:r>
      <w:r w:rsidRPr="00A90E5F">
        <w:rPr>
          <w:lang w:val="fr-FR"/>
        </w:rPr>
        <w:t>ont accusé de ne pas être un vrai musulman. Le Comité note également les observations de l</w:t>
      </w:r>
      <w:r w:rsidR="00D31389">
        <w:rPr>
          <w:lang w:val="fr-FR"/>
        </w:rPr>
        <w:t>’</w:t>
      </w:r>
      <w:r w:rsidRPr="00A90E5F">
        <w:rPr>
          <w:lang w:val="fr-FR"/>
        </w:rPr>
        <w:t>État partie qui affirme que les autorités nationales n</w:t>
      </w:r>
      <w:r w:rsidR="00D31389">
        <w:rPr>
          <w:lang w:val="fr-FR"/>
        </w:rPr>
        <w:t>’</w:t>
      </w:r>
      <w:r w:rsidRPr="00A90E5F">
        <w:rPr>
          <w:lang w:val="fr-FR"/>
        </w:rPr>
        <w:t>ont pas jugé le requérant crédible parce qu</w:t>
      </w:r>
      <w:r w:rsidR="00D31389">
        <w:rPr>
          <w:lang w:val="fr-FR"/>
        </w:rPr>
        <w:t>’</w:t>
      </w:r>
      <w:r w:rsidRPr="00A90E5F">
        <w:rPr>
          <w:lang w:val="fr-FR"/>
        </w:rPr>
        <w:t>il avait notamment fait des déclarations contradictoires et exagérées lors de ses entretiens et n</w:t>
      </w:r>
      <w:r w:rsidR="00D31389">
        <w:rPr>
          <w:lang w:val="fr-FR"/>
        </w:rPr>
        <w:t>’</w:t>
      </w:r>
      <w:r w:rsidRPr="00A90E5F">
        <w:rPr>
          <w:lang w:val="fr-FR"/>
        </w:rPr>
        <w:t xml:space="preserve">avait pas donné la même version que sa compagne sur la raison de leur départ du Soudan (voir plus haut par. 4.3 et 4.4). </w:t>
      </w:r>
    </w:p>
    <w:p w:rsidR="00A90E5F" w:rsidRPr="00A90E5F" w:rsidRDefault="00A90E5F" w:rsidP="00A90E5F">
      <w:pPr>
        <w:pStyle w:val="SingleTxtG"/>
        <w:rPr>
          <w:lang w:val="fr-FR"/>
        </w:rPr>
      </w:pPr>
      <w:r w:rsidRPr="00A90E5F">
        <w:rPr>
          <w:lang w:val="fr-FR"/>
        </w:rPr>
        <w:t>8.6</w:t>
      </w:r>
      <w:r w:rsidRPr="00A90E5F">
        <w:rPr>
          <w:lang w:val="fr-FR"/>
        </w:rPr>
        <w:tab/>
        <w:t>En l</w:t>
      </w:r>
      <w:r w:rsidR="00D31389">
        <w:rPr>
          <w:lang w:val="fr-FR"/>
        </w:rPr>
        <w:t>’</w:t>
      </w:r>
      <w:r w:rsidRPr="00A90E5F">
        <w:rPr>
          <w:lang w:val="fr-FR"/>
        </w:rPr>
        <w:t>espèce, le Comité observe que pour étayer le risque de torture</w:t>
      </w:r>
      <w:r w:rsidR="00CB54B7">
        <w:rPr>
          <w:lang w:val="fr-FR"/>
        </w:rPr>
        <w:t xml:space="preserve"> </w:t>
      </w:r>
      <w:r w:rsidRPr="00A90E5F">
        <w:rPr>
          <w:lang w:val="fr-FR"/>
        </w:rPr>
        <w:t>en cas de renvoi au Soudan qu</w:t>
      </w:r>
      <w:r w:rsidR="00D31389">
        <w:rPr>
          <w:lang w:val="fr-FR"/>
        </w:rPr>
        <w:t>’</w:t>
      </w:r>
      <w:r w:rsidRPr="00A90E5F">
        <w:rPr>
          <w:lang w:val="fr-FR"/>
        </w:rPr>
        <w:t>il allègue, le requérant se réfère à la situation générale des droits de l</w:t>
      </w:r>
      <w:r w:rsidR="00D31389">
        <w:rPr>
          <w:lang w:val="fr-FR"/>
        </w:rPr>
        <w:t>’</w:t>
      </w:r>
      <w:r w:rsidRPr="00A90E5F">
        <w:rPr>
          <w:lang w:val="fr-FR"/>
        </w:rPr>
        <w:t>homme dans le pays et affirme qu</w:t>
      </w:r>
      <w:r w:rsidR="00D31389">
        <w:rPr>
          <w:lang w:val="fr-FR"/>
        </w:rPr>
        <w:t>’</w:t>
      </w:r>
      <w:r w:rsidRPr="00A90E5F">
        <w:rPr>
          <w:lang w:val="fr-FR"/>
        </w:rPr>
        <w:t>en 2007, des agents des services de sécurité et des fonctionnaires de police lui ont porté des coups de couteau, l</w:t>
      </w:r>
      <w:r w:rsidR="00D31389">
        <w:rPr>
          <w:lang w:val="fr-FR"/>
        </w:rPr>
        <w:t>’</w:t>
      </w:r>
      <w:r w:rsidRPr="00A90E5F">
        <w:rPr>
          <w:lang w:val="fr-FR"/>
        </w:rPr>
        <w:t>ont menacé et l</w:t>
      </w:r>
      <w:r w:rsidR="00D31389">
        <w:rPr>
          <w:lang w:val="fr-FR"/>
        </w:rPr>
        <w:t>’</w:t>
      </w:r>
      <w:r w:rsidRPr="00A90E5F">
        <w:rPr>
          <w:lang w:val="fr-FR"/>
        </w:rPr>
        <w:t>ont arrêté pour qu</w:t>
      </w:r>
      <w:r w:rsidR="00D31389">
        <w:rPr>
          <w:lang w:val="fr-FR"/>
        </w:rPr>
        <w:t>’</w:t>
      </w:r>
      <w:r w:rsidRPr="00A90E5F">
        <w:rPr>
          <w:lang w:val="fr-FR"/>
        </w:rPr>
        <w:t>il leur dise où se trouvait son f</w:t>
      </w:r>
      <w:r w:rsidR="00D31389">
        <w:rPr>
          <w:lang w:val="fr-FR"/>
        </w:rPr>
        <w:t xml:space="preserve">rère, </w:t>
      </w:r>
      <w:r w:rsidRPr="00A90E5F">
        <w:rPr>
          <w:lang w:val="fr-FR"/>
        </w:rPr>
        <w:t>qui est un partisan du Mouvement pour la justice et l</w:t>
      </w:r>
      <w:r w:rsidR="00D31389">
        <w:rPr>
          <w:lang w:val="fr-FR"/>
        </w:rPr>
        <w:t>’</w:t>
      </w:r>
      <w:r w:rsidRPr="00A90E5F">
        <w:rPr>
          <w:lang w:val="fr-FR"/>
        </w:rPr>
        <w:t>égalité. Le Comité note aussi</w:t>
      </w:r>
      <w:r w:rsidR="00CB54B7">
        <w:rPr>
          <w:lang w:val="fr-FR"/>
        </w:rPr>
        <w:t xml:space="preserve"> </w:t>
      </w:r>
      <w:r w:rsidRPr="00A90E5F">
        <w:rPr>
          <w:lang w:val="fr-FR"/>
        </w:rPr>
        <w:t>que l</w:t>
      </w:r>
      <w:r w:rsidR="00D31389">
        <w:rPr>
          <w:lang w:val="fr-FR"/>
        </w:rPr>
        <w:t>’</w:t>
      </w:r>
      <w:r w:rsidRPr="00A90E5F">
        <w:rPr>
          <w:lang w:val="fr-FR"/>
        </w:rPr>
        <w:t>État partie</w:t>
      </w:r>
      <w:r w:rsidR="00CB54B7">
        <w:rPr>
          <w:lang w:val="fr-FR"/>
        </w:rPr>
        <w:t xml:space="preserve"> </w:t>
      </w:r>
      <w:r w:rsidRPr="00A90E5F">
        <w:rPr>
          <w:lang w:val="fr-FR"/>
        </w:rPr>
        <w:t>affirme que le requérant n</w:t>
      </w:r>
      <w:r w:rsidR="00D31389">
        <w:rPr>
          <w:lang w:val="fr-FR"/>
        </w:rPr>
        <w:t>’</w:t>
      </w:r>
      <w:r w:rsidRPr="00A90E5F">
        <w:rPr>
          <w:lang w:val="fr-FR"/>
        </w:rPr>
        <w:t>a jamais pris lui-même part aux activités de ce Mouvement, que sa seule action politique a consisté à participer à une manifestation et qu</w:t>
      </w:r>
      <w:r w:rsidR="00D31389">
        <w:rPr>
          <w:lang w:val="fr-FR"/>
        </w:rPr>
        <w:t>’</w:t>
      </w:r>
      <w:r w:rsidRPr="00A90E5F">
        <w:rPr>
          <w:lang w:val="fr-FR"/>
        </w:rPr>
        <w:t>il a fait des déclarations contradictoires sur les circonstances dans lesquelles des mauvais traitements lui ont été infligés et sur les circonstances de son arrestation. Le Comité note que, même s</w:t>
      </w:r>
      <w:r w:rsidR="00D31389">
        <w:rPr>
          <w:lang w:val="fr-FR"/>
        </w:rPr>
        <w:t>’</w:t>
      </w:r>
      <w:r w:rsidRPr="00A90E5F">
        <w:rPr>
          <w:lang w:val="fr-FR"/>
        </w:rPr>
        <w:t>il faisait abstraction des incohérences susmentionnées et considérait que les allégations du requérant sont fondées,</w:t>
      </w:r>
      <w:r w:rsidR="00CB54B7">
        <w:rPr>
          <w:lang w:val="fr-FR"/>
        </w:rPr>
        <w:t xml:space="preserve"> </w:t>
      </w:r>
      <w:r w:rsidRPr="00A90E5F">
        <w:rPr>
          <w:lang w:val="fr-FR"/>
        </w:rPr>
        <w:t>celui-ci n</w:t>
      </w:r>
      <w:r w:rsidR="00D31389">
        <w:rPr>
          <w:lang w:val="fr-FR"/>
        </w:rPr>
        <w:t>’</w:t>
      </w:r>
      <w:r w:rsidRPr="00A90E5F">
        <w:rPr>
          <w:lang w:val="fr-FR"/>
        </w:rPr>
        <w:t>a pas démontré que les autorités soudanaises l</w:t>
      </w:r>
      <w:r w:rsidR="00D31389">
        <w:rPr>
          <w:lang w:val="fr-FR"/>
        </w:rPr>
        <w:t>’</w:t>
      </w:r>
      <w:r w:rsidRPr="00A90E5F">
        <w:rPr>
          <w:lang w:val="fr-FR"/>
        </w:rPr>
        <w:t>avaient recherché dans un passé récent ni qu</w:t>
      </w:r>
      <w:r w:rsidR="00D31389">
        <w:rPr>
          <w:lang w:val="fr-FR"/>
        </w:rPr>
        <w:t>’</w:t>
      </w:r>
      <w:r w:rsidRPr="00A90E5F">
        <w:rPr>
          <w:lang w:val="fr-FR"/>
        </w:rPr>
        <w:t>il les intéressait d</w:t>
      </w:r>
      <w:r w:rsidR="00D31389">
        <w:rPr>
          <w:lang w:val="fr-FR"/>
        </w:rPr>
        <w:t>’</w:t>
      </w:r>
      <w:r w:rsidRPr="00A90E5F">
        <w:rPr>
          <w:lang w:val="fr-FR"/>
        </w:rPr>
        <w:t>une autre manière. Le Comité relève également que, d</w:t>
      </w:r>
      <w:r w:rsidR="00D31389">
        <w:rPr>
          <w:lang w:val="fr-FR"/>
        </w:rPr>
        <w:t>’</w:t>
      </w:r>
      <w:r w:rsidRPr="00A90E5F">
        <w:rPr>
          <w:lang w:val="fr-FR"/>
        </w:rPr>
        <w:t>après le requérant, les autorités auraient dû ordonner un examen médical afin de</w:t>
      </w:r>
      <w:r w:rsidR="00CB54B7">
        <w:rPr>
          <w:lang w:val="fr-FR"/>
        </w:rPr>
        <w:t xml:space="preserve"> </w:t>
      </w:r>
      <w:r w:rsidRPr="00A90E5F">
        <w:rPr>
          <w:lang w:val="fr-FR"/>
        </w:rPr>
        <w:t>constater s</w:t>
      </w:r>
      <w:r w:rsidR="00D31389">
        <w:rPr>
          <w:lang w:val="fr-FR"/>
        </w:rPr>
        <w:t>’</w:t>
      </w:r>
      <w:r w:rsidRPr="00A90E5F">
        <w:rPr>
          <w:lang w:val="fr-FR"/>
        </w:rPr>
        <w:t xml:space="preserve">il avait été ou non soumis à la torture. </w:t>
      </w:r>
    </w:p>
    <w:p w:rsidR="00A90E5F" w:rsidRPr="00A90E5F" w:rsidRDefault="00A90E5F" w:rsidP="00A90E5F">
      <w:pPr>
        <w:pStyle w:val="SingleTxtG"/>
        <w:rPr>
          <w:bCs/>
          <w:lang w:val="fr-FR"/>
        </w:rPr>
      </w:pPr>
      <w:r w:rsidRPr="00A90E5F">
        <w:rPr>
          <w:lang w:val="fr-FR"/>
        </w:rPr>
        <w:t>8.7</w:t>
      </w:r>
      <w:r w:rsidR="00845AD8">
        <w:rPr>
          <w:lang w:val="fr-FR"/>
        </w:rPr>
        <w:tab/>
      </w:r>
      <w:r w:rsidRPr="00A90E5F">
        <w:rPr>
          <w:lang w:val="fr-FR"/>
        </w:rPr>
        <w:t>Le Comité note que si un requérant demande à être examiné par un médecin pour démontrer qu</w:t>
      </w:r>
      <w:r w:rsidR="00D31389">
        <w:rPr>
          <w:lang w:val="fr-FR"/>
        </w:rPr>
        <w:t>’</w:t>
      </w:r>
      <w:r w:rsidRPr="00A90E5F">
        <w:rPr>
          <w:lang w:val="fr-FR"/>
        </w:rPr>
        <w:t>il a subi des actes de torture, un examen médical devrait en principe être effectué, indépendamment du crédit aux allégations accordé par les autorités, afin que les autorités chargées de statuer sur un cas</w:t>
      </w:r>
      <w:r w:rsidR="00CB54B7">
        <w:rPr>
          <w:lang w:val="fr-FR"/>
        </w:rPr>
        <w:t xml:space="preserve"> </w:t>
      </w:r>
      <w:r w:rsidRPr="00A90E5F">
        <w:rPr>
          <w:lang w:val="fr-FR"/>
        </w:rPr>
        <w:t>concret de renvoi forcé puissent faire une évaluation objective du risque de torture, en se fondant sur les résultats de l</w:t>
      </w:r>
      <w:r w:rsidR="00D31389">
        <w:rPr>
          <w:lang w:val="fr-FR"/>
        </w:rPr>
        <w:t>’</w:t>
      </w:r>
      <w:r w:rsidRPr="00A90E5F">
        <w:rPr>
          <w:lang w:val="fr-FR"/>
        </w:rPr>
        <w:t>examen médical, sans aucun doute raisonnable. Dans les circonstances particulières de l</w:t>
      </w:r>
      <w:r w:rsidR="00D31389">
        <w:rPr>
          <w:lang w:val="fr-FR"/>
        </w:rPr>
        <w:t>’</w:t>
      </w:r>
      <w:r w:rsidRPr="00A90E5F">
        <w:rPr>
          <w:lang w:val="fr-FR"/>
        </w:rPr>
        <w:t>espèce toutefois</w:t>
      </w:r>
      <w:r w:rsidR="00AA1A00">
        <w:rPr>
          <w:lang w:val="fr-FR"/>
        </w:rPr>
        <w:t xml:space="preserve"> </w:t>
      </w:r>
      <w:r w:rsidRPr="00A90E5F">
        <w:rPr>
          <w:lang w:val="fr-FR"/>
        </w:rPr>
        <w:t>le Comité relève qu</w:t>
      </w:r>
      <w:r w:rsidR="00D31389">
        <w:rPr>
          <w:lang w:val="fr-FR"/>
        </w:rPr>
        <w:t>’</w:t>
      </w:r>
      <w:r w:rsidRPr="00A90E5F">
        <w:rPr>
          <w:lang w:val="fr-FR"/>
        </w:rPr>
        <w:t>il s</w:t>
      </w:r>
      <w:r w:rsidR="00D31389">
        <w:rPr>
          <w:lang w:val="fr-FR"/>
        </w:rPr>
        <w:t>’</w:t>
      </w:r>
      <w:r w:rsidRPr="00A90E5F">
        <w:rPr>
          <w:lang w:val="fr-FR"/>
        </w:rPr>
        <w:t xml:space="preserve">est écoulé de longues années depuis les faits, qui se seraient produits en </w:t>
      </w:r>
      <w:r w:rsidRPr="00A90E5F">
        <w:rPr>
          <w:bCs/>
          <w:lang w:val="fr-FR"/>
        </w:rPr>
        <w:t>2007, et rappelle que, bien que des événements passés puissent avoir une certaine importance, son analyse a pour principal but de déterminer si le requérant court actuellement le risque d</w:t>
      </w:r>
      <w:r w:rsidR="00D31389">
        <w:rPr>
          <w:bCs/>
          <w:lang w:val="fr-FR"/>
        </w:rPr>
        <w:t>’</w:t>
      </w:r>
      <w:r w:rsidRPr="00A90E5F">
        <w:rPr>
          <w:bCs/>
          <w:lang w:val="fr-FR"/>
        </w:rPr>
        <w:t>être soumis à la tort</w:t>
      </w:r>
      <w:r w:rsidR="00845AD8">
        <w:rPr>
          <w:bCs/>
          <w:lang w:val="fr-FR"/>
        </w:rPr>
        <w:t>ure s</w:t>
      </w:r>
      <w:r w:rsidR="00D31389">
        <w:rPr>
          <w:bCs/>
          <w:lang w:val="fr-FR"/>
        </w:rPr>
        <w:t>’</w:t>
      </w:r>
      <w:r w:rsidR="00845AD8">
        <w:rPr>
          <w:bCs/>
          <w:lang w:val="fr-FR"/>
        </w:rPr>
        <w:t>il est renvoyé au Soudan</w:t>
      </w:r>
      <w:r w:rsidR="00BD4CE5">
        <w:rPr>
          <w:rStyle w:val="Appelnotedebasdep"/>
          <w:bCs/>
        </w:rPr>
        <w:footnoteReference w:id="32"/>
      </w:r>
      <w:r w:rsidRPr="00A90E5F">
        <w:rPr>
          <w:bCs/>
          <w:lang w:val="fr-FR"/>
        </w:rPr>
        <w:t>. Le Comité rappelle que des mauvais traitements subis dans le passé ne constituent qu</w:t>
      </w:r>
      <w:r w:rsidR="00D31389">
        <w:rPr>
          <w:bCs/>
          <w:lang w:val="fr-FR"/>
        </w:rPr>
        <w:t>’</w:t>
      </w:r>
      <w:r w:rsidRPr="00A90E5F">
        <w:rPr>
          <w:bCs/>
          <w:lang w:val="fr-FR"/>
        </w:rPr>
        <w:t>un élément à prendre en considération car ce que le Comité doit</w:t>
      </w:r>
      <w:r w:rsidR="00CB54B7">
        <w:rPr>
          <w:bCs/>
          <w:lang w:val="fr-FR"/>
        </w:rPr>
        <w:t xml:space="preserve"> </w:t>
      </w:r>
      <w:r w:rsidRPr="00A90E5F">
        <w:rPr>
          <w:bCs/>
          <w:lang w:val="fr-FR"/>
        </w:rPr>
        <w:t xml:space="preserve">établir si le </w:t>
      </w:r>
      <w:r w:rsidR="00AA1A00" w:rsidRPr="00A90E5F">
        <w:rPr>
          <w:bCs/>
          <w:lang w:val="fr-FR"/>
        </w:rPr>
        <w:t>requérant</w:t>
      </w:r>
      <w:r w:rsidRPr="00A90E5F">
        <w:rPr>
          <w:bCs/>
          <w:lang w:val="fr-FR"/>
        </w:rPr>
        <w:t xml:space="preserve"> court actuellement un risque d</w:t>
      </w:r>
      <w:r w:rsidR="00D31389">
        <w:rPr>
          <w:bCs/>
          <w:lang w:val="fr-FR"/>
        </w:rPr>
        <w:t>’</w:t>
      </w:r>
      <w:r w:rsidRPr="00A90E5F">
        <w:rPr>
          <w:bCs/>
          <w:lang w:val="fr-FR"/>
        </w:rPr>
        <w:t>être soumis à la torture s</w:t>
      </w:r>
      <w:r w:rsidR="00D31389">
        <w:rPr>
          <w:bCs/>
          <w:lang w:val="fr-FR"/>
        </w:rPr>
        <w:t>’</w:t>
      </w:r>
      <w:r w:rsidRPr="00A90E5F">
        <w:rPr>
          <w:bCs/>
          <w:lang w:val="fr-FR"/>
        </w:rPr>
        <w:t>il est renvoyé</w:t>
      </w:r>
      <w:r w:rsidR="00AA1A00">
        <w:rPr>
          <w:bCs/>
          <w:lang w:val="fr-FR"/>
        </w:rPr>
        <w:t xml:space="preserve"> </w:t>
      </w:r>
      <w:r w:rsidRPr="00A90E5F">
        <w:rPr>
          <w:bCs/>
          <w:lang w:val="fr-FR"/>
        </w:rPr>
        <w:t>au Soudan</w:t>
      </w:r>
      <w:r w:rsidR="00845AD8">
        <w:rPr>
          <w:rStyle w:val="Appelnotedebasdep"/>
          <w:bCs/>
        </w:rPr>
        <w:footnoteReference w:id="33"/>
      </w:r>
      <w:r w:rsidRPr="00A90E5F">
        <w:rPr>
          <w:bCs/>
          <w:lang w:val="fr-FR"/>
        </w:rPr>
        <w:t>. Le Comité considère que, même à supposer que le requérant a été torturé dans le passé par les autorités soudanaises, il ne s</w:t>
      </w:r>
      <w:r w:rsidR="00D31389">
        <w:rPr>
          <w:bCs/>
          <w:lang w:val="fr-FR"/>
        </w:rPr>
        <w:t>’</w:t>
      </w:r>
      <w:r w:rsidRPr="00A90E5F">
        <w:rPr>
          <w:bCs/>
          <w:lang w:val="fr-FR"/>
        </w:rPr>
        <w:t>ensuit pas automatiquement que, plus de dix ans après les faits allégués, il courrait encore un risque d</w:t>
      </w:r>
      <w:r w:rsidR="00D31389">
        <w:rPr>
          <w:bCs/>
          <w:lang w:val="fr-FR"/>
        </w:rPr>
        <w:t>’</w:t>
      </w:r>
      <w:r w:rsidRPr="00A90E5F">
        <w:rPr>
          <w:bCs/>
          <w:lang w:val="fr-FR"/>
        </w:rPr>
        <w:t>être soumis à la torture s</w:t>
      </w:r>
      <w:r w:rsidR="00D31389">
        <w:rPr>
          <w:bCs/>
          <w:lang w:val="fr-FR"/>
        </w:rPr>
        <w:t>’</w:t>
      </w:r>
      <w:r w:rsidRPr="00A90E5F">
        <w:rPr>
          <w:bCs/>
          <w:lang w:val="fr-FR"/>
        </w:rPr>
        <w:t>il retourne au Soudan</w:t>
      </w:r>
      <w:r w:rsidR="00845AD8">
        <w:rPr>
          <w:rStyle w:val="Appelnotedebasdep"/>
          <w:bCs/>
        </w:rPr>
        <w:footnoteReference w:id="34"/>
      </w:r>
      <w:r w:rsidRPr="00A90E5F">
        <w:rPr>
          <w:bCs/>
          <w:lang w:val="fr-FR"/>
        </w:rPr>
        <w:t>.</w:t>
      </w:r>
    </w:p>
    <w:p w:rsidR="00A90E5F" w:rsidRPr="00A90E5F" w:rsidRDefault="00A90E5F" w:rsidP="00A90E5F">
      <w:pPr>
        <w:pStyle w:val="SingleTxtG"/>
        <w:rPr>
          <w:lang w:val="fr-FR"/>
        </w:rPr>
      </w:pPr>
      <w:r w:rsidRPr="00A90E5F">
        <w:rPr>
          <w:lang w:val="fr-FR"/>
        </w:rPr>
        <w:t>8.7</w:t>
      </w:r>
      <w:r w:rsidRPr="00A90E5F">
        <w:rPr>
          <w:lang w:val="fr-FR"/>
        </w:rPr>
        <w:tab/>
        <w:t>Le Comité rappelle sa jurisprudence et réaffirme que le risque de torture doit être doit être apprécié selon des éléments qui ne se limitent pas à de simples supputations ou soupçons et ajoute qu</w:t>
      </w:r>
      <w:r w:rsidR="00D31389">
        <w:rPr>
          <w:lang w:val="fr-FR"/>
        </w:rPr>
        <w:t>’</w:t>
      </w:r>
      <w:r w:rsidRPr="00A90E5F">
        <w:rPr>
          <w:lang w:val="fr-FR"/>
        </w:rPr>
        <w:t>en général il appartient au requérant de présenter des éléments pour étayer ses griefs</w:t>
      </w:r>
      <w:r w:rsidR="00845AD8">
        <w:rPr>
          <w:rStyle w:val="Appelnotedebasdep"/>
        </w:rPr>
        <w:footnoteReference w:id="35"/>
      </w:r>
      <w:r w:rsidRPr="00A90E5F">
        <w:rPr>
          <w:lang w:val="fr-FR"/>
        </w:rPr>
        <w:t xml:space="preserve">. Compte tenu de ce qui précède et eu égard à toutes les informations données par le </w:t>
      </w:r>
      <w:r w:rsidR="00AA1A00" w:rsidRPr="00A90E5F">
        <w:rPr>
          <w:lang w:val="fr-FR"/>
        </w:rPr>
        <w:t>requérant</w:t>
      </w:r>
      <w:r w:rsidRPr="00A90E5F">
        <w:rPr>
          <w:lang w:val="fr-FR"/>
        </w:rPr>
        <w:t xml:space="preserve"> et par l</w:t>
      </w:r>
      <w:r w:rsidR="00D31389">
        <w:rPr>
          <w:lang w:val="fr-FR"/>
        </w:rPr>
        <w:t>’</w:t>
      </w:r>
      <w:r w:rsidRPr="00A90E5F">
        <w:rPr>
          <w:lang w:val="fr-FR"/>
        </w:rPr>
        <w:t>État partie, y compris sur la situation générale des droits de l</w:t>
      </w:r>
      <w:r w:rsidR="00D31389">
        <w:rPr>
          <w:lang w:val="fr-FR"/>
        </w:rPr>
        <w:t>’</w:t>
      </w:r>
      <w:r w:rsidRPr="00A90E5F">
        <w:rPr>
          <w:lang w:val="fr-FR"/>
        </w:rPr>
        <w:t>homme au Soudan, le Comité considère que le requérant n</w:t>
      </w:r>
      <w:r w:rsidR="00D31389">
        <w:rPr>
          <w:lang w:val="fr-FR"/>
        </w:rPr>
        <w:t>’</w:t>
      </w:r>
      <w:r w:rsidRPr="00A90E5F">
        <w:rPr>
          <w:lang w:val="fr-FR"/>
        </w:rPr>
        <w:t>a pas</w:t>
      </w:r>
      <w:r w:rsidR="00CB54B7">
        <w:rPr>
          <w:lang w:val="fr-FR"/>
        </w:rPr>
        <w:t xml:space="preserve"> </w:t>
      </w:r>
      <w:r w:rsidRPr="00A90E5F">
        <w:rPr>
          <w:lang w:val="fr-FR"/>
        </w:rPr>
        <w:t>suffisamment montré qu</w:t>
      </w:r>
      <w:r w:rsidR="00D31389">
        <w:rPr>
          <w:lang w:val="fr-FR"/>
        </w:rPr>
        <w:t>’</w:t>
      </w:r>
      <w:r w:rsidRPr="00A90E5F">
        <w:rPr>
          <w:lang w:val="fr-FR"/>
        </w:rPr>
        <w:t>il y avait des motifs sérieux de croire que son renvoi au Soudan l</w:t>
      </w:r>
      <w:r w:rsidR="00D31389">
        <w:rPr>
          <w:lang w:val="fr-FR"/>
        </w:rPr>
        <w:t>’</w:t>
      </w:r>
      <w:r w:rsidRPr="00A90E5F">
        <w:rPr>
          <w:lang w:val="fr-FR"/>
        </w:rPr>
        <w:t xml:space="preserve">exposerait </w:t>
      </w:r>
      <w:r w:rsidRPr="00A90E5F">
        <w:rPr>
          <w:lang w:val="fr-FR"/>
        </w:rPr>
        <w:lastRenderedPageBreak/>
        <w:t>personnellement à un risque réel et spécifique de torture, conformément à l</w:t>
      </w:r>
      <w:r w:rsidR="00D31389">
        <w:rPr>
          <w:lang w:val="fr-FR"/>
        </w:rPr>
        <w:t>’</w:t>
      </w:r>
      <w:r w:rsidRPr="00A90E5F">
        <w:rPr>
          <w:lang w:val="fr-FR"/>
        </w:rPr>
        <w:t>article 3 de la Convention.</w:t>
      </w:r>
    </w:p>
    <w:p w:rsidR="00BA41F4" w:rsidRDefault="00A90E5F" w:rsidP="00A90E5F">
      <w:pPr>
        <w:pStyle w:val="SingleTxtG"/>
        <w:rPr>
          <w:lang w:val="fr-FR"/>
        </w:rPr>
      </w:pPr>
      <w:r w:rsidRPr="00A90E5F">
        <w:rPr>
          <w:lang w:val="fr-FR"/>
        </w:rPr>
        <w:t>9.</w:t>
      </w:r>
      <w:r w:rsidRPr="00A90E5F">
        <w:rPr>
          <w:lang w:val="fr-FR"/>
        </w:rPr>
        <w:tab/>
        <w:t>En conséquence, le Comité contre la torture, agissant en vertu du paragraphe 7 de l</w:t>
      </w:r>
      <w:r w:rsidR="00D31389">
        <w:rPr>
          <w:lang w:val="fr-FR"/>
        </w:rPr>
        <w:t>’</w:t>
      </w:r>
      <w:r w:rsidRPr="00A90E5F">
        <w:rPr>
          <w:lang w:val="fr-FR"/>
        </w:rPr>
        <w:t>article 22 de la Convention contre la torture et autres peines ou traitements cruels, inhumains ou dégradants, constate que le renvoi du requérant au Soudan ne constituerait pas une violation de l</w:t>
      </w:r>
      <w:r w:rsidR="00D31389">
        <w:rPr>
          <w:lang w:val="fr-FR"/>
        </w:rPr>
        <w:t>’</w:t>
      </w:r>
      <w:r w:rsidRPr="00A90E5F">
        <w:rPr>
          <w:lang w:val="fr-FR"/>
        </w:rPr>
        <w:t>article 3 de la Convention.</w:t>
      </w:r>
    </w:p>
    <w:p w:rsidR="00D31389" w:rsidRPr="00D31389" w:rsidRDefault="00D31389" w:rsidP="00D3138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31389" w:rsidRPr="00D31389" w:rsidSect="00A90E5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89" w:rsidRPr="009C4D45" w:rsidRDefault="00D31389" w:rsidP="009C4D45">
      <w:pPr>
        <w:pStyle w:val="Pieddepage"/>
      </w:pPr>
    </w:p>
  </w:endnote>
  <w:endnote w:type="continuationSeparator" w:id="0">
    <w:p w:rsidR="00D31389" w:rsidRPr="009C4D45" w:rsidRDefault="00D31389" w:rsidP="009C4D45">
      <w:pPr>
        <w:pStyle w:val="Pieddepage"/>
      </w:pPr>
    </w:p>
  </w:endnote>
  <w:endnote w:type="continuationNotice" w:id="1">
    <w:p w:rsidR="00D31389" w:rsidRDefault="00D313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89" w:rsidRPr="00A90E5F" w:rsidRDefault="00D31389" w:rsidP="00A90E5F">
    <w:pPr>
      <w:pStyle w:val="Pieddepage"/>
      <w:tabs>
        <w:tab w:val="right" w:pos="9638"/>
      </w:tabs>
    </w:pPr>
    <w:r w:rsidRPr="00A90E5F">
      <w:rPr>
        <w:b/>
        <w:sz w:val="18"/>
      </w:rPr>
      <w:fldChar w:fldCharType="begin"/>
    </w:r>
    <w:r w:rsidRPr="00A90E5F">
      <w:rPr>
        <w:b/>
        <w:sz w:val="18"/>
      </w:rPr>
      <w:instrText xml:space="preserve"> PAGE  \* MERGEFORMAT </w:instrText>
    </w:r>
    <w:r w:rsidRPr="00A90E5F">
      <w:rPr>
        <w:b/>
        <w:sz w:val="18"/>
      </w:rPr>
      <w:fldChar w:fldCharType="separate"/>
    </w:r>
    <w:r w:rsidR="00F11288">
      <w:rPr>
        <w:b/>
        <w:noProof/>
        <w:sz w:val="18"/>
      </w:rPr>
      <w:t>12</w:t>
    </w:r>
    <w:r w:rsidRPr="00A90E5F">
      <w:rPr>
        <w:b/>
        <w:sz w:val="18"/>
      </w:rPr>
      <w:fldChar w:fldCharType="end"/>
    </w:r>
    <w:r>
      <w:rPr>
        <w:b/>
        <w:sz w:val="18"/>
      </w:rPr>
      <w:tab/>
    </w:r>
    <w:r>
      <w:t>GE.17-11387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89" w:rsidRPr="00A90E5F" w:rsidRDefault="00D31389" w:rsidP="00A90E5F">
    <w:pPr>
      <w:pStyle w:val="Pieddepage"/>
      <w:tabs>
        <w:tab w:val="right" w:pos="9638"/>
      </w:tabs>
      <w:rPr>
        <w:b/>
        <w:sz w:val="18"/>
      </w:rPr>
    </w:pPr>
    <w:r>
      <w:t>GE.17-11387</w:t>
    </w:r>
    <w:r>
      <w:tab/>
    </w:r>
    <w:r w:rsidRPr="00A90E5F">
      <w:rPr>
        <w:b/>
        <w:sz w:val="18"/>
      </w:rPr>
      <w:fldChar w:fldCharType="begin"/>
    </w:r>
    <w:r w:rsidRPr="00A90E5F">
      <w:rPr>
        <w:b/>
        <w:sz w:val="18"/>
      </w:rPr>
      <w:instrText xml:space="preserve"> PAGE  \* MERGEFORMAT </w:instrText>
    </w:r>
    <w:r w:rsidRPr="00A90E5F">
      <w:rPr>
        <w:b/>
        <w:sz w:val="18"/>
      </w:rPr>
      <w:fldChar w:fldCharType="separate"/>
    </w:r>
    <w:r w:rsidR="00F11288">
      <w:rPr>
        <w:b/>
        <w:noProof/>
        <w:sz w:val="18"/>
      </w:rPr>
      <w:t>11</w:t>
    </w:r>
    <w:r w:rsidRPr="00A90E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89" w:rsidRPr="00A90E5F" w:rsidRDefault="00D31389" w:rsidP="00A90E5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17-11387  (F)    131217    1</w:t>
    </w:r>
    <w:r w:rsidR="00A21D1C">
      <w:rPr>
        <w:sz w:val="20"/>
      </w:rPr>
      <w:t>5</w:t>
    </w:r>
    <w:r>
      <w:rPr>
        <w:sz w:val="20"/>
      </w:rPr>
      <w:t>1217</w:t>
    </w:r>
    <w:r>
      <w:rPr>
        <w:sz w:val="20"/>
      </w:rPr>
      <w:br/>
    </w:r>
    <w:r w:rsidRPr="00A90E5F">
      <w:rPr>
        <w:rFonts w:ascii="C39T30Lfz" w:hAnsi="C39T30Lfz"/>
        <w:sz w:val="56"/>
      </w:rPr>
      <w:t></w:t>
    </w:r>
    <w:r w:rsidRPr="00A90E5F">
      <w:rPr>
        <w:rFonts w:ascii="C39T30Lfz" w:hAnsi="C39T30Lfz"/>
        <w:sz w:val="56"/>
      </w:rPr>
      <w:t></w:t>
    </w:r>
    <w:r w:rsidRPr="00A90E5F">
      <w:rPr>
        <w:rFonts w:ascii="C39T30Lfz" w:hAnsi="C39T30Lfz"/>
        <w:sz w:val="56"/>
      </w:rPr>
      <w:t></w:t>
    </w:r>
    <w:r w:rsidRPr="00A90E5F">
      <w:rPr>
        <w:rFonts w:ascii="C39T30Lfz" w:hAnsi="C39T30Lfz"/>
        <w:sz w:val="56"/>
      </w:rPr>
      <w:t></w:t>
    </w:r>
    <w:r w:rsidRPr="00A90E5F">
      <w:rPr>
        <w:rFonts w:ascii="C39T30Lfz" w:hAnsi="C39T30Lfz"/>
        <w:sz w:val="56"/>
      </w:rPr>
      <w:t></w:t>
    </w:r>
    <w:r w:rsidRPr="00A90E5F">
      <w:rPr>
        <w:rFonts w:ascii="C39T30Lfz" w:hAnsi="C39T30Lfz"/>
        <w:sz w:val="56"/>
      </w:rPr>
      <w:t></w:t>
    </w:r>
    <w:r w:rsidRPr="00A90E5F">
      <w:rPr>
        <w:rFonts w:ascii="C39T30Lfz" w:hAnsi="C39T30Lfz"/>
        <w:sz w:val="56"/>
      </w:rPr>
      <w:t></w:t>
    </w:r>
    <w:r w:rsidRPr="00A90E5F">
      <w:rPr>
        <w:rFonts w:ascii="C39T30Lfz" w:hAnsi="C39T30Lfz"/>
        <w:sz w:val="56"/>
      </w:rPr>
      <w:t></w:t>
    </w:r>
    <w:r w:rsidRPr="00A90E5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0/D/602/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02/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89" w:rsidRPr="009C4D45" w:rsidRDefault="00D31389" w:rsidP="009C4D45">
      <w:pPr>
        <w:pStyle w:val="Pieddepage"/>
        <w:tabs>
          <w:tab w:val="right" w:pos="2155"/>
        </w:tabs>
        <w:spacing w:after="80" w:line="240" w:lineRule="atLeast"/>
        <w:ind w:left="680"/>
        <w:rPr>
          <w:u w:val="single"/>
        </w:rPr>
      </w:pPr>
      <w:r>
        <w:rPr>
          <w:u w:val="single"/>
        </w:rPr>
        <w:tab/>
      </w:r>
    </w:p>
  </w:footnote>
  <w:footnote w:type="continuationSeparator" w:id="0">
    <w:p w:rsidR="00D31389" w:rsidRPr="00035AE4" w:rsidRDefault="00D31389" w:rsidP="00035AE4">
      <w:pPr>
        <w:pStyle w:val="Pieddepage"/>
        <w:tabs>
          <w:tab w:val="right" w:pos="2155"/>
        </w:tabs>
        <w:spacing w:after="80" w:line="240" w:lineRule="atLeast"/>
        <w:ind w:left="680"/>
        <w:rPr>
          <w:u w:val="single"/>
        </w:rPr>
      </w:pPr>
      <w:r>
        <w:rPr>
          <w:u w:val="single"/>
        </w:rPr>
        <w:tab/>
      </w:r>
    </w:p>
  </w:footnote>
  <w:footnote w:type="continuationNotice" w:id="1">
    <w:p w:rsidR="00D31389" w:rsidRPr="00035AE4" w:rsidRDefault="00D31389">
      <w:pPr>
        <w:spacing w:line="240" w:lineRule="auto"/>
        <w:rPr>
          <w:sz w:val="2"/>
          <w:szCs w:val="2"/>
        </w:rPr>
      </w:pPr>
    </w:p>
  </w:footnote>
  <w:footnote w:id="2">
    <w:p w:rsidR="00D31389" w:rsidRPr="00A90E5F" w:rsidRDefault="00D31389" w:rsidP="00C96F26">
      <w:pPr>
        <w:pStyle w:val="Notedebasdepage"/>
      </w:pPr>
      <w:r>
        <w:rPr>
          <w:rStyle w:val="Appelnotedebasdep"/>
        </w:rPr>
        <w:tab/>
      </w:r>
      <w:r w:rsidRPr="00A90E5F">
        <w:rPr>
          <w:rStyle w:val="Appelnotedebasdep"/>
          <w:sz w:val="20"/>
          <w:vertAlign w:val="baseline"/>
        </w:rPr>
        <w:t>*</w:t>
      </w:r>
      <w:r>
        <w:rPr>
          <w:rStyle w:val="Appelnotedebasdep"/>
          <w:sz w:val="20"/>
          <w:vertAlign w:val="baseline"/>
        </w:rPr>
        <w:tab/>
      </w:r>
      <w:r w:rsidRPr="00B43B82">
        <w:rPr>
          <w:lang w:eastAsia="en-GB"/>
        </w:rPr>
        <w:t xml:space="preserve">Adoptée par le Comité à sa soixantième session (18 </w:t>
      </w:r>
      <w:r>
        <w:rPr>
          <w:lang w:eastAsia="en-GB"/>
        </w:rPr>
        <w:t>av</w:t>
      </w:r>
      <w:r w:rsidRPr="00B43B82">
        <w:rPr>
          <w:lang w:eastAsia="en-GB"/>
        </w:rPr>
        <w:t>ril</w:t>
      </w:r>
      <w:r>
        <w:rPr>
          <w:lang w:eastAsia="en-GB"/>
        </w:rPr>
        <w:t>-</w:t>
      </w:r>
      <w:r w:rsidRPr="00B43B82">
        <w:rPr>
          <w:lang w:eastAsia="en-GB"/>
        </w:rPr>
        <w:t xml:space="preserve">12 </w:t>
      </w:r>
      <w:r>
        <w:rPr>
          <w:lang w:eastAsia="en-GB"/>
        </w:rPr>
        <w:t>mai</w:t>
      </w:r>
      <w:r w:rsidRPr="00B43B82">
        <w:rPr>
          <w:lang w:eastAsia="en-GB"/>
        </w:rPr>
        <w:t xml:space="preserve"> 2017).</w:t>
      </w:r>
    </w:p>
  </w:footnote>
  <w:footnote w:id="3">
    <w:p w:rsidR="00D31389" w:rsidRPr="00A90E5F" w:rsidRDefault="00D31389" w:rsidP="00C96F26">
      <w:pPr>
        <w:pStyle w:val="Notedebasdepage"/>
      </w:pPr>
      <w:r>
        <w:rPr>
          <w:rStyle w:val="Appelnotedebasdep"/>
        </w:rPr>
        <w:tab/>
      </w:r>
      <w:r w:rsidRPr="00A90E5F">
        <w:rPr>
          <w:rStyle w:val="Appelnotedebasdep"/>
          <w:sz w:val="20"/>
          <w:vertAlign w:val="baseline"/>
        </w:rPr>
        <w:t>**</w:t>
      </w:r>
      <w:r>
        <w:rPr>
          <w:rStyle w:val="Appelnotedebasdep"/>
          <w:sz w:val="20"/>
          <w:vertAlign w:val="baseline"/>
        </w:rPr>
        <w:tab/>
      </w:r>
      <w:r w:rsidRPr="00CE458F">
        <w:rPr>
          <w:lang w:eastAsia="en-GB"/>
        </w:rPr>
        <w:t>Les membres du Comité dont le nom su</w:t>
      </w:r>
      <w:r>
        <w:rPr>
          <w:lang w:eastAsia="en-GB"/>
        </w:rPr>
        <w:t xml:space="preserve">it ont participé à l’examen de la </w:t>
      </w:r>
      <w:r w:rsidRPr="00CE458F">
        <w:rPr>
          <w:lang w:eastAsia="en-GB"/>
        </w:rPr>
        <w:t>communication</w:t>
      </w:r>
      <w:r>
        <w:rPr>
          <w:lang w:eastAsia="en-GB"/>
        </w:rPr>
        <w:t xml:space="preserve"> : </w:t>
      </w:r>
      <w:proofErr w:type="spellStart"/>
      <w:r>
        <w:rPr>
          <w:lang w:eastAsia="en-GB"/>
        </w:rPr>
        <w:t>Alessio</w:t>
      </w:r>
      <w:proofErr w:type="spellEnd"/>
      <w:r>
        <w:rPr>
          <w:lang w:eastAsia="en-GB"/>
        </w:rPr>
        <w:t> </w:t>
      </w:r>
      <w:r w:rsidRPr="00CE458F">
        <w:rPr>
          <w:lang w:eastAsia="en-GB"/>
        </w:rPr>
        <w:t xml:space="preserve">Bruni, Felice </w:t>
      </w:r>
      <w:proofErr w:type="spellStart"/>
      <w:r w:rsidRPr="00CE458F">
        <w:rPr>
          <w:lang w:eastAsia="en-GB"/>
        </w:rPr>
        <w:t>Gaer</w:t>
      </w:r>
      <w:proofErr w:type="spellEnd"/>
      <w:r w:rsidRPr="00CE458F">
        <w:rPr>
          <w:lang w:eastAsia="en-GB"/>
        </w:rPr>
        <w:t xml:space="preserve">, </w:t>
      </w:r>
      <w:proofErr w:type="spellStart"/>
      <w:r w:rsidRPr="00CE458F">
        <w:rPr>
          <w:lang w:eastAsia="en-GB"/>
        </w:rPr>
        <w:t>Abdelwahab</w:t>
      </w:r>
      <w:proofErr w:type="spellEnd"/>
      <w:r w:rsidRPr="00CE458F">
        <w:rPr>
          <w:lang w:eastAsia="en-GB"/>
        </w:rPr>
        <w:t xml:space="preserve"> Hani, Claude Heller </w:t>
      </w:r>
      <w:proofErr w:type="spellStart"/>
      <w:r w:rsidRPr="00CE458F">
        <w:rPr>
          <w:lang w:eastAsia="en-GB"/>
        </w:rPr>
        <w:t>Rouas</w:t>
      </w:r>
      <w:r>
        <w:rPr>
          <w:lang w:eastAsia="en-GB"/>
        </w:rPr>
        <w:t>sant</w:t>
      </w:r>
      <w:proofErr w:type="spellEnd"/>
      <w:r>
        <w:rPr>
          <w:lang w:eastAsia="en-GB"/>
        </w:rPr>
        <w:t xml:space="preserve">, </w:t>
      </w:r>
      <w:proofErr w:type="spellStart"/>
      <w:r>
        <w:rPr>
          <w:lang w:eastAsia="en-GB"/>
        </w:rPr>
        <w:t>Sapana</w:t>
      </w:r>
      <w:proofErr w:type="spellEnd"/>
      <w:r>
        <w:rPr>
          <w:lang w:eastAsia="en-GB"/>
        </w:rPr>
        <w:t xml:space="preserve"> </w:t>
      </w:r>
      <w:proofErr w:type="spellStart"/>
      <w:r>
        <w:rPr>
          <w:lang w:eastAsia="en-GB"/>
        </w:rPr>
        <w:t>Pradhan</w:t>
      </w:r>
      <w:proofErr w:type="spellEnd"/>
      <w:r>
        <w:rPr>
          <w:lang w:eastAsia="en-GB"/>
        </w:rPr>
        <w:t>-Malla, Ana </w:t>
      </w:r>
      <w:proofErr w:type="spellStart"/>
      <w:r w:rsidRPr="00CE458F">
        <w:rPr>
          <w:lang w:eastAsia="en-GB"/>
        </w:rPr>
        <w:t>Racu</w:t>
      </w:r>
      <w:proofErr w:type="spellEnd"/>
      <w:r w:rsidRPr="00CE458F">
        <w:rPr>
          <w:lang w:eastAsia="en-GB"/>
        </w:rPr>
        <w:t xml:space="preserve">, Sébastien </w:t>
      </w:r>
      <w:proofErr w:type="spellStart"/>
      <w:r w:rsidRPr="00CE458F">
        <w:rPr>
          <w:lang w:eastAsia="en-GB"/>
        </w:rPr>
        <w:t>Touzé</w:t>
      </w:r>
      <w:proofErr w:type="spellEnd"/>
      <w:r w:rsidRPr="00CE458F">
        <w:rPr>
          <w:lang w:eastAsia="en-GB"/>
        </w:rPr>
        <w:t xml:space="preserve"> </w:t>
      </w:r>
      <w:r>
        <w:rPr>
          <w:lang w:eastAsia="en-GB"/>
        </w:rPr>
        <w:t>et</w:t>
      </w:r>
      <w:r w:rsidRPr="00CE458F">
        <w:rPr>
          <w:lang w:eastAsia="en-GB"/>
        </w:rPr>
        <w:t xml:space="preserve"> </w:t>
      </w:r>
      <w:proofErr w:type="spellStart"/>
      <w:r w:rsidRPr="00CE458F">
        <w:rPr>
          <w:lang w:eastAsia="en-GB"/>
        </w:rPr>
        <w:t>Kening</w:t>
      </w:r>
      <w:proofErr w:type="spellEnd"/>
      <w:r w:rsidRPr="00CE458F">
        <w:rPr>
          <w:lang w:eastAsia="en-GB"/>
        </w:rPr>
        <w:t xml:space="preserve"> Zhang. </w:t>
      </w:r>
      <w:r w:rsidRPr="00872603">
        <w:rPr>
          <w:lang w:eastAsia="en-GB"/>
        </w:rPr>
        <w:t>Conformément à l’arti</w:t>
      </w:r>
      <w:r>
        <w:rPr>
          <w:lang w:eastAsia="en-GB"/>
        </w:rPr>
        <w:t>c</w:t>
      </w:r>
      <w:r w:rsidRPr="00872603">
        <w:rPr>
          <w:lang w:eastAsia="en-GB"/>
        </w:rPr>
        <w:t xml:space="preserve">le 109 du règlement intérieur, Jens </w:t>
      </w:r>
      <w:proofErr w:type="spellStart"/>
      <w:r w:rsidRPr="00872603">
        <w:rPr>
          <w:lang w:eastAsia="en-GB"/>
        </w:rPr>
        <w:t>Modvig</w:t>
      </w:r>
      <w:proofErr w:type="spellEnd"/>
      <w:r w:rsidRPr="00872603">
        <w:rPr>
          <w:lang w:eastAsia="en-GB"/>
        </w:rPr>
        <w:t xml:space="preserve"> n’a pas pris part </w:t>
      </w:r>
      <w:r>
        <w:rPr>
          <w:lang w:eastAsia="en-GB"/>
        </w:rPr>
        <w:t>à l’examen de la</w:t>
      </w:r>
      <w:r w:rsidRPr="00872603">
        <w:rPr>
          <w:lang w:eastAsia="en-GB"/>
        </w:rPr>
        <w:t xml:space="preserve"> communication.</w:t>
      </w:r>
    </w:p>
  </w:footnote>
  <w:footnote w:id="4">
    <w:p w:rsidR="00D31389" w:rsidRDefault="00D31389" w:rsidP="00C96F26">
      <w:pPr>
        <w:pStyle w:val="Notedebasdepage"/>
      </w:pPr>
      <w:r>
        <w:tab/>
      </w:r>
      <w:r w:rsidRPr="00C96F26">
        <w:rPr>
          <w:rStyle w:val="Appelnotedebasdep"/>
        </w:rPr>
        <w:footnoteRef/>
      </w:r>
      <w:r>
        <w:tab/>
      </w:r>
      <w:r w:rsidRPr="00F441F5">
        <w:t xml:space="preserve">Le Danemark a fait </w:t>
      </w:r>
      <w:bookmarkStart w:id="0" w:name="_GoBack"/>
      <w:bookmarkEnd w:id="0"/>
      <w:r w:rsidRPr="00F441F5">
        <w:t>la déclaration prévue à l’article 22 de la Convention le 27 mai 1987</w:t>
      </w:r>
      <w:r>
        <w:t>.</w:t>
      </w:r>
    </w:p>
  </w:footnote>
  <w:footnote w:id="5">
    <w:p w:rsidR="00D31389" w:rsidRDefault="00D31389" w:rsidP="00C96F26">
      <w:pPr>
        <w:pStyle w:val="Notedebasdepage"/>
      </w:pPr>
      <w:r>
        <w:tab/>
      </w:r>
      <w:r w:rsidRPr="00C96F26">
        <w:rPr>
          <w:rStyle w:val="Appelnotedebasdep"/>
        </w:rPr>
        <w:footnoteRef/>
      </w:r>
      <w:r>
        <w:tab/>
      </w:r>
      <w:r w:rsidRPr="00C96F26">
        <w:t xml:space="preserve">Pour une description détaillée voir par exemple la communication </w:t>
      </w:r>
      <w:r>
        <w:rPr>
          <w:rFonts w:eastAsia="MS Mincho"/>
        </w:rPr>
        <w:t>n</w:t>
      </w:r>
      <w:r>
        <w:rPr>
          <w:rFonts w:eastAsia="MS Mincho"/>
          <w:vertAlign w:val="superscript"/>
        </w:rPr>
        <w:t>o</w:t>
      </w:r>
      <w:r>
        <w:t> </w:t>
      </w:r>
      <w:r w:rsidRPr="00C96F26">
        <w:t xml:space="preserve">580/2012, </w:t>
      </w:r>
      <w:r w:rsidRPr="00C96F26">
        <w:rPr>
          <w:i/>
        </w:rPr>
        <w:t>F.</w:t>
      </w:r>
      <w:r>
        <w:rPr>
          <w:i/>
        </w:rPr>
        <w:t> </w:t>
      </w:r>
      <w:r w:rsidRPr="00C96F26">
        <w:rPr>
          <w:i/>
        </w:rPr>
        <w:t xml:space="preserve">K. </w:t>
      </w:r>
      <w:r w:rsidRPr="00C96F26">
        <w:t>c.</w:t>
      </w:r>
      <w:r w:rsidRPr="00C96F26">
        <w:rPr>
          <w:i/>
        </w:rPr>
        <w:t xml:space="preserve"> Danemark</w:t>
      </w:r>
      <w:r w:rsidRPr="00C96F26">
        <w:t>, décision adoptée le 23 novembre 2015, par. 4.9 à 4.11.</w:t>
      </w:r>
    </w:p>
  </w:footnote>
  <w:footnote w:id="6">
    <w:p w:rsidR="00D31389" w:rsidRDefault="00D31389" w:rsidP="00C96F26">
      <w:pPr>
        <w:pStyle w:val="Notedebasdepage"/>
      </w:pPr>
      <w:r>
        <w:tab/>
      </w:r>
      <w:r w:rsidRPr="00C96F26">
        <w:rPr>
          <w:rStyle w:val="Appelnotedebasdep"/>
        </w:rPr>
        <w:footnoteRef/>
      </w:r>
      <w:r>
        <w:tab/>
        <w:t xml:space="preserve">Voir communication </w:t>
      </w:r>
      <w:r>
        <w:rPr>
          <w:rFonts w:eastAsia="MS Mincho"/>
        </w:rPr>
        <w:t>n</w:t>
      </w:r>
      <w:r>
        <w:rPr>
          <w:rFonts w:eastAsia="MS Mincho"/>
          <w:vertAlign w:val="superscript"/>
        </w:rPr>
        <w:t>o</w:t>
      </w:r>
      <w:r>
        <w:t xml:space="preserve"> 209/2002, </w:t>
      </w:r>
      <w:r w:rsidRPr="009037CE">
        <w:rPr>
          <w:i/>
        </w:rPr>
        <w:t>Otman</w:t>
      </w:r>
      <w:r>
        <w:t xml:space="preserve"> c. </w:t>
      </w:r>
      <w:r w:rsidRPr="009037CE">
        <w:rPr>
          <w:i/>
        </w:rPr>
        <w:t>Danemark</w:t>
      </w:r>
      <w:r>
        <w:t>, décision adoptée le 12 novembre 2003, par. 6.4 à 6.6.</w:t>
      </w:r>
    </w:p>
  </w:footnote>
  <w:footnote w:id="7">
    <w:p w:rsidR="00D31389" w:rsidRDefault="00D31389" w:rsidP="00C96F26">
      <w:pPr>
        <w:pStyle w:val="Notedebasdepage"/>
      </w:pPr>
      <w:r>
        <w:tab/>
      </w:r>
      <w:r w:rsidRPr="00C96F26">
        <w:rPr>
          <w:rStyle w:val="Appelnotedebasdep"/>
        </w:rPr>
        <w:footnoteRef/>
      </w:r>
      <w:r>
        <w:tab/>
        <w:t xml:space="preserve">Voir communication n°466/2011, </w:t>
      </w:r>
      <w:r w:rsidRPr="00603F06">
        <w:rPr>
          <w:i/>
        </w:rPr>
        <w:t>Alp</w:t>
      </w:r>
      <w:r>
        <w:t xml:space="preserve"> c. </w:t>
      </w:r>
      <w:r w:rsidRPr="00603F06">
        <w:rPr>
          <w:i/>
        </w:rPr>
        <w:t>Danemark</w:t>
      </w:r>
      <w:r>
        <w:t>, décision adoptée le 14 </w:t>
      </w:r>
      <w:r w:rsidRPr="00F441F5">
        <w:t>mai 2014</w:t>
      </w:r>
      <w:r>
        <w:t>.</w:t>
      </w:r>
    </w:p>
  </w:footnote>
  <w:footnote w:id="8">
    <w:p w:rsidR="00D31389" w:rsidRDefault="00D31389" w:rsidP="00C96F26">
      <w:pPr>
        <w:pStyle w:val="Notedebasdepage"/>
      </w:pPr>
      <w:r>
        <w:tab/>
      </w:r>
      <w:r w:rsidRPr="00C96F26">
        <w:rPr>
          <w:rStyle w:val="Appelnotedebasdep"/>
        </w:rPr>
        <w:footnoteRef/>
      </w:r>
      <w:r>
        <w:tab/>
        <w:t xml:space="preserve">Voir communication </w:t>
      </w:r>
      <w:r>
        <w:rPr>
          <w:rFonts w:eastAsia="MS Mincho"/>
        </w:rPr>
        <w:t>n</w:t>
      </w:r>
      <w:r>
        <w:rPr>
          <w:rFonts w:eastAsia="MS Mincho"/>
          <w:vertAlign w:val="superscript"/>
        </w:rPr>
        <w:t>o</w:t>
      </w:r>
      <w:r>
        <w:t xml:space="preserve"> 61/1996, </w:t>
      </w:r>
      <w:r w:rsidRPr="00DD4DD7">
        <w:rPr>
          <w:i/>
        </w:rPr>
        <w:t xml:space="preserve">X, Y </w:t>
      </w:r>
      <w:r w:rsidRPr="0065127E">
        <w:rPr>
          <w:i/>
        </w:rPr>
        <w:t>et Z</w:t>
      </w:r>
      <w:r>
        <w:rPr>
          <w:i/>
        </w:rPr>
        <w:t xml:space="preserve"> </w:t>
      </w:r>
      <w:r>
        <w:t xml:space="preserve">c. </w:t>
      </w:r>
      <w:r w:rsidRPr="0065127E">
        <w:rPr>
          <w:i/>
        </w:rPr>
        <w:t>Suède</w:t>
      </w:r>
      <w:r>
        <w:t>, constatations adoptées le 6 mai 1998, par. </w:t>
      </w:r>
      <w:r w:rsidRPr="00F441F5">
        <w:t>11.2</w:t>
      </w:r>
      <w:r>
        <w:t>.</w:t>
      </w:r>
    </w:p>
  </w:footnote>
  <w:footnote w:id="9">
    <w:p w:rsidR="00D31389" w:rsidRDefault="00D31389" w:rsidP="00C96F26">
      <w:pPr>
        <w:pStyle w:val="Notedebasdepage"/>
      </w:pPr>
      <w:r>
        <w:tab/>
      </w:r>
      <w:r w:rsidRPr="00C96F26">
        <w:rPr>
          <w:rStyle w:val="Appelnotedebasdep"/>
        </w:rPr>
        <w:footnoteRef/>
      </w:r>
      <w:r>
        <w:tab/>
        <w:t xml:space="preserve">Voir communication </w:t>
      </w:r>
      <w:r>
        <w:rPr>
          <w:rFonts w:eastAsia="MS Mincho"/>
        </w:rPr>
        <w:t>n</w:t>
      </w:r>
      <w:r>
        <w:rPr>
          <w:rFonts w:eastAsia="MS Mincho"/>
          <w:vertAlign w:val="superscript"/>
        </w:rPr>
        <w:t>o</w:t>
      </w:r>
      <w:r>
        <w:t xml:space="preserve"> 237/2003, </w:t>
      </w:r>
      <w:r w:rsidRPr="0065127E">
        <w:rPr>
          <w:i/>
        </w:rPr>
        <w:t>M.</w:t>
      </w:r>
      <w:r>
        <w:rPr>
          <w:i/>
        </w:rPr>
        <w:t> </w:t>
      </w:r>
      <w:r w:rsidRPr="0065127E">
        <w:rPr>
          <w:i/>
        </w:rPr>
        <w:t>C.</w:t>
      </w:r>
      <w:r>
        <w:rPr>
          <w:i/>
        </w:rPr>
        <w:t> </w:t>
      </w:r>
      <w:r w:rsidRPr="0065127E">
        <w:rPr>
          <w:i/>
        </w:rPr>
        <w:t>M.</w:t>
      </w:r>
      <w:r>
        <w:rPr>
          <w:i/>
        </w:rPr>
        <w:t> </w:t>
      </w:r>
      <w:r w:rsidRPr="0065127E">
        <w:rPr>
          <w:i/>
        </w:rPr>
        <w:t>V.</w:t>
      </w:r>
      <w:r>
        <w:rPr>
          <w:i/>
        </w:rPr>
        <w:t> </w:t>
      </w:r>
      <w:r w:rsidRPr="0065127E">
        <w:rPr>
          <w:i/>
        </w:rPr>
        <w:t>F.</w:t>
      </w:r>
      <w:r>
        <w:t xml:space="preserve"> c. </w:t>
      </w:r>
      <w:r w:rsidRPr="0065127E">
        <w:rPr>
          <w:i/>
        </w:rPr>
        <w:t>Suède</w:t>
      </w:r>
      <w:r>
        <w:t>, décision adoptée le 12 </w:t>
      </w:r>
      <w:r w:rsidRPr="00F441F5">
        <w:t>dé</w:t>
      </w:r>
      <w:r>
        <w:t>cembre 2015, par. </w:t>
      </w:r>
      <w:r w:rsidRPr="00F441F5">
        <w:t>6.4</w:t>
      </w:r>
      <w:r>
        <w:t>.</w:t>
      </w:r>
    </w:p>
  </w:footnote>
  <w:footnote w:id="10">
    <w:p w:rsidR="00D31389" w:rsidRDefault="00D31389" w:rsidP="00C96F26">
      <w:pPr>
        <w:pStyle w:val="Notedebasdepage"/>
      </w:pPr>
      <w:r>
        <w:tab/>
      </w:r>
      <w:r w:rsidRPr="00C96F26">
        <w:rPr>
          <w:rStyle w:val="Appelnotedebasdep"/>
        </w:rPr>
        <w:footnoteRef/>
      </w:r>
      <w:r>
        <w:tab/>
        <w:t xml:space="preserve">Voir communication </w:t>
      </w:r>
      <w:r>
        <w:rPr>
          <w:rFonts w:eastAsia="MS Mincho"/>
        </w:rPr>
        <w:t>n</w:t>
      </w:r>
      <w:r>
        <w:rPr>
          <w:rFonts w:eastAsia="MS Mincho"/>
          <w:vertAlign w:val="superscript"/>
        </w:rPr>
        <w:t>o</w:t>
      </w:r>
      <w:r>
        <w:t xml:space="preserve"> 464/2011, </w:t>
      </w:r>
      <w:r w:rsidRPr="0065127E">
        <w:rPr>
          <w:i/>
        </w:rPr>
        <w:t>K.</w:t>
      </w:r>
      <w:r>
        <w:rPr>
          <w:i/>
        </w:rPr>
        <w:t> </w:t>
      </w:r>
      <w:r w:rsidRPr="0065127E">
        <w:rPr>
          <w:i/>
        </w:rPr>
        <w:t>H.</w:t>
      </w:r>
      <w:r>
        <w:t xml:space="preserve"> c. </w:t>
      </w:r>
      <w:r w:rsidRPr="0065127E">
        <w:rPr>
          <w:i/>
        </w:rPr>
        <w:t>Danemark</w:t>
      </w:r>
      <w:r>
        <w:t>, décision adoptée le 23 novembre 2012.</w:t>
      </w:r>
    </w:p>
  </w:footnote>
  <w:footnote w:id="11">
    <w:p w:rsidR="00D31389" w:rsidRDefault="00D31389" w:rsidP="00C96F26">
      <w:pPr>
        <w:pStyle w:val="Notedebasdepage"/>
      </w:pPr>
      <w:r>
        <w:tab/>
      </w:r>
      <w:r w:rsidRPr="00C96F26">
        <w:rPr>
          <w:rStyle w:val="Appelnotedebasdep"/>
        </w:rPr>
        <w:footnoteRef/>
      </w:r>
      <w:r>
        <w:tab/>
        <w:t xml:space="preserve">Disponible à l’adresse suivante : </w:t>
      </w:r>
      <w:r w:rsidRPr="0065127E">
        <w:t>http://www.state.gov/j/drl/rls/irf/religiousfreedom/</w:t>
      </w:r>
      <w:r>
        <w:t xml:space="preserve"> </w:t>
      </w:r>
      <w:proofErr w:type="spellStart"/>
      <w:r w:rsidRPr="0065127E">
        <w:t>index.htm?year</w:t>
      </w:r>
      <w:proofErr w:type="spellEnd"/>
      <w:r w:rsidRPr="0065127E">
        <w:t>=2012&amp;dlid=208200</w:t>
      </w:r>
      <w:r>
        <w:t>.</w:t>
      </w:r>
    </w:p>
  </w:footnote>
  <w:footnote w:id="12">
    <w:p w:rsidR="00D31389" w:rsidRDefault="00D31389">
      <w:pPr>
        <w:pStyle w:val="Notedebasdepage"/>
      </w:pPr>
      <w:r>
        <w:tab/>
      </w:r>
      <w:r>
        <w:rPr>
          <w:rStyle w:val="Appelnotedebasdep"/>
        </w:rPr>
        <w:footnoteRef/>
      </w:r>
      <w:r>
        <w:tab/>
        <w:t xml:space="preserve">Voir Cour européenne des droits de l’homme, </w:t>
      </w:r>
      <w:r w:rsidRPr="00DD4DD7">
        <w:rPr>
          <w:i/>
        </w:rPr>
        <w:t>R. C.</w:t>
      </w:r>
      <w:r>
        <w:t xml:space="preserve"> c. </w:t>
      </w:r>
      <w:r w:rsidRPr="00DD4DD7">
        <w:rPr>
          <w:i/>
        </w:rPr>
        <w:t xml:space="preserve">Suède </w:t>
      </w:r>
      <w:r>
        <w:t>(</w:t>
      </w:r>
      <w:r w:rsidRPr="00C74A28">
        <w:rPr>
          <w:snapToGrid w:val="0"/>
          <w:spacing w:val="-2"/>
          <w:lang w:val="fr-FR"/>
        </w:rPr>
        <w:t>requête n</w:t>
      </w:r>
      <w:r w:rsidRPr="00C74A28">
        <w:rPr>
          <w:snapToGrid w:val="0"/>
          <w:spacing w:val="-2"/>
          <w:vertAlign w:val="superscript"/>
          <w:lang w:val="fr-FR"/>
        </w:rPr>
        <w:t>o</w:t>
      </w:r>
      <w:r w:rsidRPr="00C74A28">
        <w:rPr>
          <w:snapToGrid w:val="0"/>
          <w:spacing w:val="-2"/>
          <w:lang w:val="fr-FR"/>
        </w:rPr>
        <w:t> 41827/07</w:t>
      </w:r>
      <w:r>
        <w:rPr>
          <w:snapToGrid w:val="0"/>
          <w:spacing w:val="-2"/>
          <w:lang w:val="fr-FR"/>
        </w:rPr>
        <w:t>)</w:t>
      </w:r>
      <w:r w:rsidRPr="00C74A28">
        <w:rPr>
          <w:snapToGrid w:val="0"/>
          <w:spacing w:val="-2"/>
          <w:lang w:val="fr-FR"/>
        </w:rPr>
        <w:t>,</w:t>
      </w:r>
      <w:r>
        <w:rPr>
          <w:snapToGrid w:val="0"/>
          <w:spacing w:val="-2"/>
          <w:lang w:val="fr-FR"/>
        </w:rPr>
        <w:t xml:space="preserve"> arrêt du 9 mars 2010,</w:t>
      </w:r>
      <w:r w:rsidRPr="00C74A28">
        <w:rPr>
          <w:snapToGrid w:val="0"/>
          <w:spacing w:val="-2"/>
          <w:lang w:val="fr-FR"/>
        </w:rPr>
        <w:t xml:space="preserve"> par. 52</w:t>
      </w:r>
      <w:r>
        <w:rPr>
          <w:snapToGrid w:val="0"/>
          <w:spacing w:val="-2"/>
          <w:lang w:val="fr-FR"/>
        </w:rPr>
        <w:t xml:space="preserve">. </w:t>
      </w:r>
      <w:r>
        <w:t>Il est</w:t>
      </w:r>
      <w:r w:rsidRPr="00F441F5">
        <w:t xml:space="preserve"> également </w:t>
      </w:r>
      <w:r>
        <w:t xml:space="preserve">fait référence </w:t>
      </w:r>
      <w:r w:rsidRPr="00F441F5">
        <w:t>à l’arrêt</w:t>
      </w:r>
      <w:r>
        <w:t xml:space="preserve"> de</w:t>
      </w:r>
      <w:r w:rsidRPr="00F441F5">
        <w:t xml:space="preserve"> la Cour euro</w:t>
      </w:r>
      <w:r>
        <w:t xml:space="preserve">péenne des droits de l’homme </w:t>
      </w:r>
      <w:r w:rsidRPr="00F441F5">
        <w:t xml:space="preserve">dans l’affaire </w:t>
      </w:r>
      <w:r w:rsidRPr="00F441F5">
        <w:rPr>
          <w:i/>
          <w:iCs/>
        </w:rPr>
        <w:t>M.</w:t>
      </w:r>
      <w:r>
        <w:rPr>
          <w:i/>
          <w:iCs/>
        </w:rPr>
        <w:t> </w:t>
      </w:r>
      <w:r w:rsidRPr="00F441F5">
        <w:rPr>
          <w:i/>
          <w:iCs/>
        </w:rPr>
        <w:t xml:space="preserve">E. </w:t>
      </w:r>
      <w:r w:rsidRPr="00CC0888">
        <w:rPr>
          <w:iCs/>
        </w:rPr>
        <w:t>c.</w:t>
      </w:r>
      <w:r>
        <w:rPr>
          <w:i/>
          <w:iCs/>
        </w:rPr>
        <w:t> </w:t>
      </w:r>
      <w:r w:rsidRPr="00F441F5">
        <w:rPr>
          <w:i/>
          <w:iCs/>
        </w:rPr>
        <w:t xml:space="preserve">Suède </w:t>
      </w:r>
      <w:r w:rsidRPr="00F441F5">
        <w:t xml:space="preserve">(requête </w:t>
      </w:r>
      <w:r w:rsidRPr="00F441F5">
        <w:rPr>
          <w:snapToGrid w:val="0"/>
        </w:rPr>
        <w:t>n</w:t>
      </w:r>
      <w:r w:rsidRPr="00F441F5">
        <w:rPr>
          <w:snapToGrid w:val="0"/>
          <w:vertAlign w:val="superscript"/>
        </w:rPr>
        <w:t>o</w:t>
      </w:r>
      <w:r w:rsidRPr="00F441F5">
        <w:rPr>
          <w:snapToGrid w:val="0"/>
        </w:rPr>
        <w:t> </w:t>
      </w:r>
      <w:r w:rsidRPr="00F441F5">
        <w:t>71398/12)</w:t>
      </w:r>
      <w:r>
        <w:t xml:space="preserve"> arrêt du </w:t>
      </w:r>
      <w:r w:rsidRPr="00F441F5">
        <w:t>26 juin 2014</w:t>
      </w:r>
      <w:r>
        <w:t>, par. 78.</w:t>
      </w:r>
    </w:p>
  </w:footnote>
  <w:footnote w:id="13">
    <w:p w:rsidR="00D31389" w:rsidRDefault="00D31389">
      <w:pPr>
        <w:pStyle w:val="Notedebasdepage"/>
      </w:pPr>
      <w:r>
        <w:tab/>
      </w:r>
      <w:r>
        <w:rPr>
          <w:rStyle w:val="Appelnotedebasdep"/>
        </w:rPr>
        <w:footnoteRef/>
      </w:r>
      <w:r>
        <w:tab/>
      </w:r>
      <w:r w:rsidRPr="00F441F5">
        <w:t>Voir</w:t>
      </w:r>
      <w:r>
        <w:t xml:space="preserve"> par exemple</w:t>
      </w:r>
      <w:r w:rsidRPr="00F441F5">
        <w:rPr>
          <w:i/>
          <w:iCs/>
        </w:rPr>
        <w:t xml:space="preserve"> Otman </w:t>
      </w:r>
      <w:r w:rsidRPr="00CC0888">
        <w:rPr>
          <w:iCs/>
        </w:rPr>
        <w:t>c.</w:t>
      </w:r>
      <w:r>
        <w:rPr>
          <w:i/>
          <w:iCs/>
        </w:rPr>
        <w:t> </w:t>
      </w:r>
      <w:r w:rsidRPr="00F441F5">
        <w:rPr>
          <w:i/>
          <w:iCs/>
        </w:rPr>
        <w:t>Danemark</w:t>
      </w:r>
      <w:r w:rsidRPr="00F441F5">
        <w:t>, par. 6.5.</w:t>
      </w:r>
    </w:p>
  </w:footnote>
  <w:footnote w:id="14">
    <w:p w:rsidR="00D31389" w:rsidRDefault="00D31389" w:rsidP="00C96F26">
      <w:pPr>
        <w:pStyle w:val="Notedebasdepage"/>
      </w:pPr>
      <w:r>
        <w:tab/>
      </w:r>
      <w:r w:rsidRPr="00C96F26">
        <w:rPr>
          <w:rStyle w:val="Appelnotedebasdep"/>
        </w:rPr>
        <w:footnoteRef/>
      </w:r>
      <w:r>
        <w:tab/>
        <w:t xml:space="preserve">Voir communication </w:t>
      </w:r>
      <w:r>
        <w:rPr>
          <w:rFonts w:eastAsia="MS Mincho"/>
        </w:rPr>
        <w:t>n</w:t>
      </w:r>
      <w:r>
        <w:rPr>
          <w:rFonts w:eastAsia="MS Mincho"/>
          <w:vertAlign w:val="superscript"/>
        </w:rPr>
        <w:t>o</w:t>
      </w:r>
      <w:r>
        <w:t xml:space="preserve"> 339/2008, </w:t>
      </w:r>
      <w:proofErr w:type="spellStart"/>
      <w:r w:rsidRPr="0065127E">
        <w:rPr>
          <w:i/>
        </w:rPr>
        <w:t>Amini</w:t>
      </w:r>
      <w:proofErr w:type="spellEnd"/>
      <w:r>
        <w:t xml:space="preserve"> c. </w:t>
      </w:r>
      <w:r w:rsidRPr="0065127E">
        <w:rPr>
          <w:i/>
        </w:rPr>
        <w:t>Danemark</w:t>
      </w:r>
      <w:r>
        <w:t>, décision a</w:t>
      </w:r>
      <w:r w:rsidRPr="00F441F5">
        <w:t>doptée le 15 novembre 2010</w:t>
      </w:r>
      <w:r>
        <w:t>, par. 9.8 et 9.9.</w:t>
      </w:r>
    </w:p>
  </w:footnote>
  <w:footnote w:id="15">
    <w:p w:rsidR="00D31389" w:rsidRDefault="00D31389">
      <w:pPr>
        <w:pStyle w:val="Notedebasdepage"/>
      </w:pPr>
      <w:r>
        <w:tab/>
      </w:r>
      <w:r>
        <w:rPr>
          <w:rStyle w:val="Appelnotedebasdep"/>
        </w:rPr>
        <w:footnoteRef/>
      </w:r>
      <w:r>
        <w:tab/>
      </w:r>
      <w:r w:rsidRPr="00F441F5">
        <w:t xml:space="preserve">Dossier </w:t>
      </w:r>
      <w:r w:rsidRPr="00F441F5">
        <w:rPr>
          <w:snapToGrid w:val="0"/>
        </w:rPr>
        <w:t>n</w:t>
      </w:r>
      <w:r w:rsidRPr="00F441F5">
        <w:rPr>
          <w:snapToGrid w:val="0"/>
          <w:vertAlign w:val="superscript"/>
        </w:rPr>
        <w:t>o</w:t>
      </w:r>
      <w:r w:rsidRPr="00F441F5">
        <w:t> 1</w:t>
      </w:r>
      <w:r>
        <w:noBreakHyphen/>
      </w:r>
      <w:r w:rsidRPr="00F441F5">
        <w:t>30</w:t>
      </w:r>
      <w:r>
        <w:noBreakHyphen/>
      </w:r>
      <w:r w:rsidRPr="00F441F5">
        <w:t xml:space="preserve">449.774, </w:t>
      </w:r>
      <w:r>
        <w:t xml:space="preserve">le requérant n’a pas joint de </w:t>
      </w:r>
      <w:r w:rsidRPr="00F441F5">
        <w:t>copie</w:t>
      </w:r>
      <w:r>
        <w:t>.</w:t>
      </w:r>
    </w:p>
  </w:footnote>
  <w:footnote w:id="16">
    <w:p w:rsidR="00D31389" w:rsidRDefault="00D31389">
      <w:pPr>
        <w:pStyle w:val="Notedebasdepage"/>
      </w:pPr>
      <w:r>
        <w:tab/>
      </w:r>
      <w:r>
        <w:rPr>
          <w:rStyle w:val="Appelnotedebasdep"/>
        </w:rPr>
        <w:footnoteRef/>
      </w:r>
      <w:r>
        <w:tab/>
        <w:t xml:space="preserve">Voir communication </w:t>
      </w:r>
      <w:r>
        <w:rPr>
          <w:rFonts w:eastAsia="MS Mincho"/>
        </w:rPr>
        <w:t>n</w:t>
      </w:r>
      <w:r>
        <w:rPr>
          <w:rFonts w:eastAsia="MS Mincho"/>
          <w:vertAlign w:val="superscript"/>
        </w:rPr>
        <w:t>o</w:t>
      </w:r>
      <w:r>
        <w:t xml:space="preserve"> 63/1997, </w:t>
      </w:r>
      <w:proofErr w:type="spellStart"/>
      <w:r w:rsidRPr="0065127E">
        <w:rPr>
          <w:i/>
        </w:rPr>
        <w:t>Arana</w:t>
      </w:r>
      <w:proofErr w:type="spellEnd"/>
      <w:r>
        <w:t xml:space="preserve"> c. </w:t>
      </w:r>
      <w:r w:rsidRPr="0065127E">
        <w:rPr>
          <w:i/>
        </w:rPr>
        <w:t>France</w:t>
      </w:r>
      <w:r>
        <w:t xml:space="preserve">, constatations </w:t>
      </w:r>
      <w:r w:rsidRPr="00F441F5">
        <w:t>adoptée</w:t>
      </w:r>
      <w:r>
        <w:t>s</w:t>
      </w:r>
      <w:r w:rsidRPr="00F441F5">
        <w:t xml:space="preserve"> le 9 novembre 1999</w:t>
      </w:r>
      <w:r>
        <w:t>.</w:t>
      </w:r>
    </w:p>
  </w:footnote>
  <w:footnote w:id="17">
    <w:p w:rsidR="00D31389" w:rsidRDefault="00D31389">
      <w:pPr>
        <w:pStyle w:val="Notedebasdepage"/>
      </w:pPr>
      <w:r>
        <w:tab/>
      </w:r>
      <w:r>
        <w:rPr>
          <w:rStyle w:val="Appelnotedebasdep"/>
        </w:rPr>
        <w:footnoteRef/>
      </w:r>
      <w:r>
        <w:tab/>
        <w:t xml:space="preserve">Voir communication </w:t>
      </w:r>
      <w:r>
        <w:rPr>
          <w:rFonts w:eastAsia="MS Mincho"/>
        </w:rPr>
        <w:t>n</w:t>
      </w:r>
      <w:r>
        <w:rPr>
          <w:rFonts w:eastAsia="MS Mincho"/>
          <w:vertAlign w:val="superscript"/>
        </w:rPr>
        <w:t>o</w:t>
      </w:r>
      <w:r>
        <w:t xml:space="preserve"> 233/2003, </w:t>
      </w:r>
      <w:proofErr w:type="spellStart"/>
      <w:r w:rsidRPr="0065127E">
        <w:rPr>
          <w:i/>
        </w:rPr>
        <w:t>Agiza</w:t>
      </w:r>
      <w:proofErr w:type="spellEnd"/>
      <w:r>
        <w:t xml:space="preserve"> c. </w:t>
      </w:r>
      <w:r w:rsidRPr="0065127E">
        <w:rPr>
          <w:i/>
        </w:rPr>
        <w:t>Suède</w:t>
      </w:r>
      <w:r>
        <w:t>, décision adoptée le 20 </w:t>
      </w:r>
      <w:r w:rsidRPr="00F441F5">
        <w:t>mai 2005</w:t>
      </w:r>
      <w:r>
        <w:t>, par. 13.7.</w:t>
      </w:r>
    </w:p>
  </w:footnote>
  <w:footnote w:id="18">
    <w:p w:rsidR="00D31389" w:rsidRDefault="00D31389">
      <w:pPr>
        <w:pStyle w:val="Notedebasdepage"/>
      </w:pPr>
      <w:r>
        <w:tab/>
      </w:r>
      <w:r>
        <w:rPr>
          <w:rStyle w:val="Appelnotedebasdep"/>
        </w:rPr>
        <w:footnoteRef/>
      </w:r>
      <w:r>
        <w:tab/>
        <w:t xml:space="preserve">Voir communication </w:t>
      </w:r>
      <w:r>
        <w:rPr>
          <w:rFonts w:eastAsia="MS Mincho"/>
        </w:rPr>
        <w:t>n</w:t>
      </w:r>
      <w:r>
        <w:rPr>
          <w:rFonts w:eastAsia="MS Mincho"/>
          <w:vertAlign w:val="superscript"/>
        </w:rPr>
        <w:t>o</w:t>
      </w:r>
      <w:r>
        <w:t xml:space="preserve"> 416/2010, </w:t>
      </w:r>
      <w:r w:rsidRPr="0065127E">
        <w:rPr>
          <w:i/>
        </w:rPr>
        <w:t>Chung</w:t>
      </w:r>
      <w:r>
        <w:t xml:space="preserve"> </w:t>
      </w:r>
      <w:proofErr w:type="spellStart"/>
      <w:r w:rsidRPr="0065127E">
        <w:rPr>
          <w:i/>
        </w:rPr>
        <w:t>Rong</w:t>
      </w:r>
      <w:proofErr w:type="spellEnd"/>
      <w:r>
        <w:t xml:space="preserve"> c. </w:t>
      </w:r>
      <w:r w:rsidRPr="0065127E">
        <w:rPr>
          <w:i/>
        </w:rPr>
        <w:t>Australie</w:t>
      </w:r>
      <w:r>
        <w:t>, d</w:t>
      </w:r>
      <w:r w:rsidRPr="00F441F5">
        <w:rPr>
          <w:lang w:eastAsia="ar-SA"/>
        </w:rPr>
        <w:t xml:space="preserve">écision adoptée le </w:t>
      </w:r>
      <w:r>
        <w:rPr>
          <w:lang w:eastAsia="ar-SA"/>
        </w:rPr>
        <w:t>5 novembre 2012.</w:t>
      </w:r>
    </w:p>
  </w:footnote>
  <w:footnote w:id="19">
    <w:p w:rsidR="00D31389" w:rsidRDefault="00D31389" w:rsidP="00C96F26">
      <w:pPr>
        <w:pStyle w:val="Notedebasdepage"/>
      </w:pPr>
      <w:r>
        <w:tab/>
      </w:r>
      <w:r w:rsidRPr="00C96F26">
        <w:rPr>
          <w:rStyle w:val="Appelnotedebasdep"/>
        </w:rPr>
        <w:footnoteRef/>
      </w:r>
      <w:r>
        <w:tab/>
        <w:t xml:space="preserve">Voir Cour européenne des droits de l’homme, </w:t>
      </w:r>
      <w:r w:rsidRPr="0065127E">
        <w:rPr>
          <w:i/>
        </w:rPr>
        <w:t>A.</w:t>
      </w:r>
      <w:r>
        <w:rPr>
          <w:i/>
        </w:rPr>
        <w:t> </w:t>
      </w:r>
      <w:r w:rsidRPr="0065127E">
        <w:rPr>
          <w:i/>
        </w:rPr>
        <w:t>A</w:t>
      </w:r>
      <w:r>
        <w:t xml:space="preserve">. c. </w:t>
      </w:r>
      <w:r w:rsidRPr="0065127E">
        <w:rPr>
          <w:i/>
        </w:rPr>
        <w:t>France</w:t>
      </w:r>
      <w:r>
        <w:t xml:space="preserve"> (requête </w:t>
      </w:r>
      <w:r>
        <w:rPr>
          <w:rFonts w:eastAsia="MS Mincho"/>
        </w:rPr>
        <w:t>n</w:t>
      </w:r>
      <w:r>
        <w:rPr>
          <w:rFonts w:eastAsia="MS Mincho"/>
          <w:vertAlign w:val="superscript"/>
        </w:rPr>
        <w:t>o</w:t>
      </w:r>
      <w:r>
        <w:t xml:space="preserve"> 18039/11), arrêt du 15 avril 2015 ; </w:t>
      </w:r>
      <w:r w:rsidRPr="0065127E">
        <w:rPr>
          <w:i/>
        </w:rPr>
        <w:t>A.</w:t>
      </w:r>
      <w:r>
        <w:rPr>
          <w:i/>
        </w:rPr>
        <w:t> </w:t>
      </w:r>
      <w:r w:rsidRPr="0065127E">
        <w:rPr>
          <w:i/>
        </w:rPr>
        <w:t>F.</w:t>
      </w:r>
      <w:r>
        <w:t xml:space="preserve"> c. </w:t>
      </w:r>
      <w:r w:rsidRPr="0065127E">
        <w:rPr>
          <w:i/>
        </w:rPr>
        <w:t>France</w:t>
      </w:r>
      <w:r>
        <w:t xml:space="preserve"> (requête </w:t>
      </w:r>
      <w:r>
        <w:rPr>
          <w:rFonts w:eastAsia="MS Mincho"/>
        </w:rPr>
        <w:t>n</w:t>
      </w:r>
      <w:r>
        <w:rPr>
          <w:rFonts w:eastAsia="MS Mincho"/>
          <w:vertAlign w:val="superscript"/>
        </w:rPr>
        <w:t>o</w:t>
      </w:r>
      <w:r>
        <w:t> 80086/13), arrêt du 15 avril 2015.</w:t>
      </w:r>
    </w:p>
  </w:footnote>
  <w:footnote w:id="20">
    <w:p w:rsidR="00D31389" w:rsidRDefault="00D31389">
      <w:pPr>
        <w:pStyle w:val="Notedebasdepage"/>
      </w:pPr>
      <w:r>
        <w:tab/>
      </w:r>
      <w:r>
        <w:rPr>
          <w:rStyle w:val="Appelnotedebasdep"/>
        </w:rPr>
        <w:footnoteRef/>
      </w:r>
      <w:r>
        <w:tab/>
      </w:r>
      <w:r w:rsidRPr="00F441F5">
        <w:t>Voir le communiqué de presse du Greffe de la Cour</w:t>
      </w:r>
      <w:r>
        <w:t xml:space="preserve"> </w:t>
      </w:r>
      <w:r w:rsidRPr="00F441F5">
        <w:t>du 15 janvier 2015</w:t>
      </w:r>
      <w:r>
        <w:t> :</w:t>
      </w:r>
      <w:r w:rsidRPr="00F441F5">
        <w:t xml:space="preserve"> « Un renvoi de deux ressortissants soudanais résidant en France vers leur pays d’origine constituerait une violation de la Convention</w:t>
      </w:r>
      <w:r>
        <w:t>.</w:t>
      </w:r>
      <w:r w:rsidRPr="00F441F5">
        <w:t> »</w:t>
      </w:r>
      <w:r>
        <w:t>.</w:t>
      </w:r>
    </w:p>
  </w:footnote>
  <w:footnote w:id="21">
    <w:p w:rsidR="00D31389" w:rsidRDefault="00D31389">
      <w:pPr>
        <w:pStyle w:val="Notedebasdepage"/>
      </w:pPr>
      <w:r>
        <w:tab/>
      </w:r>
      <w:r>
        <w:rPr>
          <w:rStyle w:val="Appelnotedebasdep"/>
        </w:rPr>
        <w:footnoteRef/>
      </w:r>
      <w:r>
        <w:tab/>
        <w:t xml:space="preserve">Voir communication </w:t>
      </w:r>
      <w:r>
        <w:rPr>
          <w:rFonts w:eastAsia="MS Mincho"/>
        </w:rPr>
        <w:t>n</w:t>
      </w:r>
      <w:r>
        <w:rPr>
          <w:rFonts w:eastAsia="MS Mincho"/>
          <w:vertAlign w:val="superscript"/>
        </w:rPr>
        <w:t>o</w:t>
      </w:r>
      <w:r>
        <w:t xml:space="preserve"> 565/2013, </w:t>
      </w:r>
      <w:r w:rsidRPr="00DD4DD7">
        <w:rPr>
          <w:i/>
        </w:rPr>
        <w:t>S. A. P.</w:t>
      </w:r>
      <w:r>
        <w:t xml:space="preserve"> c. </w:t>
      </w:r>
      <w:r w:rsidRPr="00DD4DD7">
        <w:rPr>
          <w:i/>
        </w:rPr>
        <w:t>Suisse</w:t>
      </w:r>
      <w:r>
        <w:t>, d</w:t>
      </w:r>
      <w:r w:rsidRPr="00F441F5">
        <w:t xml:space="preserve">écision adoptée le </w:t>
      </w:r>
      <w:r w:rsidRPr="00F441F5">
        <w:rPr>
          <w:color w:val="000000"/>
        </w:rPr>
        <w:t>25 novembre 2015, par. 7.4</w:t>
      </w:r>
      <w:r>
        <w:rPr>
          <w:color w:val="000000"/>
        </w:rPr>
        <w:t>.</w:t>
      </w:r>
    </w:p>
  </w:footnote>
  <w:footnote w:id="22">
    <w:p w:rsidR="00D31389" w:rsidRDefault="00D31389">
      <w:pPr>
        <w:pStyle w:val="Notedebasdepage"/>
      </w:pPr>
      <w:r>
        <w:tab/>
      </w:r>
      <w:r>
        <w:rPr>
          <w:rStyle w:val="Appelnotedebasdep"/>
        </w:rPr>
        <w:footnoteRef/>
      </w:r>
      <w:r>
        <w:tab/>
        <w:t xml:space="preserve">Voir communication </w:t>
      </w:r>
      <w:r>
        <w:rPr>
          <w:rFonts w:eastAsia="MS Mincho"/>
        </w:rPr>
        <w:t>n</w:t>
      </w:r>
      <w:r>
        <w:rPr>
          <w:rFonts w:eastAsia="MS Mincho"/>
          <w:vertAlign w:val="superscript"/>
        </w:rPr>
        <w:t>o</w:t>
      </w:r>
      <w:r>
        <w:t xml:space="preserve"> 580/2014, </w:t>
      </w:r>
      <w:r w:rsidRPr="00DD4DD7">
        <w:rPr>
          <w:i/>
        </w:rPr>
        <w:t>F. K.</w:t>
      </w:r>
      <w:r>
        <w:t xml:space="preserve"> c. </w:t>
      </w:r>
      <w:r w:rsidRPr="00DD4DD7">
        <w:rPr>
          <w:i/>
        </w:rPr>
        <w:t>Danemark</w:t>
      </w:r>
      <w:r>
        <w:t>, décision a</w:t>
      </w:r>
      <w:r w:rsidRPr="00F441F5">
        <w:t>doptée le 23 novembre 2015, par. 7.6</w:t>
      </w:r>
      <w:r>
        <w:t>.</w:t>
      </w:r>
    </w:p>
  </w:footnote>
  <w:footnote w:id="23">
    <w:p w:rsidR="00D31389" w:rsidRDefault="00D31389">
      <w:pPr>
        <w:pStyle w:val="Notedebasdepage"/>
      </w:pPr>
      <w:r>
        <w:tab/>
      </w:r>
      <w:r>
        <w:rPr>
          <w:rStyle w:val="Appelnotedebasdep"/>
        </w:rPr>
        <w:footnoteRef/>
      </w:r>
      <w:r>
        <w:tab/>
        <w:t xml:space="preserve">Voir la communication </w:t>
      </w:r>
      <w:r>
        <w:rPr>
          <w:rFonts w:eastAsia="MS Mincho"/>
        </w:rPr>
        <w:t>n</w:t>
      </w:r>
      <w:r>
        <w:rPr>
          <w:rFonts w:eastAsia="MS Mincho"/>
          <w:vertAlign w:val="superscript"/>
        </w:rPr>
        <w:t>o</w:t>
      </w:r>
      <w:r>
        <w:t xml:space="preserve"> 555/2013, </w:t>
      </w:r>
      <w:r w:rsidRPr="0065127E">
        <w:rPr>
          <w:i/>
        </w:rPr>
        <w:t>Z.</w:t>
      </w:r>
      <w:r>
        <w:t xml:space="preserve"> c. </w:t>
      </w:r>
      <w:r w:rsidRPr="0065127E">
        <w:rPr>
          <w:i/>
        </w:rPr>
        <w:t>Danemark</w:t>
      </w:r>
      <w:r>
        <w:t>, décision a</w:t>
      </w:r>
      <w:r w:rsidRPr="00F441F5">
        <w:t>doptée le 10 août 2015</w:t>
      </w:r>
      <w:r>
        <w:t>.</w:t>
      </w:r>
    </w:p>
  </w:footnote>
  <w:footnote w:id="24">
    <w:p w:rsidR="00D31389" w:rsidRDefault="00D31389" w:rsidP="00C96F26">
      <w:pPr>
        <w:pStyle w:val="Notedebasdepage"/>
      </w:pPr>
      <w:r>
        <w:tab/>
      </w:r>
      <w:r w:rsidRPr="00C96F26">
        <w:rPr>
          <w:rStyle w:val="Appelnotedebasdep"/>
        </w:rPr>
        <w:footnoteRef/>
      </w:r>
      <w:r>
        <w:tab/>
        <w:t xml:space="preserve">Voir la communication </w:t>
      </w:r>
      <w:r>
        <w:rPr>
          <w:rFonts w:eastAsia="MS Mincho"/>
        </w:rPr>
        <w:t>n</w:t>
      </w:r>
      <w:r>
        <w:rPr>
          <w:rFonts w:eastAsia="MS Mincho"/>
          <w:vertAlign w:val="superscript"/>
        </w:rPr>
        <w:t>o</w:t>
      </w:r>
      <w:r>
        <w:t xml:space="preserve"> 571/2013, </w:t>
      </w:r>
      <w:r w:rsidRPr="0065127E">
        <w:rPr>
          <w:i/>
        </w:rPr>
        <w:t>M.</w:t>
      </w:r>
      <w:r>
        <w:rPr>
          <w:i/>
        </w:rPr>
        <w:t> </w:t>
      </w:r>
      <w:r w:rsidRPr="0065127E">
        <w:rPr>
          <w:i/>
        </w:rPr>
        <w:t>S.</w:t>
      </w:r>
      <w:r>
        <w:t xml:space="preserve"> c. </w:t>
      </w:r>
      <w:r w:rsidRPr="0065127E">
        <w:rPr>
          <w:i/>
        </w:rPr>
        <w:t>Danemark</w:t>
      </w:r>
      <w:r>
        <w:t>, décision a</w:t>
      </w:r>
      <w:r w:rsidRPr="00F441F5">
        <w:t xml:space="preserve">doptée le </w:t>
      </w:r>
      <w:r>
        <w:t>23 novembre</w:t>
      </w:r>
      <w:r w:rsidRPr="00F441F5">
        <w:t xml:space="preserve"> 2015</w:t>
      </w:r>
      <w:r>
        <w:t>.</w:t>
      </w:r>
    </w:p>
  </w:footnote>
  <w:footnote w:id="25">
    <w:p w:rsidR="00D31389" w:rsidRDefault="00D31389" w:rsidP="00C96F26">
      <w:pPr>
        <w:pStyle w:val="Notedebasdepage"/>
      </w:pPr>
      <w:r>
        <w:tab/>
      </w:r>
      <w:r w:rsidRPr="00C96F26">
        <w:rPr>
          <w:rStyle w:val="Appelnotedebasdep"/>
        </w:rPr>
        <w:footnoteRef/>
      </w:r>
      <w:r>
        <w:tab/>
        <w:t>Voir communication du Comité des droits de l’homme n°</w:t>
      </w:r>
      <w:r w:rsidRPr="0065127E">
        <w:t>2</w:t>
      </w:r>
      <w:r>
        <w:t>272</w:t>
      </w:r>
      <w:r w:rsidRPr="0065127E">
        <w:t>/201</w:t>
      </w:r>
      <w:r>
        <w:t>3</w:t>
      </w:r>
      <w:r w:rsidRPr="0065127E">
        <w:t xml:space="preserve">, </w:t>
      </w:r>
      <w:r>
        <w:rPr>
          <w:i/>
          <w:iCs/>
        </w:rPr>
        <w:t>P. T.</w:t>
      </w:r>
      <w:r w:rsidRPr="0065127E">
        <w:rPr>
          <w:i/>
          <w:iCs/>
        </w:rPr>
        <w:t xml:space="preserve"> </w:t>
      </w:r>
      <w:r w:rsidRPr="0065127E">
        <w:rPr>
          <w:iCs/>
        </w:rPr>
        <w:t>c</w:t>
      </w:r>
      <w:r w:rsidRPr="0065127E">
        <w:rPr>
          <w:i/>
          <w:iCs/>
        </w:rPr>
        <w:t>. D</w:t>
      </w:r>
      <w:r>
        <w:rPr>
          <w:i/>
          <w:iCs/>
        </w:rPr>
        <w:t>a</w:t>
      </w:r>
      <w:r w:rsidRPr="0065127E">
        <w:rPr>
          <w:i/>
          <w:iCs/>
        </w:rPr>
        <w:t>n</w:t>
      </w:r>
      <w:r>
        <w:rPr>
          <w:i/>
          <w:iCs/>
        </w:rPr>
        <w:t>e</w:t>
      </w:r>
      <w:r w:rsidRPr="0065127E">
        <w:rPr>
          <w:i/>
          <w:iCs/>
        </w:rPr>
        <w:t>mark</w:t>
      </w:r>
      <w:r w:rsidRPr="0065127E">
        <w:rPr>
          <w:iCs/>
        </w:rPr>
        <w:t>,</w:t>
      </w:r>
      <w:r>
        <w:rPr>
          <w:iCs/>
        </w:rPr>
        <w:t xml:space="preserve"> constatations adoptées le 1</w:t>
      </w:r>
      <w:r w:rsidRPr="00683FB6">
        <w:rPr>
          <w:iCs/>
          <w:vertAlign w:val="superscript"/>
        </w:rPr>
        <w:t>er</w:t>
      </w:r>
      <w:r>
        <w:rPr>
          <w:iCs/>
        </w:rPr>
        <w:t xml:space="preserve"> avril 2015, par. 7.3.</w:t>
      </w:r>
    </w:p>
  </w:footnote>
  <w:footnote w:id="26">
    <w:p w:rsidR="00D31389" w:rsidRDefault="00D31389" w:rsidP="00C96F26">
      <w:pPr>
        <w:pStyle w:val="Notedebasdepage"/>
      </w:pPr>
      <w:r>
        <w:tab/>
      </w:r>
      <w:r w:rsidRPr="00C96F26">
        <w:rPr>
          <w:rStyle w:val="Appelnotedebasdep"/>
        </w:rPr>
        <w:footnoteRef/>
      </w:r>
      <w:r>
        <w:tab/>
        <w:t>Voir communication du Comité des droits de l’homme n°</w:t>
      </w:r>
      <w:r w:rsidRPr="0065127E">
        <w:t xml:space="preserve">2393/2014, </w:t>
      </w:r>
      <w:r w:rsidRPr="0065127E">
        <w:rPr>
          <w:i/>
          <w:iCs/>
        </w:rPr>
        <w:t>K</w:t>
      </w:r>
      <w:r>
        <w:rPr>
          <w:i/>
          <w:iCs/>
        </w:rPr>
        <w:t>.</w:t>
      </w:r>
      <w:r w:rsidRPr="0065127E">
        <w:rPr>
          <w:i/>
          <w:iCs/>
        </w:rPr>
        <w:t xml:space="preserve"> </w:t>
      </w:r>
      <w:r w:rsidRPr="0065127E">
        <w:rPr>
          <w:iCs/>
        </w:rPr>
        <w:t>c</w:t>
      </w:r>
      <w:r w:rsidRPr="0065127E">
        <w:rPr>
          <w:i/>
          <w:iCs/>
        </w:rPr>
        <w:t>. D</w:t>
      </w:r>
      <w:r>
        <w:rPr>
          <w:i/>
          <w:iCs/>
        </w:rPr>
        <w:t>a</w:t>
      </w:r>
      <w:r w:rsidRPr="0065127E">
        <w:rPr>
          <w:i/>
          <w:iCs/>
        </w:rPr>
        <w:t>n</w:t>
      </w:r>
      <w:r>
        <w:rPr>
          <w:i/>
          <w:iCs/>
        </w:rPr>
        <w:t>e</w:t>
      </w:r>
      <w:r w:rsidRPr="0065127E">
        <w:rPr>
          <w:i/>
          <w:iCs/>
        </w:rPr>
        <w:t>mark</w:t>
      </w:r>
      <w:r w:rsidRPr="0065127E">
        <w:rPr>
          <w:iCs/>
        </w:rPr>
        <w:t>,</w:t>
      </w:r>
      <w:r>
        <w:rPr>
          <w:iCs/>
        </w:rPr>
        <w:t xml:space="preserve"> constatations adoptées le 16 juillet 2015, par. 7.4 et 7.5.</w:t>
      </w:r>
    </w:p>
  </w:footnote>
  <w:footnote w:id="27">
    <w:p w:rsidR="00D31389" w:rsidRDefault="00D31389">
      <w:pPr>
        <w:pStyle w:val="Notedebasdepage"/>
      </w:pPr>
      <w:r>
        <w:tab/>
      </w:r>
      <w:r>
        <w:rPr>
          <w:rStyle w:val="Appelnotedebasdep"/>
        </w:rPr>
        <w:footnoteRef/>
      </w:r>
      <w:r>
        <w:tab/>
        <w:t>Voir communication du Comité des droits de l’homme n°</w:t>
      </w:r>
      <w:r w:rsidRPr="00603F06">
        <w:t>2</w:t>
      </w:r>
      <w:r>
        <w:t>426</w:t>
      </w:r>
      <w:r w:rsidRPr="00603F06">
        <w:t xml:space="preserve">/2014, </w:t>
      </w:r>
      <w:r>
        <w:rPr>
          <w:i/>
          <w:iCs/>
        </w:rPr>
        <w:t>N.</w:t>
      </w:r>
      <w:r w:rsidRPr="00603F06">
        <w:rPr>
          <w:i/>
          <w:iCs/>
        </w:rPr>
        <w:t xml:space="preserve"> </w:t>
      </w:r>
      <w:r>
        <w:rPr>
          <w:iCs/>
        </w:rPr>
        <w:t>c.</w:t>
      </w:r>
      <w:r w:rsidRPr="00603F06">
        <w:rPr>
          <w:i/>
          <w:iCs/>
        </w:rPr>
        <w:t xml:space="preserve"> D</w:t>
      </w:r>
      <w:r>
        <w:rPr>
          <w:i/>
          <w:iCs/>
        </w:rPr>
        <w:t>a</w:t>
      </w:r>
      <w:r w:rsidRPr="00603F06">
        <w:rPr>
          <w:i/>
          <w:iCs/>
        </w:rPr>
        <w:t>n</w:t>
      </w:r>
      <w:r>
        <w:rPr>
          <w:i/>
          <w:iCs/>
        </w:rPr>
        <w:t>e</w:t>
      </w:r>
      <w:r w:rsidRPr="00603F06">
        <w:rPr>
          <w:i/>
          <w:iCs/>
        </w:rPr>
        <w:t>mark</w:t>
      </w:r>
      <w:r w:rsidRPr="00603F06">
        <w:rPr>
          <w:iCs/>
        </w:rPr>
        <w:t>,</w:t>
      </w:r>
      <w:r>
        <w:rPr>
          <w:iCs/>
        </w:rPr>
        <w:t xml:space="preserve"> constatations adoptées le 23 juillet 2015, par. 6.6.</w:t>
      </w:r>
    </w:p>
  </w:footnote>
  <w:footnote w:id="28">
    <w:p w:rsidR="00D31389" w:rsidRDefault="00D31389">
      <w:pPr>
        <w:pStyle w:val="Notedebasdepage"/>
      </w:pPr>
      <w:r>
        <w:tab/>
      </w:r>
      <w:r>
        <w:rPr>
          <w:rStyle w:val="Appelnotedebasdep"/>
        </w:rPr>
        <w:footnoteRef/>
      </w:r>
      <w:r>
        <w:tab/>
      </w:r>
      <w:r w:rsidRPr="00F441F5">
        <w:t xml:space="preserve">L’État partie fournit des données statistiques sur la jurisprudence des autorités danoises de l’immigration qui indiquent notamment les taux d’acceptation des demandes d’asile des </w:t>
      </w:r>
      <w:r>
        <w:t>10</w:t>
      </w:r>
      <w:r w:rsidRPr="00F441F5">
        <w:t xml:space="preserve"> principaux groupes nationaux de demandeurs d’asile sur lesquelles la Commission </w:t>
      </w:r>
      <w:r>
        <w:t xml:space="preserve">de recours pour les réfugiés </w:t>
      </w:r>
      <w:r w:rsidRPr="00F441F5">
        <w:t>a statué entre 2013 et 2015</w:t>
      </w:r>
      <w:r>
        <w:t>.</w:t>
      </w:r>
    </w:p>
  </w:footnote>
  <w:footnote w:id="29">
    <w:p w:rsidR="00D31389" w:rsidRDefault="00D31389">
      <w:pPr>
        <w:pStyle w:val="Notedebasdepage"/>
      </w:pPr>
      <w:r>
        <w:tab/>
      </w:r>
      <w:r>
        <w:rPr>
          <w:rStyle w:val="Appelnotedebasdep"/>
        </w:rPr>
        <w:footnoteRef/>
      </w:r>
      <w:r>
        <w:tab/>
      </w:r>
      <w:r w:rsidRPr="00F441F5">
        <w:t>Voir</w:t>
      </w:r>
      <w:r>
        <w:t xml:space="preserve"> par exemple </w:t>
      </w:r>
      <w:r w:rsidRPr="00F441F5">
        <w:t xml:space="preserve">la communication </w:t>
      </w:r>
      <w:r w:rsidRPr="00F441F5">
        <w:rPr>
          <w:snapToGrid w:val="0"/>
        </w:rPr>
        <w:t>n</w:t>
      </w:r>
      <w:r w:rsidRPr="00F441F5">
        <w:rPr>
          <w:snapToGrid w:val="0"/>
          <w:vertAlign w:val="superscript"/>
        </w:rPr>
        <w:t>o</w:t>
      </w:r>
      <w:r w:rsidRPr="00F441F5">
        <w:rPr>
          <w:snapToGrid w:val="0"/>
        </w:rPr>
        <w:t> </w:t>
      </w:r>
      <w:r w:rsidRPr="00F441F5">
        <w:t xml:space="preserve">308/2006, </w:t>
      </w:r>
      <w:r w:rsidRPr="00F441F5">
        <w:rPr>
          <w:i/>
        </w:rPr>
        <w:t>K.</w:t>
      </w:r>
      <w:r>
        <w:rPr>
          <w:i/>
        </w:rPr>
        <w:t> </w:t>
      </w:r>
      <w:r w:rsidRPr="00F441F5">
        <w:rPr>
          <w:i/>
        </w:rPr>
        <w:t xml:space="preserve">A. </w:t>
      </w:r>
      <w:r>
        <w:rPr>
          <w:i/>
        </w:rPr>
        <w:t xml:space="preserve">et consorts </w:t>
      </w:r>
      <w:r w:rsidRPr="00CC0888">
        <w:t>c.</w:t>
      </w:r>
      <w:r>
        <w:rPr>
          <w:i/>
        </w:rPr>
        <w:t> </w:t>
      </w:r>
      <w:r w:rsidRPr="00F441F5">
        <w:rPr>
          <w:i/>
        </w:rPr>
        <w:t>Suède</w:t>
      </w:r>
      <w:r w:rsidRPr="00F441F5">
        <w:t>, décisi</w:t>
      </w:r>
      <w:r>
        <w:t>on adoptée le 16 novembre </w:t>
      </w:r>
      <w:r w:rsidRPr="00F441F5">
        <w:t>2007, par. 7.2.</w:t>
      </w:r>
    </w:p>
  </w:footnote>
  <w:footnote w:id="30">
    <w:p w:rsidR="00D31389" w:rsidRDefault="00D31389">
      <w:pPr>
        <w:pStyle w:val="Notedebasdepage"/>
      </w:pPr>
      <w:r>
        <w:tab/>
      </w:r>
      <w:r>
        <w:rPr>
          <w:rStyle w:val="Appelnotedebasdep"/>
        </w:rPr>
        <w:footnoteRef/>
      </w:r>
      <w:r>
        <w:tab/>
      </w:r>
      <w:r w:rsidRPr="00F441F5">
        <w:t>CCPR/C/SDN/CO/4,</w:t>
      </w:r>
      <w:r>
        <w:t xml:space="preserve"> </w:t>
      </w:r>
      <w:r w:rsidRPr="00F441F5">
        <w:t>par. 15 à 17.</w:t>
      </w:r>
    </w:p>
  </w:footnote>
  <w:footnote w:id="31">
    <w:p w:rsidR="00D31389" w:rsidRDefault="00D31389">
      <w:pPr>
        <w:pStyle w:val="Notedebasdepage"/>
      </w:pPr>
      <w:r>
        <w:tab/>
      </w:r>
      <w:r>
        <w:rPr>
          <w:rStyle w:val="Appelnotedebasdep"/>
        </w:rPr>
        <w:footnoteRef/>
      </w:r>
      <w:r>
        <w:tab/>
        <w:t>C</w:t>
      </w:r>
      <w:r w:rsidRPr="00F441F5">
        <w:t xml:space="preserve">ommunications </w:t>
      </w:r>
      <w:r w:rsidRPr="008858DD">
        <w:rPr>
          <w:rFonts w:eastAsia="MS Mincho"/>
          <w:snapToGrid w:val="0"/>
          <w:szCs w:val="22"/>
        </w:rPr>
        <w:t>n</w:t>
      </w:r>
      <w:r w:rsidRPr="008858DD">
        <w:rPr>
          <w:rFonts w:eastAsia="MS Mincho"/>
          <w:snapToGrid w:val="0"/>
          <w:szCs w:val="22"/>
          <w:vertAlign w:val="superscript"/>
        </w:rPr>
        <w:t>o</w:t>
      </w:r>
      <w:r>
        <w:rPr>
          <w:snapToGrid w:val="0"/>
        </w:rPr>
        <w:t> </w:t>
      </w:r>
      <w:r w:rsidRPr="00F441F5">
        <w:t xml:space="preserve">282/2005, </w:t>
      </w:r>
      <w:r w:rsidRPr="00F441F5">
        <w:rPr>
          <w:i/>
        </w:rPr>
        <w:t>S.</w:t>
      </w:r>
      <w:r>
        <w:rPr>
          <w:i/>
        </w:rPr>
        <w:t> </w:t>
      </w:r>
      <w:r w:rsidRPr="00F441F5">
        <w:rPr>
          <w:i/>
        </w:rPr>
        <w:t>P.</w:t>
      </w:r>
      <w:r>
        <w:rPr>
          <w:i/>
        </w:rPr>
        <w:t> </w:t>
      </w:r>
      <w:r w:rsidRPr="00F441F5">
        <w:rPr>
          <w:i/>
        </w:rPr>
        <w:t xml:space="preserve">A. </w:t>
      </w:r>
      <w:r w:rsidRPr="00CC0888">
        <w:t>c.</w:t>
      </w:r>
      <w:r>
        <w:rPr>
          <w:i/>
        </w:rPr>
        <w:t> </w:t>
      </w:r>
      <w:r w:rsidRPr="00F441F5">
        <w:rPr>
          <w:i/>
        </w:rPr>
        <w:t>Canada</w:t>
      </w:r>
      <w:r w:rsidRPr="00F441F5">
        <w:t>, décision adoptée le 7 novembre 2006</w:t>
      </w:r>
      <w:r>
        <w:t>,</w:t>
      </w:r>
      <w:r w:rsidRPr="00F441F5">
        <w:t xml:space="preserve"> </w:t>
      </w:r>
      <w:r w:rsidRPr="00F441F5">
        <w:rPr>
          <w:snapToGrid w:val="0"/>
        </w:rPr>
        <w:t>n</w:t>
      </w:r>
      <w:r w:rsidRPr="00F441F5">
        <w:rPr>
          <w:snapToGrid w:val="0"/>
          <w:vertAlign w:val="superscript"/>
        </w:rPr>
        <w:t>o</w:t>
      </w:r>
      <w:r w:rsidRPr="00F441F5">
        <w:rPr>
          <w:snapToGrid w:val="0"/>
        </w:rPr>
        <w:t> </w:t>
      </w:r>
      <w:r w:rsidRPr="00F441F5">
        <w:t xml:space="preserve">333/2007, </w:t>
      </w:r>
      <w:r w:rsidRPr="00F441F5">
        <w:rPr>
          <w:i/>
        </w:rPr>
        <w:t>T.</w:t>
      </w:r>
      <w:r>
        <w:rPr>
          <w:i/>
        </w:rPr>
        <w:t> </w:t>
      </w:r>
      <w:r w:rsidRPr="00F441F5">
        <w:rPr>
          <w:i/>
        </w:rPr>
        <w:t xml:space="preserve">I. </w:t>
      </w:r>
      <w:r w:rsidRPr="00CC0888">
        <w:t>c.</w:t>
      </w:r>
      <w:r>
        <w:rPr>
          <w:i/>
        </w:rPr>
        <w:t> </w:t>
      </w:r>
      <w:r w:rsidRPr="00F441F5">
        <w:rPr>
          <w:i/>
        </w:rPr>
        <w:t>Canada</w:t>
      </w:r>
      <w:r w:rsidRPr="00F441F5">
        <w:t xml:space="preserve">, décision adoptée le 15 novembre 2010 et </w:t>
      </w:r>
      <w:r w:rsidRPr="00F441F5">
        <w:rPr>
          <w:snapToGrid w:val="0"/>
        </w:rPr>
        <w:t>n</w:t>
      </w:r>
      <w:r w:rsidRPr="00F441F5">
        <w:rPr>
          <w:snapToGrid w:val="0"/>
          <w:vertAlign w:val="superscript"/>
        </w:rPr>
        <w:t>o</w:t>
      </w:r>
      <w:r w:rsidRPr="00F441F5">
        <w:rPr>
          <w:snapToGrid w:val="0"/>
        </w:rPr>
        <w:t> </w:t>
      </w:r>
      <w:r w:rsidRPr="00F441F5">
        <w:t xml:space="preserve">344/2008, </w:t>
      </w:r>
      <w:r w:rsidRPr="00F441F5">
        <w:rPr>
          <w:i/>
        </w:rPr>
        <w:t>A.</w:t>
      </w:r>
      <w:r>
        <w:rPr>
          <w:i/>
        </w:rPr>
        <w:t> </w:t>
      </w:r>
      <w:r w:rsidRPr="00F441F5">
        <w:rPr>
          <w:i/>
        </w:rPr>
        <w:t>M.</w:t>
      </w:r>
      <w:r>
        <w:rPr>
          <w:i/>
        </w:rPr>
        <w:t> </w:t>
      </w:r>
      <w:r w:rsidRPr="00F441F5">
        <w:rPr>
          <w:i/>
        </w:rPr>
        <w:t xml:space="preserve">A. </w:t>
      </w:r>
      <w:r w:rsidRPr="00CC0888">
        <w:t>c.</w:t>
      </w:r>
      <w:r w:rsidRPr="00F441F5">
        <w:rPr>
          <w:i/>
        </w:rPr>
        <w:t> Suisse</w:t>
      </w:r>
      <w:r w:rsidRPr="00F441F5">
        <w:t>, décision adoptée le 12 novembre 2010.</w:t>
      </w:r>
    </w:p>
  </w:footnote>
  <w:footnote w:id="32">
    <w:p w:rsidR="00D31389" w:rsidRDefault="00D31389">
      <w:pPr>
        <w:pStyle w:val="Notedebasdepage"/>
      </w:pPr>
      <w:r>
        <w:tab/>
      </w:r>
      <w:r>
        <w:rPr>
          <w:rStyle w:val="Appelnotedebasdep"/>
        </w:rPr>
        <w:footnoteRef/>
      </w:r>
      <w:r>
        <w:tab/>
        <w:t xml:space="preserve">Voir les communications </w:t>
      </w:r>
      <w:r w:rsidRPr="002D76F4">
        <w:rPr>
          <w:rFonts w:eastAsia="MS Mincho"/>
          <w:szCs w:val="22"/>
        </w:rPr>
        <w:t>n</w:t>
      </w:r>
      <w:r w:rsidRPr="002D76F4">
        <w:rPr>
          <w:rFonts w:eastAsia="MS Mincho"/>
          <w:szCs w:val="22"/>
          <w:vertAlign w:val="superscript"/>
        </w:rPr>
        <w:t>o</w:t>
      </w:r>
      <w:r>
        <w:t xml:space="preserve"> 61/1996, </w:t>
      </w:r>
      <w:r>
        <w:rPr>
          <w:i/>
        </w:rPr>
        <w:t>X</w:t>
      </w:r>
      <w:r w:rsidRPr="009E673C">
        <w:t>,</w:t>
      </w:r>
      <w:r>
        <w:rPr>
          <w:i/>
        </w:rPr>
        <w:t xml:space="preserve"> Y et Z </w:t>
      </w:r>
      <w:r w:rsidRPr="00CC0888">
        <w:t>c.</w:t>
      </w:r>
      <w:r>
        <w:rPr>
          <w:i/>
        </w:rPr>
        <w:t> Suède</w:t>
      </w:r>
      <w:r>
        <w:t xml:space="preserve">, constatations adoptées le 6 mai 1998, par. 11.2, et </w:t>
      </w:r>
      <w:r w:rsidRPr="002D76F4">
        <w:rPr>
          <w:rFonts w:eastAsia="MS Mincho"/>
          <w:szCs w:val="22"/>
        </w:rPr>
        <w:t>n</w:t>
      </w:r>
      <w:r w:rsidRPr="002D76F4">
        <w:rPr>
          <w:rFonts w:eastAsia="MS Mincho"/>
          <w:szCs w:val="22"/>
          <w:vertAlign w:val="superscript"/>
        </w:rPr>
        <w:t>o</w:t>
      </w:r>
      <w:r>
        <w:t xml:space="preserve"> 435/2010, </w:t>
      </w:r>
      <w:r>
        <w:rPr>
          <w:i/>
        </w:rPr>
        <w:t xml:space="preserve">G. B. M. </w:t>
      </w:r>
      <w:r w:rsidRPr="00CC0888">
        <w:t>c.</w:t>
      </w:r>
      <w:r>
        <w:rPr>
          <w:i/>
        </w:rPr>
        <w:t> Suède</w:t>
      </w:r>
      <w:r>
        <w:t>, décision adoptée le 14 novembre 2012, par. 7.7.</w:t>
      </w:r>
    </w:p>
  </w:footnote>
  <w:footnote w:id="33">
    <w:p w:rsidR="00D31389" w:rsidRDefault="00D31389" w:rsidP="00C96F26">
      <w:pPr>
        <w:pStyle w:val="Notedebasdepage"/>
      </w:pPr>
      <w:r>
        <w:tab/>
      </w:r>
      <w:r w:rsidRPr="00C96F26">
        <w:rPr>
          <w:rStyle w:val="Appelnotedebasdep"/>
        </w:rPr>
        <w:footnoteRef/>
      </w:r>
      <w:r>
        <w:tab/>
      </w:r>
      <w:r w:rsidRPr="00F706A4">
        <w:t xml:space="preserve">Voir par exemple communications </w:t>
      </w:r>
      <w:r>
        <w:rPr>
          <w:rFonts w:eastAsia="MS Mincho"/>
        </w:rPr>
        <w:t>n</w:t>
      </w:r>
      <w:r>
        <w:rPr>
          <w:rFonts w:eastAsia="MS Mincho"/>
          <w:vertAlign w:val="superscript"/>
        </w:rPr>
        <w:t>o</w:t>
      </w:r>
      <w:r>
        <w:t> </w:t>
      </w:r>
      <w:r w:rsidRPr="00F706A4">
        <w:t xml:space="preserve">61/1996, </w:t>
      </w:r>
      <w:r w:rsidRPr="00F706A4">
        <w:rPr>
          <w:i/>
        </w:rPr>
        <w:t xml:space="preserve">X, Y </w:t>
      </w:r>
      <w:r>
        <w:rPr>
          <w:i/>
        </w:rPr>
        <w:t>et</w:t>
      </w:r>
      <w:r w:rsidRPr="00F706A4">
        <w:rPr>
          <w:i/>
        </w:rPr>
        <w:t xml:space="preserve"> Z </w:t>
      </w:r>
      <w:r w:rsidRPr="00F706A4">
        <w:t>c</w:t>
      </w:r>
      <w:r w:rsidRPr="00F706A4">
        <w:rPr>
          <w:i/>
        </w:rPr>
        <w:t>. Suède</w:t>
      </w:r>
      <w:r w:rsidRPr="00F706A4">
        <w:t>, constatations adoptées le 6 </w:t>
      </w:r>
      <w:r>
        <w:t>m</w:t>
      </w:r>
      <w:r w:rsidRPr="00F706A4">
        <w:t>a</w:t>
      </w:r>
      <w:r>
        <w:t>i</w:t>
      </w:r>
      <w:r w:rsidRPr="00F706A4">
        <w:t xml:space="preserve"> 1998, par. 11.2</w:t>
      </w:r>
      <w:r>
        <w:t xml:space="preserve">, </w:t>
      </w:r>
      <w:r>
        <w:rPr>
          <w:rFonts w:eastAsia="MS Mincho"/>
        </w:rPr>
        <w:t>n</w:t>
      </w:r>
      <w:r>
        <w:rPr>
          <w:rFonts w:eastAsia="MS Mincho"/>
          <w:vertAlign w:val="superscript"/>
        </w:rPr>
        <w:t>o</w:t>
      </w:r>
      <w:r>
        <w:t> </w:t>
      </w:r>
      <w:r w:rsidRPr="00F706A4">
        <w:t xml:space="preserve">435/2010, </w:t>
      </w:r>
      <w:r w:rsidRPr="00F706A4">
        <w:rPr>
          <w:i/>
        </w:rPr>
        <w:t>G.</w:t>
      </w:r>
      <w:r>
        <w:rPr>
          <w:i/>
        </w:rPr>
        <w:t> </w:t>
      </w:r>
      <w:r w:rsidRPr="00F706A4">
        <w:rPr>
          <w:i/>
        </w:rPr>
        <w:t>B.</w:t>
      </w:r>
      <w:r>
        <w:rPr>
          <w:i/>
        </w:rPr>
        <w:t> </w:t>
      </w:r>
      <w:r w:rsidRPr="00F706A4">
        <w:rPr>
          <w:i/>
        </w:rPr>
        <w:t xml:space="preserve">M. </w:t>
      </w:r>
      <w:r w:rsidRPr="00F706A4">
        <w:rPr>
          <w:iCs/>
        </w:rPr>
        <w:t>c</w:t>
      </w:r>
      <w:r w:rsidRPr="00F706A4">
        <w:rPr>
          <w:i/>
          <w:iCs/>
        </w:rPr>
        <w:t>.</w:t>
      </w:r>
      <w:r w:rsidRPr="00F706A4">
        <w:rPr>
          <w:i/>
        </w:rPr>
        <w:t xml:space="preserve"> S</w:t>
      </w:r>
      <w:r>
        <w:rPr>
          <w:i/>
        </w:rPr>
        <w:t>uè</w:t>
      </w:r>
      <w:r w:rsidRPr="00F706A4">
        <w:rPr>
          <w:i/>
        </w:rPr>
        <w:t xml:space="preserve">de, </w:t>
      </w:r>
      <w:r w:rsidRPr="00F706A4">
        <w:t>d</w:t>
      </w:r>
      <w:r>
        <w:t>é</w:t>
      </w:r>
      <w:r w:rsidRPr="00F706A4">
        <w:t>cision adopt</w:t>
      </w:r>
      <w:r>
        <w:t>ée</w:t>
      </w:r>
      <w:r w:rsidRPr="00F706A4">
        <w:t xml:space="preserve"> </w:t>
      </w:r>
      <w:r>
        <w:t>le</w:t>
      </w:r>
      <w:r w:rsidRPr="00F706A4">
        <w:t>14 </w:t>
      </w:r>
      <w:r>
        <w:t>n</w:t>
      </w:r>
      <w:r w:rsidRPr="00F706A4">
        <w:t>ovemb</w:t>
      </w:r>
      <w:r>
        <w:t>re</w:t>
      </w:r>
      <w:r w:rsidRPr="00F706A4">
        <w:t xml:space="preserve"> 2012, par</w:t>
      </w:r>
      <w:r>
        <w:t>.</w:t>
      </w:r>
      <w:r w:rsidRPr="00F706A4">
        <w:t xml:space="preserve"> 7.7, </w:t>
      </w:r>
      <w:r>
        <w:rPr>
          <w:rFonts w:eastAsia="MS Mincho"/>
        </w:rPr>
        <w:t>n</w:t>
      </w:r>
      <w:r>
        <w:rPr>
          <w:rFonts w:eastAsia="MS Mincho"/>
          <w:vertAlign w:val="superscript"/>
        </w:rPr>
        <w:t>o</w:t>
      </w:r>
      <w:r>
        <w:t> </w:t>
      </w:r>
      <w:r w:rsidRPr="00F706A4">
        <w:t xml:space="preserve">458/2011, </w:t>
      </w:r>
      <w:r w:rsidRPr="00F706A4">
        <w:rPr>
          <w:i/>
        </w:rPr>
        <w:t xml:space="preserve">X </w:t>
      </w:r>
      <w:r w:rsidRPr="00F706A4">
        <w:t>c. Danemark, décision adoptée le 28 novembre 2014, par. 9.5.</w:t>
      </w:r>
    </w:p>
  </w:footnote>
  <w:footnote w:id="34">
    <w:p w:rsidR="00D31389" w:rsidRDefault="00D31389" w:rsidP="00C96F26">
      <w:pPr>
        <w:pStyle w:val="Notedebasdepage"/>
      </w:pPr>
      <w:r>
        <w:tab/>
      </w:r>
      <w:r w:rsidRPr="00C96F26">
        <w:rPr>
          <w:rStyle w:val="Appelnotedebasdep"/>
        </w:rPr>
        <w:footnoteRef/>
      </w:r>
      <w:r>
        <w:tab/>
        <w:t>Voir par</w:t>
      </w:r>
      <w:r w:rsidRPr="00F706A4">
        <w:t xml:space="preserve"> ex</w:t>
      </w:r>
      <w:r>
        <w:t>e</w:t>
      </w:r>
      <w:r w:rsidRPr="00F706A4">
        <w:t>mple, communication</w:t>
      </w:r>
      <w:r>
        <w:t>s</w:t>
      </w:r>
      <w:r w:rsidRPr="00F706A4">
        <w:t xml:space="preserve"> </w:t>
      </w:r>
      <w:r>
        <w:rPr>
          <w:rFonts w:eastAsia="MS Mincho"/>
        </w:rPr>
        <w:t>n</w:t>
      </w:r>
      <w:r>
        <w:rPr>
          <w:rFonts w:eastAsia="MS Mincho"/>
          <w:vertAlign w:val="superscript"/>
        </w:rPr>
        <w:t>o</w:t>
      </w:r>
      <w:r>
        <w:t> </w:t>
      </w:r>
      <w:r w:rsidRPr="00F706A4">
        <w:t xml:space="preserve">431/2010, </w:t>
      </w:r>
      <w:r w:rsidRPr="00F706A4">
        <w:rPr>
          <w:i/>
        </w:rPr>
        <w:t xml:space="preserve">Y. </w:t>
      </w:r>
      <w:r w:rsidRPr="00F706A4">
        <w:rPr>
          <w:iCs/>
        </w:rPr>
        <w:t>c</w:t>
      </w:r>
      <w:r w:rsidRPr="00F706A4">
        <w:rPr>
          <w:i/>
          <w:iCs/>
        </w:rPr>
        <w:t>.</w:t>
      </w:r>
      <w:r w:rsidRPr="00F706A4">
        <w:rPr>
          <w:i/>
        </w:rPr>
        <w:t xml:space="preserve"> S</w:t>
      </w:r>
      <w:r>
        <w:rPr>
          <w:i/>
        </w:rPr>
        <w:t>uisse</w:t>
      </w:r>
      <w:r w:rsidRPr="00F706A4">
        <w:t>, d</w:t>
      </w:r>
      <w:r>
        <w:t>é</w:t>
      </w:r>
      <w:r w:rsidRPr="00F706A4">
        <w:t>cision adopt</w:t>
      </w:r>
      <w:r>
        <w:t>é</w:t>
      </w:r>
      <w:r w:rsidRPr="00F706A4">
        <w:t xml:space="preserve">e </w:t>
      </w:r>
      <w:r>
        <w:t>le</w:t>
      </w:r>
      <w:r w:rsidRPr="00F706A4">
        <w:t xml:space="preserve"> 21 </w:t>
      </w:r>
      <w:r>
        <w:t>m</w:t>
      </w:r>
      <w:r w:rsidRPr="00F706A4">
        <w:t>a</w:t>
      </w:r>
      <w:r>
        <w:t>i</w:t>
      </w:r>
      <w:r w:rsidRPr="00F706A4">
        <w:t xml:space="preserve"> 2013, par</w:t>
      </w:r>
      <w:r>
        <w:t>.</w:t>
      </w:r>
      <w:r w:rsidRPr="00F706A4">
        <w:t xml:space="preserve"> 7.7 </w:t>
      </w:r>
      <w:r>
        <w:t>et</w:t>
      </w:r>
      <w:r w:rsidRPr="00F706A4">
        <w:t xml:space="preserve"> </w:t>
      </w:r>
      <w:r>
        <w:rPr>
          <w:rFonts w:eastAsia="MS Mincho"/>
        </w:rPr>
        <w:t>n</w:t>
      </w:r>
      <w:r>
        <w:rPr>
          <w:rFonts w:eastAsia="MS Mincho"/>
          <w:vertAlign w:val="superscript"/>
        </w:rPr>
        <w:t>o</w:t>
      </w:r>
      <w:r>
        <w:t> </w:t>
      </w:r>
      <w:r w:rsidRPr="00F706A4">
        <w:t xml:space="preserve">458/2011, </w:t>
      </w:r>
      <w:r w:rsidRPr="00F706A4">
        <w:rPr>
          <w:i/>
        </w:rPr>
        <w:t xml:space="preserve">X </w:t>
      </w:r>
      <w:r w:rsidRPr="00F706A4">
        <w:t>c</w:t>
      </w:r>
      <w:r>
        <w:rPr>
          <w:i/>
        </w:rPr>
        <w:t>.</w:t>
      </w:r>
      <w:r w:rsidRPr="00F706A4">
        <w:rPr>
          <w:i/>
        </w:rPr>
        <w:t xml:space="preserve"> D</w:t>
      </w:r>
      <w:r>
        <w:rPr>
          <w:i/>
        </w:rPr>
        <w:t>an</w:t>
      </w:r>
      <w:r w:rsidRPr="00F706A4">
        <w:rPr>
          <w:i/>
        </w:rPr>
        <w:t>emark</w:t>
      </w:r>
      <w:r w:rsidRPr="00F706A4">
        <w:t>, d</w:t>
      </w:r>
      <w:r>
        <w:t>é</w:t>
      </w:r>
      <w:r w:rsidRPr="00F706A4">
        <w:t>cision adopt</w:t>
      </w:r>
      <w:r>
        <w:t>é</w:t>
      </w:r>
      <w:r w:rsidRPr="00F706A4">
        <w:t xml:space="preserve">e </w:t>
      </w:r>
      <w:r>
        <w:t>le</w:t>
      </w:r>
      <w:r w:rsidRPr="00F706A4">
        <w:t xml:space="preserve"> 28 </w:t>
      </w:r>
      <w:r>
        <w:t>n</w:t>
      </w:r>
      <w:r w:rsidRPr="00F706A4">
        <w:t>ovemb</w:t>
      </w:r>
      <w:r>
        <w:t>re</w:t>
      </w:r>
      <w:r w:rsidRPr="00F706A4">
        <w:t xml:space="preserve"> 2014, par</w:t>
      </w:r>
      <w:r>
        <w:t>.</w:t>
      </w:r>
      <w:r w:rsidRPr="00F706A4">
        <w:t xml:space="preserve"> 9.5.</w:t>
      </w:r>
    </w:p>
  </w:footnote>
  <w:footnote w:id="35">
    <w:p w:rsidR="00D31389" w:rsidRDefault="00D31389" w:rsidP="00C96F26">
      <w:pPr>
        <w:pStyle w:val="Notedebasdepage"/>
      </w:pPr>
      <w:r>
        <w:tab/>
      </w:r>
      <w:r w:rsidRPr="00C96F26">
        <w:rPr>
          <w:rStyle w:val="Appelnotedebasdep"/>
        </w:rPr>
        <w:footnoteRef/>
      </w:r>
      <w:r>
        <w:tab/>
      </w:r>
      <w:r w:rsidRPr="00F706A4">
        <w:t xml:space="preserve">Voir communications </w:t>
      </w:r>
      <w:r>
        <w:rPr>
          <w:rFonts w:eastAsia="MS Mincho"/>
        </w:rPr>
        <w:t>n</w:t>
      </w:r>
      <w:r>
        <w:rPr>
          <w:rFonts w:eastAsia="MS Mincho"/>
          <w:vertAlign w:val="superscript"/>
        </w:rPr>
        <w:t>o</w:t>
      </w:r>
      <w:r>
        <w:t> </w:t>
      </w:r>
      <w:r w:rsidRPr="00F706A4">
        <w:t xml:space="preserve">298/2006, </w:t>
      </w:r>
      <w:r w:rsidRPr="00F706A4">
        <w:rPr>
          <w:i/>
        </w:rPr>
        <w:t>C</w:t>
      </w:r>
      <w:r>
        <w:rPr>
          <w:i/>
        </w:rPr>
        <w:t>. </w:t>
      </w:r>
      <w:r w:rsidRPr="00F706A4">
        <w:rPr>
          <w:i/>
        </w:rPr>
        <w:t>A</w:t>
      </w:r>
      <w:r>
        <w:rPr>
          <w:i/>
        </w:rPr>
        <w:t>. </w:t>
      </w:r>
      <w:r w:rsidRPr="00F706A4">
        <w:rPr>
          <w:i/>
        </w:rPr>
        <w:t>R</w:t>
      </w:r>
      <w:r>
        <w:rPr>
          <w:i/>
        </w:rPr>
        <w:t>. </w:t>
      </w:r>
      <w:r w:rsidRPr="00F706A4">
        <w:rPr>
          <w:i/>
        </w:rPr>
        <w:t xml:space="preserve">M. et consorts </w:t>
      </w:r>
      <w:r w:rsidRPr="00F706A4">
        <w:t>c</w:t>
      </w:r>
      <w:r w:rsidRPr="00F706A4">
        <w:rPr>
          <w:i/>
        </w:rPr>
        <w:t>. Canada</w:t>
      </w:r>
      <w:r w:rsidRPr="00F706A4">
        <w:t xml:space="preserve">, décision adoptée </w:t>
      </w:r>
      <w:r>
        <w:t>le</w:t>
      </w:r>
      <w:r w:rsidRPr="00F706A4">
        <w:t xml:space="preserve"> 18 </w:t>
      </w:r>
      <w:r>
        <w:t>m</w:t>
      </w:r>
      <w:r w:rsidRPr="00F706A4">
        <w:t>a</w:t>
      </w:r>
      <w:r>
        <w:t>i</w:t>
      </w:r>
      <w:r w:rsidRPr="00F706A4">
        <w:t xml:space="preserve"> 2007, par</w:t>
      </w:r>
      <w:r>
        <w:t>.</w:t>
      </w:r>
      <w:r w:rsidRPr="00F706A4">
        <w:t xml:space="preserve"> 8.10, </w:t>
      </w:r>
      <w:r>
        <w:rPr>
          <w:rFonts w:eastAsia="MS Mincho"/>
        </w:rPr>
        <w:t>n</w:t>
      </w:r>
      <w:r>
        <w:rPr>
          <w:rFonts w:eastAsia="MS Mincho"/>
          <w:vertAlign w:val="superscript"/>
        </w:rPr>
        <w:t>o</w:t>
      </w:r>
      <w:r>
        <w:t> </w:t>
      </w:r>
      <w:r w:rsidRPr="00F706A4">
        <w:t xml:space="preserve">256/2004, </w:t>
      </w:r>
      <w:r w:rsidRPr="00F706A4">
        <w:rPr>
          <w:i/>
        </w:rPr>
        <w:t>M.</w:t>
      </w:r>
      <w:r>
        <w:rPr>
          <w:i/>
        </w:rPr>
        <w:t> </w:t>
      </w:r>
      <w:r w:rsidRPr="00F706A4">
        <w:rPr>
          <w:i/>
        </w:rPr>
        <w:t xml:space="preserve">Z. </w:t>
      </w:r>
      <w:r w:rsidRPr="00F706A4">
        <w:t>c</w:t>
      </w:r>
      <w:r w:rsidRPr="00F706A4">
        <w:rPr>
          <w:i/>
        </w:rPr>
        <w:t>. S</w:t>
      </w:r>
      <w:r>
        <w:rPr>
          <w:i/>
        </w:rPr>
        <w:t>uède</w:t>
      </w:r>
      <w:r w:rsidRPr="00F706A4">
        <w:t>, décision adoptée le 12 mai 2006, par. 9.3</w:t>
      </w:r>
      <w:r>
        <w:t xml:space="preserve">, </w:t>
      </w:r>
      <w:r>
        <w:rPr>
          <w:rFonts w:eastAsia="MS Mincho"/>
        </w:rPr>
        <w:t>n</w:t>
      </w:r>
      <w:r>
        <w:rPr>
          <w:rFonts w:eastAsia="MS Mincho"/>
          <w:vertAlign w:val="superscript"/>
        </w:rPr>
        <w:t>o</w:t>
      </w:r>
      <w:r>
        <w:t> </w:t>
      </w:r>
      <w:r w:rsidRPr="00F706A4">
        <w:t xml:space="preserve">214/2002, </w:t>
      </w:r>
      <w:r w:rsidRPr="00F706A4">
        <w:rPr>
          <w:i/>
        </w:rPr>
        <w:t>M.</w:t>
      </w:r>
      <w:r>
        <w:rPr>
          <w:i/>
        </w:rPr>
        <w:t> </w:t>
      </w:r>
      <w:r w:rsidRPr="00F706A4">
        <w:rPr>
          <w:i/>
        </w:rPr>
        <w:t>A.</w:t>
      </w:r>
      <w:r>
        <w:rPr>
          <w:i/>
        </w:rPr>
        <w:t> </w:t>
      </w:r>
      <w:r w:rsidRPr="00F706A4">
        <w:rPr>
          <w:i/>
        </w:rPr>
        <w:t xml:space="preserve">K. </w:t>
      </w:r>
      <w:r w:rsidRPr="00F706A4">
        <w:t>c</w:t>
      </w:r>
      <w:r w:rsidRPr="00F706A4">
        <w:rPr>
          <w:i/>
        </w:rPr>
        <w:t xml:space="preserve">. </w:t>
      </w:r>
      <w:r>
        <w:rPr>
          <w:i/>
        </w:rPr>
        <w:t>Allemagne</w:t>
      </w:r>
      <w:r w:rsidRPr="00F706A4">
        <w:t>, d</w:t>
      </w:r>
      <w:r>
        <w:t>é</w:t>
      </w:r>
      <w:r w:rsidRPr="00F706A4">
        <w:t>cision adopt</w:t>
      </w:r>
      <w:r>
        <w:t>ée</w:t>
      </w:r>
      <w:r w:rsidRPr="00F706A4">
        <w:t xml:space="preserve"> </w:t>
      </w:r>
      <w:r>
        <w:t>le</w:t>
      </w:r>
      <w:r w:rsidRPr="00F706A4">
        <w:t xml:space="preserve"> 12 </w:t>
      </w:r>
      <w:r>
        <w:t>m</w:t>
      </w:r>
      <w:r w:rsidRPr="00F706A4">
        <w:t>a</w:t>
      </w:r>
      <w:r>
        <w:t>i</w:t>
      </w:r>
      <w:r w:rsidRPr="00F706A4">
        <w:t xml:space="preserve"> 2004, par</w:t>
      </w:r>
      <w:r>
        <w:t>.</w:t>
      </w:r>
      <w:r w:rsidRPr="00F706A4">
        <w:t> 13.5</w:t>
      </w:r>
      <w:r>
        <w:t xml:space="preserve">, </w:t>
      </w:r>
      <w:r>
        <w:rPr>
          <w:rFonts w:eastAsia="MS Mincho"/>
        </w:rPr>
        <w:t>n</w:t>
      </w:r>
      <w:r>
        <w:rPr>
          <w:rFonts w:eastAsia="MS Mincho"/>
          <w:vertAlign w:val="superscript"/>
        </w:rPr>
        <w:t>o</w:t>
      </w:r>
      <w:r>
        <w:t> </w:t>
      </w:r>
      <w:r w:rsidRPr="00F706A4">
        <w:t>150/1999,</w:t>
      </w:r>
      <w:r w:rsidRPr="00F706A4">
        <w:rPr>
          <w:i/>
        </w:rPr>
        <w:t xml:space="preserve"> S.</w:t>
      </w:r>
      <w:r>
        <w:rPr>
          <w:i/>
        </w:rPr>
        <w:t> </w:t>
      </w:r>
      <w:r w:rsidRPr="00F706A4">
        <w:rPr>
          <w:i/>
        </w:rPr>
        <w:t>L.</w:t>
      </w:r>
      <w:r>
        <w:rPr>
          <w:i/>
        </w:rPr>
        <w:t> </w:t>
      </w:r>
      <w:r w:rsidRPr="00F706A4">
        <w:t>c</w:t>
      </w:r>
      <w:r w:rsidRPr="00F706A4">
        <w:rPr>
          <w:i/>
        </w:rPr>
        <w:t>.</w:t>
      </w:r>
      <w:r>
        <w:rPr>
          <w:i/>
        </w:rPr>
        <w:t> </w:t>
      </w:r>
      <w:r w:rsidRPr="00F706A4">
        <w:rPr>
          <w:i/>
        </w:rPr>
        <w:t>S</w:t>
      </w:r>
      <w:r>
        <w:rPr>
          <w:i/>
        </w:rPr>
        <w:t>uè</w:t>
      </w:r>
      <w:r w:rsidRPr="00F706A4">
        <w:rPr>
          <w:i/>
        </w:rPr>
        <w:t xml:space="preserve">de, </w:t>
      </w:r>
      <w:r>
        <w:t>constatations</w:t>
      </w:r>
      <w:r w:rsidRPr="00F706A4">
        <w:t xml:space="preserve"> adopt</w:t>
      </w:r>
      <w:r>
        <w:t>ées</w:t>
      </w:r>
      <w:r w:rsidRPr="00F706A4">
        <w:t xml:space="preserve"> </w:t>
      </w:r>
      <w:r>
        <w:t>le</w:t>
      </w:r>
      <w:r w:rsidRPr="00F706A4">
        <w:t xml:space="preserve"> 11 </w:t>
      </w:r>
      <w:r>
        <w:t>m</w:t>
      </w:r>
      <w:r w:rsidRPr="00F706A4">
        <w:t>a</w:t>
      </w:r>
      <w:r>
        <w:t>i</w:t>
      </w:r>
      <w:r w:rsidRPr="00F706A4">
        <w:t xml:space="preserve"> 2001, par</w:t>
      </w:r>
      <w:r>
        <w:t>.</w:t>
      </w:r>
      <w:r w:rsidRPr="00F706A4">
        <w:t xml:space="preserve"> 6.3</w:t>
      </w:r>
      <w:r>
        <w:t>, et</w:t>
      </w:r>
      <w:r w:rsidRPr="00F706A4">
        <w:t xml:space="preserve"> </w:t>
      </w:r>
      <w:r>
        <w:rPr>
          <w:rFonts w:eastAsia="MS Mincho"/>
        </w:rPr>
        <w:t>n</w:t>
      </w:r>
      <w:r>
        <w:rPr>
          <w:rFonts w:eastAsia="MS Mincho"/>
          <w:vertAlign w:val="superscript"/>
        </w:rPr>
        <w:t>o</w:t>
      </w:r>
      <w:r>
        <w:t> </w:t>
      </w:r>
      <w:r w:rsidRPr="00F706A4">
        <w:t xml:space="preserve">347/2008, </w:t>
      </w:r>
      <w:r w:rsidRPr="00F706A4">
        <w:rPr>
          <w:i/>
        </w:rPr>
        <w:t>N.</w:t>
      </w:r>
      <w:r>
        <w:rPr>
          <w:i/>
        </w:rPr>
        <w:t> </w:t>
      </w:r>
      <w:r w:rsidRPr="00F706A4">
        <w:rPr>
          <w:i/>
        </w:rPr>
        <w:t xml:space="preserve">B.-M. </w:t>
      </w:r>
      <w:r w:rsidRPr="00F706A4">
        <w:t>c</w:t>
      </w:r>
      <w:r>
        <w:rPr>
          <w:i/>
        </w:rPr>
        <w:t>.</w:t>
      </w:r>
      <w:r w:rsidRPr="00F706A4">
        <w:rPr>
          <w:i/>
        </w:rPr>
        <w:t xml:space="preserve"> S</w:t>
      </w:r>
      <w:r>
        <w:rPr>
          <w:i/>
        </w:rPr>
        <w:t>uisse</w:t>
      </w:r>
      <w:r w:rsidRPr="00F706A4">
        <w:t>, d</w:t>
      </w:r>
      <w:r>
        <w:t>é</w:t>
      </w:r>
      <w:r w:rsidRPr="00F706A4">
        <w:t>cision adopt</w:t>
      </w:r>
      <w:r>
        <w:t>é</w:t>
      </w:r>
      <w:r w:rsidRPr="00F706A4">
        <w:t xml:space="preserve">e </w:t>
      </w:r>
      <w:r>
        <w:t>le</w:t>
      </w:r>
      <w:r w:rsidRPr="00F706A4">
        <w:t>14 </w:t>
      </w:r>
      <w:r>
        <w:t>n</w:t>
      </w:r>
      <w:r w:rsidRPr="00F706A4">
        <w:t>ovemb</w:t>
      </w:r>
      <w:r>
        <w:t>r</w:t>
      </w:r>
      <w:r w:rsidRPr="00F706A4">
        <w:t>e 2011, par</w:t>
      </w:r>
      <w:r>
        <w:t>.</w:t>
      </w:r>
      <w:r w:rsidRPr="00F706A4">
        <w:t>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89" w:rsidRPr="00A90E5F" w:rsidRDefault="00D31389">
    <w:pPr>
      <w:pStyle w:val="En-tte"/>
    </w:pPr>
    <w:fldSimple w:instr=" TITLE  \* MERGEFORMAT ">
      <w:r w:rsidR="00F11288">
        <w:t>CAT/C/60/D/602/2014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89" w:rsidRPr="00A90E5F" w:rsidRDefault="00D31389" w:rsidP="00A90E5F">
    <w:pPr>
      <w:pStyle w:val="En-tte"/>
      <w:jc w:val="right"/>
    </w:pPr>
    <w:fldSimple w:instr=" TITLE  \* MERGEFORMAT ">
      <w:r w:rsidR="00F11288">
        <w:t>CAT/C/60/D/602/2014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DC"/>
    <w:rsid w:val="00023842"/>
    <w:rsid w:val="00035AE4"/>
    <w:rsid w:val="00037DF1"/>
    <w:rsid w:val="000738D3"/>
    <w:rsid w:val="0007796D"/>
    <w:rsid w:val="000A3AAA"/>
    <w:rsid w:val="00101756"/>
    <w:rsid w:val="00111F2F"/>
    <w:rsid w:val="0014365E"/>
    <w:rsid w:val="00176178"/>
    <w:rsid w:val="00195DD1"/>
    <w:rsid w:val="001F525A"/>
    <w:rsid w:val="00277E98"/>
    <w:rsid w:val="003317C1"/>
    <w:rsid w:val="003322BF"/>
    <w:rsid w:val="00446FE5"/>
    <w:rsid w:val="004B19BF"/>
    <w:rsid w:val="004C140E"/>
    <w:rsid w:val="004D6539"/>
    <w:rsid w:val="004F046A"/>
    <w:rsid w:val="005375D6"/>
    <w:rsid w:val="00553A1F"/>
    <w:rsid w:val="00573BE5"/>
    <w:rsid w:val="00586ED3"/>
    <w:rsid w:val="00587A52"/>
    <w:rsid w:val="005970D5"/>
    <w:rsid w:val="005A51D3"/>
    <w:rsid w:val="005A5884"/>
    <w:rsid w:val="005B4E23"/>
    <w:rsid w:val="00621144"/>
    <w:rsid w:val="00665590"/>
    <w:rsid w:val="00683FB6"/>
    <w:rsid w:val="006E0EEA"/>
    <w:rsid w:val="0071601D"/>
    <w:rsid w:val="007432FB"/>
    <w:rsid w:val="00793C4B"/>
    <w:rsid w:val="007D6292"/>
    <w:rsid w:val="0080684C"/>
    <w:rsid w:val="00807D21"/>
    <w:rsid w:val="00840C6C"/>
    <w:rsid w:val="00845AD8"/>
    <w:rsid w:val="00871C75"/>
    <w:rsid w:val="008776DC"/>
    <w:rsid w:val="009271C1"/>
    <w:rsid w:val="009705C8"/>
    <w:rsid w:val="009C4D45"/>
    <w:rsid w:val="009F30A9"/>
    <w:rsid w:val="009F531E"/>
    <w:rsid w:val="00A05770"/>
    <w:rsid w:val="00A0635C"/>
    <w:rsid w:val="00A16010"/>
    <w:rsid w:val="00A21D1C"/>
    <w:rsid w:val="00A37C92"/>
    <w:rsid w:val="00A704A8"/>
    <w:rsid w:val="00A71CC5"/>
    <w:rsid w:val="00A90E5F"/>
    <w:rsid w:val="00AA0CD3"/>
    <w:rsid w:val="00AA1A00"/>
    <w:rsid w:val="00AB1B55"/>
    <w:rsid w:val="00AE323C"/>
    <w:rsid w:val="00B00257"/>
    <w:rsid w:val="00BA41F4"/>
    <w:rsid w:val="00BD4CE5"/>
    <w:rsid w:val="00C02897"/>
    <w:rsid w:val="00C774DC"/>
    <w:rsid w:val="00C96F26"/>
    <w:rsid w:val="00CA5CE1"/>
    <w:rsid w:val="00CB54B7"/>
    <w:rsid w:val="00CD326D"/>
    <w:rsid w:val="00CE35FD"/>
    <w:rsid w:val="00D21E12"/>
    <w:rsid w:val="00D31389"/>
    <w:rsid w:val="00D54128"/>
    <w:rsid w:val="00D8311A"/>
    <w:rsid w:val="00DB1831"/>
    <w:rsid w:val="00DD3BFD"/>
    <w:rsid w:val="00DD4DD7"/>
    <w:rsid w:val="00E554A4"/>
    <w:rsid w:val="00EA0D23"/>
    <w:rsid w:val="00EA3F83"/>
    <w:rsid w:val="00EA6C43"/>
    <w:rsid w:val="00EE6EA3"/>
    <w:rsid w:val="00F11288"/>
    <w:rsid w:val="00F660DF"/>
    <w:rsid w:val="00F7503E"/>
    <w:rsid w:val="00F95C08"/>
    <w:rsid w:val="00FF2A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44F66"/>
  <w15:docId w15:val="{C751B62C-CF09-487E-A0E7-A5A7E46F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A90E5F"/>
    <w:rPr>
      <w:sz w:val="16"/>
      <w:szCs w:val="16"/>
    </w:rPr>
  </w:style>
  <w:style w:type="paragraph" w:styleId="Commentaire">
    <w:name w:val="annotation text"/>
    <w:basedOn w:val="Normal"/>
    <w:link w:val="CommentaireCar"/>
    <w:rsid w:val="00A90E5F"/>
  </w:style>
  <w:style w:type="character" w:customStyle="1" w:styleId="CommentaireCar">
    <w:name w:val="Commentaire Car"/>
    <w:basedOn w:val="Policepardfaut"/>
    <w:link w:val="Commentaire"/>
    <w:rsid w:val="00A90E5F"/>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rsid w:val="00A90E5F"/>
    <w:rPr>
      <w:b/>
      <w:bCs/>
    </w:rPr>
  </w:style>
  <w:style w:type="character" w:customStyle="1" w:styleId="ObjetducommentaireCar">
    <w:name w:val="Objet du commentaire Car"/>
    <w:basedOn w:val="CommentaireCar"/>
    <w:link w:val="Objetducommentaire"/>
    <w:rsid w:val="00A90E5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73EC-1641-47BD-B4E1-8CA5975C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7345</Words>
  <Characters>37317</Characters>
  <Application>Microsoft Office Word</Application>
  <DocSecurity>0</DocSecurity>
  <Lines>556</Lines>
  <Paragraphs>100</Paragraphs>
  <ScaleCrop>false</ScaleCrop>
  <HeadingPairs>
    <vt:vector size="2" baseType="variant">
      <vt:variant>
        <vt:lpstr>Titre</vt:lpstr>
      </vt:variant>
      <vt:variant>
        <vt:i4>1</vt:i4>
      </vt:variant>
    </vt:vector>
  </HeadingPairs>
  <TitlesOfParts>
    <vt:vector size="1" baseType="lpstr">
      <vt:lpstr>CAT/C/60/D/602/2014</vt:lpstr>
    </vt:vector>
  </TitlesOfParts>
  <Company>DCM</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CAT/C/60/D/602/2014</dc:title>
  <dc:subject/>
  <dc:creator>Isabelle VIGNY</dc:creator>
  <cp:keywords/>
  <cp:lastModifiedBy>Isabelle Vigny</cp:lastModifiedBy>
  <cp:revision>3</cp:revision>
  <cp:lastPrinted>2017-12-15T10:58:00Z</cp:lastPrinted>
  <dcterms:created xsi:type="dcterms:W3CDTF">2017-12-15T10:58:00Z</dcterms:created>
  <dcterms:modified xsi:type="dcterms:W3CDTF">2017-12-15T10:58:00Z</dcterms:modified>
</cp:coreProperties>
</file>