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A85E60A" w14:textId="77777777" w:rsidTr="008F3CA0">
        <w:trPr>
          <w:trHeight w:hRule="exact" w:val="851"/>
        </w:trPr>
        <w:tc>
          <w:tcPr>
            <w:tcW w:w="1276" w:type="dxa"/>
            <w:tcBorders>
              <w:bottom w:val="single" w:sz="4" w:space="0" w:color="auto"/>
            </w:tcBorders>
          </w:tcPr>
          <w:p w14:paraId="06D2C06B" w14:textId="77777777" w:rsidR="000354E9" w:rsidRPr="00DB58B5" w:rsidRDefault="000354E9" w:rsidP="00046F46"/>
        </w:tc>
        <w:tc>
          <w:tcPr>
            <w:tcW w:w="2268" w:type="dxa"/>
            <w:tcBorders>
              <w:bottom w:val="single" w:sz="4" w:space="0" w:color="auto"/>
            </w:tcBorders>
            <w:vAlign w:val="bottom"/>
          </w:tcPr>
          <w:p w14:paraId="5E2C887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7CDF0D" w14:textId="780A9B17" w:rsidR="000354E9" w:rsidRPr="00DB58B5" w:rsidRDefault="00046F46" w:rsidP="00046F46">
            <w:pPr>
              <w:jc w:val="right"/>
            </w:pPr>
            <w:r w:rsidRPr="00046F46">
              <w:rPr>
                <w:sz w:val="40"/>
              </w:rPr>
              <w:t>CRC</w:t>
            </w:r>
            <w:r>
              <w:t>/C/ZMB/5-7</w:t>
            </w:r>
          </w:p>
        </w:tc>
      </w:tr>
      <w:tr w:rsidR="000354E9" w:rsidRPr="00DB58B5" w14:paraId="6FDE6629" w14:textId="77777777" w:rsidTr="008F3CA0">
        <w:trPr>
          <w:trHeight w:hRule="exact" w:val="2835"/>
        </w:trPr>
        <w:tc>
          <w:tcPr>
            <w:tcW w:w="1276" w:type="dxa"/>
            <w:tcBorders>
              <w:top w:val="single" w:sz="4" w:space="0" w:color="auto"/>
              <w:bottom w:val="single" w:sz="12" w:space="0" w:color="auto"/>
            </w:tcBorders>
          </w:tcPr>
          <w:p w14:paraId="2DD6F243" w14:textId="77777777" w:rsidR="000354E9" w:rsidRPr="00DB58B5" w:rsidRDefault="000354E9" w:rsidP="008F3CA0">
            <w:pPr>
              <w:spacing w:before="120"/>
              <w:jc w:val="center"/>
            </w:pPr>
            <w:r>
              <w:rPr>
                <w:noProof/>
                <w:lang w:eastAsia="fr-CH"/>
              </w:rPr>
              <w:drawing>
                <wp:inline distT="0" distB="0" distL="0" distR="0" wp14:anchorId="2B6DE92D" wp14:editId="329730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18CC02" w14:textId="4851487E"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8279BF">
              <w:rPr>
                <w:b/>
                <w:sz w:val="40"/>
                <w:szCs w:val="40"/>
              </w:rPr>
              <w:t>’</w:t>
            </w:r>
            <w:r w:rsidRPr="00262665">
              <w:rPr>
                <w:b/>
                <w:sz w:val="40"/>
                <w:szCs w:val="40"/>
              </w:rPr>
              <w:t>enfant</w:t>
            </w:r>
          </w:p>
        </w:tc>
        <w:tc>
          <w:tcPr>
            <w:tcW w:w="2835" w:type="dxa"/>
            <w:tcBorders>
              <w:top w:val="single" w:sz="4" w:space="0" w:color="auto"/>
              <w:bottom w:val="single" w:sz="12" w:space="0" w:color="auto"/>
            </w:tcBorders>
          </w:tcPr>
          <w:p w14:paraId="3563220A" w14:textId="77777777" w:rsidR="000354E9" w:rsidRDefault="00046F46" w:rsidP="008F3CA0">
            <w:pPr>
              <w:spacing w:before="240"/>
            </w:pPr>
            <w:r>
              <w:t>Distr. générale</w:t>
            </w:r>
          </w:p>
          <w:p w14:paraId="49E1C989" w14:textId="77777777" w:rsidR="00046F46" w:rsidRDefault="00046F46" w:rsidP="00046F46">
            <w:pPr>
              <w:spacing w:line="240" w:lineRule="exact"/>
            </w:pPr>
            <w:r>
              <w:t>11 novembre 2021</w:t>
            </w:r>
          </w:p>
          <w:p w14:paraId="501120AC" w14:textId="77777777" w:rsidR="00046F46" w:rsidRDefault="00046F46" w:rsidP="00046F46">
            <w:pPr>
              <w:spacing w:line="240" w:lineRule="exact"/>
            </w:pPr>
            <w:r>
              <w:t>Français</w:t>
            </w:r>
          </w:p>
          <w:p w14:paraId="44A58D4C" w14:textId="77777777" w:rsidR="00046F46" w:rsidRDefault="00046F46" w:rsidP="00046F46">
            <w:pPr>
              <w:spacing w:line="240" w:lineRule="exact"/>
            </w:pPr>
            <w:r>
              <w:t>Original : anglais</w:t>
            </w:r>
          </w:p>
          <w:p w14:paraId="14573023" w14:textId="7B91AAE4" w:rsidR="007620C3" w:rsidRPr="00DB58B5" w:rsidRDefault="007620C3" w:rsidP="00046F46">
            <w:pPr>
              <w:spacing w:line="240" w:lineRule="exact"/>
            </w:pPr>
            <w:r w:rsidRPr="00EE4C2A">
              <w:rPr>
                <w:lang w:val="fr-FR"/>
              </w:rPr>
              <w:t>Anglais, espagnol et français seulement</w:t>
            </w:r>
          </w:p>
        </w:tc>
      </w:tr>
    </w:tbl>
    <w:p w14:paraId="42021C9E" w14:textId="2BEE40A6" w:rsidR="002D14A3" w:rsidRDefault="002D14A3" w:rsidP="002D14A3">
      <w:pPr>
        <w:spacing w:before="120"/>
        <w:rPr>
          <w:b/>
          <w:sz w:val="24"/>
          <w:szCs w:val="24"/>
        </w:rPr>
      </w:pPr>
      <w:r w:rsidRPr="00DA3BE9">
        <w:rPr>
          <w:b/>
          <w:sz w:val="24"/>
          <w:szCs w:val="24"/>
        </w:rPr>
        <w:t>Comité des droits de l</w:t>
      </w:r>
      <w:r w:rsidR="008279BF">
        <w:rPr>
          <w:b/>
          <w:sz w:val="24"/>
          <w:szCs w:val="24"/>
        </w:rPr>
        <w:t>’</w:t>
      </w:r>
      <w:r w:rsidRPr="00DA3BE9">
        <w:rPr>
          <w:b/>
          <w:sz w:val="24"/>
          <w:szCs w:val="24"/>
        </w:rPr>
        <w:t>enfant</w:t>
      </w:r>
    </w:p>
    <w:p w14:paraId="6FF5B8C2" w14:textId="350F2AFA" w:rsidR="00046F46" w:rsidRPr="00EE4C2A" w:rsidRDefault="00046F46" w:rsidP="007620C3">
      <w:pPr>
        <w:pStyle w:val="HMG"/>
        <w:rPr>
          <w:lang w:val="fr-FR"/>
        </w:rPr>
      </w:pPr>
      <w:r w:rsidRPr="00EE4C2A">
        <w:rPr>
          <w:lang w:val="fr-FR"/>
        </w:rPr>
        <w:tab/>
      </w:r>
      <w:r w:rsidRPr="00EE4C2A">
        <w:rPr>
          <w:lang w:val="fr-FR"/>
        </w:rPr>
        <w:tab/>
        <w:t>Rapport valant cinquième à septième rapports périodiques soumis par la Zambie en application de l</w:t>
      </w:r>
      <w:r w:rsidR="008279BF">
        <w:rPr>
          <w:lang w:val="fr-FR"/>
        </w:rPr>
        <w:t>’</w:t>
      </w:r>
      <w:r w:rsidRPr="00EE4C2A">
        <w:rPr>
          <w:lang w:val="fr-FR"/>
        </w:rPr>
        <w:t>article 44 de la Convention, attendu en 2021</w:t>
      </w:r>
      <w:r w:rsidRPr="007620C3">
        <w:rPr>
          <w:rStyle w:val="Appelnotedebasdep"/>
          <w:b w:val="0"/>
          <w:bCs/>
          <w:sz w:val="20"/>
          <w:vertAlign w:val="baseline"/>
          <w:lang w:val="fr-FR"/>
        </w:rPr>
        <w:footnoteReference w:customMarkFollows="1" w:id="2"/>
        <w:t>*</w:t>
      </w:r>
    </w:p>
    <w:p w14:paraId="40BDD733" w14:textId="77777777" w:rsidR="00046F46" w:rsidRPr="00EE4C2A" w:rsidRDefault="00046F46" w:rsidP="00046F46">
      <w:pPr>
        <w:pStyle w:val="SingleTxtG"/>
        <w:jc w:val="right"/>
        <w:rPr>
          <w:lang w:val="fr-FR"/>
        </w:rPr>
      </w:pPr>
      <w:r w:rsidRPr="00EE4C2A">
        <w:rPr>
          <w:lang w:val="fr-FR"/>
        </w:rPr>
        <w:t>[Date de réception : 21 juin 2021]</w:t>
      </w:r>
    </w:p>
    <w:p w14:paraId="4DF58895" w14:textId="77777777" w:rsidR="00046F46" w:rsidRPr="00EE4C2A" w:rsidRDefault="00046F46" w:rsidP="00046F46">
      <w:pPr>
        <w:pStyle w:val="SingleTxtG"/>
        <w:rPr>
          <w:lang w:val="fr-FR"/>
        </w:rPr>
      </w:pPr>
      <w:r w:rsidRPr="00EE4C2A">
        <w:rPr>
          <w:lang w:val="fr-FR"/>
        </w:rPr>
        <w:br w:type="page"/>
      </w:r>
    </w:p>
    <w:p w14:paraId="5F8599CA" w14:textId="77777777" w:rsidR="00046F46" w:rsidRPr="00EE4C2A" w:rsidRDefault="00046F46" w:rsidP="00046F46">
      <w:pPr>
        <w:spacing w:after="120"/>
        <w:rPr>
          <w:sz w:val="28"/>
          <w:szCs w:val="28"/>
          <w:lang w:val="fr-FR"/>
        </w:rPr>
      </w:pPr>
      <w:bookmarkStart w:id="0" w:name="_Toc63937959"/>
      <w:r w:rsidRPr="00EE4C2A">
        <w:rPr>
          <w:sz w:val="28"/>
          <w:szCs w:val="28"/>
          <w:lang w:val="fr-FR"/>
        </w:rPr>
        <w:lastRenderedPageBreak/>
        <w:t xml:space="preserve">Table </w:t>
      </w:r>
      <w:r w:rsidRPr="007620C3">
        <w:rPr>
          <w:sz w:val="28"/>
        </w:rPr>
        <w:t>des</w:t>
      </w:r>
      <w:r w:rsidRPr="00EE4C2A">
        <w:rPr>
          <w:sz w:val="28"/>
          <w:szCs w:val="28"/>
          <w:lang w:val="fr-FR"/>
        </w:rPr>
        <w:t xml:space="preserve"> matières</w:t>
      </w:r>
    </w:p>
    <w:p w14:paraId="2369B62C" w14:textId="77777777" w:rsidR="00046F46" w:rsidRPr="00EE4C2A" w:rsidRDefault="00046F46" w:rsidP="00046F46">
      <w:pPr>
        <w:tabs>
          <w:tab w:val="right" w:pos="9638"/>
        </w:tabs>
        <w:spacing w:after="120"/>
        <w:ind w:left="283"/>
        <w:rPr>
          <w:sz w:val="18"/>
          <w:lang w:val="fr-FR"/>
        </w:rPr>
      </w:pPr>
      <w:r w:rsidRPr="00EE4C2A">
        <w:rPr>
          <w:lang w:val="fr-FR"/>
        </w:rPr>
        <w:tab/>
      </w:r>
      <w:r w:rsidRPr="00EE4C2A">
        <w:rPr>
          <w:i/>
          <w:iCs/>
          <w:lang w:val="fr-FR"/>
        </w:rPr>
        <w:t>Page</w:t>
      </w:r>
    </w:p>
    <w:p w14:paraId="4796530E" w14:textId="77777777" w:rsidR="00B15CE0" w:rsidRPr="00EE4C2A" w:rsidRDefault="00B15CE0" w:rsidP="00B15CE0">
      <w:pPr>
        <w:tabs>
          <w:tab w:val="right" w:pos="850"/>
          <w:tab w:val="right" w:leader="dot" w:pos="8787"/>
          <w:tab w:val="right" w:pos="9638"/>
        </w:tabs>
        <w:spacing w:after="120"/>
        <w:ind w:left="1134" w:hanging="1134"/>
        <w:rPr>
          <w:lang w:val="fr-FR"/>
        </w:rPr>
      </w:pPr>
      <w:r w:rsidRPr="00E27B3D">
        <w:rPr>
          <w:lang w:val="en-US"/>
        </w:rPr>
        <w:tab/>
      </w:r>
      <w:r w:rsidRPr="00E27B3D">
        <w:rPr>
          <w:lang w:val="en-US"/>
        </w:rPr>
        <w:tab/>
      </w:r>
      <w:r w:rsidRPr="00EE4C2A">
        <w:rPr>
          <w:lang w:val="fr-FR"/>
        </w:rPr>
        <w:t xml:space="preserve">Liste </w:t>
      </w:r>
      <w:r w:rsidRPr="00E27B3D">
        <w:t>des</w:t>
      </w:r>
      <w:r w:rsidRPr="00EE4C2A">
        <w:rPr>
          <w:lang w:val="fr-FR"/>
        </w:rPr>
        <w:t xml:space="preserve"> sigles et </w:t>
      </w:r>
      <w:r>
        <w:rPr>
          <w:lang w:val="fr-FR"/>
        </w:rPr>
        <w:t>abréviations</w:t>
      </w:r>
      <w:r w:rsidRPr="00EE4C2A">
        <w:rPr>
          <w:lang w:val="fr-FR"/>
        </w:rPr>
        <w:tab/>
      </w:r>
      <w:r w:rsidRPr="00EE4C2A">
        <w:rPr>
          <w:lang w:val="fr-FR"/>
        </w:rPr>
        <w:tab/>
        <w:t>3</w:t>
      </w:r>
    </w:p>
    <w:p w14:paraId="6CFD2324" w14:textId="77777777" w:rsidR="00B15CE0" w:rsidRPr="00EE4C2A" w:rsidRDefault="00B15CE0" w:rsidP="00B15CE0">
      <w:pPr>
        <w:tabs>
          <w:tab w:val="right" w:pos="850"/>
          <w:tab w:val="right" w:leader="dot" w:pos="8787"/>
          <w:tab w:val="right" w:pos="9638"/>
        </w:tabs>
        <w:spacing w:after="120"/>
        <w:ind w:left="1134" w:hanging="1134"/>
        <w:rPr>
          <w:lang w:val="fr-FR"/>
        </w:rPr>
      </w:pPr>
      <w:r w:rsidRPr="00EE4C2A">
        <w:rPr>
          <w:lang w:val="fr-FR"/>
        </w:rPr>
        <w:tab/>
        <w:t>I.</w:t>
      </w:r>
      <w:r w:rsidRPr="00EE4C2A">
        <w:rPr>
          <w:lang w:val="fr-FR"/>
        </w:rPr>
        <w:tab/>
        <w:t>Faits nouveaux</w:t>
      </w:r>
      <w:r w:rsidRPr="00EE4C2A">
        <w:rPr>
          <w:lang w:val="fr-FR"/>
        </w:rPr>
        <w:tab/>
      </w:r>
      <w:r w:rsidRPr="00EE4C2A">
        <w:rPr>
          <w:lang w:val="fr-FR"/>
        </w:rPr>
        <w:tab/>
      </w:r>
      <w:r>
        <w:rPr>
          <w:lang w:val="fr-FR"/>
        </w:rPr>
        <w:t>3</w:t>
      </w:r>
    </w:p>
    <w:p w14:paraId="4639FADD" w14:textId="77777777" w:rsidR="00B15CE0" w:rsidRPr="00EE4C2A" w:rsidRDefault="00B15CE0" w:rsidP="00B15CE0">
      <w:pPr>
        <w:tabs>
          <w:tab w:val="right" w:pos="850"/>
          <w:tab w:val="right" w:leader="dot" w:pos="8787"/>
          <w:tab w:val="right" w:pos="9638"/>
        </w:tabs>
        <w:spacing w:after="120"/>
        <w:ind w:left="1134" w:hanging="1134"/>
        <w:rPr>
          <w:lang w:val="fr-FR"/>
        </w:rPr>
      </w:pPr>
      <w:r w:rsidRPr="00EE4C2A">
        <w:rPr>
          <w:lang w:val="fr-FR"/>
        </w:rPr>
        <w:tab/>
        <w:t>II.</w:t>
      </w:r>
      <w:r w:rsidRPr="00EE4C2A">
        <w:rPr>
          <w:lang w:val="fr-FR"/>
        </w:rPr>
        <w:tab/>
        <w:t xml:space="preserve">Droits garantis par </w:t>
      </w:r>
      <w:r w:rsidRPr="00E27B3D">
        <w:t>la</w:t>
      </w:r>
      <w:r w:rsidRPr="00EE4C2A">
        <w:rPr>
          <w:lang w:val="fr-FR"/>
        </w:rPr>
        <w:t xml:space="preserve"> Convention et les Protocoles facultatifs s</w:t>
      </w:r>
      <w:r>
        <w:rPr>
          <w:lang w:val="fr-FR"/>
        </w:rPr>
        <w:t>’</w:t>
      </w:r>
      <w:r w:rsidRPr="00EE4C2A">
        <w:rPr>
          <w:lang w:val="fr-FR"/>
        </w:rPr>
        <w:t>y rapportant</w:t>
      </w:r>
      <w:r w:rsidRPr="00EE4C2A">
        <w:rPr>
          <w:lang w:val="fr-FR"/>
        </w:rPr>
        <w:tab/>
      </w:r>
      <w:r w:rsidRPr="00EE4C2A">
        <w:rPr>
          <w:lang w:val="fr-FR"/>
        </w:rPr>
        <w:tab/>
      </w:r>
      <w:r>
        <w:rPr>
          <w:lang w:val="fr-FR"/>
        </w:rPr>
        <w:t>5</w:t>
      </w:r>
    </w:p>
    <w:p w14:paraId="3959C195" w14:textId="77777777" w:rsidR="00B15CE0" w:rsidRDefault="00B15CE0" w:rsidP="00B15CE0">
      <w:pPr>
        <w:tabs>
          <w:tab w:val="right" w:pos="850"/>
          <w:tab w:val="right" w:leader="dot" w:pos="8787"/>
          <w:tab w:val="right" w:pos="9638"/>
        </w:tabs>
        <w:spacing w:after="120"/>
        <w:ind w:left="1134" w:hanging="1134"/>
        <w:rPr>
          <w:lang w:val="fr-FR"/>
        </w:rPr>
      </w:pPr>
      <w:r w:rsidRPr="00EE4C2A">
        <w:rPr>
          <w:lang w:val="fr-FR"/>
        </w:rPr>
        <w:tab/>
        <w:t>III.</w:t>
      </w:r>
      <w:r w:rsidRPr="00EE4C2A">
        <w:rPr>
          <w:lang w:val="fr-FR"/>
        </w:rPr>
        <w:tab/>
        <w:t xml:space="preserve">Informations et </w:t>
      </w:r>
      <w:r w:rsidRPr="00E27B3D">
        <w:t>données</w:t>
      </w:r>
      <w:r w:rsidRPr="00EE4C2A">
        <w:rPr>
          <w:lang w:val="fr-FR"/>
        </w:rPr>
        <w:t xml:space="preserve"> statistiques</w:t>
      </w:r>
      <w:r w:rsidRPr="00EE4C2A">
        <w:rPr>
          <w:lang w:val="fr-FR"/>
        </w:rPr>
        <w:tab/>
      </w:r>
      <w:r w:rsidRPr="00EE4C2A">
        <w:rPr>
          <w:lang w:val="fr-FR"/>
        </w:rPr>
        <w:tab/>
        <w:t>3</w:t>
      </w:r>
      <w:r>
        <w:rPr>
          <w:lang w:val="fr-FR"/>
        </w:rPr>
        <w:t>3</w:t>
      </w:r>
    </w:p>
    <w:p w14:paraId="18B83516" w14:textId="77777777" w:rsidR="00046F46" w:rsidRPr="00EE4C2A" w:rsidRDefault="00046F46" w:rsidP="00046F46">
      <w:pPr>
        <w:pStyle w:val="SingleTxtG"/>
        <w:rPr>
          <w:b/>
          <w:sz w:val="28"/>
          <w:lang w:val="fr-FR"/>
        </w:rPr>
      </w:pPr>
      <w:r w:rsidRPr="00EE4C2A">
        <w:rPr>
          <w:lang w:val="fr-FR"/>
        </w:rPr>
        <w:br w:type="page"/>
      </w:r>
    </w:p>
    <w:p w14:paraId="6DD9499B" w14:textId="7060AD58" w:rsidR="00046F46" w:rsidRDefault="00046F46" w:rsidP="007620C3">
      <w:pPr>
        <w:pStyle w:val="HChG"/>
        <w:rPr>
          <w:lang w:val="fr-FR"/>
        </w:rPr>
      </w:pPr>
      <w:bookmarkStart w:id="1" w:name="_Toc63937957"/>
      <w:r w:rsidRPr="00EE4C2A">
        <w:rPr>
          <w:lang w:val="fr-FR"/>
        </w:rPr>
        <w:lastRenderedPageBreak/>
        <w:tab/>
      </w:r>
      <w:r w:rsidRPr="00EE4C2A">
        <w:rPr>
          <w:lang w:val="fr-FR"/>
        </w:rPr>
        <w:tab/>
        <w:t xml:space="preserve">Liste des sigles et </w:t>
      </w:r>
      <w:r>
        <w:rPr>
          <w:lang w:val="fr-FR"/>
        </w:rPr>
        <w:t>abréviations</w:t>
      </w:r>
      <w:bookmarkEnd w:id="1"/>
    </w:p>
    <w:p w14:paraId="47E6F82A" w14:textId="31B72B9B" w:rsidR="00905D5D" w:rsidRPr="00905D5D" w:rsidRDefault="00905D5D" w:rsidP="003C1B2C">
      <w:pPr>
        <w:pStyle w:val="SingleTxtG"/>
        <w:rPr>
          <w:lang w:val="fr-FR"/>
        </w:rPr>
      </w:pPr>
      <w:r>
        <w:rPr>
          <w:lang w:val="fr-FR"/>
        </w:rPr>
        <w:t>Sans objet en français</w:t>
      </w:r>
    </w:p>
    <w:p w14:paraId="3CA1DE83" w14:textId="77777777" w:rsidR="00046F46" w:rsidRPr="00EE4C2A" w:rsidRDefault="00046F46" w:rsidP="00046F46">
      <w:pPr>
        <w:pStyle w:val="HChG"/>
        <w:rPr>
          <w:lang w:val="fr-FR"/>
        </w:rPr>
      </w:pPr>
      <w:r w:rsidRPr="00720521">
        <w:rPr>
          <w:bCs/>
        </w:rPr>
        <w:tab/>
      </w:r>
      <w:r w:rsidRPr="00EE4C2A">
        <w:rPr>
          <w:bCs/>
          <w:lang w:val="fr-FR"/>
        </w:rPr>
        <w:t>I.</w:t>
      </w:r>
      <w:r w:rsidRPr="00EE4C2A">
        <w:rPr>
          <w:lang w:val="fr-FR"/>
        </w:rPr>
        <w:tab/>
      </w:r>
      <w:r w:rsidRPr="00EE4C2A">
        <w:rPr>
          <w:bCs/>
          <w:lang w:val="fr-FR"/>
        </w:rPr>
        <w:t>Faits nouveaux</w:t>
      </w:r>
      <w:bookmarkEnd w:id="0"/>
    </w:p>
    <w:p w14:paraId="28E20BED" w14:textId="77777777" w:rsidR="00046F46" w:rsidRPr="00EE4C2A" w:rsidRDefault="00046F46" w:rsidP="00046F46">
      <w:pPr>
        <w:pStyle w:val="H1G"/>
        <w:rPr>
          <w:lang w:val="fr-FR"/>
        </w:rPr>
      </w:pPr>
      <w:r w:rsidRPr="00EE4C2A">
        <w:rPr>
          <w:lang w:val="fr-FR"/>
        </w:rPr>
        <w:tab/>
      </w:r>
      <w:r w:rsidRPr="00EE4C2A">
        <w:rPr>
          <w:lang w:val="fr-FR"/>
        </w:rPr>
        <w:tab/>
      </w:r>
      <w:r w:rsidRPr="00EE4C2A">
        <w:rPr>
          <w:bCs/>
          <w:lang w:val="fr-FR"/>
        </w:rPr>
        <w:t>Introduction</w:t>
      </w:r>
    </w:p>
    <w:p w14:paraId="02F04FC1" w14:textId="518869B7" w:rsidR="00046F46" w:rsidRPr="00EE4C2A" w:rsidRDefault="00046F46" w:rsidP="00046F46">
      <w:pPr>
        <w:pStyle w:val="SingleTxtG"/>
        <w:rPr>
          <w:lang w:val="fr-FR"/>
        </w:rPr>
      </w:pPr>
      <w:r w:rsidRPr="00EE4C2A">
        <w:rPr>
          <w:lang w:val="fr-FR"/>
        </w:rPr>
        <w:t>1.</w:t>
      </w:r>
      <w:r w:rsidRPr="00EE4C2A">
        <w:rPr>
          <w:lang w:val="fr-FR"/>
        </w:rPr>
        <w:tab/>
        <w:t>L</w:t>
      </w:r>
      <w:r w:rsidR="008279BF">
        <w:rPr>
          <w:lang w:val="fr-FR"/>
        </w:rPr>
        <w:t>’</w:t>
      </w:r>
      <w:r w:rsidRPr="00EE4C2A">
        <w:rPr>
          <w:lang w:val="fr-FR"/>
        </w:rPr>
        <w:t>État partie soumet par écrit, dans le présent rapport valant cinquième à septième rapports périodiques, les informations demandées dans la liste de points à traiter. Le présent rapport rend compte de la mise en œuvre des droits de l</w:t>
      </w:r>
      <w:r w:rsidR="008279BF">
        <w:rPr>
          <w:lang w:val="fr-FR"/>
        </w:rPr>
        <w:t>’</w:t>
      </w:r>
      <w:r w:rsidRPr="00EE4C2A">
        <w:rPr>
          <w:lang w:val="fr-FR"/>
        </w:rPr>
        <w:t>enfant, dans sa perspective globale, et fournit une base pour mener un dialogue au sujet de l</w:t>
      </w:r>
      <w:r w:rsidR="008279BF">
        <w:rPr>
          <w:lang w:val="fr-FR"/>
        </w:rPr>
        <w:t>’</w:t>
      </w:r>
      <w:r w:rsidRPr="00EE4C2A">
        <w:rPr>
          <w:lang w:val="fr-FR"/>
        </w:rPr>
        <w:t>application de la Convention et de la jouissance par les enfants de leurs droits dans l</w:t>
      </w:r>
      <w:r w:rsidR="008279BF">
        <w:rPr>
          <w:lang w:val="fr-FR"/>
        </w:rPr>
        <w:t>’</w:t>
      </w:r>
      <w:r w:rsidRPr="00EE4C2A">
        <w:rPr>
          <w:lang w:val="fr-FR"/>
        </w:rPr>
        <w:t>État partie. Il donne également des renseignements concernant le suivi des observations finales formulées en 2016 à l</w:t>
      </w:r>
      <w:r w:rsidR="008279BF">
        <w:rPr>
          <w:lang w:val="fr-FR"/>
        </w:rPr>
        <w:t>’</w:t>
      </w:r>
      <w:r w:rsidRPr="00EE4C2A">
        <w:rPr>
          <w:lang w:val="fr-FR"/>
        </w:rPr>
        <w:t>issue de l</w:t>
      </w:r>
      <w:r w:rsidR="008279BF">
        <w:rPr>
          <w:lang w:val="fr-FR"/>
        </w:rPr>
        <w:t>’</w:t>
      </w:r>
      <w:r w:rsidRPr="00EE4C2A">
        <w:rPr>
          <w:lang w:val="fr-FR"/>
        </w:rPr>
        <w:t>examen du rapport de l</w:t>
      </w:r>
      <w:r w:rsidR="008279BF">
        <w:rPr>
          <w:lang w:val="fr-FR"/>
        </w:rPr>
        <w:t>’</w:t>
      </w:r>
      <w:r w:rsidRPr="00EE4C2A">
        <w:rPr>
          <w:lang w:val="fr-FR"/>
        </w:rPr>
        <w:t xml:space="preserve">État partie valant deuxième </w:t>
      </w:r>
      <w:r>
        <w:rPr>
          <w:lang w:val="fr-FR"/>
        </w:rPr>
        <w:t>à</w:t>
      </w:r>
      <w:r w:rsidRPr="00EE4C2A">
        <w:rPr>
          <w:lang w:val="fr-FR"/>
        </w:rPr>
        <w:t xml:space="preserve"> quatrième rapports périodiques.</w:t>
      </w:r>
    </w:p>
    <w:p w14:paraId="58304B9F"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Réponse concernant les points soulevés au paragraphe 2 a) de la liste des points établie avant la soumission du rapport de la Zambie valant cinquième à septième rapports périodiques (CRC/C/ZMB/QPR/5-7)</w:t>
      </w:r>
    </w:p>
    <w:p w14:paraId="4FD1E88E" w14:textId="03A6FB80" w:rsidR="00046F46" w:rsidRPr="00EE4C2A" w:rsidRDefault="00046F46" w:rsidP="00046F46">
      <w:pPr>
        <w:pStyle w:val="SingleTxtG"/>
        <w:rPr>
          <w:i/>
          <w:iCs/>
          <w:lang w:val="fr-FR"/>
        </w:rPr>
      </w:pPr>
      <w:r w:rsidRPr="00EE4C2A">
        <w:rPr>
          <w:i/>
          <w:iCs/>
          <w:lang w:val="fr-FR"/>
        </w:rPr>
        <w:t>L</w:t>
      </w:r>
      <w:r w:rsidR="008279BF">
        <w:rPr>
          <w:i/>
          <w:iCs/>
          <w:lang w:val="fr-FR"/>
        </w:rPr>
        <w:t>’</w:t>
      </w:r>
      <w:r w:rsidRPr="00EE4C2A">
        <w:rPr>
          <w:i/>
          <w:iCs/>
          <w:lang w:val="fr-FR"/>
        </w:rPr>
        <w:t>État partie souhaite fournir les informations suivantes :</w:t>
      </w:r>
    </w:p>
    <w:p w14:paraId="42D37F9B" w14:textId="77777777" w:rsidR="00046F46" w:rsidRPr="00EE4C2A" w:rsidRDefault="00046F46" w:rsidP="00046F46">
      <w:pPr>
        <w:pStyle w:val="H23G"/>
        <w:rPr>
          <w:lang w:val="fr-FR"/>
        </w:rPr>
      </w:pPr>
      <w:bookmarkStart w:id="2" w:name="_Toc63937960"/>
      <w:r w:rsidRPr="00EE4C2A">
        <w:rPr>
          <w:lang w:val="fr-FR"/>
        </w:rPr>
        <w:tab/>
      </w:r>
      <w:r w:rsidRPr="00EE4C2A">
        <w:rPr>
          <w:lang w:val="fr-FR"/>
        </w:rPr>
        <w:tab/>
      </w:r>
      <w:r w:rsidRPr="00EE4C2A">
        <w:rPr>
          <w:bCs/>
          <w:lang w:val="fr-FR"/>
        </w:rPr>
        <w:t>Législation</w:t>
      </w:r>
      <w:bookmarkEnd w:id="2"/>
    </w:p>
    <w:p w14:paraId="46D325FD" w14:textId="4F0E1112" w:rsidR="00046F46" w:rsidRPr="00EE4C2A" w:rsidRDefault="00046F46" w:rsidP="00046F46">
      <w:pPr>
        <w:pStyle w:val="SingleTxtG"/>
        <w:rPr>
          <w:lang w:val="fr-FR"/>
        </w:rPr>
      </w:pPr>
      <w:r w:rsidRPr="00EE4C2A">
        <w:rPr>
          <w:lang w:val="fr-FR"/>
        </w:rPr>
        <w:t>2.</w:t>
      </w:r>
      <w:r w:rsidRPr="00EE4C2A">
        <w:rPr>
          <w:lang w:val="fr-FR"/>
        </w:rPr>
        <w:tab/>
        <w:t xml:space="preserve">Loi </w:t>
      </w:r>
      <w:r w:rsidR="003016C3" w:rsidRPr="003016C3">
        <w:rPr>
          <w:rFonts w:eastAsia="MS Mincho"/>
          <w:lang w:val="fr-FR"/>
        </w:rPr>
        <w:t>n</w:t>
      </w:r>
      <w:r w:rsidR="003016C3" w:rsidRPr="003016C3">
        <w:rPr>
          <w:rFonts w:eastAsia="MS Mincho"/>
          <w:vertAlign w:val="superscript"/>
          <w:lang w:val="fr-FR"/>
        </w:rPr>
        <w:t>o</w:t>
      </w:r>
      <w:r w:rsidR="003016C3">
        <w:rPr>
          <w:lang w:val="fr-FR"/>
        </w:rPr>
        <w:t xml:space="preserve"> </w:t>
      </w:r>
      <w:r w:rsidRPr="00EE4C2A">
        <w:rPr>
          <w:lang w:val="fr-FR"/>
        </w:rPr>
        <w:t>6 de 2019 sur la santé mentale : l</w:t>
      </w:r>
      <w:r w:rsidR="008279BF">
        <w:rPr>
          <w:lang w:val="fr-FR"/>
        </w:rPr>
        <w:t>’</w:t>
      </w:r>
      <w:r w:rsidRPr="00EE4C2A">
        <w:rPr>
          <w:lang w:val="fr-FR"/>
        </w:rPr>
        <w:t>article 15 (par. 6) de cette loi prévoit des critères d</w:t>
      </w:r>
      <w:r w:rsidR="008279BF">
        <w:rPr>
          <w:lang w:val="fr-FR"/>
        </w:rPr>
        <w:t>’</w:t>
      </w:r>
      <w:r w:rsidRPr="00EE4C2A">
        <w:rPr>
          <w:lang w:val="fr-FR"/>
        </w:rPr>
        <w:t>exemption pour les catégories de patients souffrant de troubles mentaux, ce qui inclut les enfants, pouvant bénéficier de services de santé gratuits dans les établissements de santé publique.</w:t>
      </w:r>
    </w:p>
    <w:p w14:paraId="2D653C18" w14:textId="18975A9E" w:rsidR="00046F46" w:rsidRPr="00EE4C2A" w:rsidRDefault="00046F46" w:rsidP="00046F46">
      <w:pPr>
        <w:pStyle w:val="SingleTxtG"/>
        <w:rPr>
          <w:lang w:val="fr-FR"/>
        </w:rPr>
      </w:pPr>
      <w:r w:rsidRPr="00EE4C2A">
        <w:rPr>
          <w:lang w:val="fr-FR"/>
        </w:rPr>
        <w:t>3.</w:t>
      </w:r>
      <w:r w:rsidRPr="00EE4C2A">
        <w:rPr>
          <w:lang w:val="fr-FR"/>
        </w:rPr>
        <w:tab/>
        <w:t>Loi </w:t>
      </w:r>
      <w:r w:rsidR="003016C3" w:rsidRPr="003016C3">
        <w:rPr>
          <w:rFonts w:eastAsia="MS Mincho"/>
          <w:lang w:val="fr-FR"/>
        </w:rPr>
        <w:t>n</w:t>
      </w:r>
      <w:r w:rsidR="003016C3" w:rsidRPr="003016C3">
        <w:rPr>
          <w:rFonts w:eastAsia="MS Mincho"/>
          <w:vertAlign w:val="superscript"/>
          <w:lang w:val="fr-FR"/>
        </w:rPr>
        <w:t>o</w:t>
      </w:r>
      <w:r w:rsidR="003016C3">
        <w:rPr>
          <w:lang w:val="fr-FR"/>
        </w:rPr>
        <w:t xml:space="preserve"> </w:t>
      </w:r>
      <w:r w:rsidRPr="00EE4C2A">
        <w:rPr>
          <w:lang w:val="fr-FR"/>
        </w:rPr>
        <w:t>3 de 2019 sur le Code du travail : la partie V de cette loi (couvrant les articles 80</w:t>
      </w:r>
      <w:r w:rsidR="003016C3">
        <w:rPr>
          <w:lang w:val="fr-FR"/>
        </w:rPr>
        <w:t xml:space="preserve"> </w:t>
      </w:r>
      <w:r w:rsidRPr="00EE4C2A">
        <w:rPr>
          <w:lang w:val="fr-FR"/>
        </w:rPr>
        <w:t>à</w:t>
      </w:r>
      <w:r w:rsidR="003016C3">
        <w:rPr>
          <w:lang w:val="fr-FR"/>
        </w:rPr>
        <w:t xml:space="preserve"> </w:t>
      </w:r>
      <w:r w:rsidRPr="00EE4C2A">
        <w:rPr>
          <w:lang w:val="fr-FR"/>
        </w:rPr>
        <w:t>87) interdit ou réglemente l</w:t>
      </w:r>
      <w:r w:rsidR="008279BF">
        <w:rPr>
          <w:lang w:val="fr-FR"/>
        </w:rPr>
        <w:t>’</w:t>
      </w:r>
      <w:r w:rsidRPr="00EE4C2A">
        <w:rPr>
          <w:lang w:val="fr-FR"/>
        </w:rPr>
        <w:t>emploi des jeunes enfants (âgés de moins de 15 ans) et des jeunes gens</w:t>
      </w:r>
      <w:r w:rsidR="003016C3">
        <w:rPr>
          <w:lang w:val="fr-FR"/>
        </w:rPr>
        <w:t xml:space="preserve"> </w:t>
      </w:r>
      <w:r w:rsidRPr="00EE4C2A">
        <w:rPr>
          <w:lang w:val="fr-FR"/>
        </w:rPr>
        <w:t>(âgés de 15 à 18 ans). L</w:t>
      </w:r>
      <w:r w:rsidR="008279BF">
        <w:rPr>
          <w:lang w:val="fr-FR"/>
        </w:rPr>
        <w:t>’</w:t>
      </w:r>
      <w:r w:rsidRPr="00EE4C2A">
        <w:rPr>
          <w:lang w:val="fr-FR"/>
        </w:rPr>
        <w:t>article 81 érige en infraction le fait d</w:t>
      </w:r>
      <w:r w:rsidR="008279BF">
        <w:rPr>
          <w:lang w:val="fr-FR"/>
        </w:rPr>
        <w:t>’</w:t>
      </w:r>
      <w:r w:rsidRPr="00EE4C2A">
        <w:rPr>
          <w:lang w:val="fr-FR"/>
        </w:rPr>
        <w:t>employer un jeune enfant dans une entreprise industrielle.</w:t>
      </w:r>
    </w:p>
    <w:p w14:paraId="1FBF2EC0" w14:textId="235C5147" w:rsidR="00046F46" w:rsidRPr="00EE4C2A" w:rsidRDefault="00046F46" w:rsidP="00046F46">
      <w:pPr>
        <w:pStyle w:val="SingleTxtG"/>
        <w:rPr>
          <w:lang w:val="fr-FR"/>
        </w:rPr>
      </w:pPr>
      <w:r w:rsidRPr="00EE4C2A">
        <w:rPr>
          <w:lang w:val="fr-FR"/>
        </w:rPr>
        <w:t>4.</w:t>
      </w:r>
      <w:r w:rsidRPr="00EE4C2A">
        <w:rPr>
          <w:lang w:val="fr-FR"/>
        </w:rPr>
        <w:tab/>
        <w:t>Gestion des ressources en eau : les textes réglementaires</w:t>
      </w:r>
      <w:r w:rsidR="003016C3">
        <w:rPr>
          <w:lang w:val="fr-FR"/>
        </w:rPr>
        <w:t xml:space="preserve"> </w:t>
      </w:r>
      <w:r w:rsidR="003016C3" w:rsidRPr="003016C3">
        <w:rPr>
          <w:rFonts w:eastAsia="MS Mincho"/>
          <w:lang w:val="fr-FR"/>
        </w:rPr>
        <w:t>n</w:t>
      </w:r>
      <w:r w:rsidR="003016C3" w:rsidRPr="003016C3">
        <w:rPr>
          <w:rFonts w:eastAsia="MS Mincho"/>
          <w:vertAlign w:val="superscript"/>
          <w:lang w:val="fr-FR"/>
        </w:rPr>
        <w:t>o</w:t>
      </w:r>
      <w:r w:rsidR="003016C3">
        <w:rPr>
          <w:lang w:val="fr-FR"/>
        </w:rPr>
        <w:t xml:space="preserve"> </w:t>
      </w:r>
      <w:r w:rsidRPr="00EE4C2A">
        <w:rPr>
          <w:lang w:val="fr-FR"/>
        </w:rPr>
        <w:t xml:space="preserve">18 de 2018 sur les frais et redevances de consommation, </w:t>
      </w:r>
      <w:r w:rsidR="003016C3" w:rsidRPr="003016C3">
        <w:rPr>
          <w:rFonts w:eastAsia="MS Mincho"/>
          <w:lang w:val="fr-FR"/>
        </w:rPr>
        <w:t>n</w:t>
      </w:r>
      <w:r w:rsidR="003016C3" w:rsidRPr="003016C3">
        <w:rPr>
          <w:rFonts w:eastAsia="MS Mincho"/>
          <w:vertAlign w:val="superscript"/>
          <w:lang w:val="fr-FR"/>
        </w:rPr>
        <w:t>o</w:t>
      </w:r>
      <w:r w:rsidR="003016C3">
        <w:rPr>
          <w:lang w:val="fr-FR"/>
        </w:rPr>
        <w:t xml:space="preserve"> </w:t>
      </w:r>
      <w:r w:rsidRPr="00EE4C2A">
        <w:rPr>
          <w:lang w:val="fr-FR"/>
        </w:rPr>
        <w:t>19 de 2018 sur l</w:t>
      </w:r>
      <w:r w:rsidR="008279BF">
        <w:rPr>
          <w:lang w:val="fr-FR"/>
        </w:rPr>
        <w:t>’</w:t>
      </w:r>
      <w:r w:rsidRPr="00EE4C2A">
        <w:rPr>
          <w:lang w:val="fr-FR"/>
        </w:rPr>
        <w:t>octroi de licences aux foreurs et aux constructeurs d</w:t>
      </w:r>
      <w:r w:rsidR="008279BF">
        <w:rPr>
          <w:lang w:val="fr-FR"/>
        </w:rPr>
        <w:t>’</w:t>
      </w:r>
      <w:r w:rsidRPr="00EE4C2A">
        <w:rPr>
          <w:lang w:val="fr-FR"/>
        </w:rPr>
        <w:t xml:space="preserve">autres ouvrages hydrauliques, et </w:t>
      </w:r>
      <w:r w:rsidR="003016C3" w:rsidRPr="003016C3">
        <w:rPr>
          <w:rFonts w:eastAsia="MS Mincho"/>
          <w:lang w:val="fr-FR"/>
        </w:rPr>
        <w:t>n</w:t>
      </w:r>
      <w:r w:rsidR="003016C3" w:rsidRPr="003016C3">
        <w:rPr>
          <w:rFonts w:eastAsia="MS Mincho"/>
          <w:vertAlign w:val="superscript"/>
          <w:lang w:val="fr-FR"/>
        </w:rPr>
        <w:t>o</w:t>
      </w:r>
      <w:r w:rsidR="003016C3">
        <w:rPr>
          <w:lang w:val="fr-FR"/>
        </w:rPr>
        <w:t xml:space="preserve"> </w:t>
      </w:r>
      <w:r w:rsidRPr="00EE4C2A">
        <w:rPr>
          <w:lang w:val="fr-FR"/>
        </w:rPr>
        <w:t>20 de 2018 sur les eaux souterraines, constituent une législation progressiste adoptée pour freiner le forage non réglementé et promouvoir ainsi des pratiques durables</w:t>
      </w:r>
      <w:r>
        <w:rPr>
          <w:lang w:val="fr-FR"/>
        </w:rPr>
        <w:t xml:space="preserve"> de</w:t>
      </w:r>
      <w:r w:rsidRPr="00EE4C2A">
        <w:rPr>
          <w:lang w:val="fr-FR"/>
        </w:rPr>
        <w:t xml:space="preserve"> préven</w:t>
      </w:r>
      <w:r>
        <w:rPr>
          <w:lang w:val="fr-FR"/>
        </w:rPr>
        <w:t>tion de</w:t>
      </w:r>
      <w:r w:rsidRPr="00EE4C2A">
        <w:rPr>
          <w:lang w:val="fr-FR"/>
        </w:rPr>
        <w:t xml:space="preserve"> la dégradation des ressources en eau souterraine.</w:t>
      </w:r>
    </w:p>
    <w:p w14:paraId="047140EA" w14:textId="77777777" w:rsidR="00046F46" w:rsidRPr="00EE4C2A" w:rsidRDefault="00046F46" w:rsidP="00046F46">
      <w:pPr>
        <w:pStyle w:val="H23G"/>
        <w:rPr>
          <w:lang w:val="fr-FR"/>
        </w:rPr>
      </w:pPr>
      <w:bookmarkStart w:id="3" w:name="_Toc63937961"/>
      <w:r w:rsidRPr="00EE4C2A">
        <w:rPr>
          <w:lang w:val="fr-FR"/>
        </w:rPr>
        <w:tab/>
      </w:r>
      <w:r w:rsidRPr="00EE4C2A">
        <w:rPr>
          <w:lang w:val="fr-FR"/>
        </w:rPr>
        <w:tab/>
      </w:r>
      <w:r w:rsidRPr="00EE4C2A">
        <w:rPr>
          <w:bCs/>
          <w:lang w:val="fr-FR"/>
        </w:rPr>
        <w:t>Mesures institutionnelles</w:t>
      </w:r>
      <w:bookmarkEnd w:id="3"/>
    </w:p>
    <w:p w14:paraId="07D3F73A" w14:textId="44D6E063" w:rsidR="00046F46" w:rsidRPr="00EE4C2A" w:rsidRDefault="00046F46" w:rsidP="00046F46">
      <w:pPr>
        <w:pStyle w:val="SingleTxtG"/>
        <w:rPr>
          <w:lang w:val="fr-FR"/>
        </w:rPr>
      </w:pPr>
      <w:r w:rsidRPr="00EE4C2A">
        <w:rPr>
          <w:lang w:val="fr-FR"/>
        </w:rPr>
        <w:t>5.</w:t>
      </w:r>
      <w:r w:rsidRPr="00EE4C2A">
        <w:rPr>
          <w:lang w:val="fr-FR"/>
        </w:rPr>
        <w:tab/>
        <w:t>Refonte du Forum national sur la justice pour enfants, en vue d</w:t>
      </w:r>
      <w:r w:rsidR="008279BF">
        <w:rPr>
          <w:lang w:val="fr-FR"/>
        </w:rPr>
        <w:t>’</w:t>
      </w:r>
      <w:r w:rsidRPr="00EE4C2A">
        <w:rPr>
          <w:lang w:val="fr-FR"/>
        </w:rPr>
        <w:t>une meilleure coordination des activités relatives aux instruments de la justice pour enfants, et élaboration de la Stratégie nationale en matière de justice pour enfants (2021-2025).</w:t>
      </w:r>
    </w:p>
    <w:p w14:paraId="69C0119B" w14:textId="77777777" w:rsidR="00046F46" w:rsidRPr="00EE4C2A" w:rsidRDefault="00046F46" w:rsidP="00046F46">
      <w:pPr>
        <w:pStyle w:val="SingleTxtG"/>
        <w:rPr>
          <w:lang w:val="fr-FR"/>
        </w:rPr>
      </w:pPr>
      <w:r w:rsidRPr="00EE4C2A">
        <w:rPr>
          <w:lang w:val="fr-FR"/>
        </w:rPr>
        <w:t>6.</w:t>
      </w:r>
      <w:r w:rsidRPr="00EE4C2A">
        <w:rPr>
          <w:lang w:val="fr-FR"/>
        </w:rPr>
        <w:tab/>
        <w:t>Élaboration du Cadre national de déjudiciarisation (2018), prévoyant des mesures de substitution à la détention telles que des programmes de réadaptation et de réintégration à assise communautaire.</w:t>
      </w:r>
    </w:p>
    <w:p w14:paraId="08706797" w14:textId="30119666" w:rsidR="00046F46" w:rsidRPr="00EE4C2A" w:rsidRDefault="00046F46" w:rsidP="00046F46">
      <w:pPr>
        <w:pStyle w:val="SingleTxtG"/>
        <w:rPr>
          <w:lang w:val="fr-FR"/>
        </w:rPr>
      </w:pPr>
      <w:r w:rsidRPr="00EE4C2A">
        <w:rPr>
          <w:lang w:val="fr-FR"/>
        </w:rPr>
        <w:t>7.</w:t>
      </w:r>
      <w:r w:rsidRPr="00EE4C2A">
        <w:rPr>
          <w:lang w:val="fr-FR"/>
        </w:rPr>
        <w:tab/>
        <w:t>Élaboration des Lignes directrices nationales pour la protection des enfants témoins et victimes dans le processus judiciaire (2019), à l</w:t>
      </w:r>
      <w:r w:rsidR="008279BF">
        <w:rPr>
          <w:lang w:val="fr-FR"/>
        </w:rPr>
        <w:t>’</w:t>
      </w:r>
      <w:r w:rsidRPr="00EE4C2A">
        <w:rPr>
          <w:lang w:val="fr-FR"/>
        </w:rPr>
        <w:t>usage des acteurs de l</w:t>
      </w:r>
      <w:r w:rsidR="008279BF">
        <w:rPr>
          <w:lang w:val="fr-FR"/>
        </w:rPr>
        <w:t>’</w:t>
      </w:r>
      <w:r w:rsidRPr="00EE4C2A">
        <w:rPr>
          <w:lang w:val="fr-FR"/>
        </w:rPr>
        <w:t>administration de la justice pour enfants.</w:t>
      </w:r>
    </w:p>
    <w:p w14:paraId="5B42BE22" w14:textId="5FB79020" w:rsidR="00046F46" w:rsidRPr="00EE4C2A" w:rsidRDefault="00046F46" w:rsidP="00046F46">
      <w:pPr>
        <w:pStyle w:val="SingleTxtG"/>
        <w:rPr>
          <w:lang w:val="fr-FR"/>
        </w:rPr>
      </w:pPr>
      <w:r w:rsidRPr="00EE4C2A">
        <w:rPr>
          <w:lang w:val="fr-FR"/>
        </w:rPr>
        <w:t>8.</w:t>
      </w:r>
      <w:r w:rsidRPr="00EE4C2A">
        <w:rPr>
          <w:lang w:val="fr-FR"/>
        </w:rPr>
        <w:tab/>
        <w:t>Lancement du Plan stratégique pour le développement des ressources hydriques, l</w:t>
      </w:r>
      <w:r w:rsidR="008279BF">
        <w:rPr>
          <w:lang w:val="fr-FR"/>
        </w:rPr>
        <w:t>’</w:t>
      </w:r>
      <w:r w:rsidRPr="00EE4C2A">
        <w:rPr>
          <w:lang w:val="fr-FR"/>
        </w:rPr>
        <w:t>assainissement et la protection de l</w:t>
      </w:r>
      <w:r w:rsidR="008279BF">
        <w:rPr>
          <w:lang w:val="fr-FR"/>
        </w:rPr>
        <w:t>’</w:t>
      </w:r>
      <w:r w:rsidRPr="00EE4C2A">
        <w:rPr>
          <w:lang w:val="fr-FR"/>
        </w:rPr>
        <w:t xml:space="preserve">environnement (2018-2021), dont la mission </w:t>
      </w:r>
      <w:r>
        <w:rPr>
          <w:lang w:val="fr-FR"/>
        </w:rPr>
        <w:t>est de </w:t>
      </w:r>
      <w:r w:rsidRPr="00EE4C2A">
        <w:rPr>
          <w:lang w:val="fr-FR"/>
        </w:rPr>
        <w:t>« promouvoir et garantir des ressources en eau adéquates et un environnement sûr et propre pour tous »</w:t>
      </w:r>
      <w:r w:rsidR="003016C3">
        <w:rPr>
          <w:lang w:val="fr-FR"/>
        </w:rPr>
        <w:t>.</w:t>
      </w:r>
    </w:p>
    <w:p w14:paraId="2A84F39F" w14:textId="77777777" w:rsidR="00046F46" w:rsidRPr="00EE4C2A" w:rsidRDefault="00046F46" w:rsidP="00046F46">
      <w:pPr>
        <w:pStyle w:val="SingleTxtG"/>
        <w:rPr>
          <w:lang w:val="fr-FR"/>
        </w:rPr>
      </w:pPr>
      <w:r w:rsidRPr="00EE4C2A">
        <w:rPr>
          <w:lang w:val="fr-FR"/>
        </w:rPr>
        <w:lastRenderedPageBreak/>
        <w:t>9.</w:t>
      </w:r>
      <w:r w:rsidRPr="00EE4C2A">
        <w:rPr>
          <w:lang w:val="fr-FR"/>
        </w:rPr>
        <w:tab/>
        <w:t>Lancement de la Politique nationale relative aux changements climatiques (2017), instituant une stratégie bien structurée et coordonnée qui aidera à lutter contre les effets des changements climatiques.</w:t>
      </w:r>
    </w:p>
    <w:p w14:paraId="4982E95C" w14:textId="5612F957" w:rsidR="00046F46" w:rsidRPr="00EE4C2A" w:rsidRDefault="00046F46" w:rsidP="00046F46">
      <w:pPr>
        <w:pStyle w:val="SingleTxtG"/>
        <w:rPr>
          <w:lang w:val="fr-FR"/>
        </w:rPr>
      </w:pPr>
      <w:r w:rsidRPr="00EE4C2A">
        <w:rPr>
          <w:lang w:val="fr-FR"/>
        </w:rPr>
        <w:t>10.</w:t>
      </w:r>
      <w:r w:rsidRPr="00EE4C2A">
        <w:rPr>
          <w:lang w:val="fr-FR"/>
        </w:rPr>
        <w:tab/>
        <w:t>Lancement de la Stratégie nationale de protection en ligne des enfants (2020), dont l</w:t>
      </w:r>
      <w:r w:rsidR="008279BF">
        <w:rPr>
          <w:lang w:val="fr-FR"/>
        </w:rPr>
        <w:t>’</w:t>
      </w:r>
      <w:r w:rsidRPr="00EE4C2A">
        <w:rPr>
          <w:lang w:val="fr-FR"/>
        </w:rPr>
        <w:t>objectif est de mettre en œuvre une approche coordonnée en matière de cybersécurité pour protéger les enfants des dangers d</w:t>
      </w:r>
      <w:r w:rsidR="008279BF">
        <w:rPr>
          <w:lang w:val="fr-FR"/>
        </w:rPr>
        <w:t>’</w:t>
      </w:r>
      <w:r w:rsidRPr="00EE4C2A">
        <w:rPr>
          <w:lang w:val="fr-FR"/>
        </w:rPr>
        <w:t>Internet.</w:t>
      </w:r>
    </w:p>
    <w:p w14:paraId="3E3F5D04" w14:textId="0A8FB2EA" w:rsidR="00046F46" w:rsidRPr="00EE4C2A" w:rsidRDefault="00046F46" w:rsidP="00046F46">
      <w:pPr>
        <w:pStyle w:val="SingleTxtG"/>
        <w:rPr>
          <w:lang w:val="fr-FR"/>
        </w:rPr>
      </w:pPr>
      <w:r w:rsidRPr="00EE4C2A">
        <w:rPr>
          <w:lang w:val="fr-FR"/>
        </w:rPr>
        <w:t>11.</w:t>
      </w:r>
      <w:r w:rsidRPr="00EE4C2A">
        <w:rPr>
          <w:lang w:val="fr-FR"/>
        </w:rPr>
        <w:tab/>
        <w:t>Lancement du Plan stratégique de l</w:t>
      </w:r>
      <w:r w:rsidR="008279BF">
        <w:rPr>
          <w:lang w:val="fr-FR"/>
        </w:rPr>
        <w:t>’</w:t>
      </w:r>
      <w:r w:rsidRPr="00EE4C2A">
        <w:rPr>
          <w:lang w:val="fr-FR"/>
        </w:rPr>
        <w:t>Autorité nationale des technologies de l</w:t>
      </w:r>
      <w:r w:rsidR="008279BF">
        <w:rPr>
          <w:lang w:val="fr-FR"/>
        </w:rPr>
        <w:t>’</w:t>
      </w:r>
      <w:r w:rsidRPr="00EE4C2A">
        <w:rPr>
          <w:lang w:val="fr-FR"/>
        </w:rPr>
        <w:t>information et des communications (ZICTA) pour 2017-2021, conformément à l</w:t>
      </w:r>
      <w:r w:rsidR="008279BF">
        <w:rPr>
          <w:lang w:val="fr-FR"/>
        </w:rPr>
        <w:t>’</w:t>
      </w:r>
      <w:r w:rsidRPr="00EE4C2A">
        <w:rPr>
          <w:lang w:val="fr-FR"/>
        </w:rPr>
        <w:t>objectif de développement durable (ODD) </w:t>
      </w:r>
      <w:r w:rsidR="003016C3" w:rsidRPr="003016C3">
        <w:rPr>
          <w:rFonts w:eastAsia="MS Mincho"/>
          <w:lang w:val="fr-FR"/>
        </w:rPr>
        <w:t>n</w:t>
      </w:r>
      <w:r w:rsidR="003016C3" w:rsidRPr="003016C3">
        <w:rPr>
          <w:rFonts w:eastAsia="MS Mincho"/>
          <w:vertAlign w:val="superscript"/>
          <w:lang w:val="fr-FR"/>
        </w:rPr>
        <w:t>o</w:t>
      </w:r>
      <w:r w:rsidR="003016C3">
        <w:rPr>
          <w:lang w:val="fr-FR"/>
        </w:rPr>
        <w:t xml:space="preserve"> </w:t>
      </w:r>
      <w:r w:rsidRPr="00EE4C2A">
        <w:rPr>
          <w:lang w:val="fr-FR"/>
        </w:rPr>
        <w:t>16.2 visant à mettre un terme à toutes les formes de violence d</w:t>
      </w:r>
      <w:r w:rsidR="008279BF">
        <w:rPr>
          <w:lang w:val="fr-FR"/>
        </w:rPr>
        <w:t>’</w:t>
      </w:r>
      <w:r w:rsidRPr="00EE4C2A">
        <w:rPr>
          <w:lang w:val="fr-FR"/>
        </w:rPr>
        <w:t>ici à 2030.</w:t>
      </w:r>
    </w:p>
    <w:p w14:paraId="1FE04031" w14:textId="77777777" w:rsidR="00046F46" w:rsidRPr="00EE4C2A" w:rsidRDefault="00046F46" w:rsidP="00046F46">
      <w:pPr>
        <w:pStyle w:val="SingleTxtG"/>
        <w:rPr>
          <w:lang w:val="fr-FR"/>
        </w:rPr>
      </w:pPr>
      <w:r w:rsidRPr="00EE4C2A">
        <w:rPr>
          <w:lang w:val="fr-FR"/>
        </w:rPr>
        <w:t>12.</w:t>
      </w:r>
      <w:r w:rsidRPr="00EE4C2A">
        <w:rPr>
          <w:lang w:val="fr-FR"/>
        </w:rPr>
        <w:tab/>
        <w:t>Élaboration du Cadre national relatif à la protection de remplacement (2017), qui définit les mécanismes de coordination en la matière et prévoit des réglementations et procédures opérationnelles uniformisées, et privilégie la prise en charge en milieu familial.</w:t>
      </w:r>
    </w:p>
    <w:p w14:paraId="790B5431" w14:textId="424CD707" w:rsidR="00046F46" w:rsidRPr="00EE4C2A" w:rsidRDefault="00046F46" w:rsidP="00046F46">
      <w:pPr>
        <w:pStyle w:val="SingleTxtG"/>
        <w:rPr>
          <w:i/>
          <w:lang w:val="fr-FR"/>
        </w:rPr>
      </w:pPr>
      <w:r w:rsidRPr="00EE4C2A">
        <w:rPr>
          <w:i/>
          <w:iCs/>
          <w:lang w:val="fr-FR"/>
        </w:rPr>
        <w:t>L</w:t>
      </w:r>
      <w:r w:rsidR="008279BF">
        <w:rPr>
          <w:i/>
          <w:iCs/>
          <w:lang w:val="fr-FR"/>
        </w:rPr>
        <w:t>’</w:t>
      </w:r>
      <w:r w:rsidRPr="00EE4C2A">
        <w:rPr>
          <w:i/>
          <w:iCs/>
          <w:lang w:val="fr-FR"/>
        </w:rPr>
        <w:t>État partie souhaite rendre compte des perspectives offertes et des difficultés rencontrées :</w:t>
      </w:r>
    </w:p>
    <w:p w14:paraId="42A9C513"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Perspectives</w:t>
      </w:r>
    </w:p>
    <w:p w14:paraId="05FA4BB0" w14:textId="77777777" w:rsidR="00046F46" w:rsidRPr="00EE4C2A" w:rsidRDefault="00046F46" w:rsidP="00046F46">
      <w:pPr>
        <w:pStyle w:val="SingleTxtG"/>
        <w:rPr>
          <w:lang w:val="fr-FR"/>
        </w:rPr>
      </w:pPr>
      <w:r w:rsidRPr="00EE4C2A">
        <w:rPr>
          <w:lang w:val="fr-FR"/>
        </w:rPr>
        <w:t>13.</w:t>
      </w:r>
      <w:r w:rsidRPr="00EE4C2A">
        <w:rPr>
          <w:lang w:val="fr-FR"/>
        </w:rPr>
        <w:tab/>
        <w:t>Des documents nationaux, notamment des politiques et plans stratégiques sectoriels, sont en place.</w:t>
      </w:r>
    </w:p>
    <w:p w14:paraId="6E3653FC" w14:textId="77777777" w:rsidR="00046F46" w:rsidRPr="00EE4C2A" w:rsidRDefault="00046F46" w:rsidP="00046F46">
      <w:pPr>
        <w:pStyle w:val="SingleTxtG"/>
        <w:rPr>
          <w:lang w:val="fr-FR"/>
        </w:rPr>
      </w:pPr>
      <w:r w:rsidRPr="00EE4C2A">
        <w:rPr>
          <w:lang w:val="fr-FR"/>
        </w:rPr>
        <w:t>14.</w:t>
      </w:r>
      <w:r w:rsidRPr="00EE4C2A">
        <w:rPr>
          <w:lang w:val="fr-FR"/>
        </w:rPr>
        <w:tab/>
        <w:t>Les relations de travail entre acteurs étatiques et non étatiques sont cordiales.</w:t>
      </w:r>
    </w:p>
    <w:p w14:paraId="3540DB77" w14:textId="77777777" w:rsidR="00046F46" w:rsidRPr="00EE4C2A" w:rsidRDefault="00046F46" w:rsidP="00046F46">
      <w:pPr>
        <w:pStyle w:val="SingleTxtG"/>
        <w:rPr>
          <w:lang w:val="fr-FR"/>
        </w:rPr>
      </w:pPr>
      <w:r w:rsidRPr="00EE4C2A">
        <w:rPr>
          <w:lang w:val="fr-FR"/>
        </w:rPr>
        <w:t>15.</w:t>
      </w:r>
      <w:r w:rsidRPr="00EE4C2A">
        <w:rPr>
          <w:lang w:val="fr-FR"/>
        </w:rPr>
        <w:tab/>
        <w:t>Participation des partenaires de développement et de coopération aux programmes en faveur des femmes et enfants.</w:t>
      </w:r>
    </w:p>
    <w:p w14:paraId="143033E2" w14:textId="17BE3A32" w:rsidR="00046F46" w:rsidRPr="00EE4C2A" w:rsidRDefault="00046F46" w:rsidP="00046F46">
      <w:pPr>
        <w:pStyle w:val="SingleTxtG"/>
        <w:rPr>
          <w:lang w:val="fr-FR"/>
        </w:rPr>
      </w:pPr>
      <w:r w:rsidRPr="00EE4C2A">
        <w:rPr>
          <w:lang w:val="fr-FR"/>
        </w:rPr>
        <w:t>16.</w:t>
      </w:r>
      <w:r w:rsidRPr="00EE4C2A">
        <w:rPr>
          <w:lang w:val="fr-FR"/>
        </w:rPr>
        <w:tab/>
        <w:t>Existence d</w:t>
      </w:r>
      <w:r w:rsidR="008279BF">
        <w:rPr>
          <w:lang w:val="fr-FR"/>
        </w:rPr>
        <w:t>’</w:t>
      </w:r>
      <w:r w:rsidRPr="00EE4C2A">
        <w:rPr>
          <w:lang w:val="fr-FR"/>
        </w:rPr>
        <w:t>une volonté politique qui a permis d</w:t>
      </w:r>
      <w:r w:rsidR="008279BF">
        <w:rPr>
          <w:lang w:val="fr-FR"/>
        </w:rPr>
        <w:t>’</w:t>
      </w:r>
      <w:r w:rsidRPr="00EE4C2A">
        <w:rPr>
          <w:lang w:val="fr-FR"/>
        </w:rPr>
        <w:t>obtenir le statut de pays pionnier et de redoubler d</w:t>
      </w:r>
      <w:r w:rsidR="008279BF">
        <w:rPr>
          <w:lang w:val="fr-FR"/>
        </w:rPr>
        <w:t>’</w:t>
      </w:r>
      <w:r w:rsidRPr="00EE4C2A">
        <w:rPr>
          <w:lang w:val="fr-FR"/>
        </w:rPr>
        <w:t>efforts pour lutter contre les violences faites aux enfants.</w:t>
      </w:r>
    </w:p>
    <w:p w14:paraId="18431BCD" w14:textId="501C0C24" w:rsidR="00046F46" w:rsidRPr="00EE4C2A" w:rsidRDefault="00046F46" w:rsidP="00046F46">
      <w:pPr>
        <w:pStyle w:val="SingleTxtG"/>
        <w:rPr>
          <w:lang w:val="fr-FR"/>
        </w:rPr>
      </w:pPr>
      <w:r w:rsidRPr="00EE4C2A">
        <w:rPr>
          <w:lang w:val="fr-FR"/>
        </w:rPr>
        <w:t>17.</w:t>
      </w:r>
      <w:r w:rsidRPr="00EE4C2A">
        <w:rPr>
          <w:lang w:val="fr-FR"/>
        </w:rPr>
        <w:tab/>
        <w:t>Le passage d</w:t>
      </w:r>
      <w:r w:rsidR="008279BF">
        <w:rPr>
          <w:lang w:val="fr-FR"/>
        </w:rPr>
        <w:t>’</w:t>
      </w:r>
      <w:r w:rsidRPr="00EE4C2A">
        <w:rPr>
          <w:lang w:val="fr-FR"/>
        </w:rPr>
        <w:t>une planification sectorielle à une planification multisectorielle a amélioré la mise en œuvre des programmes.</w:t>
      </w:r>
    </w:p>
    <w:p w14:paraId="618E51E0"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Difficultés</w:t>
      </w:r>
    </w:p>
    <w:p w14:paraId="2BE7E661" w14:textId="21102312" w:rsidR="00046F46" w:rsidRPr="00EE4C2A" w:rsidRDefault="00046F46" w:rsidP="00046F46">
      <w:pPr>
        <w:pStyle w:val="SingleTxtG"/>
        <w:rPr>
          <w:lang w:val="fr-FR"/>
        </w:rPr>
      </w:pPr>
      <w:r w:rsidRPr="00EE4C2A">
        <w:rPr>
          <w:lang w:val="fr-FR"/>
        </w:rPr>
        <w:t>18.</w:t>
      </w:r>
      <w:r w:rsidRPr="00EE4C2A">
        <w:rPr>
          <w:lang w:val="fr-FR"/>
        </w:rPr>
        <w:tab/>
        <w:t>La quantité limitée de données, associée à l</w:t>
      </w:r>
      <w:r w:rsidR="008279BF">
        <w:rPr>
          <w:lang w:val="fr-FR"/>
        </w:rPr>
        <w:t>’</w:t>
      </w:r>
      <w:r w:rsidRPr="00EE4C2A">
        <w:rPr>
          <w:lang w:val="fr-FR"/>
        </w:rPr>
        <w:t>absence de données ventilées par genre et par handicap, restent des contraintes considérables qui entravent le suivi de la Convention relative aux droits de l</w:t>
      </w:r>
      <w:r w:rsidR="008279BF">
        <w:rPr>
          <w:lang w:val="fr-FR"/>
        </w:rPr>
        <w:t>’</w:t>
      </w:r>
      <w:r w:rsidRPr="00EE4C2A">
        <w:rPr>
          <w:lang w:val="fr-FR"/>
        </w:rPr>
        <w:t>enfant et des objectifs de développement durable (ODD) ainsi que l</w:t>
      </w:r>
      <w:r w:rsidR="008279BF">
        <w:rPr>
          <w:lang w:val="fr-FR"/>
        </w:rPr>
        <w:t>’</w:t>
      </w:r>
      <w:r w:rsidRPr="00EE4C2A">
        <w:rPr>
          <w:lang w:val="fr-FR"/>
        </w:rPr>
        <w:t>élaboration de plans reposant sur des bases factuelles.</w:t>
      </w:r>
    </w:p>
    <w:p w14:paraId="7A7DCF35" w14:textId="35183674" w:rsidR="00046F46" w:rsidRPr="00EE4C2A" w:rsidRDefault="00046F46" w:rsidP="00046F46">
      <w:pPr>
        <w:pStyle w:val="SingleTxtG"/>
        <w:rPr>
          <w:lang w:val="fr-FR"/>
        </w:rPr>
      </w:pPr>
      <w:r w:rsidRPr="00EE4C2A">
        <w:rPr>
          <w:lang w:val="fr-FR"/>
        </w:rPr>
        <w:t>19.</w:t>
      </w:r>
      <w:r w:rsidRPr="00EE4C2A">
        <w:rPr>
          <w:lang w:val="fr-FR"/>
        </w:rPr>
        <w:tab/>
        <w:t>Les effets néfastes des changements climatiques font peser de graves menaces sur la mise en œuvre de la Convention relative aux droits de l</w:t>
      </w:r>
      <w:r w:rsidR="008279BF">
        <w:rPr>
          <w:lang w:val="fr-FR"/>
        </w:rPr>
        <w:t>’</w:t>
      </w:r>
      <w:r w:rsidRPr="00EE4C2A">
        <w:rPr>
          <w:lang w:val="fr-FR"/>
        </w:rPr>
        <w:t>enfant et sur la réalisation des ODD.</w:t>
      </w:r>
    </w:p>
    <w:p w14:paraId="47831865" w14:textId="4186E9B2" w:rsidR="00046F46" w:rsidRPr="00EE4C2A" w:rsidRDefault="00046F46" w:rsidP="00046F46">
      <w:pPr>
        <w:pStyle w:val="SingleTxtG"/>
        <w:rPr>
          <w:lang w:val="fr-FR"/>
        </w:rPr>
      </w:pPr>
      <w:r w:rsidRPr="00EE4C2A">
        <w:rPr>
          <w:lang w:val="fr-FR"/>
        </w:rPr>
        <w:t>20.</w:t>
      </w:r>
      <w:r w:rsidRPr="00EE4C2A">
        <w:rPr>
          <w:lang w:val="fr-FR"/>
        </w:rPr>
        <w:tab/>
        <w:t>La structure de coordination nationale, qui relève du Département du développement de l</w:t>
      </w:r>
      <w:r w:rsidR="008279BF">
        <w:rPr>
          <w:lang w:val="fr-FR"/>
        </w:rPr>
        <w:t>’</w:t>
      </w:r>
      <w:r w:rsidRPr="00EE4C2A">
        <w:rPr>
          <w:lang w:val="fr-FR"/>
        </w:rPr>
        <w:t>enfant et du Forum sur la justice pour enfants, a besoin d</w:t>
      </w:r>
      <w:r w:rsidR="008279BF">
        <w:rPr>
          <w:lang w:val="fr-FR"/>
        </w:rPr>
        <w:t>’</w:t>
      </w:r>
      <w:r w:rsidRPr="00EE4C2A">
        <w:rPr>
          <w:lang w:val="fr-FR"/>
        </w:rPr>
        <w:t>un soutien technique et financier pour remplir convenablement son mandat de coordination.</w:t>
      </w:r>
    </w:p>
    <w:p w14:paraId="0B4BA327" w14:textId="3B71389A" w:rsidR="00046F46" w:rsidRPr="00EE4C2A" w:rsidRDefault="00046F46" w:rsidP="00046F46">
      <w:pPr>
        <w:pStyle w:val="SingleTxtG"/>
        <w:rPr>
          <w:lang w:val="fr-FR"/>
        </w:rPr>
      </w:pPr>
      <w:r w:rsidRPr="00EE4C2A">
        <w:rPr>
          <w:lang w:val="fr-FR"/>
        </w:rPr>
        <w:t>21.</w:t>
      </w:r>
      <w:r w:rsidRPr="00EE4C2A">
        <w:rPr>
          <w:lang w:val="fr-FR"/>
        </w:rPr>
        <w:tab/>
        <w:t>Le contrôle du travail des enfants, le manque de programmes de suivi et la faiblesse des systèmes de gestion de l</w:t>
      </w:r>
      <w:r w:rsidR="008279BF">
        <w:rPr>
          <w:lang w:val="fr-FR"/>
        </w:rPr>
        <w:t>’</w:t>
      </w:r>
      <w:r w:rsidRPr="00EE4C2A">
        <w:rPr>
          <w:lang w:val="fr-FR"/>
        </w:rPr>
        <w:t>information posent également des difficultés.</w:t>
      </w:r>
    </w:p>
    <w:p w14:paraId="6FBEB514" w14:textId="77777777" w:rsidR="00046F46" w:rsidRPr="00EE4C2A" w:rsidRDefault="00046F46" w:rsidP="00046F46">
      <w:pPr>
        <w:pStyle w:val="SingleTxtG"/>
        <w:rPr>
          <w:lang w:val="fr-FR"/>
        </w:rPr>
      </w:pPr>
      <w:r w:rsidRPr="00EE4C2A">
        <w:rPr>
          <w:lang w:val="fr-FR"/>
        </w:rPr>
        <w:t>22.</w:t>
      </w:r>
      <w:r w:rsidRPr="00EE4C2A">
        <w:rPr>
          <w:lang w:val="fr-FR"/>
        </w:rPr>
        <w:tab/>
        <w:t>En raison de la pandémie de COVID-19, les ressources précédemment allouées à certains programmes ont été réaffectées pour protéger la santé des citoyens, y compris celle des enfants, et la mise en œuvre de ces programmes a pris du retard.</w:t>
      </w:r>
    </w:p>
    <w:p w14:paraId="0235BD06"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 de la liste de points établie </w:t>
      </w:r>
      <w:r>
        <w:rPr>
          <w:bCs/>
          <w:lang w:val="fr-FR"/>
        </w:rPr>
        <w:t>avant la soumission du rapport</w:t>
      </w:r>
    </w:p>
    <w:p w14:paraId="62A1534A" w14:textId="2A20D44E" w:rsidR="00046F46" w:rsidRPr="00EE4C2A" w:rsidRDefault="00046F46" w:rsidP="00046F46">
      <w:pPr>
        <w:pStyle w:val="SingleTxtG"/>
        <w:rPr>
          <w:lang w:val="fr-FR"/>
        </w:rPr>
      </w:pPr>
      <w:r w:rsidRPr="00EE4C2A">
        <w:rPr>
          <w:lang w:val="fr-FR"/>
        </w:rPr>
        <w:t>23.</w:t>
      </w:r>
      <w:r w:rsidRPr="00EE4C2A">
        <w:rPr>
          <w:lang w:val="fr-FR"/>
        </w:rPr>
        <w:tab/>
        <w:t>L</w:t>
      </w:r>
      <w:r w:rsidR="008279BF">
        <w:rPr>
          <w:lang w:val="fr-FR"/>
        </w:rPr>
        <w:t>’</w:t>
      </w:r>
      <w:r w:rsidRPr="00EE4C2A">
        <w:rPr>
          <w:lang w:val="fr-FR"/>
        </w:rPr>
        <w:t>État partie, par l</w:t>
      </w:r>
      <w:r w:rsidR="008279BF">
        <w:rPr>
          <w:lang w:val="fr-FR"/>
        </w:rPr>
        <w:t>’</w:t>
      </w:r>
      <w:r w:rsidRPr="00EE4C2A">
        <w:rPr>
          <w:lang w:val="fr-FR"/>
        </w:rPr>
        <w:t>intermédiaire du principal organe responsable de la Planification et du développement national, a élaboré le septième Plan national développement</w:t>
      </w:r>
      <w:r w:rsidR="003016C3">
        <w:rPr>
          <w:lang w:val="fr-FR"/>
        </w:rPr>
        <w:t xml:space="preserve"> </w:t>
      </w:r>
      <w:r w:rsidRPr="00EE4C2A">
        <w:rPr>
          <w:lang w:val="fr-FR"/>
        </w:rPr>
        <w:t>(2017</w:t>
      </w:r>
      <w:r w:rsidRPr="00EE4C2A">
        <w:rPr>
          <w:lang w:val="fr-FR"/>
        </w:rPr>
        <w:noBreakHyphen/>
        <w:t>2021), qui a intégré 86 % des ODD et des questions traitées dans la Convention relative aux droits de l</w:t>
      </w:r>
      <w:r w:rsidR="008279BF">
        <w:rPr>
          <w:lang w:val="fr-FR"/>
        </w:rPr>
        <w:t>’</w:t>
      </w:r>
      <w:r w:rsidRPr="00EE4C2A">
        <w:rPr>
          <w:lang w:val="fr-FR"/>
        </w:rPr>
        <w:t>enfant. La réalisation des ODD et l</w:t>
      </w:r>
      <w:r w:rsidR="008279BF">
        <w:rPr>
          <w:lang w:val="fr-FR"/>
        </w:rPr>
        <w:t>’</w:t>
      </w:r>
      <w:r w:rsidRPr="00EE4C2A">
        <w:rPr>
          <w:lang w:val="fr-FR"/>
        </w:rPr>
        <w:t>établissement des rapports y afférents sont coordonnés par des structures institutionnelles utilisant le modèle des groupes sectoriels, composés d</w:t>
      </w:r>
      <w:r w:rsidR="008279BF">
        <w:rPr>
          <w:lang w:val="fr-FR"/>
        </w:rPr>
        <w:t>’</w:t>
      </w:r>
      <w:r w:rsidRPr="00EE4C2A">
        <w:rPr>
          <w:lang w:val="fr-FR"/>
        </w:rPr>
        <w:t>acteurs étatiques et non étatiques.</w:t>
      </w:r>
    </w:p>
    <w:p w14:paraId="62051BFE" w14:textId="43FBCF2B" w:rsidR="00046F46" w:rsidRPr="00EE4C2A" w:rsidRDefault="00046F46" w:rsidP="00046F46">
      <w:pPr>
        <w:pStyle w:val="SingleTxtG"/>
        <w:rPr>
          <w:lang w:val="fr-FR"/>
        </w:rPr>
      </w:pPr>
      <w:r w:rsidRPr="00EE4C2A">
        <w:rPr>
          <w:lang w:val="fr-FR"/>
        </w:rPr>
        <w:lastRenderedPageBreak/>
        <w:t>24.</w:t>
      </w:r>
      <w:r w:rsidRPr="00EE4C2A">
        <w:rPr>
          <w:lang w:val="fr-FR"/>
        </w:rPr>
        <w:tab/>
        <w:t>Le septième Plan national de développement est fondé sur une approche de développement intégrée</w:t>
      </w:r>
      <w:r w:rsidR="003016C3">
        <w:rPr>
          <w:lang w:val="fr-FR"/>
        </w:rPr>
        <w:t xml:space="preserve"> </w:t>
      </w:r>
      <w:r w:rsidRPr="00EE4C2A">
        <w:rPr>
          <w:lang w:val="fr-FR"/>
        </w:rPr>
        <w:t>(multisectorielle), et non plus sur une planification sectorielle, sous le thème « Accélérer les efforts de développement à l</w:t>
      </w:r>
      <w:r w:rsidR="008279BF">
        <w:rPr>
          <w:lang w:val="fr-FR"/>
        </w:rPr>
        <w:t>’</w:t>
      </w:r>
      <w:r w:rsidRPr="00EE4C2A">
        <w:rPr>
          <w:lang w:val="fr-FR"/>
        </w:rPr>
        <w:t>horizon 2030 en ne laissant personne de côté ». Cette approche tient compte du caractère interdépendant du développement durable, qui nécessite d</w:t>
      </w:r>
      <w:r w:rsidR="008279BF">
        <w:rPr>
          <w:lang w:val="fr-FR"/>
        </w:rPr>
        <w:t>’</w:t>
      </w:r>
      <w:r w:rsidRPr="00EE4C2A">
        <w:rPr>
          <w:lang w:val="fr-FR"/>
        </w:rPr>
        <w:t>inscrire les mesures prises dans une stratégie dûment coordonnée. À cet effet, un Plan de mise en œuvre, qui énonce les résultats attendus et les prévisions de dépenses correspondantes, a été lancé pour guider le processus d</w:t>
      </w:r>
      <w:r w:rsidR="008279BF">
        <w:rPr>
          <w:lang w:val="fr-FR"/>
        </w:rPr>
        <w:t>’</w:t>
      </w:r>
      <w:r w:rsidRPr="00EE4C2A">
        <w:rPr>
          <w:lang w:val="fr-FR"/>
        </w:rPr>
        <w:t>exécution.</w:t>
      </w:r>
    </w:p>
    <w:p w14:paraId="790FD582" w14:textId="0FB9CE79" w:rsidR="00046F46" w:rsidRPr="00EE4C2A" w:rsidRDefault="00046F46" w:rsidP="00046F46">
      <w:pPr>
        <w:pStyle w:val="SingleTxtG"/>
        <w:rPr>
          <w:lang w:val="fr-FR"/>
        </w:rPr>
      </w:pPr>
      <w:r w:rsidRPr="00EE4C2A">
        <w:rPr>
          <w:lang w:val="fr-FR"/>
        </w:rPr>
        <w:t>25.</w:t>
      </w:r>
      <w:r w:rsidRPr="00EE4C2A">
        <w:rPr>
          <w:lang w:val="fr-FR"/>
        </w:rPr>
        <w:tab/>
        <w:t>Pour l</w:t>
      </w:r>
      <w:r w:rsidR="008279BF">
        <w:rPr>
          <w:lang w:val="fr-FR"/>
        </w:rPr>
        <w:t>’</w:t>
      </w:r>
      <w:r w:rsidRPr="00EE4C2A">
        <w:rPr>
          <w:lang w:val="fr-FR"/>
        </w:rPr>
        <w:t>avenir, l</w:t>
      </w:r>
      <w:r w:rsidR="008279BF">
        <w:rPr>
          <w:lang w:val="fr-FR"/>
        </w:rPr>
        <w:t>’</w:t>
      </w:r>
      <w:r w:rsidRPr="00EE4C2A">
        <w:rPr>
          <w:lang w:val="fr-FR"/>
        </w:rPr>
        <w:t>État partie a élaboré un document de réflexion, visant à préparer le huitième Plan national de développement. Les objectifs sont d</w:t>
      </w:r>
      <w:r w:rsidR="008279BF">
        <w:rPr>
          <w:lang w:val="fr-FR"/>
        </w:rPr>
        <w:t>’</w:t>
      </w:r>
      <w:r w:rsidRPr="00EE4C2A">
        <w:rPr>
          <w:lang w:val="fr-FR"/>
        </w:rPr>
        <w:t>identifier et de délimiter les questions structurelles et de fournir une base pour de larges consultations et la recherche d</w:t>
      </w:r>
      <w:r w:rsidR="008279BF">
        <w:rPr>
          <w:lang w:val="fr-FR"/>
        </w:rPr>
        <w:t>’</w:t>
      </w:r>
      <w:r w:rsidRPr="00EE4C2A">
        <w:rPr>
          <w:lang w:val="fr-FR"/>
        </w:rPr>
        <w:t>un consensus entre les parties prenantes.</w:t>
      </w:r>
    </w:p>
    <w:p w14:paraId="6F7ECE31" w14:textId="1333A2FD" w:rsidR="00046F46" w:rsidRPr="00EE4C2A" w:rsidRDefault="00046F46" w:rsidP="00046F46">
      <w:pPr>
        <w:pStyle w:val="SingleTxtG"/>
        <w:rPr>
          <w:lang w:val="fr-FR"/>
        </w:rPr>
      </w:pPr>
      <w:r w:rsidRPr="00EE4C2A">
        <w:rPr>
          <w:lang w:val="fr-FR"/>
        </w:rPr>
        <w:t>26.</w:t>
      </w:r>
      <w:r w:rsidRPr="00EE4C2A">
        <w:rPr>
          <w:lang w:val="fr-FR"/>
        </w:rPr>
        <w:tab/>
        <w:t>En ce qui concerne le principe de la participation des enfants, l</w:t>
      </w:r>
      <w:r w:rsidR="008279BF">
        <w:rPr>
          <w:lang w:val="fr-FR"/>
        </w:rPr>
        <w:t>’</w:t>
      </w:r>
      <w:r w:rsidRPr="00EE4C2A">
        <w:rPr>
          <w:lang w:val="fr-FR"/>
        </w:rPr>
        <w:t>État partie mène une consultation initiale pour élaborer une stratégie nationale qui fournira des procédures et des directives encadrant la participation des enfants dans les domaines de l</w:t>
      </w:r>
      <w:r w:rsidR="008279BF">
        <w:rPr>
          <w:lang w:val="fr-FR"/>
        </w:rPr>
        <w:t>’</w:t>
      </w:r>
      <w:r w:rsidRPr="00EE4C2A">
        <w:rPr>
          <w:lang w:val="fr-FR"/>
        </w:rPr>
        <w:t>école, de la santé, de la justice sociale et des systèmes de gouvernance. Un projet de directives nationales pour la création d</w:t>
      </w:r>
      <w:r w:rsidR="008279BF">
        <w:rPr>
          <w:lang w:val="fr-FR"/>
        </w:rPr>
        <w:t>’</w:t>
      </w:r>
      <w:r w:rsidRPr="00EE4C2A">
        <w:rPr>
          <w:lang w:val="fr-FR"/>
        </w:rPr>
        <w:t>un parlement des enfants a été élaboré avec le soutien de l</w:t>
      </w:r>
      <w:r w:rsidR="008279BF">
        <w:rPr>
          <w:lang w:val="fr-FR"/>
        </w:rPr>
        <w:t>’</w:t>
      </w:r>
      <w:r w:rsidRPr="00EE4C2A">
        <w:rPr>
          <w:lang w:val="fr-FR"/>
        </w:rPr>
        <w:t>organisation Save the Children Zambia. Des forums d</w:t>
      </w:r>
      <w:r w:rsidR="008279BF">
        <w:rPr>
          <w:lang w:val="fr-FR"/>
        </w:rPr>
        <w:t>’</w:t>
      </w:r>
      <w:r w:rsidRPr="00EE4C2A">
        <w:rPr>
          <w:lang w:val="fr-FR"/>
        </w:rPr>
        <w:t>enfants ont été créés pour contribuer à l</w:t>
      </w:r>
      <w:r w:rsidR="008279BF">
        <w:rPr>
          <w:lang w:val="fr-FR"/>
        </w:rPr>
        <w:t>’</w:t>
      </w:r>
      <w:r w:rsidRPr="00EE4C2A">
        <w:rPr>
          <w:lang w:val="fr-FR"/>
        </w:rPr>
        <w:t>élaboration du plan, à sa mise en œuvre et au suivi budgétaire.</w:t>
      </w:r>
    </w:p>
    <w:p w14:paraId="6EB91247" w14:textId="067A3A97" w:rsidR="00046F46" w:rsidRPr="00EE4C2A" w:rsidRDefault="00046F46" w:rsidP="00046F46">
      <w:pPr>
        <w:pStyle w:val="SingleTxtG"/>
        <w:rPr>
          <w:lang w:val="fr-FR"/>
        </w:rPr>
      </w:pPr>
      <w:r w:rsidRPr="00EE4C2A">
        <w:rPr>
          <w:lang w:val="fr-FR"/>
        </w:rPr>
        <w:t>27.</w:t>
      </w:r>
      <w:r w:rsidRPr="00EE4C2A">
        <w:rPr>
          <w:lang w:val="fr-FR"/>
        </w:rPr>
        <w:tab/>
        <w:t>L</w:t>
      </w:r>
      <w:r w:rsidR="008279BF">
        <w:rPr>
          <w:lang w:val="fr-FR"/>
        </w:rPr>
        <w:t>’</w:t>
      </w:r>
      <w:r w:rsidRPr="00EE4C2A">
        <w:rPr>
          <w:lang w:val="fr-FR"/>
        </w:rPr>
        <w:t>État partie a continué de faire participer les enfants et les jeunes aux questions de gouvernance en organisant des sommets annuels des enfants, par exemple à l</w:t>
      </w:r>
      <w:r w:rsidR="008279BF">
        <w:rPr>
          <w:lang w:val="fr-FR"/>
        </w:rPr>
        <w:t>’</w:t>
      </w:r>
      <w:r w:rsidRPr="00EE4C2A">
        <w:rPr>
          <w:lang w:val="fr-FR"/>
        </w:rPr>
        <w:t xml:space="preserve">occasion de la célébration du </w:t>
      </w:r>
      <w:r w:rsidR="003016C3">
        <w:rPr>
          <w:lang w:val="fr-FR"/>
        </w:rPr>
        <w:t xml:space="preserve">trentième </w:t>
      </w:r>
      <w:r w:rsidRPr="00EE4C2A">
        <w:rPr>
          <w:lang w:val="fr-FR"/>
        </w:rPr>
        <w:t>anniversaire de la Convention relative aux droits de l</w:t>
      </w:r>
      <w:r w:rsidR="008279BF">
        <w:rPr>
          <w:lang w:val="fr-FR"/>
        </w:rPr>
        <w:t>’</w:t>
      </w:r>
      <w:r w:rsidRPr="00EE4C2A">
        <w:rPr>
          <w:lang w:val="fr-FR"/>
        </w:rPr>
        <w:t>enfant et de l</w:t>
      </w:r>
      <w:r w:rsidR="008279BF">
        <w:rPr>
          <w:lang w:val="fr-FR"/>
        </w:rPr>
        <w:t>’</w:t>
      </w:r>
      <w:r w:rsidRPr="00EE4C2A">
        <w:rPr>
          <w:lang w:val="fr-FR"/>
        </w:rPr>
        <w:t>observation des journées consacrées aux enfants. Ces événements ont permis de sensibiliser les communautés, les écoles, les établissements d</w:t>
      </w:r>
      <w:r w:rsidR="008279BF">
        <w:rPr>
          <w:lang w:val="fr-FR"/>
        </w:rPr>
        <w:t>’</w:t>
      </w:r>
      <w:r w:rsidRPr="00EE4C2A">
        <w:rPr>
          <w:lang w:val="fr-FR"/>
        </w:rPr>
        <w:t>enseignement et la nation aux droits de l</w:t>
      </w:r>
      <w:r w:rsidR="008279BF">
        <w:rPr>
          <w:lang w:val="fr-FR"/>
        </w:rPr>
        <w:t>’</w:t>
      </w:r>
      <w:r w:rsidRPr="00EE4C2A">
        <w:rPr>
          <w:lang w:val="fr-FR"/>
        </w:rPr>
        <w:t>enfant. En outre, 10 réunions consultatives régionales ont été tenues entre 2012</w:t>
      </w:r>
      <w:r w:rsidR="003016C3">
        <w:rPr>
          <w:lang w:val="fr-FR"/>
        </w:rPr>
        <w:t xml:space="preserve"> </w:t>
      </w:r>
      <w:r w:rsidRPr="00EE4C2A">
        <w:rPr>
          <w:lang w:val="fr-FR"/>
        </w:rPr>
        <w:t>et</w:t>
      </w:r>
      <w:r w:rsidR="003016C3">
        <w:rPr>
          <w:lang w:val="fr-FR"/>
        </w:rPr>
        <w:t xml:space="preserve"> </w:t>
      </w:r>
      <w:r w:rsidRPr="00EE4C2A">
        <w:rPr>
          <w:lang w:val="fr-FR"/>
        </w:rPr>
        <w:t>2015 dans le cadre de l</w:t>
      </w:r>
      <w:r w:rsidR="008279BF">
        <w:rPr>
          <w:lang w:val="fr-FR"/>
        </w:rPr>
        <w:t>’</w:t>
      </w:r>
      <w:r w:rsidRPr="00EE4C2A">
        <w:rPr>
          <w:lang w:val="fr-FR"/>
        </w:rPr>
        <w:t>élaboration et de l</w:t>
      </w:r>
      <w:r w:rsidR="008279BF">
        <w:rPr>
          <w:lang w:val="fr-FR"/>
        </w:rPr>
        <w:t>’</w:t>
      </w:r>
      <w:r w:rsidRPr="00EE4C2A">
        <w:rPr>
          <w:lang w:val="fr-FR"/>
        </w:rPr>
        <w:t>examen des politiques et programmes nationaux ; 10 autres réunions consultatives ont été organisées pour recueillir l</w:t>
      </w:r>
      <w:r w:rsidR="008279BF">
        <w:rPr>
          <w:lang w:val="fr-FR"/>
        </w:rPr>
        <w:t>’</w:t>
      </w:r>
      <w:r w:rsidRPr="00EE4C2A">
        <w:rPr>
          <w:lang w:val="fr-FR"/>
        </w:rPr>
        <w:t>avis des enfants et autres jeunes dans le cadre du processus de présentation des rapports des États parties entre</w:t>
      </w:r>
      <w:r w:rsidR="003016C3">
        <w:rPr>
          <w:lang w:val="fr-FR"/>
        </w:rPr>
        <w:t xml:space="preserve"> </w:t>
      </w:r>
      <w:r w:rsidRPr="00EE4C2A">
        <w:rPr>
          <w:lang w:val="fr-FR"/>
        </w:rPr>
        <w:t>2015 et</w:t>
      </w:r>
      <w:r w:rsidR="003016C3">
        <w:rPr>
          <w:lang w:val="fr-FR"/>
        </w:rPr>
        <w:t xml:space="preserve"> </w:t>
      </w:r>
      <w:r w:rsidRPr="00EE4C2A">
        <w:rPr>
          <w:lang w:val="fr-FR"/>
        </w:rPr>
        <w:t>2017. Des colloques d</w:t>
      </w:r>
      <w:r w:rsidR="008279BF">
        <w:rPr>
          <w:lang w:val="fr-FR"/>
        </w:rPr>
        <w:t>’</w:t>
      </w:r>
      <w:r w:rsidRPr="00EE4C2A">
        <w:rPr>
          <w:lang w:val="fr-FR"/>
        </w:rPr>
        <w:t xml:space="preserve">enfants ont eu lieu dans les 10 provinces </w:t>
      </w:r>
      <w:r>
        <w:rPr>
          <w:lang w:val="fr-FR"/>
        </w:rPr>
        <w:t>pour</w:t>
      </w:r>
      <w:r w:rsidRPr="00EE4C2A">
        <w:rPr>
          <w:lang w:val="fr-FR"/>
        </w:rPr>
        <w:t xml:space="preserve"> célébrer le</w:t>
      </w:r>
      <w:r w:rsidR="003016C3">
        <w:rPr>
          <w:lang w:val="fr-FR"/>
        </w:rPr>
        <w:t xml:space="preserve"> </w:t>
      </w:r>
      <w:r w:rsidR="003016C3">
        <w:rPr>
          <w:lang w:val="fr-FR"/>
        </w:rPr>
        <w:t xml:space="preserve">trentième </w:t>
      </w:r>
      <w:r w:rsidRPr="00EE4C2A">
        <w:rPr>
          <w:lang w:val="fr-FR"/>
        </w:rPr>
        <w:t>anniversaire de la Charte africaine des droits de l</w:t>
      </w:r>
      <w:r w:rsidR="008279BF">
        <w:rPr>
          <w:lang w:val="fr-FR"/>
        </w:rPr>
        <w:t>’</w:t>
      </w:r>
      <w:r w:rsidRPr="00EE4C2A">
        <w:rPr>
          <w:lang w:val="fr-FR"/>
        </w:rPr>
        <w:t>homme et des peuples ainsi que la Journée mondiale de l</w:t>
      </w:r>
      <w:r w:rsidR="008279BF">
        <w:rPr>
          <w:lang w:val="fr-FR"/>
        </w:rPr>
        <w:t>’</w:t>
      </w:r>
      <w:r w:rsidRPr="00EE4C2A">
        <w:rPr>
          <w:lang w:val="fr-FR"/>
        </w:rPr>
        <w:t>enfance en</w:t>
      </w:r>
      <w:r w:rsidR="003016C3">
        <w:rPr>
          <w:lang w:val="fr-FR"/>
        </w:rPr>
        <w:t xml:space="preserve"> </w:t>
      </w:r>
      <w:r w:rsidRPr="00EE4C2A">
        <w:rPr>
          <w:lang w:val="fr-FR"/>
        </w:rPr>
        <w:t>2020 sur le thème « Réimaginer notre avenir ».</w:t>
      </w:r>
    </w:p>
    <w:p w14:paraId="4CFF1DF6" w14:textId="4D562661" w:rsidR="00046F46" w:rsidRPr="00EE4C2A" w:rsidRDefault="00046F46" w:rsidP="00046F46">
      <w:pPr>
        <w:pStyle w:val="HChG"/>
        <w:rPr>
          <w:lang w:val="fr-FR"/>
        </w:rPr>
      </w:pPr>
      <w:bookmarkStart w:id="4" w:name="_Toc63937962"/>
      <w:r w:rsidRPr="00EE4C2A">
        <w:rPr>
          <w:bCs/>
          <w:lang w:val="fr-FR"/>
        </w:rPr>
        <w:tab/>
        <w:t>II.</w:t>
      </w:r>
      <w:r w:rsidRPr="00EE4C2A">
        <w:rPr>
          <w:lang w:val="fr-FR"/>
        </w:rPr>
        <w:tab/>
      </w:r>
      <w:r w:rsidRPr="00EE4C2A">
        <w:rPr>
          <w:bCs/>
          <w:lang w:val="fr-FR"/>
        </w:rPr>
        <w:t>Droits garantis par la Convention et les Protocoles facultatifs s</w:t>
      </w:r>
      <w:r w:rsidR="008279BF">
        <w:rPr>
          <w:bCs/>
          <w:lang w:val="fr-FR"/>
        </w:rPr>
        <w:t>’</w:t>
      </w:r>
      <w:r w:rsidRPr="00EE4C2A">
        <w:rPr>
          <w:bCs/>
          <w:lang w:val="fr-FR"/>
        </w:rPr>
        <w:t>y rapportant</w:t>
      </w:r>
      <w:bookmarkEnd w:id="4"/>
    </w:p>
    <w:p w14:paraId="722D3D0E" w14:textId="3246D3DA" w:rsidR="00046F46" w:rsidRPr="00EE4C2A" w:rsidRDefault="00046F46" w:rsidP="00046F46">
      <w:pPr>
        <w:pStyle w:val="H1G"/>
        <w:rPr>
          <w:lang w:val="fr-FR"/>
        </w:rPr>
      </w:pPr>
      <w:bookmarkStart w:id="5" w:name="_Toc63937963"/>
      <w:r w:rsidRPr="00EE4C2A">
        <w:rPr>
          <w:bCs/>
          <w:lang w:val="fr-FR"/>
        </w:rPr>
        <w:tab/>
        <w:t>A.</w:t>
      </w:r>
      <w:r w:rsidRPr="00EE4C2A">
        <w:rPr>
          <w:lang w:val="fr-FR"/>
        </w:rPr>
        <w:tab/>
      </w:r>
      <w:r w:rsidRPr="00EE4C2A">
        <w:rPr>
          <w:bCs/>
          <w:lang w:val="fr-FR"/>
        </w:rPr>
        <w:t>Mesures d</w:t>
      </w:r>
      <w:r w:rsidR="008279BF">
        <w:rPr>
          <w:bCs/>
          <w:lang w:val="fr-FR"/>
        </w:rPr>
        <w:t>’</w:t>
      </w:r>
      <w:r w:rsidRPr="00EE4C2A">
        <w:rPr>
          <w:bCs/>
          <w:lang w:val="fr-FR"/>
        </w:rPr>
        <w:t>application générales (art. 4, 42 et 44 (par. 6))</w:t>
      </w:r>
      <w:bookmarkEnd w:id="5"/>
    </w:p>
    <w:p w14:paraId="4C8C485B" w14:textId="77777777" w:rsidR="00046F46" w:rsidRPr="00EE4C2A" w:rsidRDefault="00046F46" w:rsidP="00046F46">
      <w:pPr>
        <w:pStyle w:val="H1G"/>
        <w:rPr>
          <w:lang w:val="fr-FR"/>
        </w:rPr>
      </w:pPr>
      <w:bookmarkStart w:id="6" w:name="_Toc63937964"/>
      <w:r w:rsidRPr="00EE4C2A">
        <w:rPr>
          <w:lang w:val="fr-FR"/>
        </w:rPr>
        <w:tab/>
      </w:r>
      <w:r w:rsidRPr="00EE4C2A">
        <w:rPr>
          <w:lang w:val="fr-FR"/>
        </w:rPr>
        <w:tab/>
      </w:r>
      <w:r w:rsidRPr="00EE4C2A">
        <w:rPr>
          <w:bCs/>
          <w:lang w:val="fr-FR"/>
        </w:rPr>
        <w:t>Politique et stratégie globales et coordination</w:t>
      </w:r>
      <w:bookmarkEnd w:id="6"/>
    </w:p>
    <w:p w14:paraId="3CC0B81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 a) de la liste de points établie </w:t>
      </w:r>
      <w:r>
        <w:rPr>
          <w:bCs/>
          <w:lang w:val="fr-FR"/>
        </w:rPr>
        <w:t>avant la soumission du rapport</w:t>
      </w:r>
    </w:p>
    <w:p w14:paraId="4862BC1E" w14:textId="2D8D7886" w:rsidR="00046F46" w:rsidRPr="00EE4C2A" w:rsidRDefault="00046F46" w:rsidP="00046F46">
      <w:pPr>
        <w:pStyle w:val="SingleTxtG"/>
        <w:rPr>
          <w:lang w:val="fr-FR"/>
        </w:rPr>
      </w:pPr>
      <w:r w:rsidRPr="00EE4C2A">
        <w:rPr>
          <w:lang w:val="fr-FR"/>
        </w:rPr>
        <w:t>28.</w:t>
      </w:r>
      <w:r w:rsidRPr="00EE4C2A">
        <w:rPr>
          <w:lang w:val="fr-FR"/>
        </w:rPr>
        <w:tab/>
        <w:t>En ce qui concerne le calendrier fixé pour l</w:t>
      </w:r>
      <w:r w:rsidR="008279BF">
        <w:rPr>
          <w:lang w:val="fr-FR"/>
        </w:rPr>
        <w:t>’</w:t>
      </w:r>
      <w:r w:rsidRPr="00EE4C2A">
        <w:rPr>
          <w:lang w:val="fr-FR"/>
        </w:rPr>
        <w:t>adoption du projet de loi relatif au Code de protection de l</w:t>
      </w:r>
      <w:r w:rsidR="008279BF">
        <w:rPr>
          <w:lang w:val="fr-FR"/>
        </w:rPr>
        <w:t>’</w:t>
      </w:r>
      <w:r w:rsidRPr="00EE4C2A">
        <w:rPr>
          <w:lang w:val="fr-FR"/>
        </w:rPr>
        <w:t>enfance, l</w:t>
      </w:r>
      <w:r w:rsidR="008279BF">
        <w:rPr>
          <w:lang w:val="fr-FR"/>
        </w:rPr>
        <w:t>’</w:t>
      </w:r>
      <w:r w:rsidRPr="00EE4C2A">
        <w:rPr>
          <w:lang w:val="fr-FR"/>
        </w:rPr>
        <w:t>État partie souhaite rapporter que le processus consultatif et la rédaction dudit projet de loi sont terminés. Le projet de loi a été soumis au comité juridique et sera examiné à la réunion du Comité législatif du Cabinet (CLC) au cours du premier trimestre</w:t>
      </w:r>
      <w:r w:rsidR="00F73AC6">
        <w:rPr>
          <w:lang w:val="fr-FR"/>
        </w:rPr>
        <w:t xml:space="preserve"> de </w:t>
      </w:r>
      <w:r w:rsidRPr="00EE4C2A">
        <w:rPr>
          <w:lang w:val="fr-FR"/>
        </w:rPr>
        <w:t>2021. Le projet de loi doit être présenté au Parlement à sa première séance de 2021 et sa promulgation est prévue avant l</w:t>
      </w:r>
      <w:r w:rsidR="008279BF">
        <w:rPr>
          <w:lang w:val="fr-FR"/>
        </w:rPr>
        <w:t>’</w:t>
      </w:r>
      <w:r w:rsidRPr="00EE4C2A">
        <w:rPr>
          <w:lang w:val="fr-FR"/>
        </w:rPr>
        <w:t>ajournement du Parlement en mai 2021.</w:t>
      </w:r>
    </w:p>
    <w:p w14:paraId="0ED7B779" w14:textId="71F3E8E8" w:rsidR="00046F46" w:rsidRPr="00EE4C2A" w:rsidRDefault="00046F46" w:rsidP="00046F46">
      <w:pPr>
        <w:pStyle w:val="SingleTxtG"/>
        <w:rPr>
          <w:lang w:val="fr-FR"/>
        </w:rPr>
      </w:pPr>
      <w:r w:rsidRPr="00EE4C2A">
        <w:rPr>
          <w:lang w:val="fr-FR"/>
        </w:rPr>
        <w:t>29.</w:t>
      </w:r>
      <w:r w:rsidRPr="00EE4C2A">
        <w:rPr>
          <w:lang w:val="fr-FR"/>
        </w:rPr>
        <w:tab/>
        <w:t>Le projet de loi abrogera la loi sur la légitimité (1929), la loi sur l</w:t>
      </w:r>
      <w:r w:rsidR="008279BF">
        <w:rPr>
          <w:lang w:val="fr-FR"/>
        </w:rPr>
        <w:t>’</w:t>
      </w:r>
      <w:r w:rsidRPr="00EE4C2A">
        <w:rPr>
          <w:lang w:val="fr-FR"/>
        </w:rPr>
        <w:t>adoption (1956), la loi sur les mineurs (1956) et la loi sur la filiation et l</w:t>
      </w:r>
      <w:r w:rsidR="008279BF">
        <w:rPr>
          <w:lang w:val="fr-FR"/>
        </w:rPr>
        <w:t>’</w:t>
      </w:r>
      <w:r w:rsidRPr="00EE4C2A">
        <w:rPr>
          <w:lang w:val="fr-FR"/>
        </w:rPr>
        <w:t>entretien des enfants (1989). L</w:t>
      </w:r>
      <w:r w:rsidR="008279BF">
        <w:rPr>
          <w:lang w:val="fr-FR"/>
        </w:rPr>
        <w:t>’</w:t>
      </w:r>
      <w:r w:rsidRPr="00EE4C2A">
        <w:rPr>
          <w:lang w:val="fr-FR"/>
        </w:rPr>
        <w:t>objectif est également d</w:t>
      </w:r>
      <w:r w:rsidR="008279BF">
        <w:rPr>
          <w:lang w:val="fr-FR"/>
        </w:rPr>
        <w:t>’</w:t>
      </w:r>
      <w:r w:rsidRPr="00EE4C2A">
        <w:rPr>
          <w:lang w:val="fr-FR"/>
        </w:rPr>
        <w:t>intégrer les droits régionaux et internationaux de l</w:t>
      </w:r>
      <w:r w:rsidR="008279BF">
        <w:rPr>
          <w:lang w:val="fr-FR"/>
        </w:rPr>
        <w:t>’</w:t>
      </w:r>
      <w:r w:rsidRPr="00EE4C2A">
        <w:rPr>
          <w:lang w:val="fr-FR"/>
        </w:rPr>
        <w:t>enfant, ce qui suppose notamment d</w:t>
      </w:r>
      <w:r w:rsidR="008279BF">
        <w:rPr>
          <w:lang w:val="fr-FR"/>
        </w:rPr>
        <w:t>’</w:t>
      </w:r>
      <w:r w:rsidRPr="00EE4C2A">
        <w:rPr>
          <w:lang w:val="fr-FR"/>
        </w:rPr>
        <w:t xml:space="preserve">incorporer </w:t>
      </w:r>
      <w:r>
        <w:rPr>
          <w:lang w:val="fr-FR"/>
        </w:rPr>
        <w:t xml:space="preserve">dans la législation interne </w:t>
      </w:r>
      <w:r w:rsidRPr="00EE4C2A">
        <w:rPr>
          <w:lang w:val="fr-FR"/>
        </w:rPr>
        <w:t>la Convention relative aux droits de l</w:t>
      </w:r>
      <w:r w:rsidR="008279BF">
        <w:rPr>
          <w:lang w:val="fr-FR"/>
        </w:rPr>
        <w:t>’</w:t>
      </w:r>
      <w:r w:rsidRPr="00EE4C2A">
        <w:rPr>
          <w:lang w:val="fr-FR"/>
        </w:rPr>
        <w:t>enfant, la Charte africaine des droits de l</w:t>
      </w:r>
      <w:r w:rsidR="008279BF">
        <w:rPr>
          <w:lang w:val="fr-FR"/>
        </w:rPr>
        <w:t>’</w:t>
      </w:r>
      <w:r w:rsidRPr="00EE4C2A">
        <w:rPr>
          <w:lang w:val="fr-FR"/>
        </w:rPr>
        <w:t>homme et des peuples, la Convention de La Haye sur la protection des enfants et la coopération en matière d</w:t>
      </w:r>
      <w:r w:rsidR="008279BF">
        <w:rPr>
          <w:lang w:val="fr-FR"/>
        </w:rPr>
        <w:t>’</w:t>
      </w:r>
      <w:r w:rsidRPr="00EE4C2A">
        <w:rPr>
          <w:lang w:val="fr-FR"/>
        </w:rPr>
        <w:t xml:space="preserve">adoption internationale ainsi que la Convention de </w:t>
      </w:r>
      <w:r w:rsidR="00F73AC6" w:rsidRPr="00EE4C2A">
        <w:rPr>
          <w:lang w:val="fr-FR"/>
        </w:rPr>
        <w:t>L</w:t>
      </w:r>
      <w:r w:rsidRPr="00EE4C2A">
        <w:rPr>
          <w:lang w:val="fr-FR"/>
        </w:rPr>
        <w:t>a Haye sur les aspects civils de l</w:t>
      </w:r>
      <w:r w:rsidR="008279BF">
        <w:rPr>
          <w:lang w:val="fr-FR"/>
        </w:rPr>
        <w:t>’</w:t>
      </w:r>
      <w:r w:rsidRPr="00EE4C2A">
        <w:rPr>
          <w:lang w:val="fr-FR"/>
        </w:rPr>
        <w:t>enlèvement international d</w:t>
      </w:r>
      <w:r w:rsidR="008279BF">
        <w:rPr>
          <w:lang w:val="fr-FR"/>
        </w:rPr>
        <w:t>’</w:t>
      </w:r>
      <w:r w:rsidRPr="00EE4C2A">
        <w:rPr>
          <w:lang w:val="fr-FR"/>
        </w:rPr>
        <w:t>enfants. Le Comité souhaitera sans doute noter que le processus de consultation sur l</w:t>
      </w:r>
      <w:r w:rsidR="008279BF">
        <w:rPr>
          <w:lang w:val="fr-FR"/>
        </w:rPr>
        <w:t>’</w:t>
      </w:r>
      <w:r w:rsidRPr="00EE4C2A">
        <w:rPr>
          <w:lang w:val="fr-FR"/>
        </w:rPr>
        <w:t xml:space="preserve">élaboration du </w:t>
      </w:r>
      <w:r w:rsidRPr="00EE4C2A">
        <w:rPr>
          <w:lang w:val="fr-FR"/>
        </w:rPr>
        <w:lastRenderedPageBreak/>
        <w:t>projet de loi relatif au Code de protection de l</w:t>
      </w:r>
      <w:r w:rsidR="008279BF">
        <w:rPr>
          <w:lang w:val="fr-FR"/>
        </w:rPr>
        <w:t>’</w:t>
      </w:r>
      <w:r w:rsidRPr="00EE4C2A">
        <w:rPr>
          <w:lang w:val="fr-FR"/>
        </w:rPr>
        <w:t>enfance a été mené par la Commission zambienne pour le développement du droit (ZLDC).</w:t>
      </w:r>
    </w:p>
    <w:p w14:paraId="04A65801"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 b) de la liste de points établie </w:t>
      </w:r>
      <w:r>
        <w:rPr>
          <w:bCs/>
          <w:lang w:val="fr-FR"/>
        </w:rPr>
        <w:t xml:space="preserve">avant la soumission du rapport </w:t>
      </w:r>
    </w:p>
    <w:p w14:paraId="7C8AD6EE" w14:textId="7388DA18" w:rsidR="00046F46" w:rsidRPr="00EE4C2A" w:rsidRDefault="00046F46" w:rsidP="00046F46">
      <w:pPr>
        <w:pStyle w:val="SingleTxtG"/>
        <w:rPr>
          <w:lang w:val="fr-FR"/>
        </w:rPr>
      </w:pPr>
      <w:r w:rsidRPr="00EE4C2A">
        <w:rPr>
          <w:lang w:val="fr-FR"/>
        </w:rPr>
        <w:t>30.</w:t>
      </w:r>
      <w:r w:rsidRPr="00EE4C2A">
        <w:rPr>
          <w:lang w:val="fr-FR"/>
        </w:rPr>
        <w:tab/>
        <w:t>En ce qui concerne la manière dont la Politique nationale en faveur de l</w:t>
      </w:r>
      <w:r w:rsidR="008279BF">
        <w:rPr>
          <w:lang w:val="fr-FR"/>
        </w:rPr>
        <w:t>’</w:t>
      </w:r>
      <w:r w:rsidRPr="00EE4C2A">
        <w:rPr>
          <w:lang w:val="fr-FR"/>
        </w:rPr>
        <w:t>enfance (2015) est mise en œuvre et les mécanismes de coordination en place, l</w:t>
      </w:r>
      <w:r w:rsidR="008279BF">
        <w:rPr>
          <w:lang w:val="fr-FR"/>
        </w:rPr>
        <w:t>’</w:t>
      </w:r>
      <w:r w:rsidRPr="00EE4C2A">
        <w:rPr>
          <w:lang w:val="fr-FR"/>
        </w:rPr>
        <w:t>État partie souhaite rapporter qu</w:t>
      </w:r>
      <w:r w:rsidR="008279BF">
        <w:rPr>
          <w:lang w:val="fr-FR"/>
        </w:rPr>
        <w:t>’</w:t>
      </w:r>
      <w:r w:rsidRPr="00EE4C2A">
        <w:rPr>
          <w:lang w:val="fr-FR"/>
        </w:rPr>
        <w:t>après l</w:t>
      </w:r>
      <w:r w:rsidR="008279BF">
        <w:rPr>
          <w:lang w:val="fr-FR"/>
        </w:rPr>
        <w:t>’</w:t>
      </w:r>
      <w:r w:rsidRPr="00EE4C2A">
        <w:rPr>
          <w:lang w:val="fr-FR"/>
        </w:rPr>
        <w:t>approbation de cette politique, il a entrepris de la diffuser à l</w:t>
      </w:r>
      <w:r w:rsidR="008279BF">
        <w:rPr>
          <w:lang w:val="fr-FR"/>
        </w:rPr>
        <w:t>’</w:t>
      </w:r>
      <w:r w:rsidRPr="00EE4C2A">
        <w:rPr>
          <w:lang w:val="fr-FR"/>
        </w:rPr>
        <w:t>échelle nationale dans toutes les provinces, et 60 réunions de diffusion au niveau des provinces et districts ont été organisées. En outre, le Plan d</w:t>
      </w:r>
      <w:r w:rsidR="008279BF">
        <w:rPr>
          <w:lang w:val="fr-FR"/>
        </w:rPr>
        <w:t>’</w:t>
      </w:r>
      <w:r w:rsidRPr="00EE4C2A">
        <w:rPr>
          <w:lang w:val="fr-FR"/>
        </w:rPr>
        <w:t>action national pour les enfants de Zambie (2015), qui est un plan de mise en œuvre assorti d</w:t>
      </w:r>
      <w:r w:rsidR="008279BF">
        <w:rPr>
          <w:lang w:val="fr-FR"/>
        </w:rPr>
        <w:t>’</w:t>
      </w:r>
      <w:r w:rsidRPr="00EE4C2A">
        <w:rPr>
          <w:lang w:val="fr-FR"/>
        </w:rPr>
        <w:t>un mécanisme de suivi, a été élaboré et diffusé en parallèle. Des comités de coordination ont été créés afin d</w:t>
      </w:r>
      <w:r w:rsidR="008279BF">
        <w:rPr>
          <w:lang w:val="fr-FR"/>
        </w:rPr>
        <w:t>’</w:t>
      </w:r>
      <w:r w:rsidRPr="00EE4C2A">
        <w:rPr>
          <w:lang w:val="fr-FR"/>
        </w:rPr>
        <w:t>assurer une coordination efficace des programmes et projets en faveur de l</w:t>
      </w:r>
      <w:r w:rsidR="008279BF">
        <w:rPr>
          <w:lang w:val="fr-FR"/>
        </w:rPr>
        <w:t>’</w:t>
      </w:r>
      <w:r w:rsidRPr="00EE4C2A">
        <w:rPr>
          <w:lang w:val="fr-FR"/>
        </w:rPr>
        <w:t>enfance : le Comité national de coordination pour l</w:t>
      </w:r>
      <w:r w:rsidR="008279BF">
        <w:rPr>
          <w:lang w:val="fr-FR"/>
        </w:rPr>
        <w:t>’</w:t>
      </w:r>
      <w:r w:rsidRPr="00EE4C2A">
        <w:rPr>
          <w:lang w:val="fr-FR"/>
        </w:rPr>
        <w:t>enfance (NCCC) au niveau national, et les Comités de district pour la protection de l</w:t>
      </w:r>
      <w:r w:rsidR="008279BF">
        <w:rPr>
          <w:lang w:val="fr-FR"/>
        </w:rPr>
        <w:t>’</w:t>
      </w:r>
      <w:r w:rsidRPr="00EE4C2A">
        <w:rPr>
          <w:lang w:val="fr-FR"/>
        </w:rPr>
        <w:t>enfance (DCPC) au niveau des districts. Les comités sont responsables de la planification, de la mise en œuvre, du suivi et de la mobilisation des ressources. Ils rassemblent les acteurs étatiques et non étatiques du bien-être et du développement de l</w:t>
      </w:r>
      <w:r w:rsidR="008279BF">
        <w:rPr>
          <w:lang w:val="fr-FR"/>
        </w:rPr>
        <w:t>’</w:t>
      </w:r>
      <w:r w:rsidRPr="00EE4C2A">
        <w:rPr>
          <w:lang w:val="fr-FR"/>
        </w:rPr>
        <w:t>enfant.</w:t>
      </w:r>
    </w:p>
    <w:p w14:paraId="75646DFB" w14:textId="488EFB20" w:rsidR="00046F46" w:rsidRPr="00EE4C2A" w:rsidRDefault="00046F46" w:rsidP="00046F46">
      <w:pPr>
        <w:pStyle w:val="SingleTxtG"/>
        <w:rPr>
          <w:lang w:val="fr-FR"/>
        </w:rPr>
      </w:pPr>
      <w:r w:rsidRPr="00EE4C2A">
        <w:rPr>
          <w:lang w:val="fr-FR"/>
        </w:rPr>
        <w:t>31.</w:t>
      </w:r>
      <w:r w:rsidRPr="00EE4C2A">
        <w:rPr>
          <w:lang w:val="fr-FR"/>
        </w:rPr>
        <w:tab/>
        <w:t>L</w:t>
      </w:r>
      <w:r w:rsidR="008279BF">
        <w:rPr>
          <w:lang w:val="fr-FR"/>
        </w:rPr>
        <w:t>’</w:t>
      </w:r>
      <w:r w:rsidRPr="00EE4C2A">
        <w:rPr>
          <w:lang w:val="fr-FR"/>
        </w:rPr>
        <w:t>État partie a également élaboré les Normes et directives nationales pour les services et programmes destinés aux orphelins et enfants vulnérables en Zambie (2016). Celles</w:t>
      </w:r>
      <w:r w:rsidRPr="00EE4C2A">
        <w:rPr>
          <w:lang w:val="fr-FR"/>
        </w:rPr>
        <w:noBreakHyphen/>
        <w:t>ci fournissent des lignes directrices sur les normes minimales de prise en charge devant être respectées par les institutions fournissant des services aux orphelins et enfants vulnérables.</w:t>
      </w:r>
    </w:p>
    <w:p w14:paraId="28DC2A66"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 c) de la liste de points établie </w:t>
      </w:r>
      <w:r>
        <w:rPr>
          <w:bCs/>
          <w:lang w:val="fr-FR"/>
        </w:rPr>
        <w:t xml:space="preserve">avant la soumission du rapport </w:t>
      </w:r>
    </w:p>
    <w:p w14:paraId="21535A68" w14:textId="59B9E493" w:rsidR="00046F46" w:rsidRPr="00EE4C2A" w:rsidRDefault="00046F46" w:rsidP="00046F46">
      <w:pPr>
        <w:pStyle w:val="SingleTxtG"/>
        <w:rPr>
          <w:lang w:val="fr-FR"/>
        </w:rPr>
      </w:pPr>
      <w:r w:rsidRPr="00EE4C2A">
        <w:rPr>
          <w:lang w:val="fr-FR"/>
        </w:rPr>
        <w:t>32.</w:t>
      </w:r>
      <w:r w:rsidRPr="00EE4C2A">
        <w:rPr>
          <w:lang w:val="fr-FR"/>
        </w:rPr>
        <w:tab/>
        <w:t>En ce qui concerne la manière dont les mandats liés à la mise en œuvre de la Convention sont coordonnés et répartis entre le Ministère de la jeunesse, des sports et du développement de l</w:t>
      </w:r>
      <w:r w:rsidR="008279BF">
        <w:rPr>
          <w:lang w:val="fr-FR"/>
        </w:rPr>
        <w:t>’</w:t>
      </w:r>
      <w:r w:rsidRPr="00EE4C2A">
        <w:rPr>
          <w:lang w:val="fr-FR"/>
        </w:rPr>
        <w:t>enfant, d</w:t>
      </w:r>
      <w:r w:rsidR="008279BF">
        <w:rPr>
          <w:lang w:val="fr-FR"/>
        </w:rPr>
        <w:t>’</w:t>
      </w:r>
      <w:r w:rsidRPr="00EE4C2A">
        <w:rPr>
          <w:lang w:val="fr-FR"/>
        </w:rPr>
        <w:t>une part, et le Ministère de la justice, d</w:t>
      </w:r>
      <w:r w:rsidR="008279BF">
        <w:rPr>
          <w:lang w:val="fr-FR"/>
        </w:rPr>
        <w:t>’</w:t>
      </w:r>
      <w:r w:rsidRPr="00EE4C2A">
        <w:rPr>
          <w:lang w:val="fr-FR"/>
        </w:rPr>
        <w:t>autre part, conformément à l</w:t>
      </w:r>
      <w:r w:rsidR="008279BF">
        <w:rPr>
          <w:lang w:val="fr-FR"/>
        </w:rPr>
        <w:t>’</w:t>
      </w:r>
      <w:r w:rsidRPr="00EE4C2A">
        <w:rPr>
          <w:lang w:val="fr-FR"/>
        </w:rPr>
        <w:t xml:space="preserve">avis publié au Journal officiel </w:t>
      </w:r>
      <w:r w:rsidR="00F73AC6" w:rsidRPr="00F73AC6">
        <w:rPr>
          <w:rFonts w:eastAsia="MS Mincho"/>
          <w:lang w:val="fr-FR"/>
        </w:rPr>
        <w:t>n</w:t>
      </w:r>
      <w:r w:rsidR="00F73AC6" w:rsidRPr="00F73AC6">
        <w:rPr>
          <w:rFonts w:eastAsia="MS Mincho"/>
          <w:vertAlign w:val="superscript"/>
          <w:lang w:val="fr-FR"/>
        </w:rPr>
        <w:t>o</w:t>
      </w:r>
      <w:r w:rsidR="00F73AC6">
        <w:rPr>
          <w:lang w:val="fr-FR"/>
        </w:rPr>
        <w:t xml:space="preserve"> </w:t>
      </w:r>
      <w:r w:rsidRPr="00EE4C2A">
        <w:rPr>
          <w:lang w:val="fr-FR"/>
        </w:rPr>
        <w:t>836 de 2016, le Ministère de la jeunesse, des sports et du développement de l</w:t>
      </w:r>
      <w:r w:rsidR="008279BF">
        <w:rPr>
          <w:lang w:val="fr-FR"/>
        </w:rPr>
        <w:t>’</w:t>
      </w:r>
      <w:r w:rsidRPr="00EE4C2A">
        <w:rPr>
          <w:lang w:val="fr-FR"/>
        </w:rPr>
        <w:t>enfant est chargé des domaines suivants : développement de l</w:t>
      </w:r>
      <w:r w:rsidR="008279BF">
        <w:rPr>
          <w:lang w:val="fr-FR"/>
        </w:rPr>
        <w:t>’</w:t>
      </w:r>
      <w:r w:rsidRPr="00EE4C2A">
        <w:rPr>
          <w:lang w:val="fr-FR"/>
        </w:rPr>
        <w:t>enfant ; politique de l</w:t>
      </w:r>
      <w:r w:rsidR="008279BF">
        <w:rPr>
          <w:lang w:val="fr-FR"/>
        </w:rPr>
        <w:t>’</w:t>
      </w:r>
      <w:r w:rsidRPr="00EE4C2A">
        <w:rPr>
          <w:lang w:val="fr-FR"/>
        </w:rPr>
        <w:t>enfance ; coordination des organisations de jeunesse et des organisations sportives ; développement du sport ; politique du sport ; enfants de la rue ; entrepreneuriat des jeunes. Le Ministère de la justice est responsable des domaines suivants : accords et gestion du patrimoine ; droits de l</w:t>
      </w:r>
      <w:r w:rsidR="008279BF">
        <w:rPr>
          <w:lang w:val="fr-FR"/>
        </w:rPr>
        <w:t>’</w:t>
      </w:r>
      <w:r w:rsidRPr="00EE4C2A">
        <w:rPr>
          <w:lang w:val="fr-FR"/>
        </w:rPr>
        <w:t>homme ; incorporation des instruments internationaux dans la législation nationale ; révision et réforme des lois ; conseils et politiques juridiques ; législation de l</w:t>
      </w:r>
      <w:r w:rsidR="008279BF">
        <w:rPr>
          <w:lang w:val="fr-FR"/>
        </w:rPr>
        <w:t>’</w:t>
      </w:r>
      <w:r w:rsidRPr="00EE4C2A">
        <w:rPr>
          <w:lang w:val="fr-FR"/>
        </w:rPr>
        <w:t>État.</w:t>
      </w:r>
    </w:p>
    <w:p w14:paraId="15C008F9" w14:textId="7083FC4A" w:rsidR="00046F46" w:rsidRPr="00EE4C2A" w:rsidRDefault="00046F46" w:rsidP="00046F46">
      <w:pPr>
        <w:pStyle w:val="SingleTxtG"/>
        <w:rPr>
          <w:lang w:val="fr-FR"/>
        </w:rPr>
      </w:pPr>
      <w:r w:rsidRPr="00EE4C2A">
        <w:rPr>
          <w:lang w:val="fr-FR"/>
        </w:rPr>
        <w:t>33.</w:t>
      </w:r>
      <w:r w:rsidRPr="00EE4C2A">
        <w:rPr>
          <w:lang w:val="fr-FR"/>
        </w:rPr>
        <w:tab/>
        <w:t xml:space="preserve">La promulgation de la loi </w:t>
      </w:r>
      <w:r w:rsidR="00F73AC6" w:rsidRPr="00F73AC6">
        <w:rPr>
          <w:rFonts w:eastAsia="MS Mincho"/>
          <w:lang w:val="fr-FR"/>
        </w:rPr>
        <w:t>n</w:t>
      </w:r>
      <w:r w:rsidR="00F73AC6" w:rsidRPr="00F73AC6">
        <w:rPr>
          <w:rFonts w:eastAsia="MS Mincho"/>
          <w:vertAlign w:val="superscript"/>
          <w:lang w:val="fr-FR"/>
        </w:rPr>
        <w:t>o</w:t>
      </w:r>
      <w:r w:rsidR="00F73AC6">
        <w:rPr>
          <w:lang w:val="fr-FR"/>
        </w:rPr>
        <w:t xml:space="preserve"> </w:t>
      </w:r>
      <w:r w:rsidRPr="00EE4C2A">
        <w:rPr>
          <w:lang w:val="fr-FR"/>
        </w:rPr>
        <w:t>34 de 2016 sur la ratification des accords internationaux a entraîné la séparation des mandats de ces deux ministères et confié au ministre compétent dans chaque domaine la responsabilité de faire rapport aux entités internationales, notamment au Comité des droits de l</w:t>
      </w:r>
      <w:r w:rsidR="008279BF">
        <w:rPr>
          <w:lang w:val="fr-FR"/>
        </w:rPr>
        <w:t>’</w:t>
      </w:r>
      <w:r w:rsidRPr="00EE4C2A">
        <w:rPr>
          <w:lang w:val="fr-FR"/>
        </w:rPr>
        <w:t>enfant.</w:t>
      </w:r>
    </w:p>
    <w:p w14:paraId="0324ECFC"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 d) de la liste de points établie </w:t>
      </w:r>
      <w:r>
        <w:rPr>
          <w:bCs/>
          <w:lang w:val="fr-FR"/>
        </w:rPr>
        <w:t xml:space="preserve">avant la soumission du rapport </w:t>
      </w:r>
    </w:p>
    <w:p w14:paraId="3AA43FB0" w14:textId="257DABDA" w:rsidR="00046F46" w:rsidRPr="00EE4C2A" w:rsidRDefault="00046F46" w:rsidP="00046F46">
      <w:pPr>
        <w:pStyle w:val="SingleTxtG"/>
        <w:rPr>
          <w:lang w:val="fr-FR"/>
        </w:rPr>
      </w:pPr>
      <w:r w:rsidRPr="00EE4C2A">
        <w:rPr>
          <w:lang w:val="fr-FR"/>
        </w:rPr>
        <w:t>34.</w:t>
      </w:r>
      <w:r w:rsidRPr="00EE4C2A">
        <w:rPr>
          <w:lang w:val="fr-FR"/>
        </w:rPr>
        <w:tab/>
        <w:t>En ce qui concerne la création d</w:t>
      </w:r>
      <w:r w:rsidR="008279BF">
        <w:rPr>
          <w:lang w:val="fr-FR"/>
        </w:rPr>
        <w:t>’</w:t>
      </w:r>
      <w:r w:rsidRPr="00EE4C2A">
        <w:rPr>
          <w:lang w:val="fr-FR"/>
        </w:rPr>
        <w:t>un Conseil pour les services à l</w:t>
      </w:r>
      <w:r w:rsidR="008279BF">
        <w:rPr>
          <w:lang w:val="fr-FR"/>
        </w:rPr>
        <w:t>’</w:t>
      </w:r>
      <w:r w:rsidRPr="00EE4C2A">
        <w:rPr>
          <w:lang w:val="fr-FR"/>
        </w:rPr>
        <w:t>enfance, l</w:t>
      </w:r>
      <w:r w:rsidR="008279BF">
        <w:rPr>
          <w:lang w:val="fr-FR"/>
        </w:rPr>
        <w:t>’</w:t>
      </w:r>
      <w:r w:rsidRPr="00EE4C2A">
        <w:rPr>
          <w:lang w:val="fr-FR"/>
        </w:rPr>
        <w:t>État partie avait commencé à travailler sur ce projet, mais il y a été mis fin à la suite d</w:t>
      </w:r>
      <w:r w:rsidR="008279BF">
        <w:rPr>
          <w:lang w:val="fr-FR"/>
        </w:rPr>
        <w:t>’</w:t>
      </w:r>
      <w:r w:rsidRPr="00EE4C2A">
        <w:rPr>
          <w:lang w:val="fr-FR"/>
        </w:rPr>
        <w:t>une consultation nationale. En lieu et place, l</w:t>
      </w:r>
      <w:r w:rsidR="008279BF">
        <w:rPr>
          <w:lang w:val="fr-FR"/>
        </w:rPr>
        <w:t>’</w:t>
      </w:r>
      <w:r w:rsidRPr="00EE4C2A">
        <w:rPr>
          <w:lang w:val="fr-FR"/>
        </w:rPr>
        <w:t>État partie s</w:t>
      </w:r>
      <w:r w:rsidR="008279BF">
        <w:rPr>
          <w:lang w:val="fr-FR"/>
        </w:rPr>
        <w:t>’</w:t>
      </w:r>
      <w:r w:rsidRPr="00EE4C2A">
        <w:rPr>
          <w:lang w:val="fr-FR"/>
        </w:rPr>
        <w:t>emploie à renforcer les rôles actuels du Département du développement de l</w:t>
      </w:r>
      <w:r w:rsidR="008279BF">
        <w:rPr>
          <w:lang w:val="fr-FR"/>
        </w:rPr>
        <w:t>’</w:t>
      </w:r>
      <w:r w:rsidRPr="00EE4C2A">
        <w:rPr>
          <w:lang w:val="fr-FR"/>
        </w:rPr>
        <w:t>enfant et de la protection sociale. En outre, certains pouvoirs et fonctions du Conseil pour les services à l</w:t>
      </w:r>
      <w:r w:rsidR="008279BF">
        <w:rPr>
          <w:lang w:val="fr-FR"/>
        </w:rPr>
        <w:t>’</w:t>
      </w:r>
      <w:r w:rsidRPr="00EE4C2A">
        <w:rPr>
          <w:lang w:val="fr-FR"/>
        </w:rPr>
        <w:t>enfance envisagé ont été réorganisés au vu de la promulgation imminente du projet de loi relatif au Code de protection de l</w:t>
      </w:r>
      <w:r w:rsidR="008279BF">
        <w:rPr>
          <w:lang w:val="fr-FR"/>
        </w:rPr>
        <w:t>’</w:t>
      </w:r>
      <w:r w:rsidRPr="00EE4C2A">
        <w:rPr>
          <w:lang w:val="fr-FR"/>
        </w:rPr>
        <w:t>enfance.</w:t>
      </w:r>
    </w:p>
    <w:p w14:paraId="4A2C08FF" w14:textId="77777777" w:rsidR="00046F46" w:rsidRPr="00EE4C2A" w:rsidRDefault="00046F46" w:rsidP="00046F46">
      <w:pPr>
        <w:pStyle w:val="H1G"/>
        <w:rPr>
          <w:lang w:val="fr-FR"/>
        </w:rPr>
      </w:pPr>
      <w:bookmarkStart w:id="7" w:name="_Toc63937965"/>
      <w:r w:rsidRPr="00EE4C2A">
        <w:rPr>
          <w:lang w:val="fr-FR"/>
        </w:rPr>
        <w:lastRenderedPageBreak/>
        <w:tab/>
      </w:r>
      <w:r w:rsidRPr="00EE4C2A">
        <w:rPr>
          <w:lang w:val="fr-FR"/>
        </w:rPr>
        <w:tab/>
      </w:r>
      <w:r w:rsidRPr="00EE4C2A">
        <w:rPr>
          <w:bCs/>
          <w:lang w:val="fr-FR"/>
        </w:rPr>
        <w:t>Collecte de données</w:t>
      </w:r>
      <w:bookmarkEnd w:id="7"/>
    </w:p>
    <w:p w14:paraId="1662091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 de la liste de points établie </w:t>
      </w:r>
      <w:r>
        <w:rPr>
          <w:bCs/>
          <w:lang w:val="fr-FR"/>
        </w:rPr>
        <w:t xml:space="preserve">avant la soumission du rapport </w:t>
      </w:r>
    </w:p>
    <w:p w14:paraId="4A045548" w14:textId="022679C1" w:rsidR="00046F46" w:rsidRPr="00EE4C2A" w:rsidRDefault="00046F46" w:rsidP="00046F46">
      <w:pPr>
        <w:pStyle w:val="SingleTxtG"/>
        <w:rPr>
          <w:lang w:val="fr-FR"/>
        </w:rPr>
      </w:pPr>
      <w:r w:rsidRPr="00EE4C2A">
        <w:rPr>
          <w:lang w:val="fr-FR"/>
        </w:rPr>
        <w:t>35.</w:t>
      </w:r>
      <w:r w:rsidRPr="00EE4C2A">
        <w:rPr>
          <w:lang w:val="fr-FR"/>
        </w:rPr>
        <w:tab/>
        <w:t>En ce qui concerne les mesures prises pour améliorer la collecte et la qualité des données ventilées, l</w:t>
      </w:r>
      <w:r w:rsidR="008279BF">
        <w:rPr>
          <w:lang w:val="fr-FR"/>
        </w:rPr>
        <w:t>’</w:t>
      </w:r>
      <w:r w:rsidRPr="00EE4C2A">
        <w:rPr>
          <w:lang w:val="fr-FR"/>
        </w:rPr>
        <w:t>État partie souhaite rapporter que la loi de 2018 sur les statistiques est entrée en vigueur en septembre 2020 avec la signature du décret de promulgation et sa publication au Journal officiel. Cette loi établit un Système statistique national intégré (INSS), prévoit des mécanismes de coordination, de collecte, de gestion et de diffusion des statistiques, et encourage l</w:t>
      </w:r>
      <w:r w:rsidR="008279BF">
        <w:rPr>
          <w:lang w:val="fr-FR"/>
        </w:rPr>
        <w:t>’</w:t>
      </w:r>
      <w:r w:rsidRPr="00EE4C2A">
        <w:rPr>
          <w:lang w:val="fr-FR"/>
        </w:rPr>
        <w:t>utilisation des données et informations statistiques à tous les niveaux. La création de l</w:t>
      </w:r>
      <w:r w:rsidR="008279BF">
        <w:rPr>
          <w:lang w:val="fr-FR"/>
        </w:rPr>
        <w:t>’</w:t>
      </w:r>
      <w:r w:rsidRPr="00EE4C2A">
        <w:rPr>
          <w:lang w:val="fr-FR"/>
        </w:rPr>
        <w:t>Institut de la statistique zambien (ZAMSTATS) a amélioré la collecte et l</w:t>
      </w:r>
      <w:r w:rsidR="008279BF">
        <w:rPr>
          <w:lang w:val="fr-FR"/>
        </w:rPr>
        <w:t>’</w:t>
      </w:r>
      <w:r w:rsidRPr="00EE4C2A">
        <w:rPr>
          <w:lang w:val="fr-FR"/>
        </w:rPr>
        <w:t>analyse des données au niveau des institutions.</w:t>
      </w:r>
    </w:p>
    <w:p w14:paraId="23488A64" w14:textId="016149D9" w:rsidR="00046F46" w:rsidRPr="00EE4C2A" w:rsidRDefault="00046F46" w:rsidP="00046F46">
      <w:pPr>
        <w:pStyle w:val="SingleTxtG"/>
        <w:rPr>
          <w:lang w:val="fr-FR"/>
        </w:rPr>
      </w:pPr>
      <w:r w:rsidRPr="00EE4C2A">
        <w:rPr>
          <w:lang w:val="fr-FR"/>
        </w:rPr>
        <w:t>36.</w:t>
      </w:r>
      <w:r w:rsidRPr="00EE4C2A">
        <w:rPr>
          <w:lang w:val="fr-FR"/>
        </w:rPr>
        <w:tab/>
        <w:t>En outre, l</w:t>
      </w:r>
      <w:r w:rsidR="008279BF">
        <w:rPr>
          <w:lang w:val="fr-FR"/>
        </w:rPr>
        <w:t>’</w:t>
      </w:r>
      <w:r w:rsidRPr="00EE4C2A">
        <w:rPr>
          <w:lang w:val="fr-FR"/>
        </w:rPr>
        <w:t>État partie a entrepris de développer un robuste Système de gestion de l</w:t>
      </w:r>
      <w:r w:rsidR="008279BF">
        <w:rPr>
          <w:lang w:val="fr-FR"/>
        </w:rPr>
        <w:t>’</w:t>
      </w:r>
      <w:r w:rsidRPr="00EE4C2A">
        <w:rPr>
          <w:iCs/>
          <w:lang w:val="fr-FR"/>
        </w:rPr>
        <w:t>information</w:t>
      </w:r>
      <w:r w:rsidRPr="00EE4C2A">
        <w:rPr>
          <w:lang w:val="fr-FR"/>
        </w:rPr>
        <w:t xml:space="preserve"> visant à améliorer la gestion des données sur les enfants, en particulier le suivi des indicateurs relatifs aux niveaux de vulnérabilité et à la fourniture de services. À cet effet, des bases de données consacrées à la protection de remplacement, à la prise en charge communautaire et à l</w:t>
      </w:r>
      <w:r w:rsidR="008279BF">
        <w:rPr>
          <w:lang w:val="fr-FR"/>
        </w:rPr>
        <w:t>’</w:t>
      </w:r>
      <w:r w:rsidRPr="00EE4C2A">
        <w:rPr>
          <w:lang w:val="fr-FR"/>
        </w:rPr>
        <w:t>élimination d</w:t>
      </w:r>
      <w:r>
        <w:rPr>
          <w:lang w:val="fr-FR"/>
        </w:rPr>
        <w:t>es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ont été développées pour améliorer la collecte et la qualité des données ventilées. L</w:t>
      </w:r>
      <w:r w:rsidR="008279BF">
        <w:rPr>
          <w:lang w:val="fr-FR"/>
        </w:rPr>
        <w:t>’</w:t>
      </w:r>
      <w:r w:rsidRPr="00EE4C2A">
        <w:rPr>
          <w:lang w:val="fr-FR"/>
        </w:rPr>
        <w:t>État partie a également développé un Système d</w:t>
      </w:r>
      <w:r w:rsidR="008279BF">
        <w:rPr>
          <w:lang w:val="fr-FR"/>
        </w:rPr>
        <w:t>’</w:t>
      </w:r>
      <w:r w:rsidRPr="00EE4C2A">
        <w:rPr>
          <w:lang w:val="fr-FR"/>
        </w:rPr>
        <w:t>information intégré sur la protection sociale (ZISPIS) en vue de gérer les données et les systèmes de paiement des bénéficiaires de la protection sociale, dont font partie les enfants.</w:t>
      </w:r>
    </w:p>
    <w:p w14:paraId="30F1F300" w14:textId="546A7AE7" w:rsidR="00046F46" w:rsidRPr="00EE4C2A" w:rsidRDefault="00046F46" w:rsidP="00046F46">
      <w:pPr>
        <w:pStyle w:val="SingleTxtG"/>
        <w:rPr>
          <w:lang w:val="fr-FR"/>
        </w:rPr>
      </w:pPr>
      <w:r w:rsidRPr="00EE4C2A">
        <w:rPr>
          <w:lang w:val="fr-FR"/>
        </w:rPr>
        <w:t>37.</w:t>
      </w:r>
      <w:r w:rsidRPr="00EE4C2A">
        <w:rPr>
          <w:lang w:val="fr-FR"/>
        </w:rPr>
        <w:tab/>
        <w:t>De surcroît, le Projet d</w:t>
      </w:r>
      <w:r w:rsidR="008279BF">
        <w:rPr>
          <w:lang w:val="fr-FR"/>
        </w:rPr>
        <w:t>’</w:t>
      </w:r>
      <w:r w:rsidRPr="00EE4C2A">
        <w:rPr>
          <w:lang w:val="fr-FR"/>
        </w:rPr>
        <w:t>amélioration de l</w:t>
      </w:r>
      <w:r w:rsidR="008279BF">
        <w:rPr>
          <w:lang w:val="fr-FR"/>
        </w:rPr>
        <w:t>’</w:t>
      </w:r>
      <w:r w:rsidRPr="00EE4C2A">
        <w:rPr>
          <w:lang w:val="fr-FR"/>
        </w:rPr>
        <w:t xml:space="preserve">éducation en Zambie (ZEEP) </w:t>
      </w:r>
      <w:r>
        <w:rPr>
          <w:lang w:val="fr-FR"/>
        </w:rPr>
        <w:t>est doté</w:t>
      </w:r>
      <w:r w:rsidRPr="00EE4C2A">
        <w:rPr>
          <w:lang w:val="fr-FR"/>
        </w:rPr>
        <w:t xml:space="preserve"> d</w:t>
      </w:r>
      <w:r w:rsidR="008279BF">
        <w:rPr>
          <w:lang w:val="fr-FR"/>
        </w:rPr>
        <w:t>’</w:t>
      </w:r>
      <w:r w:rsidRPr="00EE4C2A">
        <w:rPr>
          <w:lang w:val="fr-FR"/>
        </w:rPr>
        <w:t>une composante visant à améliorer le Système de gestion de l</w:t>
      </w:r>
      <w:r w:rsidR="008279BF">
        <w:rPr>
          <w:lang w:val="fr-FR"/>
        </w:rPr>
        <w:t>’</w:t>
      </w:r>
      <w:r w:rsidRPr="00EE4C2A">
        <w:rPr>
          <w:lang w:val="fr-FR"/>
        </w:rPr>
        <w:t>information relative à l</w:t>
      </w:r>
      <w:r w:rsidR="008279BF">
        <w:rPr>
          <w:lang w:val="fr-FR"/>
        </w:rPr>
        <w:t>’</w:t>
      </w:r>
      <w:r w:rsidRPr="00EE4C2A">
        <w:rPr>
          <w:lang w:val="fr-FR"/>
        </w:rPr>
        <w:t>éducation (EMIS). Cette composante a pour objectif d</w:t>
      </w:r>
      <w:r w:rsidR="008279BF">
        <w:rPr>
          <w:lang w:val="fr-FR"/>
        </w:rPr>
        <w:t>’</w:t>
      </w:r>
      <w:r w:rsidRPr="00EE4C2A">
        <w:rPr>
          <w:lang w:val="fr-FR"/>
        </w:rPr>
        <w:t>améliorer la qualité de l</w:t>
      </w:r>
      <w:r w:rsidR="008279BF">
        <w:rPr>
          <w:lang w:val="fr-FR"/>
        </w:rPr>
        <w:t>’</w:t>
      </w:r>
      <w:r w:rsidRPr="00EE4C2A">
        <w:rPr>
          <w:lang w:val="fr-FR"/>
        </w:rPr>
        <w:t>information collectée et de réduire le temps nécessaire à la collecte des données en matière d</w:t>
      </w:r>
      <w:r w:rsidR="008279BF">
        <w:rPr>
          <w:lang w:val="fr-FR"/>
        </w:rPr>
        <w:t>’</w:t>
      </w:r>
      <w:r w:rsidRPr="00EE4C2A">
        <w:rPr>
          <w:lang w:val="fr-FR"/>
        </w:rPr>
        <w:t>éducation.</w:t>
      </w:r>
    </w:p>
    <w:p w14:paraId="4D040437" w14:textId="1F9A40F5" w:rsidR="00046F46" w:rsidRPr="00EE4C2A" w:rsidRDefault="00046F46" w:rsidP="00046F46">
      <w:pPr>
        <w:pStyle w:val="SingleTxtG"/>
        <w:rPr>
          <w:lang w:val="fr-FR"/>
        </w:rPr>
      </w:pPr>
      <w:r w:rsidRPr="00EE4C2A">
        <w:rPr>
          <w:lang w:val="fr-FR"/>
        </w:rPr>
        <w:t>38.</w:t>
      </w:r>
      <w:r w:rsidRPr="00EE4C2A">
        <w:rPr>
          <w:lang w:val="fr-FR"/>
        </w:rPr>
        <w:tab/>
        <w:t>De plus, la collecte de données sur le handicap est conforme à l</w:t>
      </w:r>
      <w:r w:rsidR="008279BF">
        <w:rPr>
          <w:lang w:val="fr-FR"/>
        </w:rPr>
        <w:t>’</w:t>
      </w:r>
      <w:r w:rsidRPr="00EE4C2A">
        <w:rPr>
          <w:lang w:val="fr-FR"/>
        </w:rPr>
        <w:t>article 31 de la Convention relative aux droits des personnes handicapées, qui impose aux États parties d</w:t>
      </w:r>
      <w:r w:rsidR="008279BF">
        <w:rPr>
          <w:lang w:val="fr-FR"/>
        </w:rPr>
        <w:t>’</w:t>
      </w:r>
      <w:r w:rsidRPr="00EE4C2A">
        <w:rPr>
          <w:lang w:val="fr-FR"/>
        </w:rPr>
        <w:t>inclure les personnes handicapées dans la collecte et la diffusion de données. L</w:t>
      </w:r>
      <w:r w:rsidR="008279BF">
        <w:rPr>
          <w:lang w:val="fr-FR"/>
        </w:rPr>
        <w:t>’</w:t>
      </w:r>
      <w:r w:rsidRPr="00EE4C2A">
        <w:rPr>
          <w:lang w:val="fr-FR"/>
        </w:rPr>
        <w:t>article 14 (par. 2) de la loi sur les personnes handicapées charge l</w:t>
      </w:r>
      <w:r w:rsidR="008279BF">
        <w:rPr>
          <w:lang w:val="fr-FR"/>
        </w:rPr>
        <w:t>’</w:t>
      </w:r>
      <w:r w:rsidRPr="00EE4C2A">
        <w:rPr>
          <w:lang w:val="fr-FR"/>
        </w:rPr>
        <w:t xml:space="preserve">Agence zambienne pour les personnes handicapées (ZAPD) de tenir et de conserver un registre des personnes en situation de handicap. </w:t>
      </w:r>
      <w:r>
        <w:rPr>
          <w:lang w:val="fr-FR"/>
        </w:rPr>
        <w:t xml:space="preserve">Son </w:t>
      </w:r>
      <w:r w:rsidRPr="00EE4C2A">
        <w:rPr>
          <w:lang w:val="fr-FR"/>
        </w:rPr>
        <w:t>article 14 (par. 4) confie à l</w:t>
      </w:r>
      <w:r w:rsidR="008279BF">
        <w:rPr>
          <w:lang w:val="fr-FR"/>
        </w:rPr>
        <w:t>’</w:t>
      </w:r>
      <w:r w:rsidRPr="00EE4C2A">
        <w:rPr>
          <w:lang w:val="fr-FR"/>
        </w:rPr>
        <w:t>Agence la mission de gérer le Système de gestion de l</w:t>
      </w:r>
      <w:r w:rsidR="008279BF">
        <w:rPr>
          <w:lang w:val="fr-FR"/>
        </w:rPr>
        <w:t>’</w:t>
      </w:r>
      <w:r w:rsidRPr="00EE4C2A">
        <w:rPr>
          <w:lang w:val="fr-FR"/>
        </w:rPr>
        <w:t>information relative aux handicaps et prévoit la collaboration de l</w:t>
      </w:r>
      <w:r w:rsidR="008279BF">
        <w:rPr>
          <w:lang w:val="fr-FR"/>
        </w:rPr>
        <w:t>’</w:t>
      </w:r>
      <w:r w:rsidRPr="00EE4C2A">
        <w:rPr>
          <w:lang w:val="fr-FR"/>
        </w:rPr>
        <w:t>Institut de la statistique pour la tenue des fichiers statistiques susceptibles d</w:t>
      </w:r>
      <w:r w:rsidR="008279BF">
        <w:rPr>
          <w:lang w:val="fr-FR"/>
        </w:rPr>
        <w:t>’</w:t>
      </w:r>
      <w:r w:rsidRPr="00EE4C2A">
        <w:rPr>
          <w:lang w:val="fr-FR"/>
        </w:rPr>
        <w:t>être utilisés afin de promouvoir, gérer et évaluer les services fournis aux personnes présentant un handicap. À cet effet, une enquête nationale sur le handicap a été réalisée en 2015 pour estimer la prévalence du handicap chez les adultes et les enfants. Il en est ressorti que les enfants handicapés âgés de 2 à 17 ans représentaient 4,4 % de la population.</w:t>
      </w:r>
    </w:p>
    <w:p w14:paraId="2E229B2E" w14:textId="10687C27" w:rsidR="00046F46" w:rsidRPr="00EE4C2A" w:rsidRDefault="00046F46" w:rsidP="00046F46">
      <w:pPr>
        <w:pStyle w:val="SingleTxtG"/>
        <w:rPr>
          <w:lang w:val="fr-FR"/>
        </w:rPr>
      </w:pPr>
      <w:r w:rsidRPr="00EE4C2A">
        <w:rPr>
          <w:lang w:val="fr-FR"/>
        </w:rPr>
        <w:t>39.</w:t>
      </w:r>
      <w:r w:rsidRPr="00EE4C2A">
        <w:rPr>
          <w:lang w:val="fr-FR"/>
        </w:rPr>
        <w:tab/>
        <w:t>Enfin, la Commission des droits de l</w:t>
      </w:r>
      <w:r w:rsidR="008279BF">
        <w:rPr>
          <w:lang w:val="fr-FR"/>
        </w:rPr>
        <w:t>’</w:t>
      </w:r>
      <w:r w:rsidRPr="00EE4C2A">
        <w:rPr>
          <w:lang w:val="fr-FR"/>
        </w:rPr>
        <w:t>homme s</w:t>
      </w:r>
      <w:r w:rsidR="008279BF">
        <w:rPr>
          <w:lang w:val="fr-FR"/>
        </w:rPr>
        <w:t>’</w:t>
      </w:r>
      <w:r w:rsidRPr="00EE4C2A">
        <w:rPr>
          <w:lang w:val="fr-FR"/>
        </w:rPr>
        <w:t>efforce d</w:t>
      </w:r>
      <w:r w:rsidR="008279BF">
        <w:rPr>
          <w:lang w:val="fr-FR"/>
        </w:rPr>
        <w:t>’</w:t>
      </w:r>
      <w:r w:rsidRPr="00EE4C2A">
        <w:rPr>
          <w:lang w:val="fr-FR"/>
        </w:rPr>
        <w:t>améliorer les outils de collecte de données ventilées de manière adéquate pour permettre le recueil et la fourniture des données relatives aux enfants handicapés et aux enfants en conflit avec la loi dans le cadre de son mécanisme de surveillance des droits de l</w:t>
      </w:r>
      <w:r w:rsidR="008279BF">
        <w:rPr>
          <w:lang w:val="fr-FR"/>
        </w:rPr>
        <w:t>’</w:t>
      </w:r>
      <w:r w:rsidRPr="00EE4C2A">
        <w:rPr>
          <w:lang w:val="fr-FR"/>
        </w:rPr>
        <w:t>homme et du rapport national sur les droits de l</w:t>
      </w:r>
      <w:r w:rsidR="008279BF">
        <w:rPr>
          <w:lang w:val="fr-FR"/>
        </w:rPr>
        <w:t>’</w:t>
      </w:r>
      <w:r w:rsidRPr="00EE4C2A">
        <w:rPr>
          <w:lang w:val="fr-FR"/>
        </w:rPr>
        <w:t>homme.</w:t>
      </w:r>
    </w:p>
    <w:p w14:paraId="00A80E74" w14:textId="77777777" w:rsidR="00046F46" w:rsidRPr="00EE4C2A" w:rsidRDefault="00046F46" w:rsidP="00046F46">
      <w:pPr>
        <w:pStyle w:val="H1G"/>
        <w:rPr>
          <w:lang w:val="fr-FR"/>
        </w:rPr>
      </w:pPr>
      <w:bookmarkStart w:id="8" w:name="_Toc63937966"/>
      <w:r w:rsidRPr="00EE4C2A">
        <w:rPr>
          <w:lang w:val="fr-FR"/>
        </w:rPr>
        <w:tab/>
      </w:r>
      <w:r w:rsidRPr="00EE4C2A">
        <w:rPr>
          <w:lang w:val="fr-FR"/>
        </w:rPr>
        <w:tab/>
      </w:r>
      <w:r w:rsidRPr="00EE4C2A">
        <w:rPr>
          <w:bCs/>
          <w:lang w:val="fr-FR"/>
        </w:rPr>
        <w:t>Mécanisme de suivi indépendant</w:t>
      </w:r>
      <w:bookmarkEnd w:id="8"/>
    </w:p>
    <w:p w14:paraId="4A3F2A58"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6 a) de la liste de points établie </w:t>
      </w:r>
      <w:r>
        <w:rPr>
          <w:bCs/>
          <w:lang w:val="fr-FR"/>
        </w:rPr>
        <w:t xml:space="preserve">avant la soumission du rapport </w:t>
      </w:r>
    </w:p>
    <w:p w14:paraId="74484044" w14:textId="6E27C85B" w:rsidR="00046F46" w:rsidRPr="00EE4C2A" w:rsidRDefault="00046F46" w:rsidP="00046F46">
      <w:pPr>
        <w:pStyle w:val="SingleTxtG"/>
        <w:rPr>
          <w:lang w:val="fr-FR"/>
        </w:rPr>
      </w:pPr>
      <w:r w:rsidRPr="00EE4C2A">
        <w:rPr>
          <w:lang w:val="fr-FR"/>
        </w:rPr>
        <w:t>40.</w:t>
      </w:r>
      <w:r w:rsidRPr="00EE4C2A">
        <w:rPr>
          <w:lang w:val="fr-FR"/>
        </w:rPr>
        <w:tab/>
        <w:t>En ce qui concerne les modalités du contrôle exercé par l</w:t>
      </w:r>
      <w:r w:rsidR="008279BF">
        <w:rPr>
          <w:lang w:val="fr-FR"/>
        </w:rPr>
        <w:t>’</w:t>
      </w:r>
      <w:r w:rsidRPr="00EE4C2A">
        <w:rPr>
          <w:lang w:val="fr-FR"/>
        </w:rPr>
        <w:t>Assemblée nationale en matière de droits de l</w:t>
      </w:r>
      <w:r w:rsidR="008279BF">
        <w:rPr>
          <w:lang w:val="fr-FR"/>
        </w:rPr>
        <w:t>’</w:t>
      </w:r>
      <w:r w:rsidRPr="00EE4C2A">
        <w:rPr>
          <w:lang w:val="fr-FR"/>
        </w:rPr>
        <w:t>enfant, l</w:t>
      </w:r>
      <w:r w:rsidR="008279BF">
        <w:rPr>
          <w:lang w:val="fr-FR"/>
        </w:rPr>
        <w:t>’</w:t>
      </w:r>
      <w:r w:rsidRPr="00EE4C2A">
        <w:rPr>
          <w:lang w:val="fr-FR"/>
        </w:rPr>
        <w:t>État partie souhaite rapporter que ce rôle est assuré par le système des commissions, par les propositions des députés et par les questions posées aux ministres et à la Vice-Présidente. L</w:t>
      </w:r>
      <w:r w:rsidR="008279BF">
        <w:rPr>
          <w:lang w:val="fr-FR"/>
        </w:rPr>
        <w:t>’</w:t>
      </w:r>
      <w:r w:rsidRPr="00EE4C2A">
        <w:rPr>
          <w:lang w:val="fr-FR"/>
        </w:rPr>
        <w:t>article 80 (par. 1 et 4) de la Constitution prévoit la création de commissions parlementaires et rend obligatoire l</w:t>
      </w:r>
      <w:r w:rsidR="008279BF">
        <w:rPr>
          <w:lang w:val="fr-FR"/>
        </w:rPr>
        <w:t>’</w:t>
      </w:r>
      <w:r w:rsidRPr="00EE4C2A">
        <w:rPr>
          <w:lang w:val="fr-FR"/>
        </w:rPr>
        <w:t>adoption de règlements intérieurs définissant les catégories, les fonctions et les procédures des</w:t>
      </w:r>
      <w:r>
        <w:rPr>
          <w:lang w:val="fr-FR"/>
        </w:rPr>
        <w:t>dites</w:t>
      </w:r>
      <w:r w:rsidRPr="00EE4C2A">
        <w:rPr>
          <w:lang w:val="fr-FR"/>
        </w:rPr>
        <w:t xml:space="preserve"> commissions. Le règlement intérieur </w:t>
      </w:r>
      <w:r w:rsidR="00F73AC6" w:rsidRPr="00F73AC6">
        <w:rPr>
          <w:rFonts w:eastAsia="MS Mincho"/>
          <w:lang w:val="fr-FR"/>
        </w:rPr>
        <w:t>n</w:t>
      </w:r>
      <w:r w:rsidR="00F73AC6" w:rsidRPr="00F73AC6">
        <w:rPr>
          <w:rFonts w:eastAsia="MS Mincho"/>
          <w:vertAlign w:val="superscript"/>
          <w:lang w:val="fr-FR"/>
        </w:rPr>
        <w:t>o</w:t>
      </w:r>
      <w:r w:rsidR="00F73AC6">
        <w:rPr>
          <w:lang w:val="fr-FR"/>
        </w:rPr>
        <w:t xml:space="preserve"> </w:t>
      </w:r>
      <w:r w:rsidRPr="00EE4C2A">
        <w:rPr>
          <w:lang w:val="fr-FR"/>
        </w:rPr>
        <w:t>157 (par. 1) de 2016 prévoit la création de commissions spécialisées, parmi lesquelles figure la Commission de la jeunesse, des sports et de l</w:t>
      </w:r>
      <w:r w:rsidR="008279BF">
        <w:rPr>
          <w:lang w:val="fr-FR"/>
        </w:rPr>
        <w:t>’</w:t>
      </w:r>
      <w:r w:rsidRPr="00EE4C2A">
        <w:rPr>
          <w:lang w:val="fr-FR"/>
        </w:rPr>
        <w:t>enfance.</w:t>
      </w:r>
      <w:bookmarkStart w:id="9" w:name="_Hlk61361693"/>
      <w:bookmarkEnd w:id="9"/>
    </w:p>
    <w:p w14:paraId="12D67541" w14:textId="15849555" w:rsidR="00046F46" w:rsidRPr="00EE4C2A" w:rsidRDefault="00046F46" w:rsidP="00046F46">
      <w:pPr>
        <w:pStyle w:val="SingleTxtG"/>
        <w:rPr>
          <w:lang w:val="fr-FR"/>
        </w:rPr>
      </w:pPr>
      <w:r w:rsidRPr="00EE4C2A">
        <w:rPr>
          <w:lang w:val="fr-FR"/>
        </w:rPr>
        <w:lastRenderedPageBreak/>
        <w:t>41.</w:t>
      </w:r>
      <w:r w:rsidRPr="00EE4C2A">
        <w:rPr>
          <w:lang w:val="fr-FR"/>
        </w:rPr>
        <w:tab/>
        <w:t xml:space="preserve">Le règlement intérieur </w:t>
      </w:r>
      <w:r w:rsidR="00F73AC6" w:rsidRPr="00F73AC6">
        <w:rPr>
          <w:rFonts w:eastAsia="MS Mincho"/>
          <w:lang w:val="fr-FR"/>
        </w:rPr>
        <w:t>n</w:t>
      </w:r>
      <w:r w:rsidR="00F73AC6" w:rsidRPr="00F73AC6">
        <w:rPr>
          <w:rFonts w:eastAsia="MS Mincho"/>
          <w:vertAlign w:val="superscript"/>
          <w:lang w:val="fr-FR"/>
        </w:rPr>
        <w:t>o</w:t>
      </w:r>
      <w:r w:rsidR="00F73AC6">
        <w:rPr>
          <w:lang w:val="fr-FR"/>
        </w:rPr>
        <w:t xml:space="preserve"> </w:t>
      </w:r>
      <w:r w:rsidRPr="00EE4C2A">
        <w:rPr>
          <w:lang w:val="fr-FR"/>
        </w:rPr>
        <w:t>157 (par. 2, al. ii)) prévoit notamment que les commissions doivent examiner les activités menées par les ministères, départements et services de l</w:t>
      </w:r>
      <w:r w:rsidR="008279BF">
        <w:rPr>
          <w:lang w:val="fr-FR"/>
        </w:rPr>
        <w:t>’</w:t>
      </w:r>
      <w:r w:rsidRPr="00EE4C2A">
        <w:rPr>
          <w:lang w:val="fr-FR"/>
        </w:rPr>
        <w:t>État relevant de leur portefeuille et présenter des recommandations à la Chambre pour examen. Par exemple, lors de la cinquième session de la XII</w:t>
      </w:r>
      <w:r w:rsidRPr="00EE4C2A">
        <w:rPr>
          <w:vertAlign w:val="superscript"/>
          <w:lang w:val="fr-FR"/>
        </w:rPr>
        <w:t>e</w:t>
      </w:r>
      <w:r w:rsidRPr="00EE4C2A">
        <w:rPr>
          <w:lang w:val="fr-FR"/>
        </w:rPr>
        <w:t> législature, qui se tiendra de janvier à mai 2021, la Commission de la jeunesse, des sports et de l</w:t>
      </w:r>
      <w:r w:rsidR="008279BF">
        <w:rPr>
          <w:lang w:val="fr-FR"/>
        </w:rPr>
        <w:t>’</w:t>
      </w:r>
      <w:r w:rsidRPr="00EE4C2A">
        <w:rPr>
          <w:lang w:val="fr-FR"/>
        </w:rPr>
        <w:t xml:space="preserve">enfance examinera le sujet suivant : « Santé sexuelle et </w:t>
      </w:r>
      <w:r>
        <w:rPr>
          <w:lang w:val="fr-FR"/>
        </w:rPr>
        <w:t>procréative</w:t>
      </w:r>
      <w:r w:rsidRPr="00EE4C2A">
        <w:rPr>
          <w:lang w:val="fr-FR"/>
        </w:rPr>
        <w:t xml:space="preserve"> et droits connexes des enfants et des jeunes en Zambie ». Après un examen approfondi du sujet, des recommandations appropriées seront soumises au Gouvernement dans le but d</w:t>
      </w:r>
      <w:r w:rsidR="008279BF">
        <w:rPr>
          <w:lang w:val="fr-FR"/>
        </w:rPr>
        <w:t>’</w:t>
      </w:r>
      <w:r w:rsidRPr="00EE4C2A">
        <w:rPr>
          <w:lang w:val="fr-FR"/>
        </w:rPr>
        <w:t>améliorer la réalisation et l</w:t>
      </w:r>
      <w:r w:rsidR="008279BF">
        <w:rPr>
          <w:lang w:val="fr-FR"/>
        </w:rPr>
        <w:t>’</w:t>
      </w:r>
      <w:r w:rsidRPr="00EE4C2A">
        <w:rPr>
          <w:lang w:val="fr-FR"/>
        </w:rPr>
        <w:t>exercice des droits des enfants et des jeunes.</w:t>
      </w:r>
    </w:p>
    <w:p w14:paraId="485CFE87" w14:textId="332001A3" w:rsidR="00046F46" w:rsidRPr="00EE4C2A" w:rsidRDefault="00046F46" w:rsidP="00046F46">
      <w:pPr>
        <w:pStyle w:val="SingleTxtG"/>
        <w:rPr>
          <w:lang w:val="fr-FR"/>
        </w:rPr>
      </w:pPr>
      <w:r w:rsidRPr="00EE4C2A">
        <w:rPr>
          <w:lang w:val="fr-FR"/>
        </w:rPr>
        <w:t>42.</w:t>
      </w:r>
      <w:r w:rsidRPr="00EE4C2A">
        <w:rPr>
          <w:lang w:val="fr-FR"/>
        </w:rPr>
        <w:tab/>
        <w:t>Autre exemple : la Commission des questions de genre et de la gouvernance s</w:t>
      </w:r>
      <w:r w:rsidR="008279BF">
        <w:rPr>
          <w:lang w:val="fr-FR"/>
        </w:rPr>
        <w:t>’</w:t>
      </w:r>
      <w:r w:rsidRPr="00EE4C2A">
        <w:rPr>
          <w:lang w:val="fr-FR"/>
        </w:rPr>
        <w:t>est penchée sur la question de la « violence fondée sur le genre ». Parmi les observations et recommandations formulées, la Commission s</w:t>
      </w:r>
      <w:r w:rsidR="008279BF">
        <w:rPr>
          <w:lang w:val="fr-FR"/>
        </w:rPr>
        <w:t>’</w:t>
      </w:r>
      <w:r w:rsidRPr="00EE4C2A">
        <w:rPr>
          <w:lang w:val="fr-FR"/>
        </w:rPr>
        <w:t>est inquiétée du fait que de nombreux auteurs de violence fondée sur le genre s</w:t>
      </w:r>
      <w:r w:rsidR="008279BF">
        <w:rPr>
          <w:lang w:val="fr-FR"/>
        </w:rPr>
        <w:t>’</w:t>
      </w:r>
      <w:r w:rsidRPr="00EE4C2A">
        <w:rPr>
          <w:lang w:val="fr-FR"/>
        </w:rPr>
        <w:t>en sortaient impunément, car les victimes retiraient prématurément les plaintes déposées auprès de la police ou des tribunaux en raison de leur grande pauvreté. La Commission a constaté que, dans de nombreux cas, les auteurs de ces infractions étaient financièrement puissants et que, dans certains cas, ils étaient même les représentants légaux des victimes. Dans ses recommandations, la Commission a exhorté l</w:t>
      </w:r>
      <w:r w:rsidR="008279BF">
        <w:rPr>
          <w:lang w:val="fr-FR"/>
        </w:rPr>
        <w:t>’</w:t>
      </w:r>
      <w:r w:rsidRPr="00EE4C2A">
        <w:rPr>
          <w:lang w:val="fr-FR"/>
        </w:rPr>
        <w:t>exécutif à veiller à ce que le Fonds de lutte contre la violence fondée sur le genre, créé en application de la partie VI de la loi relative à la lutte contre la violence fondée sur le genre, soit pleinement opérationnel afin de renforcer les mesures d</w:t>
      </w:r>
      <w:r w:rsidR="008279BF">
        <w:rPr>
          <w:lang w:val="fr-FR"/>
        </w:rPr>
        <w:t>’</w:t>
      </w:r>
      <w:r w:rsidRPr="00EE4C2A">
        <w:rPr>
          <w:lang w:val="fr-FR"/>
        </w:rPr>
        <w:t>autonomisation économique des victimes de violence fondée sur le genre, car ce type de violence se perpétue face aux difficultés financières.</w:t>
      </w:r>
    </w:p>
    <w:p w14:paraId="329D588F" w14:textId="3FA7A408" w:rsidR="00046F46" w:rsidRPr="00EE4C2A" w:rsidRDefault="00046F46" w:rsidP="00046F46">
      <w:pPr>
        <w:pStyle w:val="SingleTxtG"/>
        <w:rPr>
          <w:lang w:val="fr-FR"/>
        </w:rPr>
      </w:pPr>
      <w:r w:rsidRPr="00EE4C2A">
        <w:rPr>
          <w:lang w:val="fr-FR"/>
        </w:rPr>
        <w:t>43.</w:t>
      </w:r>
      <w:r w:rsidRPr="00EE4C2A">
        <w:rPr>
          <w:lang w:val="fr-FR"/>
        </w:rPr>
        <w:tab/>
        <w:t>Le règlement intérieur n</w:t>
      </w:r>
      <w:r w:rsidRPr="00EE4C2A">
        <w:rPr>
          <w:vertAlign w:val="superscript"/>
          <w:lang w:val="fr-FR"/>
        </w:rPr>
        <w:t>o</w:t>
      </w:r>
      <w:r w:rsidRPr="00EE4C2A">
        <w:rPr>
          <w:lang w:val="fr-FR"/>
        </w:rPr>
        <w:t> 37 permet aux députés de déposer des propositions. Conformément à ce règlement, une proposition a été présentée à l</w:t>
      </w:r>
      <w:r w:rsidR="008279BF">
        <w:rPr>
          <w:lang w:val="fr-FR"/>
        </w:rPr>
        <w:t>’</w:t>
      </w:r>
      <w:r w:rsidRPr="00EE4C2A">
        <w:rPr>
          <w:lang w:val="fr-FR"/>
        </w:rPr>
        <w:t>Assemblée nationale en septembre</w:t>
      </w:r>
      <w:r w:rsidR="00E613C6">
        <w:rPr>
          <w:lang w:val="fr-FR"/>
        </w:rPr>
        <w:t xml:space="preserve"> </w:t>
      </w:r>
      <w:r w:rsidRPr="00EE4C2A">
        <w:rPr>
          <w:lang w:val="fr-FR"/>
        </w:rPr>
        <w:t>2019, demandant au Gouvernement de fournir des serviettes hygiéniques à toutes les filles dans les écoles publiques. Le règlement intérieur n</w:t>
      </w:r>
      <w:r w:rsidRPr="00EE4C2A">
        <w:rPr>
          <w:vertAlign w:val="superscript"/>
          <w:lang w:val="fr-FR"/>
        </w:rPr>
        <w:t>o </w:t>
      </w:r>
      <w:r w:rsidRPr="00EE4C2A">
        <w:rPr>
          <w:lang w:val="fr-FR"/>
        </w:rPr>
        <w:t>30 permet aux députés de poser des questions aux ministres et à la Vice-Présidente. Le mardi 26 juin 2018, une question a ainsi été posée au Ministre de l</w:t>
      </w:r>
      <w:r w:rsidR="008279BF">
        <w:rPr>
          <w:lang w:val="fr-FR"/>
        </w:rPr>
        <w:t>’</w:t>
      </w:r>
      <w:r w:rsidRPr="00EE4C2A">
        <w:rPr>
          <w:lang w:val="fr-FR"/>
        </w:rPr>
        <w:t>enseignement général concernant, d</w:t>
      </w:r>
      <w:r w:rsidR="008279BF">
        <w:rPr>
          <w:lang w:val="fr-FR"/>
        </w:rPr>
        <w:t>’</w:t>
      </w:r>
      <w:r w:rsidRPr="00EE4C2A">
        <w:rPr>
          <w:lang w:val="fr-FR"/>
        </w:rPr>
        <w:t>une part, la date de lancement du programme de repas scolaires dans le district de Mitete (province occidentale), et, d</w:t>
      </w:r>
      <w:r w:rsidR="008279BF">
        <w:rPr>
          <w:lang w:val="fr-FR"/>
        </w:rPr>
        <w:t>’</w:t>
      </w:r>
      <w:r w:rsidRPr="00EE4C2A">
        <w:rPr>
          <w:lang w:val="fr-FR"/>
        </w:rPr>
        <w:t>autre part, celle fixée pour commencer la distribution de serviettes hygiéniques aux élèves filles remplissant les conditions requises dans le district.</w:t>
      </w:r>
    </w:p>
    <w:p w14:paraId="595B45C8"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6 b) de la liste de points établie </w:t>
      </w:r>
      <w:r>
        <w:rPr>
          <w:bCs/>
          <w:lang w:val="fr-FR"/>
        </w:rPr>
        <w:t xml:space="preserve">avant la soumission du rapport </w:t>
      </w:r>
    </w:p>
    <w:p w14:paraId="1D90EFB6" w14:textId="161BD1A3" w:rsidR="00046F46" w:rsidRPr="00EE4C2A" w:rsidRDefault="00046F46" w:rsidP="00046F46">
      <w:pPr>
        <w:pStyle w:val="SingleTxtG"/>
        <w:rPr>
          <w:lang w:val="fr-FR"/>
        </w:rPr>
      </w:pPr>
      <w:r w:rsidRPr="00EE4C2A">
        <w:rPr>
          <w:lang w:val="fr-FR"/>
        </w:rPr>
        <w:t>44.</w:t>
      </w:r>
      <w:r w:rsidRPr="00EE4C2A">
        <w:rPr>
          <w:lang w:val="fr-FR"/>
        </w:rPr>
        <w:tab/>
        <w:t>En ce qui concerne le mandat, les capacités, les ressources et les activités du Commissariat à l</w:t>
      </w:r>
      <w:r w:rsidR="008279BF">
        <w:rPr>
          <w:lang w:val="fr-FR"/>
        </w:rPr>
        <w:t>’</w:t>
      </w:r>
      <w:r w:rsidRPr="00EE4C2A">
        <w:rPr>
          <w:lang w:val="fr-FR"/>
        </w:rPr>
        <w:t>enfance, l</w:t>
      </w:r>
      <w:r w:rsidR="008279BF">
        <w:rPr>
          <w:lang w:val="fr-FR"/>
        </w:rPr>
        <w:t>’</w:t>
      </w:r>
      <w:r w:rsidRPr="00EE4C2A">
        <w:rPr>
          <w:lang w:val="fr-FR"/>
        </w:rPr>
        <w:t>État partie rapporte que celui-ci n</w:t>
      </w:r>
      <w:r w:rsidR="008279BF">
        <w:rPr>
          <w:lang w:val="fr-FR"/>
        </w:rPr>
        <w:t>’</w:t>
      </w:r>
      <w:r w:rsidRPr="00EE4C2A">
        <w:rPr>
          <w:lang w:val="fr-FR"/>
        </w:rPr>
        <w:t>a pas encore été créé, mais que la Commission des droits de l</w:t>
      </w:r>
      <w:r w:rsidR="008279BF">
        <w:rPr>
          <w:lang w:val="fr-FR"/>
        </w:rPr>
        <w:t>’</w:t>
      </w:r>
      <w:r w:rsidRPr="00EE4C2A">
        <w:rPr>
          <w:lang w:val="fr-FR"/>
        </w:rPr>
        <w:t>homme a chargé l</w:t>
      </w:r>
      <w:r w:rsidR="008279BF">
        <w:rPr>
          <w:lang w:val="fr-FR"/>
        </w:rPr>
        <w:t>’</w:t>
      </w:r>
      <w:r w:rsidRPr="00EE4C2A">
        <w:rPr>
          <w:lang w:val="fr-FR"/>
        </w:rPr>
        <w:t>un de ses commissaires de traiter les questions relatives aux violations des droits de l</w:t>
      </w:r>
      <w:r w:rsidR="008279BF">
        <w:rPr>
          <w:lang w:val="fr-FR"/>
        </w:rPr>
        <w:t>’</w:t>
      </w:r>
      <w:r w:rsidRPr="00EE4C2A">
        <w:rPr>
          <w:lang w:val="fr-FR"/>
        </w:rPr>
        <w:t>enfant. Le projet de loi relatif au Code de protection de l</w:t>
      </w:r>
      <w:r w:rsidR="008279BF">
        <w:rPr>
          <w:lang w:val="fr-FR"/>
        </w:rPr>
        <w:t>’</w:t>
      </w:r>
      <w:r w:rsidRPr="00EE4C2A">
        <w:rPr>
          <w:lang w:val="fr-FR"/>
        </w:rPr>
        <w:t>enfance prévoit la nomination d</w:t>
      </w:r>
      <w:r w:rsidR="008279BF">
        <w:rPr>
          <w:lang w:val="fr-FR"/>
        </w:rPr>
        <w:t>’</w:t>
      </w:r>
      <w:r w:rsidRPr="00EE4C2A">
        <w:rPr>
          <w:lang w:val="fr-FR"/>
        </w:rPr>
        <w:t>un Commissaire à l</w:t>
      </w:r>
      <w:r w:rsidR="008279BF">
        <w:rPr>
          <w:lang w:val="fr-FR"/>
        </w:rPr>
        <w:t>’</w:t>
      </w:r>
      <w:r w:rsidRPr="00EE4C2A">
        <w:rPr>
          <w:lang w:val="fr-FR"/>
        </w:rPr>
        <w:t>enfance.</w:t>
      </w:r>
    </w:p>
    <w:p w14:paraId="5C48DBBA"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6 c) de la liste de points établie </w:t>
      </w:r>
      <w:r>
        <w:rPr>
          <w:bCs/>
          <w:lang w:val="fr-FR"/>
        </w:rPr>
        <w:t xml:space="preserve">avant la soumission du rapport </w:t>
      </w:r>
    </w:p>
    <w:p w14:paraId="72225AC4" w14:textId="04231AAD" w:rsidR="00046F46" w:rsidRPr="00EE4C2A" w:rsidRDefault="00046F46" w:rsidP="00046F46">
      <w:pPr>
        <w:pStyle w:val="SingleTxtG"/>
        <w:rPr>
          <w:lang w:val="fr-FR"/>
        </w:rPr>
      </w:pPr>
      <w:r w:rsidRPr="00EE4C2A">
        <w:rPr>
          <w:lang w:val="fr-FR"/>
        </w:rPr>
        <w:t>45.</w:t>
      </w:r>
      <w:r w:rsidRPr="00EE4C2A">
        <w:rPr>
          <w:lang w:val="fr-FR"/>
        </w:rPr>
        <w:tab/>
        <w:t>En ce qui concerne la création d</w:t>
      </w:r>
      <w:r w:rsidR="008279BF">
        <w:rPr>
          <w:lang w:val="fr-FR"/>
        </w:rPr>
        <w:t>’</w:t>
      </w:r>
      <w:r w:rsidRPr="00EE4C2A">
        <w:rPr>
          <w:lang w:val="fr-FR"/>
        </w:rPr>
        <w:t>un organe indépendant spécialement chargé de surveiller l</w:t>
      </w:r>
      <w:r w:rsidR="008279BF">
        <w:rPr>
          <w:lang w:val="fr-FR"/>
        </w:rPr>
        <w:t>’</w:t>
      </w:r>
      <w:r w:rsidRPr="00EE4C2A">
        <w:rPr>
          <w:lang w:val="fr-FR"/>
        </w:rPr>
        <w:t>application de la Convention, l</w:t>
      </w:r>
      <w:r w:rsidR="008279BF">
        <w:rPr>
          <w:lang w:val="fr-FR"/>
        </w:rPr>
        <w:t>’</w:t>
      </w:r>
      <w:r w:rsidRPr="00EE4C2A">
        <w:rPr>
          <w:lang w:val="fr-FR"/>
        </w:rPr>
        <w:t>État partie a constitué l</w:t>
      </w:r>
      <w:r w:rsidR="008279BF">
        <w:rPr>
          <w:lang w:val="fr-FR"/>
        </w:rPr>
        <w:t>’</w:t>
      </w:r>
      <w:r w:rsidRPr="00EE4C2A">
        <w:rPr>
          <w:lang w:val="fr-FR"/>
        </w:rPr>
        <w:t>Unité de protection de l</w:t>
      </w:r>
      <w:r w:rsidR="008279BF">
        <w:rPr>
          <w:lang w:val="fr-FR"/>
        </w:rPr>
        <w:t>’</w:t>
      </w:r>
      <w:r w:rsidRPr="00EE4C2A">
        <w:rPr>
          <w:lang w:val="fr-FR"/>
        </w:rPr>
        <w:t>enfance au sein de la police zambienne, dont le mandat consiste notamment à recevoir les plaintes pour violation des droits de l</w:t>
      </w:r>
      <w:r w:rsidR="008279BF">
        <w:rPr>
          <w:lang w:val="fr-FR"/>
        </w:rPr>
        <w:t>’</w:t>
      </w:r>
      <w:r w:rsidRPr="00EE4C2A">
        <w:rPr>
          <w:lang w:val="fr-FR"/>
        </w:rPr>
        <w:t>enfant, à enquêter sur les violations des droits de l</w:t>
      </w:r>
      <w:r w:rsidR="008279BF">
        <w:rPr>
          <w:lang w:val="fr-FR"/>
        </w:rPr>
        <w:t>’</w:t>
      </w:r>
      <w:r w:rsidRPr="00EE4C2A">
        <w:rPr>
          <w:lang w:val="fr-FR"/>
        </w:rPr>
        <w:t>enfant, à préparer les enfants qui doivent témoigner et à transmettre les affaires de violation des droits de l</w:t>
      </w:r>
      <w:r w:rsidR="008279BF">
        <w:rPr>
          <w:lang w:val="fr-FR"/>
        </w:rPr>
        <w:t>’</w:t>
      </w:r>
      <w:r w:rsidRPr="00EE4C2A">
        <w:rPr>
          <w:lang w:val="fr-FR"/>
        </w:rPr>
        <w:t>enfant aux tribunaux pour poursuites. L</w:t>
      </w:r>
      <w:r w:rsidR="008279BF">
        <w:rPr>
          <w:lang w:val="fr-FR"/>
        </w:rPr>
        <w:t>’</w:t>
      </w:r>
      <w:r w:rsidRPr="00EE4C2A">
        <w:rPr>
          <w:lang w:val="fr-FR"/>
        </w:rPr>
        <w:t>Unité fournit également un soutien psychosocial aux victimes de violations des droits de l</w:t>
      </w:r>
      <w:r w:rsidR="008279BF">
        <w:rPr>
          <w:lang w:val="fr-FR"/>
        </w:rPr>
        <w:t>’</w:t>
      </w:r>
      <w:r w:rsidRPr="00EE4C2A">
        <w:rPr>
          <w:lang w:val="fr-FR"/>
        </w:rPr>
        <w:t>enfant. Pour faire connaître son travail, l</w:t>
      </w:r>
      <w:r w:rsidR="008279BF">
        <w:rPr>
          <w:lang w:val="fr-FR"/>
        </w:rPr>
        <w:t>’</w:t>
      </w:r>
      <w:r w:rsidRPr="00EE4C2A">
        <w:rPr>
          <w:lang w:val="fr-FR"/>
        </w:rPr>
        <w:t>Unité entreprend de sensibiliser la population, notamment les enfants, et de renforcer les capacités des responsables de l</w:t>
      </w:r>
      <w:r w:rsidR="008279BF">
        <w:rPr>
          <w:lang w:val="fr-FR"/>
        </w:rPr>
        <w:t>’</w:t>
      </w:r>
      <w:r w:rsidRPr="00EE4C2A">
        <w:rPr>
          <w:lang w:val="fr-FR"/>
        </w:rPr>
        <w:t>application de la loi.</w:t>
      </w:r>
    </w:p>
    <w:p w14:paraId="2B00F622" w14:textId="0D336B27" w:rsidR="00046F46" w:rsidRPr="00EE4C2A" w:rsidRDefault="00046F46" w:rsidP="00046F46">
      <w:pPr>
        <w:pStyle w:val="SingleTxtG"/>
        <w:rPr>
          <w:lang w:val="fr-FR"/>
        </w:rPr>
      </w:pPr>
      <w:r w:rsidRPr="00EE4C2A">
        <w:rPr>
          <w:lang w:val="fr-FR"/>
        </w:rPr>
        <w:t>46.</w:t>
      </w:r>
      <w:r w:rsidRPr="00EE4C2A">
        <w:rPr>
          <w:lang w:val="fr-FR"/>
        </w:rPr>
        <w:tab/>
        <w:t>La loi de 2016 portant modification de la Constitution a entraîné la création du Bureau du Protecteur public, qui a pour mission de fournir des conseils et d</w:t>
      </w:r>
      <w:r w:rsidR="008279BF">
        <w:rPr>
          <w:lang w:val="fr-FR"/>
        </w:rPr>
        <w:t>’</w:t>
      </w:r>
      <w:r w:rsidRPr="00EE4C2A">
        <w:rPr>
          <w:lang w:val="fr-FR"/>
        </w:rPr>
        <w:t>encourager le développement de politiques, pratiques et procédures visant à promouvoir les droits et le bien-être des enfants, de mettre en avant les questions touchant les enfants et de surveiller et d</w:t>
      </w:r>
      <w:r w:rsidR="008279BF">
        <w:rPr>
          <w:lang w:val="fr-FR"/>
        </w:rPr>
        <w:t>’</w:t>
      </w:r>
      <w:r w:rsidRPr="00EE4C2A">
        <w:rPr>
          <w:lang w:val="fr-FR"/>
        </w:rPr>
        <w:t>examiner le fonctionnement de la législation relative aux enfants.</w:t>
      </w:r>
    </w:p>
    <w:p w14:paraId="5EEF439A" w14:textId="5847001B" w:rsidR="00046F46" w:rsidRPr="00EE4C2A" w:rsidRDefault="00046F46" w:rsidP="00046F46">
      <w:pPr>
        <w:pStyle w:val="H1G"/>
        <w:rPr>
          <w:lang w:val="fr-FR"/>
        </w:rPr>
      </w:pPr>
      <w:bookmarkStart w:id="10" w:name="_Toc63937967"/>
      <w:r w:rsidRPr="00EE4C2A">
        <w:rPr>
          <w:lang w:val="fr-FR"/>
        </w:rPr>
        <w:lastRenderedPageBreak/>
        <w:tab/>
      </w:r>
      <w:r w:rsidRPr="00EE4C2A">
        <w:rPr>
          <w:lang w:val="fr-FR"/>
        </w:rPr>
        <w:tab/>
      </w:r>
      <w:r w:rsidRPr="00EE4C2A">
        <w:rPr>
          <w:bCs/>
          <w:lang w:val="fr-FR"/>
        </w:rPr>
        <w:t>Droits de l</w:t>
      </w:r>
      <w:r w:rsidR="008279BF">
        <w:rPr>
          <w:bCs/>
          <w:lang w:val="fr-FR"/>
        </w:rPr>
        <w:t>’</w:t>
      </w:r>
      <w:r w:rsidRPr="00EE4C2A">
        <w:rPr>
          <w:bCs/>
          <w:lang w:val="fr-FR"/>
        </w:rPr>
        <w:t>enfant et entreprises</w:t>
      </w:r>
      <w:bookmarkEnd w:id="10"/>
    </w:p>
    <w:p w14:paraId="1C014F3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7 de la liste de points établie </w:t>
      </w:r>
      <w:r>
        <w:rPr>
          <w:bCs/>
          <w:lang w:val="fr-FR"/>
        </w:rPr>
        <w:t xml:space="preserve">avant la soumission du rapport </w:t>
      </w:r>
    </w:p>
    <w:p w14:paraId="794832B6" w14:textId="1E1A778A" w:rsidR="00046F46" w:rsidRPr="00EE4C2A" w:rsidRDefault="00046F46" w:rsidP="00046F46">
      <w:pPr>
        <w:pStyle w:val="SingleTxtG"/>
        <w:rPr>
          <w:lang w:val="fr-FR"/>
        </w:rPr>
      </w:pPr>
      <w:r w:rsidRPr="00EE4C2A">
        <w:rPr>
          <w:lang w:val="fr-FR"/>
        </w:rPr>
        <w:t>47.</w:t>
      </w:r>
      <w:r w:rsidRPr="00EE4C2A">
        <w:rPr>
          <w:lang w:val="fr-FR"/>
        </w:rPr>
        <w:tab/>
        <w:t>En ce qui concerne les renseignements à jour sur les mesures prises en vue de mettre en place un cadre réglementaire pour les industries minières, l</w:t>
      </w:r>
      <w:r w:rsidR="008279BF">
        <w:rPr>
          <w:lang w:val="fr-FR"/>
        </w:rPr>
        <w:t>’</w:t>
      </w:r>
      <w:r w:rsidRPr="00EE4C2A">
        <w:rPr>
          <w:lang w:val="fr-FR"/>
        </w:rPr>
        <w:t xml:space="preserve">État partie continue de promouvoir et de mettre en œuvre des politiques visant à protéger les droits humains des personnes travaillant dans le secteur minier et de celles qui subissent les effets néfastes des activités minières, notamment les enfants. La loi </w:t>
      </w:r>
      <w:r w:rsidR="00E613C6" w:rsidRPr="00E613C6">
        <w:rPr>
          <w:rFonts w:eastAsia="MS Mincho"/>
          <w:lang w:val="fr-FR"/>
        </w:rPr>
        <w:t>n</w:t>
      </w:r>
      <w:r w:rsidR="00E613C6" w:rsidRPr="00E613C6">
        <w:rPr>
          <w:rFonts w:eastAsia="MS Mincho"/>
          <w:vertAlign w:val="superscript"/>
          <w:lang w:val="fr-FR"/>
        </w:rPr>
        <w:t>o</w:t>
      </w:r>
      <w:r w:rsidR="00E613C6">
        <w:rPr>
          <w:lang w:val="fr-FR"/>
        </w:rPr>
        <w:t xml:space="preserve"> </w:t>
      </w:r>
      <w:r w:rsidRPr="00EE4C2A">
        <w:rPr>
          <w:lang w:val="fr-FR"/>
        </w:rPr>
        <w:t>11 de 2015 sur la mise en valeur des ressources minières et minérales prévoit une réglementation visant à garantir que les activités minières ne portent atteinte ni aux droits des enfants, ni aux normes environnementales, sanitaires et autres. L</w:t>
      </w:r>
      <w:r w:rsidR="008279BF">
        <w:rPr>
          <w:lang w:val="fr-FR"/>
        </w:rPr>
        <w:t>’</w:t>
      </w:r>
      <w:r w:rsidRPr="00EE4C2A">
        <w:rPr>
          <w:lang w:val="fr-FR"/>
        </w:rPr>
        <w:t>article 4 (al. c)) de cette loi garantit la sécurité, la santé et la protection de l</w:t>
      </w:r>
      <w:r w:rsidR="008279BF">
        <w:rPr>
          <w:lang w:val="fr-FR"/>
        </w:rPr>
        <w:t>’</w:t>
      </w:r>
      <w:r w:rsidRPr="00EE4C2A">
        <w:rPr>
          <w:lang w:val="fr-FR"/>
        </w:rPr>
        <w:t xml:space="preserve">environnement, </w:t>
      </w:r>
      <w:r>
        <w:rPr>
          <w:lang w:val="fr-FR"/>
        </w:rPr>
        <w:t>et</w:t>
      </w:r>
      <w:r w:rsidRPr="00EE4C2A">
        <w:rPr>
          <w:lang w:val="fr-FR"/>
        </w:rPr>
        <w:t xml:space="preserve"> l</w:t>
      </w:r>
      <w:r w:rsidR="008279BF">
        <w:rPr>
          <w:lang w:val="fr-FR"/>
        </w:rPr>
        <w:t>’</w:t>
      </w:r>
      <w:r w:rsidRPr="00EE4C2A">
        <w:rPr>
          <w:lang w:val="fr-FR"/>
        </w:rPr>
        <w:t>article 36 autorise la suspension temporaire ou permanente des mines qui constituent un environnement de travail dangereux.</w:t>
      </w:r>
    </w:p>
    <w:p w14:paraId="61CE727E" w14:textId="5E9214CF" w:rsidR="00046F46" w:rsidRPr="00EE4C2A" w:rsidRDefault="00046F46" w:rsidP="00046F46">
      <w:pPr>
        <w:pStyle w:val="SingleTxtG"/>
        <w:rPr>
          <w:lang w:val="fr-FR"/>
        </w:rPr>
      </w:pPr>
      <w:r w:rsidRPr="00EE4C2A">
        <w:rPr>
          <w:lang w:val="fr-FR"/>
        </w:rPr>
        <w:t>48.</w:t>
      </w:r>
      <w:r w:rsidRPr="00EE4C2A">
        <w:rPr>
          <w:lang w:val="fr-FR"/>
        </w:rPr>
        <w:tab/>
        <w:t>En outre, l</w:t>
      </w:r>
      <w:r w:rsidR="008279BF">
        <w:rPr>
          <w:lang w:val="fr-FR"/>
        </w:rPr>
        <w:t>’</w:t>
      </w:r>
      <w:r w:rsidRPr="00EE4C2A">
        <w:rPr>
          <w:lang w:val="fr-FR"/>
        </w:rPr>
        <w:t>État partie a créé l</w:t>
      </w:r>
      <w:r w:rsidR="008279BF">
        <w:rPr>
          <w:lang w:val="fr-FR"/>
        </w:rPr>
        <w:t>’</w:t>
      </w:r>
      <w:r w:rsidRPr="00EE4C2A">
        <w:rPr>
          <w:lang w:val="fr-FR"/>
        </w:rPr>
        <w:t>Agence zambienne de gestion de l</w:t>
      </w:r>
      <w:r w:rsidR="008279BF">
        <w:rPr>
          <w:lang w:val="fr-FR"/>
        </w:rPr>
        <w:t>’</w:t>
      </w:r>
      <w:r w:rsidRPr="00EE4C2A">
        <w:rPr>
          <w:lang w:val="fr-FR"/>
        </w:rPr>
        <w:t>environnement</w:t>
      </w:r>
      <w:r w:rsidR="00E613C6">
        <w:rPr>
          <w:lang w:val="fr-FR"/>
        </w:rPr>
        <w:t xml:space="preserve"> </w:t>
      </w:r>
      <w:r w:rsidRPr="00EE4C2A">
        <w:rPr>
          <w:lang w:val="fr-FR"/>
        </w:rPr>
        <w:t>(ZEMA). Cet organe de contrôle est chargé de veiller à ce que les activités des entreprises n</w:t>
      </w:r>
      <w:r w:rsidR="008279BF">
        <w:rPr>
          <w:lang w:val="fr-FR"/>
        </w:rPr>
        <w:t>’</w:t>
      </w:r>
      <w:r w:rsidRPr="00EE4C2A">
        <w:rPr>
          <w:lang w:val="fr-FR"/>
        </w:rPr>
        <w:t>aient pas d</w:t>
      </w:r>
      <w:r w:rsidR="008279BF">
        <w:rPr>
          <w:lang w:val="fr-FR"/>
        </w:rPr>
        <w:t>’</w:t>
      </w:r>
      <w:r w:rsidRPr="00EE4C2A">
        <w:rPr>
          <w:lang w:val="fr-FR"/>
        </w:rPr>
        <w:t>effets néfastes sur la santé et le bien-être général des enfants et ne polluent pas l</w:t>
      </w:r>
      <w:r w:rsidR="008279BF">
        <w:rPr>
          <w:lang w:val="fr-FR"/>
        </w:rPr>
        <w:t>’</w:t>
      </w:r>
      <w:r w:rsidRPr="00EE4C2A">
        <w:rPr>
          <w:lang w:val="fr-FR"/>
        </w:rPr>
        <w:t>environnement. Avant d</w:t>
      </w:r>
      <w:r w:rsidR="008279BF">
        <w:rPr>
          <w:lang w:val="fr-FR"/>
        </w:rPr>
        <w:t>’</w:t>
      </w:r>
      <w:r w:rsidRPr="00EE4C2A">
        <w:rPr>
          <w:lang w:val="fr-FR"/>
        </w:rPr>
        <w:t>entreprendre toute activité susceptible d</w:t>
      </w:r>
      <w:r w:rsidR="008279BF">
        <w:rPr>
          <w:lang w:val="fr-FR"/>
        </w:rPr>
        <w:t>’</w:t>
      </w:r>
      <w:r w:rsidRPr="00EE4C2A">
        <w:rPr>
          <w:lang w:val="fr-FR"/>
        </w:rPr>
        <w:t>avoir des répercussions sur l</w:t>
      </w:r>
      <w:r w:rsidR="008279BF">
        <w:rPr>
          <w:lang w:val="fr-FR"/>
        </w:rPr>
        <w:t>’</w:t>
      </w:r>
      <w:r w:rsidRPr="00EE4C2A">
        <w:rPr>
          <w:lang w:val="fr-FR"/>
        </w:rPr>
        <w:t>environnement, les entreprises sont tenues de soumettre à l</w:t>
      </w:r>
      <w:r w:rsidR="008279BF">
        <w:rPr>
          <w:lang w:val="fr-FR"/>
        </w:rPr>
        <w:t>’</w:t>
      </w:r>
      <w:r w:rsidRPr="00EE4C2A">
        <w:rPr>
          <w:lang w:val="fr-FR"/>
        </w:rPr>
        <w:t>Agence un rapport d</w:t>
      </w:r>
      <w:r w:rsidR="008279BF">
        <w:rPr>
          <w:lang w:val="fr-FR"/>
        </w:rPr>
        <w:t>’</w:t>
      </w:r>
      <w:r w:rsidRPr="00EE4C2A">
        <w:rPr>
          <w:lang w:val="fr-FR"/>
        </w:rPr>
        <w:t>évaluation de l</w:t>
      </w:r>
      <w:r w:rsidR="008279BF">
        <w:rPr>
          <w:lang w:val="fr-FR"/>
        </w:rPr>
        <w:t>’</w:t>
      </w:r>
      <w:r w:rsidRPr="00EE4C2A">
        <w:rPr>
          <w:lang w:val="fr-FR"/>
        </w:rPr>
        <w:t xml:space="preserve">impact </w:t>
      </w:r>
      <w:r w:rsidRPr="00EE4C2A">
        <w:rPr>
          <w:iCs/>
          <w:lang w:val="fr-FR"/>
        </w:rPr>
        <w:t>environnemental</w:t>
      </w:r>
      <w:r w:rsidRPr="00EE4C2A">
        <w:rPr>
          <w:lang w:val="fr-FR"/>
        </w:rPr>
        <w:t>. De plus, l</w:t>
      </w:r>
      <w:r w:rsidR="008279BF">
        <w:rPr>
          <w:lang w:val="fr-FR"/>
        </w:rPr>
        <w:t>’</w:t>
      </w:r>
      <w:r w:rsidRPr="00EE4C2A">
        <w:rPr>
          <w:lang w:val="fr-FR"/>
        </w:rPr>
        <w:t xml:space="preserve">État partie a publié, en mars 2018, un décret relatif au régime de responsabilité élargie du producteur qui </w:t>
      </w:r>
      <w:r>
        <w:rPr>
          <w:lang w:val="fr-FR"/>
        </w:rPr>
        <w:t>établit</w:t>
      </w:r>
      <w:r w:rsidRPr="00EE4C2A">
        <w:rPr>
          <w:lang w:val="fr-FR"/>
        </w:rPr>
        <w:t xml:space="preserve"> un cadre régissant la responsabilité des producteurs et le prononcé d</w:t>
      </w:r>
      <w:r w:rsidR="008279BF">
        <w:rPr>
          <w:lang w:val="fr-FR"/>
        </w:rPr>
        <w:t>’</w:t>
      </w:r>
      <w:r w:rsidRPr="00EE4C2A">
        <w:rPr>
          <w:lang w:val="fr-FR"/>
        </w:rPr>
        <w:t>injonctions en la matière. Par ailleurs, conformément à l</w:t>
      </w:r>
      <w:r w:rsidR="008279BF">
        <w:rPr>
          <w:lang w:val="fr-FR"/>
        </w:rPr>
        <w:t>’</w:t>
      </w:r>
      <w:r w:rsidRPr="00EE4C2A">
        <w:rPr>
          <w:lang w:val="fr-FR"/>
        </w:rPr>
        <w:t>Accord de Paris, l</w:t>
      </w:r>
      <w:r w:rsidR="008279BF">
        <w:rPr>
          <w:lang w:val="fr-FR"/>
        </w:rPr>
        <w:t>’</w:t>
      </w:r>
      <w:r w:rsidRPr="00EE4C2A">
        <w:rPr>
          <w:lang w:val="fr-FR"/>
        </w:rPr>
        <w:t>État partie s</w:t>
      </w:r>
      <w:r w:rsidR="008279BF">
        <w:rPr>
          <w:lang w:val="fr-FR"/>
        </w:rPr>
        <w:t>’</w:t>
      </w:r>
      <w:r w:rsidRPr="00EE4C2A">
        <w:rPr>
          <w:lang w:val="fr-FR"/>
        </w:rPr>
        <w:t>est engagé à réduire ses émissions de 38 000 Gg d</w:t>
      </w:r>
      <w:r w:rsidR="008279BF">
        <w:rPr>
          <w:lang w:val="fr-FR"/>
        </w:rPr>
        <w:t>’</w:t>
      </w:r>
      <w:r w:rsidRPr="00EE4C2A">
        <w:rPr>
          <w:lang w:val="fr-FR"/>
        </w:rPr>
        <w:t>équivalent CO</w:t>
      </w:r>
      <w:r w:rsidRPr="00E613C6">
        <w:rPr>
          <w:vertAlign w:val="subscript"/>
          <w:lang w:val="fr-FR"/>
        </w:rPr>
        <w:t>2</w:t>
      </w:r>
      <w:r w:rsidRPr="00EE4C2A">
        <w:rPr>
          <w:lang w:val="fr-FR"/>
        </w:rPr>
        <w:t xml:space="preserve"> à l</w:t>
      </w:r>
      <w:r w:rsidR="008279BF">
        <w:rPr>
          <w:lang w:val="fr-FR"/>
        </w:rPr>
        <w:t>’</w:t>
      </w:r>
      <w:r w:rsidRPr="00EE4C2A">
        <w:rPr>
          <w:lang w:val="fr-FR"/>
        </w:rPr>
        <w:t>horizon 2030. À ce jour, ses émissions cumulées ont été réduites de 39 % (14 846,9 Gg équivalent CO</w:t>
      </w:r>
      <w:r w:rsidRPr="00E613C6">
        <w:rPr>
          <w:vertAlign w:val="subscript"/>
          <w:lang w:val="fr-FR"/>
        </w:rPr>
        <w:t>2</w:t>
      </w:r>
      <w:r w:rsidRPr="00EE4C2A">
        <w:rPr>
          <w:lang w:val="fr-FR"/>
        </w:rPr>
        <w:t>) entre 2015 et 2019.</w:t>
      </w:r>
    </w:p>
    <w:p w14:paraId="480B27B6" w14:textId="1F99711F" w:rsidR="00046F46" w:rsidRPr="00EE4C2A" w:rsidRDefault="00046F46" w:rsidP="00046F46">
      <w:pPr>
        <w:pStyle w:val="SingleTxtG"/>
        <w:rPr>
          <w:lang w:val="fr-FR"/>
        </w:rPr>
      </w:pPr>
      <w:r w:rsidRPr="00EE4C2A">
        <w:rPr>
          <w:lang w:val="fr-FR"/>
        </w:rPr>
        <w:t>49.</w:t>
      </w:r>
      <w:r w:rsidRPr="00EE4C2A">
        <w:rPr>
          <w:lang w:val="fr-FR"/>
        </w:rPr>
        <w:tab/>
        <w:t>En ce qui concerne l</w:t>
      </w:r>
      <w:r w:rsidR="008279BF">
        <w:rPr>
          <w:lang w:val="fr-FR"/>
        </w:rPr>
        <w:t>’</w:t>
      </w:r>
      <w:r w:rsidRPr="00EE4C2A">
        <w:rPr>
          <w:lang w:val="fr-FR"/>
        </w:rPr>
        <w:t>action menée pour remédier à la pollution par le plomb à Kabwe, l</w:t>
      </w:r>
      <w:r w:rsidR="008279BF">
        <w:rPr>
          <w:lang w:val="fr-FR"/>
        </w:rPr>
        <w:t>’</w:t>
      </w:r>
      <w:r w:rsidRPr="00EE4C2A">
        <w:rPr>
          <w:lang w:val="fr-FR"/>
        </w:rPr>
        <w:t>État partie met en œuvre un certain nombre de mesures qui ont bénéficié à plus de 7 000 personnes. Ces mesures seront élargies pour toucher davantage de personnes, et des clubs locaux de sensibilisation au plomb ont été créés pour informer les enfants dans les écoles. Cette action est menée avec le concours de la Banque mondiale, qui cofinance le Projet d</w:t>
      </w:r>
      <w:r w:rsidR="008279BF">
        <w:rPr>
          <w:lang w:val="fr-FR"/>
        </w:rPr>
        <w:t>’</w:t>
      </w:r>
      <w:r w:rsidRPr="00EE4C2A">
        <w:rPr>
          <w:lang w:val="fr-FR"/>
        </w:rPr>
        <w:t>assainissement et d</w:t>
      </w:r>
      <w:r w:rsidR="008279BF">
        <w:rPr>
          <w:lang w:val="fr-FR"/>
        </w:rPr>
        <w:t>’</w:t>
      </w:r>
      <w:r w:rsidRPr="00EE4C2A">
        <w:rPr>
          <w:lang w:val="fr-FR"/>
        </w:rPr>
        <w:t>amélioration de l</w:t>
      </w:r>
      <w:r w:rsidR="008279BF">
        <w:rPr>
          <w:lang w:val="fr-FR"/>
        </w:rPr>
        <w:t>’</w:t>
      </w:r>
      <w:r w:rsidRPr="00EE4C2A">
        <w:rPr>
          <w:lang w:val="fr-FR"/>
        </w:rPr>
        <w:t>environnement et de l</w:t>
      </w:r>
      <w:r w:rsidR="008279BF">
        <w:rPr>
          <w:lang w:val="fr-FR"/>
        </w:rPr>
        <w:t>’</w:t>
      </w:r>
      <w:r w:rsidRPr="00EE4C2A">
        <w:rPr>
          <w:lang w:val="fr-FR"/>
        </w:rPr>
        <w:t>activité minière en Zambie (ZMERIP). L</w:t>
      </w:r>
      <w:r w:rsidR="008279BF">
        <w:rPr>
          <w:lang w:val="fr-FR"/>
        </w:rPr>
        <w:t>’</w:t>
      </w:r>
      <w:r w:rsidRPr="00EE4C2A">
        <w:rPr>
          <w:lang w:val="fr-FR"/>
        </w:rPr>
        <w:t>accent est mis sur la réduction des risques sanitaires liés à l</w:t>
      </w:r>
      <w:r w:rsidR="008279BF">
        <w:rPr>
          <w:lang w:val="fr-FR"/>
        </w:rPr>
        <w:t>’</w:t>
      </w:r>
      <w:r w:rsidRPr="00EE4C2A">
        <w:rPr>
          <w:lang w:val="fr-FR"/>
        </w:rPr>
        <w:t>exposition toxique de la population au plomb, et un coordonnateur santé ayant pour mission de superviser la mise en œuvre du projet a été nommé.</w:t>
      </w:r>
    </w:p>
    <w:p w14:paraId="6EFF4615" w14:textId="07DD81BD" w:rsidR="00046F46" w:rsidRPr="00EE4C2A" w:rsidRDefault="00046F46" w:rsidP="00046F46">
      <w:pPr>
        <w:pStyle w:val="SingleTxtG"/>
        <w:rPr>
          <w:lang w:val="fr-FR"/>
        </w:rPr>
      </w:pPr>
      <w:r w:rsidRPr="00EE4C2A">
        <w:rPr>
          <w:lang w:val="fr-FR"/>
        </w:rPr>
        <w:t>50.</w:t>
      </w:r>
      <w:r w:rsidRPr="00EE4C2A">
        <w:rPr>
          <w:lang w:val="fr-FR"/>
        </w:rPr>
        <w:tab/>
        <w:t>De surcroît, avec le soutien de l</w:t>
      </w:r>
      <w:r w:rsidR="008279BF">
        <w:rPr>
          <w:lang w:val="fr-FR"/>
        </w:rPr>
        <w:t>’</w:t>
      </w:r>
      <w:r w:rsidRPr="00EE4C2A">
        <w:rPr>
          <w:lang w:val="fr-FR"/>
        </w:rPr>
        <w:t>Agence japonaise de coopération internationale</w:t>
      </w:r>
      <w:r w:rsidR="00E613C6">
        <w:rPr>
          <w:lang w:val="fr-FR"/>
        </w:rPr>
        <w:t xml:space="preserve"> </w:t>
      </w:r>
      <w:r w:rsidRPr="00EE4C2A">
        <w:rPr>
          <w:lang w:val="fr-FR"/>
        </w:rPr>
        <w:t>(JICA), le Gouvernement met en œuvre un projet d</w:t>
      </w:r>
      <w:r w:rsidR="008279BF">
        <w:rPr>
          <w:lang w:val="fr-FR"/>
        </w:rPr>
        <w:t>’</w:t>
      </w:r>
      <w:r w:rsidRPr="00EE4C2A">
        <w:rPr>
          <w:lang w:val="fr-FR"/>
        </w:rPr>
        <w:t>amélioration de la pollution minière à Kabwe (KAMPAI). Le projet a pour but de surveiller et d</w:t>
      </w:r>
      <w:r w:rsidR="008279BF">
        <w:rPr>
          <w:lang w:val="fr-FR"/>
        </w:rPr>
        <w:t>’</w:t>
      </w:r>
      <w:r w:rsidRPr="00EE4C2A">
        <w:rPr>
          <w:lang w:val="fr-FR"/>
        </w:rPr>
        <w:t>évaluer les risques et répercussions écologiques et économiques sur la santé et les écosystèmes. Les études menées dans le cadre de ce projet ont révélé des taux élevés de plomb dans les échantillons de sol, attribués à la pollution créée par la mine de plomb. En ce qui concerne la prise en charge des personnes touchées, l</w:t>
      </w:r>
      <w:r w:rsidR="008279BF">
        <w:rPr>
          <w:lang w:val="fr-FR"/>
        </w:rPr>
        <w:t>’</w:t>
      </w:r>
      <w:r w:rsidRPr="00EE4C2A">
        <w:rPr>
          <w:lang w:val="fr-FR"/>
        </w:rPr>
        <w:t>État partie, avec le soutien de l</w:t>
      </w:r>
      <w:r w:rsidR="008279BF">
        <w:rPr>
          <w:lang w:val="fr-FR"/>
        </w:rPr>
        <w:t>’</w:t>
      </w:r>
      <w:r w:rsidRPr="00EE4C2A">
        <w:rPr>
          <w:lang w:val="fr-FR"/>
        </w:rPr>
        <w:t>UNICEF, a acheté des médicaments contre le plomb permettant de soigner 10 000 enfants sur une période de</w:t>
      </w:r>
      <w:r w:rsidR="00E613C6">
        <w:rPr>
          <w:lang w:val="fr-FR"/>
        </w:rPr>
        <w:t xml:space="preserve"> cinq </w:t>
      </w:r>
      <w:r w:rsidRPr="00EE4C2A">
        <w:rPr>
          <w:lang w:val="fr-FR"/>
        </w:rPr>
        <w:t>ans</w:t>
      </w:r>
      <w:r>
        <w:rPr>
          <w:lang w:val="fr-FR"/>
        </w:rPr>
        <w:t>,</w:t>
      </w:r>
      <w:r w:rsidRPr="00EE4C2A">
        <w:rPr>
          <w:lang w:val="fr-FR"/>
        </w:rPr>
        <w:t xml:space="preserve"> et fournit des compléments nutritionnels à tous les enfants dont le taux de plomb dans le sang est supérieur au seuil de référence.</w:t>
      </w:r>
    </w:p>
    <w:p w14:paraId="52309315" w14:textId="06C1E7D6" w:rsidR="00046F46" w:rsidRPr="00EE4C2A" w:rsidRDefault="00046F46" w:rsidP="00046F46">
      <w:pPr>
        <w:pStyle w:val="H1G"/>
        <w:rPr>
          <w:lang w:val="fr-FR"/>
        </w:rPr>
      </w:pPr>
      <w:bookmarkStart w:id="11" w:name="_Toc63937968"/>
      <w:r w:rsidRPr="00EE4C2A">
        <w:rPr>
          <w:lang w:val="fr-FR"/>
        </w:rPr>
        <w:tab/>
      </w:r>
      <w:r w:rsidRPr="00EE4C2A">
        <w:rPr>
          <w:lang w:val="fr-FR"/>
        </w:rPr>
        <w:tab/>
      </w:r>
      <w:r w:rsidRPr="00EE4C2A">
        <w:rPr>
          <w:bCs/>
          <w:lang w:val="fr-FR"/>
        </w:rPr>
        <w:t>Définition de l</w:t>
      </w:r>
      <w:r w:rsidR="008279BF">
        <w:rPr>
          <w:bCs/>
          <w:lang w:val="fr-FR"/>
        </w:rPr>
        <w:t>’</w:t>
      </w:r>
      <w:r w:rsidRPr="00EE4C2A">
        <w:rPr>
          <w:bCs/>
          <w:lang w:val="fr-FR"/>
        </w:rPr>
        <w:t>enfant</w:t>
      </w:r>
      <w:bookmarkEnd w:id="11"/>
    </w:p>
    <w:p w14:paraId="2C87656C"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8 de la liste de points établie </w:t>
      </w:r>
      <w:r>
        <w:rPr>
          <w:bCs/>
          <w:lang w:val="fr-FR"/>
        </w:rPr>
        <w:t xml:space="preserve">avant la soumission du rapport </w:t>
      </w:r>
    </w:p>
    <w:p w14:paraId="614A9D13" w14:textId="130FD78F" w:rsidR="00046F46" w:rsidRPr="00EE4C2A" w:rsidRDefault="00046F46" w:rsidP="00046F46">
      <w:pPr>
        <w:pStyle w:val="SingleTxtG"/>
        <w:rPr>
          <w:lang w:val="fr-FR"/>
        </w:rPr>
      </w:pPr>
      <w:r w:rsidRPr="00EE4C2A">
        <w:rPr>
          <w:lang w:val="fr-FR"/>
        </w:rPr>
        <w:t>51.</w:t>
      </w:r>
      <w:r w:rsidRPr="00EE4C2A">
        <w:rPr>
          <w:lang w:val="fr-FR"/>
        </w:rPr>
        <w:tab/>
        <w:t>La Constitution telle que modifiée et la loi </w:t>
      </w:r>
      <w:r w:rsidR="00E613C6" w:rsidRPr="00E613C6">
        <w:rPr>
          <w:rFonts w:eastAsia="MS Mincho"/>
          <w:lang w:val="fr-FR"/>
        </w:rPr>
        <w:t>n</w:t>
      </w:r>
      <w:r w:rsidR="00E613C6" w:rsidRPr="00E613C6">
        <w:rPr>
          <w:rFonts w:eastAsia="MS Mincho"/>
          <w:vertAlign w:val="superscript"/>
          <w:lang w:val="fr-FR"/>
        </w:rPr>
        <w:t>o</w:t>
      </w:r>
      <w:r w:rsidR="00E613C6">
        <w:rPr>
          <w:lang w:val="fr-FR"/>
        </w:rPr>
        <w:t xml:space="preserve"> </w:t>
      </w:r>
      <w:r w:rsidRPr="00EE4C2A">
        <w:rPr>
          <w:lang w:val="fr-FR"/>
        </w:rPr>
        <w:t>22 de 2015 sur l</w:t>
      </w:r>
      <w:r w:rsidR="008279BF">
        <w:rPr>
          <w:lang w:val="fr-FR"/>
        </w:rPr>
        <w:t>’</w:t>
      </w:r>
      <w:r w:rsidRPr="00EE4C2A">
        <w:rPr>
          <w:lang w:val="fr-FR"/>
        </w:rPr>
        <w:t>équité et l</w:t>
      </w:r>
      <w:r w:rsidR="008279BF">
        <w:rPr>
          <w:lang w:val="fr-FR"/>
        </w:rPr>
        <w:t>’</w:t>
      </w:r>
      <w:r w:rsidRPr="00EE4C2A">
        <w:rPr>
          <w:lang w:val="fr-FR"/>
        </w:rPr>
        <w:t>égalité des genres définissent l</w:t>
      </w:r>
      <w:r w:rsidR="008279BF">
        <w:rPr>
          <w:lang w:val="fr-FR"/>
        </w:rPr>
        <w:t>’</w:t>
      </w:r>
      <w:r w:rsidRPr="00EE4C2A">
        <w:rPr>
          <w:lang w:val="fr-FR"/>
        </w:rPr>
        <w:t>enfant comme étant toute personne âgée de 18 ans ou moins. La loi sur le mariage est en cours de révision.</w:t>
      </w:r>
    </w:p>
    <w:p w14:paraId="0678CEA1" w14:textId="77777777" w:rsidR="00046F46" w:rsidRPr="00EE4C2A" w:rsidRDefault="00046F46" w:rsidP="00046F46">
      <w:pPr>
        <w:pStyle w:val="H1G"/>
        <w:rPr>
          <w:lang w:val="fr-FR"/>
        </w:rPr>
      </w:pPr>
      <w:bookmarkStart w:id="12" w:name="_Toc63937969"/>
      <w:r w:rsidRPr="00EE4C2A">
        <w:rPr>
          <w:bCs/>
          <w:lang w:val="fr-FR"/>
        </w:rPr>
        <w:lastRenderedPageBreak/>
        <w:tab/>
        <w:t>B.</w:t>
      </w:r>
      <w:r w:rsidRPr="00EE4C2A">
        <w:rPr>
          <w:lang w:val="fr-FR"/>
        </w:rPr>
        <w:tab/>
      </w:r>
      <w:r w:rsidRPr="00EE4C2A">
        <w:rPr>
          <w:bCs/>
          <w:lang w:val="fr-FR"/>
        </w:rPr>
        <w:t>Principes généraux (art. 2, 3, 6 et 12)</w:t>
      </w:r>
      <w:bookmarkEnd w:id="12"/>
    </w:p>
    <w:p w14:paraId="639B991A" w14:textId="77777777" w:rsidR="00046F46" w:rsidRPr="00EE4C2A" w:rsidRDefault="00046F46" w:rsidP="00046F46">
      <w:pPr>
        <w:pStyle w:val="H23G"/>
        <w:rPr>
          <w:lang w:val="fr-FR"/>
        </w:rPr>
      </w:pPr>
      <w:bookmarkStart w:id="13" w:name="_Toc63937970"/>
      <w:r w:rsidRPr="00EE4C2A">
        <w:rPr>
          <w:lang w:val="fr-FR"/>
        </w:rPr>
        <w:tab/>
      </w:r>
      <w:r w:rsidRPr="00EE4C2A">
        <w:rPr>
          <w:lang w:val="fr-FR"/>
        </w:rPr>
        <w:tab/>
      </w:r>
      <w:r w:rsidRPr="00EE4C2A">
        <w:rPr>
          <w:bCs/>
          <w:lang w:val="fr-FR"/>
        </w:rPr>
        <w:t>Non-discrimination</w:t>
      </w:r>
      <w:bookmarkEnd w:id="13"/>
    </w:p>
    <w:p w14:paraId="634D7780"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9 de la liste de points établie </w:t>
      </w:r>
      <w:r>
        <w:rPr>
          <w:bCs/>
          <w:lang w:val="fr-FR"/>
        </w:rPr>
        <w:t xml:space="preserve">avant la soumission du rapport </w:t>
      </w:r>
    </w:p>
    <w:p w14:paraId="2DEE4969" w14:textId="150891ED" w:rsidR="00046F46" w:rsidRPr="00EE4C2A" w:rsidRDefault="00046F46" w:rsidP="00046F46">
      <w:pPr>
        <w:pStyle w:val="SingleTxtG"/>
        <w:rPr>
          <w:lang w:val="fr-FR"/>
        </w:rPr>
      </w:pPr>
      <w:r w:rsidRPr="00EE4C2A">
        <w:rPr>
          <w:lang w:val="fr-FR"/>
        </w:rPr>
        <w:t>52.</w:t>
      </w:r>
      <w:r w:rsidRPr="00EE4C2A">
        <w:rPr>
          <w:lang w:val="fr-FR"/>
        </w:rPr>
        <w:tab/>
        <w:t>L</w:t>
      </w:r>
      <w:r w:rsidR="008279BF">
        <w:rPr>
          <w:lang w:val="fr-FR"/>
        </w:rPr>
        <w:t>’</w:t>
      </w:r>
      <w:r w:rsidRPr="00EE4C2A">
        <w:rPr>
          <w:lang w:val="fr-FR"/>
        </w:rPr>
        <w:t>État partie souhaite rapporter que le projet de loi relatif au Code de protection des enfants est fondé sur le principe de non-discrimination et qu</w:t>
      </w:r>
      <w:r w:rsidR="008279BF">
        <w:rPr>
          <w:lang w:val="fr-FR"/>
        </w:rPr>
        <w:t>’</w:t>
      </w:r>
      <w:r w:rsidRPr="00EE4C2A">
        <w:rPr>
          <w:lang w:val="fr-FR"/>
        </w:rPr>
        <w:t>il entend traduire ce principe dans la pratique, notamment dans la prestation de services d</w:t>
      </w:r>
      <w:r w:rsidR="008279BF">
        <w:rPr>
          <w:lang w:val="fr-FR"/>
        </w:rPr>
        <w:t>’</w:t>
      </w:r>
      <w:r w:rsidRPr="00EE4C2A">
        <w:rPr>
          <w:lang w:val="fr-FR"/>
        </w:rPr>
        <w:t>éducation et de santé pour tous les enfants. Le thème du septième Plan national de développement (2017-2021) est de « ne laisser personne de côté », ce qui repose sur le principe d</w:t>
      </w:r>
      <w:r w:rsidR="008279BF">
        <w:rPr>
          <w:lang w:val="fr-FR"/>
        </w:rPr>
        <w:t>’</w:t>
      </w:r>
      <w:r w:rsidRPr="00EE4C2A">
        <w:rPr>
          <w:lang w:val="fr-FR"/>
        </w:rPr>
        <w:t>inclusion. L</w:t>
      </w:r>
      <w:r w:rsidR="008279BF">
        <w:rPr>
          <w:lang w:val="fr-FR"/>
        </w:rPr>
        <w:t>’</w:t>
      </w:r>
      <w:r w:rsidRPr="00EE4C2A">
        <w:rPr>
          <w:lang w:val="fr-FR"/>
        </w:rPr>
        <w:t>attachement de l</w:t>
      </w:r>
      <w:r w:rsidR="008279BF">
        <w:rPr>
          <w:lang w:val="fr-FR"/>
        </w:rPr>
        <w:t>’</w:t>
      </w:r>
      <w:r w:rsidRPr="00EE4C2A">
        <w:rPr>
          <w:lang w:val="fr-FR"/>
        </w:rPr>
        <w:t>État partie à la non-discrimination est également démontré par diverses lois et politiques, notamment la Politique nationale relative au handicap (2015) et la Politique nationale de protection sociale (2015), qui mettent l</w:t>
      </w:r>
      <w:r w:rsidR="008279BF">
        <w:rPr>
          <w:lang w:val="fr-FR"/>
        </w:rPr>
        <w:t>’</w:t>
      </w:r>
      <w:r w:rsidRPr="00EE4C2A">
        <w:rPr>
          <w:lang w:val="fr-FR"/>
        </w:rPr>
        <w:t>accent sur la non-discrimination dans la prestation de services et donnent la priorité aux personnes marginalisées. L</w:t>
      </w:r>
      <w:r w:rsidR="008279BF">
        <w:rPr>
          <w:lang w:val="fr-FR"/>
        </w:rPr>
        <w:t>’</w:t>
      </w:r>
      <w:r w:rsidRPr="00EE4C2A">
        <w:rPr>
          <w:lang w:val="fr-FR"/>
        </w:rPr>
        <w:t>État partie est tenu de fournir des services de santé de qualité à tous les enfants, quels que soient leur genre, âge ou race. Les soins de santé primaires et l</w:t>
      </w:r>
      <w:r w:rsidR="008279BF">
        <w:rPr>
          <w:lang w:val="fr-FR"/>
        </w:rPr>
        <w:t>’</w:t>
      </w:r>
      <w:r w:rsidRPr="00EE4C2A">
        <w:rPr>
          <w:lang w:val="fr-FR"/>
        </w:rPr>
        <w:t>éducation de la petite enfance jusqu</w:t>
      </w:r>
      <w:r w:rsidR="008279BF">
        <w:rPr>
          <w:lang w:val="fr-FR"/>
        </w:rPr>
        <w:t>’</w:t>
      </w:r>
      <w:r w:rsidRPr="00EE4C2A">
        <w:rPr>
          <w:lang w:val="fr-FR"/>
        </w:rPr>
        <w:t>au primaire sont gratuits et accessibles à tous.</w:t>
      </w:r>
    </w:p>
    <w:p w14:paraId="298307CE" w14:textId="29A04CB0" w:rsidR="00046F46" w:rsidRPr="00EE4C2A" w:rsidRDefault="00046F46" w:rsidP="00046F46">
      <w:pPr>
        <w:pStyle w:val="H1G"/>
        <w:rPr>
          <w:lang w:val="fr-FR"/>
        </w:rPr>
      </w:pPr>
      <w:bookmarkStart w:id="14" w:name="_Toc63937971"/>
      <w:r w:rsidRPr="00EE4C2A">
        <w:rPr>
          <w:lang w:val="fr-FR"/>
        </w:rPr>
        <w:tab/>
      </w:r>
      <w:r w:rsidRPr="00EE4C2A">
        <w:rPr>
          <w:lang w:val="fr-FR"/>
        </w:rPr>
        <w:tab/>
      </w:r>
      <w:r w:rsidRPr="00EE4C2A">
        <w:rPr>
          <w:bCs/>
          <w:lang w:val="fr-FR"/>
        </w:rPr>
        <w:t>Intérêt supérieur de l</w:t>
      </w:r>
      <w:r w:rsidR="008279BF">
        <w:rPr>
          <w:bCs/>
          <w:lang w:val="fr-FR"/>
        </w:rPr>
        <w:t>’</w:t>
      </w:r>
      <w:r w:rsidRPr="00EE4C2A">
        <w:rPr>
          <w:bCs/>
          <w:lang w:val="fr-FR"/>
        </w:rPr>
        <w:t>enfant</w:t>
      </w:r>
      <w:bookmarkEnd w:id="14"/>
    </w:p>
    <w:p w14:paraId="22CF285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10 de la liste de points établie </w:t>
      </w:r>
      <w:r>
        <w:rPr>
          <w:bCs/>
          <w:lang w:val="fr-FR"/>
        </w:rPr>
        <w:t xml:space="preserve">avant la soumission du rapport </w:t>
      </w:r>
    </w:p>
    <w:p w14:paraId="004AE4BA" w14:textId="3B574D10" w:rsidR="00046F46" w:rsidRPr="00EE4C2A" w:rsidRDefault="00046F46" w:rsidP="00046F46">
      <w:pPr>
        <w:pStyle w:val="SingleTxtG"/>
        <w:rPr>
          <w:lang w:val="fr-FR"/>
        </w:rPr>
      </w:pPr>
      <w:r w:rsidRPr="00EE4C2A">
        <w:rPr>
          <w:lang w:val="fr-FR"/>
        </w:rPr>
        <w:t>53.</w:t>
      </w:r>
      <w:r w:rsidRPr="00EE4C2A">
        <w:rPr>
          <w:lang w:val="fr-FR"/>
        </w:rPr>
        <w:tab/>
        <w:t>En août 2018, l</w:t>
      </w:r>
      <w:r w:rsidR="008279BF">
        <w:rPr>
          <w:lang w:val="fr-FR"/>
        </w:rPr>
        <w:t>’</w:t>
      </w:r>
      <w:r w:rsidRPr="00EE4C2A">
        <w:rPr>
          <w:lang w:val="fr-FR"/>
        </w:rPr>
        <w:t>État partie a lancé les Directives régissant la détermination de l</w:t>
      </w:r>
      <w:r w:rsidR="008279BF">
        <w:rPr>
          <w:lang w:val="fr-FR"/>
        </w:rPr>
        <w:t>’</w:t>
      </w:r>
      <w:r w:rsidRPr="00EE4C2A">
        <w:rPr>
          <w:lang w:val="fr-FR"/>
        </w:rPr>
        <w:t xml:space="preserve">intérêt supérieur, qui ont été élaborées pour </w:t>
      </w:r>
      <w:r>
        <w:rPr>
          <w:lang w:val="fr-FR"/>
        </w:rPr>
        <w:t>établir</w:t>
      </w:r>
      <w:r w:rsidRPr="00EE4C2A">
        <w:rPr>
          <w:lang w:val="fr-FR"/>
        </w:rPr>
        <w:t xml:space="preserve"> une procédure formalisée et normalisée de prise en charge des enfants vulnérables et des enfants migrants. Ces directives </w:t>
      </w:r>
      <w:r>
        <w:rPr>
          <w:lang w:val="fr-FR"/>
        </w:rPr>
        <w:t>comportent</w:t>
      </w:r>
      <w:r w:rsidRPr="00EE4C2A">
        <w:rPr>
          <w:lang w:val="fr-FR"/>
        </w:rPr>
        <w:t xml:space="preserve"> des outils procéduraux, dont le Formulaire d</w:t>
      </w:r>
      <w:r w:rsidR="008279BF">
        <w:rPr>
          <w:lang w:val="fr-FR"/>
        </w:rPr>
        <w:t>’</w:t>
      </w:r>
      <w:r w:rsidRPr="00EE4C2A">
        <w:rPr>
          <w:lang w:val="fr-FR"/>
        </w:rPr>
        <w:t>évaluation de l</w:t>
      </w:r>
      <w:r w:rsidR="008279BF">
        <w:rPr>
          <w:lang w:val="fr-FR"/>
        </w:rPr>
        <w:t>’</w:t>
      </w:r>
      <w:r w:rsidRPr="00EE4C2A">
        <w:rPr>
          <w:lang w:val="fr-FR"/>
        </w:rPr>
        <w:t>intérêt supérieur et le Formulaire de détermination de l</w:t>
      </w:r>
      <w:r w:rsidR="008279BF">
        <w:rPr>
          <w:lang w:val="fr-FR"/>
        </w:rPr>
        <w:t>’</w:t>
      </w:r>
      <w:r w:rsidRPr="00EE4C2A">
        <w:rPr>
          <w:lang w:val="fr-FR"/>
        </w:rPr>
        <w:t>intérêt supérieur. En outre, un certain nombre d</w:t>
      </w:r>
      <w:r w:rsidR="008279BF">
        <w:rPr>
          <w:lang w:val="fr-FR"/>
        </w:rPr>
        <w:t>’</w:t>
      </w:r>
      <w:r w:rsidRPr="00EE4C2A">
        <w:rPr>
          <w:lang w:val="fr-FR"/>
        </w:rPr>
        <w:t>acteurs ont été formés pour repérer et évaluer les enfants vulnérables et les enfants migrants, et leur fournir des services adaptés.</w:t>
      </w:r>
    </w:p>
    <w:p w14:paraId="54356E9D" w14:textId="32FC77E0" w:rsidR="00046F46" w:rsidRPr="00EE4C2A" w:rsidRDefault="00046F46" w:rsidP="00046F46">
      <w:pPr>
        <w:pStyle w:val="SingleTxtG"/>
        <w:rPr>
          <w:lang w:val="fr-FR"/>
        </w:rPr>
      </w:pPr>
      <w:r w:rsidRPr="00EE4C2A">
        <w:rPr>
          <w:lang w:val="fr-FR"/>
        </w:rPr>
        <w:t>54.</w:t>
      </w:r>
      <w:r w:rsidRPr="00EE4C2A">
        <w:rPr>
          <w:lang w:val="fr-FR"/>
        </w:rPr>
        <w:tab/>
        <w:t>Par ailleurs, l</w:t>
      </w:r>
      <w:r w:rsidR="008279BF">
        <w:rPr>
          <w:lang w:val="fr-FR"/>
        </w:rPr>
        <w:t>’</w:t>
      </w:r>
      <w:r w:rsidRPr="00EE4C2A">
        <w:rPr>
          <w:lang w:val="fr-FR"/>
        </w:rPr>
        <w:t>État partie a conçu des formations sur la protection de l</w:t>
      </w:r>
      <w:r w:rsidR="008279BF">
        <w:rPr>
          <w:lang w:val="fr-FR"/>
        </w:rPr>
        <w:t>’</w:t>
      </w:r>
      <w:r w:rsidRPr="00EE4C2A">
        <w:rPr>
          <w:lang w:val="fr-FR"/>
        </w:rPr>
        <w:t>enfance destinées aux assistants sociaux et au personnel des structures accueillant des enfants</w:t>
      </w:r>
      <w:r w:rsidR="00E613C6">
        <w:rPr>
          <w:lang w:val="fr-FR"/>
        </w:rPr>
        <w:t xml:space="preserve"> </w:t>
      </w:r>
      <w:r w:rsidRPr="00EE4C2A">
        <w:rPr>
          <w:lang w:val="fr-FR"/>
        </w:rPr>
        <w:t>(y</w:t>
      </w:r>
      <w:r w:rsidR="00E613C6">
        <w:rPr>
          <w:lang w:val="fr-FR"/>
        </w:rPr>
        <w:t> </w:t>
      </w:r>
      <w:r w:rsidRPr="00EE4C2A">
        <w:rPr>
          <w:lang w:val="fr-FR"/>
        </w:rPr>
        <w:t>compris aux responsables religieux) afin d</w:t>
      </w:r>
      <w:r w:rsidR="008279BF">
        <w:rPr>
          <w:lang w:val="fr-FR"/>
        </w:rPr>
        <w:t>’</w:t>
      </w:r>
      <w:r w:rsidRPr="00EE4C2A">
        <w:rPr>
          <w:lang w:val="fr-FR"/>
        </w:rPr>
        <w:t xml:space="preserve">améliorer leurs connaissances et compétences en matière de prise en charge et de protection des enfants. </w:t>
      </w:r>
      <w:r>
        <w:rPr>
          <w:lang w:val="fr-FR"/>
        </w:rPr>
        <w:t>Leur</w:t>
      </w:r>
      <w:r w:rsidRPr="00EE4C2A">
        <w:rPr>
          <w:lang w:val="fr-FR"/>
        </w:rPr>
        <w:t xml:space="preserve"> formation repose sur quatre principes majeurs des droits de l</w:t>
      </w:r>
      <w:r w:rsidR="008279BF">
        <w:rPr>
          <w:lang w:val="fr-FR"/>
        </w:rPr>
        <w:t>’</w:t>
      </w:r>
      <w:r w:rsidRPr="00EE4C2A">
        <w:rPr>
          <w:lang w:val="fr-FR"/>
        </w:rPr>
        <w:t>enfant, à savoir : la non-discrimination ; la vie, la survie et le développement ; l</w:t>
      </w:r>
      <w:r w:rsidR="008279BF">
        <w:rPr>
          <w:lang w:val="fr-FR"/>
        </w:rPr>
        <w:t>’</w:t>
      </w:r>
      <w:r w:rsidRPr="00EE4C2A">
        <w:rPr>
          <w:lang w:val="fr-FR"/>
        </w:rPr>
        <w:t>opinion de l</w:t>
      </w:r>
      <w:r w:rsidR="008279BF">
        <w:rPr>
          <w:lang w:val="fr-FR"/>
        </w:rPr>
        <w:t>’</w:t>
      </w:r>
      <w:r w:rsidRPr="00EE4C2A">
        <w:rPr>
          <w:lang w:val="fr-FR"/>
        </w:rPr>
        <w:t>enfant ; et l</w:t>
      </w:r>
      <w:r w:rsidR="008279BF">
        <w:rPr>
          <w:lang w:val="fr-FR"/>
        </w:rPr>
        <w:t>’</w:t>
      </w:r>
      <w:r w:rsidRPr="00EE4C2A">
        <w:rPr>
          <w:lang w:val="fr-FR"/>
        </w:rPr>
        <w:t>intérêt supérieur de l</w:t>
      </w:r>
      <w:r w:rsidR="008279BF">
        <w:rPr>
          <w:lang w:val="fr-FR"/>
        </w:rPr>
        <w:t>’</w:t>
      </w:r>
      <w:r w:rsidRPr="00EE4C2A">
        <w:rPr>
          <w:lang w:val="fr-FR"/>
        </w:rPr>
        <w:t>enfant. Les personnels des établissements privés et publics sont tenus d</w:t>
      </w:r>
      <w:r w:rsidR="008279BF">
        <w:rPr>
          <w:lang w:val="fr-FR"/>
        </w:rPr>
        <w:t>’</w:t>
      </w:r>
      <w:r w:rsidRPr="00EE4C2A">
        <w:rPr>
          <w:lang w:val="fr-FR"/>
        </w:rPr>
        <w:t>appliquer ces quatre principes dans la prestation de services aux enfants. Il convient de noter que le principe de l</w:t>
      </w:r>
      <w:r w:rsidR="008279BF">
        <w:rPr>
          <w:lang w:val="fr-FR"/>
        </w:rPr>
        <w:t>’</w:t>
      </w:r>
      <w:r w:rsidRPr="00EE4C2A">
        <w:rPr>
          <w:lang w:val="fr-FR"/>
        </w:rPr>
        <w:t>intérêt supérieur est au centre des formations et que l</w:t>
      </w:r>
      <w:r w:rsidR="008279BF">
        <w:rPr>
          <w:lang w:val="fr-FR"/>
        </w:rPr>
        <w:t>’</w:t>
      </w:r>
      <w:r w:rsidRPr="00EE4C2A">
        <w:rPr>
          <w:lang w:val="fr-FR"/>
        </w:rPr>
        <w:t>accent est mis sur le respect de ce principe par les groupes professionnels et traditionnels dans leurs activités avec les enfants.</w:t>
      </w:r>
    </w:p>
    <w:p w14:paraId="20E15BF9" w14:textId="2C6E6C1D" w:rsidR="00046F46" w:rsidRPr="00EE4C2A" w:rsidRDefault="00046F46" w:rsidP="00046F46">
      <w:pPr>
        <w:pStyle w:val="H1G"/>
        <w:rPr>
          <w:lang w:val="fr-FR"/>
        </w:rPr>
      </w:pPr>
      <w:bookmarkStart w:id="15" w:name="_Toc63937972"/>
      <w:r w:rsidRPr="00EE4C2A">
        <w:rPr>
          <w:lang w:val="fr-FR"/>
        </w:rPr>
        <w:tab/>
      </w:r>
      <w:r w:rsidRPr="00EE4C2A">
        <w:rPr>
          <w:lang w:val="fr-FR"/>
        </w:rPr>
        <w:tab/>
      </w:r>
      <w:r w:rsidRPr="00EE4C2A">
        <w:rPr>
          <w:bCs/>
          <w:lang w:val="fr-FR"/>
        </w:rPr>
        <w:t>Respect de l</w:t>
      </w:r>
      <w:r w:rsidR="008279BF">
        <w:rPr>
          <w:bCs/>
          <w:lang w:val="fr-FR"/>
        </w:rPr>
        <w:t>’</w:t>
      </w:r>
      <w:r w:rsidRPr="00EE4C2A">
        <w:rPr>
          <w:bCs/>
          <w:lang w:val="fr-FR"/>
        </w:rPr>
        <w:t>opinion de l</w:t>
      </w:r>
      <w:r w:rsidR="008279BF">
        <w:rPr>
          <w:bCs/>
          <w:lang w:val="fr-FR"/>
        </w:rPr>
        <w:t>’</w:t>
      </w:r>
      <w:r w:rsidRPr="00EE4C2A">
        <w:rPr>
          <w:bCs/>
          <w:lang w:val="fr-FR"/>
        </w:rPr>
        <w:t>enfant</w:t>
      </w:r>
      <w:bookmarkEnd w:id="15"/>
    </w:p>
    <w:p w14:paraId="009226A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11 de la liste de points établie </w:t>
      </w:r>
      <w:r>
        <w:rPr>
          <w:bCs/>
          <w:lang w:val="fr-FR"/>
        </w:rPr>
        <w:t xml:space="preserve">avant la soumission du rapport </w:t>
      </w:r>
    </w:p>
    <w:p w14:paraId="01E12A7D" w14:textId="3D34B7C1" w:rsidR="00046F46" w:rsidRPr="00EE4C2A" w:rsidRDefault="00046F46" w:rsidP="00046F46">
      <w:pPr>
        <w:pStyle w:val="SingleTxtG"/>
        <w:rPr>
          <w:lang w:val="fr-FR"/>
        </w:rPr>
      </w:pPr>
      <w:r w:rsidRPr="00EE4C2A">
        <w:rPr>
          <w:lang w:val="fr-FR"/>
        </w:rPr>
        <w:t>55.</w:t>
      </w:r>
      <w:r w:rsidRPr="00EE4C2A">
        <w:rPr>
          <w:lang w:val="fr-FR"/>
        </w:rPr>
        <w:tab/>
        <w:t>En décembre 2018, l</w:t>
      </w:r>
      <w:r w:rsidR="008279BF">
        <w:rPr>
          <w:lang w:val="fr-FR"/>
        </w:rPr>
        <w:t>’</w:t>
      </w:r>
      <w:r w:rsidRPr="00EE4C2A">
        <w:rPr>
          <w:lang w:val="fr-FR"/>
        </w:rPr>
        <w:t>État partie a réorganisé le Forum national sur la justice pour enfants, dont le mandat est de faciliter la coordination et la collaboration des acteurs étatiques et non étatiques dans le domaine de la justice pour enfants. Cela a permis de renforcer la coordination des activités de mise en œuvre de la Convention et des instruments connexes de la justice pour enfants. Les institutions compétentes en matière de justice pour enfants ont adopté</w:t>
      </w:r>
      <w:r>
        <w:rPr>
          <w:lang w:val="fr-FR"/>
        </w:rPr>
        <w:t xml:space="preserve"> </w:t>
      </w:r>
      <w:r w:rsidRPr="00EE4C2A">
        <w:rPr>
          <w:lang w:val="fr-FR"/>
        </w:rPr>
        <w:t xml:space="preserve">des procédures </w:t>
      </w:r>
      <w:r w:rsidRPr="0019096A">
        <w:t xml:space="preserve">administratives </w:t>
      </w:r>
      <w:r w:rsidRPr="00EE4C2A">
        <w:rPr>
          <w:lang w:val="fr-FR"/>
        </w:rPr>
        <w:t xml:space="preserve">adaptées aux </w:t>
      </w:r>
      <w:r>
        <w:rPr>
          <w:lang w:val="fr-FR"/>
        </w:rPr>
        <w:t>mineurs</w:t>
      </w:r>
      <w:r w:rsidRPr="00EE4C2A">
        <w:rPr>
          <w:lang w:val="fr-FR"/>
        </w:rPr>
        <w:t xml:space="preserve"> et disposent, à cet égard, de personnes référentes spécialisées dans les questions relatives </w:t>
      </w:r>
      <w:r>
        <w:rPr>
          <w:lang w:val="fr-FR"/>
        </w:rPr>
        <w:t>à l</w:t>
      </w:r>
      <w:r w:rsidR="008279BF">
        <w:rPr>
          <w:lang w:val="fr-FR"/>
        </w:rPr>
        <w:t>’</w:t>
      </w:r>
      <w:r w:rsidRPr="00EE4C2A">
        <w:rPr>
          <w:lang w:val="fr-FR"/>
        </w:rPr>
        <w:t xml:space="preserve">enfant afin de garantir la protection de </w:t>
      </w:r>
      <w:r>
        <w:rPr>
          <w:lang w:val="fr-FR"/>
        </w:rPr>
        <w:t>ses</w:t>
      </w:r>
      <w:r w:rsidRPr="00EE4C2A">
        <w:rPr>
          <w:lang w:val="fr-FR"/>
        </w:rPr>
        <w:t xml:space="preserve"> droits à chaque étape.</w:t>
      </w:r>
    </w:p>
    <w:p w14:paraId="3627A6C6" w14:textId="5AC411CB" w:rsidR="00046F46" w:rsidRPr="00EE4C2A" w:rsidRDefault="00046F46" w:rsidP="00046F46">
      <w:pPr>
        <w:pStyle w:val="SingleTxtG"/>
        <w:rPr>
          <w:lang w:val="fr-FR"/>
        </w:rPr>
      </w:pPr>
      <w:r w:rsidRPr="00EE4C2A">
        <w:rPr>
          <w:lang w:val="fr-FR"/>
        </w:rPr>
        <w:t>56.</w:t>
      </w:r>
      <w:r w:rsidRPr="00EE4C2A">
        <w:rPr>
          <w:lang w:val="fr-FR"/>
        </w:rPr>
        <w:tab/>
        <w:t>Les mesures administratives prises par l</w:t>
      </w:r>
      <w:r w:rsidR="008279BF">
        <w:rPr>
          <w:lang w:val="fr-FR"/>
        </w:rPr>
        <w:t>’</w:t>
      </w:r>
      <w:r w:rsidRPr="00EE4C2A">
        <w:rPr>
          <w:lang w:val="fr-FR"/>
        </w:rPr>
        <w:t>État partie ont facilité l</w:t>
      </w:r>
      <w:r w:rsidR="008279BF">
        <w:rPr>
          <w:lang w:val="fr-FR"/>
        </w:rPr>
        <w:t>’</w:t>
      </w:r>
      <w:r w:rsidRPr="00EE4C2A">
        <w:rPr>
          <w:lang w:val="fr-FR"/>
        </w:rPr>
        <w:t>élaboration de directives institutionnelles régissant le traitement des affaires d</w:t>
      </w:r>
      <w:r w:rsidR="008279BF">
        <w:rPr>
          <w:lang w:val="fr-FR"/>
        </w:rPr>
        <w:t>’</w:t>
      </w:r>
      <w:r w:rsidRPr="00EE4C2A">
        <w:rPr>
          <w:lang w:val="fr-FR"/>
        </w:rPr>
        <w:t>enfants et s</w:t>
      </w:r>
      <w:r w:rsidR="008279BF">
        <w:rPr>
          <w:lang w:val="fr-FR"/>
        </w:rPr>
        <w:t>’</w:t>
      </w:r>
      <w:r w:rsidRPr="00EE4C2A">
        <w:rPr>
          <w:lang w:val="fr-FR"/>
        </w:rPr>
        <w:t xml:space="preserve">intéressant </w:t>
      </w:r>
      <w:r w:rsidRPr="00EE4C2A">
        <w:rPr>
          <w:lang w:val="fr-FR"/>
        </w:rPr>
        <w:lastRenderedPageBreak/>
        <w:t>notamment aux délais de traitement et à la priorisation de ces affaires ainsi qu</w:t>
      </w:r>
      <w:r w:rsidR="008279BF">
        <w:rPr>
          <w:lang w:val="fr-FR"/>
        </w:rPr>
        <w:t>’</w:t>
      </w:r>
      <w:r w:rsidRPr="00EE4C2A">
        <w:rPr>
          <w:lang w:val="fr-FR"/>
        </w:rPr>
        <w:t>au personnel spécialisé et au renforcement de leurs capacités par la formation. L</w:t>
      </w:r>
      <w:r w:rsidR="008279BF">
        <w:rPr>
          <w:lang w:val="fr-FR"/>
        </w:rPr>
        <w:t>’</w:t>
      </w:r>
      <w:r w:rsidRPr="00EE4C2A">
        <w:rPr>
          <w:lang w:val="fr-FR"/>
        </w:rPr>
        <w:t>État partie s</w:t>
      </w:r>
      <w:r w:rsidR="008279BF">
        <w:rPr>
          <w:lang w:val="fr-FR"/>
        </w:rPr>
        <w:t>’</w:t>
      </w:r>
      <w:r w:rsidRPr="00EE4C2A">
        <w:rPr>
          <w:lang w:val="fr-FR"/>
        </w:rPr>
        <w:t>emploient actuellement à traduire ces directives en directives opérationnelles à l</w:t>
      </w:r>
      <w:r w:rsidR="008279BF">
        <w:rPr>
          <w:lang w:val="fr-FR"/>
        </w:rPr>
        <w:t>’</w:t>
      </w:r>
      <w:r w:rsidRPr="00EE4C2A">
        <w:rPr>
          <w:lang w:val="fr-FR"/>
        </w:rPr>
        <w:t>intention des différentes institutions, y compris de la police zambienne, de l</w:t>
      </w:r>
      <w:r w:rsidR="008279BF">
        <w:rPr>
          <w:lang w:val="fr-FR"/>
        </w:rPr>
        <w:t>’</w:t>
      </w:r>
      <w:r w:rsidRPr="00EE4C2A">
        <w:rPr>
          <w:lang w:val="fr-FR"/>
        </w:rPr>
        <w:t>Autorité nationale chargée des poursuites judiciaire et du pouvoir judiciaire.</w:t>
      </w:r>
    </w:p>
    <w:p w14:paraId="2A35C319" w14:textId="0A524E99" w:rsidR="00046F46" w:rsidRPr="00EE4C2A" w:rsidRDefault="00046F46" w:rsidP="00046F46">
      <w:pPr>
        <w:pStyle w:val="SingleTxtG"/>
        <w:rPr>
          <w:lang w:val="fr-FR"/>
        </w:rPr>
      </w:pPr>
      <w:r w:rsidRPr="00EE4C2A">
        <w:rPr>
          <w:lang w:val="fr-FR"/>
        </w:rPr>
        <w:t>57.</w:t>
      </w:r>
      <w:r w:rsidRPr="00EE4C2A">
        <w:rPr>
          <w:lang w:val="fr-FR"/>
        </w:rPr>
        <w:tab/>
        <w:t>La mise en place de tribunaux à procédure accélérée pour traiter les affaires de violence fondée sur le genre permet de donner la priorité à celles qui concernent des enfants. Adapté aux enfants, l</w:t>
      </w:r>
      <w:r w:rsidR="008279BF">
        <w:rPr>
          <w:lang w:val="fr-FR"/>
        </w:rPr>
        <w:t>’</w:t>
      </w:r>
      <w:r w:rsidRPr="00EE4C2A">
        <w:rPr>
          <w:lang w:val="fr-FR"/>
        </w:rPr>
        <w:t>environnement de ces tribunaux facilite le respect du droit à la vie</w:t>
      </w:r>
      <w:r>
        <w:rPr>
          <w:lang w:val="fr-FR"/>
        </w:rPr>
        <w:t xml:space="preserve"> privée et la participation de l</w:t>
      </w:r>
      <w:r w:rsidR="008279BF">
        <w:rPr>
          <w:lang w:val="fr-FR"/>
        </w:rPr>
        <w:t>’</w:t>
      </w:r>
      <w:r>
        <w:rPr>
          <w:lang w:val="fr-FR"/>
        </w:rPr>
        <w:t xml:space="preserve">enfant </w:t>
      </w:r>
      <w:r w:rsidRPr="00EE4C2A">
        <w:rPr>
          <w:lang w:val="fr-FR"/>
        </w:rPr>
        <w:t>et protège les enfants victimes et témoins du traumatisme inhérent au système judiciaire.</w:t>
      </w:r>
    </w:p>
    <w:p w14:paraId="6B8A540C" w14:textId="77777777" w:rsidR="00046F46" w:rsidRPr="00EE4C2A" w:rsidRDefault="00046F46" w:rsidP="00046F46">
      <w:pPr>
        <w:pStyle w:val="H1G"/>
        <w:rPr>
          <w:lang w:val="fr-FR"/>
        </w:rPr>
      </w:pPr>
      <w:bookmarkStart w:id="16" w:name="_Toc63937973"/>
      <w:r w:rsidRPr="00EE4C2A">
        <w:rPr>
          <w:bCs/>
          <w:lang w:val="fr-FR"/>
        </w:rPr>
        <w:tab/>
        <w:t>C.</w:t>
      </w:r>
      <w:r w:rsidRPr="00EE4C2A">
        <w:rPr>
          <w:lang w:val="fr-FR"/>
        </w:rPr>
        <w:tab/>
      </w:r>
      <w:r w:rsidRPr="00EE4C2A">
        <w:rPr>
          <w:bCs/>
          <w:lang w:val="fr-FR"/>
        </w:rPr>
        <w:t>Libertés et droits civils (art. 7, 8 et 13 à 17)</w:t>
      </w:r>
      <w:bookmarkEnd w:id="16"/>
    </w:p>
    <w:p w14:paraId="34C73284" w14:textId="77777777" w:rsidR="00046F46" w:rsidRPr="00EE4C2A" w:rsidRDefault="00046F46" w:rsidP="00046F46">
      <w:pPr>
        <w:pStyle w:val="H1G"/>
        <w:rPr>
          <w:lang w:val="fr-FR"/>
        </w:rPr>
      </w:pPr>
      <w:bookmarkStart w:id="17" w:name="_Toc63937974"/>
      <w:r w:rsidRPr="00EE4C2A">
        <w:rPr>
          <w:lang w:val="fr-FR"/>
        </w:rPr>
        <w:tab/>
      </w:r>
      <w:r w:rsidRPr="00EE4C2A">
        <w:rPr>
          <w:lang w:val="fr-FR"/>
        </w:rPr>
        <w:tab/>
      </w:r>
      <w:r w:rsidRPr="00EE4C2A">
        <w:rPr>
          <w:bCs/>
          <w:lang w:val="fr-FR"/>
        </w:rPr>
        <w:t>Enregistrement des naissances</w:t>
      </w:r>
      <w:bookmarkEnd w:id="17"/>
    </w:p>
    <w:p w14:paraId="58E9C9F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12 de la liste de points établie </w:t>
      </w:r>
      <w:r>
        <w:rPr>
          <w:bCs/>
          <w:lang w:val="fr-FR"/>
        </w:rPr>
        <w:t xml:space="preserve">avant la soumission du rapport </w:t>
      </w:r>
    </w:p>
    <w:p w14:paraId="1BF6FF86" w14:textId="51F2C425" w:rsidR="00046F46" w:rsidRPr="00EE4C2A" w:rsidRDefault="00046F46" w:rsidP="00046F46">
      <w:pPr>
        <w:pStyle w:val="SingleTxtG"/>
        <w:rPr>
          <w:lang w:val="fr-FR"/>
        </w:rPr>
      </w:pPr>
      <w:r w:rsidRPr="000D2B6D">
        <w:rPr>
          <w:lang w:val="fr-FR"/>
        </w:rPr>
        <w:t>58.</w:t>
      </w:r>
      <w:r w:rsidRPr="000D2B6D">
        <w:rPr>
          <w:lang w:val="fr-FR"/>
        </w:rPr>
        <w:tab/>
        <w:t>L</w:t>
      </w:r>
      <w:r w:rsidR="008279BF">
        <w:rPr>
          <w:lang w:val="fr-FR"/>
        </w:rPr>
        <w:t>’</w:t>
      </w:r>
      <w:r w:rsidRPr="000D2B6D">
        <w:rPr>
          <w:lang w:val="fr-FR"/>
        </w:rPr>
        <w:t>État partie a réalisé une étude de base pour déterminer le taux d</w:t>
      </w:r>
      <w:r w:rsidR="008279BF">
        <w:rPr>
          <w:lang w:val="fr-FR"/>
        </w:rPr>
        <w:t>’</w:t>
      </w:r>
      <w:r w:rsidRPr="000D2B6D">
        <w:rPr>
          <w:lang w:val="fr-FR"/>
        </w:rPr>
        <w:t>enregistrement des naissances et de délivrance d</w:t>
      </w:r>
      <w:r w:rsidR="008279BF">
        <w:rPr>
          <w:lang w:val="fr-FR"/>
        </w:rPr>
        <w:t>’</w:t>
      </w:r>
      <w:r w:rsidRPr="000D2B6D">
        <w:rPr>
          <w:lang w:val="fr-FR"/>
        </w:rPr>
        <w:t>actes de naissance dans les 10 provinces. Un Plan d</w:t>
      </w:r>
      <w:r w:rsidR="008279BF">
        <w:rPr>
          <w:lang w:val="fr-FR"/>
        </w:rPr>
        <w:t>’</w:t>
      </w:r>
      <w:r w:rsidRPr="000D2B6D">
        <w:rPr>
          <w:lang w:val="fr-FR"/>
        </w:rPr>
        <w:t>action stratégique national 2015-2021 a permis de mettre en place des systèmes pour augmenter l</w:t>
      </w:r>
      <w:r w:rsidR="008279BF">
        <w:rPr>
          <w:lang w:val="fr-FR"/>
        </w:rPr>
        <w:t>’</w:t>
      </w:r>
      <w:r w:rsidRPr="000D2B6D">
        <w:rPr>
          <w:lang w:val="fr-FR"/>
        </w:rPr>
        <w:t>enregistrement des naissances, entre autres faits d</w:t>
      </w:r>
      <w:r w:rsidR="008279BF">
        <w:rPr>
          <w:lang w:val="fr-FR"/>
        </w:rPr>
        <w:t>’</w:t>
      </w:r>
      <w:r w:rsidRPr="000D2B6D">
        <w:rPr>
          <w:lang w:val="fr-FR"/>
        </w:rPr>
        <w:t>état civil. Ces systèmes comprennent l</w:t>
      </w:r>
      <w:r w:rsidR="008279BF">
        <w:rPr>
          <w:lang w:val="fr-FR"/>
        </w:rPr>
        <w:t>’</w:t>
      </w:r>
      <w:r w:rsidRPr="000D2B6D">
        <w:rPr>
          <w:lang w:val="fr-FR"/>
        </w:rPr>
        <w:t>enregistrement des naissances dans les établissements de santé sélectionnés et le Système national intégré d</w:t>
      </w:r>
      <w:r w:rsidR="008279BF">
        <w:rPr>
          <w:lang w:val="fr-FR"/>
        </w:rPr>
        <w:t>’</w:t>
      </w:r>
      <w:r w:rsidRPr="000D2B6D">
        <w:rPr>
          <w:lang w:val="fr-FR"/>
        </w:rPr>
        <w:t>enregistrement (INRIS), qui visent à garantir que les naissances soient effectivement enregistrées sur place mais aussi à permettre l</w:t>
      </w:r>
      <w:r w:rsidR="008279BF">
        <w:rPr>
          <w:lang w:val="fr-FR"/>
        </w:rPr>
        <w:t>’</w:t>
      </w:r>
      <w:r w:rsidRPr="000D2B6D">
        <w:rPr>
          <w:lang w:val="fr-FR"/>
        </w:rPr>
        <w:t>attribution d</w:t>
      </w:r>
      <w:r w:rsidR="008279BF">
        <w:rPr>
          <w:lang w:val="fr-FR"/>
        </w:rPr>
        <w:t>’</w:t>
      </w:r>
      <w:r w:rsidRPr="000D2B6D">
        <w:rPr>
          <w:lang w:val="fr-FR"/>
        </w:rPr>
        <w:t>un numéro d</w:t>
      </w:r>
      <w:r w:rsidR="008279BF">
        <w:rPr>
          <w:lang w:val="fr-FR"/>
        </w:rPr>
        <w:t>’</w:t>
      </w:r>
      <w:r w:rsidRPr="000D2B6D">
        <w:rPr>
          <w:lang w:val="fr-FR"/>
        </w:rPr>
        <w:t>identité national. Le Système national intégré d</w:t>
      </w:r>
      <w:r w:rsidR="008279BF">
        <w:rPr>
          <w:lang w:val="fr-FR"/>
        </w:rPr>
        <w:t>’</w:t>
      </w:r>
      <w:r w:rsidRPr="000D2B6D">
        <w:rPr>
          <w:lang w:val="fr-FR"/>
        </w:rPr>
        <w:t>enregistrement permettra également d</w:t>
      </w:r>
      <w:r w:rsidR="008279BF">
        <w:rPr>
          <w:lang w:val="fr-FR"/>
        </w:rPr>
        <w:t>’</w:t>
      </w:r>
      <w:r w:rsidRPr="000D2B6D">
        <w:rPr>
          <w:lang w:val="fr-FR"/>
        </w:rPr>
        <w:t>enregistrer toutes les naissances passées qui n</w:t>
      </w:r>
      <w:r w:rsidR="008279BF">
        <w:rPr>
          <w:lang w:val="fr-FR"/>
        </w:rPr>
        <w:t>’</w:t>
      </w:r>
      <w:r w:rsidRPr="000D2B6D">
        <w:rPr>
          <w:lang w:val="fr-FR"/>
        </w:rPr>
        <w:t>ont pas encore été déclarées.</w:t>
      </w:r>
    </w:p>
    <w:p w14:paraId="6DB580E2" w14:textId="040528EF" w:rsidR="00046F46" w:rsidRPr="00EE4C2A" w:rsidRDefault="00046F46" w:rsidP="00046F46">
      <w:pPr>
        <w:pStyle w:val="SingleTxtG"/>
        <w:rPr>
          <w:lang w:val="fr-FR"/>
        </w:rPr>
      </w:pPr>
      <w:r w:rsidRPr="00EE4C2A">
        <w:rPr>
          <w:lang w:val="fr-FR"/>
        </w:rPr>
        <w:t>59.</w:t>
      </w:r>
      <w:r w:rsidRPr="00EE4C2A">
        <w:rPr>
          <w:lang w:val="fr-FR"/>
        </w:rPr>
        <w:tab/>
        <w:t>Il ressort des enquêtes nationales démographiques et sanitaires</w:t>
      </w:r>
      <w:r w:rsidR="000D2B6D">
        <w:rPr>
          <w:lang w:val="fr-FR"/>
        </w:rPr>
        <w:t xml:space="preserve"> </w:t>
      </w:r>
      <w:r w:rsidRPr="00EE4C2A">
        <w:rPr>
          <w:lang w:val="fr-FR"/>
        </w:rPr>
        <w:t>(ZDHS) réalisées en</w:t>
      </w:r>
      <w:r w:rsidR="000D2B6D">
        <w:rPr>
          <w:lang w:val="fr-FR"/>
        </w:rPr>
        <w:t xml:space="preserve"> </w:t>
      </w:r>
      <w:r w:rsidRPr="00EE4C2A">
        <w:rPr>
          <w:lang w:val="fr-FR"/>
        </w:rPr>
        <w:t>2013/14 et 2018/19 que le taux d</w:t>
      </w:r>
      <w:r w:rsidR="008279BF">
        <w:rPr>
          <w:lang w:val="fr-FR"/>
        </w:rPr>
        <w:t>’</w:t>
      </w:r>
      <w:r w:rsidRPr="00EE4C2A">
        <w:rPr>
          <w:lang w:val="fr-FR"/>
        </w:rPr>
        <w:t xml:space="preserve">enregistrement des naissances des enfants âgés de moins de </w:t>
      </w:r>
      <w:r w:rsidR="000D2B6D">
        <w:rPr>
          <w:lang w:val="fr-FR"/>
        </w:rPr>
        <w:t>5</w:t>
      </w:r>
      <w:r w:rsidRPr="00EE4C2A">
        <w:rPr>
          <w:lang w:val="fr-FR"/>
        </w:rPr>
        <w:t> ans est passé de 11 % à 14 %. Il s</w:t>
      </w:r>
      <w:r w:rsidR="008279BF">
        <w:rPr>
          <w:lang w:val="fr-FR"/>
        </w:rPr>
        <w:t>’</w:t>
      </w:r>
      <w:r w:rsidRPr="00EE4C2A">
        <w:rPr>
          <w:lang w:val="fr-FR"/>
        </w:rPr>
        <w:t>agit d</w:t>
      </w:r>
      <w:r w:rsidR="008279BF">
        <w:rPr>
          <w:lang w:val="fr-FR"/>
        </w:rPr>
        <w:t>’</w:t>
      </w:r>
      <w:r w:rsidRPr="00EE4C2A">
        <w:rPr>
          <w:lang w:val="fr-FR"/>
        </w:rPr>
        <w:t>une modeste hausse mais, avec les systèmes mis en place, l</w:t>
      </w:r>
      <w:r w:rsidR="008279BF">
        <w:rPr>
          <w:lang w:val="fr-FR"/>
        </w:rPr>
        <w:t>’</w:t>
      </w:r>
      <w:r w:rsidRPr="00EE4C2A">
        <w:rPr>
          <w:lang w:val="fr-FR"/>
        </w:rPr>
        <w:t>enregistrement des naissances devrait augmenter de manière significative.</w:t>
      </w:r>
    </w:p>
    <w:p w14:paraId="671E49B2" w14:textId="45E2709A" w:rsidR="00046F46" w:rsidRPr="00EE4C2A" w:rsidRDefault="00046F46" w:rsidP="00046F46">
      <w:pPr>
        <w:pStyle w:val="SingleTxtG"/>
        <w:rPr>
          <w:lang w:val="fr-FR"/>
        </w:rPr>
      </w:pPr>
      <w:r w:rsidRPr="00EE4C2A">
        <w:rPr>
          <w:lang w:val="fr-FR"/>
        </w:rPr>
        <w:t>60.</w:t>
      </w:r>
      <w:r w:rsidRPr="00EE4C2A">
        <w:rPr>
          <w:lang w:val="fr-FR"/>
        </w:rPr>
        <w:tab/>
        <w:t>Afin de relever ce taux et d</w:t>
      </w:r>
      <w:r w:rsidR="008279BF">
        <w:rPr>
          <w:lang w:val="fr-FR"/>
        </w:rPr>
        <w:t>’</w:t>
      </w:r>
      <w:r w:rsidRPr="00EE4C2A">
        <w:rPr>
          <w:lang w:val="fr-FR"/>
        </w:rPr>
        <w:t>enregistrer toutes les naissances, les Ministères de la santé et de l</w:t>
      </w:r>
      <w:r w:rsidR="008279BF">
        <w:rPr>
          <w:lang w:val="fr-FR"/>
        </w:rPr>
        <w:t>’</w:t>
      </w:r>
      <w:r w:rsidRPr="00EE4C2A">
        <w:rPr>
          <w:lang w:val="fr-FR"/>
        </w:rPr>
        <w:t>intérieur ont signé en 2019 un protocole d</w:t>
      </w:r>
      <w:r w:rsidR="008279BF">
        <w:rPr>
          <w:lang w:val="fr-FR"/>
        </w:rPr>
        <w:t>’</w:t>
      </w:r>
      <w:r w:rsidRPr="00EE4C2A">
        <w:rPr>
          <w:lang w:val="fr-FR"/>
        </w:rPr>
        <w:t>accord visant à améliorer l</w:t>
      </w:r>
      <w:r w:rsidR="008279BF">
        <w:rPr>
          <w:lang w:val="fr-FR"/>
        </w:rPr>
        <w:t>’</w:t>
      </w:r>
      <w:r w:rsidRPr="00EE4C2A">
        <w:rPr>
          <w:lang w:val="fr-FR"/>
        </w:rPr>
        <w:t>enregistrement dans le pays. Des bureaux d</w:t>
      </w:r>
      <w:r w:rsidR="008279BF">
        <w:rPr>
          <w:lang w:val="fr-FR"/>
        </w:rPr>
        <w:t>’</w:t>
      </w:r>
      <w:r w:rsidRPr="00EE4C2A">
        <w:rPr>
          <w:lang w:val="fr-FR"/>
        </w:rPr>
        <w:t>enregistrement des naissances ont été créés dans les établissements de santé du pays pour les rapprocher le plus possible des communautés. À l</w:t>
      </w:r>
      <w:r w:rsidR="008279BF">
        <w:rPr>
          <w:lang w:val="fr-FR"/>
        </w:rPr>
        <w:t>’</w:t>
      </w:r>
      <w:r w:rsidRPr="00EE4C2A">
        <w:rPr>
          <w:lang w:val="fr-FR"/>
        </w:rPr>
        <w:t>heure actuelle, quelque 806 établissements de santé sont ainsi habilités à enregistrer manuellement les naissances, et l</w:t>
      </w:r>
      <w:r w:rsidR="008279BF">
        <w:rPr>
          <w:lang w:val="fr-FR"/>
        </w:rPr>
        <w:t>’</w:t>
      </w:r>
      <w:r w:rsidRPr="00EE4C2A">
        <w:rPr>
          <w:lang w:val="fr-FR"/>
        </w:rPr>
        <w:t>État partie prévoit d</w:t>
      </w:r>
      <w:r w:rsidR="008279BF">
        <w:rPr>
          <w:lang w:val="fr-FR"/>
        </w:rPr>
        <w:t>’</w:t>
      </w:r>
      <w:r w:rsidRPr="00EE4C2A">
        <w:rPr>
          <w:lang w:val="fr-FR"/>
        </w:rPr>
        <w:t>étendre ce système à l</w:t>
      </w:r>
      <w:r w:rsidR="008279BF">
        <w:rPr>
          <w:lang w:val="fr-FR"/>
        </w:rPr>
        <w:t>’</w:t>
      </w:r>
      <w:r w:rsidRPr="00EE4C2A">
        <w:rPr>
          <w:lang w:val="fr-FR"/>
        </w:rPr>
        <w:t>ensemble du pays. Cela concernera également les centres de santé situés dans les camps de réfugiés, afin de veiller à ce que les enfants de réfugiés puissent obtenir un numéro d</w:t>
      </w:r>
      <w:r w:rsidR="008279BF">
        <w:rPr>
          <w:lang w:val="fr-FR"/>
        </w:rPr>
        <w:t>’</w:t>
      </w:r>
      <w:r w:rsidRPr="00EE4C2A">
        <w:rPr>
          <w:lang w:val="fr-FR"/>
        </w:rPr>
        <w:t>identité.</w:t>
      </w:r>
    </w:p>
    <w:p w14:paraId="0FFE2B93" w14:textId="0B485B6A" w:rsidR="00046F46" w:rsidRPr="00EE4C2A" w:rsidRDefault="00046F46" w:rsidP="00046F46">
      <w:pPr>
        <w:pStyle w:val="SingleTxtG"/>
        <w:rPr>
          <w:lang w:val="fr-FR"/>
        </w:rPr>
      </w:pPr>
      <w:r w:rsidRPr="00EE4C2A">
        <w:rPr>
          <w:lang w:val="fr-FR"/>
        </w:rPr>
        <w:t>61.</w:t>
      </w:r>
      <w:r w:rsidRPr="00EE4C2A">
        <w:rPr>
          <w:lang w:val="fr-FR"/>
        </w:rPr>
        <w:tab/>
        <w:t>Des plans sont en cours pour relier le Système national intégré d</w:t>
      </w:r>
      <w:r w:rsidR="008279BF">
        <w:rPr>
          <w:lang w:val="fr-FR"/>
        </w:rPr>
        <w:t>’</w:t>
      </w:r>
      <w:r w:rsidRPr="00EE4C2A">
        <w:rPr>
          <w:lang w:val="fr-FR"/>
        </w:rPr>
        <w:t>enregistrement à SmartCare dans les établissements de santé, une fois qu</w:t>
      </w:r>
      <w:r w:rsidR="008279BF">
        <w:rPr>
          <w:lang w:val="fr-FR"/>
        </w:rPr>
        <w:t>’</w:t>
      </w:r>
      <w:r w:rsidRPr="00EE4C2A">
        <w:rPr>
          <w:lang w:val="fr-FR"/>
        </w:rPr>
        <w:t>il sera déployé. Cela permettra aux établissements de santé d</w:t>
      </w:r>
      <w:r w:rsidR="008279BF">
        <w:rPr>
          <w:lang w:val="fr-FR"/>
        </w:rPr>
        <w:t>’</w:t>
      </w:r>
      <w:r w:rsidRPr="00EE4C2A">
        <w:rPr>
          <w:lang w:val="fr-FR"/>
        </w:rPr>
        <w:t>utiliser la plateforme électronique pour transmettre directement, à la Direction de l</w:t>
      </w:r>
      <w:r w:rsidR="008279BF">
        <w:rPr>
          <w:lang w:val="fr-FR"/>
        </w:rPr>
        <w:t>’</w:t>
      </w:r>
      <w:r w:rsidRPr="00EE4C2A">
        <w:rPr>
          <w:lang w:val="fr-FR"/>
        </w:rPr>
        <w:t>enregistrement national, des passeports et de la citoyenneté (DNRPC), via SmartCare, les naissances notifiées par les points d</w:t>
      </w:r>
      <w:r w:rsidR="008279BF">
        <w:rPr>
          <w:lang w:val="fr-FR"/>
        </w:rPr>
        <w:t>’</w:t>
      </w:r>
      <w:r w:rsidRPr="00EE4C2A">
        <w:rPr>
          <w:lang w:val="fr-FR"/>
        </w:rPr>
        <w:t>enregistrement en utilisant le Système national intégré d</w:t>
      </w:r>
      <w:r w:rsidR="008279BF">
        <w:rPr>
          <w:lang w:val="fr-FR"/>
        </w:rPr>
        <w:t>’</w:t>
      </w:r>
      <w:r w:rsidRPr="00EE4C2A">
        <w:rPr>
          <w:lang w:val="fr-FR"/>
        </w:rPr>
        <w:t>enregistrement, ce qui réduira les délais.</w:t>
      </w:r>
    </w:p>
    <w:p w14:paraId="24DA6E30" w14:textId="5F5501D8" w:rsidR="00046F46" w:rsidRPr="00EE4C2A" w:rsidRDefault="00046F46" w:rsidP="00046F46">
      <w:pPr>
        <w:pStyle w:val="H1G"/>
        <w:rPr>
          <w:lang w:val="fr-FR"/>
        </w:rPr>
      </w:pPr>
      <w:bookmarkStart w:id="18" w:name="_Toc63937975"/>
      <w:bookmarkStart w:id="19" w:name="_Hlk61526546"/>
      <w:r w:rsidRPr="00EE4C2A">
        <w:rPr>
          <w:bCs/>
          <w:lang w:val="fr-FR"/>
        </w:rPr>
        <w:lastRenderedPageBreak/>
        <w:tab/>
        <w:t>D.</w:t>
      </w:r>
      <w:r w:rsidRPr="00EE4C2A">
        <w:rPr>
          <w:lang w:val="fr-FR"/>
        </w:rPr>
        <w:tab/>
      </w:r>
      <w:r w:rsidRPr="00EE4C2A">
        <w:rPr>
          <w:bCs/>
          <w:lang w:val="fr-FR"/>
        </w:rPr>
        <w:t>Violence à l</w:t>
      </w:r>
      <w:r w:rsidR="008279BF">
        <w:rPr>
          <w:bCs/>
          <w:lang w:val="fr-FR"/>
        </w:rPr>
        <w:t>’</w:t>
      </w:r>
      <w:r w:rsidRPr="00EE4C2A">
        <w:rPr>
          <w:bCs/>
          <w:lang w:val="fr-FR"/>
        </w:rPr>
        <w:t>égard des enfants (art. 19, 24 (par. 3), 28 (par. 2), 34, 37 (al. a)) et 39)</w:t>
      </w:r>
      <w:bookmarkEnd w:id="18"/>
    </w:p>
    <w:p w14:paraId="6AC1DB5C" w14:textId="104D0FF4" w:rsidR="00046F46" w:rsidRPr="00EE4C2A" w:rsidRDefault="00046F46" w:rsidP="00046F46">
      <w:pPr>
        <w:pStyle w:val="H1G"/>
        <w:rPr>
          <w:lang w:val="fr-FR"/>
        </w:rPr>
      </w:pPr>
      <w:bookmarkStart w:id="20" w:name="_Toc63937976"/>
      <w:bookmarkStart w:id="21" w:name="_Hlk61526581"/>
      <w:bookmarkEnd w:id="19"/>
      <w:r w:rsidRPr="00EE4C2A">
        <w:rPr>
          <w:lang w:val="fr-FR"/>
        </w:rPr>
        <w:tab/>
      </w:r>
      <w:r w:rsidRPr="00EE4C2A">
        <w:rPr>
          <w:lang w:val="fr-FR"/>
        </w:rPr>
        <w:tab/>
      </w:r>
      <w:r w:rsidRPr="00EE4C2A">
        <w:rPr>
          <w:bCs/>
          <w:lang w:val="fr-FR"/>
        </w:rPr>
        <w:t>Protection de l</w:t>
      </w:r>
      <w:r w:rsidR="008279BF">
        <w:rPr>
          <w:bCs/>
          <w:lang w:val="fr-FR"/>
        </w:rPr>
        <w:t>’</w:t>
      </w:r>
      <w:r w:rsidRPr="00EE4C2A">
        <w:rPr>
          <w:bCs/>
          <w:lang w:val="fr-FR"/>
        </w:rPr>
        <w:t xml:space="preserve">enfant contre toutes les formes de violence, y compris </w:t>
      </w:r>
      <w:r w:rsidR="000D2B6D">
        <w:rPr>
          <w:bCs/>
          <w:lang w:val="fr-FR"/>
        </w:rPr>
        <w:br/>
      </w:r>
      <w:r w:rsidRPr="00EE4C2A">
        <w:rPr>
          <w:bCs/>
          <w:lang w:val="fr-FR"/>
        </w:rPr>
        <w:t>les châtiments corporels</w:t>
      </w:r>
      <w:bookmarkEnd w:id="20"/>
    </w:p>
    <w:p w14:paraId="2A0953E8"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13 a) de la liste de points établie </w:t>
      </w:r>
      <w:r>
        <w:rPr>
          <w:bCs/>
          <w:lang w:val="fr-FR"/>
        </w:rPr>
        <w:t xml:space="preserve">avant la soumission du rapport </w:t>
      </w:r>
    </w:p>
    <w:p w14:paraId="42E4ABF2" w14:textId="37D6E373" w:rsidR="00046F46" w:rsidRPr="00EE4C2A" w:rsidRDefault="00046F46" w:rsidP="00046F46">
      <w:pPr>
        <w:pStyle w:val="SingleTxtG"/>
        <w:rPr>
          <w:lang w:val="fr-FR"/>
        </w:rPr>
      </w:pPr>
      <w:r w:rsidRPr="00EE4C2A">
        <w:rPr>
          <w:lang w:val="fr-FR"/>
        </w:rPr>
        <w:t>62.</w:t>
      </w:r>
      <w:r w:rsidRPr="00EE4C2A">
        <w:rPr>
          <w:lang w:val="fr-FR"/>
        </w:rPr>
        <w:tab/>
        <w:t>En ce qui concerne l</w:t>
      </w:r>
      <w:r w:rsidR="008279BF">
        <w:rPr>
          <w:lang w:val="fr-FR"/>
        </w:rPr>
        <w:t>’</w:t>
      </w:r>
      <w:r w:rsidRPr="00EE4C2A">
        <w:rPr>
          <w:lang w:val="fr-FR"/>
        </w:rPr>
        <w:t>interdiction des châtiments corporels, l</w:t>
      </w:r>
      <w:r w:rsidR="008279BF">
        <w:rPr>
          <w:lang w:val="fr-FR"/>
        </w:rPr>
        <w:t>’</w:t>
      </w:r>
      <w:r w:rsidRPr="00EE4C2A">
        <w:rPr>
          <w:lang w:val="fr-FR"/>
        </w:rPr>
        <w:t>État partie souhaite rapporter que la Constitution protège les droits civils et politiques des personnes ainsi que leurs droits sociaux et économiques. L</w:t>
      </w:r>
      <w:r w:rsidR="008279BF">
        <w:rPr>
          <w:lang w:val="fr-FR"/>
        </w:rPr>
        <w:t>’</w:t>
      </w:r>
      <w:r w:rsidRPr="00EE4C2A">
        <w:rPr>
          <w:lang w:val="fr-FR"/>
        </w:rPr>
        <w:t>article 15 de la Constitution garantit aux adultes et aux enfants le droit à la protection contre la torture et les peines et sanctions inhumaines et dégradantes, et ces droits peuvent faire l</w:t>
      </w:r>
      <w:r w:rsidR="008279BF">
        <w:rPr>
          <w:lang w:val="fr-FR"/>
        </w:rPr>
        <w:t>’</w:t>
      </w:r>
      <w:r w:rsidRPr="00EE4C2A">
        <w:rPr>
          <w:lang w:val="fr-FR"/>
        </w:rPr>
        <w:t>objet de recours en justice. En 2004, un certain nombre de dispositions relatives à l</w:t>
      </w:r>
      <w:r w:rsidR="008279BF">
        <w:rPr>
          <w:lang w:val="fr-FR"/>
        </w:rPr>
        <w:t>’</w:t>
      </w:r>
      <w:r w:rsidRPr="00EE4C2A">
        <w:rPr>
          <w:lang w:val="fr-FR"/>
        </w:rPr>
        <w:t>utilisation des châtiments corporels dans les prisons ont été modifiées et abrogées par la loi portant modification de la loi relative aux prisons.</w:t>
      </w:r>
      <w:bookmarkEnd w:id="21"/>
    </w:p>
    <w:p w14:paraId="59A53363" w14:textId="0EF59F92" w:rsidR="00046F46" w:rsidRPr="00EE4C2A" w:rsidRDefault="00046F46" w:rsidP="00046F46">
      <w:pPr>
        <w:pStyle w:val="SingleTxtG"/>
        <w:rPr>
          <w:lang w:val="fr-FR"/>
        </w:rPr>
      </w:pPr>
      <w:r w:rsidRPr="00EE4C2A">
        <w:rPr>
          <w:lang w:val="fr-FR"/>
        </w:rPr>
        <w:t>63.</w:t>
      </w:r>
      <w:r w:rsidRPr="00EE4C2A">
        <w:rPr>
          <w:lang w:val="fr-FR"/>
        </w:rPr>
        <w:tab/>
        <w:t>L</w:t>
      </w:r>
      <w:r w:rsidR="008279BF">
        <w:rPr>
          <w:lang w:val="fr-FR"/>
        </w:rPr>
        <w:t>’</w:t>
      </w:r>
      <w:r w:rsidRPr="00EE4C2A">
        <w:rPr>
          <w:lang w:val="fr-FR"/>
        </w:rPr>
        <w:t>État partie a élaboré une Norme minimum en matière de contrôle des établissements accueillant des enfants, qui dispose que la discipline imposée à un enfant doit être fonction de ses besoins et de son développement, et que les enfants ne doivent pas faire l</w:t>
      </w:r>
      <w:r w:rsidR="008279BF">
        <w:rPr>
          <w:lang w:val="fr-FR"/>
        </w:rPr>
        <w:t>’</w:t>
      </w:r>
      <w:r w:rsidRPr="00EE4C2A">
        <w:rPr>
          <w:lang w:val="fr-FR"/>
        </w:rPr>
        <w:t>objet d</w:t>
      </w:r>
      <w:r w:rsidR="008279BF">
        <w:rPr>
          <w:lang w:val="fr-FR"/>
        </w:rPr>
        <w:t>’</w:t>
      </w:r>
      <w:r w:rsidRPr="00EE4C2A">
        <w:rPr>
          <w:lang w:val="fr-FR"/>
        </w:rPr>
        <w:t>un traitement dur ou inhabituel tel que les châtiments corporels, les propos injurieux ou les menaces ; les châtiments corporels sont donc déconseillés dans les structures accueillant des enfants.</w:t>
      </w:r>
    </w:p>
    <w:p w14:paraId="31B139F4" w14:textId="4280938D" w:rsidR="00046F46" w:rsidRPr="00EE4C2A" w:rsidRDefault="00046F46" w:rsidP="00046F46">
      <w:pPr>
        <w:pStyle w:val="SingleTxtG"/>
        <w:rPr>
          <w:lang w:val="fr-FR"/>
        </w:rPr>
      </w:pPr>
      <w:r w:rsidRPr="00EE4C2A">
        <w:rPr>
          <w:lang w:val="fr-FR"/>
        </w:rPr>
        <w:t>64.</w:t>
      </w:r>
      <w:r w:rsidRPr="00EE4C2A">
        <w:rPr>
          <w:lang w:val="fr-FR"/>
        </w:rPr>
        <w:tab/>
        <w:t>En outre, tout représentant légal ou adulte qui inflige un châtiment corporel ou d</w:t>
      </w:r>
      <w:r w:rsidR="008279BF">
        <w:rPr>
          <w:lang w:val="fr-FR"/>
        </w:rPr>
        <w:t>’</w:t>
      </w:r>
      <w:r w:rsidRPr="00EE4C2A">
        <w:rPr>
          <w:lang w:val="fr-FR"/>
        </w:rPr>
        <w:t xml:space="preserve">autres formes de violence à un enfant dont il a la garde ou la charge peut être </w:t>
      </w:r>
      <w:r>
        <w:rPr>
          <w:lang w:val="fr-FR"/>
        </w:rPr>
        <w:t>poursuivi pour</w:t>
      </w:r>
      <w:r w:rsidRPr="00EE4C2A">
        <w:rPr>
          <w:lang w:val="fr-FR"/>
        </w:rPr>
        <w:t xml:space="preserve"> voies de fait, de voies de fait avec intention de causer des lésions corporelles graves ou de tentative de meurtre, conformément à l</w:t>
      </w:r>
      <w:r w:rsidR="008279BF">
        <w:rPr>
          <w:lang w:val="fr-FR"/>
        </w:rPr>
        <w:t>’</w:t>
      </w:r>
      <w:r w:rsidRPr="00EE4C2A">
        <w:rPr>
          <w:lang w:val="fr-FR"/>
        </w:rPr>
        <w:t>article 87 du Code pénal. Pour se prononcer</w:t>
      </w:r>
      <w:r>
        <w:rPr>
          <w:lang w:val="fr-FR"/>
        </w:rPr>
        <w:t xml:space="preserve"> sur ces affaires</w:t>
      </w:r>
      <w:r w:rsidRPr="00EE4C2A">
        <w:rPr>
          <w:lang w:val="fr-FR"/>
        </w:rPr>
        <w:t>, le tribunal examinera la nature de l</w:t>
      </w:r>
      <w:r w:rsidR="008279BF">
        <w:rPr>
          <w:lang w:val="fr-FR"/>
        </w:rPr>
        <w:t>’</w:t>
      </w:r>
      <w:r w:rsidRPr="00EE4C2A">
        <w:rPr>
          <w:lang w:val="fr-FR"/>
        </w:rPr>
        <w:t>infraction, le préjudice causé, l</w:t>
      </w:r>
      <w:r w:rsidR="008279BF">
        <w:rPr>
          <w:lang w:val="fr-FR"/>
        </w:rPr>
        <w:t>’</w:t>
      </w:r>
      <w:r w:rsidRPr="00EE4C2A">
        <w:rPr>
          <w:lang w:val="fr-FR"/>
        </w:rPr>
        <w:t>ampleur des coups, la douleur infligée et la manière dont la punition a été administrée.</w:t>
      </w:r>
    </w:p>
    <w:p w14:paraId="77090913"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13 b) de la liste de points établie </w:t>
      </w:r>
      <w:r>
        <w:rPr>
          <w:bCs/>
          <w:lang w:val="fr-FR"/>
        </w:rPr>
        <w:t xml:space="preserve">avant la soumission du rapport </w:t>
      </w:r>
    </w:p>
    <w:p w14:paraId="30AE0A06" w14:textId="31617897" w:rsidR="00046F46" w:rsidRPr="00EE4C2A" w:rsidRDefault="00046F46" w:rsidP="00046F46">
      <w:pPr>
        <w:pStyle w:val="SingleTxtG"/>
        <w:rPr>
          <w:lang w:val="fr-FR"/>
        </w:rPr>
      </w:pPr>
      <w:r w:rsidRPr="00EE4C2A">
        <w:rPr>
          <w:lang w:val="fr-FR"/>
        </w:rPr>
        <w:t>65.</w:t>
      </w:r>
      <w:r w:rsidRPr="00EE4C2A">
        <w:rPr>
          <w:lang w:val="fr-FR"/>
        </w:rPr>
        <w:tab/>
        <w:t>En ce qui concerne l</w:t>
      </w:r>
      <w:r w:rsidR="008279BF">
        <w:rPr>
          <w:lang w:val="fr-FR"/>
        </w:rPr>
        <w:t>’</w:t>
      </w:r>
      <w:r w:rsidRPr="00EE4C2A">
        <w:rPr>
          <w:lang w:val="fr-FR"/>
        </w:rPr>
        <w:t>accélération de la réforme du système judiciaire, l</w:t>
      </w:r>
      <w:r w:rsidR="008279BF">
        <w:rPr>
          <w:lang w:val="fr-FR"/>
        </w:rPr>
        <w:t>’</w:t>
      </w:r>
      <w:r w:rsidRPr="00EE4C2A">
        <w:rPr>
          <w:lang w:val="fr-FR"/>
        </w:rPr>
        <w:t xml:space="preserve">État partie souhaite rapporter que la deuxième phase du Programme conjoint des Nations Unies et du Gouvernement zambien sur les violences </w:t>
      </w:r>
      <w:r>
        <w:rPr>
          <w:lang w:val="fr-FR"/>
        </w:rPr>
        <w:t>fondées sur le</w:t>
      </w:r>
      <w:r w:rsidRPr="00EE4C2A">
        <w:rPr>
          <w:lang w:val="fr-FR"/>
        </w:rPr>
        <w:t xml:space="preserve"> genre prévoit la construction de quatre autres tribunaux à procédure accélérée, en plus des six existants. Ces tribunaux permettent de traiter en priorité les affaires concernant des victimes mineures. Adapté aux enfants, leur environnement facilite le respect du droit à la vie privée, favorisant ainsi la participation des enfants dans les affaires qui les concernent et protégeant les enfants victimes et témoins du traumatisme des procédures judiciaires. Plus de 30 enquêteurs, procureurs et magistrats ont suivi une formation avant l</w:t>
      </w:r>
      <w:r w:rsidR="008279BF">
        <w:rPr>
          <w:lang w:val="fr-FR"/>
        </w:rPr>
        <w:t>’</w:t>
      </w:r>
      <w:r w:rsidRPr="00EE4C2A">
        <w:rPr>
          <w:lang w:val="fr-FR"/>
        </w:rPr>
        <w:t>ouverture du premier tribunal.</w:t>
      </w:r>
    </w:p>
    <w:p w14:paraId="1FC36638" w14:textId="5CEB8601" w:rsidR="00046F46" w:rsidRPr="00EE4C2A" w:rsidRDefault="00046F46" w:rsidP="00046F46">
      <w:pPr>
        <w:pStyle w:val="SingleTxtG"/>
        <w:rPr>
          <w:lang w:val="fr-FR"/>
        </w:rPr>
      </w:pPr>
      <w:r w:rsidRPr="00C674E1">
        <w:rPr>
          <w:lang w:val="fr-FR"/>
        </w:rPr>
        <w:t>66.</w:t>
      </w:r>
      <w:r w:rsidRPr="00C674E1">
        <w:rPr>
          <w:lang w:val="fr-FR"/>
        </w:rPr>
        <w:tab/>
        <w:t>En ce qui concerne les dispositions législatives et administratives prises pour permettre la réforme du système judiciaire, l</w:t>
      </w:r>
      <w:r w:rsidR="008279BF">
        <w:rPr>
          <w:lang w:val="fr-FR"/>
        </w:rPr>
        <w:t>’</w:t>
      </w:r>
      <w:r w:rsidRPr="00C674E1">
        <w:rPr>
          <w:lang w:val="fr-FR"/>
        </w:rPr>
        <w:t>État partie souhaite rapporter que les tribunaux informent la population et les victimes de l</w:t>
      </w:r>
      <w:r w:rsidR="008279BF">
        <w:rPr>
          <w:lang w:val="fr-FR"/>
        </w:rPr>
        <w:t>’</w:t>
      </w:r>
      <w:r w:rsidRPr="00C674E1">
        <w:rPr>
          <w:lang w:val="fr-FR"/>
        </w:rPr>
        <w:t>existence de procédures de recours autre</w:t>
      </w:r>
      <w:r w:rsidR="00C674E1">
        <w:rPr>
          <w:lang w:val="fr-FR"/>
        </w:rPr>
        <w:t>s</w:t>
      </w:r>
      <w:r w:rsidRPr="00C674E1">
        <w:rPr>
          <w:lang w:val="fr-FR"/>
        </w:rPr>
        <w:t xml:space="preserve"> que pénales</w:t>
      </w:r>
      <w:r w:rsidR="00C674E1">
        <w:rPr>
          <w:lang w:val="fr-FR"/>
        </w:rPr>
        <w:t xml:space="preserve"> </w:t>
      </w:r>
      <w:r w:rsidRPr="00C674E1">
        <w:rPr>
          <w:lang w:val="fr-FR"/>
        </w:rPr>
        <w:t>(recours civils) et soutiennent les victimes tout au long du processus grâce à leurs réseaux de partenaires, non seulement lorsqu</w:t>
      </w:r>
      <w:r w:rsidR="008279BF">
        <w:rPr>
          <w:lang w:val="fr-FR"/>
        </w:rPr>
        <w:t>’</w:t>
      </w:r>
      <w:r w:rsidRPr="00C674E1">
        <w:rPr>
          <w:lang w:val="fr-FR"/>
        </w:rPr>
        <w:t>elles demandent des mesures</w:t>
      </w:r>
      <w:r w:rsidR="00C674E1">
        <w:rPr>
          <w:lang w:val="fr-FR"/>
        </w:rPr>
        <w:t xml:space="preserve"> </w:t>
      </w:r>
      <w:r w:rsidRPr="00C674E1">
        <w:rPr>
          <w:lang w:val="fr-FR"/>
        </w:rPr>
        <w:t>(ordonnances de protection, d</w:t>
      </w:r>
      <w:r w:rsidR="008279BF">
        <w:rPr>
          <w:lang w:val="fr-FR"/>
        </w:rPr>
        <w:t>’</w:t>
      </w:r>
      <w:r w:rsidRPr="00C674E1">
        <w:rPr>
          <w:lang w:val="fr-FR"/>
        </w:rPr>
        <w:t>éloignement du domicile ou d</w:t>
      </w:r>
      <w:r w:rsidR="008279BF">
        <w:rPr>
          <w:lang w:val="fr-FR"/>
        </w:rPr>
        <w:t>’</w:t>
      </w:r>
      <w:r w:rsidRPr="00C674E1">
        <w:rPr>
          <w:lang w:val="fr-FR"/>
        </w:rPr>
        <w:t>attribution du domicile), mais aussi avant et après.</w:t>
      </w:r>
    </w:p>
    <w:p w14:paraId="2635243F" w14:textId="1ED02CB7" w:rsidR="00046F46" w:rsidRPr="00EE4C2A" w:rsidRDefault="00046F46" w:rsidP="00046F46">
      <w:pPr>
        <w:pStyle w:val="SingleTxtG"/>
        <w:rPr>
          <w:lang w:val="fr-FR"/>
        </w:rPr>
      </w:pPr>
      <w:r w:rsidRPr="00EE4C2A">
        <w:rPr>
          <w:lang w:val="fr-FR"/>
        </w:rPr>
        <w:t>67.</w:t>
      </w:r>
      <w:r w:rsidRPr="00EE4C2A">
        <w:rPr>
          <w:lang w:val="fr-FR"/>
        </w:rPr>
        <w:tab/>
        <w:t>Un nouveau Formulaire de rapport d</w:t>
      </w:r>
      <w:r w:rsidR="008279BF">
        <w:rPr>
          <w:lang w:val="fr-FR"/>
        </w:rPr>
        <w:t>’</w:t>
      </w:r>
      <w:r w:rsidRPr="00EE4C2A">
        <w:rPr>
          <w:lang w:val="fr-FR"/>
        </w:rPr>
        <w:t>examen médical</w:t>
      </w:r>
      <w:r w:rsidR="00C674E1">
        <w:rPr>
          <w:lang w:val="fr-FR"/>
        </w:rPr>
        <w:t xml:space="preserve"> </w:t>
      </w:r>
      <w:r w:rsidRPr="00EE4C2A">
        <w:rPr>
          <w:lang w:val="fr-FR"/>
        </w:rPr>
        <w:t>(formulaire 32B de la police zambienne) a été élaboré à l</w:t>
      </w:r>
      <w:r w:rsidR="008279BF">
        <w:rPr>
          <w:lang w:val="fr-FR"/>
        </w:rPr>
        <w:t>’</w:t>
      </w:r>
      <w:r w:rsidRPr="00EE4C2A">
        <w:rPr>
          <w:lang w:val="fr-FR"/>
        </w:rPr>
        <w:t>intention de la police pour les affaires de violence fondée sur le genre, en particulier pour les infractions sexuelles. La création du Registre de main courante</w:t>
      </w:r>
      <w:r w:rsidR="00C674E1">
        <w:rPr>
          <w:lang w:val="fr-FR"/>
        </w:rPr>
        <w:t xml:space="preserve"> </w:t>
      </w:r>
      <w:r w:rsidRPr="00EE4C2A">
        <w:rPr>
          <w:lang w:val="fr-FR"/>
        </w:rPr>
        <w:t>(Electronic Occurrence Book, E-OB) est en cours. Son principal objectif est d</w:t>
      </w:r>
      <w:r w:rsidR="008279BF">
        <w:rPr>
          <w:lang w:val="fr-FR"/>
        </w:rPr>
        <w:t>’</w:t>
      </w:r>
      <w:r w:rsidRPr="00EE4C2A">
        <w:rPr>
          <w:lang w:val="fr-FR"/>
        </w:rPr>
        <w:t>accroître l</w:t>
      </w:r>
      <w:r w:rsidR="008279BF">
        <w:rPr>
          <w:lang w:val="fr-FR"/>
        </w:rPr>
        <w:t>’</w:t>
      </w:r>
      <w:r w:rsidRPr="00EE4C2A">
        <w:rPr>
          <w:lang w:val="fr-FR"/>
        </w:rPr>
        <w:t>éventail et la qualité de l</w:t>
      </w:r>
      <w:r w:rsidR="008279BF">
        <w:rPr>
          <w:lang w:val="fr-FR"/>
        </w:rPr>
        <w:t>’</w:t>
      </w:r>
      <w:r w:rsidRPr="00EE4C2A">
        <w:rPr>
          <w:lang w:val="fr-FR"/>
        </w:rPr>
        <w:t>information stockée électroniquement et faisant l</w:t>
      </w:r>
      <w:r w:rsidR="008279BF">
        <w:rPr>
          <w:lang w:val="fr-FR"/>
        </w:rPr>
        <w:t>’</w:t>
      </w:r>
      <w:r w:rsidRPr="00EE4C2A">
        <w:rPr>
          <w:lang w:val="fr-FR"/>
        </w:rPr>
        <w:t>objet d</w:t>
      </w:r>
      <w:r w:rsidR="008279BF">
        <w:rPr>
          <w:lang w:val="fr-FR"/>
        </w:rPr>
        <w:t>’</w:t>
      </w:r>
      <w:r w:rsidRPr="00EE4C2A">
        <w:rPr>
          <w:lang w:val="fr-FR"/>
        </w:rPr>
        <w:t>un traitement automatisé. Cela permettra d</w:t>
      </w:r>
      <w:r w:rsidR="008279BF">
        <w:rPr>
          <w:lang w:val="fr-FR"/>
        </w:rPr>
        <w:t>’</w:t>
      </w:r>
      <w:r w:rsidRPr="00EE4C2A">
        <w:rPr>
          <w:lang w:val="fr-FR"/>
        </w:rPr>
        <w:t>augmenter l</w:t>
      </w:r>
      <w:r w:rsidR="008279BF">
        <w:rPr>
          <w:lang w:val="fr-FR"/>
        </w:rPr>
        <w:t>’</w:t>
      </w:r>
      <w:r w:rsidRPr="00EE4C2A">
        <w:rPr>
          <w:lang w:val="fr-FR"/>
        </w:rPr>
        <w:t>efficacité et la rapidité du traitement des affaires et dossiers de violence fondée sur le genre au niveau des postes de police, en particulier avec la création des tribunaux à procédure accélérée chargés de ce type de violence.</w:t>
      </w:r>
    </w:p>
    <w:p w14:paraId="5FBC5DAD" w14:textId="1005346C" w:rsidR="00046F46" w:rsidRPr="00EE4C2A" w:rsidRDefault="00046F46" w:rsidP="00046F46">
      <w:pPr>
        <w:pStyle w:val="SingleTxtG"/>
        <w:rPr>
          <w:lang w:val="fr-FR"/>
        </w:rPr>
      </w:pPr>
      <w:r w:rsidRPr="00EE4C2A">
        <w:rPr>
          <w:lang w:val="fr-FR"/>
        </w:rPr>
        <w:lastRenderedPageBreak/>
        <w:t>68.</w:t>
      </w:r>
      <w:r w:rsidRPr="00EE4C2A">
        <w:rPr>
          <w:lang w:val="fr-FR"/>
        </w:rPr>
        <w:tab/>
        <w:t>Des bureaux spécialisés ont également été créés au sein de l</w:t>
      </w:r>
      <w:r w:rsidR="008279BF">
        <w:rPr>
          <w:lang w:val="fr-FR"/>
        </w:rPr>
        <w:t>’</w:t>
      </w:r>
      <w:r w:rsidRPr="00EE4C2A">
        <w:rPr>
          <w:lang w:val="fr-FR"/>
        </w:rPr>
        <w:t>Unité de soutien aux victimes afin d</w:t>
      </w:r>
      <w:r w:rsidR="008279BF">
        <w:rPr>
          <w:lang w:val="fr-FR"/>
        </w:rPr>
        <w:t>’</w:t>
      </w:r>
      <w:r w:rsidRPr="00EE4C2A">
        <w:rPr>
          <w:lang w:val="fr-FR"/>
        </w:rPr>
        <w:t>assurer une prestation de services efficace et efficiente : Bureau chargé des violences domestiques, Bureau chargé des violences sexuelles, Bureau chargé de la traite des êtres humains, Bureau chargé de la justice pour mineurs et de la protection de l</w:t>
      </w:r>
      <w:r w:rsidR="008279BF">
        <w:rPr>
          <w:lang w:val="fr-FR"/>
        </w:rPr>
        <w:t>’</w:t>
      </w:r>
      <w:r w:rsidRPr="00EE4C2A">
        <w:rPr>
          <w:lang w:val="fr-FR"/>
        </w:rPr>
        <w:t>enfance. Des agents de l</w:t>
      </w:r>
      <w:r w:rsidR="008279BF">
        <w:rPr>
          <w:lang w:val="fr-FR"/>
        </w:rPr>
        <w:t>’</w:t>
      </w:r>
      <w:r w:rsidRPr="00EE4C2A">
        <w:rPr>
          <w:lang w:val="fr-FR"/>
        </w:rPr>
        <w:t>Unité de soutien aux victimes ont également été affectés aux centres polyvalents créés, afin d</w:t>
      </w:r>
      <w:r w:rsidR="008279BF">
        <w:rPr>
          <w:lang w:val="fr-FR"/>
        </w:rPr>
        <w:t>’</w:t>
      </w:r>
      <w:r w:rsidRPr="00EE4C2A">
        <w:rPr>
          <w:lang w:val="fr-FR"/>
        </w:rPr>
        <w:t>enregistrer et de suivre les cas qui sont signalés. Des formations de renforcement des capacités sont dispensées aux prestataires de services</w:t>
      </w:r>
      <w:r w:rsidR="00C674E1">
        <w:rPr>
          <w:lang w:val="fr-FR"/>
        </w:rPr>
        <w:t xml:space="preserve"> </w:t>
      </w:r>
      <w:r w:rsidRPr="00EE4C2A">
        <w:rPr>
          <w:lang w:val="fr-FR"/>
        </w:rPr>
        <w:t>(équipe multidisciplinaire), notamment aux médecins, infirmières, conseillers psychosociaux, personnels soignants, policiers, procureurs, assistants juridiques et commis aux données.</w:t>
      </w:r>
    </w:p>
    <w:p w14:paraId="5862990D" w14:textId="1E2B3A7B" w:rsidR="00046F46" w:rsidRPr="00EE4C2A" w:rsidRDefault="00046F46" w:rsidP="00046F46">
      <w:pPr>
        <w:pStyle w:val="SingleTxtG"/>
        <w:rPr>
          <w:lang w:val="fr-FR"/>
        </w:rPr>
      </w:pPr>
      <w:r w:rsidRPr="00EE4C2A">
        <w:rPr>
          <w:lang w:val="fr-FR"/>
        </w:rPr>
        <w:t>69.</w:t>
      </w:r>
      <w:r w:rsidRPr="00EE4C2A">
        <w:rPr>
          <w:lang w:val="fr-FR"/>
        </w:rPr>
        <w:tab/>
        <w:t>En outre, l</w:t>
      </w:r>
      <w:r w:rsidR="008279BF">
        <w:rPr>
          <w:lang w:val="fr-FR"/>
        </w:rPr>
        <w:t>’</w:t>
      </w:r>
      <w:r w:rsidRPr="00EE4C2A">
        <w:rPr>
          <w:lang w:val="fr-FR"/>
        </w:rPr>
        <w:t xml:space="preserve">État partie a élaboré un Module de formation consacré à la violence </w:t>
      </w:r>
      <w:r>
        <w:rPr>
          <w:lang w:val="fr-FR"/>
        </w:rPr>
        <w:t>fondée sur le</w:t>
      </w:r>
      <w:r w:rsidRPr="00EE4C2A">
        <w:rPr>
          <w:lang w:val="fr-FR"/>
        </w:rPr>
        <w:t xml:space="preserve"> genre et à la protection de l</w:t>
      </w:r>
      <w:r w:rsidR="008279BF">
        <w:rPr>
          <w:lang w:val="fr-FR"/>
        </w:rPr>
        <w:t>’</w:t>
      </w:r>
      <w:r w:rsidRPr="00EE4C2A">
        <w:rPr>
          <w:lang w:val="fr-FR"/>
        </w:rPr>
        <w:t>enfance, qui sera utilisé dans les écoles de police pour les nouvelles recrues et les agents en service. Le Module de protection de l</w:t>
      </w:r>
      <w:r w:rsidR="008279BF">
        <w:rPr>
          <w:lang w:val="fr-FR"/>
        </w:rPr>
        <w:t>’</w:t>
      </w:r>
      <w:r w:rsidRPr="00EE4C2A">
        <w:rPr>
          <w:lang w:val="fr-FR"/>
        </w:rPr>
        <w:t>enfance sera intégré dans le programme d</w:t>
      </w:r>
      <w:r w:rsidR="008279BF">
        <w:rPr>
          <w:lang w:val="fr-FR"/>
        </w:rPr>
        <w:t>’</w:t>
      </w:r>
      <w:r>
        <w:rPr>
          <w:lang w:val="fr-FR"/>
        </w:rPr>
        <w:t xml:space="preserve">enseignement existant </w:t>
      </w:r>
      <w:r w:rsidRPr="00EE4C2A">
        <w:rPr>
          <w:lang w:val="fr-FR"/>
        </w:rPr>
        <w:t>dispensé aux recrues, personnels en service et autres représentants de la loi.</w:t>
      </w:r>
    </w:p>
    <w:p w14:paraId="59967471"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13 c) de la liste de points établie </w:t>
      </w:r>
      <w:r>
        <w:rPr>
          <w:bCs/>
          <w:lang w:val="fr-FR"/>
        </w:rPr>
        <w:t xml:space="preserve">avant la soumission du rapport </w:t>
      </w:r>
    </w:p>
    <w:p w14:paraId="7BFE0264" w14:textId="5D7F2B87" w:rsidR="00046F46" w:rsidRPr="00EE4C2A" w:rsidRDefault="00046F46" w:rsidP="00046F46">
      <w:pPr>
        <w:pStyle w:val="SingleTxtG"/>
        <w:rPr>
          <w:lang w:val="fr-FR"/>
        </w:rPr>
      </w:pPr>
      <w:r w:rsidRPr="00EE4C2A">
        <w:rPr>
          <w:lang w:val="fr-FR"/>
        </w:rPr>
        <w:t>70.</w:t>
      </w:r>
      <w:r w:rsidRPr="00EE4C2A">
        <w:rPr>
          <w:lang w:val="fr-FR"/>
        </w:rPr>
        <w:tab/>
        <w:t>Concernant l</w:t>
      </w:r>
      <w:r w:rsidR="008279BF">
        <w:rPr>
          <w:lang w:val="fr-FR"/>
        </w:rPr>
        <w:t>’</w:t>
      </w:r>
      <w:r w:rsidRPr="00EE4C2A">
        <w:rPr>
          <w:lang w:val="fr-FR"/>
        </w:rPr>
        <w:t>évolution des comportements, traditions, coutumes et pratiques, l</w:t>
      </w:r>
      <w:r w:rsidR="008279BF">
        <w:rPr>
          <w:lang w:val="fr-FR"/>
        </w:rPr>
        <w:t>’</w:t>
      </w:r>
      <w:r w:rsidRPr="00EE4C2A">
        <w:rPr>
          <w:lang w:val="fr-FR"/>
        </w:rPr>
        <w:t>État partie souhaite rapporter une baisse du nombre de femmes ayant signalé des violences physiques, qui est passé de 43,3 % en 2014 à 36 % en 2018. La collaboration entre l</w:t>
      </w:r>
      <w:r w:rsidR="008279BF">
        <w:rPr>
          <w:lang w:val="fr-FR"/>
        </w:rPr>
        <w:t>’</w:t>
      </w:r>
      <w:r w:rsidRPr="00EE4C2A">
        <w:rPr>
          <w:lang w:val="fr-FR"/>
        </w:rPr>
        <w:t xml:space="preserve">État partie et ses partenaires a permis de renforcer les capacités des services de police, pour permettre à ces derniers de repérer les affaires de violence </w:t>
      </w:r>
      <w:r>
        <w:rPr>
          <w:lang w:val="fr-FR"/>
        </w:rPr>
        <w:t>fondée sur le</w:t>
      </w:r>
      <w:r w:rsidRPr="00EE4C2A">
        <w:rPr>
          <w:lang w:val="fr-FR"/>
        </w:rPr>
        <w:t xml:space="preserve"> genre, de les enregistrer comme telles et d</w:t>
      </w:r>
      <w:r w:rsidR="008279BF">
        <w:rPr>
          <w:lang w:val="fr-FR"/>
        </w:rPr>
        <w:t>’</w:t>
      </w:r>
      <w:r w:rsidRPr="00EE4C2A">
        <w:rPr>
          <w:lang w:val="fr-FR"/>
        </w:rPr>
        <w:t>enquêter en conséquence, au lieu de les traiter comme des voies de fait. Les dossiers sont transmis en tant qu</w:t>
      </w:r>
      <w:r w:rsidR="008279BF">
        <w:rPr>
          <w:lang w:val="fr-FR"/>
        </w:rPr>
        <w:t>’</w:t>
      </w:r>
      <w:r w:rsidRPr="00EE4C2A">
        <w:rPr>
          <w:lang w:val="fr-FR"/>
        </w:rPr>
        <w:t xml:space="preserve">affaires de violence </w:t>
      </w:r>
      <w:r>
        <w:rPr>
          <w:lang w:val="fr-FR"/>
        </w:rPr>
        <w:t>fondée sur le</w:t>
      </w:r>
      <w:r w:rsidRPr="00EE4C2A">
        <w:rPr>
          <w:lang w:val="fr-FR"/>
        </w:rPr>
        <w:t xml:space="preserve"> genre, ce qui permet aux victimes de bénéficier de services adaptés et spécialisés.</w:t>
      </w:r>
    </w:p>
    <w:p w14:paraId="5AAEB362" w14:textId="1877C078" w:rsidR="00046F46" w:rsidRPr="00EE4C2A" w:rsidRDefault="00046F46" w:rsidP="00046F46">
      <w:pPr>
        <w:pStyle w:val="SingleTxtG"/>
        <w:rPr>
          <w:lang w:val="fr-FR"/>
        </w:rPr>
      </w:pPr>
      <w:r w:rsidRPr="00EE4C2A">
        <w:rPr>
          <w:lang w:val="fr-FR"/>
        </w:rPr>
        <w:t>71.</w:t>
      </w:r>
      <w:r w:rsidRPr="00EE4C2A">
        <w:rPr>
          <w:lang w:val="fr-FR"/>
        </w:rPr>
        <w:tab/>
        <w:t>L</w:t>
      </w:r>
      <w:r w:rsidR="008279BF">
        <w:rPr>
          <w:lang w:val="fr-FR"/>
        </w:rPr>
        <w:t>’</w:t>
      </w:r>
      <w:r w:rsidRPr="00EE4C2A">
        <w:rPr>
          <w:lang w:val="fr-FR"/>
        </w:rPr>
        <w:t>État partie souhaite également rapporter que la Direction des services communautaires</w:t>
      </w:r>
      <w:r w:rsidR="00C674E1">
        <w:rPr>
          <w:lang w:val="fr-FR"/>
        </w:rPr>
        <w:t xml:space="preserve"> </w:t>
      </w:r>
      <w:r w:rsidRPr="00EE4C2A">
        <w:rPr>
          <w:lang w:val="fr-FR"/>
        </w:rPr>
        <w:t>(CSD) a mené des campagnes de sensibilisation contre la violence domestique et les abus sexuels sur enfants, dans les communautés et en s</w:t>
      </w:r>
      <w:r w:rsidR="008279BF">
        <w:rPr>
          <w:lang w:val="fr-FR"/>
        </w:rPr>
        <w:t>’</w:t>
      </w:r>
      <w:r w:rsidRPr="00EE4C2A">
        <w:rPr>
          <w:lang w:val="fr-FR"/>
        </w:rPr>
        <w:t xml:space="preserve">appuyant sur les médias. Grâce à des programmes de sensibilisation et de participation des enfants, ces derniers ont été encouragés à signaler les abus dont ils sont victimes ou ont connaissance. Les chefs traditionnels ont contribué secondairement à la campagne contre la violence </w:t>
      </w:r>
      <w:r>
        <w:rPr>
          <w:lang w:val="fr-FR"/>
        </w:rPr>
        <w:t xml:space="preserve">fondée sur le </w:t>
      </w:r>
      <w:r w:rsidRPr="00EE4C2A">
        <w:rPr>
          <w:lang w:val="fr-FR"/>
        </w:rPr>
        <w:t>genre, contribution qui s</w:t>
      </w:r>
      <w:r w:rsidR="008279BF">
        <w:rPr>
          <w:lang w:val="fr-FR"/>
        </w:rPr>
        <w:t>’</w:t>
      </w:r>
      <w:r w:rsidRPr="00EE4C2A">
        <w:rPr>
          <w:lang w:val="fr-FR"/>
        </w:rPr>
        <w:t>est traduite par l</w:t>
      </w:r>
      <w:r w:rsidR="008279BF">
        <w:rPr>
          <w:lang w:val="fr-FR"/>
        </w:rPr>
        <w:t>’</w:t>
      </w:r>
      <w:r w:rsidRPr="00EE4C2A">
        <w:rPr>
          <w:lang w:val="fr-FR"/>
        </w:rPr>
        <w:t>élaboration de lois et règlements traditionnels contre ce type de violence.</w:t>
      </w:r>
    </w:p>
    <w:p w14:paraId="7B24969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13 d) de la liste de points établie </w:t>
      </w:r>
      <w:r>
        <w:rPr>
          <w:bCs/>
          <w:lang w:val="fr-FR"/>
        </w:rPr>
        <w:t xml:space="preserve">avant la soumission du rapport </w:t>
      </w:r>
    </w:p>
    <w:p w14:paraId="45B1C61E" w14:textId="455DA23C" w:rsidR="00046F46" w:rsidRPr="00EE4C2A" w:rsidRDefault="00046F46" w:rsidP="00046F46">
      <w:pPr>
        <w:pStyle w:val="SingleTxtG"/>
        <w:rPr>
          <w:lang w:val="fr-FR"/>
        </w:rPr>
      </w:pPr>
      <w:r w:rsidRPr="00EE4C2A">
        <w:rPr>
          <w:lang w:val="fr-FR"/>
        </w:rPr>
        <w:t>72.</w:t>
      </w:r>
      <w:r w:rsidRPr="00EE4C2A">
        <w:rPr>
          <w:lang w:val="fr-FR"/>
        </w:rPr>
        <w:tab/>
        <w:t>Dans le cadre de la lutte contre le cyberharcèlement et l</w:t>
      </w:r>
      <w:r w:rsidR="008279BF">
        <w:rPr>
          <w:lang w:val="fr-FR"/>
        </w:rPr>
        <w:t>’</w:t>
      </w:r>
      <w:r w:rsidRPr="00EE4C2A">
        <w:rPr>
          <w:lang w:val="fr-FR"/>
        </w:rPr>
        <w:t>exploitation sexuelle en ligne, une Unité de lutte contre la cybercriminalité a été créée au sein du Département médico-légal de la police zambienne</w:t>
      </w:r>
      <w:r>
        <w:rPr>
          <w:lang w:val="fr-FR"/>
        </w:rPr>
        <w:t>,</w:t>
      </w:r>
      <w:r w:rsidRPr="00EE4C2A">
        <w:rPr>
          <w:lang w:val="fr-FR"/>
        </w:rPr>
        <w:t xml:space="preserve"> et des agents sont formés à l</w:t>
      </w:r>
      <w:r w:rsidR="008279BF">
        <w:rPr>
          <w:lang w:val="fr-FR"/>
        </w:rPr>
        <w:t>’</w:t>
      </w:r>
      <w:r w:rsidRPr="00EE4C2A">
        <w:rPr>
          <w:lang w:val="fr-FR"/>
        </w:rPr>
        <w:t>application du droit international relatif à l</w:t>
      </w:r>
      <w:r w:rsidR="008279BF">
        <w:rPr>
          <w:lang w:val="fr-FR"/>
        </w:rPr>
        <w:t>’</w:t>
      </w:r>
      <w:r w:rsidRPr="00EE4C2A">
        <w:rPr>
          <w:lang w:val="fr-FR"/>
        </w:rPr>
        <w:t>exploitation sexuelle des enfants en ligne. En outre, la Stratégie nationale de protection en ligne des enfants</w:t>
      </w:r>
      <w:r w:rsidR="00C674E1">
        <w:rPr>
          <w:lang w:val="fr-FR"/>
        </w:rPr>
        <w:t xml:space="preserve"> </w:t>
      </w:r>
      <w:r w:rsidRPr="00EE4C2A">
        <w:rPr>
          <w:lang w:val="fr-FR"/>
        </w:rPr>
        <w:t>(2020) a été élaborée et lancée. À la suite de la résolution 179 de l</w:t>
      </w:r>
      <w:r w:rsidR="008279BF">
        <w:rPr>
          <w:lang w:val="fr-FR"/>
        </w:rPr>
        <w:t>’</w:t>
      </w:r>
      <w:r w:rsidRPr="00EE4C2A">
        <w:rPr>
          <w:lang w:val="fr-FR"/>
        </w:rPr>
        <w:t>Union internationale des télécommunications sur la protection en ligne des enfants, l</w:t>
      </w:r>
      <w:r w:rsidR="008279BF">
        <w:rPr>
          <w:lang w:val="fr-FR"/>
        </w:rPr>
        <w:t>’</w:t>
      </w:r>
      <w:r w:rsidRPr="00EE4C2A">
        <w:rPr>
          <w:lang w:val="fr-FR"/>
        </w:rPr>
        <w:t>État partie a signé un accord avec la fondation Internet Watch Foundation (IWF), qui vise à renforcer la capacité du pays à réduire les risques auxquels les enfants sont exposés en ligne.</w:t>
      </w:r>
    </w:p>
    <w:p w14:paraId="500A4DA1" w14:textId="1B5CEA61" w:rsidR="00046F46" w:rsidRPr="00EE4C2A" w:rsidRDefault="00046F46" w:rsidP="00046F46">
      <w:pPr>
        <w:pStyle w:val="SingleTxtG"/>
        <w:rPr>
          <w:lang w:val="fr-FR"/>
        </w:rPr>
      </w:pPr>
      <w:r w:rsidRPr="00EE4C2A">
        <w:rPr>
          <w:lang w:val="fr-FR"/>
        </w:rPr>
        <w:t>73.</w:t>
      </w:r>
      <w:r w:rsidRPr="00EE4C2A">
        <w:rPr>
          <w:lang w:val="fr-FR"/>
        </w:rPr>
        <w:tab/>
        <w:t>L</w:t>
      </w:r>
      <w:r w:rsidR="008279BF">
        <w:rPr>
          <w:lang w:val="fr-FR"/>
        </w:rPr>
        <w:t>’</w:t>
      </w:r>
      <w:r w:rsidRPr="00EE4C2A">
        <w:rPr>
          <w:lang w:val="fr-FR"/>
        </w:rPr>
        <w:t>État partie, par l</w:t>
      </w:r>
      <w:r w:rsidR="008279BF">
        <w:rPr>
          <w:lang w:val="fr-FR"/>
        </w:rPr>
        <w:t>’</w:t>
      </w:r>
      <w:r w:rsidRPr="00EE4C2A">
        <w:rPr>
          <w:lang w:val="fr-FR"/>
        </w:rPr>
        <w:t>intermédiaire de l</w:t>
      </w:r>
      <w:r w:rsidR="008279BF">
        <w:rPr>
          <w:lang w:val="fr-FR"/>
        </w:rPr>
        <w:t>’</w:t>
      </w:r>
      <w:r w:rsidRPr="00EE4C2A">
        <w:rPr>
          <w:lang w:val="fr-FR"/>
        </w:rPr>
        <w:t>Institut de la statistique zambien, a mené des enquêtes nationales sur les technologies de l</w:t>
      </w:r>
      <w:r w:rsidR="008279BF">
        <w:rPr>
          <w:lang w:val="fr-FR"/>
        </w:rPr>
        <w:t>’</w:t>
      </w:r>
      <w:r w:rsidRPr="00EE4C2A">
        <w:rPr>
          <w:lang w:val="fr-FR"/>
        </w:rPr>
        <w:t>information et des communications (TIC), notamment sur la protection en ligne des enfants. Selon l</w:t>
      </w:r>
      <w:r w:rsidR="008279BF">
        <w:rPr>
          <w:lang w:val="fr-FR"/>
        </w:rPr>
        <w:t>’</w:t>
      </w:r>
      <w:r w:rsidRPr="00EE4C2A">
        <w:rPr>
          <w:lang w:val="fr-FR"/>
        </w:rPr>
        <w:t>enquête sur les TIC réalisée en 2018, les taux de sensibilisation et d</w:t>
      </w:r>
      <w:r w:rsidR="008279BF">
        <w:rPr>
          <w:lang w:val="fr-FR"/>
        </w:rPr>
        <w:t>’</w:t>
      </w:r>
      <w:r w:rsidRPr="00EE4C2A">
        <w:rPr>
          <w:lang w:val="fr-FR"/>
        </w:rPr>
        <w:t xml:space="preserve">adoption de stratégies de réduction des risques restaient faibles : seuls 34,1% des chefs de ménage avaient chargé un membre </w:t>
      </w:r>
      <w:r>
        <w:rPr>
          <w:lang w:val="fr-FR"/>
        </w:rPr>
        <w:t>de leur</w:t>
      </w:r>
      <w:r w:rsidRPr="00EE4C2A">
        <w:rPr>
          <w:lang w:val="fr-FR"/>
        </w:rPr>
        <w:t xml:space="preserve"> ménage de surveiller les activités des enfants en ligne. Les principaux risques en ligne sont liés aux fausses nouvelles</w:t>
      </w:r>
      <w:r w:rsidR="00C674E1">
        <w:rPr>
          <w:lang w:val="fr-FR"/>
        </w:rPr>
        <w:t xml:space="preserve"> </w:t>
      </w:r>
      <w:r w:rsidRPr="00EE4C2A">
        <w:rPr>
          <w:lang w:val="fr-FR"/>
        </w:rPr>
        <w:t>(« fake news ») et à l</w:t>
      </w:r>
      <w:r w:rsidR="008279BF">
        <w:rPr>
          <w:lang w:val="fr-FR"/>
        </w:rPr>
        <w:t>’</w:t>
      </w:r>
      <w:r w:rsidRPr="00EE4C2A">
        <w:rPr>
          <w:lang w:val="fr-FR"/>
        </w:rPr>
        <w:t>exposition à la pornographie.</w:t>
      </w:r>
    </w:p>
    <w:p w14:paraId="3651066F" w14:textId="61A54CEA" w:rsidR="00046F46" w:rsidRPr="00EE4C2A" w:rsidRDefault="00046F46" w:rsidP="00046F46">
      <w:pPr>
        <w:pStyle w:val="SingleTxtG"/>
        <w:rPr>
          <w:lang w:val="fr-FR"/>
        </w:rPr>
      </w:pPr>
      <w:r w:rsidRPr="00EE4C2A">
        <w:rPr>
          <w:lang w:val="fr-FR"/>
        </w:rPr>
        <w:t>74.</w:t>
      </w:r>
      <w:r w:rsidRPr="00EE4C2A">
        <w:rPr>
          <w:lang w:val="fr-FR"/>
        </w:rPr>
        <w:tab/>
        <w:t>Il ressort de l</w:t>
      </w:r>
      <w:r w:rsidR="008279BF">
        <w:rPr>
          <w:lang w:val="fr-FR"/>
        </w:rPr>
        <w:t>’</w:t>
      </w:r>
      <w:r w:rsidRPr="00EE4C2A">
        <w:rPr>
          <w:lang w:val="fr-FR"/>
        </w:rPr>
        <w:t xml:space="preserve">enquête que des enfants de </w:t>
      </w:r>
      <w:r w:rsidR="00C674E1">
        <w:rPr>
          <w:lang w:val="fr-FR"/>
        </w:rPr>
        <w:t xml:space="preserve">5 </w:t>
      </w:r>
      <w:r w:rsidRPr="00EE4C2A">
        <w:rPr>
          <w:lang w:val="fr-FR"/>
        </w:rPr>
        <w:t>ans à peine ont accès à Internet sans surveillance parentale. Conscient des risques et défis liés à l</w:t>
      </w:r>
      <w:r w:rsidR="008279BF">
        <w:rPr>
          <w:lang w:val="fr-FR"/>
        </w:rPr>
        <w:t>’</w:t>
      </w:r>
      <w:r w:rsidRPr="00EE4C2A">
        <w:rPr>
          <w:lang w:val="fr-FR"/>
        </w:rPr>
        <w:t>utilisation d</w:t>
      </w:r>
      <w:r w:rsidR="008279BF">
        <w:rPr>
          <w:lang w:val="fr-FR"/>
        </w:rPr>
        <w:t>’</w:t>
      </w:r>
      <w:r w:rsidRPr="00EE4C2A">
        <w:rPr>
          <w:lang w:val="fr-FR"/>
        </w:rPr>
        <w:t>Internet, l</w:t>
      </w:r>
      <w:r w:rsidR="008279BF">
        <w:rPr>
          <w:lang w:val="fr-FR"/>
        </w:rPr>
        <w:t>’</w:t>
      </w:r>
      <w:r w:rsidRPr="00EE4C2A">
        <w:rPr>
          <w:lang w:val="fr-FR"/>
        </w:rPr>
        <w:t>État partie a conçu une Boîte à outils sur la protection en ligne de l</w:t>
      </w:r>
      <w:r w:rsidR="008279BF">
        <w:rPr>
          <w:lang w:val="fr-FR"/>
        </w:rPr>
        <w:t>’</w:t>
      </w:r>
      <w:r w:rsidRPr="00EE4C2A">
        <w:rPr>
          <w:lang w:val="fr-FR"/>
        </w:rPr>
        <w:t>enfant, destinée à informer les parents et éducateurs sur les systèmes de protection en ligne et à les aider à prendre des décisions éclairées en la matière.</w:t>
      </w:r>
    </w:p>
    <w:p w14:paraId="5D70AE35"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14 a) de la liste de points établie </w:t>
      </w:r>
      <w:r>
        <w:rPr>
          <w:bCs/>
          <w:lang w:val="fr-FR"/>
        </w:rPr>
        <w:t xml:space="preserve">avant la soumission du rapport </w:t>
      </w:r>
    </w:p>
    <w:p w14:paraId="46D817F2" w14:textId="28FBF26B" w:rsidR="00046F46" w:rsidRPr="00EE4C2A" w:rsidRDefault="00046F46" w:rsidP="00046F46">
      <w:pPr>
        <w:pStyle w:val="SingleTxtG"/>
        <w:rPr>
          <w:lang w:val="fr-FR"/>
        </w:rPr>
      </w:pPr>
      <w:bookmarkStart w:id="22" w:name="_Hlk61526698"/>
      <w:r w:rsidRPr="00EE4C2A">
        <w:rPr>
          <w:lang w:val="fr-FR"/>
        </w:rPr>
        <w:t>75.</w:t>
      </w:r>
      <w:r w:rsidRPr="00EE4C2A">
        <w:rPr>
          <w:lang w:val="fr-FR"/>
        </w:rPr>
        <w:tab/>
        <w:t>Afin de renforcer et d</w:t>
      </w:r>
      <w:r w:rsidR="008279BF">
        <w:rPr>
          <w:lang w:val="fr-FR"/>
        </w:rPr>
        <w:t>’</w:t>
      </w:r>
      <w:r w:rsidRPr="00EE4C2A">
        <w:rPr>
          <w:lang w:val="fr-FR"/>
        </w:rPr>
        <w:t>améliorer l</w:t>
      </w:r>
      <w:r w:rsidR="008279BF">
        <w:rPr>
          <w:lang w:val="fr-FR"/>
        </w:rPr>
        <w:t>’</w:t>
      </w:r>
      <w:r w:rsidRPr="00EE4C2A">
        <w:rPr>
          <w:lang w:val="fr-FR"/>
        </w:rPr>
        <w:t>accès aux services de soutien, de prévention et d</w:t>
      </w:r>
      <w:r w:rsidR="008279BF">
        <w:rPr>
          <w:lang w:val="fr-FR"/>
        </w:rPr>
        <w:t>’</w:t>
      </w:r>
      <w:r w:rsidRPr="00EE4C2A">
        <w:rPr>
          <w:lang w:val="fr-FR"/>
        </w:rPr>
        <w:t>intervention pour les enfants victimes, l</w:t>
      </w:r>
      <w:r w:rsidR="008279BF">
        <w:rPr>
          <w:lang w:val="fr-FR"/>
        </w:rPr>
        <w:t>’</w:t>
      </w:r>
      <w:r w:rsidRPr="00EE4C2A">
        <w:rPr>
          <w:lang w:val="fr-FR"/>
        </w:rPr>
        <w:t>État partie a élaboré un Manuel sur le mécanisme national d</w:t>
      </w:r>
      <w:r w:rsidR="008279BF">
        <w:rPr>
          <w:lang w:val="fr-FR"/>
        </w:rPr>
        <w:t>’</w:t>
      </w:r>
      <w:r w:rsidRPr="00EE4C2A">
        <w:rPr>
          <w:lang w:val="fr-FR"/>
        </w:rPr>
        <w:t xml:space="preserve">orientation en matière de violences faites aux enfants et de violence </w:t>
      </w:r>
      <w:r>
        <w:rPr>
          <w:lang w:val="fr-FR"/>
        </w:rPr>
        <w:t xml:space="preserve">fondée sur le </w:t>
      </w:r>
      <w:r w:rsidRPr="00EE4C2A">
        <w:rPr>
          <w:lang w:val="fr-FR"/>
        </w:rPr>
        <w:t xml:space="preserve">genre, qui fournit des directives pour le traitement et le signalement de ces </w:t>
      </w:r>
      <w:r>
        <w:rPr>
          <w:lang w:val="fr-FR"/>
        </w:rPr>
        <w:t>types de violences</w:t>
      </w:r>
      <w:r w:rsidRPr="00EE4C2A">
        <w:rPr>
          <w:lang w:val="fr-FR"/>
        </w:rPr>
        <w:t>. Des agents de l</w:t>
      </w:r>
      <w:r w:rsidR="008279BF">
        <w:rPr>
          <w:lang w:val="fr-FR"/>
        </w:rPr>
        <w:t>’</w:t>
      </w:r>
      <w:r w:rsidRPr="00EE4C2A">
        <w:rPr>
          <w:lang w:val="fr-FR"/>
        </w:rPr>
        <w:t>Unité d</w:t>
      </w:r>
      <w:r w:rsidR="008279BF">
        <w:rPr>
          <w:lang w:val="fr-FR"/>
        </w:rPr>
        <w:t>’</w:t>
      </w:r>
      <w:r w:rsidRPr="00EE4C2A">
        <w:rPr>
          <w:lang w:val="fr-FR"/>
        </w:rPr>
        <w:t>aide aux victimes sont affectés à chaque centre polyvalent où sont regroupés d</w:t>
      </w:r>
      <w:r w:rsidR="008279BF">
        <w:rPr>
          <w:lang w:val="fr-FR"/>
        </w:rPr>
        <w:t>’</w:t>
      </w:r>
      <w:r w:rsidRPr="00EE4C2A">
        <w:rPr>
          <w:lang w:val="fr-FR"/>
        </w:rPr>
        <w:t>autres prestataires de services</w:t>
      </w:r>
      <w:r w:rsidR="00C674E1">
        <w:rPr>
          <w:lang w:val="fr-FR"/>
        </w:rPr>
        <w:t xml:space="preserve"> </w:t>
      </w:r>
      <w:r w:rsidRPr="00EE4C2A">
        <w:rPr>
          <w:lang w:val="fr-FR"/>
        </w:rPr>
        <w:t xml:space="preserve">(conseillers, médecins, etc.) afin de fournir une réponse coordonnée aux victimes « sous un même toit ». Le secteur de la santé est bien placé pour intervenir, car les enfants aux prises avec des problèmes </w:t>
      </w:r>
      <w:r w:rsidR="00C674E1">
        <w:rPr>
          <w:lang w:val="fr-FR"/>
        </w:rPr>
        <w:t xml:space="preserve">de </w:t>
      </w:r>
      <w:r w:rsidRPr="00EE4C2A">
        <w:rPr>
          <w:lang w:val="fr-FR"/>
        </w:rPr>
        <w:t>violence sont davantage susceptibles d</w:t>
      </w:r>
      <w:r w:rsidR="008279BF">
        <w:rPr>
          <w:lang w:val="fr-FR"/>
        </w:rPr>
        <w:t>’</w:t>
      </w:r>
      <w:r w:rsidRPr="00EE4C2A">
        <w:rPr>
          <w:lang w:val="fr-FR"/>
        </w:rPr>
        <w:t>accorder leur confiance aux personnels de santé pour leur signaler des maltraitances et utiliser leurs services, y compris les services de santé mentale, les services d</w:t>
      </w:r>
      <w:r w:rsidR="008279BF">
        <w:rPr>
          <w:lang w:val="fr-FR"/>
        </w:rPr>
        <w:t>’</w:t>
      </w:r>
      <w:r w:rsidRPr="00EE4C2A">
        <w:rPr>
          <w:lang w:val="fr-FR"/>
        </w:rPr>
        <w:t>urgence et les soins de santé primaires.</w:t>
      </w:r>
      <w:bookmarkEnd w:id="22"/>
    </w:p>
    <w:p w14:paraId="6B1B7FF2" w14:textId="7B3E784D" w:rsidR="00046F46" w:rsidRPr="00EE4C2A" w:rsidRDefault="00046F46" w:rsidP="00046F46">
      <w:pPr>
        <w:pStyle w:val="SingleTxtG"/>
        <w:rPr>
          <w:lang w:val="fr-FR"/>
        </w:rPr>
      </w:pPr>
      <w:r w:rsidRPr="00EE4C2A">
        <w:rPr>
          <w:lang w:val="fr-FR"/>
        </w:rPr>
        <w:t>76.</w:t>
      </w:r>
      <w:r w:rsidRPr="00EE4C2A">
        <w:rPr>
          <w:lang w:val="fr-FR"/>
        </w:rPr>
        <w:tab/>
        <w:t>À cet effet, des directives ont été communiquées à tous les établissements de santé pour qu</w:t>
      </w:r>
      <w:r w:rsidR="008279BF">
        <w:rPr>
          <w:lang w:val="fr-FR"/>
        </w:rPr>
        <w:t>’</w:t>
      </w:r>
      <w:r w:rsidRPr="00EE4C2A">
        <w:rPr>
          <w:lang w:val="fr-FR"/>
        </w:rPr>
        <w:t>ils proposent des services de soutien, de prévention et d</w:t>
      </w:r>
      <w:r w:rsidR="008279BF">
        <w:rPr>
          <w:lang w:val="fr-FR"/>
        </w:rPr>
        <w:t>’</w:t>
      </w:r>
      <w:r w:rsidRPr="00EE4C2A">
        <w:rPr>
          <w:lang w:val="fr-FR"/>
        </w:rPr>
        <w:t>intervention aux enfants victimes de maltraitances, en particulier d</w:t>
      </w:r>
      <w:r w:rsidR="008279BF">
        <w:rPr>
          <w:lang w:val="fr-FR"/>
        </w:rPr>
        <w:t>’</w:t>
      </w:r>
      <w:r w:rsidRPr="00EE4C2A">
        <w:rPr>
          <w:lang w:val="fr-FR"/>
        </w:rPr>
        <w:t xml:space="preserve">abus sexuels, de violence </w:t>
      </w:r>
      <w:r>
        <w:rPr>
          <w:lang w:val="fr-FR"/>
        </w:rPr>
        <w:t>fondée sur le</w:t>
      </w:r>
      <w:r w:rsidRPr="00EE4C2A">
        <w:rPr>
          <w:lang w:val="fr-FR"/>
        </w:rPr>
        <w:t xml:space="preserve"> genre et de violence domestique, et certains établissements ont d</w:t>
      </w:r>
      <w:r w:rsidR="008279BF">
        <w:rPr>
          <w:lang w:val="fr-FR"/>
        </w:rPr>
        <w:t>’</w:t>
      </w:r>
      <w:r w:rsidRPr="00EE4C2A">
        <w:rPr>
          <w:lang w:val="fr-FR"/>
        </w:rPr>
        <w:t>ailleurs le statut de centre polyvalent. Les agents de l</w:t>
      </w:r>
      <w:r w:rsidR="008279BF">
        <w:rPr>
          <w:lang w:val="fr-FR"/>
        </w:rPr>
        <w:t>’</w:t>
      </w:r>
      <w:r w:rsidRPr="00EE4C2A">
        <w:rPr>
          <w:lang w:val="fr-FR"/>
        </w:rPr>
        <w:t>Unité de protection de l</w:t>
      </w:r>
      <w:r w:rsidR="008279BF">
        <w:rPr>
          <w:lang w:val="fr-FR"/>
        </w:rPr>
        <w:t>’</w:t>
      </w:r>
      <w:r w:rsidRPr="00EE4C2A">
        <w:rPr>
          <w:lang w:val="fr-FR"/>
        </w:rPr>
        <w:t>enfance sont rattachés au Département des services sociaux pour coordonner, avec les travailleurs sociaux, la mise à disposition de lieux sûrs ou de foyers pour les victimes de violence fondée sur le genre et les enfants susceptibles de nécessiter une prise en charge lorsque des enquêtes et procédures judiciaires sont en cours.</w:t>
      </w:r>
    </w:p>
    <w:p w14:paraId="1908495F" w14:textId="7B0CB899" w:rsidR="00046F46" w:rsidRPr="00EE4C2A" w:rsidRDefault="00046F46" w:rsidP="00046F46">
      <w:pPr>
        <w:pStyle w:val="SingleTxtG"/>
        <w:rPr>
          <w:lang w:val="fr-FR"/>
        </w:rPr>
      </w:pPr>
      <w:r w:rsidRPr="00EE4C2A">
        <w:rPr>
          <w:lang w:val="fr-FR"/>
        </w:rPr>
        <w:t>77.</w:t>
      </w:r>
      <w:r w:rsidRPr="00EE4C2A">
        <w:rPr>
          <w:lang w:val="fr-FR"/>
        </w:rPr>
        <w:tab/>
        <w:t>L</w:t>
      </w:r>
      <w:r w:rsidR="008279BF">
        <w:rPr>
          <w:lang w:val="fr-FR"/>
        </w:rPr>
        <w:t>’</w:t>
      </w:r>
      <w:r w:rsidRPr="00EE4C2A">
        <w:rPr>
          <w:lang w:val="fr-FR"/>
        </w:rPr>
        <w:t>État partie a élaboré un Plan national de prévention et de lutte contre les violences faites aux enfants</w:t>
      </w:r>
      <w:r w:rsidR="00C674E1">
        <w:rPr>
          <w:lang w:val="fr-FR"/>
        </w:rPr>
        <w:t xml:space="preserve"> </w:t>
      </w:r>
      <w:r w:rsidRPr="00EE4C2A">
        <w:rPr>
          <w:lang w:val="fr-FR"/>
        </w:rPr>
        <w:t>(2021-2025), fondé sur le modèle des stratégies INSPIRE. En outre, un service d</w:t>
      </w:r>
      <w:r w:rsidR="008279BF">
        <w:rPr>
          <w:lang w:val="fr-FR"/>
        </w:rPr>
        <w:t>’</w:t>
      </w:r>
      <w:r w:rsidRPr="00EE4C2A">
        <w:rPr>
          <w:lang w:val="fr-FR"/>
        </w:rPr>
        <w:t>assistance téléphonique a été mis en place pour permettre aux enfants victimes de maltraitances de signaler celles-ci et d</w:t>
      </w:r>
      <w:r w:rsidR="008279BF">
        <w:rPr>
          <w:lang w:val="fr-FR"/>
        </w:rPr>
        <w:t>’</w:t>
      </w:r>
      <w:r w:rsidRPr="00EE4C2A">
        <w:rPr>
          <w:lang w:val="fr-FR"/>
        </w:rPr>
        <w:t>accéder aux services dans un environnement adapté aux mineurs.</w:t>
      </w:r>
    </w:p>
    <w:p w14:paraId="6DF38F0F"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14 b) de la liste de points établie </w:t>
      </w:r>
      <w:r>
        <w:rPr>
          <w:bCs/>
          <w:lang w:val="fr-FR"/>
        </w:rPr>
        <w:t xml:space="preserve">avant la soumission du rapport </w:t>
      </w:r>
    </w:p>
    <w:p w14:paraId="33C43294" w14:textId="080C5DAD" w:rsidR="00046F46" w:rsidRPr="00EE4C2A" w:rsidRDefault="00046F46" w:rsidP="00046F46">
      <w:pPr>
        <w:pStyle w:val="SingleTxtG"/>
        <w:rPr>
          <w:lang w:val="fr-FR"/>
        </w:rPr>
      </w:pPr>
      <w:r w:rsidRPr="00EE4C2A">
        <w:rPr>
          <w:lang w:val="fr-FR"/>
        </w:rPr>
        <w:t>78.</w:t>
      </w:r>
      <w:r w:rsidRPr="00EE4C2A">
        <w:rPr>
          <w:lang w:val="fr-FR"/>
        </w:rPr>
        <w:tab/>
        <w:t>En ce qui concerne le renforcement des mécanismes nationaux et de leur financement afin d</w:t>
      </w:r>
      <w:r w:rsidR="008279BF">
        <w:rPr>
          <w:lang w:val="fr-FR"/>
        </w:rPr>
        <w:t>’</w:t>
      </w:r>
      <w:r w:rsidRPr="00EE4C2A">
        <w:rPr>
          <w:lang w:val="fr-FR"/>
        </w:rPr>
        <w:t>apporter une réponse coordonnée à la violence fondée sur le genre, l</w:t>
      </w:r>
      <w:r w:rsidR="008279BF">
        <w:rPr>
          <w:lang w:val="fr-FR"/>
        </w:rPr>
        <w:t>’</w:t>
      </w:r>
      <w:r w:rsidRPr="00EE4C2A">
        <w:rPr>
          <w:lang w:val="fr-FR"/>
        </w:rPr>
        <w:t xml:space="preserve">État partie souhaite rapporter que les Directives nationales pour la prise en charge multidisciplinaire des victimes de violence </w:t>
      </w:r>
      <w:r>
        <w:rPr>
          <w:lang w:val="fr-FR"/>
        </w:rPr>
        <w:t xml:space="preserve">fondée sur le </w:t>
      </w:r>
      <w:r w:rsidRPr="00EE4C2A">
        <w:rPr>
          <w:lang w:val="fr-FR"/>
        </w:rPr>
        <w:t>genre ont été élaborées et encadrent l</w:t>
      </w:r>
      <w:r w:rsidR="008279BF">
        <w:rPr>
          <w:lang w:val="fr-FR"/>
        </w:rPr>
        <w:t>’</w:t>
      </w:r>
      <w:r w:rsidRPr="00EE4C2A">
        <w:rPr>
          <w:lang w:val="fr-FR"/>
        </w:rPr>
        <w:t>action des services de police et de justice.</w:t>
      </w:r>
    </w:p>
    <w:p w14:paraId="08D5229F"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14 c) de la liste de points établie </w:t>
      </w:r>
      <w:r>
        <w:rPr>
          <w:bCs/>
          <w:lang w:val="fr-FR"/>
        </w:rPr>
        <w:t xml:space="preserve">avant la soumission du rapport </w:t>
      </w:r>
    </w:p>
    <w:p w14:paraId="739DF2D8" w14:textId="369384B6" w:rsidR="00046F46" w:rsidRPr="00EE4C2A" w:rsidRDefault="00046F46" w:rsidP="00046F46">
      <w:pPr>
        <w:pStyle w:val="SingleTxtG"/>
        <w:rPr>
          <w:lang w:val="fr-FR"/>
        </w:rPr>
      </w:pPr>
      <w:r w:rsidRPr="00EE4C2A">
        <w:rPr>
          <w:lang w:val="fr-FR"/>
        </w:rPr>
        <w:t>79.</w:t>
      </w:r>
      <w:r w:rsidRPr="00EE4C2A">
        <w:rPr>
          <w:lang w:val="fr-FR"/>
        </w:rPr>
        <w:tab/>
        <w:t>En ce qui concerne l</w:t>
      </w:r>
      <w:r w:rsidR="008279BF">
        <w:rPr>
          <w:lang w:val="fr-FR"/>
        </w:rPr>
        <w:t>’</w:t>
      </w:r>
      <w:r w:rsidRPr="00EE4C2A">
        <w:rPr>
          <w:lang w:val="fr-FR"/>
        </w:rPr>
        <w:t>adoption et la mise en œuvre de directives, protocoles et mécanismes d</w:t>
      </w:r>
      <w:r w:rsidR="008279BF">
        <w:rPr>
          <w:lang w:val="fr-FR"/>
        </w:rPr>
        <w:t>’</w:t>
      </w:r>
      <w:r w:rsidRPr="00EE4C2A">
        <w:rPr>
          <w:lang w:val="fr-FR"/>
        </w:rPr>
        <w:t>orientation, l</w:t>
      </w:r>
      <w:r w:rsidR="008279BF">
        <w:rPr>
          <w:lang w:val="fr-FR"/>
        </w:rPr>
        <w:t>’</w:t>
      </w:r>
      <w:r w:rsidRPr="00EE4C2A">
        <w:rPr>
          <w:lang w:val="fr-FR"/>
        </w:rPr>
        <w:t xml:space="preserve">État partie souhaite rapporter que des efforts ont été déployés pour protéger les droits des enfants victimes ou témoins de violences. Les Directives nationales pour la prise en charge multidisciplinaire des victimes de violence </w:t>
      </w:r>
      <w:r>
        <w:rPr>
          <w:lang w:val="fr-FR"/>
        </w:rPr>
        <w:t xml:space="preserve">fondée sur le </w:t>
      </w:r>
      <w:r w:rsidRPr="00EE4C2A">
        <w:rPr>
          <w:lang w:val="fr-FR"/>
        </w:rPr>
        <w:t>genre ont été adoptées. Leur principe de base est que les personnels des services de police, de santé, de justice, paralégaux et sociaux doivent travailler ensemble pour traiter toutes les affaires de violence fondée sur le genre et en assurer le suivi, y compris celles concernant des enfants victimes ou témoins de violence.</w:t>
      </w:r>
    </w:p>
    <w:p w14:paraId="0D7A3472"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14 d) de la liste de points établie </w:t>
      </w:r>
      <w:r>
        <w:rPr>
          <w:bCs/>
          <w:lang w:val="fr-FR"/>
        </w:rPr>
        <w:t xml:space="preserve">avant la soumission du rapport </w:t>
      </w:r>
    </w:p>
    <w:p w14:paraId="243AA327" w14:textId="04B46771" w:rsidR="00046F46" w:rsidRPr="00EE4C2A" w:rsidRDefault="00046F46" w:rsidP="00046F46">
      <w:pPr>
        <w:pStyle w:val="SingleTxtG"/>
        <w:rPr>
          <w:lang w:val="fr-FR"/>
        </w:rPr>
      </w:pPr>
      <w:r w:rsidRPr="00EE4C2A">
        <w:rPr>
          <w:lang w:val="fr-FR"/>
        </w:rPr>
        <w:t>80.</w:t>
      </w:r>
      <w:r w:rsidRPr="00EE4C2A">
        <w:rPr>
          <w:lang w:val="fr-FR"/>
        </w:rPr>
        <w:tab/>
        <w:t>En ce qui concerne le financement du service Childline, l</w:t>
      </w:r>
      <w:r w:rsidR="008279BF">
        <w:rPr>
          <w:lang w:val="fr-FR"/>
        </w:rPr>
        <w:t>’</w:t>
      </w:r>
      <w:r w:rsidRPr="00EE4C2A">
        <w:rPr>
          <w:lang w:val="fr-FR"/>
        </w:rPr>
        <w:t>État partie souhaite rapporter que Childline fournit des services de soutien psychologique, de conseils et d</w:t>
      </w:r>
      <w:r w:rsidR="008279BF">
        <w:rPr>
          <w:lang w:val="fr-FR"/>
        </w:rPr>
        <w:t>’</w:t>
      </w:r>
      <w:r w:rsidRPr="00EE4C2A">
        <w:rPr>
          <w:lang w:val="fr-FR"/>
        </w:rPr>
        <w:t>orientation sur diverses questions sociales et de santé touchant les enfants. Il gère une ligne d</w:t>
      </w:r>
      <w:r w:rsidR="008279BF">
        <w:rPr>
          <w:lang w:val="fr-FR"/>
        </w:rPr>
        <w:t>’</w:t>
      </w:r>
      <w:r w:rsidRPr="00EE4C2A">
        <w:rPr>
          <w:lang w:val="fr-FR"/>
        </w:rPr>
        <w:t>assistance téléphonique gratuite pour les enfants, le 116, et collabore avec l</w:t>
      </w:r>
      <w:r w:rsidR="008279BF">
        <w:rPr>
          <w:lang w:val="fr-FR"/>
        </w:rPr>
        <w:t>’</w:t>
      </w:r>
      <w:r w:rsidRPr="00EE4C2A">
        <w:rPr>
          <w:lang w:val="fr-FR"/>
        </w:rPr>
        <w:t>Unité de soutien aux victimes et l</w:t>
      </w:r>
      <w:r w:rsidR="008279BF">
        <w:rPr>
          <w:lang w:val="fr-FR"/>
        </w:rPr>
        <w:t>’</w:t>
      </w:r>
      <w:r w:rsidRPr="00EE4C2A">
        <w:rPr>
          <w:lang w:val="fr-FR"/>
        </w:rPr>
        <w:t>Unité de protection de l</w:t>
      </w:r>
      <w:r w:rsidR="008279BF">
        <w:rPr>
          <w:lang w:val="fr-FR"/>
        </w:rPr>
        <w:t>’</w:t>
      </w:r>
      <w:r w:rsidRPr="00EE4C2A">
        <w:rPr>
          <w:lang w:val="fr-FR"/>
        </w:rPr>
        <w:t>enfance dans les affaires de violence fondée sur</w:t>
      </w:r>
      <w:r>
        <w:rPr>
          <w:lang w:val="fr-FR"/>
        </w:rPr>
        <w:t xml:space="preserve"> le genre et celles concernant d</w:t>
      </w:r>
      <w:r w:rsidRPr="00EE4C2A">
        <w:rPr>
          <w:lang w:val="fr-FR"/>
        </w:rPr>
        <w:t>es enfants. Un protocole d</w:t>
      </w:r>
      <w:r w:rsidR="008279BF">
        <w:rPr>
          <w:lang w:val="fr-FR"/>
        </w:rPr>
        <w:t>’</w:t>
      </w:r>
      <w:r w:rsidRPr="00EE4C2A">
        <w:rPr>
          <w:lang w:val="fr-FR"/>
        </w:rPr>
        <w:t>accord entre l</w:t>
      </w:r>
      <w:r w:rsidR="008279BF">
        <w:rPr>
          <w:lang w:val="fr-FR"/>
        </w:rPr>
        <w:t>’</w:t>
      </w:r>
      <w:r w:rsidRPr="00EE4C2A">
        <w:rPr>
          <w:lang w:val="fr-FR"/>
        </w:rPr>
        <w:t>Autorité nationale des technologies de l</w:t>
      </w:r>
      <w:r w:rsidR="008279BF">
        <w:rPr>
          <w:lang w:val="fr-FR"/>
        </w:rPr>
        <w:t>’</w:t>
      </w:r>
      <w:r w:rsidRPr="00EE4C2A">
        <w:rPr>
          <w:lang w:val="fr-FR"/>
        </w:rPr>
        <w:t>information et des communications (ZICTA) et Childline définit la manière dont ils opèrent pour promouvoir les intérêts de</w:t>
      </w:r>
      <w:r>
        <w:rPr>
          <w:lang w:val="fr-FR"/>
        </w:rPr>
        <w:t xml:space="preserve"> l</w:t>
      </w:r>
      <w:r w:rsidR="008279BF">
        <w:rPr>
          <w:lang w:val="fr-FR"/>
        </w:rPr>
        <w:t>’</w:t>
      </w:r>
      <w:r w:rsidRPr="00EE4C2A">
        <w:rPr>
          <w:lang w:val="fr-FR"/>
        </w:rPr>
        <w:t xml:space="preserve">enfant dans le secteur du </w:t>
      </w:r>
      <w:r w:rsidRPr="00EE4C2A">
        <w:rPr>
          <w:lang w:val="fr-FR"/>
        </w:rPr>
        <w:lastRenderedPageBreak/>
        <w:t>numérique. Childline gère un centre de contact, recueille les préoccupations des enfants et produit des données statistiques sur les questions touchant les enfants d</w:t>
      </w:r>
      <w:r w:rsidR="008279BF">
        <w:rPr>
          <w:lang w:val="fr-FR"/>
        </w:rPr>
        <w:t>’</w:t>
      </w:r>
      <w:r w:rsidRPr="00EE4C2A">
        <w:rPr>
          <w:lang w:val="fr-FR"/>
        </w:rPr>
        <w:t>une manière générale.</w:t>
      </w:r>
    </w:p>
    <w:p w14:paraId="7891C94F" w14:textId="77777777" w:rsidR="00046F46" w:rsidRPr="00EE4C2A" w:rsidRDefault="00046F46" w:rsidP="00046F46">
      <w:pPr>
        <w:pStyle w:val="H1G"/>
        <w:rPr>
          <w:lang w:val="fr-FR"/>
        </w:rPr>
      </w:pPr>
      <w:bookmarkStart w:id="23" w:name="_Toc63937977"/>
      <w:r w:rsidRPr="00EE4C2A">
        <w:rPr>
          <w:lang w:val="fr-FR"/>
        </w:rPr>
        <w:tab/>
      </w:r>
      <w:r w:rsidRPr="00EE4C2A">
        <w:rPr>
          <w:lang w:val="fr-FR"/>
        </w:rPr>
        <w:tab/>
      </w:r>
      <w:r w:rsidRPr="00EE4C2A">
        <w:rPr>
          <w:bCs/>
          <w:lang w:val="fr-FR"/>
        </w:rPr>
        <w:t>Pratiques préjudiciables</w:t>
      </w:r>
      <w:bookmarkEnd w:id="23"/>
    </w:p>
    <w:p w14:paraId="0BE4DA1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15 a) de la liste de points établie </w:t>
      </w:r>
      <w:r>
        <w:rPr>
          <w:bCs/>
          <w:lang w:val="fr-FR"/>
        </w:rPr>
        <w:t xml:space="preserve">avant la soumission du rapport </w:t>
      </w:r>
    </w:p>
    <w:p w14:paraId="659001C4" w14:textId="3BDE051E" w:rsidR="00046F46" w:rsidRPr="00EE4C2A" w:rsidRDefault="00046F46" w:rsidP="00046F46">
      <w:pPr>
        <w:pStyle w:val="SingleTxtG"/>
        <w:rPr>
          <w:lang w:val="fr-FR"/>
        </w:rPr>
      </w:pPr>
      <w:r w:rsidRPr="00EE4C2A">
        <w:rPr>
          <w:lang w:val="fr-FR"/>
        </w:rPr>
        <w:t>81.</w:t>
      </w:r>
      <w:r w:rsidRPr="00EE4C2A">
        <w:rPr>
          <w:lang w:val="fr-FR"/>
        </w:rPr>
        <w:tab/>
        <w:t>En ce qui concerne l</w:t>
      </w:r>
      <w:r w:rsidR="008279BF">
        <w:rPr>
          <w:lang w:val="fr-FR"/>
        </w:rPr>
        <w:t>’</w:t>
      </w:r>
      <w:r w:rsidRPr="00EE4C2A">
        <w:rPr>
          <w:lang w:val="fr-FR"/>
        </w:rPr>
        <w:t>application de la loi sur le mariage et la sensibilisation à cette loi, l</w:t>
      </w:r>
      <w:r w:rsidR="008279BF">
        <w:rPr>
          <w:lang w:val="fr-FR"/>
        </w:rPr>
        <w:t>’</w:t>
      </w:r>
      <w:r w:rsidRPr="00EE4C2A">
        <w:rPr>
          <w:lang w:val="fr-FR"/>
        </w:rPr>
        <w:t>État partie a fourni un cadre juridique adéquat garantissant l</w:t>
      </w:r>
      <w:r w:rsidR="008279BF">
        <w:rPr>
          <w:lang w:val="fr-FR"/>
        </w:rPr>
        <w:t>’</w:t>
      </w:r>
      <w:r w:rsidRPr="00EE4C2A">
        <w:rPr>
          <w:lang w:val="fr-FR"/>
        </w:rPr>
        <w:t>égalité entre les hommes et les femmes. L</w:t>
      </w:r>
      <w:r w:rsidR="008279BF">
        <w:rPr>
          <w:lang w:val="fr-FR"/>
        </w:rPr>
        <w:t>’</w:t>
      </w:r>
      <w:r w:rsidRPr="00EE4C2A">
        <w:rPr>
          <w:lang w:val="fr-FR"/>
        </w:rPr>
        <w:t>article 8 de la Constitution consacre l</w:t>
      </w:r>
      <w:r w:rsidR="008279BF">
        <w:rPr>
          <w:lang w:val="fr-FR"/>
        </w:rPr>
        <w:t>’</w:t>
      </w:r>
      <w:r w:rsidRPr="00EE4C2A">
        <w:rPr>
          <w:lang w:val="fr-FR"/>
        </w:rPr>
        <w:t>égalité, en tant que principe national. En outre, les articles 20, 21 et 22 de la loi sur l</w:t>
      </w:r>
      <w:r w:rsidR="008279BF">
        <w:rPr>
          <w:lang w:val="fr-FR"/>
        </w:rPr>
        <w:t>’</w:t>
      </w:r>
      <w:r w:rsidRPr="00EE4C2A">
        <w:rPr>
          <w:lang w:val="fr-FR"/>
        </w:rPr>
        <w:t>équité et l</w:t>
      </w:r>
      <w:r w:rsidR="008279BF">
        <w:rPr>
          <w:lang w:val="fr-FR"/>
        </w:rPr>
        <w:t>’</w:t>
      </w:r>
      <w:r w:rsidRPr="00EE4C2A">
        <w:rPr>
          <w:lang w:val="fr-FR"/>
        </w:rPr>
        <w:t xml:space="preserve">égalité des genres énoncent le droit à la nationalité ainsi que les droits en matière de santé sexuelle et </w:t>
      </w:r>
      <w:r>
        <w:rPr>
          <w:lang w:val="fr-FR"/>
        </w:rPr>
        <w:t>procréative</w:t>
      </w:r>
      <w:r w:rsidRPr="00EE4C2A">
        <w:rPr>
          <w:lang w:val="fr-FR"/>
        </w:rPr>
        <w:t>, de mariage et de vie familiale.</w:t>
      </w:r>
    </w:p>
    <w:p w14:paraId="60A0B2BD" w14:textId="445E01CD" w:rsidR="00046F46" w:rsidRPr="00EE4C2A" w:rsidRDefault="00046F46" w:rsidP="00046F46">
      <w:pPr>
        <w:pStyle w:val="SingleTxtG"/>
        <w:rPr>
          <w:lang w:val="fr-FR"/>
        </w:rPr>
      </w:pPr>
      <w:r w:rsidRPr="00EE4C2A">
        <w:rPr>
          <w:lang w:val="fr-FR"/>
        </w:rPr>
        <w:t>82.</w:t>
      </w:r>
      <w:r w:rsidRPr="00EE4C2A">
        <w:rPr>
          <w:lang w:val="fr-FR"/>
        </w:rPr>
        <w:tab/>
        <w:t>L</w:t>
      </w:r>
      <w:r w:rsidR="008279BF">
        <w:rPr>
          <w:lang w:val="fr-FR"/>
        </w:rPr>
        <w:t>’</w:t>
      </w:r>
      <w:r w:rsidRPr="00EE4C2A">
        <w:rPr>
          <w:lang w:val="fr-FR"/>
        </w:rPr>
        <w:t>État partie, en mettant en œuvre des stratégies interorganismes, a organisé des campagnes visant à informer et à sensibiliser l</w:t>
      </w:r>
      <w:r w:rsidR="008279BF">
        <w:rPr>
          <w:lang w:val="fr-FR"/>
        </w:rPr>
        <w:t>’</w:t>
      </w:r>
      <w:r w:rsidRPr="00EE4C2A">
        <w:rPr>
          <w:lang w:val="fr-FR"/>
        </w:rPr>
        <w:t>ensemble de la population au niveau local, notamment les chefs traditionnels, les parents et les enseignants, au sujet de la loi sur le mariage, de l</w:t>
      </w:r>
      <w:r w:rsidR="008279BF">
        <w:rPr>
          <w:lang w:val="fr-FR"/>
        </w:rPr>
        <w:t>’</w:t>
      </w:r>
      <w:r w:rsidRPr="00EE4C2A">
        <w:rPr>
          <w:lang w:val="fr-FR"/>
        </w:rPr>
        <w:t>abolition d</w:t>
      </w:r>
      <w:r>
        <w:rPr>
          <w:lang w:val="fr-FR"/>
        </w:rPr>
        <w:t>es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et de questions connexes. En 2013, l</w:t>
      </w:r>
      <w:r w:rsidR="008279BF">
        <w:rPr>
          <w:lang w:val="fr-FR"/>
        </w:rPr>
        <w:t>’</w:t>
      </w:r>
      <w:r w:rsidRPr="00EE4C2A">
        <w:rPr>
          <w:lang w:val="fr-FR"/>
        </w:rPr>
        <w:t>État partie a lancé une campagne visant à mettre fin au</w:t>
      </w:r>
      <w:r>
        <w:rPr>
          <w:lang w:val="fr-FR"/>
        </w:rPr>
        <w:t>x</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et a mis en place des mesures à cet effet en associant les parties prenantes, y compris les chefs religieux et traditionnels. Les 288 chefs traditionnels enregistrés ont ainsi été sensibilisés aux pratiques préjudiciables, en insistant sur la nécessité de mettre fin au</w:t>
      </w:r>
      <w:r>
        <w:rPr>
          <w:lang w:val="fr-FR"/>
        </w:rPr>
        <w:t>x</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w:t>
      </w:r>
    </w:p>
    <w:p w14:paraId="0FF5E424" w14:textId="7906B128" w:rsidR="00046F46" w:rsidRPr="00EE4C2A" w:rsidRDefault="00046F46" w:rsidP="00046F46">
      <w:pPr>
        <w:pStyle w:val="SingleTxtG"/>
        <w:rPr>
          <w:lang w:val="fr-FR"/>
        </w:rPr>
      </w:pPr>
      <w:r w:rsidRPr="00EE4C2A">
        <w:rPr>
          <w:lang w:val="fr-FR"/>
        </w:rPr>
        <w:t>83.</w:t>
      </w:r>
      <w:r w:rsidRPr="00EE4C2A">
        <w:rPr>
          <w:lang w:val="fr-FR"/>
        </w:rPr>
        <w:tab/>
        <w:t>De plus, en 2016, l</w:t>
      </w:r>
      <w:r w:rsidR="008279BF">
        <w:rPr>
          <w:lang w:val="fr-FR"/>
        </w:rPr>
        <w:t>’</w:t>
      </w:r>
      <w:r w:rsidRPr="00EE4C2A">
        <w:rPr>
          <w:lang w:val="fr-FR"/>
        </w:rPr>
        <w:t>État partie a lancé une Stratégie nationale pour l</w:t>
      </w:r>
      <w:r w:rsidR="008279BF">
        <w:rPr>
          <w:lang w:val="fr-FR"/>
        </w:rPr>
        <w:t>’</w:t>
      </w:r>
      <w:r w:rsidRPr="00EE4C2A">
        <w:rPr>
          <w:lang w:val="fr-FR"/>
        </w:rPr>
        <w:t>élimination d</w:t>
      </w:r>
      <w:r>
        <w:rPr>
          <w:lang w:val="fr-FR"/>
        </w:rPr>
        <w:t>es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qui vise à réduire cette pratique de 40 % d</w:t>
      </w:r>
      <w:r w:rsidR="008279BF">
        <w:rPr>
          <w:lang w:val="fr-FR"/>
        </w:rPr>
        <w:t>’</w:t>
      </w:r>
      <w:r w:rsidRPr="00EE4C2A">
        <w:rPr>
          <w:lang w:val="fr-FR"/>
        </w:rPr>
        <w:t>ici à 2021. Le Plan d</w:t>
      </w:r>
      <w:r w:rsidR="008279BF">
        <w:rPr>
          <w:lang w:val="fr-FR"/>
        </w:rPr>
        <w:t>’</w:t>
      </w:r>
      <w:r w:rsidRPr="00EE4C2A">
        <w:rPr>
          <w:lang w:val="fr-FR"/>
        </w:rPr>
        <w:t>action national met l</w:t>
      </w:r>
      <w:r w:rsidR="008279BF">
        <w:rPr>
          <w:lang w:val="fr-FR"/>
        </w:rPr>
        <w:t>’</w:t>
      </w:r>
      <w:r w:rsidRPr="00EE4C2A">
        <w:rPr>
          <w:lang w:val="fr-FR"/>
        </w:rPr>
        <w:t>accent sur l</w:t>
      </w:r>
      <w:r w:rsidR="008279BF">
        <w:rPr>
          <w:lang w:val="fr-FR"/>
        </w:rPr>
        <w:t>’</w:t>
      </w:r>
      <w:r w:rsidRPr="00EE4C2A">
        <w:rPr>
          <w:lang w:val="fr-FR"/>
        </w:rPr>
        <w:t>organisation d</w:t>
      </w:r>
      <w:r w:rsidR="008279BF">
        <w:rPr>
          <w:lang w:val="fr-FR"/>
        </w:rPr>
        <w:t>’</w:t>
      </w:r>
      <w:r w:rsidRPr="00EE4C2A">
        <w:rPr>
          <w:lang w:val="fr-FR"/>
        </w:rPr>
        <w:t>activités à l</w:t>
      </w:r>
      <w:r w:rsidR="008279BF">
        <w:rPr>
          <w:lang w:val="fr-FR"/>
        </w:rPr>
        <w:t>’</w:t>
      </w:r>
      <w:r w:rsidRPr="00EE4C2A">
        <w:rPr>
          <w:lang w:val="fr-FR"/>
        </w:rPr>
        <w:t>échelle locale pour sensibiliser les communautés en la matière et faire connaître la législation sur le mariage. L</w:t>
      </w:r>
      <w:r w:rsidR="008279BF">
        <w:rPr>
          <w:lang w:val="fr-FR"/>
        </w:rPr>
        <w:t>’</w:t>
      </w:r>
      <w:r w:rsidRPr="00EE4C2A">
        <w:rPr>
          <w:lang w:val="fr-FR"/>
        </w:rPr>
        <w:t>État partie s</w:t>
      </w:r>
      <w:r w:rsidR="008279BF">
        <w:rPr>
          <w:lang w:val="fr-FR"/>
        </w:rPr>
        <w:t>’</w:t>
      </w:r>
      <w:r w:rsidRPr="00EE4C2A">
        <w:rPr>
          <w:lang w:val="fr-FR"/>
        </w:rPr>
        <w:t>appuie également sur les communautés pour recenser et résoudre les diverses situations de vulnérabilité susceptibles d</w:t>
      </w:r>
      <w:r w:rsidR="008279BF">
        <w:rPr>
          <w:lang w:val="fr-FR"/>
        </w:rPr>
        <w:t>’</w:t>
      </w:r>
      <w:r w:rsidRPr="00EE4C2A">
        <w:rPr>
          <w:lang w:val="fr-FR"/>
        </w:rPr>
        <w:t>exposer les filles au</w:t>
      </w:r>
      <w:r>
        <w:rPr>
          <w:lang w:val="fr-FR"/>
        </w:rPr>
        <w:t>x</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et pour aider les victimes.</w:t>
      </w:r>
    </w:p>
    <w:p w14:paraId="673DE6A2"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15 b) de la liste de points établie </w:t>
      </w:r>
      <w:r>
        <w:rPr>
          <w:bCs/>
          <w:lang w:val="fr-FR"/>
        </w:rPr>
        <w:t xml:space="preserve">avant la soumission du rapport </w:t>
      </w:r>
    </w:p>
    <w:p w14:paraId="4CC5BF79" w14:textId="144A410F" w:rsidR="00046F46" w:rsidRPr="00EE4C2A" w:rsidRDefault="00046F46" w:rsidP="00046F46">
      <w:pPr>
        <w:pStyle w:val="SingleTxtG"/>
        <w:rPr>
          <w:lang w:val="fr-FR"/>
        </w:rPr>
      </w:pPr>
      <w:r w:rsidRPr="00EE4C2A">
        <w:rPr>
          <w:lang w:val="fr-FR"/>
        </w:rPr>
        <w:t>84.</w:t>
      </w:r>
      <w:r w:rsidRPr="00EE4C2A">
        <w:rPr>
          <w:lang w:val="fr-FR"/>
        </w:rPr>
        <w:tab/>
        <w:t>En ce qui concerne la protection des enfants intersexes, l</w:t>
      </w:r>
      <w:r w:rsidR="008279BF">
        <w:rPr>
          <w:lang w:val="fr-FR"/>
        </w:rPr>
        <w:t>’</w:t>
      </w:r>
      <w:r w:rsidRPr="00EE4C2A">
        <w:rPr>
          <w:lang w:val="fr-FR"/>
        </w:rPr>
        <w:t>État partie relève que les personnes intersexes éprouvent de grandes difficultés en Zambie lorsqu</w:t>
      </w:r>
      <w:r w:rsidR="008279BF">
        <w:rPr>
          <w:lang w:val="fr-FR"/>
        </w:rPr>
        <w:t>’</w:t>
      </w:r>
      <w:r w:rsidRPr="00EE4C2A">
        <w:rPr>
          <w:lang w:val="fr-FR"/>
        </w:rPr>
        <w:t>elles essayent de faire enregistrer leur identité de genre sur les documents officiels, car il n</w:t>
      </w:r>
      <w:r w:rsidR="008279BF">
        <w:rPr>
          <w:lang w:val="fr-FR"/>
        </w:rPr>
        <w:t>’</w:t>
      </w:r>
      <w:r w:rsidRPr="00EE4C2A">
        <w:rPr>
          <w:lang w:val="fr-FR"/>
        </w:rPr>
        <w:t>existe pas encore de loi reconnaissant leur statut de minorité sexuelle. Selon les statistiques actuelles, 90 bébés nés au Centre hospitalier universitaire (UTH) ont été reconnus comme étant intersexes ces dix dernières années. Dans les établissements sanitaires de haut niveau, l</w:t>
      </w:r>
      <w:r w:rsidR="008279BF">
        <w:rPr>
          <w:lang w:val="fr-FR"/>
        </w:rPr>
        <w:t>’</w:t>
      </w:r>
      <w:r w:rsidRPr="00EE4C2A">
        <w:rPr>
          <w:lang w:val="fr-FR"/>
        </w:rPr>
        <w:t>État partie a mis en place une équipe de spécialistes pluridisciplinaires qui évaluent et examinent les enfants intersexes (hermaphrodites) dans le cadre de consultations externes, et qui fournissent également un soutien psychologique et un accès à des recours utiles aux enfants concernés et à leurs parents.</w:t>
      </w:r>
    </w:p>
    <w:p w14:paraId="594F7101" w14:textId="60A242C5" w:rsidR="00046F46" w:rsidRPr="00EE4C2A" w:rsidRDefault="00046F46" w:rsidP="00046F46">
      <w:pPr>
        <w:pStyle w:val="SingleTxtG"/>
        <w:rPr>
          <w:lang w:val="fr-FR"/>
        </w:rPr>
      </w:pPr>
      <w:r w:rsidRPr="00EE4C2A">
        <w:rPr>
          <w:lang w:val="fr-FR"/>
        </w:rPr>
        <w:t>85.</w:t>
      </w:r>
      <w:r w:rsidRPr="00EE4C2A">
        <w:rPr>
          <w:lang w:val="fr-FR"/>
        </w:rPr>
        <w:tab/>
        <w:t>Selon la loi zambienne sur l</w:t>
      </w:r>
      <w:r w:rsidR="008279BF">
        <w:rPr>
          <w:lang w:val="fr-FR"/>
        </w:rPr>
        <w:t>’</w:t>
      </w:r>
      <w:r w:rsidRPr="00EE4C2A">
        <w:rPr>
          <w:lang w:val="fr-FR"/>
        </w:rPr>
        <w:t>enregistrement national, tous les citoyens âgés de plus de 16 ans doivent posséder une carte d</w:t>
      </w:r>
      <w:r w:rsidR="008279BF">
        <w:rPr>
          <w:lang w:val="fr-FR"/>
        </w:rPr>
        <w:t>’</w:t>
      </w:r>
      <w:r w:rsidRPr="00EE4C2A">
        <w:rPr>
          <w:lang w:val="fr-FR"/>
        </w:rPr>
        <w:t>identité comportant des mentions de base telles que la date de naissance, le nom, l</w:t>
      </w:r>
      <w:r w:rsidR="008279BF">
        <w:rPr>
          <w:lang w:val="fr-FR"/>
        </w:rPr>
        <w:t>’</w:t>
      </w:r>
      <w:r w:rsidRPr="00EE4C2A">
        <w:rPr>
          <w:lang w:val="fr-FR"/>
        </w:rPr>
        <w:t>adresse, le genre et le niveau d</w:t>
      </w:r>
      <w:r w:rsidR="008279BF">
        <w:rPr>
          <w:lang w:val="fr-FR"/>
        </w:rPr>
        <w:t>’</w:t>
      </w:r>
      <w:r w:rsidRPr="00EE4C2A">
        <w:rPr>
          <w:lang w:val="fr-FR"/>
        </w:rPr>
        <w:t>instruction. L</w:t>
      </w:r>
      <w:r w:rsidR="008279BF">
        <w:rPr>
          <w:lang w:val="fr-FR"/>
        </w:rPr>
        <w:t>’</w:t>
      </w:r>
      <w:r w:rsidRPr="00EE4C2A">
        <w:rPr>
          <w:lang w:val="fr-FR"/>
        </w:rPr>
        <w:t>article 9 de cette loi, qui est généralement invoqué pour traiter les changements de nom et d</w:t>
      </w:r>
      <w:r w:rsidR="008279BF">
        <w:rPr>
          <w:lang w:val="fr-FR"/>
        </w:rPr>
        <w:t>’</w:t>
      </w:r>
      <w:r w:rsidRPr="00EE4C2A">
        <w:rPr>
          <w:lang w:val="fr-FR"/>
        </w:rPr>
        <w:t>adresse, pourrait être interprété de manière à pouvoir également modifier la mention du genre. Mais pour les personnes intersexes qui souhaitent changer le genre auquel elles s</w:t>
      </w:r>
      <w:r w:rsidR="008279BF">
        <w:rPr>
          <w:lang w:val="fr-FR"/>
        </w:rPr>
        <w:t>’</w:t>
      </w:r>
      <w:r w:rsidRPr="00EE4C2A">
        <w:rPr>
          <w:lang w:val="fr-FR"/>
        </w:rPr>
        <w:t>identifient, ce processus requiert des examens médicaux. Les droits des personnes intersexes n</w:t>
      </w:r>
      <w:r w:rsidR="008279BF">
        <w:rPr>
          <w:lang w:val="fr-FR"/>
        </w:rPr>
        <w:t>’</w:t>
      </w:r>
      <w:r w:rsidRPr="00EE4C2A">
        <w:rPr>
          <w:lang w:val="fr-FR"/>
        </w:rPr>
        <w:t>ont pas été examinés et n</w:t>
      </w:r>
      <w:r w:rsidR="008279BF">
        <w:rPr>
          <w:lang w:val="fr-FR"/>
        </w:rPr>
        <w:t>’</w:t>
      </w:r>
      <w:r w:rsidRPr="00EE4C2A">
        <w:rPr>
          <w:lang w:val="fr-FR"/>
        </w:rPr>
        <w:t>ont pas été beaucoup débattus par les législateurs.</w:t>
      </w:r>
    </w:p>
    <w:p w14:paraId="57AF0A5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15 c) de la liste de points établie </w:t>
      </w:r>
      <w:r>
        <w:rPr>
          <w:bCs/>
          <w:lang w:val="fr-FR"/>
        </w:rPr>
        <w:t xml:space="preserve">avant la soumission du rapport </w:t>
      </w:r>
    </w:p>
    <w:p w14:paraId="712D1A79" w14:textId="0D5100F3" w:rsidR="00046F46" w:rsidRPr="00EE4C2A" w:rsidRDefault="00046F46" w:rsidP="00046F46">
      <w:pPr>
        <w:pStyle w:val="SingleTxtG"/>
        <w:rPr>
          <w:lang w:val="fr-FR"/>
        </w:rPr>
      </w:pPr>
      <w:r w:rsidRPr="00EE4C2A">
        <w:rPr>
          <w:lang w:val="fr-FR"/>
        </w:rPr>
        <w:t>86.</w:t>
      </w:r>
      <w:r w:rsidRPr="00EE4C2A">
        <w:rPr>
          <w:lang w:val="fr-FR"/>
        </w:rPr>
        <w:tab/>
        <w:t>Pour faire baisser le taux élevé de mariages d</w:t>
      </w:r>
      <w:r w:rsidR="008279BF">
        <w:rPr>
          <w:lang w:val="fr-FR"/>
        </w:rPr>
        <w:t>’</w:t>
      </w:r>
      <w:r w:rsidRPr="00EE4C2A">
        <w:rPr>
          <w:lang w:val="fr-FR"/>
        </w:rPr>
        <w:t>enfants, l</w:t>
      </w:r>
      <w:r w:rsidR="008279BF">
        <w:rPr>
          <w:lang w:val="fr-FR"/>
        </w:rPr>
        <w:t>’</w:t>
      </w:r>
      <w:r w:rsidRPr="00EE4C2A">
        <w:rPr>
          <w:lang w:val="fr-FR"/>
        </w:rPr>
        <w:t>État partie a mené une action nationale en lançant une campagne multipartite de lutte contre les mariages d</w:t>
      </w:r>
      <w:r w:rsidR="008279BF">
        <w:rPr>
          <w:lang w:val="fr-FR"/>
        </w:rPr>
        <w:t>’</w:t>
      </w:r>
      <w:r w:rsidRPr="00EE4C2A">
        <w:rPr>
          <w:lang w:val="fr-FR"/>
        </w:rPr>
        <w:t xml:space="preserve">enfants. Des </w:t>
      </w:r>
      <w:r w:rsidRPr="00EE4C2A">
        <w:rPr>
          <w:lang w:val="fr-FR"/>
        </w:rPr>
        <w:lastRenderedPageBreak/>
        <w:t>structures ont été mises en place, notamment une coalition de la société civile contre le</w:t>
      </w:r>
      <w:r>
        <w:rPr>
          <w:lang w:val="fr-FR"/>
        </w:rPr>
        <w:t>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et un comité interministériel de 10 membres a été constitué. L</w:t>
      </w:r>
      <w:r w:rsidR="008279BF">
        <w:rPr>
          <w:lang w:val="fr-FR"/>
        </w:rPr>
        <w:t>’</w:t>
      </w:r>
      <w:r w:rsidRPr="00EE4C2A">
        <w:rPr>
          <w:lang w:val="fr-FR"/>
        </w:rPr>
        <w:t>État partie a également élaboré, en collaboration avec les parties prenantes, une Stratégie nationale d</w:t>
      </w:r>
      <w:r w:rsidR="008279BF">
        <w:rPr>
          <w:lang w:val="fr-FR"/>
        </w:rPr>
        <w:t>’</w:t>
      </w:r>
      <w:r w:rsidRPr="00EE4C2A">
        <w:rPr>
          <w:lang w:val="fr-FR"/>
        </w:rPr>
        <w:t>élimination d</w:t>
      </w:r>
      <w:r>
        <w:rPr>
          <w:lang w:val="fr-FR"/>
        </w:rPr>
        <w:t>es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w:t>
      </w:r>
      <w:r w:rsidR="00A63B39">
        <w:rPr>
          <w:lang w:val="fr-FR"/>
        </w:rPr>
        <w:t xml:space="preserve"> </w:t>
      </w:r>
      <w:r w:rsidRPr="00EE4C2A">
        <w:rPr>
          <w:lang w:val="fr-FR"/>
        </w:rPr>
        <w:t>(2016-2021) qui définit l</w:t>
      </w:r>
      <w:r w:rsidR="008279BF">
        <w:rPr>
          <w:lang w:val="fr-FR"/>
        </w:rPr>
        <w:t>’</w:t>
      </w:r>
      <w:r w:rsidRPr="00EE4C2A">
        <w:rPr>
          <w:lang w:val="fr-FR"/>
        </w:rPr>
        <w:t>orientation stratégique, fournit un cadre opérationnel et vise à accélérer l</w:t>
      </w:r>
      <w:r w:rsidR="008279BF">
        <w:rPr>
          <w:lang w:val="fr-FR"/>
        </w:rPr>
        <w:t>’</w:t>
      </w:r>
      <w:r w:rsidRPr="00EE4C2A">
        <w:rPr>
          <w:lang w:val="fr-FR"/>
        </w:rPr>
        <w:t>action menée au niveau national pour mettre fin au</w:t>
      </w:r>
      <w:r>
        <w:rPr>
          <w:lang w:val="fr-FR"/>
        </w:rPr>
        <w:t>x</w:t>
      </w:r>
      <w:r w:rsidRPr="00EE4C2A">
        <w:rPr>
          <w:lang w:val="fr-FR"/>
        </w:rPr>
        <w:t xml:space="preserve"> mariage</w:t>
      </w:r>
      <w:r>
        <w:rPr>
          <w:lang w:val="fr-FR"/>
        </w:rPr>
        <w:t>s</w:t>
      </w:r>
      <w:r w:rsidRPr="00EE4C2A">
        <w:rPr>
          <w:lang w:val="fr-FR"/>
        </w:rPr>
        <w:t xml:space="preserve"> </w:t>
      </w:r>
      <w:r>
        <w:rPr>
          <w:lang w:val="fr-FR"/>
        </w:rPr>
        <w:t>d</w:t>
      </w:r>
      <w:r w:rsidR="008279BF">
        <w:rPr>
          <w:lang w:val="fr-FR"/>
        </w:rPr>
        <w:t>’</w:t>
      </w:r>
      <w:r w:rsidRPr="00EE4C2A">
        <w:rPr>
          <w:lang w:val="fr-FR"/>
        </w:rPr>
        <w:t>enfants d</w:t>
      </w:r>
      <w:r w:rsidR="008279BF">
        <w:rPr>
          <w:lang w:val="fr-FR"/>
        </w:rPr>
        <w:t>’</w:t>
      </w:r>
      <w:r w:rsidRPr="00EE4C2A">
        <w:rPr>
          <w:lang w:val="fr-FR"/>
        </w:rPr>
        <w:t>ici</w:t>
      </w:r>
      <w:r w:rsidR="00A63B39">
        <w:rPr>
          <w:lang w:val="fr-FR"/>
        </w:rPr>
        <w:t xml:space="preserve"> </w:t>
      </w:r>
      <w:r w:rsidRPr="00EE4C2A">
        <w:rPr>
          <w:lang w:val="fr-FR"/>
        </w:rPr>
        <w:t>à</w:t>
      </w:r>
      <w:r w:rsidR="00A63B39">
        <w:rPr>
          <w:lang w:val="fr-FR"/>
        </w:rPr>
        <w:t xml:space="preserve"> </w:t>
      </w:r>
      <w:r w:rsidRPr="00EE4C2A">
        <w:rPr>
          <w:lang w:val="fr-FR"/>
        </w:rPr>
        <w:t>2030.</w:t>
      </w:r>
    </w:p>
    <w:p w14:paraId="6A5D96DB" w14:textId="22786574" w:rsidR="00046F46" w:rsidRPr="00EE4C2A" w:rsidRDefault="00046F46" w:rsidP="00046F46">
      <w:pPr>
        <w:pStyle w:val="SingleTxtG"/>
        <w:rPr>
          <w:lang w:val="fr-FR"/>
        </w:rPr>
      </w:pPr>
      <w:r w:rsidRPr="00EE4C2A">
        <w:rPr>
          <w:lang w:val="fr-FR"/>
        </w:rPr>
        <w:t>87.</w:t>
      </w:r>
      <w:r w:rsidRPr="00EE4C2A">
        <w:rPr>
          <w:lang w:val="fr-FR"/>
        </w:rPr>
        <w:tab/>
        <w:t>De plus, la Stratégie nationale de sensibilisation et de communication</w:t>
      </w:r>
      <w:r w:rsidR="00A63B39">
        <w:rPr>
          <w:lang w:val="fr-FR"/>
        </w:rPr>
        <w:t xml:space="preserve"> </w:t>
      </w:r>
      <w:r w:rsidRPr="00EE4C2A">
        <w:rPr>
          <w:lang w:val="fr-FR"/>
        </w:rPr>
        <w:t>(2018-2021) a été lancée en</w:t>
      </w:r>
      <w:r w:rsidR="00A63B39">
        <w:rPr>
          <w:lang w:val="fr-FR"/>
        </w:rPr>
        <w:t xml:space="preserve"> </w:t>
      </w:r>
      <w:r w:rsidRPr="00EE4C2A">
        <w:rPr>
          <w:lang w:val="fr-FR"/>
        </w:rPr>
        <w:t>2019 pour renforcer la mise en œuvre des interventions nationales visant à éliminer le</w:t>
      </w:r>
      <w:r>
        <w:rPr>
          <w:lang w:val="fr-FR"/>
        </w:rPr>
        <w:t>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Les stratégies de communication établiront des partenariats qui permettront aux acteurs étatiques et non étatiques de participer à l</w:t>
      </w:r>
      <w:r w:rsidR="008279BF">
        <w:rPr>
          <w:lang w:val="fr-FR"/>
        </w:rPr>
        <w:t>’</w:t>
      </w:r>
      <w:r w:rsidRPr="00EE4C2A">
        <w:rPr>
          <w:lang w:val="fr-FR"/>
        </w:rPr>
        <w:t>action menée pour atteindre l</w:t>
      </w:r>
      <w:r w:rsidR="008279BF">
        <w:rPr>
          <w:lang w:val="fr-FR"/>
        </w:rPr>
        <w:t>’</w:t>
      </w:r>
      <w:r w:rsidRPr="00EE4C2A">
        <w:rPr>
          <w:lang w:val="fr-FR"/>
        </w:rPr>
        <w:t>objectif commun de mettre fin au</w:t>
      </w:r>
      <w:r>
        <w:rPr>
          <w:lang w:val="fr-FR"/>
        </w:rPr>
        <w:t>x</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Le Programme est en cours de mise en œuvre à titre pilote dans certains districts, et 974 dossiers ont été traités au cours de la période</w:t>
      </w:r>
      <w:r w:rsidR="00A63B39">
        <w:rPr>
          <w:lang w:val="fr-FR"/>
        </w:rPr>
        <w:t xml:space="preserve"> </w:t>
      </w:r>
      <w:r w:rsidRPr="00EE4C2A">
        <w:rPr>
          <w:lang w:val="fr-FR"/>
        </w:rPr>
        <w:t>2019-2020. De surcroît, 2 800 membres de la société ont participé à des réunions de dialogue communautaire sur les normes de genre.</w:t>
      </w:r>
    </w:p>
    <w:p w14:paraId="237135FD" w14:textId="3C5CE088" w:rsidR="00046F46" w:rsidRPr="00EE4C2A" w:rsidRDefault="00046F46" w:rsidP="00046F46">
      <w:pPr>
        <w:pStyle w:val="SingleTxtG"/>
        <w:rPr>
          <w:lang w:val="fr-FR"/>
        </w:rPr>
      </w:pPr>
      <w:r w:rsidRPr="00EE4C2A">
        <w:rPr>
          <w:lang w:val="fr-FR"/>
        </w:rPr>
        <w:t>88.</w:t>
      </w:r>
      <w:r w:rsidRPr="00EE4C2A">
        <w:rPr>
          <w:lang w:val="fr-FR"/>
        </w:rPr>
        <w:tab/>
        <w:t>L</w:t>
      </w:r>
      <w:r w:rsidR="008279BF">
        <w:rPr>
          <w:lang w:val="fr-FR"/>
        </w:rPr>
        <w:t>’</w:t>
      </w:r>
      <w:r w:rsidRPr="00EE4C2A">
        <w:rPr>
          <w:lang w:val="fr-FR"/>
        </w:rPr>
        <w:t>Unité de soutien aux victimes, en partenariat avec des acteurs non étatiques, a participé à des actions de sensibilisation et à l</w:t>
      </w:r>
      <w:r w:rsidR="008279BF">
        <w:rPr>
          <w:lang w:val="fr-FR"/>
        </w:rPr>
        <w:t>’</w:t>
      </w:r>
      <w:r w:rsidRPr="00EE4C2A">
        <w:rPr>
          <w:lang w:val="fr-FR"/>
        </w:rPr>
        <w:t>organisation d</w:t>
      </w:r>
      <w:r w:rsidR="008279BF">
        <w:rPr>
          <w:lang w:val="fr-FR"/>
        </w:rPr>
        <w:t>’</w:t>
      </w:r>
      <w:r w:rsidRPr="00EE4C2A">
        <w:rPr>
          <w:lang w:val="fr-FR"/>
        </w:rPr>
        <w:t>ateliers de formation pour les chefs traditionnels et leurs conjoints. Elle a également associé la communauté et les écoles par le biais d</w:t>
      </w:r>
      <w:r w:rsidR="008279BF">
        <w:rPr>
          <w:lang w:val="fr-FR"/>
        </w:rPr>
        <w:t>’</w:t>
      </w:r>
      <w:r w:rsidRPr="00EE4C2A">
        <w:rPr>
          <w:lang w:val="fr-FR"/>
        </w:rPr>
        <w:t>actions de sensibilisation.</w:t>
      </w:r>
    </w:p>
    <w:p w14:paraId="4930EA00" w14:textId="779E101D" w:rsidR="00046F46" w:rsidRPr="00EE4C2A" w:rsidRDefault="00046F46" w:rsidP="00046F46">
      <w:pPr>
        <w:pStyle w:val="SingleTxtG"/>
        <w:rPr>
          <w:lang w:val="fr-FR"/>
        </w:rPr>
      </w:pPr>
      <w:r w:rsidRPr="00EE4C2A">
        <w:rPr>
          <w:lang w:val="fr-FR"/>
        </w:rPr>
        <w:t>89.</w:t>
      </w:r>
      <w:r w:rsidRPr="00EE4C2A">
        <w:rPr>
          <w:lang w:val="fr-FR"/>
        </w:rPr>
        <w:tab/>
        <w:t>Son Excellence M. Edgar Chagwa Lungu, Président de la République de Zambie, en tant que grand défenseur de la lutte contre le</w:t>
      </w:r>
      <w:r>
        <w:rPr>
          <w:lang w:val="fr-FR"/>
        </w:rPr>
        <w:t>s</w:t>
      </w:r>
      <w:r w:rsidRPr="00EE4C2A">
        <w:rPr>
          <w:lang w:val="fr-FR"/>
        </w:rPr>
        <w:t xml:space="preserve"> mariage</w:t>
      </w:r>
      <w:r>
        <w:rPr>
          <w:lang w:val="fr-FR"/>
        </w:rPr>
        <w:t>s</w:t>
      </w:r>
      <w:r w:rsidRPr="00EE4C2A">
        <w:rPr>
          <w:lang w:val="fr-FR"/>
        </w:rPr>
        <w:t xml:space="preserve"> </w:t>
      </w:r>
      <w:r>
        <w:rPr>
          <w:lang w:val="fr-FR"/>
        </w:rPr>
        <w:t>d</w:t>
      </w:r>
      <w:r w:rsidR="008279BF">
        <w:rPr>
          <w:lang w:val="fr-FR"/>
        </w:rPr>
        <w:t>’</w:t>
      </w:r>
      <w:r w:rsidRPr="00EE4C2A">
        <w:rPr>
          <w:lang w:val="fr-FR"/>
        </w:rPr>
        <w:t>enfants en Afrique, avec l</w:t>
      </w:r>
      <w:r w:rsidR="008279BF">
        <w:rPr>
          <w:lang w:val="fr-FR"/>
        </w:rPr>
        <w:t>’</w:t>
      </w:r>
      <w:r w:rsidRPr="00EE4C2A">
        <w:rPr>
          <w:lang w:val="fr-FR"/>
        </w:rPr>
        <w:t>Union africaine (UA), continue de guider la campagne. « Grâce à cela, une plateforme a été créée pour permettre aux dirigeants africains, au plus haut niveau, de prendre part aux efforts visant à mettre fin au</w:t>
      </w:r>
      <w:r>
        <w:rPr>
          <w:lang w:val="fr-FR"/>
        </w:rPr>
        <w:t>x</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w:t>
      </w:r>
    </w:p>
    <w:p w14:paraId="748DD997" w14:textId="77777777" w:rsidR="00046F46" w:rsidRPr="00EE4C2A" w:rsidRDefault="00046F46" w:rsidP="00046F46">
      <w:pPr>
        <w:pStyle w:val="H1G"/>
        <w:rPr>
          <w:lang w:val="fr-FR"/>
        </w:rPr>
      </w:pPr>
      <w:bookmarkStart w:id="24" w:name="_Toc63937978"/>
      <w:r w:rsidRPr="00EE4C2A">
        <w:rPr>
          <w:bCs/>
          <w:lang w:val="fr-FR"/>
        </w:rPr>
        <w:tab/>
        <w:t>E.</w:t>
      </w:r>
      <w:r w:rsidRPr="00EE4C2A">
        <w:rPr>
          <w:lang w:val="fr-FR"/>
        </w:rPr>
        <w:tab/>
      </w:r>
      <w:r w:rsidRPr="00EE4C2A">
        <w:rPr>
          <w:bCs/>
          <w:lang w:val="fr-FR"/>
        </w:rPr>
        <w:t>Milieu familial et protection de remplacement (art. 5, 9 à 11, 18 (par. 1 et 2), 20, 21, 25 et 27 (par. 4))</w:t>
      </w:r>
      <w:bookmarkEnd w:id="24"/>
    </w:p>
    <w:p w14:paraId="00E15CA9" w14:textId="77777777" w:rsidR="00046F46" w:rsidRPr="00EE4C2A" w:rsidRDefault="00046F46" w:rsidP="00046F46">
      <w:pPr>
        <w:pStyle w:val="H1G"/>
        <w:rPr>
          <w:lang w:val="fr-FR"/>
        </w:rPr>
      </w:pPr>
      <w:bookmarkStart w:id="25" w:name="_Toc63937979"/>
      <w:r w:rsidRPr="00EE4C2A">
        <w:rPr>
          <w:lang w:val="fr-FR"/>
        </w:rPr>
        <w:tab/>
      </w:r>
      <w:r w:rsidRPr="00EE4C2A">
        <w:rPr>
          <w:lang w:val="fr-FR"/>
        </w:rPr>
        <w:tab/>
      </w:r>
      <w:r w:rsidRPr="00EE4C2A">
        <w:rPr>
          <w:bCs/>
          <w:lang w:val="fr-FR"/>
        </w:rPr>
        <w:t>Enfants privés de milieu familial</w:t>
      </w:r>
      <w:bookmarkEnd w:id="25"/>
    </w:p>
    <w:p w14:paraId="60AC7AF6"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16 a) de la liste de points établie </w:t>
      </w:r>
      <w:r>
        <w:rPr>
          <w:bCs/>
          <w:lang w:val="fr-FR"/>
        </w:rPr>
        <w:t xml:space="preserve">avant la soumission du rapport </w:t>
      </w:r>
    </w:p>
    <w:p w14:paraId="53F618B7" w14:textId="7F69182F" w:rsidR="00046F46" w:rsidRPr="00EE4C2A" w:rsidRDefault="00046F46" w:rsidP="00046F46">
      <w:pPr>
        <w:pStyle w:val="SingleTxtG"/>
        <w:rPr>
          <w:lang w:val="fr-FR"/>
        </w:rPr>
      </w:pPr>
      <w:r w:rsidRPr="00BD6EE8">
        <w:rPr>
          <w:lang w:val="fr-FR"/>
        </w:rPr>
        <w:t>90.</w:t>
      </w:r>
      <w:r w:rsidRPr="00BD6EE8">
        <w:rPr>
          <w:lang w:val="fr-FR"/>
        </w:rPr>
        <w:tab/>
        <w:t>Pour éviter de séparer inutilement les enfants de leur famille, l</w:t>
      </w:r>
      <w:r w:rsidR="008279BF">
        <w:rPr>
          <w:lang w:val="fr-FR"/>
        </w:rPr>
        <w:t>’</w:t>
      </w:r>
      <w:r w:rsidRPr="00BD6EE8">
        <w:rPr>
          <w:lang w:val="fr-FR"/>
        </w:rPr>
        <w:t>État partie a réalisé en 2016 une évaluation</w:t>
      </w:r>
      <w:r w:rsidRPr="00EE4C2A">
        <w:rPr>
          <w:lang w:val="fr-FR"/>
        </w:rPr>
        <w:t xml:space="preserve"> nationale des établissements de prise en charge qui visait à comprendre les éléments contribuant à placer les enfants en institution et les conditions dans ces établissements. Cette évaluation a conduit l</w:t>
      </w:r>
      <w:r w:rsidR="008279BF">
        <w:rPr>
          <w:lang w:val="fr-FR"/>
        </w:rPr>
        <w:t>’</w:t>
      </w:r>
      <w:r w:rsidRPr="00EE4C2A">
        <w:rPr>
          <w:lang w:val="fr-FR"/>
        </w:rPr>
        <w:t>État partie à adopter en 2017 les Lignes directrices relatives à la protection de remplacement et à la réintégration, qui prévoient des mécanismes de prise en charge des enfants privés de leur environnement familial tout en soulignant l</w:t>
      </w:r>
      <w:r w:rsidR="008279BF">
        <w:rPr>
          <w:lang w:val="fr-FR"/>
        </w:rPr>
        <w:t>’</w:t>
      </w:r>
      <w:r w:rsidRPr="00EE4C2A">
        <w:rPr>
          <w:lang w:val="fr-FR"/>
        </w:rPr>
        <w:t>importance de préserver la famille. L</w:t>
      </w:r>
      <w:r w:rsidR="008279BF">
        <w:rPr>
          <w:lang w:val="fr-FR"/>
        </w:rPr>
        <w:t>’</w:t>
      </w:r>
      <w:r w:rsidR="00BD6EE8" w:rsidRPr="00EE4C2A">
        <w:rPr>
          <w:lang w:val="fr-FR"/>
        </w:rPr>
        <w:t>État</w:t>
      </w:r>
      <w:r w:rsidRPr="00EE4C2A">
        <w:rPr>
          <w:lang w:val="fr-FR"/>
        </w:rPr>
        <w:t xml:space="preserve"> partie mène actuellement dans certains districts des activités pilotes de réintégration des enfants séparés, dans le cadre de la mise en œuvre des directives de réintégration ainsi que de la désinstitution</w:t>
      </w:r>
      <w:r w:rsidR="00BD6EE8">
        <w:rPr>
          <w:lang w:val="fr-FR"/>
        </w:rPr>
        <w:t>n</w:t>
      </w:r>
      <w:r w:rsidRPr="00EE4C2A">
        <w:rPr>
          <w:lang w:val="fr-FR"/>
        </w:rPr>
        <w:t>alisation progressive. L</w:t>
      </w:r>
      <w:r w:rsidR="008279BF">
        <w:rPr>
          <w:lang w:val="fr-FR"/>
        </w:rPr>
        <w:t>’</w:t>
      </w:r>
      <w:r w:rsidRPr="00EE4C2A">
        <w:rPr>
          <w:lang w:val="fr-FR"/>
        </w:rPr>
        <w:t>objectif est de réduire le taux de placement et d</w:t>
      </w:r>
      <w:r w:rsidR="008279BF">
        <w:rPr>
          <w:lang w:val="fr-FR"/>
        </w:rPr>
        <w:t>’</w:t>
      </w:r>
      <w:r w:rsidRPr="00EE4C2A">
        <w:rPr>
          <w:lang w:val="fr-FR"/>
        </w:rPr>
        <w:t>augmenter le taux de sortie des enfants placés en institution.</w:t>
      </w:r>
    </w:p>
    <w:p w14:paraId="231F189F" w14:textId="1AB4517A" w:rsidR="00046F46" w:rsidRPr="00EE4C2A" w:rsidRDefault="00046F46" w:rsidP="00046F46">
      <w:pPr>
        <w:pStyle w:val="SingleTxtG"/>
        <w:rPr>
          <w:lang w:val="fr-FR"/>
        </w:rPr>
      </w:pPr>
      <w:r w:rsidRPr="00EE4C2A">
        <w:rPr>
          <w:lang w:val="fr-FR"/>
        </w:rPr>
        <w:t>91.</w:t>
      </w:r>
      <w:r w:rsidRPr="00EE4C2A">
        <w:rPr>
          <w:lang w:val="fr-FR"/>
        </w:rPr>
        <w:tab/>
        <w:t>En décembre 2019, la Stratégie de sensibilisation et de communication pour la promotion de la prise en charge familiale des enfants a été lancée afin de sensibiliser à l</w:t>
      </w:r>
      <w:r w:rsidR="008279BF">
        <w:rPr>
          <w:lang w:val="fr-FR"/>
        </w:rPr>
        <w:t>’</w:t>
      </w:r>
      <w:r w:rsidRPr="00EE4C2A">
        <w:rPr>
          <w:lang w:val="fr-FR"/>
        </w:rPr>
        <w:t>importance de la famille et de fournir des informations sur les solutions d</w:t>
      </w:r>
      <w:r w:rsidR="008279BF">
        <w:rPr>
          <w:lang w:val="fr-FR"/>
        </w:rPr>
        <w:t>’</w:t>
      </w:r>
      <w:r w:rsidRPr="00EE4C2A">
        <w:rPr>
          <w:lang w:val="fr-FR"/>
        </w:rPr>
        <w:t>accueil en milieu familial, telles que le placement chez des proches et l</w:t>
      </w:r>
      <w:r w:rsidR="008279BF">
        <w:rPr>
          <w:lang w:val="fr-FR"/>
        </w:rPr>
        <w:t>’</w:t>
      </w:r>
      <w:r w:rsidRPr="00EE4C2A">
        <w:rPr>
          <w:lang w:val="fr-FR"/>
        </w:rPr>
        <w:t>adoption. L</w:t>
      </w:r>
      <w:r w:rsidR="008279BF">
        <w:rPr>
          <w:lang w:val="fr-FR"/>
        </w:rPr>
        <w:t>’</w:t>
      </w:r>
      <w:r w:rsidRPr="00EE4C2A">
        <w:rPr>
          <w:lang w:val="fr-FR"/>
        </w:rPr>
        <w:t>État partie a également amélioré le Système de gestion des dossiers des enfants bénéficiant d</w:t>
      </w:r>
      <w:r w:rsidR="008279BF">
        <w:rPr>
          <w:lang w:val="fr-FR"/>
        </w:rPr>
        <w:t>’</w:t>
      </w:r>
      <w:r w:rsidRPr="00EE4C2A">
        <w:rPr>
          <w:lang w:val="fr-FR"/>
        </w:rPr>
        <w:t>une protection de remplacement, et a élaboré des outils pour recueillir des informations et faciliter le processus de prise de décision</w:t>
      </w:r>
      <w:r w:rsidR="00BD6EE8">
        <w:rPr>
          <w:lang w:val="fr-FR"/>
        </w:rPr>
        <w:t>s</w:t>
      </w:r>
      <w:r w:rsidRPr="00EE4C2A">
        <w:rPr>
          <w:lang w:val="fr-FR"/>
        </w:rPr>
        <w:t xml:space="preserve"> sur le placement des enfants. Les outils ont également été numérisés dans un Système informatisé d</w:t>
      </w:r>
      <w:r w:rsidR="008279BF">
        <w:rPr>
          <w:lang w:val="fr-FR"/>
        </w:rPr>
        <w:t>’</w:t>
      </w:r>
      <w:r w:rsidRPr="00EE4C2A">
        <w:rPr>
          <w:lang w:val="fr-FR"/>
        </w:rPr>
        <w:t>aide à la gestion qui a été décentralisé au niveau des structures d</w:t>
      </w:r>
      <w:r w:rsidR="008279BF">
        <w:rPr>
          <w:lang w:val="fr-FR"/>
        </w:rPr>
        <w:t>’</w:t>
      </w:r>
      <w:r w:rsidRPr="00EE4C2A">
        <w:rPr>
          <w:lang w:val="fr-FR"/>
        </w:rPr>
        <w:t>accueil pour permettre aux travailleurs sociaux de saisir tous les renseignements pertinents concernant les enfants.</w:t>
      </w:r>
    </w:p>
    <w:p w14:paraId="7B005410"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16 b) de la liste de points établie </w:t>
      </w:r>
      <w:r>
        <w:rPr>
          <w:bCs/>
          <w:lang w:val="fr-FR"/>
        </w:rPr>
        <w:t>avant la soumission du rapport</w:t>
      </w:r>
      <w:r w:rsidRPr="0083121F">
        <w:rPr>
          <w:bCs/>
          <w:lang w:val="fr-FR"/>
        </w:rPr>
        <w:t xml:space="preserve"> </w:t>
      </w:r>
    </w:p>
    <w:p w14:paraId="56A5F4E1" w14:textId="4E8FE8EE" w:rsidR="00046F46" w:rsidRPr="00EE4C2A" w:rsidRDefault="00046F46" w:rsidP="00046F46">
      <w:pPr>
        <w:pStyle w:val="SingleTxtG"/>
        <w:rPr>
          <w:lang w:val="fr-FR"/>
        </w:rPr>
      </w:pPr>
      <w:r w:rsidRPr="00EE4C2A">
        <w:rPr>
          <w:lang w:val="fr-FR"/>
        </w:rPr>
        <w:t>92.</w:t>
      </w:r>
      <w:r w:rsidRPr="00EE4C2A">
        <w:rPr>
          <w:lang w:val="fr-FR"/>
        </w:rPr>
        <w:tab/>
        <w:t>En ce qui concerne le placement en institution, l</w:t>
      </w:r>
      <w:r w:rsidR="008279BF">
        <w:rPr>
          <w:lang w:val="fr-FR"/>
        </w:rPr>
        <w:t>’</w:t>
      </w:r>
      <w:r w:rsidRPr="00EE4C2A">
        <w:rPr>
          <w:lang w:val="fr-FR"/>
        </w:rPr>
        <w:t>État partie tient à préciser que « le placement des enfants en institution est une mesure utilisée en dernier recours », ce qui signifie que les enfants devraient grandir dans un cadre familial qui leur prodigue soins et soutien. À cet effet, l</w:t>
      </w:r>
      <w:r w:rsidR="008279BF">
        <w:rPr>
          <w:lang w:val="fr-FR"/>
        </w:rPr>
        <w:t>’</w:t>
      </w:r>
      <w:r w:rsidRPr="00EE4C2A">
        <w:rPr>
          <w:lang w:val="fr-FR"/>
        </w:rPr>
        <w:t>État partie privilégie la prise en charge en milieu familial, notamment par des proches ou en famille d</w:t>
      </w:r>
      <w:r w:rsidR="008279BF">
        <w:rPr>
          <w:lang w:val="fr-FR"/>
        </w:rPr>
        <w:t>’</w:t>
      </w:r>
      <w:r w:rsidRPr="00EE4C2A">
        <w:rPr>
          <w:lang w:val="fr-FR"/>
        </w:rPr>
        <w:t>accueil, en apportant un soutien financier aux parents d</w:t>
      </w:r>
      <w:r w:rsidR="008279BF">
        <w:rPr>
          <w:lang w:val="fr-FR"/>
        </w:rPr>
        <w:t>’</w:t>
      </w:r>
      <w:r w:rsidRPr="00EE4C2A">
        <w:rPr>
          <w:lang w:val="fr-FR"/>
        </w:rPr>
        <w:t>accueil et aux proches volontaires. Les lignes directrices donnent clairement la priorité aux solutions de prise en charge en milieu familial, telles que le placement chez des proches et l</w:t>
      </w:r>
      <w:r w:rsidR="008279BF">
        <w:rPr>
          <w:lang w:val="fr-FR"/>
        </w:rPr>
        <w:t>’</w:t>
      </w:r>
      <w:r w:rsidRPr="00EE4C2A">
        <w:rPr>
          <w:lang w:val="fr-FR"/>
        </w:rPr>
        <w:t>adoption, et prévoient des parcours de réintégration pour les enfants déjà séparés de leurs parents ou représentants légaux. La mise en œuvre des lignes directrices a débuté par la formation des acteurs cl</w:t>
      </w:r>
      <w:r w:rsidR="00BD6EE8">
        <w:rPr>
          <w:lang w:val="fr-FR"/>
        </w:rPr>
        <w:t>ef</w:t>
      </w:r>
      <w:r w:rsidRPr="00EE4C2A">
        <w:rPr>
          <w:lang w:val="fr-FR"/>
        </w:rPr>
        <w:t>s, en particulier des acteurs non étatiques qui gèrent des structures d</w:t>
      </w:r>
      <w:r w:rsidR="008279BF">
        <w:rPr>
          <w:lang w:val="fr-FR"/>
        </w:rPr>
        <w:t>’</w:t>
      </w:r>
      <w:r w:rsidRPr="00EE4C2A">
        <w:rPr>
          <w:lang w:val="fr-FR"/>
        </w:rPr>
        <w:t>accueil pour enfants, afin de faciliter l</w:t>
      </w:r>
      <w:r w:rsidR="008279BF">
        <w:rPr>
          <w:lang w:val="fr-FR"/>
        </w:rPr>
        <w:t>’</w:t>
      </w:r>
      <w:r w:rsidRPr="00EE4C2A">
        <w:rPr>
          <w:lang w:val="fr-FR"/>
        </w:rPr>
        <w:t>évolution des mentalités et de privilégier la prise en charge en milieu familial.</w:t>
      </w:r>
    </w:p>
    <w:p w14:paraId="37B03A60"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Réponse concernant les points soulevés au paragraphe </w:t>
      </w:r>
      <w:r w:rsidRPr="00EE4C2A">
        <w:rPr>
          <w:lang w:val="fr-FR"/>
        </w:rPr>
        <w:t xml:space="preserve">6 (c) </w:t>
      </w:r>
      <w:r w:rsidRPr="00EE4C2A">
        <w:rPr>
          <w:bCs/>
          <w:lang w:val="fr-FR"/>
        </w:rPr>
        <w:t xml:space="preserve">de la liste de points établie </w:t>
      </w:r>
      <w:r>
        <w:rPr>
          <w:bCs/>
          <w:lang w:val="fr-FR"/>
        </w:rPr>
        <w:t xml:space="preserve">avant la soumission du rapport </w:t>
      </w:r>
    </w:p>
    <w:p w14:paraId="7EBC3828" w14:textId="40A067C4" w:rsidR="00046F46" w:rsidRPr="00EE4C2A" w:rsidRDefault="00046F46" w:rsidP="00046F46">
      <w:pPr>
        <w:pStyle w:val="SingleTxtG"/>
        <w:rPr>
          <w:lang w:val="fr-FR"/>
        </w:rPr>
      </w:pPr>
      <w:r w:rsidRPr="00EE4C2A">
        <w:rPr>
          <w:lang w:val="fr-FR"/>
        </w:rPr>
        <w:t>93.</w:t>
      </w:r>
      <w:r w:rsidRPr="00EE4C2A">
        <w:rPr>
          <w:lang w:val="fr-FR"/>
        </w:rPr>
        <w:tab/>
        <w:t>En ce qui concerne le soutien des proches et familles d</w:t>
      </w:r>
      <w:r w:rsidR="008279BF">
        <w:rPr>
          <w:lang w:val="fr-FR"/>
        </w:rPr>
        <w:t>’</w:t>
      </w:r>
      <w:r w:rsidRPr="00EE4C2A">
        <w:rPr>
          <w:lang w:val="fr-FR"/>
        </w:rPr>
        <w:t>accueil, l</w:t>
      </w:r>
      <w:r w:rsidR="008279BF">
        <w:rPr>
          <w:lang w:val="fr-FR"/>
        </w:rPr>
        <w:t>’</w:t>
      </w:r>
      <w:r w:rsidRPr="00EE4C2A">
        <w:rPr>
          <w:lang w:val="fr-FR"/>
        </w:rPr>
        <w:t>État partie souhaite rapporter que le Programme de transferts sociaux en espèces permet d</w:t>
      </w:r>
      <w:r w:rsidR="008279BF">
        <w:rPr>
          <w:lang w:val="fr-FR"/>
        </w:rPr>
        <w:t>’</w:t>
      </w:r>
      <w:r w:rsidRPr="00EE4C2A">
        <w:rPr>
          <w:lang w:val="fr-FR"/>
        </w:rPr>
        <w:t>aider financièrement les familles vulnérables et les ménages dirigés par des enfants. Ainsi, 632 326 ménages, dont 8 364 dirigés par des enfants, sont aidés par ce programme. Au total, 1 152 012 enfants ont bénéficié de ce programme. Entre 2016 et 2020, l</w:t>
      </w:r>
      <w:r w:rsidR="008279BF">
        <w:rPr>
          <w:lang w:val="fr-FR"/>
        </w:rPr>
        <w:t>’</w:t>
      </w:r>
      <w:r w:rsidRPr="00EE4C2A">
        <w:rPr>
          <w:lang w:val="fr-FR"/>
        </w:rPr>
        <w:t>Agence zambienne pour les personnes handicapée (ZAPD) a également mené des programmes d</w:t>
      </w:r>
      <w:r w:rsidR="008279BF">
        <w:rPr>
          <w:lang w:val="fr-FR"/>
        </w:rPr>
        <w:t>’</w:t>
      </w:r>
      <w:r w:rsidRPr="00EE4C2A">
        <w:rPr>
          <w:lang w:val="fr-FR"/>
        </w:rPr>
        <w:t>autonomisation à l</w:t>
      </w:r>
      <w:r w:rsidR="008279BF">
        <w:rPr>
          <w:lang w:val="fr-FR"/>
        </w:rPr>
        <w:t>’</w:t>
      </w:r>
      <w:r w:rsidRPr="00EE4C2A">
        <w:rPr>
          <w:lang w:val="fr-FR"/>
        </w:rPr>
        <w:t>intention des parents et représentants légaux d</w:t>
      </w:r>
      <w:r w:rsidR="008279BF">
        <w:rPr>
          <w:lang w:val="fr-FR"/>
        </w:rPr>
        <w:t>’</w:t>
      </w:r>
      <w:r w:rsidRPr="00EE4C2A">
        <w:rPr>
          <w:lang w:val="fr-FR"/>
        </w:rPr>
        <w:t>enfants handicapés. Un soutien financier et matériel a ainsi été apporté à 605 familles, et un soutien éducatif a été fourni à 383 familles, portant ainsi à 988 le nombre total de familles soutenues.</w:t>
      </w:r>
    </w:p>
    <w:p w14:paraId="15C35B15" w14:textId="77777777" w:rsidR="00046F46" w:rsidRPr="00EE4C2A" w:rsidRDefault="00046F46" w:rsidP="00BD6EE8">
      <w:pPr>
        <w:pStyle w:val="H23G"/>
        <w:rPr>
          <w:lang w:val="fr-FR"/>
        </w:rPr>
      </w:pPr>
      <w:r w:rsidRPr="00EE4C2A">
        <w:rPr>
          <w:lang w:val="fr-FR"/>
        </w:rPr>
        <w:tab/>
      </w:r>
      <w:r w:rsidRPr="00EE4C2A">
        <w:rPr>
          <w:lang w:val="fr-FR"/>
        </w:rPr>
        <w:tab/>
        <w:t xml:space="preserve">Réponse </w:t>
      </w:r>
      <w:r w:rsidRPr="00BD6EE8">
        <w:t>concernant</w:t>
      </w:r>
      <w:r w:rsidRPr="00EE4C2A">
        <w:rPr>
          <w:lang w:val="fr-FR"/>
        </w:rPr>
        <w:t xml:space="preserve"> les points soulevés au paragraphe 16 d) de la liste de points établie </w:t>
      </w:r>
      <w:r>
        <w:rPr>
          <w:lang w:val="fr-FR"/>
        </w:rPr>
        <w:t xml:space="preserve">avant la soumission du rapport </w:t>
      </w:r>
    </w:p>
    <w:p w14:paraId="0289F48C" w14:textId="3AE57A4F" w:rsidR="00046F46" w:rsidRPr="00EE4C2A" w:rsidRDefault="00046F46" w:rsidP="00046F46">
      <w:pPr>
        <w:pStyle w:val="SingleTxtG"/>
        <w:rPr>
          <w:lang w:val="fr-FR"/>
        </w:rPr>
      </w:pPr>
      <w:r w:rsidRPr="00EE4C2A">
        <w:rPr>
          <w:lang w:val="fr-FR"/>
        </w:rPr>
        <w:t>94.</w:t>
      </w:r>
      <w:r w:rsidRPr="00EE4C2A">
        <w:rPr>
          <w:lang w:val="fr-FR"/>
        </w:rPr>
        <w:tab/>
        <w:t>Afin de veiller à ce que les enfants de moins de 3 ans bénéficient toujours d</w:t>
      </w:r>
      <w:r w:rsidR="008279BF">
        <w:rPr>
          <w:lang w:val="fr-FR"/>
        </w:rPr>
        <w:t>’</w:t>
      </w:r>
      <w:r w:rsidRPr="00EE4C2A">
        <w:rPr>
          <w:lang w:val="fr-FR"/>
        </w:rPr>
        <w:t>une protection de remplacement, le placement en institution n</w:t>
      </w:r>
      <w:r w:rsidR="008279BF">
        <w:rPr>
          <w:lang w:val="fr-FR"/>
        </w:rPr>
        <w:t>’</w:t>
      </w:r>
      <w:r w:rsidRPr="00EE4C2A">
        <w:rPr>
          <w:lang w:val="fr-FR"/>
        </w:rPr>
        <w:t>est envisagé qu</w:t>
      </w:r>
      <w:r w:rsidR="008279BF">
        <w:rPr>
          <w:lang w:val="fr-FR"/>
        </w:rPr>
        <w:t>’</w:t>
      </w:r>
      <w:r w:rsidRPr="00EE4C2A">
        <w:rPr>
          <w:lang w:val="fr-FR"/>
        </w:rPr>
        <w:t>en dernier recours. Le placement en milieu familial est privilégié pour une prise en charge holistique adaptée. Le placement chez des proches ou dans une famille d</w:t>
      </w:r>
      <w:r w:rsidR="008279BF">
        <w:rPr>
          <w:lang w:val="fr-FR"/>
        </w:rPr>
        <w:t>’</w:t>
      </w:r>
      <w:r w:rsidRPr="00EE4C2A">
        <w:rPr>
          <w:lang w:val="fr-FR"/>
        </w:rPr>
        <w:t>accueil ou adoptive est systématiquement étudié lorsque les enfants ont besoin d</w:t>
      </w:r>
      <w:r w:rsidR="008279BF">
        <w:rPr>
          <w:lang w:val="fr-FR"/>
        </w:rPr>
        <w:t>’</w:t>
      </w:r>
      <w:r w:rsidRPr="00EE4C2A">
        <w:rPr>
          <w:lang w:val="fr-FR"/>
        </w:rPr>
        <w:t>une prise en charge.</w:t>
      </w:r>
    </w:p>
    <w:p w14:paraId="0177500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16 e) de la liste de points établie </w:t>
      </w:r>
      <w:r>
        <w:rPr>
          <w:bCs/>
          <w:lang w:val="fr-FR"/>
        </w:rPr>
        <w:t xml:space="preserve">avant la soumission du rapport </w:t>
      </w:r>
    </w:p>
    <w:p w14:paraId="594562ED" w14:textId="7163DD07" w:rsidR="00046F46" w:rsidRPr="00EE4C2A" w:rsidRDefault="00046F46" w:rsidP="00046F46">
      <w:pPr>
        <w:pStyle w:val="SingleTxtG"/>
        <w:rPr>
          <w:lang w:val="fr-FR"/>
        </w:rPr>
      </w:pPr>
      <w:r w:rsidRPr="00EE4C2A">
        <w:rPr>
          <w:lang w:val="fr-FR"/>
        </w:rPr>
        <w:t>95.</w:t>
      </w:r>
      <w:r w:rsidRPr="00EE4C2A">
        <w:rPr>
          <w:lang w:val="fr-FR"/>
        </w:rPr>
        <w:tab/>
        <w:t>En ce qui concerne le soutien aux parents lorsque les enfants sont placés dans une structure de protection de remplacement, l</w:t>
      </w:r>
      <w:r w:rsidR="008279BF">
        <w:rPr>
          <w:lang w:val="fr-FR"/>
        </w:rPr>
        <w:t>’</w:t>
      </w:r>
      <w:r w:rsidRPr="00EE4C2A">
        <w:rPr>
          <w:lang w:val="fr-FR"/>
        </w:rPr>
        <w:t>État partie souhaite rapporter qu</w:t>
      </w:r>
      <w:r w:rsidR="008279BF">
        <w:rPr>
          <w:lang w:val="fr-FR"/>
        </w:rPr>
        <w:t>’</w:t>
      </w:r>
      <w:r w:rsidRPr="00EE4C2A">
        <w:rPr>
          <w:lang w:val="fr-FR"/>
        </w:rPr>
        <w:t>il existe un certain nombre de programmes à l</w:t>
      </w:r>
      <w:r w:rsidR="008279BF">
        <w:rPr>
          <w:lang w:val="fr-FR"/>
        </w:rPr>
        <w:t>’</w:t>
      </w:r>
      <w:r w:rsidRPr="00EE4C2A">
        <w:rPr>
          <w:lang w:val="fr-FR"/>
        </w:rPr>
        <w:t>intention des familles pauvres, tels que les transferts sociaux en espèces, les programmes de soutien aux agriculteurs, l</w:t>
      </w:r>
      <w:r w:rsidR="008279BF">
        <w:rPr>
          <w:lang w:val="fr-FR"/>
        </w:rPr>
        <w:t>’</w:t>
      </w:r>
      <w:r w:rsidRPr="00EE4C2A">
        <w:rPr>
          <w:lang w:val="fr-FR"/>
        </w:rPr>
        <w:t>aide à l</w:t>
      </w:r>
      <w:r w:rsidR="008279BF">
        <w:rPr>
          <w:lang w:val="fr-FR"/>
        </w:rPr>
        <w:t>’</w:t>
      </w:r>
      <w:r w:rsidRPr="00EE4C2A">
        <w:rPr>
          <w:lang w:val="fr-FR"/>
        </w:rPr>
        <w:t>émancipation des femmes, les bourses, l</w:t>
      </w:r>
      <w:r w:rsidR="008279BF">
        <w:rPr>
          <w:lang w:val="fr-FR"/>
        </w:rPr>
        <w:t>’</w:t>
      </w:r>
      <w:r w:rsidRPr="00EE4C2A">
        <w:rPr>
          <w:lang w:val="fr-FR"/>
        </w:rPr>
        <w:t>aide à la subsistance et les groupes d</w:t>
      </w:r>
      <w:r w:rsidR="008279BF">
        <w:rPr>
          <w:lang w:val="fr-FR"/>
        </w:rPr>
        <w:t>’</w:t>
      </w:r>
      <w:r w:rsidRPr="00EE4C2A">
        <w:rPr>
          <w:lang w:val="fr-FR"/>
        </w:rPr>
        <w:t>épargnantes. Tous ces programmes visent à améliorer la vie des familles pauvres, afin qu</w:t>
      </w:r>
      <w:r w:rsidR="008279BF">
        <w:rPr>
          <w:lang w:val="fr-FR"/>
        </w:rPr>
        <w:t>’</w:t>
      </w:r>
      <w:r w:rsidRPr="00EE4C2A">
        <w:rPr>
          <w:lang w:val="fr-FR"/>
        </w:rPr>
        <w:t>elles soient en mesure de subvenir à leurs besoins fondamentaux.</w:t>
      </w:r>
    </w:p>
    <w:p w14:paraId="55F0F4C8" w14:textId="77777777" w:rsidR="00046F46" w:rsidRPr="00EE4C2A" w:rsidRDefault="00046F46" w:rsidP="00BD6EE8">
      <w:pPr>
        <w:pStyle w:val="H23G"/>
        <w:rPr>
          <w:lang w:val="fr-FR"/>
        </w:rPr>
      </w:pPr>
      <w:r w:rsidRPr="00EE4C2A">
        <w:rPr>
          <w:lang w:val="fr-FR"/>
        </w:rPr>
        <w:tab/>
      </w:r>
      <w:r w:rsidRPr="00EE4C2A">
        <w:rPr>
          <w:lang w:val="fr-FR"/>
        </w:rPr>
        <w:tab/>
        <w:t xml:space="preserve">Réponse </w:t>
      </w:r>
      <w:r w:rsidRPr="00BD6EE8">
        <w:t>concernant</w:t>
      </w:r>
      <w:r w:rsidRPr="00EE4C2A">
        <w:rPr>
          <w:lang w:val="fr-FR"/>
        </w:rPr>
        <w:t xml:space="preserve"> les points soulevés au paragraphe 16 f) de la liste de points établie </w:t>
      </w:r>
      <w:r>
        <w:rPr>
          <w:lang w:val="fr-FR"/>
        </w:rPr>
        <w:t xml:space="preserve">avant la soumission du </w:t>
      </w:r>
      <w:r w:rsidRPr="00BD6EE8">
        <w:rPr>
          <w:bCs/>
          <w:lang w:val="fr-FR"/>
        </w:rPr>
        <w:t>rapport</w:t>
      </w:r>
      <w:r>
        <w:rPr>
          <w:lang w:val="fr-FR"/>
        </w:rPr>
        <w:t xml:space="preserve"> </w:t>
      </w:r>
    </w:p>
    <w:p w14:paraId="17EB8FD3" w14:textId="7A8A3565" w:rsidR="00046F46" w:rsidRPr="00EE4C2A" w:rsidRDefault="00046F46" w:rsidP="00046F46">
      <w:pPr>
        <w:pStyle w:val="SingleTxtG"/>
        <w:rPr>
          <w:lang w:val="fr-FR"/>
        </w:rPr>
      </w:pPr>
      <w:r w:rsidRPr="00EE4C2A">
        <w:rPr>
          <w:lang w:val="fr-FR"/>
        </w:rPr>
        <w:t>96.</w:t>
      </w:r>
      <w:r w:rsidRPr="00EE4C2A">
        <w:rPr>
          <w:lang w:val="fr-FR"/>
        </w:rPr>
        <w:tab/>
        <w:t>En ce qui concerne la suppression progressive des institutions, l</w:t>
      </w:r>
      <w:r w:rsidR="008279BF">
        <w:rPr>
          <w:lang w:val="fr-FR"/>
        </w:rPr>
        <w:t>’</w:t>
      </w:r>
      <w:r w:rsidRPr="00EE4C2A">
        <w:rPr>
          <w:lang w:val="fr-FR"/>
        </w:rPr>
        <w:t>État partie décourage le placement en institution en raison de ses effets préjudiciables sur le bien-être social et psychologique des enfants. Les enfants ne sont placés dans une structure de protection de remplacement que lorsque toutes les solutions possibles ont été envisagées et écartées. Les placements sont conformes aux Lignes directrices relatives à la protection de remplacement. Les institutions sont tenues de respecter les normes minimales de prise en charge et d</w:t>
      </w:r>
      <w:r w:rsidR="008279BF">
        <w:rPr>
          <w:lang w:val="fr-FR"/>
        </w:rPr>
        <w:t>’</w:t>
      </w:r>
      <w:r w:rsidRPr="00EE4C2A">
        <w:rPr>
          <w:lang w:val="fr-FR"/>
        </w:rPr>
        <w:t>adopter une politique de protection de l</w:t>
      </w:r>
      <w:r w:rsidR="008279BF">
        <w:rPr>
          <w:lang w:val="fr-FR"/>
        </w:rPr>
        <w:t>’</w:t>
      </w:r>
      <w:r w:rsidRPr="00EE4C2A">
        <w:rPr>
          <w:lang w:val="fr-FR"/>
        </w:rPr>
        <w:t>enfance. Des directives ont été élaborées pour veiller à ce que les enfants ne soient placés qu</w:t>
      </w:r>
      <w:r w:rsidR="008279BF">
        <w:rPr>
          <w:lang w:val="fr-FR"/>
        </w:rPr>
        <w:t>’</w:t>
      </w:r>
      <w:r w:rsidRPr="00EE4C2A">
        <w:rPr>
          <w:lang w:val="fr-FR"/>
        </w:rPr>
        <w:t>après un examen en bonne et due forme de leur situation.</w:t>
      </w:r>
    </w:p>
    <w:p w14:paraId="42F94C19" w14:textId="77777777" w:rsidR="00046F46" w:rsidRPr="00EE4C2A" w:rsidRDefault="00046F46" w:rsidP="00046F46">
      <w:pPr>
        <w:pStyle w:val="H1G"/>
        <w:rPr>
          <w:lang w:val="fr-FR"/>
        </w:rPr>
      </w:pPr>
      <w:bookmarkStart w:id="26" w:name="_Toc63937980"/>
      <w:r w:rsidRPr="00EE4C2A">
        <w:rPr>
          <w:lang w:val="fr-FR"/>
        </w:rPr>
        <w:lastRenderedPageBreak/>
        <w:tab/>
      </w:r>
      <w:r w:rsidRPr="00EE4C2A">
        <w:rPr>
          <w:lang w:val="fr-FR"/>
        </w:rPr>
        <w:tab/>
      </w:r>
      <w:r w:rsidRPr="00EE4C2A">
        <w:rPr>
          <w:bCs/>
          <w:lang w:val="fr-FR"/>
        </w:rPr>
        <w:t>Adoption</w:t>
      </w:r>
      <w:bookmarkEnd w:id="26"/>
    </w:p>
    <w:p w14:paraId="70E928A1"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17 de la liste de points établie </w:t>
      </w:r>
      <w:r>
        <w:rPr>
          <w:bCs/>
          <w:lang w:val="fr-FR"/>
        </w:rPr>
        <w:t>avant la soumission du rapport</w:t>
      </w:r>
      <w:r w:rsidRPr="0069395D">
        <w:rPr>
          <w:bCs/>
          <w:lang w:val="fr-FR"/>
        </w:rPr>
        <w:t xml:space="preserve"> </w:t>
      </w:r>
    </w:p>
    <w:p w14:paraId="3BC8A89E" w14:textId="688CEB66" w:rsidR="00046F46" w:rsidRPr="00EE4C2A" w:rsidRDefault="00046F46" w:rsidP="00046F46">
      <w:pPr>
        <w:pStyle w:val="SingleTxtG"/>
        <w:rPr>
          <w:lang w:val="fr-FR"/>
        </w:rPr>
      </w:pPr>
      <w:r w:rsidRPr="00EE4C2A">
        <w:rPr>
          <w:lang w:val="fr-FR"/>
        </w:rPr>
        <w:t>97.</w:t>
      </w:r>
      <w:r w:rsidRPr="00EE4C2A">
        <w:rPr>
          <w:lang w:val="fr-FR"/>
        </w:rPr>
        <w:tab/>
        <w:t>L</w:t>
      </w:r>
      <w:r w:rsidR="008279BF">
        <w:rPr>
          <w:lang w:val="fr-FR"/>
        </w:rPr>
        <w:t>’</w:t>
      </w:r>
      <w:r w:rsidRPr="00EE4C2A">
        <w:rPr>
          <w:lang w:val="fr-FR"/>
        </w:rPr>
        <w:t>État partie souhaite rapporter que les procédures régissant les adoptions internationales font partie des Lignes directrices relatives à la protection de remplacement et à la réintégration. L</w:t>
      </w:r>
      <w:r w:rsidR="008279BF">
        <w:rPr>
          <w:lang w:val="fr-FR"/>
        </w:rPr>
        <w:t>’</w:t>
      </w:r>
      <w:r w:rsidRPr="00EE4C2A">
        <w:rPr>
          <w:lang w:val="fr-FR"/>
        </w:rPr>
        <w:t xml:space="preserve">incorporation des dispositions de la Convention de La Haye dans le </w:t>
      </w:r>
      <w:r>
        <w:rPr>
          <w:lang w:val="fr-FR"/>
        </w:rPr>
        <w:t>droit interne</w:t>
      </w:r>
      <w:r w:rsidRPr="00EE4C2A">
        <w:rPr>
          <w:lang w:val="fr-FR"/>
        </w:rPr>
        <w:t xml:space="preserve"> est prévue </w:t>
      </w:r>
      <w:r>
        <w:rPr>
          <w:lang w:val="fr-FR"/>
        </w:rPr>
        <w:t>par</w:t>
      </w:r>
      <w:r w:rsidRPr="00EE4C2A">
        <w:rPr>
          <w:lang w:val="fr-FR"/>
        </w:rPr>
        <w:t xml:space="preserve"> le projet de loi relatif au Code de protection de l</w:t>
      </w:r>
      <w:r w:rsidR="008279BF">
        <w:rPr>
          <w:lang w:val="fr-FR"/>
        </w:rPr>
        <w:t>’</w:t>
      </w:r>
      <w:r w:rsidRPr="00EE4C2A">
        <w:rPr>
          <w:lang w:val="fr-FR"/>
        </w:rPr>
        <w:t>enfance, qui devrait permettre de mettre en œuvre les prescriptions législatives prévues</w:t>
      </w:r>
      <w:r>
        <w:rPr>
          <w:lang w:val="fr-FR"/>
        </w:rPr>
        <w:t xml:space="preserve"> par la Convention de La </w:t>
      </w:r>
      <w:r w:rsidRPr="00EE4C2A">
        <w:rPr>
          <w:lang w:val="fr-FR"/>
        </w:rPr>
        <w:t>Haye. Des normes nationales en matière d</w:t>
      </w:r>
      <w:r w:rsidR="008279BF">
        <w:rPr>
          <w:lang w:val="fr-FR"/>
        </w:rPr>
        <w:t>’</w:t>
      </w:r>
      <w:r w:rsidRPr="00EE4C2A">
        <w:rPr>
          <w:lang w:val="fr-FR"/>
        </w:rPr>
        <w:t>agrément et d</w:t>
      </w:r>
      <w:r w:rsidR="008279BF">
        <w:rPr>
          <w:lang w:val="fr-FR"/>
        </w:rPr>
        <w:t>’</w:t>
      </w:r>
      <w:r w:rsidRPr="00EE4C2A">
        <w:rPr>
          <w:lang w:val="fr-FR"/>
        </w:rPr>
        <w:t>habilitation des organismes d</w:t>
      </w:r>
      <w:r w:rsidR="008279BF">
        <w:rPr>
          <w:lang w:val="fr-FR"/>
        </w:rPr>
        <w:t>’</w:t>
      </w:r>
      <w:r w:rsidRPr="00EE4C2A">
        <w:rPr>
          <w:lang w:val="fr-FR"/>
        </w:rPr>
        <w:t>adoption ont également été élaborées et seront présentées au Parlement sous forme de textes réglementaires.</w:t>
      </w:r>
    </w:p>
    <w:p w14:paraId="1BF98041" w14:textId="77777777" w:rsidR="00046F46" w:rsidRPr="00EE4C2A" w:rsidRDefault="00046F46" w:rsidP="00046F46">
      <w:pPr>
        <w:pStyle w:val="H1G"/>
        <w:rPr>
          <w:lang w:val="fr-FR"/>
        </w:rPr>
      </w:pPr>
      <w:bookmarkStart w:id="27" w:name="_Toc63937981"/>
      <w:r w:rsidRPr="00EE4C2A">
        <w:rPr>
          <w:lang w:val="fr-FR"/>
        </w:rPr>
        <w:tab/>
      </w:r>
      <w:r w:rsidRPr="00EE4C2A">
        <w:rPr>
          <w:lang w:val="fr-FR"/>
        </w:rPr>
        <w:tab/>
      </w:r>
      <w:r w:rsidRPr="00EE4C2A">
        <w:rPr>
          <w:bCs/>
          <w:lang w:val="fr-FR"/>
        </w:rPr>
        <w:t>Enfants vivant en prison avec leur mère</w:t>
      </w:r>
      <w:bookmarkEnd w:id="27"/>
    </w:p>
    <w:p w14:paraId="4DBA02B2"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18 de la liste de points établie </w:t>
      </w:r>
      <w:r>
        <w:rPr>
          <w:bCs/>
          <w:lang w:val="fr-FR"/>
        </w:rPr>
        <w:t xml:space="preserve">avant la soumission du rapport </w:t>
      </w:r>
    </w:p>
    <w:p w14:paraId="740652A2" w14:textId="17B6C046" w:rsidR="00046F46" w:rsidRPr="00EE4C2A" w:rsidRDefault="00046F46" w:rsidP="00046F46">
      <w:pPr>
        <w:pStyle w:val="SingleTxtG"/>
        <w:rPr>
          <w:lang w:val="fr-FR"/>
        </w:rPr>
      </w:pPr>
      <w:r w:rsidRPr="00B45399">
        <w:rPr>
          <w:lang w:val="fr-FR"/>
        </w:rPr>
        <w:t>98.</w:t>
      </w:r>
      <w:r w:rsidRPr="00B45399">
        <w:rPr>
          <w:lang w:val="fr-FR"/>
        </w:rPr>
        <w:tab/>
        <w:t>L</w:t>
      </w:r>
      <w:r w:rsidR="008279BF">
        <w:rPr>
          <w:lang w:val="fr-FR"/>
        </w:rPr>
        <w:t>’</w:t>
      </w:r>
      <w:r w:rsidRPr="00B45399">
        <w:rPr>
          <w:lang w:val="fr-FR"/>
        </w:rPr>
        <w:t>État partie souhaite rapporter que des efforts sont déployés pour servir au mieux les intérêts des enfants qui vivent avec leur mère dans des établissements pénitentiaires, en traitant les situations au cas par cas, selon les enfants, et en promouvant une protection de remplacement dans la mesure du possible. Une enquête a été réalisée en 2018 pour comprendre la situation de ces enfants, et un ensemble de mesures, portant notamment sur l</w:t>
      </w:r>
      <w:r w:rsidR="008279BF">
        <w:rPr>
          <w:lang w:val="fr-FR"/>
        </w:rPr>
        <w:t>’</w:t>
      </w:r>
      <w:r w:rsidRPr="00B45399">
        <w:rPr>
          <w:lang w:val="fr-FR"/>
        </w:rPr>
        <w:t>amélioration de la nutrition, des services de santé et de l</w:t>
      </w:r>
      <w:r w:rsidR="008279BF">
        <w:rPr>
          <w:lang w:val="fr-FR"/>
        </w:rPr>
        <w:t>’</w:t>
      </w:r>
      <w:r w:rsidRPr="00B45399">
        <w:rPr>
          <w:lang w:val="fr-FR"/>
        </w:rPr>
        <w:t>enseignement préprimaire, ont été classées par ordre de priorité selon une approche multisectorielle. L</w:t>
      </w:r>
      <w:r w:rsidR="008279BF">
        <w:rPr>
          <w:lang w:val="fr-FR"/>
        </w:rPr>
        <w:t>’</w:t>
      </w:r>
      <w:r w:rsidRPr="00B45399">
        <w:rPr>
          <w:lang w:val="fr-FR"/>
        </w:rPr>
        <w:t>État partie, par l</w:t>
      </w:r>
      <w:r w:rsidR="008279BF">
        <w:rPr>
          <w:lang w:val="fr-FR"/>
        </w:rPr>
        <w:t>’</w:t>
      </w:r>
      <w:r w:rsidRPr="00B45399">
        <w:rPr>
          <w:lang w:val="fr-FR"/>
        </w:rPr>
        <w:t>intermédiaire de son partenaire « Mères sans frontières », s</w:t>
      </w:r>
      <w:r w:rsidR="008279BF">
        <w:rPr>
          <w:lang w:val="fr-FR"/>
        </w:rPr>
        <w:t>’</w:t>
      </w:r>
      <w:r w:rsidRPr="00B45399">
        <w:rPr>
          <w:lang w:val="fr-FR"/>
        </w:rPr>
        <w:t>efforce d</w:t>
      </w:r>
      <w:r w:rsidR="008279BF">
        <w:rPr>
          <w:lang w:val="fr-FR"/>
        </w:rPr>
        <w:t>’</w:t>
      </w:r>
      <w:r w:rsidRPr="00B45399">
        <w:rPr>
          <w:lang w:val="fr-FR"/>
        </w:rPr>
        <w:t>améliorer les services de nutrition, de santé et d</w:t>
      </w:r>
      <w:r w:rsidR="008279BF">
        <w:rPr>
          <w:lang w:val="fr-FR"/>
        </w:rPr>
        <w:t>’</w:t>
      </w:r>
      <w:r w:rsidRPr="00B45399">
        <w:rPr>
          <w:lang w:val="fr-FR"/>
        </w:rPr>
        <w:t>éducation pour les enfants vivant en prison avec leur mère.</w:t>
      </w:r>
    </w:p>
    <w:p w14:paraId="319D073D" w14:textId="4F19C1B6" w:rsidR="00046F46" w:rsidRPr="00EE4C2A" w:rsidRDefault="00046F46" w:rsidP="00046F46">
      <w:pPr>
        <w:pStyle w:val="SingleTxtG"/>
        <w:rPr>
          <w:lang w:val="fr-FR"/>
        </w:rPr>
      </w:pPr>
      <w:r w:rsidRPr="00EE4C2A">
        <w:rPr>
          <w:lang w:val="fr-FR"/>
        </w:rPr>
        <w:t>99.</w:t>
      </w:r>
      <w:r w:rsidRPr="00EE4C2A">
        <w:rPr>
          <w:lang w:val="fr-FR"/>
        </w:rPr>
        <w:tab/>
        <w:t>À l</w:t>
      </w:r>
      <w:r w:rsidR="008279BF">
        <w:rPr>
          <w:lang w:val="fr-FR"/>
        </w:rPr>
        <w:t>’</w:t>
      </w:r>
      <w:r w:rsidRPr="00EE4C2A">
        <w:rPr>
          <w:lang w:val="fr-FR"/>
        </w:rPr>
        <w:t>heure actuelle, il n</w:t>
      </w:r>
      <w:r w:rsidR="008279BF">
        <w:rPr>
          <w:lang w:val="fr-FR"/>
        </w:rPr>
        <w:t>’</w:t>
      </w:r>
      <w:r w:rsidRPr="00EE4C2A">
        <w:rPr>
          <w:lang w:val="fr-FR"/>
        </w:rPr>
        <w:t>existe aucun arrangement formalisé régissant le traitement des enfants vivant avec leur mère en prison pour faciliter l</w:t>
      </w:r>
      <w:r w:rsidR="008279BF">
        <w:rPr>
          <w:lang w:val="fr-FR"/>
        </w:rPr>
        <w:t>’</w:t>
      </w:r>
      <w:r w:rsidRPr="00EE4C2A">
        <w:rPr>
          <w:lang w:val="fr-FR"/>
        </w:rPr>
        <w:t>accès à une alimentation adéquate et nutritive, à des services de santé, au droit de jouer et à l</w:t>
      </w:r>
      <w:r w:rsidR="008279BF">
        <w:rPr>
          <w:lang w:val="fr-FR"/>
        </w:rPr>
        <w:t>’</w:t>
      </w:r>
      <w:r w:rsidRPr="00EE4C2A">
        <w:rPr>
          <w:lang w:val="fr-FR"/>
        </w:rPr>
        <w:t>éducation préscolaire. Toutefois, les agents de l</w:t>
      </w:r>
      <w:r w:rsidR="008279BF">
        <w:rPr>
          <w:lang w:val="fr-FR"/>
        </w:rPr>
        <w:t>’</w:t>
      </w:r>
      <w:r w:rsidRPr="00EE4C2A">
        <w:rPr>
          <w:lang w:val="fr-FR"/>
        </w:rPr>
        <w:t>administration pénitentiaire acceptent que les enfants soient emmenés dans des établissements de santé lorsqu</w:t>
      </w:r>
      <w:r w:rsidR="008279BF">
        <w:rPr>
          <w:lang w:val="fr-FR"/>
        </w:rPr>
        <w:t>’</w:t>
      </w:r>
      <w:r w:rsidRPr="00EE4C2A">
        <w:rPr>
          <w:lang w:val="fr-FR"/>
        </w:rPr>
        <w:t>ils sont malades et dans le cadre de programmes spécifiques de prévention sanitaire, tels que les programmes de vaccination et de vermifugation.</w:t>
      </w:r>
    </w:p>
    <w:p w14:paraId="702B88B2" w14:textId="77777777" w:rsidR="00046F46" w:rsidRPr="00EE4C2A" w:rsidRDefault="00046F46" w:rsidP="00046F46">
      <w:pPr>
        <w:pStyle w:val="H1G"/>
        <w:rPr>
          <w:lang w:val="fr-FR"/>
        </w:rPr>
      </w:pPr>
      <w:r w:rsidRPr="00EE4C2A">
        <w:rPr>
          <w:bCs/>
          <w:lang w:val="fr-FR"/>
        </w:rPr>
        <w:tab/>
        <w:t>F.</w:t>
      </w:r>
      <w:r w:rsidRPr="00EE4C2A">
        <w:rPr>
          <w:lang w:val="fr-FR"/>
        </w:rPr>
        <w:tab/>
      </w:r>
      <w:r w:rsidRPr="00EE4C2A">
        <w:rPr>
          <w:bCs/>
          <w:lang w:val="fr-FR"/>
        </w:rPr>
        <w:t>Enfants handicapés (art. 23)</w:t>
      </w:r>
      <w:bookmarkStart w:id="28" w:name="_Toc63937982"/>
      <w:bookmarkEnd w:id="28"/>
    </w:p>
    <w:p w14:paraId="51281730"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19 a) de la liste de points établie </w:t>
      </w:r>
      <w:r>
        <w:rPr>
          <w:bCs/>
          <w:lang w:val="fr-FR"/>
        </w:rPr>
        <w:t xml:space="preserve">avant la soumission du rapport </w:t>
      </w:r>
    </w:p>
    <w:p w14:paraId="0A0E7677" w14:textId="4236CCDB" w:rsidR="00046F46" w:rsidRPr="00EE4C2A" w:rsidRDefault="00046F46" w:rsidP="00046F46">
      <w:pPr>
        <w:pStyle w:val="SingleTxtG"/>
        <w:rPr>
          <w:lang w:val="fr-FR"/>
        </w:rPr>
      </w:pPr>
      <w:r w:rsidRPr="00EE4C2A">
        <w:rPr>
          <w:lang w:val="fr-FR"/>
        </w:rPr>
        <w:t>100.</w:t>
      </w:r>
      <w:r w:rsidRPr="00EE4C2A">
        <w:rPr>
          <w:lang w:val="fr-FR"/>
        </w:rPr>
        <w:tab/>
        <w:t>Pour que la loi de 2012 relative aux personnes handicapées soit pleinement appliquée, l</w:t>
      </w:r>
      <w:r w:rsidR="008279BF">
        <w:rPr>
          <w:lang w:val="fr-FR"/>
        </w:rPr>
        <w:t>’</w:t>
      </w:r>
      <w:r w:rsidRPr="00EE4C2A">
        <w:rPr>
          <w:lang w:val="fr-FR"/>
        </w:rPr>
        <w:t>État partie parachève actuellement les instruments juridiques concernant l</w:t>
      </w:r>
      <w:r w:rsidR="008279BF">
        <w:rPr>
          <w:lang w:val="fr-FR"/>
        </w:rPr>
        <w:t>’</w:t>
      </w:r>
      <w:r w:rsidRPr="00EE4C2A">
        <w:rPr>
          <w:lang w:val="fr-FR"/>
        </w:rPr>
        <w:t>éducation, la santé, le travail et les transports dans le cadre de la mise en œuvre de cette loi. L</w:t>
      </w:r>
      <w:r w:rsidR="008279BF">
        <w:rPr>
          <w:lang w:val="fr-FR"/>
        </w:rPr>
        <w:t>’</w:t>
      </w:r>
      <w:r w:rsidRPr="00EE4C2A">
        <w:rPr>
          <w:lang w:val="fr-FR"/>
        </w:rPr>
        <w:t>État partie a également adopté plusieurs mesures pour intégrer la question du handicap dans les ministères de tutelle en nommant des coordonnateurs chargés de veiller à sa prise en compte. Le coordonnateur compétent veille à ce que les enfants handicapés ne soient pas laissés pour compte dans la budgétisation et la mise en œuvre des programmes relatifs aux enfants.</w:t>
      </w:r>
    </w:p>
    <w:p w14:paraId="67E36787" w14:textId="77777777" w:rsidR="00046F46" w:rsidRPr="00B45399" w:rsidRDefault="00046F46" w:rsidP="00046F46">
      <w:pPr>
        <w:pStyle w:val="H23G"/>
        <w:rPr>
          <w:lang w:val="fr-FR"/>
        </w:rPr>
      </w:pPr>
      <w:r w:rsidRPr="00EE4C2A">
        <w:rPr>
          <w:lang w:val="fr-FR"/>
        </w:rPr>
        <w:tab/>
      </w:r>
      <w:r w:rsidRPr="00EE4C2A">
        <w:rPr>
          <w:lang w:val="fr-FR"/>
        </w:rPr>
        <w:tab/>
      </w:r>
      <w:r w:rsidRPr="00B45399">
        <w:rPr>
          <w:bCs/>
          <w:lang w:val="fr-FR"/>
        </w:rPr>
        <w:t xml:space="preserve">Réponse concernant les points soulevés au paragraphe 19 b) de la liste de points établie avant la soumission du rapport </w:t>
      </w:r>
    </w:p>
    <w:p w14:paraId="1A079E01" w14:textId="14C1564B" w:rsidR="00046F46" w:rsidRPr="00EE4C2A" w:rsidRDefault="00046F46" w:rsidP="00046F46">
      <w:pPr>
        <w:pStyle w:val="SingleTxtG"/>
        <w:rPr>
          <w:lang w:val="fr-FR"/>
        </w:rPr>
      </w:pPr>
      <w:r w:rsidRPr="00B45399">
        <w:rPr>
          <w:lang w:val="fr-FR"/>
        </w:rPr>
        <w:t>101.</w:t>
      </w:r>
      <w:r w:rsidRPr="00B45399">
        <w:rPr>
          <w:lang w:val="fr-FR"/>
        </w:rPr>
        <w:tab/>
        <w:t>Pour veiller à ce que les enfants handicapés aient accès aux services d</w:t>
      </w:r>
      <w:r w:rsidR="008279BF">
        <w:rPr>
          <w:lang w:val="fr-FR"/>
        </w:rPr>
        <w:t>’</w:t>
      </w:r>
      <w:r w:rsidRPr="00B45399">
        <w:rPr>
          <w:lang w:val="fr-FR"/>
        </w:rPr>
        <w:t>accueil et d</w:t>
      </w:r>
      <w:r w:rsidR="008279BF">
        <w:rPr>
          <w:lang w:val="fr-FR"/>
        </w:rPr>
        <w:t>’</w:t>
      </w:r>
      <w:r w:rsidRPr="00B45399">
        <w:rPr>
          <w:lang w:val="fr-FR"/>
        </w:rPr>
        <w:t>éducation et de la petite enfance, les mesures suivantes ont été prises :</w:t>
      </w:r>
      <w:r w:rsidRPr="00EE4C2A">
        <w:rPr>
          <w:lang w:val="fr-FR"/>
        </w:rPr>
        <w:t xml:space="preserve"> </w:t>
      </w:r>
    </w:p>
    <w:p w14:paraId="31455EC9" w14:textId="31AE6D6D" w:rsidR="00046F46" w:rsidRPr="00EE4C2A" w:rsidRDefault="00046F46" w:rsidP="00046F46">
      <w:pPr>
        <w:pStyle w:val="SingleTxtG"/>
        <w:rPr>
          <w:lang w:val="fr-FR"/>
        </w:rPr>
      </w:pPr>
      <w:r w:rsidRPr="00EE4C2A">
        <w:rPr>
          <w:lang w:val="fr-FR"/>
        </w:rPr>
        <w:tab/>
        <w:t>a)</w:t>
      </w:r>
      <w:r w:rsidRPr="00EE4C2A">
        <w:rPr>
          <w:lang w:val="fr-FR"/>
        </w:rPr>
        <w:tab/>
        <w:t>Élaboration des Lignes directrices relatives à l</w:t>
      </w:r>
      <w:r w:rsidR="008279BF">
        <w:rPr>
          <w:lang w:val="fr-FR"/>
        </w:rPr>
        <w:t>’</w:t>
      </w:r>
      <w:r w:rsidRPr="00EE4C2A">
        <w:rPr>
          <w:lang w:val="fr-FR"/>
        </w:rPr>
        <w:t>éducation inclusive (2016), pour faire en sorte que toutes les écoles offrent une éducation inclusive et une éducation gratuite à tous ;</w:t>
      </w:r>
    </w:p>
    <w:p w14:paraId="4D52175E" w14:textId="7A0DB859" w:rsidR="00046F46" w:rsidRPr="00EE4C2A" w:rsidRDefault="00046F46" w:rsidP="00046F46">
      <w:pPr>
        <w:pStyle w:val="SingleTxtG"/>
        <w:rPr>
          <w:lang w:val="fr-FR"/>
        </w:rPr>
      </w:pPr>
      <w:r w:rsidRPr="00EE4C2A">
        <w:rPr>
          <w:lang w:val="fr-FR"/>
        </w:rPr>
        <w:tab/>
        <w:t>b)</w:t>
      </w:r>
      <w:r w:rsidRPr="00EE4C2A">
        <w:rPr>
          <w:lang w:val="fr-FR"/>
        </w:rPr>
        <w:tab/>
        <w:t>Construction d</w:t>
      </w:r>
      <w:r w:rsidR="008279BF">
        <w:rPr>
          <w:lang w:val="fr-FR"/>
        </w:rPr>
        <w:t>’</w:t>
      </w:r>
      <w:r w:rsidRPr="00EE4C2A">
        <w:rPr>
          <w:lang w:val="fr-FR"/>
        </w:rPr>
        <w:t>infrastructures scolaires accessibles et adaptées aux différents handicaps, et attribution de 10 % des bourses d</w:t>
      </w:r>
      <w:r w:rsidR="008279BF">
        <w:rPr>
          <w:lang w:val="fr-FR"/>
        </w:rPr>
        <w:t>’</w:t>
      </w:r>
      <w:r w:rsidRPr="00EE4C2A">
        <w:rPr>
          <w:lang w:val="fr-FR"/>
        </w:rPr>
        <w:t xml:space="preserve">études aux étudiants handicapés ; </w:t>
      </w:r>
    </w:p>
    <w:p w14:paraId="61573C86" w14:textId="351862C4" w:rsidR="00046F46" w:rsidRPr="00EE4C2A" w:rsidRDefault="00046F46" w:rsidP="00046F46">
      <w:pPr>
        <w:pStyle w:val="SingleTxtG"/>
        <w:rPr>
          <w:lang w:val="fr-FR"/>
        </w:rPr>
      </w:pPr>
      <w:r w:rsidRPr="00EE4C2A">
        <w:rPr>
          <w:lang w:val="fr-FR"/>
        </w:rPr>
        <w:lastRenderedPageBreak/>
        <w:tab/>
        <w:t>c)</w:t>
      </w:r>
      <w:r w:rsidRPr="00EE4C2A">
        <w:rPr>
          <w:lang w:val="fr-FR"/>
        </w:rPr>
        <w:tab/>
        <w:t>Abaissement, de 5 à 4 crédits, des critères académiques pour l</w:t>
      </w:r>
      <w:r w:rsidR="008279BF">
        <w:rPr>
          <w:lang w:val="fr-FR"/>
        </w:rPr>
        <w:t>’</w:t>
      </w:r>
      <w:r w:rsidRPr="00EE4C2A">
        <w:rPr>
          <w:lang w:val="fr-FR"/>
        </w:rPr>
        <w:t>entrée dans l</w:t>
      </w:r>
      <w:r w:rsidR="008279BF">
        <w:rPr>
          <w:lang w:val="fr-FR"/>
        </w:rPr>
        <w:t>’</w:t>
      </w:r>
      <w:r w:rsidRPr="00EE4C2A">
        <w:rPr>
          <w:lang w:val="fr-FR"/>
        </w:rPr>
        <w:t>enseignement postsecondaire.</w:t>
      </w:r>
    </w:p>
    <w:p w14:paraId="6AB9D68A" w14:textId="73F94FD6" w:rsidR="00046F46" w:rsidRPr="00EE4C2A" w:rsidRDefault="00046F46" w:rsidP="00046F46">
      <w:pPr>
        <w:pStyle w:val="SingleTxtG"/>
        <w:rPr>
          <w:lang w:val="fr-FR"/>
        </w:rPr>
      </w:pPr>
      <w:r w:rsidRPr="00EE4C2A">
        <w:rPr>
          <w:lang w:val="fr-FR"/>
        </w:rPr>
        <w:t>102.</w:t>
      </w:r>
      <w:r w:rsidRPr="00EE4C2A">
        <w:rPr>
          <w:lang w:val="fr-FR"/>
        </w:rPr>
        <w:tab/>
        <w:t>Il existe un Centre de réadaptation pédiatrique, destiné en particulier aux enfants handicapés, où des infrastructures et équipements sont mis à disposition des enfants présentant des handicaps liés à la santé, tels que l</w:t>
      </w:r>
      <w:r w:rsidR="008279BF">
        <w:rPr>
          <w:lang w:val="fr-FR"/>
        </w:rPr>
        <w:t>’</w:t>
      </w:r>
      <w:r w:rsidRPr="00EE4C2A">
        <w:rPr>
          <w:lang w:val="fr-FR"/>
        </w:rPr>
        <w:t>autisme et le syndrome de Down. L</w:t>
      </w:r>
      <w:r w:rsidR="008279BF">
        <w:rPr>
          <w:lang w:val="fr-FR"/>
        </w:rPr>
        <w:t>’</w:t>
      </w:r>
      <w:r w:rsidRPr="00EE4C2A">
        <w:rPr>
          <w:lang w:val="fr-FR"/>
        </w:rPr>
        <w:t>État partie compte également une Clinique d</w:t>
      </w:r>
      <w:r w:rsidR="008279BF">
        <w:rPr>
          <w:lang w:val="fr-FR"/>
        </w:rPr>
        <w:t>’</w:t>
      </w:r>
      <w:r w:rsidRPr="00EE4C2A">
        <w:rPr>
          <w:lang w:val="fr-FR"/>
        </w:rPr>
        <w:t>intervention développementale et un Centre d</w:t>
      </w:r>
      <w:r w:rsidR="008279BF">
        <w:rPr>
          <w:lang w:val="fr-FR"/>
        </w:rPr>
        <w:t>’</w:t>
      </w:r>
      <w:r w:rsidRPr="00EE4C2A">
        <w:rPr>
          <w:lang w:val="fr-FR"/>
        </w:rPr>
        <w:t>excellence en audiologie.</w:t>
      </w:r>
    </w:p>
    <w:p w14:paraId="7668619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19 c) de la liste de points établie </w:t>
      </w:r>
      <w:r>
        <w:rPr>
          <w:bCs/>
          <w:lang w:val="fr-FR"/>
        </w:rPr>
        <w:t xml:space="preserve">avant la soumission du rapport </w:t>
      </w:r>
    </w:p>
    <w:p w14:paraId="1D75E369" w14:textId="250AD277" w:rsidR="00046F46" w:rsidRPr="00EE4C2A" w:rsidRDefault="00046F46" w:rsidP="00046F46">
      <w:pPr>
        <w:pStyle w:val="SingleTxtG"/>
        <w:rPr>
          <w:lang w:val="fr-FR"/>
        </w:rPr>
      </w:pPr>
      <w:r w:rsidRPr="00EE4C2A">
        <w:rPr>
          <w:lang w:val="fr-FR"/>
        </w:rPr>
        <w:t>103.</w:t>
      </w:r>
      <w:r w:rsidRPr="00EE4C2A">
        <w:rPr>
          <w:lang w:val="fr-FR"/>
        </w:rPr>
        <w:tab/>
        <w:t>En ce qui concerne les mesures prises pour faire en sorte que les enfants handicapés aient accès à l</w:t>
      </w:r>
      <w:r w:rsidR="008279BF">
        <w:rPr>
          <w:lang w:val="fr-FR"/>
        </w:rPr>
        <w:t>’</w:t>
      </w:r>
      <w:r w:rsidRPr="00EE4C2A">
        <w:rPr>
          <w:lang w:val="fr-FR"/>
        </w:rPr>
        <w:t>éducation inclusive, l</w:t>
      </w:r>
      <w:r w:rsidR="008279BF">
        <w:rPr>
          <w:lang w:val="fr-FR"/>
        </w:rPr>
        <w:t>’</w:t>
      </w:r>
      <w:r w:rsidRPr="00EE4C2A">
        <w:rPr>
          <w:lang w:val="fr-FR"/>
        </w:rPr>
        <w:t>État partie souhaite rapporter que, dans le passé, des écoles spéciales ont été créées pour eux mais que cette tendance a changé et que l</w:t>
      </w:r>
      <w:r w:rsidR="008279BF">
        <w:rPr>
          <w:lang w:val="fr-FR"/>
        </w:rPr>
        <w:t>’</w:t>
      </w:r>
      <w:r w:rsidRPr="00EE4C2A">
        <w:rPr>
          <w:lang w:val="fr-FR"/>
        </w:rPr>
        <w:t>accent est désormais mis sur l</w:t>
      </w:r>
      <w:r w:rsidR="008279BF">
        <w:rPr>
          <w:lang w:val="fr-FR"/>
        </w:rPr>
        <w:t>’</w:t>
      </w:r>
      <w:r w:rsidRPr="00EE4C2A">
        <w:rPr>
          <w:lang w:val="fr-FR"/>
        </w:rPr>
        <w:t>inclusion, à savoir que les enfants handicapés sont intégrés pour a</w:t>
      </w:r>
      <w:r>
        <w:rPr>
          <w:lang w:val="fr-FR"/>
        </w:rPr>
        <w:t>pprendre avec les autres élèves</w:t>
      </w:r>
      <w:r w:rsidRPr="00EE4C2A">
        <w:rPr>
          <w:lang w:val="fr-FR"/>
        </w:rPr>
        <w:t xml:space="preserve"> et les enseignants sont formés sur la façon de gérer les classes comptant des enfants handicapés. Il s</w:t>
      </w:r>
      <w:r w:rsidR="008279BF">
        <w:rPr>
          <w:lang w:val="fr-FR"/>
        </w:rPr>
        <w:t>’</w:t>
      </w:r>
      <w:r w:rsidRPr="00EE4C2A">
        <w:rPr>
          <w:lang w:val="fr-FR"/>
        </w:rPr>
        <w:t>agit ce faisant d</w:t>
      </w:r>
      <w:r w:rsidR="008279BF">
        <w:rPr>
          <w:lang w:val="fr-FR"/>
        </w:rPr>
        <w:t>’</w:t>
      </w:r>
      <w:r w:rsidRPr="00EE4C2A">
        <w:rPr>
          <w:lang w:val="fr-FR"/>
        </w:rPr>
        <w:t>éliminer la discrimination à l</w:t>
      </w:r>
      <w:r w:rsidR="008279BF">
        <w:rPr>
          <w:lang w:val="fr-FR"/>
        </w:rPr>
        <w:t>’</w:t>
      </w:r>
      <w:r w:rsidRPr="00EE4C2A">
        <w:rPr>
          <w:lang w:val="fr-FR"/>
        </w:rPr>
        <w:t>égard des enfants handicapés.</w:t>
      </w:r>
    </w:p>
    <w:p w14:paraId="4EA1F41B" w14:textId="41DBEDE5" w:rsidR="00046F46" w:rsidRPr="00EE4C2A" w:rsidRDefault="00046F46" w:rsidP="00046F46">
      <w:pPr>
        <w:pStyle w:val="SingleTxtG"/>
        <w:rPr>
          <w:lang w:val="fr-FR"/>
        </w:rPr>
      </w:pPr>
      <w:r w:rsidRPr="00EE4C2A">
        <w:rPr>
          <w:lang w:val="fr-FR"/>
        </w:rPr>
        <w:t>104.</w:t>
      </w:r>
      <w:r w:rsidRPr="00EE4C2A">
        <w:rPr>
          <w:lang w:val="fr-FR"/>
        </w:rPr>
        <w:tab/>
        <w:t>Un dépistage précoce est organisé pour tous les élèves des premières années afin de repérer tout problème d</w:t>
      </w:r>
      <w:r w:rsidR="008279BF">
        <w:rPr>
          <w:lang w:val="fr-FR"/>
        </w:rPr>
        <w:t>’</w:t>
      </w:r>
      <w:r w:rsidRPr="00EE4C2A">
        <w:rPr>
          <w:lang w:val="fr-FR"/>
        </w:rPr>
        <w:t>apprentissage et de veiller à ce que les enfants soient traités de manière adaptée. Le système éducatif, grâce au bureau des enseignants-conseillers d</w:t>
      </w:r>
      <w:r w:rsidR="008279BF">
        <w:rPr>
          <w:lang w:val="fr-FR"/>
        </w:rPr>
        <w:t>’</w:t>
      </w:r>
      <w:r w:rsidRPr="00EE4C2A">
        <w:rPr>
          <w:lang w:val="fr-FR"/>
        </w:rPr>
        <w:t>orientation, est formé pour gérer les considérations liées aux élèves ayant des besoins éducatifs particuliers et veiller ainsi à ce qu</w:t>
      </w:r>
      <w:r w:rsidR="008279BF">
        <w:rPr>
          <w:lang w:val="fr-FR"/>
        </w:rPr>
        <w:t>’</w:t>
      </w:r>
      <w:r w:rsidRPr="00EE4C2A">
        <w:rPr>
          <w:lang w:val="fr-FR"/>
        </w:rPr>
        <w:t>ils bénéficient effectivement du système d</w:t>
      </w:r>
      <w:r w:rsidR="008279BF">
        <w:rPr>
          <w:lang w:val="fr-FR"/>
        </w:rPr>
        <w:t>’</w:t>
      </w:r>
      <w:r w:rsidRPr="00EE4C2A">
        <w:rPr>
          <w:lang w:val="fr-FR"/>
        </w:rPr>
        <w:t>enseignement. En outre, l</w:t>
      </w:r>
      <w:r w:rsidR="008279BF">
        <w:rPr>
          <w:lang w:val="fr-FR"/>
        </w:rPr>
        <w:t>’</w:t>
      </w:r>
      <w:r w:rsidRPr="00EE4C2A">
        <w:rPr>
          <w:lang w:val="fr-FR"/>
        </w:rPr>
        <w:t>État partie inclut des équipements d</w:t>
      </w:r>
      <w:r w:rsidR="008279BF">
        <w:rPr>
          <w:lang w:val="fr-FR"/>
        </w:rPr>
        <w:t>’</w:t>
      </w:r>
      <w:r w:rsidRPr="00EE4C2A">
        <w:rPr>
          <w:lang w:val="fr-FR"/>
        </w:rPr>
        <w:t>assistance pour les enfants ayant des besoins particuliers lorsqu</w:t>
      </w:r>
      <w:r w:rsidR="008279BF">
        <w:rPr>
          <w:lang w:val="fr-FR"/>
        </w:rPr>
        <w:t>’</w:t>
      </w:r>
      <w:r w:rsidRPr="00EE4C2A">
        <w:rPr>
          <w:lang w:val="fr-FR"/>
        </w:rPr>
        <w:t>il achète du matériel d</w:t>
      </w:r>
      <w:r w:rsidR="008279BF">
        <w:rPr>
          <w:lang w:val="fr-FR"/>
        </w:rPr>
        <w:t>’</w:t>
      </w:r>
      <w:r w:rsidRPr="00EE4C2A">
        <w:rPr>
          <w:lang w:val="fr-FR"/>
        </w:rPr>
        <w:t>enseignement et d</w:t>
      </w:r>
      <w:r w:rsidR="008279BF">
        <w:rPr>
          <w:lang w:val="fr-FR"/>
        </w:rPr>
        <w:t>’</w:t>
      </w:r>
      <w:r w:rsidRPr="00EE4C2A">
        <w:rPr>
          <w:lang w:val="fr-FR"/>
        </w:rPr>
        <w:t>apprentissage.</w:t>
      </w:r>
    </w:p>
    <w:p w14:paraId="361E9C28" w14:textId="3F44729E" w:rsidR="00046F46" w:rsidRPr="00EE4C2A" w:rsidRDefault="00046F46" w:rsidP="00046F46">
      <w:pPr>
        <w:pStyle w:val="SingleTxtG"/>
        <w:rPr>
          <w:lang w:val="fr-FR"/>
        </w:rPr>
      </w:pPr>
      <w:r w:rsidRPr="00EE4C2A">
        <w:rPr>
          <w:lang w:val="fr-FR"/>
        </w:rPr>
        <w:t>105.</w:t>
      </w:r>
      <w:r w:rsidRPr="00EE4C2A">
        <w:rPr>
          <w:lang w:val="fr-FR"/>
        </w:rPr>
        <w:tab/>
        <w:t>Dans le cadre du septième Plan national de développement (2017-2021), le secteur de l</w:t>
      </w:r>
      <w:r w:rsidR="008279BF">
        <w:rPr>
          <w:lang w:val="fr-FR"/>
        </w:rPr>
        <w:t>’</w:t>
      </w:r>
      <w:r w:rsidRPr="00EE4C2A">
        <w:rPr>
          <w:lang w:val="fr-FR"/>
        </w:rPr>
        <w:t>éducation s</w:t>
      </w:r>
      <w:r w:rsidR="008279BF">
        <w:rPr>
          <w:lang w:val="fr-FR"/>
        </w:rPr>
        <w:t>’</w:t>
      </w:r>
      <w:r w:rsidRPr="00EE4C2A">
        <w:rPr>
          <w:lang w:val="fr-FR"/>
        </w:rPr>
        <w:t>est engagé à employer des stratégies qui amélioreront l</w:t>
      </w:r>
      <w:r w:rsidR="008279BF">
        <w:rPr>
          <w:lang w:val="fr-FR"/>
        </w:rPr>
        <w:t>’</w:t>
      </w:r>
      <w:r w:rsidRPr="00EE4C2A">
        <w:rPr>
          <w:lang w:val="fr-FR"/>
        </w:rPr>
        <w:t>inclusion et la participation des citoyens en tenant compte de leur âge, genre, handicap et autres facteurs, et en incorporant notamment les besoins des élèves handicapés dans le programme de formation des enseignants ainsi que l</w:t>
      </w:r>
      <w:r w:rsidR="008279BF">
        <w:rPr>
          <w:lang w:val="fr-FR"/>
        </w:rPr>
        <w:t>’</w:t>
      </w:r>
      <w:r w:rsidRPr="00EE4C2A">
        <w:rPr>
          <w:lang w:val="fr-FR"/>
        </w:rPr>
        <w:t>apprentissage de la langue des signes de la première à la quatrième année. L</w:t>
      </w:r>
      <w:r w:rsidR="008279BF">
        <w:rPr>
          <w:lang w:val="fr-FR"/>
        </w:rPr>
        <w:t>’</w:t>
      </w:r>
      <w:r w:rsidRPr="00EE4C2A">
        <w:rPr>
          <w:lang w:val="fr-FR"/>
        </w:rPr>
        <w:t>État partie, en collaboration avec les organisations de personnes handicapées, a promu l</w:t>
      </w:r>
      <w:r w:rsidR="008279BF">
        <w:rPr>
          <w:lang w:val="fr-FR"/>
        </w:rPr>
        <w:t>’</w:t>
      </w:r>
      <w:r w:rsidRPr="00EE4C2A">
        <w:rPr>
          <w:lang w:val="fr-FR"/>
        </w:rPr>
        <w:t>éducation inclusive dans 154 écoles.</w:t>
      </w:r>
    </w:p>
    <w:p w14:paraId="4F597708"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19 d) de la liste de points établie </w:t>
      </w:r>
      <w:r>
        <w:rPr>
          <w:bCs/>
          <w:lang w:val="fr-FR"/>
        </w:rPr>
        <w:t xml:space="preserve">avant la soumission du rapport </w:t>
      </w:r>
    </w:p>
    <w:p w14:paraId="36385934" w14:textId="5D0AA77B" w:rsidR="00046F46" w:rsidRPr="00EE4C2A" w:rsidRDefault="00046F46" w:rsidP="00046F46">
      <w:pPr>
        <w:pStyle w:val="SingleTxtG"/>
        <w:rPr>
          <w:lang w:val="fr-FR"/>
        </w:rPr>
      </w:pPr>
      <w:r w:rsidRPr="00EE4C2A">
        <w:rPr>
          <w:lang w:val="fr-FR"/>
        </w:rPr>
        <w:t>106.</w:t>
      </w:r>
      <w:r w:rsidRPr="00EE4C2A">
        <w:rPr>
          <w:lang w:val="fr-FR"/>
        </w:rPr>
        <w:tab/>
        <w:t>Pour prévenir l</w:t>
      </w:r>
      <w:r w:rsidR="008279BF">
        <w:rPr>
          <w:lang w:val="fr-FR"/>
        </w:rPr>
        <w:t>’</w:t>
      </w:r>
      <w:r w:rsidRPr="00EE4C2A">
        <w:rPr>
          <w:lang w:val="fr-FR"/>
        </w:rPr>
        <w:t>absentéisme et le décrochage scolaire, l</w:t>
      </w:r>
      <w:r w:rsidR="008279BF">
        <w:rPr>
          <w:lang w:val="fr-FR"/>
        </w:rPr>
        <w:t>’</w:t>
      </w:r>
      <w:r w:rsidRPr="00EE4C2A">
        <w:rPr>
          <w:lang w:val="fr-FR"/>
        </w:rPr>
        <w:t>État partie a entrepris, à l</w:t>
      </w:r>
      <w:r w:rsidR="008279BF">
        <w:rPr>
          <w:lang w:val="fr-FR"/>
        </w:rPr>
        <w:t>’</w:t>
      </w:r>
      <w:r w:rsidRPr="00EE4C2A">
        <w:rPr>
          <w:lang w:val="fr-FR"/>
        </w:rPr>
        <w:t>échelle nationale, de sensibiliser les élèves, les enseignants et le reste de la population sur la discrimination à l</w:t>
      </w:r>
      <w:r w:rsidR="008279BF">
        <w:rPr>
          <w:lang w:val="fr-FR"/>
        </w:rPr>
        <w:t>’</w:t>
      </w:r>
      <w:r w:rsidRPr="00EE4C2A">
        <w:rPr>
          <w:lang w:val="fr-FR"/>
        </w:rPr>
        <w:t>égard des enfants handicapés. Il encourage les parents d</w:t>
      </w:r>
      <w:r w:rsidR="008279BF">
        <w:rPr>
          <w:lang w:val="fr-FR"/>
        </w:rPr>
        <w:t>’</w:t>
      </w:r>
      <w:r w:rsidRPr="00EE4C2A">
        <w:rPr>
          <w:lang w:val="fr-FR"/>
        </w:rPr>
        <w:t>enfants handicapés à permettre à leurs enfants d</w:t>
      </w:r>
      <w:r w:rsidR="008279BF">
        <w:rPr>
          <w:lang w:val="fr-FR"/>
        </w:rPr>
        <w:t>’</w:t>
      </w:r>
      <w:r w:rsidRPr="00EE4C2A">
        <w:rPr>
          <w:lang w:val="fr-FR"/>
        </w:rPr>
        <w:t>accéder à des services tels que l</w:t>
      </w:r>
      <w:r w:rsidR="008279BF">
        <w:rPr>
          <w:lang w:val="fr-FR"/>
        </w:rPr>
        <w:t>’</w:t>
      </w:r>
      <w:r w:rsidRPr="00EE4C2A">
        <w:rPr>
          <w:lang w:val="fr-FR"/>
        </w:rPr>
        <w:t>éducation, le soutien psychosocial et autres. En outre, le bureau des enseignants-conseillers d</w:t>
      </w:r>
      <w:r w:rsidR="008279BF">
        <w:rPr>
          <w:lang w:val="fr-FR"/>
        </w:rPr>
        <w:t>’</w:t>
      </w:r>
      <w:r w:rsidRPr="00EE4C2A">
        <w:rPr>
          <w:lang w:val="fr-FR"/>
        </w:rPr>
        <w:t>orientation participe aux activités de sensibilisation et aux réunions d</w:t>
      </w:r>
      <w:r w:rsidR="008279BF">
        <w:rPr>
          <w:lang w:val="fr-FR"/>
        </w:rPr>
        <w:t>’</w:t>
      </w:r>
      <w:r w:rsidRPr="00EE4C2A">
        <w:rPr>
          <w:lang w:val="fr-FR"/>
        </w:rPr>
        <w:t>orientation organisées avec les élèves et le personnel enseignant. Enfin, l</w:t>
      </w:r>
      <w:r w:rsidR="008279BF">
        <w:rPr>
          <w:lang w:val="fr-FR"/>
        </w:rPr>
        <w:t>’</w:t>
      </w:r>
      <w:r w:rsidRPr="00EE4C2A">
        <w:rPr>
          <w:lang w:val="fr-FR"/>
        </w:rPr>
        <w:t xml:space="preserve">État partie a étendu le programme de repas scolaires de 38 à 52 districts ; </w:t>
      </w:r>
      <w:r w:rsidR="00B45399">
        <w:rPr>
          <w:lang w:val="fr-FR"/>
        </w:rPr>
        <w:t>3</w:t>
      </w:r>
      <w:r w:rsidRPr="00EE4C2A">
        <w:rPr>
          <w:lang w:val="fr-FR"/>
        </w:rPr>
        <w:t> millions d</w:t>
      </w:r>
      <w:r w:rsidR="008279BF">
        <w:rPr>
          <w:lang w:val="fr-FR"/>
        </w:rPr>
        <w:t>’</w:t>
      </w:r>
      <w:r w:rsidRPr="00EE4C2A">
        <w:rPr>
          <w:lang w:val="fr-FR"/>
        </w:rPr>
        <w:t>élèves, dont des élèves handicapés, en bénéficient.</w:t>
      </w:r>
    </w:p>
    <w:p w14:paraId="2AC2FDE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19 e) de la liste de points établie </w:t>
      </w:r>
      <w:r>
        <w:rPr>
          <w:bCs/>
          <w:lang w:val="fr-FR"/>
        </w:rPr>
        <w:t xml:space="preserve">avant la soumission du rapport </w:t>
      </w:r>
    </w:p>
    <w:p w14:paraId="1594455E" w14:textId="6BAFBDCD" w:rsidR="00046F46" w:rsidRPr="00EE4C2A" w:rsidRDefault="00046F46" w:rsidP="00046F46">
      <w:pPr>
        <w:pStyle w:val="SingleTxtG"/>
        <w:rPr>
          <w:lang w:val="fr-FR"/>
        </w:rPr>
      </w:pPr>
      <w:r w:rsidRPr="00EE4C2A">
        <w:rPr>
          <w:lang w:val="fr-FR"/>
        </w:rPr>
        <w:t>107.</w:t>
      </w:r>
      <w:r w:rsidRPr="00EE4C2A">
        <w:rPr>
          <w:lang w:val="fr-FR"/>
        </w:rPr>
        <w:tab/>
        <w:t>Afin de faire en sorte que les enfants handicapés aient accès à des programmes de réadaptation, l</w:t>
      </w:r>
      <w:r w:rsidR="008279BF">
        <w:rPr>
          <w:lang w:val="fr-FR"/>
        </w:rPr>
        <w:t>’</w:t>
      </w:r>
      <w:r w:rsidRPr="00EE4C2A">
        <w:rPr>
          <w:lang w:val="fr-FR"/>
        </w:rPr>
        <w:t>État partie, conformément à sa politique d</w:t>
      </w:r>
      <w:r w:rsidR="008279BF">
        <w:rPr>
          <w:lang w:val="fr-FR"/>
        </w:rPr>
        <w:t>’</w:t>
      </w:r>
      <w:r w:rsidRPr="00EE4C2A">
        <w:rPr>
          <w:lang w:val="fr-FR"/>
        </w:rPr>
        <w:t>inclusion, a redoublé d</w:t>
      </w:r>
      <w:r w:rsidR="008279BF">
        <w:rPr>
          <w:lang w:val="fr-FR"/>
        </w:rPr>
        <w:t>’</w:t>
      </w:r>
      <w:r w:rsidRPr="00EE4C2A">
        <w:rPr>
          <w:lang w:val="fr-FR"/>
        </w:rPr>
        <w:t>efforts pour offrir des services de réadaptation en créant des centres de réadaptation et en fournissant des équipements d</w:t>
      </w:r>
      <w:r w:rsidR="008279BF">
        <w:rPr>
          <w:lang w:val="fr-FR"/>
        </w:rPr>
        <w:t>’</w:t>
      </w:r>
      <w:r w:rsidRPr="00EE4C2A">
        <w:rPr>
          <w:lang w:val="fr-FR"/>
        </w:rPr>
        <w:t>assistance tels que chaises roulantes, béquilles, aides auditives, lunettes de lecture et cannes pour personnes aveugles. L</w:t>
      </w:r>
      <w:r w:rsidR="008279BF">
        <w:rPr>
          <w:lang w:val="fr-FR"/>
        </w:rPr>
        <w:t>’</w:t>
      </w:r>
      <w:r w:rsidRPr="00EE4C2A">
        <w:rPr>
          <w:lang w:val="fr-FR"/>
        </w:rPr>
        <w:t>État partie a progressivement mis en place des centres d</w:t>
      </w:r>
      <w:r w:rsidR="008279BF">
        <w:rPr>
          <w:lang w:val="fr-FR"/>
        </w:rPr>
        <w:t>’</w:t>
      </w:r>
      <w:r w:rsidRPr="00EE4C2A">
        <w:rPr>
          <w:lang w:val="fr-FR"/>
        </w:rPr>
        <w:t>adaptation et de réadaptation, qui proposent notamment des services d</w:t>
      </w:r>
      <w:r w:rsidR="008279BF">
        <w:rPr>
          <w:lang w:val="fr-FR"/>
        </w:rPr>
        <w:t>’</w:t>
      </w:r>
      <w:r w:rsidRPr="00EE4C2A">
        <w:rPr>
          <w:lang w:val="fr-FR"/>
        </w:rPr>
        <w:t>orientation et de conseil et des formations adaptées. Le Centre national d</w:t>
      </w:r>
      <w:r w:rsidR="008279BF">
        <w:rPr>
          <w:lang w:val="fr-FR"/>
        </w:rPr>
        <w:t>’</w:t>
      </w:r>
      <w:r w:rsidRPr="00EE4C2A">
        <w:rPr>
          <w:lang w:val="fr-FR"/>
        </w:rPr>
        <w:t>enseignement professionnel et de réadaptation de Ndola est l</w:t>
      </w:r>
      <w:r w:rsidR="008279BF">
        <w:rPr>
          <w:lang w:val="fr-FR"/>
        </w:rPr>
        <w:t>’</w:t>
      </w:r>
      <w:r w:rsidRPr="00EE4C2A">
        <w:rPr>
          <w:lang w:val="fr-FR"/>
        </w:rPr>
        <w:t>un des centres chargés de développer les compétences des personnes en situation de handicap auditif, visuel, intellectuel ou physique/neurologique.</w:t>
      </w:r>
    </w:p>
    <w:p w14:paraId="7435D993" w14:textId="5A1F979D" w:rsidR="00046F46" w:rsidRPr="00EE4C2A" w:rsidRDefault="00046F46" w:rsidP="00046F46">
      <w:pPr>
        <w:pStyle w:val="SingleTxtG"/>
        <w:rPr>
          <w:lang w:val="fr-FR"/>
        </w:rPr>
      </w:pPr>
      <w:r w:rsidRPr="00EE4C2A">
        <w:rPr>
          <w:lang w:val="fr-FR"/>
        </w:rPr>
        <w:t>108.</w:t>
      </w:r>
      <w:r w:rsidRPr="00EE4C2A">
        <w:rPr>
          <w:lang w:val="fr-FR"/>
        </w:rPr>
        <w:tab/>
        <w:t>Selon la loi, les responsables de l</w:t>
      </w:r>
      <w:r w:rsidR="008279BF">
        <w:rPr>
          <w:lang w:val="fr-FR"/>
        </w:rPr>
        <w:t>’</w:t>
      </w:r>
      <w:r w:rsidRPr="00EE4C2A">
        <w:rPr>
          <w:lang w:val="fr-FR"/>
        </w:rPr>
        <w:t>élaboration des politiques sanitaires doivent prévoir des services opérationnels de réadaptation et des équipements d</w:t>
      </w:r>
      <w:r w:rsidR="008279BF">
        <w:rPr>
          <w:lang w:val="fr-FR"/>
        </w:rPr>
        <w:t>’</w:t>
      </w:r>
      <w:r w:rsidRPr="00EE4C2A">
        <w:rPr>
          <w:lang w:val="fr-FR"/>
        </w:rPr>
        <w:t xml:space="preserve">assistance adaptés, entre </w:t>
      </w:r>
      <w:r w:rsidRPr="00EE4C2A">
        <w:rPr>
          <w:lang w:val="fr-FR"/>
        </w:rPr>
        <w:lastRenderedPageBreak/>
        <w:t>autres services. Les organisations de personnes handicapées, telles qu</w:t>
      </w:r>
      <w:r w:rsidR="008279BF">
        <w:rPr>
          <w:lang w:val="fr-FR"/>
        </w:rPr>
        <w:t>’</w:t>
      </w:r>
      <w:r w:rsidRPr="00EE4C2A">
        <w:rPr>
          <w:lang w:val="fr-FR"/>
        </w:rPr>
        <w:t>Archie Hinchcliffe Disability Intervention (AHDI), complètent également les efforts déployés en fournissant des services de physiothérapie et une éducation scolaire à domicile à au moins 3 845 enfants à Lusaka et dans les provinces orientale et méridionale.</w:t>
      </w:r>
    </w:p>
    <w:p w14:paraId="50E8BF9B" w14:textId="02490C3F" w:rsidR="00046F46" w:rsidRPr="00EE4C2A" w:rsidRDefault="00046F46" w:rsidP="00046F46">
      <w:pPr>
        <w:pStyle w:val="SingleTxtG"/>
        <w:rPr>
          <w:lang w:val="fr-FR"/>
        </w:rPr>
      </w:pPr>
      <w:r w:rsidRPr="00EE4C2A">
        <w:rPr>
          <w:lang w:val="fr-FR"/>
        </w:rPr>
        <w:t>109.</w:t>
      </w:r>
      <w:r w:rsidRPr="00EE4C2A">
        <w:rPr>
          <w:lang w:val="fr-FR"/>
        </w:rPr>
        <w:tab/>
        <w:t>Les autres mesures adoptées comprennent la mise en place d</w:t>
      </w:r>
      <w:r w:rsidR="008279BF">
        <w:rPr>
          <w:lang w:val="fr-FR"/>
        </w:rPr>
        <w:t>’</w:t>
      </w:r>
      <w:r w:rsidRPr="00EE4C2A">
        <w:rPr>
          <w:lang w:val="fr-FR"/>
        </w:rPr>
        <w:t>une formation en appareils orthopédiques et de prothèse à l</w:t>
      </w:r>
      <w:r w:rsidR="008279BF">
        <w:rPr>
          <w:lang w:val="fr-FR"/>
        </w:rPr>
        <w:t>’</w:t>
      </w:r>
      <w:r w:rsidRPr="00EE4C2A">
        <w:rPr>
          <w:lang w:val="fr-FR"/>
        </w:rPr>
        <w:t>Université de Zambie (UNZA) et la création d</w:t>
      </w:r>
      <w:r w:rsidR="008279BF">
        <w:rPr>
          <w:lang w:val="fr-FR"/>
        </w:rPr>
        <w:t>’</w:t>
      </w:r>
      <w:r w:rsidRPr="00EE4C2A">
        <w:rPr>
          <w:lang w:val="fr-FR"/>
        </w:rPr>
        <w:t>un atelier de fabrication d</w:t>
      </w:r>
      <w:r w:rsidR="008279BF">
        <w:rPr>
          <w:lang w:val="fr-FR"/>
        </w:rPr>
        <w:t>’</w:t>
      </w:r>
      <w:r w:rsidRPr="00EE4C2A">
        <w:rPr>
          <w:lang w:val="fr-FR"/>
        </w:rPr>
        <w:t>équipement d</w:t>
      </w:r>
      <w:r w:rsidR="008279BF">
        <w:rPr>
          <w:lang w:val="fr-FR"/>
        </w:rPr>
        <w:t>’</w:t>
      </w:r>
      <w:r w:rsidRPr="00EE4C2A">
        <w:rPr>
          <w:lang w:val="fr-FR"/>
        </w:rPr>
        <w:t>assistance pour enfants handicapés au Centre hospitalier universitaire et à l</w:t>
      </w:r>
      <w:r w:rsidR="008279BF">
        <w:rPr>
          <w:lang w:val="fr-FR"/>
        </w:rPr>
        <w:t>’</w:t>
      </w:r>
      <w:r w:rsidRPr="00EE4C2A">
        <w:rPr>
          <w:lang w:val="fr-FR"/>
        </w:rPr>
        <w:t>hôpital Beit CURE, qui utilisent la technologie du papier. Deux hôpitaux privés spécialisés, l</w:t>
      </w:r>
      <w:r w:rsidR="008279BF">
        <w:rPr>
          <w:lang w:val="fr-FR"/>
        </w:rPr>
        <w:t>’</w:t>
      </w:r>
      <w:r w:rsidRPr="00EE4C2A">
        <w:rPr>
          <w:lang w:val="fr-FR"/>
        </w:rPr>
        <w:t>hôpital orthopédique St. John Paul et l</w:t>
      </w:r>
      <w:r w:rsidR="008279BF">
        <w:rPr>
          <w:lang w:val="fr-FR"/>
        </w:rPr>
        <w:t>’</w:t>
      </w:r>
      <w:r w:rsidRPr="00EE4C2A">
        <w:rPr>
          <w:lang w:val="fr-FR"/>
        </w:rPr>
        <w:t>hôpital Beit CURE, fournissent des services de réadaptation gratuits aux enfants ainsi qu</w:t>
      </w:r>
      <w:r w:rsidR="008279BF">
        <w:rPr>
          <w:lang w:val="fr-FR"/>
        </w:rPr>
        <w:t>’</w:t>
      </w:r>
      <w:r w:rsidRPr="00EE4C2A">
        <w:rPr>
          <w:lang w:val="fr-FR"/>
        </w:rPr>
        <w:t>une réadaptation à domicile grâce à des services mobiles.</w:t>
      </w:r>
    </w:p>
    <w:p w14:paraId="0C0B8A08"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19 f) de la liste de points établie </w:t>
      </w:r>
      <w:r>
        <w:rPr>
          <w:bCs/>
          <w:lang w:val="fr-FR"/>
        </w:rPr>
        <w:t xml:space="preserve">avant la soumission du rapport </w:t>
      </w:r>
    </w:p>
    <w:p w14:paraId="31BB1DE3" w14:textId="24955950" w:rsidR="00046F46" w:rsidRPr="00EE4C2A" w:rsidRDefault="00046F46" w:rsidP="00046F46">
      <w:pPr>
        <w:pStyle w:val="SingleTxtG"/>
        <w:rPr>
          <w:lang w:val="fr-FR"/>
        </w:rPr>
      </w:pPr>
      <w:r w:rsidRPr="00EE4C2A">
        <w:rPr>
          <w:lang w:val="fr-FR"/>
        </w:rPr>
        <w:t>110.</w:t>
      </w:r>
      <w:r w:rsidRPr="00EE4C2A">
        <w:rPr>
          <w:lang w:val="fr-FR"/>
        </w:rPr>
        <w:tab/>
        <w:t>Pour faciliter la pleine intégration des enfants handicapés dans tous les domaines, la politique nationale est l</w:t>
      </w:r>
      <w:r w:rsidR="008279BF">
        <w:rPr>
          <w:lang w:val="fr-FR"/>
        </w:rPr>
        <w:t>’</w:t>
      </w:r>
      <w:r w:rsidRPr="00EE4C2A">
        <w:rPr>
          <w:lang w:val="fr-FR"/>
        </w:rPr>
        <w:t>inclusion sur tous les plans, fondée sur le principe de non</w:t>
      </w:r>
      <w:r w:rsidR="00B45399">
        <w:rPr>
          <w:lang w:val="fr-FR"/>
        </w:rPr>
        <w:noBreakHyphen/>
      </w:r>
      <w:r w:rsidRPr="00EE4C2A">
        <w:rPr>
          <w:lang w:val="fr-FR"/>
        </w:rPr>
        <w:t>discrimination. Tous les services fournis, tels que les loisirs, les jeux, la culture et la prise en charge communautaire, sont fondés sur les quatre droits de l</w:t>
      </w:r>
      <w:r w:rsidR="008279BF">
        <w:rPr>
          <w:lang w:val="fr-FR"/>
        </w:rPr>
        <w:t>’</w:t>
      </w:r>
      <w:r w:rsidRPr="00EE4C2A">
        <w:rPr>
          <w:lang w:val="fr-FR"/>
        </w:rPr>
        <w:t>enfant énoncés dans la Politique nationale en faveur de l</w:t>
      </w:r>
      <w:r w:rsidR="008279BF">
        <w:rPr>
          <w:lang w:val="fr-FR"/>
        </w:rPr>
        <w:t>’</w:t>
      </w:r>
      <w:r w:rsidRPr="00EE4C2A">
        <w:rPr>
          <w:lang w:val="fr-FR"/>
        </w:rPr>
        <w:t>enfance (2015), à savoir la survie de l</w:t>
      </w:r>
      <w:r w:rsidR="008279BF">
        <w:rPr>
          <w:lang w:val="fr-FR"/>
        </w:rPr>
        <w:t>’</w:t>
      </w:r>
      <w:r w:rsidRPr="00EE4C2A">
        <w:rPr>
          <w:lang w:val="fr-FR"/>
        </w:rPr>
        <w:t>enfant, le développement de l</w:t>
      </w:r>
      <w:r w:rsidR="008279BF">
        <w:rPr>
          <w:lang w:val="fr-FR"/>
        </w:rPr>
        <w:t>’</w:t>
      </w:r>
      <w:r w:rsidRPr="00EE4C2A">
        <w:rPr>
          <w:lang w:val="fr-FR"/>
        </w:rPr>
        <w:t>enfant, la participation de l</w:t>
      </w:r>
      <w:r w:rsidR="008279BF">
        <w:rPr>
          <w:lang w:val="fr-FR"/>
        </w:rPr>
        <w:t>’</w:t>
      </w:r>
      <w:r w:rsidRPr="00EE4C2A">
        <w:rPr>
          <w:lang w:val="fr-FR"/>
        </w:rPr>
        <w:t>enfant et le droit des enfants à la protection.</w:t>
      </w:r>
    </w:p>
    <w:p w14:paraId="72766427" w14:textId="244F9710" w:rsidR="00046F46" w:rsidRPr="00EE4C2A" w:rsidRDefault="00046F46" w:rsidP="00046F46">
      <w:pPr>
        <w:pStyle w:val="SingleTxtG"/>
        <w:rPr>
          <w:lang w:val="fr-FR"/>
        </w:rPr>
      </w:pPr>
      <w:r w:rsidRPr="00EE4C2A">
        <w:rPr>
          <w:lang w:val="fr-FR"/>
        </w:rPr>
        <w:t>111.</w:t>
      </w:r>
      <w:r w:rsidRPr="00EE4C2A">
        <w:rPr>
          <w:lang w:val="fr-FR"/>
        </w:rPr>
        <w:tab/>
        <w:t>L</w:t>
      </w:r>
      <w:r w:rsidR="008279BF">
        <w:rPr>
          <w:lang w:val="fr-FR"/>
        </w:rPr>
        <w:t>’</w:t>
      </w:r>
      <w:r w:rsidRPr="00EE4C2A">
        <w:rPr>
          <w:lang w:val="fr-FR"/>
        </w:rPr>
        <w:t>État partie a pris des mesures pour faciliter la pleine intégration des enfants handicapés dans tous les jeux, loisirs et activités récréatives : formation d</w:t>
      </w:r>
      <w:r w:rsidR="008279BF">
        <w:rPr>
          <w:lang w:val="fr-FR"/>
        </w:rPr>
        <w:t>’</w:t>
      </w:r>
      <w:r w:rsidRPr="00EE4C2A">
        <w:rPr>
          <w:lang w:val="fr-FR"/>
        </w:rPr>
        <w:t>entraîneurs de handisport, création de clubs sportifs dans les écoles, financement du Comité national paralympique de Zambie, etc. Il encourage également la création de clubs de parents dans les communautés afin de faciliter la participation des parents d</w:t>
      </w:r>
      <w:r w:rsidR="008279BF">
        <w:rPr>
          <w:lang w:val="fr-FR"/>
        </w:rPr>
        <w:t>’</w:t>
      </w:r>
      <w:r w:rsidRPr="00EE4C2A">
        <w:rPr>
          <w:lang w:val="fr-FR"/>
        </w:rPr>
        <w:t>enfants handicapés dans la réadaptation de ces derniers.</w:t>
      </w:r>
    </w:p>
    <w:p w14:paraId="42ED3271" w14:textId="77777777" w:rsidR="00046F46" w:rsidRPr="00EE4C2A" w:rsidRDefault="00046F46" w:rsidP="00046F46">
      <w:pPr>
        <w:pStyle w:val="H1G"/>
        <w:rPr>
          <w:lang w:val="fr-FR"/>
        </w:rPr>
      </w:pPr>
      <w:bookmarkStart w:id="29" w:name="_Toc63937983"/>
      <w:r w:rsidRPr="00EE4C2A">
        <w:rPr>
          <w:bCs/>
          <w:lang w:val="fr-FR"/>
        </w:rPr>
        <w:tab/>
        <w:t>G.</w:t>
      </w:r>
      <w:r w:rsidRPr="00EE4C2A">
        <w:rPr>
          <w:lang w:val="fr-FR"/>
        </w:rPr>
        <w:tab/>
      </w:r>
      <w:r w:rsidRPr="00EE4C2A">
        <w:rPr>
          <w:bCs/>
          <w:lang w:val="fr-FR"/>
        </w:rPr>
        <w:t>Santé de base et bien-être (art. 6, 18 (par. 3), 24, 26, 27 (par. 1 à 3) et 33)</w:t>
      </w:r>
      <w:bookmarkEnd w:id="29"/>
    </w:p>
    <w:p w14:paraId="20B4DFB6" w14:textId="77777777" w:rsidR="00046F46" w:rsidRPr="00EE4C2A" w:rsidRDefault="00046F46" w:rsidP="00046F46">
      <w:pPr>
        <w:pStyle w:val="H1G"/>
        <w:rPr>
          <w:lang w:val="fr-FR"/>
        </w:rPr>
      </w:pPr>
      <w:bookmarkStart w:id="30" w:name="_Toc63937984"/>
      <w:r w:rsidRPr="00EE4C2A">
        <w:rPr>
          <w:lang w:val="fr-FR"/>
        </w:rPr>
        <w:tab/>
      </w:r>
      <w:r w:rsidRPr="00EE4C2A">
        <w:rPr>
          <w:lang w:val="fr-FR"/>
        </w:rPr>
        <w:tab/>
      </w:r>
      <w:r w:rsidRPr="00EE4C2A">
        <w:rPr>
          <w:bCs/>
          <w:lang w:val="fr-FR"/>
        </w:rPr>
        <w:t>Soins et services de santé</w:t>
      </w:r>
      <w:bookmarkEnd w:id="30"/>
    </w:p>
    <w:p w14:paraId="55F7079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20 de la liste de points établie </w:t>
      </w:r>
      <w:r>
        <w:rPr>
          <w:bCs/>
          <w:lang w:val="fr-FR"/>
        </w:rPr>
        <w:t xml:space="preserve">avant la soumission du rapport </w:t>
      </w:r>
    </w:p>
    <w:p w14:paraId="00EBB1E2" w14:textId="51EBC0BB" w:rsidR="00046F46" w:rsidRPr="00EE4C2A" w:rsidRDefault="00046F46" w:rsidP="00046F46">
      <w:pPr>
        <w:pStyle w:val="SingleTxtG"/>
        <w:rPr>
          <w:lang w:val="fr-FR"/>
        </w:rPr>
      </w:pPr>
      <w:r w:rsidRPr="00EE4C2A">
        <w:rPr>
          <w:lang w:val="fr-FR"/>
        </w:rPr>
        <w:t>112.</w:t>
      </w:r>
      <w:r w:rsidRPr="00EE4C2A">
        <w:rPr>
          <w:lang w:val="fr-FR"/>
        </w:rPr>
        <w:tab/>
        <w:t>Les renseignements actualisés concernant la mise en œuvre du régime d</w:t>
      </w:r>
      <w:r w:rsidR="008279BF">
        <w:rPr>
          <w:lang w:val="fr-FR"/>
        </w:rPr>
        <w:t>’</w:t>
      </w:r>
      <w:r w:rsidRPr="00EE4C2A">
        <w:rPr>
          <w:lang w:val="fr-FR"/>
        </w:rPr>
        <w:t>assurance maladie sont les suivants : l</w:t>
      </w:r>
      <w:r w:rsidR="008279BF">
        <w:rPr>
          <w:lang w:val="fr-FR"/>
        </w:rPr>
        <w:t>’</w:t>
      </w:r>
      <w:r w:rsidRPr="00EE4C2A">
        <w:rPr>
          <w:lang w:val="fr-FR"/>
        </w:rPr>
        <w:t>Autorité nationale de gestion de l</w:t>
      </w:r>
      <w:r w:rsidR="008279BF">
        <w:rPr>
          <w:lang w:val="fr-FR"/>
        </w:rPr>
        <w:t>’</w:t>
      </w:r>
      <w:r w:rsidRPr="00EE4C2A">
        <w:rPr>
          <w:lang w:val="fr-FR"/>
        </w:rPr>
        <w:t>assurance maladie (NHIMA), créée en application de la loi</w:t>
      </w:r>
      <w:r w:rsidR="00597FF6">
        <w:rPr>
          <w:lang w:val="fr-FR"/>
        </w:rPr>
        <w:t xml:space="preserve"> </w:t>
      </w:r>
      <w:r w:rsidR="00597FF6" w:rsidRPr="00597FF6">
        <w:rPr>
          <w:rFonts w:eastAsia="MS Mincho"/>
          <w:lang w:val="fr-FR"/>
        </w:rPr>
        <w:t>n</w:t>
      </w:r>
      <w:r w:rsidR="00597FF6" w:rsidRPr="00597FF6">
        <w:rPr>
          <w:rFonts w:eastAsia="MS Mincho"/>
          <w:vertAlign w:val="superscript"/>
          <w:lang w:val="fr-FR"/>
        </w:rPr>
        <w:t>o</w:t>
      </w:r>
      <w:r w:rsidR="00597FF6">
        <w:rPr>
          <w:lang w:val="fr-FR"/>
        </w:rPr>
        <w:t xml:space="preserve"> </w:t>
      </w:r>
      <w:r w:rsidRPr="00EE4C2A">
        <w:rPr>
          <w:lang w:val="fr-FR"/>
        </w:rPr>
        <w:t>2 de</w:t>
      </w:r>
      <w:r w:rsidR="00597FF6">
        <w:rPr>
          <w:lang w:val="fr-FR"/>
        </w:rPr>
        <w:t xml:space="preserve"> </w:t>
      </w:r>
      <w:r w:rsidRPr="00EE4C2A">
        <w:rPr>
          <w:lang w:val="fr-FR"/>
        </w:rPr>
        <w:t>2018 sur les assurances, a pour mandat d</w:t>
      </w:r>
      <w:r w:rsidR="008279BF">
        <w:rPr>
          <w:lang w:val="fr-FR"/>
        </w:rPr>
        <w:t>’</w:t>
      </w:r>
      <w:r w:rsidRPr="00EE4C2A">
        <w:rPr>
          <w:lang w:val="fr-FR"/>
        </w:rPr>
        <w:t>ouvrir la voie vers la couverture sanitaire universelle par la mise en œuvre du régime national d</w:t>
      </w:r>
      <w:r w:rsidR="008279BF">
        <w:rPr>
          <w:lang w:val="fr-FR"/>
        </w:rPr>
        <w:t>’</w:t>
      </w:r>
      <w:r w:rsidRPr="00EE4C2A">
        <w:rPr>
          <w:lang w:val="fr-FR"/>
        </w:rPr>
        <w:t>assurance maladie</w:t>
      </w:r>
      <w:r w:rsidR="00597FF6">
        <w:rPr>
          <w:lang w:val="fr-FR"/>
        </w:rPr>
        <w:t xml:space="preserve"> </w:t>
      </w:r>
      <w:r w:rsidRPr="00EE4C2A">
        <w:rPr>
          <w:lang w:val="fr-FR"/>
        </w:rPr>
        <w:t>(NHIS). L</w:t>
      </w:r>
      <w:r w:rsidR="008279BF">
        <w:rPr>
          <w:lang w:val="fr-FR"/>
        </w:rPr>
        <w:t>’</w:t>
      </w:r>
      <w:r w:rsidRPr="00EE4C2A">
        <w:rPr>
          <w:lang w:val="fr-FR"/>
        </w:rPr>
        <w:t>Autorité est également chargée de donner accès à des services de santé de qualité par le biais d</w:t>
      </w:r>
      <w:r w:rsidR="008279BF">
        <w:rPr>
          <w:lang w:val="fr-FR"/>
        </w:rPr>
        <w:t>’</w:t>
      </w:r>
      <w:r w:rsidRPr="00EE4C2A">
        <w:rPr>
          <w:lang w:val="fr-FR"/>
        </w:rPr>
        <w:t>accords stratégiques avec les établissements de santé publics et privés agréés. Le régime couvre les personnes économiquement actives dans les secteurs formel et informel. Les personnes exemptées de cotisations sont celles présentant des problèmes de santé mentale, les handicapés, les personnes âgées de plus de 65 ans et les personnes à charge âgées de moins de 18 ans. Le programme a été déployé dans les</w:t>
      </w:r>
      <w:r w:rsidR="00597FF6">
        <w:rPr>
          <w:lang w:val="fr-FR"/>
        </w:rPr>
        <w:t xml:space="preserve"> </w:t>
      </w:r>
      <w:r w:rsidRPr="00EE4C2A">
        <w:rPr>
          <w:lang w:val="fr-FR"/>
        </w:rPr>
        <w:t>116 districts de l</w:t>
      </w:r>
      <w:r w:rsidR="008279BF">
        <w:rPr>
          <w:lang w:val="fr-FR"/>
        </w:rPr>
        <w:t>’</w:t>
      </w:r>
      <w:r w:rsidRPr="00EE4C2A">
        <w:rPr>
          <w:lang w:val="fr-FR"/>
        </w:rPr>
        <w:t>État et compte</w:t>
      </w:r>
      <w:r w:rsidR="00597FF6">
        <w:rPr>
          <w:lang w:val="fr-FR"/>
        </w:rPr>
        <w:t xml:space="preserve"> </w:t>
      </w:r>
      <w:r w:rsidRPr="00EE4C2A">
        <w:rPr>
          <w:lang w:val="fr-FR"/>
        </w:rPr>
        <w:t>886 571 assurés, ce qui correspond à 89 % de l</w:t>
      </w:r>
      <w:r w:rsidR="008279BF">
        <w:rPr>
          <w:lang w:val="fr-FR"/>
        </w:rPr>
        <w:t>’</w:t>
      </w:r>
      <w:r w:rsidRPr="00EE4C2A">
        <w:rPr>
          <w:lang w:val="fr-FR"/>
        </w:rPr>
        <w:t>objectif fixé à 1 million d</w:t>
      </w:r>
      <w:r w:rsidR="008279BF">
        <w:rPr>
          <w:lang w:val="fr-FR"/>
        </w:rPr>
        <w:t>’</w:t>
      </w:r>
      <w:r w:rsidRPr="00EE4C2A">
        <w:rPr>
          <w:lang w:val="fr-FR"/>
        </w:rPr>
        <w:t>assurés.</w:t>
      </w:r>
    </w:p>
    <w:p w14:paraId="6D13E62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20 a) de la liste de points établie </w:t>
      </w:r>
      <w:r>
        <w:rPr>
          <w:bCs/>
          <w:lang w:val="fr-FR"/>
        </w:rPr>
        <w:t xml:space="preserve">avant la soumission du rapport </w:t>
      </w:r>
    </w:p>
    <w:p w14:paraId="2F70F861" w14:textId="550FDB36" w:rsidR="00046F46" w:rsidRPr="00EE4C2A" w:rsidRDefault="00046F46" w:rsidP="00046F46">
      <w:pPr>
        <w:pStyle w:val="SingleTxtG"/>
        <w:rPr>
          <w:lang w:val="fr-FR"/>
        </w:rPr>
      </w:pPr>
      <w:r w:rsidRPr="00EE4C2A">
        <w:rPr>
          <w:lang w:val="fr-FR"/>
        </w:rPr>
        <w:t>113.</w:t>
      </w:r>
      <w:r w:rsidRPr="00EE4C2A">
        <w:rPr>
          <w:lang w:val="fr-FR"/>
        </w:rPr>
        <w:tab/>
        <w:t>En ce qui concerne l</w:t>
      </w:r>
      <w:r w:rsidR="008279BF">
        <w:rPr>
          <w:lang w:val="fr-FR"/>
        </w:rPr>
        <w:t>’</w:t>
      </w:r>
      <w:r w:rsidRPr="00EE4C2A">
        <w:rPr>
          <w:lang w:val="fr-FR"/>
        </w:rPr>
        <w:t xml:space="preserve">élimination des retards de croissance et de la mortalité des enfants de moins de </w:t>
      </w:r>
      <w:r w:rsidR="00597FF6">
        <w:rPr>
          <w:lang w:val="fr-FR"/>
        </w:rPr>
        <w:t>5</w:t>
      </w:r>
      <w:r w:rsidRPr="00EE4C2A">
        <w:rPr>
          <w:lang w:val="fr-FR"/>
        </w:rPr>
        <w:t> ans, l</w:t>
      </w:r>
      <w:r w:rsidR="008279BF">
        <w:rPr>
          <w:lang w:val="fr-FR"/>
        </w:rPr>
        <w:t>’</w:t>
      </w:r>
      <w:r w:rsidRPr="00EE4C2A">
        <w:rPr>
          <w:lang w:val="fr-FR"/>
        </w:rPr>
        <w:t>État partie souhaite rapporter une réduction de cette dernière. Il ressort de l</w:t>
      </w:r>
      <w:r w:rsidR="008279BF">
        <w:rPr>
          <w:lang w:val="fr-FR"/>
        </w:rPr>
        <w:t>’</w:t>
      </w:r>
      <w:r w:rsidRPr="00EE4C2A">
        <w:rPr>
          <w:lang w:val="fr-FR"/>
        </w:rPr>
        <w:t>Enquête nationale démographique et sanitaire réalisée en 2018 que ce taux est passé de 75 décès pour 1 000 naissances vivantes à 61 décès pour 1 000 naissances vivantes au cours de la période 2014-2018. Le taux de mortalité infanto-juvénile a diminué, passant de 31 décès pour 1 000 naissances vivantes en 2014 à 19 décès pour 1 000 naissances vivantes en 2018. Cette amélioration est attribuée à des programmes tels que la campagne des 1 000 jours les plus décisifs et à l</w:t>
      </w:r>
      <w:r w:rsidR="008279BF">
        <w:rPr>
          <w:lang w:val="fr-FR"/>
        </w:rPr>
        <w:t>’</w:t>
      </w:r>
      <w:r w:rsidRPr="00EE4C2A">
        <w:rPr>
          <w:lang w:val="fr-FR"/>
        </w:rPr>
        <w:t xml:space="preserve">augmentation de la couverture vaccinale, qui est passée </w:t>
      </w:r>
      <w:r w:rsidRPr="00EE4C2A">
        <w:rPr>
          <w:lang w:val="fr-FR"/>
        </w:rPr>
        <w:lastRenderedPageBreak/>
        <w:t>de</w:t>
      </w:r>
      <w:r w:rsidR="00597FF6">
        <w:rPr>
          <w:lang w:val="fr-FR"/>
        </w:rPr>
        <w:t xml:space="preserve"> </w:t>
      </w:r>
      <w:r w:rsidRPr="00EE4C2A">
        <w:rPr>
          <w:lang w:val="fr-FR"/>
        </w:rPr>
        <w:t>68 % à 75 % sur la période 2014-2018. Ces programmes sont financés par différentes sources, notamment par les recettes publiques, l</w:t>
      </w:r>
      <w:r w:rsidR="008279BF">
        <w:rPr>
          <w:lang w:val="fr-FR"/>
        </w:rPr>
        <w:t>’</w:t>
      </w:r>
      <w:r w:rsidRPr="00EE4C2A">
        <w:rPr>
          <w:lang w:val="fr-FR"/>
        </w:rPr>
        <w:t>assurance maladie et des partenaires.</w:t>
      </w:r>
    </w:p>
    <w:p w14:paraId="1BF565A6" w14:textId="6F9F25D0" w:rsidR="00046F46" w:rsidRPr="00EE4C2A" w:rsidRDefault="00046F46" w:rsidP="00046F46">
      <w:pPr>
        <w:pStyle w:val="SingleTxtG"/>
        <w:spacing w:after="240"/>
        <w:rPr>
          <w:lang w:val="fr-FR"/>
        </w:rPr>
      </w:pPr>
      <w:r w:rsidRPr="00EE4C2A">
        <w:rPr>
          <w:lang w:val="fr-FR"/>
        </w:rPr>
        <w:t>114.</w:t>
      </w:r>
      <w:r w:rsidRPr="00EE4C2A">
        <w:rPr>
          <w:lang w:val="fr-FR"/>
        </w:rPr>
        <w:tab/>
        <w:t xml:space="preserve">En outre, les interventions nutritionnelles ont été renforcées selon une approche multisectorielle, afin de réduire les retards de croissance chez les enfants de moins de </w:t>
      </w:r>
      <w:r w:rsidR="00597FF6">
        <w:rPr>
          <w:lang w:val="fr-FR"/>
        </w:rPr>
        <w:t>5</w:t>
      </w:r>
      <w:r w:rsidRPr="00EE4C2A">
        <w:rPr>
          <w:lang w:val="fr-FR"/>
        </w:rPr>
        <w:t xml:space="preserve"> ans. Le taux de retard de croissance </w:t>
      </w:r>
      <w:r>
        <w:rPr>
          <w:lang w:val="fr-FR"/>
        </w:rPr>
        <w:t>s</w:t>
      </w:r>
      <w:r w:rsidR="008279BF">
        <w:rPr>
          <w:lang w:val="fr-FR"/>
        </w:rPr>
        <w:t>’</w:t>
      </w:r>
      <w:r>
        <w:rPr>
          <w:lang w:val="fr-FR"/>
        </w:rPr>
        <w:t>est amélioré</w:t>
      </w:r>
      <w:r w:rsidRPr="00EE4C2A">
        <w:rPr>
          <w:lang w:val="fr-FR"/>
        </w:rPr>
        <w:t>, passant de 40 % en 2013/14 à 35 % en 2018</w:t>
      </w:r>
      <w:r w:rsidR="00597FF6">
        <w:rPr>
          <w:lang w:val="fr-FR"/>
        </w:rPr>
        <w:t xml:space="preserve"> </w:t>
      </w:r>
      <w:r w:rsidRPr="00EE4C2A">
        <w:rPr>
          <w:lang w:val="fr-FR"/>
        </w:rPr>
        <w:t>(Enquête nationale démographique et sanitaire), comme il ressort du graphique ci-après :</w:t>
      </w:r>
    </w:p>
    <w:p w14:paraId="304964ED" w14:textId="77777777" w:rsidR="00046F46" w:rsidRPr="00EE4C2A" w:rsidRDefault="00046F46" w:rsidP="00597FF6">
      <w:pPr>
        <w:pStyle w:val="SingleTxtG"/>
        <w:spacing w:after="0"/>
        <w:rPr>
          <w:lang w:val="fr-FR"/>
        </w:rPr>
      </w:pPr>
      <w:r w:rsidRPr="00EE4C2A">
        <w:rPr>
          <w:noProof/>
          <w:lang w:val="fr-FR" w:eastAsia="fr-FR"/>
        </w:rPr>
        <w:drawing>
          <wp:inline distT="0" distB="0" distL="0" distR="0" wp14:anchorId="1FBDFD24" wp14:editId="56A50A8B">
            <wp:extent cx="4649638" cy="2599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6466" cy="2608445"/>
                    </a:xfrm>
                    <a:prstGeom prst="rect">
                      <a:avLst/>
                    </a:prstGeom>
                    <a:noFill/>
                  </pic:spPr>
                </pic:pic>
              </a:graphicData>
            </a:graphic>
          </wp:inline>
        </w:drawing>
      </w:r>
    </w:p>
    <w:p w14:paraId="0AB1A6DA"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20 b) de la liste de points établie </w:t>
      </w:r>
      <w:r>
        <w:rPr>
          <w:bCs/>
          <w:lang w:val="fr-FR"/>
        </w:rPr>
        <w:t xml:space="preserve">avant la soumission du rapport </w:t>
      </w:r>
    </w:p>
    <w:p w14:paraId="5C5AA900" w14:textId="16E96296" w:rsidR="00046F46" w:rsidRPr="00EE4C2A" w:rsidRDefault="00046F46" w:rsidP="00046F46">
      <w:pPr>
        <w:pStyle w:val="SingleTxtG"/>
        <w:rPr>
          <w:lang w:val="fr-FR"/>
        </w:rPr>
      </w:pPr>
      <w:r w:rsidRPr="00EE4C2A">
        <w:rPr>
          <w:lang w:val="fr-FR"/>
        </w:rPr>
        <w:t>115.</w:t>
      </w:r>
      <w:r w:rsidRPr="00EE4C2A">
        <w:rPr>
          <w:lang w:val="fr-FR"/>
        </w:rPr>
        <w:tab/>
        <w:t>Pour garantir l</w:t>
      </w:r>
      <w:r w:rsidR="008279BF">
        <w:rPr>
          <w:lang w:val="fr-FR"/>
        </w:rPr>
        <w:t>’</w:t>
      </w:r>
      <w:r w:rsidRPr="00EE4C2A">
        <w:rPr>
          <w:lang w:val="fr-FR"/>
        </w:rPr>
        <w:t>accès à des services de santé et à un personnel médical de qualité, l</w:t>
      </w:r>
      <w:r w:rsidR="008279BF">
        <w:rPr>
          <w:lang w:val="fr-FR"/>
        </w:rPr>
        <w:t>’</w:t>
      </w:r>
      <w:r w:rsidRPr="00EE4C2A">
        <w:rPr>
          <w:lang w:val="fr-FR"/>
        </w:rPr>
        <w:t>État partie, au moyen du Plan stratégique national de santé (2017-2021), s</w:t>
      </w:r>
      <w:r w:rsidR="008279BF">
        <w:rPr>
          <w:lang w:val="fr-FR"/>
        </w:rPr>
        <w:t>’</w:t>
      </w:r>
      <w:r w:rsidRPr="00EE4C2A">
        <w:rPr>
          <w:lang w:val="fr-FR"/>
        </w:rPr>
        <w:t>attaque aux défis que représentent les pénuries critiques de personnel de santé, la répartition équitable des soignants disponibles et la fourniture de services sanitaires de qualité. Des efforts ont été entrepris pour renforcer la gestion, la planification et l</w:t>
      </w:r>
      <w:r w:rsidR="008279BF">
        <w:rPr>
          <w:lang w:val="fr-FR"/>
        </w:rPr>
        <w:t>’</w:t>
      </w:r>
      <w:r w:rsidRPr="00EE4C2A">
        <w:rPr>
          <w:lang w:val="fr-FR"/>
        </w:rPr>
        <w:t>administration des ressources humaines à tous les niveaux, et l</w:t>
      </w:r>
      <w:r w:rsidR="008279BF">
        <w:rPr>
          <w:lang w:val="fr-FR"/>
        </w:rPr>
        <w:t>’</w:t>
      </w:r>
      <w:r w:rsidRPr="00EE4C2A">
        <w:rPr>
          <w:lang w:val="fr-FR"/>
        </w:rPr>
        <w:t>État continue d</w:t>
      </w:r>
      <w:r w:rsidR="008279BF">
        <w:rPr>
          <w:lang w:val="fr-FR"/>
        </w:rPr>
        <w:t>’</w:t>
      </w:r>
      <w:r w:rsidRPr="00EE4C2A">
        <w:rPr>
          <w:lang w:val="fr-FR"/>
        </w:rPr>
        <w:t>augmenter les effectifs du personnel médical quand le cadre général des ressources le permet. On note une augmentation du nombre d</w:t>
      </w:r>
      <w:r w:rsidR="008279BF">
        <w:rPr>
          <w:lang w:val="fr-FR"/>
        </w:rPr>
        <w:t>’</w:t>
      </w:r>
      <w:r w:rsidRPr="00EE4C2A">
        <w:rPr>
          <w:lang w:val="fr-FR"/>
        </w:rPr>
        <w:t>étudiants et l</w:t>
      </w:r>
      <w:r w:rsidR="008279BF">
        <w:rPr>
          <w:lang w:val="fr-FR"/>
        </w:rPr>
        <w:t>’</w:t>
      </w:r>
      <w:r w:rsidRPr="00EE4C2A">
        <w:rPr>
          <w:lang w:val="fr-FR"/>
        </w:rPr>
        <w:t>utilisation d</w:t>
      </w:r>
      <w:r w:rsidR="008279BF">
        <w:rPr>
          <w:lang w:val="fr-FR"/>
        </w:rPr>
        <w:t>’</w:t>
      </w:r>
      <w:r w:rsidRPr="00EE4C2A">
        <w:rPr>
          <w:lang w:val="fr-FR"/>
        </w:rPr>
        <w:t>un système plus équitable d</w:t>
      </w:r>
      <w:r w:rsidR="008279BF">
        <w:rPr>
          <w:lang w:val="fr-FR"/>
        </w:rPr>
        <w:t>’</w:t>
      </w:r>
      <w:r w:rsidRPr="00EE4C2A">
        <w:rPr>
          <w:lang w:val="fr-FR"/>
        </w:rPr>
        <w:t>embauche d</w:t>
      </w:r>
      <w:r w:rsidR="008279BF">
        <w:rPr>
          <w:lang w:val="fr-FR"/>
        </w:rPr>
        <w:t>’</w:t>
      </w:r>
      <w:r w:rsidRPr="00EE4C2A">
        <w:rPr>
          <w:lang w:val="fr-FR"/>
        </w:rPr>
        <w:t>infirmières et de personnel soignant entre les provinces. L</w:t>
      </w:r>
      <w:r w:rsidR="008279BF">
        <w:rPr>
          <w:lang w:val="fr-FR"/>
        </w:rPr>
        <w:t>’</w:t>
      </w:r>
      <w:r w:rsidRPr="00EE4C2A">
        <w:rPr>
          <w:lang w:val="fr-FR"/>
        </w:rPr>
        <w:t>État partie encourage également la rétention du personnel de santé, en particulier dans les zones rurales. Au total, 4 000 agents de santé ont été recrutés pendant la pandémie de COVID-19.</w:t>
      </w:r>
    </w:p>
    <w:p w14:paraId="1D123A7F" w14:textId="39F14674" w:rsidR="00046F46" w:rsidRPr="00EE4C2A" w:rsidRDefault="00046F46" w:rsidP="00046F46">
      <w:pPr>
        <w:pStyle w:val="SingleTxtG"/>
        <w:rPr>
          <w:lang w:val="fr-FR"/>
        </w:rPr>
      </w:pPr>
      <w:r w:rsidRPr="00EE4C2A">
        <w:rPr>
          <w:lang w:val="fr-FR"/>
        </w:rPr>
        <w:t>116.</w:t>
      </w:r>
      <w:r w:rsidRPr="00EE4C2A">
        <w:rPr>
          <w:lang w:val="fr-FR"/>
        </w:rPr>
        <w:tab/>
        <w:t>En ce qui concerne la qualité des personnels de santé, l</w:t>
      </w:r>
      <w:r w:rsidR="008279BF">
        <w:rPr>
          <w:lang w:val="fr-FR"/>
        </w:rPr>
        <w:t>’</w:t>
      </w:r>
      <w:r w:rsidRPr="00EE4C2A">
        <w:rPr>
          <w:lang w:val="fr-FR"/>
        </w:rPr>
        <w:t>État partie a lancé un certain nombre de programmes visant à renforcer leurs compétences pour améliorer la qualité des services de santé fournis aux citoyens. En outre, une unité d</w:t>
      </w:r>
      <w:r w:rsidR="008279BF">
        <w:rPr>
          <w:lang w:val="fr-FR"/>
        </w:rPr>
        <w:t>’</w:t>
      </w:r>
      <w:r w:rsidRPr="00EE4C2A">
        <w:rPr>
          <w:lang w:val="fr-FR"/>
        </w:rPr>
        <w:t>amélioration et d</w:t>
      </w:r>
      <w:r w:rsidR="008279BF">
        <w:rPr>
          <w:lang w:val="fr-FR"/>
        </w:rPr>
        <w:t>’</w:t>
      </w:r>
      <w:r w:rsidRPr="00EE4C2A">
        <w:rPr>
          <w:lang w:val="fr-FR"/>
        </w:rPr>
        <w:t>assurance de la qualité a été créée pour renforcer la qualité des prestations des services de santé.</w:t>
      </w:r>
    </w:p>
    <w:p w14:paraId="5F5AD747" w14:textId="77777777" w:rsidR="00046F46" w:rsidRPr="00EE4C2A" w:rsidRDefault="00046F46" w:rsidP="00046F46">
      <w:pPr>
        <w:pStyle w:val="H23G"/>
        <w:rPr>
          <w:lang w:val="fr-FR"/>
        </w:rPr>
      </w:pPr>
      <w:r w:rsidRPr="00EE4C2A">
        <w:rPr>
          <w:lang w:val="fr-FR"/>
        </w:rPr>
        <w:tab/>
      </w:r>
      <w:r w:rsidRPr="00EE4C2A">
        <w:rPr>
          <w:lang w:val="fr-FR"/>
        </w:rPr>
        <w:tab/>
      </w:r>
      <w:r w:rsidRPr="00290B1B">
        <w:rPr>
          <w:bCs/>
          <w:lang w:val="fr-FR"/>
        </w:rPr>
        <w:t>Réponse concernant les points soulevés au paragraphe 20 c) de la liste de points établie avant la soumission du rapport</w:t>
      </w:r>
      <w:r>
        <w:rPr>
          <w:bCs/>
          <w:lang w:val="fr-FR"/>
        </w:rPr>
        <w:t xml:space="preserve"> </w:t>
      </w:r>
    </w:p>
    <w:p w14:paraId="3B01A106" w14:textId="4C4FC55F" w:rsidR="00046F46" w:rsidRPr="00EE4C2A" w:rsidRDefault="00046F46" w:rsidP="00046F46">
      <w:pPr>
        <w:pStyle w:val="SingleTxtG"/>
        <w:rPr>
          <w:lang w:val="fr-FR"/>
        </w:rPr>
      </w:pPr>
      <w:r w:rsidRPr="00EE4C2A">
        <w:rPr>
          <w:lang w:val="fr-FR"/>
        </w:rPr>
        <w:t>117.</w:t>
      </w:r>
      <w:r w:rsidRPr="00EE4C2A">
        <w:rPr>
          <w:lang w:val="fr-FR"/>
        </w:rPr>
        <w:tab/>
        <w:t>En ce qui concerne la révision de la législation sur la réglementation des pratiques de commercialisation des substituts du lait maternel, l</w:t>
      </w:r>
      <w:r w:rsidR="008279BF">
        <w:rPr>
          <w:lang w:val="fr-FR"/>
        </w:rPr>
        <w:t>’</w:t>
      </w:r>
      <w:r w:rsidRPr="00EE4C2A">
        <w:rPr>
          <w:lang w:val="fr-FR"/>
        </w:rPr>
        <w:t>État partie, en consultation avec les parties prenantes, a entrepris de réviser le règlement n</w:t>
      </w:r>
      <w:r w:rsidRPr="00EE4C2A">
        <w:rPr>
          <w:vertAlign w:val="superscript"/>
          <w:lang w:val="fr-FR"/>
        </w:rPr>
        <w:t>o</w:t>
      </w:r>
      <w:r w:rsidRPr="00EE4C2A">
        <w:rPr>
          <w:lang w:val="fr-FR"/>
        </w:rPr>
        <w:t> 48</w:t>
      </w:r>
      <w:r w:rsidR="00290B1B">
        <w:rPr>
          <w:lang w:val="fr-FR"/>
        </w:rPr>
        <w:t xml:space="preserve"> </w:t>
      </w:r>
      <w:r w:rsidRPr="00EE4C2A">
        <w:rPr>
          <w:lang w:val="fr-FR"/>
        </w:rPr>
        <w:t>de</w:t>
      </w:r>
      <w:r w:rsidR="00290B1B">
        <w:rPr>
          <w:lang w:val="fr-FR"/>
        </w:rPr>
        <w:t xml:space="preserve"> </w:t>
      </w:r>
      <w:r w:rsidRPr="00EE4C2A">
        <w:rPr>
          <w:lang w:val="fr-FR"/>
        </w:rPr>
        <w:t>2006 pour combler les lacunes de certaines clauses. Ce processus est toujours en cours. Cette révision vise à redéfinir le terme</w:t>
      </w:r>
      <w:r w:rsidR="00290B1B">
        <w:rPr>
          <w:lang w:val="fr-FR"/>
        </w:rPr>
        <w:t xml:space="preserve"> </w:t>
      </w:r>
      <w:r w:rsidRPr="00EE4C2A">
        <w:rPr>
          <w:lang w:val="fr-FR"/>
        </w:rPr>
        <w:t>« substitut du lait maternel », qui est trop vague, et à encadrer la commercialisation des substituts du lait maternel afin notamment que les produits comportent des étiquettes lisibles, que les teneurs et quantités soient indiquées par rapport à celles du lait maternel et que les fabricants précisent que le lait maternel est supérieur.</w:t>
      </w:r>
    </w:p>
    <w:p w14:paraId="488B420A" w14:textId="5A3E41EE" w:rsidR="00046F46" w:rsidRPr="00EE4C2A" w:rsidRDefault="00046F46" w:rsidP="00046F46">
      <w:pPr>
        <w:pStyle w:val="SingleTxtG"/>
        <w:rPr>
          <w:lang w:val="fr-FR"/>
        </w:rPr>
      </w:pPr>
      <w:r w:rsidRPr="00EE4C2A">
        <w:rPr>
          <w:lang w:val="fr-FR"/>
        </w:rPr>
        <w:t>118.</w:t>
      </w:r>
      <w:r w:rsidRPr="00EE4C2A">
        <w:rPr>
          <w:lang w:val="fr-FR"/>
        </w:rPr>
        <w:tab/>
        <w:t>En ce qui concerne la sensibilisation, l</w:t>
      </w:r>
      <w:r w:rsidR="008279BF">
        <w:rPr>
          <w:lang w:val="fr-FR"/>
        </w:rPr>
        <w:t>’</w:t>
      </w:r>
      <w:r w:rsidRPr="00EE4C2A">
        <w:rPr>
          <w:lang w:val="fr-FR"/>
        </w:rPr>
        <w:t>État partie promeut le Programme d</w:t>
      </w:r>
      <w:r w:rsidR="008279BF">
        <w:rPr>
          <w:lang w:val="fr-FR"/>
        </w:rPr>
        <w:t>’</w:t>
      </w:r>
      <w:r w:rsidRPr="00EE4C2A">
        <w:rPr>
          <w:lang w:val="fr-FR"/>
        </w:rPr>
        <w:t xml:space="preserve">allaitement maternel exclusif pendant les </w:t>
      </w:r>
      <w:r w:rsidR="00290B1B">
        <w:rPr>
          <w:lang w:val="fr-FR"/>
        </w:rPr>
        <w:t xml:space="preserve">six </w:t>
      </w:r>
      <w:r w:rsidRPr="00EE4C2A">
        <w:rPr>
          <w:lang w:val="fr-FR"/>
        </w:rPr>
        <w:t xml:space="preserve">premiers mois, pour encourager les mères à allaiter leurs enfants au lieu de leur donner des laits maternisés. Ce sujet fait partie de </w:t>
      </w:r>
      <w:r w:rsidRPr="00EE4C2A">
        <w:rPr>
          <w:lang w:val="fr-FR"/>
        </w:rPr>
        <w:lastRenderedPageBreak/>
        <w:t>l</w:t>
      </w:r>
      <w:r w:rsidR="008279BF">
        <w:rPr>
          <w:lang w:val="fr-FR"/>
        </w:rPr>
        <w:t>’</w:t>
      </w:r>
      <w:r w:rsidRPr="00EE4C2A">
        <w:rPr>
          <w:lang w:val="fr-FR"/>
        </w:rPr>
        <w:t>éducation sanitaire et nutritionnelle dispensée aux mères dans le cadre de leurs interactions avec le personnel de santé et les bénévoles de santé communautaire. Chaque année, la Zambie se joint à d</w:t>
      </w:r>
      <w:r w:rsidR="008279BF">
        <w:rPr>
          <w:lang w:val="fr-FR"/>
        </w:rPr>
        <w:t>’</w:t>
      </w:r>
      <w:r w:rsidRPr="00EE4C2A">
        <w:rPr>
          <w:lang w:val="fr-FR"/>
        </w:rPr>
        <w:t>autres nations pour célébrer la Semaine mondiale de l</w:t>
      </w:r>
      <w:r w:rsidR="008279BF">
        <w:rPr>
          <w:lang w:val="fr-FR"/>
        </w:rPr>
        <w:t>’</w:t>
      </w:r>
      <w:r w:rsidRPr="00EE4C2A">
        <w:rPr>
          <w:lang w:val="fr-FR"/>
        </w:rPr>
        <w:t>allaitement maternel, qui est une semaine d</w:t>
      </w:r>
      <w:r w:rsidR="008279BF">
        <w:rPr>
          <w:lang w:val="fr-FR"/>
        </w:rPr>
        <w:t>’</w:t>
      </w:r>
      <w:r w:rsidRPr="00EE4C2A">
        <w:rPr>
          <w:lang w:val="fr-FR"/>
        </w:rPr>
        <w:t>activités de sensibilisation à l</w:t>
      </w:r>
      <w:r w:rsidR="008279BF">
        <w:rPr>
          <w:lang w:val="fr-FR"/>
        </w:rPr>
        <w:t>’</w:t>
      </w:r>
      <w:r w:rsidRPr="00EE4C2A">
        <w:rPr>
          <w:lang w:val="fr-FR"/>
        </w:rPr>
        <w:t>allaitement maternel.</w:t>
      </w:r>
    </w:p>
    <w:p w14:paraId="217151D3" w14:textId="77777777" w:rsidR="00046F46" w:rsidRPr="00EE4C2A" w:rsidRDefault="00046F46" w:rsidP="00046F46">
      <w:pPr>
        <w:pStyle w:val="H23G"/>
        <w:rPr>
          <w:lang w:val="fr-FR"/>
        </w:rPr>
      </w:pPr>
      <w:bookmarkStart w:id="31" w:name="_Hlk61533125"/>
      <w:r w:rsidRPr="00EE4C2A">
        <w:rPr>
          <w:lang w:val="fr-FR"/>
        </w:rPr>
        <w:tab/>
      </w:r>
      <w:r w:rsidRPr="00EE4C2A">
        <w:rPr>
          <w:lang w:val="fr-FR"/>
        </w:rPr>
        <w:tab/>
      </w:r>
      <w:r w:rsidRPr="00EE4C2A">
        <w:rPr>
          <w:bCs/>
          <w:lang w:val="fr-FR"/>
        </w:rPr>
        <w:t xml:space="preserve">Réponse concernant les points soulevés au paragraphe 20 d) de la liste de points établie </w:t>
      </w:r>
      <w:r>
        <w:rPr>
          <w:bCs/>
          <w:lang w:val="fr-FR"/>
        </w:rPr>
        <w:t xml:space="preserve">avant la soumission du rapport </w:t>
      </w:r>
    </w:p>
    <w:p w14:paraId="135CDD7A" w14:textId="5E3AC6FD" w:rsidR="00046F46" w:rsidRPr="00EE4C2A" w:rsidRDefault="00046F46" w:rsidP="00046F46">
      <w:pPr>
        <w:pStyle w:val="SingleTxtG"/>
        <w:rPr>
          <w:lang w:val="fr-FR"/>
        </w:rPr>
      </w:pPr>
      <w:r w:rsidRPr="00EE4C2A">
        <w:rPr>
          <w:lang w:val="fr-FR"/>
        </w:rPr>
        <w:t>119.</w:t>
      </w:r>
      <w:r w:rsidRPr="00EE4C2A">
        <w:rPr>
          <w:lang w:val="fr-FR"/>
        </w:rPr>
        <w:tab/>
        <w:t>En ce qui concerne l</w:t>
      </w:r>
      <w:r w:rsidR="008279BF">
        <w:rPr>
          <w:lang w:val="fr-FR"/>
        </w:rPr>
        <w:t>’</w:t>
      </w:r>
      <w:r w:rsidRPr="00EE4C2A">
        <w:rPr>
          <w:lang w:val="fr-FR"/>
        </w:rPr>
        <w:t>élimination de la transmission du virus de l</w:t>
      </w:r>
      <w:r w:rsidR="008279BF">
        <w:rPr>
          <w:lang w:val="fr-FR"/>
        </w:rPr>
        <w:t>’</w:t>
      </w:r>
      <w:r w:rsidRPr="00EE4C2A">
        <w:rPr>
          <w:lang w:val="fr-FR"/>
        </w:rPr>
        <w:t>immunodéficience humaine</w:t>
      </w:r>
      <w:r w:rsidR="00290B1B">
        <w:rPr>
          <w:lang w:val="fr-FR"/>
        </w:rPr>
        <w:t xml:space="preserve"> </w:t>
      </w:r>
      <w:r w:rsidRPr="00EE4C2A">
        <w:rPr>
          <w:lang w:val="fr-FR"/>
        </w:rPr>
        <w:t>(VIH) de la mère à l</w:t>
      </w:r>
      <w:r w:rsidR="008279BF">
        <w:rPr>
          <w:lang w:val="fr-FR"/>
        </w:rPr>
        <w:t>’</w:t>
      </w:r>
      <w:r w:rsidRPr="00EE4C2A">
        <w:rPr>
          <w:lang w:val="fr-FR"/>
        </w:rPr>
        <w:t>enfant et l</w:t>
      </w:r>
      <w:r w:rsidR="008279BF">
        <w:rPr>
          <w:lang w:val="fr-FR"/>
        </w:rPr>
        <w:t>’</w:t>
      </w:r>
      <w:r w:rsidRPr="00EE4C2A">
        <w:rPr>
          <w:lang w:val="fr-FR"/>
        </w:rPr>
        <w:t>élimination des nouvelles infections, l</w:t>
      </w:r>
      <w:r w:rsidR="008279BF">
        <w:rPr>
          <w:lang w:val="fr-FR"/>
        </w:rPr>
        <w:t>’</w:t>
      </w:r>
      <w:r w:rsidRPr="00EE4C2A">
        <w:rPr>
          <w:lang w:val="fr-FR"/>
        </w:rPr>
        <w:t>État partie a mis en place des programmes à cet effet comprenant notamment le dépistage et des consultations en matière de VIH, y compris pour les couples avant et pendant les soins prénatals, le dépistage répété des femmes enceintes dans les milieux à forte prévalence afin d</w:t>
      </w:r>
      <w:r w:rsidR="008279BF">
        <w:rPr>
          <w:lang w:val="fr-FR"/>
        </w:rPr>
        <w:t>’</w:t>
      </w:r>
      <w:r w:rsidRPr="00EE4C2A">
        <w:rPr>
          <w:lang w:val="fr-FR"/>
        </w:rPr>
        <w:t>exclure la possibilité d</w:t>
      </w:r>
      <w:r w:rsidR="008279BF">
        <w:rPr>
          <w:lang w:val="fr-FR"/>
        </w:rPr>
        <w:t>’</w:t>
      </w:r>
      <w:r w:rsidRPr="00EE4C2A">
        <w:rPr>
          <w:lang w:val="fr-FR"/>
        </w:rPr>
        <w:t>une nouvelle infection à VIH pendant la grossesse, une meilleure sensibilisation des communautés et le repérage, dans les établissements de soins, des femmes enceintes qui ne sont pas encore inscrites dans un service prénatal, en particulier pour les adolescentes qui se sentent stigmatisées.</w:t>
      </w:r>
      <w:bookmarkEnd w:id="31"/>
    </w:p>
    <w:p w14:paraId="6CA95248" w14:textId="55608385" w:rsidR="00046F46" w:rsidRPr="00EE4C2A" w:rsidRDefault="00046F46" w:rsidP="00046F46">
      <w:pPr>
        <w:pStyle w:val="SingleTxtG"/>
        <w:rPr>
          <w:lang w:val="fr-FR"/>
        </w:rPr>
      </w:pPr>
      <w:r w:rsidRPr="00EE4C2A">
        <w:rPr>
          <w:lang w:val="fr-FR"/>
        </w:rPr>
        <w:t>120.</w:t>
      </w:r>
      <w:r w:rsidRPr="00EE4C2A">
        <w:rPr>
          <w:lang w:val="fr-FR"/>
        </w:rPr>
        <w:tab/>
        <w:t>Selon les e</w:t>
      </w:r>
      <w:r>
        <w:rPr>
          <w:lang w:val="fr-FR"/>
        </w:rPr>
        <w:t>stimations de décembre</w:t>
      </w:r>
      <w:r w:rsidR="00290B1B">
        <w:rPr>
          <w:lang w:val="fr-FR"/>
        </w:rPr>
        <w:t xml:space="preserve"> </w:t>
      </w:r>
      <w:r>
        <w:rPr>
          <w:lang w:val="fr-FR"/>
        </w:rPr>
        <w:t>2019, 51 </w:t>
      </w:r>
      <w:r w:rsidRPr="00EE4C2A">
        <w:rPr>
          <w:lang w:val="fr-FR"/>
        </w:rPr>
        <w:t>000 personnes, tous âges confondus, étaient infectées par le VIH chaque année. Les jeunes, particulièrement les adolescentes et les jeunes femmes, continuent d</w:t>
      </w:r>
      <w:r w:rsidR="008279BF">
        <w:rPr>
          <w:lang w:val="fr-FR"/>
        </w:rPr>
        <w:t>’</w:t>
      </w:r>
      <w:r w:rsidRPr="00EE4C2A">
        <w:rPr>
          <w:lang w:val="fr-FR"/>
        </w:rPr>
        <w:t>être touchés de manière disproportionnée par le VIH, puisqu</w:t>
      </w:r>
      <w:r w:rsidR="008279BF">
        <w:rPr>
          <w:lang w:val="fr-FR"/>
        </w:rPr>
        <w:t>’</w:t>
      </w:r>
      <w:r w:rsidRPr="00EE4C2A">
        <w:rPr>
          <w:lang w:val="fr-FR"/>
        </w:rPr>
        <w:t>ils représentent un peu plus d</w:t>
      </w:r>
      <w:r w:rsidR="008279BF">
        <w:rPr>
          <w:lang w:val="fr-FR"/>
        </w:rPr>
        <w:t>’</w:t>
      </w:r>
      <w:r w:rsidRPr="00EE4C2A">
        <w:rPr>
          <w:lang w:val="fr-FR"/>
        </w:rPr>
        <w:t>un tiers des nouvelles infections à VIH. Il existe de très grandes disparités entre les sexes en ce qui concerne les nouvelles infections à VIH chez les adolescents : 6 800 filles et 1 900 garçons.</w:t>
      </w:r>
    </w:p>
    <w:p w14:paraId="36C68081" w14:textId="00481F2E" w:rsidR="00046F46" w:rsidRPr="00EE4C2A" w:rsidRDefault="00046F46" w:rsidP="00046F46">
      <w:pPr>
        <w:pStyle w:val="SingleTxtG"/>
        <w:rPr>
          <w:lang w:val="fr-FR"/>
        </w:rPr>
      </w:pPr>
      <w:r w:rsidRPr="00EE4C2A">
        <w:rPr>
          <w:lang w:val="fr-FR"/>
        </w:rPr>
        <w:t>121.</w:t>
      </w:r>
      <w:r w:rsidRPr="00EE4C2A">
        <w:rPr>
          <w:lang w:val="fr-FR"/>
        </w:rPr>
        <w:tab/>
        <w:t>En outre, l</w:t>
      </w:r>
      <w:r w:rsidR="008279BF">
        <w:rPr>
          <w:lang w:val="fr-FR"/>
        </w:rPr>
        <w:t>’</w:t>
      </w:r>
      <w:r w:rsidRPr="00EE4C2A">
        <w:rPr>
          <w:lang w:val="fr-FR"/>
        </w:rPr>
        <w:t>État partie a encouragé les interventions visant à améliorer la santé globale des adolescents et des jeunes, notamment la sensibilisation au VIH/sida et aux pratiques sexuelles sûres, l</w:t>
      </w:r>
      <w:r w:rsidR="008279BF">
        <w:rPr>
          <w:lang w:val="fr-FR"/>
        </w:rPr>
        <w:t>’</w:t>
      </w:r>
      <w:r w:rsidRPr="00EE4C2A">
        <w:rPr>
          <w:lang w:val="fr-FR"/>
        </w:rPr>
        <w:t>augmentation du nombre d</w:t>
      </w:r>
      <w:r w:rsidR="008279BF">
        <w:rPr>
          <w:lang w:val="fr-FR"/>
        </w:rPr>
        <w:t>’</w:t>
      </w:r>
      <w:r w:rsidRPr="00EE4C2A">
        <w:rPr>
          <w:lang w:val="fr-FR"/>
        </w:rPr>
        <w:t>établissements de santé fournissant des services liés au VIH grâce au renforcement des capacités des agents de santé, l</w:t>
      </w:r>
      <w:r w:rsidR="008279BF">
        <w:rPr>
          <w:lang w:val="fr-FR"/>
        </w:rPr>
        <w:t>’</w:t>
      </w:r>
      <w:r w:rsidRPr="00EE4C2A">
        <w:rPr>
          <w:lang w:val="fr-FR"/>
        </w:rPr>
        <w:t>amélioration des infrastructures et de la disponibilité des produits, la mobilisation accrue de la population pour lutter contre les facteurs favorisant les comportements sexuels à risque et le renforcement de la collaboration.</w:t>
      </w:r>
    </w:p>
    <w:p w14:paraId="783CA183" w14:textId="77777777" w:rsidR="00046F46" w:rsidRPr="00EE4C2A" w:rsidRDefault="00046F46" w:rsidP="00046F46">
      <w:pPr>
        <w:pStyle w:val="H1G"/>
        <w:rPr>
          <w:lang w:val="fr-FR"/>
        </w:rPr>
      </w:pPr>
      <w:bookmarkStart w:id="32" w:name="_Toc63937985"/>
      <w:r w:rsidRPr="00EE4C2A">
        <w:rPr>
          <w:lang w:val="fr-FR"/>
        </w:rPr>
        <w:tab/>
      </w:r>
      <w:r w:rsidRPr="00EE4C2A">
        <w:rPr>
          <w:lang w:val="fr-FR"/>
        </w:rPr>
        <w:tab/>
      </w:r>
      <w:r w:rsidRPr="00EE4C2A">
        <w:rPr>
          <w:bCs/>
          <w:lang w:val="fr-FR"/>
        </w:rPr>
        <w:t>Santé des adolescents</w:t>
      </w:r>
      <w:bookmarkEnd w:id="32"/>
    </w:p>
    <w:p w14:paraId="490D17D3"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21 a) de la liste de points établie </w:t>
      </w:r>
      <w:r>
        <w:rPr>
          <w:bCs/>
          <w:lang w:val="fr-FR"/>
        </w:rPr>
        <w:t xml:space="preserve">avant la soumission du rapport </w:t>
      </w:r>
    </w:p>
    <w:p w14:paraId="1657CF99" w14:textId="1B8BA75A" w:rsidR="00046F46" w:rsidRPr="00EE4C2A" w:rsidRDefault="00046F46" w:rsidP="00046F46">
      <w:pPr>
        <w:pStyle w:val="SingleTxtG"/>
        <w:rPr>
          <w:lang w:val="fr-FR"/>
        </w:rPr>
      </w:pPr>
      <w:r w:rsidRPr="00EE4C2A">
        <w:rPr>
          <w:lang w:val="fr-FR"/>
        </w:rPr>
        <w:t>122.</w:t>
      </w:r>
      <w:r w:rsidRPr="00EE4C2A">
        <w:rPr>
          <w:lang w:val="fr-FR"/>
        </w:rPr>
        <w:tab/>
        <w:t>En ce qui concerne la fourniture de services d</w:t>
      </w:r>
      <w:r w:rsidR="008279BF">
        <w:rPr>
          <w:lang w:val="fr-FR"/>
        </w:rPr>
        <w:t>’</w:t>
      </w:r>
      <w:r w:rsidRPr="00EE4C2A">
        <w:rPr>
          <w:lang w:val="fr-FR"/>
        </w:rPr>
        <w:t>avortement gratuits et sécurisés aux filles, l</w:t>
      </w:r>
      <w:r w:rsidR="008279BF">
        <w:rPr>
          <w:lang w:val="fr-FR"/>
        </w:rPr>
        <w:t>’</w:t>
      </w:r>
      <w:r w:rsidRPr="00EE4C2A">
        <w:rPr>
          <w:lang w:val="fr-FR"/>
        </w:rPr>
        <w:t>État partie a élaboré en 2019 des normes et des directives générales relatives aux soins liés à l</w:t>
      </w:r>
      <w:r w:rsidR="008279BF">
        <w:rPr>
          <w:lang w:val="fr-FR"/>
        </w:rPr>
        <w:t>’</w:t>
      </w:r>
      <w:r w:rsidRPr="00EE4C2A">
        <w:rPr>
          <w:lang w:val="fr-FR"/>
        </w:rPr>
        <w:t>avortement (CAC). L</w:t>
      </w:r>
      <w:r w:rsidR="008279BF">
        <w:rPr>
          <w:lang w:val="fr-FR"/>
        </w:rPr>
        <w:t>’</w:t>
      </w:r>
      <w:r w:rsidRPr="00EE4C2A">
        <w:rPr>
          <w:lang w:val="fr-FR"/>
        </w:rPr>
        <w:t>objectif est de standardiser la fourniture de services d</w:t>
      </w:r>
      <w:r w:rsidR="008279BF">
        <w:rPr>
          <w:lang w:val="fr-FR"/>
        </w:rPr>
        <w:t>’</w:t>
      </w:r>
      <w:r w:rsidRPr="00EE4C2A">
        <w:rPr>
          <w:lang w:val="fr-FR"/>
        </w:rPr>
        <w:t xml:space="preserve">avortement sécurisés et de </w:t>
      </w:r>
      <w:r>
        <w:rPr>
          <w:lang w:val="fr-FR"/>
        </w:rPr>
        <w:t>donner</w:t>
      </w:r>
      <w:r w:rsidRPr="00EE4C2A">
        <w:rPr>
          <w:lang w:val="fr-FR"/>
        </w:rPr>
        <w:t xml:space="preserve"> des directives concernant les personnes pouvant bénéficier de ces services et l</w:t>
      </w:r>
      <w:r w:rsidR="008279BF">
        <w:rPr>
          <w:lang w:val="fr-FR"/>
        </w:rPr>
        <w:t>’</w:t>
      </w:r>
      <w:r w:rsidRPr="00EE4C2A">
        <w:rPr>
          <w:lang w:val="fr-FR"/>
        </w:rPr>
        <w:t>accessibilité à ces services. Ces directives ont été diffusées dans les 10 provinces, et des supports de formation ont été élaborés à l</w:t>
      </w:r>
      <w:r w:rsidR="008279BF">
        <w:rPr>
          <w:lang w:val="fr-FR"/>
        </w:rPr>
        <w:t>’</w:t>
      </w:r>
      <w:r w:rsidRPr="00EE4C2A">
        <w:rPr>
          <w:lang w:val="fr-FR"/>
        </w:rPr>
        <w:t>intention des prestataires de soins de santé afin qu</w:t>
      </w:r>
      <w:r w:rsidR="008279BF">
        <w:rPr>
          <w:lang w:val="fr-FR"/>
        </w:rPr>
        <w:t>’</w:t>
      </w:r>
      <w:r w:rsidRPr="00EE4C2A">
        <w:rPr>
          <w:lang w:val="fr-FR"/>
        </w:rPr>
        <w:t>ils disposent des connaissances et compétences adéquates pour fournir des soins liés à l</w:t>
      </w:r>
      <w:r w:rsidR="008279BF">
        <w:rPr>
          <w:lang w:val="fr-FR"/>
        </w:rPr>
        <w:t>’</w:t>
      </w:r>
      <w:r w:rsidRPr="00EE4C2A">
        <w:rPr>
          <w:lang w:val="fr-FR"/>
        </w:rPr>
        <w:t>avortement aux adolescentes et aux femmes. La formation a commencé depuis lors, et le vivier de prestataires de services de soins liés à l</w:t>
      </w:r>
      <w:r w:rsidR="008279BF">
        <w:rPr>
          <w:lang w:val="fr-FR"/>
        </w:rPr>
        <w:t>’</w:t>
      </w:r>
      <w:r w:rsidRPr="00EE4C2A">
        <w:rPr>
          <w:lang w:val="fr-FR"/>
        </w:rPr>
        <w:t>avortement s</w:t>
      </w:r>
      <w:r w:rsidR="008279BF">
        <w:rPr>
          <w:lang w:val="fr-FR"/>
        </w:rPr>
        <w:t>’</w:t>
      </w:r>
      <w:r w:rsidRPr="00EE4C2A">
        <w:rPr>
          <w:lang w:val="fr-FR"/>
        </w:rPr>
        <w:t>est amélioré.</w:t>
      </w:r>
    </w:p>
    <w:p w14:paraId="41C3E12C" w14:textId="76E2D242" w:rsidR="00046F46" w:rsidRPr="00EE4C2A" w:rsidRDefault="00046F46" w:rsidP="00046F46">
      <w:pPr>
        <w:pStyle w:val="SingleTxtG"/>
        <w:rPr>
          <w:lang w:val="fr-FR"/>
        </w:rPr>
      </w:pPr>
      <w:r w:rsidRPr="00EE4C2A">
        <w:rPr>
          <w:lang w:val="fr-FR"/>
        </w:rPr>
        <w:t>123.</w:t>
      </w:r>
      <w:r w:rsidRPr="00EE4C2A">
        <w:rPr>
          <w:lang w:val="fr-FR"/>
        </w:rPr>
        <w:tab/>
        <w:t>Des outils d</w:t>
      </w:r>
      <w:r w:rsidR="008279BF">
        <w:rPr>
          <w:lang w:val="fr-FR"/>
        </w:rPr>
        <w:t>’</w:t>
      </w:r>
      <w:r w:rsidRPr="00EE4C2A">
        <w:rPr>
          <w:lang w:val="fr-FR"/>
        </w:rPr>
        <w:t>évaluation de la qualité des services et des outils de mentorat en soins liés à l</w:t>
      </w:r>
      <w:r w:rsidR="008279BF">
        <w:rPr>
          <w:lang w:val="fr-FR"/>
        </w:rPr>
        <w:t>’</w:t>
      </w:r>
      <w:r w:rsidRPr="00EE4C2A">
        <w:rPr>
          <w:lang w:val="fr-FR"/>
        </w:rPr>
        <w:t>avortement ont été mis au point afin de garantir la qualité des services fournis, et les établissements sont régulièrement inspectés pour veiller à ce que leurs services soient conformes aux normes requises. Les soins liés à l</w:t>
      </w:r>
      <w:r w:rsidR="008279BF">
        <w:rPr>
          <w:lang w:val="fr-FR"/>
        </w:rPr>
        <w:t>’</w:t>
      </w:r>
      <w:r w:rsidRPr="00EE4C2A">
        <w:rPr>
          <w:lang w:val="fr-FR"/>
        </w:rPr>
        <w:t xml:space="preserve">avortement font partie des services de santé sexuelle et </w:t>
      </w:r>
      <w:r>
        <w:rPr>
          <w:lang w:val="fr-FR"/>
        </w:rPr>
        <w:t>procréative</w:t>
      </w:r>
      <w:r w:rsidRPr="00EE4C2A">
        <w:rPr>
          <w:lang w:val="fr-FR"/>
        </w:rPr>
        <w:t xml:space="preserve"> </w:t>
      </w:r>
      <w:r>
        <w:rPr>
          <w:lang w:val="fr-FR"/>
        </w:rPr>
        <w:t>proposés</w:t>
      </w:r>
      <w:r w:rsidRPr="00EE4C2A">
        <w:rPr>
          <w:lang w:val="fr-FR"/>
        </w:rPr>
        <w:t xml:space="preserve"> aux filles et femmes en âge de procréer. Ils sont gratuits dans tous les établissements publics et sont disponibles sur demande. En outre, la révision de la politique en matière de santé </w:t>
      </w:r>
      <w:r>
        <w:rPr>
          <w:lang w:val="fr-FR"/>
        </w:rPr>
        <w:t>procréative</w:t>
      </w:r>
      <w:r w:rsidRPr="00EE4C2A">
        <w:rPr>
          <w:lang w:val="fr-FR"/>
        </w:rPr>
        <w:t xml:space="preserve"> est en cours afin d</w:t>
      </w:r>
      <w:r w:rsidR="008279BF">
        <w:rPr>
          <w:lang w:val="fr-FR"/>
        </w:rPr>
        <w:t>’</w:t>
      </w:r>
      <w:r w:rsidRPr="00EE4C2A">
        <w:rPr>
          <w:lang w:val="fr-FR"/>
        </w:rPr>
        <w:t>intégrer des questions émergentes, telles que l</w:t>
      </w:r>
      <w:r w:rsidR="008279BF">
        <w:rPr>
          <w:lang w:val="fr-FR"/>
        </w:rPr>
        <w:t>’</w:t>
      </w:r>
      <w:r w:rsidRPr="00EE4C2A">
        <w:rPr>
          <w:lang w:val="fr-FR"/>
        </w:rPr>
        <w:t>importance prépondérante des droits et choix en matière de santé procréative qui conditionnent l</w:t>
      </w:r>
      <w:r w:rsidR="008279BF">
        <w:rPr>
          <w:lang w:val="fr-FR"/>
        </w:rPr>
        <w:t>’</w:t>
      </w:r>
      <w:r w:rsidRPr="00EE4C2A">
        <w:rPr>
          <w:lang w:val="fr-FR"/>
        </w:rPr>
        <w:t>accès à un avortement sécurisé.</w:t>
      </w:r>
    </w:p>
    <w:p w14:paraId="12A21E7E"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21 b) de la liste de points établie </w:t>
      </w:r>
      <w:r>
        <w:rPr>
          <w:bCs/>
          <w:lang w:val="fr-FR"/>
        </w:rPr>
        <w:t xml:space="preserve">avant la soumission du rapport </w:t>
      </w:r>
    </w:p>
    <w:p w14:paraId="70788284" w14:textId="378181D6" w:rsidR="00046F46" w:rsidRPr="00EE4C2A" w:rsidRDefault="00046F46" w:rsidP="00046F46">
      <w:pPr>
        <w:pStyle w:val="SingleTxtG"/>
        <w:rPr>
          <w:lang w:val="fr-FR"/>
        </w:rPr>
      </w:pPr>
      <w:r w:rsidRPr="00EE4C2A">
        <w:rPr>
          <w:lang w:val="fr-FR"/>
        </w:rPr>
        <w:t>124.</w:t>
      </w:r>
      <w:r w:rsidRPr="00EE4C2A">
        <w:rPr>
          <w:lang w:val="fr-FR"/>
        </w:rPr>
        <w:tab/>
        <w:t xml:space="preserve">Pour faire en sorte que les adolescents aient accès à une éducation complète et adaptée à leur âge sur la santé sexuelle et </w:t>
      </w:r>
      <w:r>
        <w:rPr>
          <w:lang w:val="fr-FR"/>
        </w:rPr>
        <w:t>procréative</w:t>
      </w:r>
      <w:r w:rsidRPr="00EE4C2A">
        <w:rPr>
          <w:lang w:val="fr-FR"/>
        </w:rPr>
        <w:t xml:space="preserve"> et les droits connexes, l</w:t>
      </w:r>
      <w:r w:rsidR="008279BF">
        <w:rPr>
          <w:lang w:val="fr-FR"/>
        </w:rPr>
        <w:t>’</w:t>
      </w:r>
      <w:r w:rsidRPr="00EE4C2A">
        <w:rPr>
          <w:lang w:val="fr-FR"/>
        </w:rPr>
        <w:t>État partie a élaboré des directives et un programme scolaire complet sur ces questions à l</w:t>
      </w:r>
      <w:r w:rsidR="008279BF">
        <w:rPr>
          <w:lang w:val="fr-FR"/>
        </w:rPr>
        <w:t>’</w:t>
      </w:r>
      <w:r w:rsidRPr="00EE4C2A">
        <w:rPr>
          <w:lang w:val="fr-FR"/>
        </w:rPr>
        <w:t>intention des adolescents et jeunes, qu</w:t>
      </w:r>
      <w:r w:rsidR="008279BF">
        <w:rPr>
          <w:lang w:val="fr-FR"/>
        </w:rPr>
        <w:t>’</w:t>
      </w:r>
      <w:r w:rsidRPr="00EE4C2A">
        <w:rPr>
          <w:lang w:val="fr-FR"/>
        </w:rPr>
        <w:t>ils soient scolarisés ou non. Ces questions ont également été intégrées dans les programmes scolaires du primaire et du secondaire et peuvent faire l</w:t>
      </w:r>
      <w:r w:rsidR="008279BF">
        <w:rPr>
          <w:lang w:val="fr-FR"/>
        </w:rPr>
        <w:t>’</w:t>
      </w:r>
      <w:r w:rsidRPr="00EE4C2A">
        <w:rPr>
          <w:lang w:val="fr-FR"/>
        </w:rPr>
        <w:t>objet d</w:t>
      </w:r>
      <w:r w:rsidR="008279BF">
        <w:rPr>
          <w:lang w:val="fr-FR"/>
        </w:rPr>
        <w:t>’</w:t>
      </w:r>
      <w:r w:rsidRPr="00EE4C2A">
        <w:rPr>
          <w:lang w:val="fr-FR"/>
        </w:rPr>
        <w:t>un examen. Les écoles ont nommé des enseignants-conseillers d</w:t>
      </w:r>
      <w:r w:rsidR="008279BF">
        <w:rPr>
          <w:lang w:val="fr-FR"/>
        </w:rPr>
        <w:t>’</w:t>
      </w:r>
      <w:r w:rsidRPr="00EE4C2A">
        <w:rPr>
          <w:lang w:val="fr-FR"/>
        </w:rPr>
        <w:t xml:space="preserve">orientation qui travaillent main dans la main avec le personnel de santé pour veiller à ce que les filles scolarisées puissent accéder aux services de santé sexuelle et </w:t>
      </w:r>
      <w:r>
        <w:rPr>
          <w:lang w:val="fr-FR"/>
        </w:rPr>
        <w:t>procréative</w:t>
      </w:r>
      <w:r w:rsidRPr="00EE4C2A">
        <w:rPr>
          <w:lang w:val="fr-FR"/>
        </w:rPr>
        <w:t>. Les espaces sûrs pour la jeunesse, créés dans les établissements de santé, proposent aux adolescents et jeunes des services tels que la mise à disposition de contraceptifs</w:t>
      </w:r>
      <w:r w:rsidR="00290B1B">
        <w:rPr>
          <w:lang w:val="fr-FR"/>
        </w:rPr>
        <w:t xml:space="preserve"> </w:t>
      </w:r>
      <w:r w:rsidRPr="00EE4C2A">
        <w:rPr>
          <w:lang w:val="fr-FR"/>
        </w:rPr>
        <w:t>(pour prévenir les grossesses chez les adolescentes) et de préservatifs</w:t>
      </w:r>
      <w:r w:rsidR="00290B1B">
        <w:rPr>
          <w:lang w:val="fr-FR"/>
        </w:rPr>
        <w:t xml:space="preserve"> </w:t>
      </w:r>
      <w:r w:rsidRPr="00EE4C2A">
        <w:rPr>
          <w:lang w:val="fr-FR"/>
        </w:rPr>
        <w:t>(pour prévenir les infections à VIH et les infections sexuellement transmissibles</w:t>
      </w:r>
      <w:r w:rsidR="00290B1B">
        <w:rPr>
          <w:lang w:val="fr-FR"/>
        </w:rPr>
        <w:t xml:space="preserve"> </w:t>
      </w:r>
      <w:r w:rsidRPr="00EE4C2A">
        <w:rPr>
          <w:lang w:val="fr-FR"/>
        </w:rPr>
        <w:t>(IST)) et le traitement des IST.</w:t>
      </w:r>
    </w:p>
    <w:p w14:paraId="5A33EB60" w14:textId="4B0C52C6" w:rsidR="00046F46" w:rsidRPr="00EE4C2A" w:rsidRDefault="00046F46" w:rsidP="00046F46">
      <w:pPr>
        <w:pStyle w:val="SingleTxtG"/>
        <w:rPr>
          <w:lang w:val="fr-FR"/>
        </w:rPr>
      </w:pPr>
      <w:r w:rsidRPr="00EE4C2A">
        <w:rPr>
          <w:lang w:val="fr-FR"/>
        </w:rPr>
        <w:t>125.</w:t>
      </w:r>
      <w:r w:rsidRPr="00EE4C2A">
        <w:rPr>
          <w:lang w:val="fr-FR"/>
        </w:rPr>
        <w:tab/>
        <w:t>Diverses mesures sont prises pour améliorer les connaissances des adolescents en matière de santé : élaboration de supports d</w:t>
      </w:r>
      <w:r w:rsidR="008279BF">
        <w:rPr>
          <w:lang w:val="fr-FR"/>
        </w:rPr>
        <w:t>’</w:t>
      </w:r>
      <w:r w:rsidRPr="00EE4C2A">
        <w:rPr>
          <w:lang w:val="fr-FR"/>
        </w:rPr>
        <w:t>information, d</w:t>
      </w:r>
      <w:r w:rsidR="008279BF">
        <w:rPr>
          <w:lang w:val="fr-FR"/>
        </w:rPr>
        <w:t>’</w:t>
      </w:r>
      <w:r w:rsidRPr="00EE4C2A">
        <w:rPr>
          <w:lang w:val="fr-FR"/>
        </w:rPr>
        <w:t>éducation et de communication ; dialogues avec des pairs éducateurs dans les établissements de santé et dans le cadre d</w:t>
      </w:r>
      <w:r w:rsidR="008279BF">
        <w:rPr>
          <w:lang w:val="fr-FR"/>
        </w:rPr>
        <w:t>’</w:t>
      </w:r>
      <w:r w:rsidRPr="00EE4C2A">
        <w:rPr>
          <w:lang w:val="fr-FR"/>
        </w:rPr>
        <w:t>activités de proximité organisées dans les écoles et les communautés ; formation des soignants à la santé des adolescents, etc.</w:t>
      </w:r>
    </w:p>
    <w:p w14:paraId="14D9B19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20 c) de la liste de points établie </w:t>
      </w:r>
      <w:r>
        <w:rPr>
          <w:bCs/>
          <w:lang w:val="fr-FR"/>
        </w:rPr>
        <w:t xml:space="preserve">avant la soumission du rapport </w:t>
      </w:r>
    </w:p>
    <w:p w14:paraId="7E7EE763" w14:textId="12DD5BEE" w:rsidR="00046F46" w:rsidRPr="00EE4C2A" w:rsidRDefault="00046F46" w:rsidP="00046F46">
      <w:pPr>
        <w:pStyle w:val="SingleTxtG"/>
        <w:rPr>
          <w:lang w:val="fr-FR"/>
        </w:rPr>
      </w:pPr>
      <w:r w:rsidRPr="00EE4C2A">
        <w:rPr>
          <w:lang w:val="fr-FR"/>
        </w:rPr>
        <w:t>126.</w:t>
      </w:r>
      <w:r w:rsidRPr="00EE4C2A">
        <w:rPr>
          <w:lang w:val="fr-FR"/>
        </w:rPr>
        <w:tab/>
        <w:t>En ce qui concerne la lutte contre la consommation de drogues, d</w:t>
      </w:r>
      <w:r w:rsidR="008279BF">
        <w:rPr>
          <w:lang w:val="fr-FR"/>
        </w:rPr>
        <w:t>’</w:t>
      </w:r>
      <w:r w:rsidRPr="00EE4C2A">
        <w:rPr>
          <w:lang w:val="fr-FR"/>
        </w:rPr>
        <w:t>alcool et de tabac, l</w:t>
      </w:r>
      <w:r w:rsidR="008279BF">
        <w:rPr>
          <w:lang w:val="fr-FR"/>
        </w:rPr>
        <w:t>’</w:t>
      </w:r>
      <w:r w:rsidRPr="00EE4C2A">
        <w:rPr>
          <w:lang w:val="fr-FR"/>
        </w:rPr>
        <w:t>État partie souhaite rapporter que celle-ci fait l</w:t>
      </w:r>
      <w:r w:rsidR="008279BF">
        <w:rPr>
          <w:lang w:val="fr-FR"/>
        </w:rPr>
        <w:t>’</w:t>
      </w:r>
      <w:r w:rsidRPr="00EE4C2A">
        <w:rPr>
          <w:lang w:val="fr-FR"/>
        </w:rPr>
        <w:t>objet d</w:t>
      </w:r>
      <w:r w:rsidR="008279BF">
        <w:rPr>
          <w:lang w:val="fr-FR"/>
        </w:rPr>
        <w:t>’</w:t>
      </w:r>
      <w:r w:rsidRPr="00EE4C2A">
        <w:rPr>
          <w:lang w:val="fr-FR"/>
        </w:rPr>
        <w:t>une campagne de sensibilisation à l</w:t>
      </w:r>
      <w:r w:rsidR="008279BF">
        <w:rPr>
          <w:lang w:val="fr-FR"/>
        </w:rPr>
        <w:t>’</w:t>
      </w:r>
      <w:r w:rsidRPr="00EE4C2A">
        <w:rPr>
          <w:lang w:val="fr-FR"/>
        </w:rPr>
        <w:t>échelle nationale sur les dangers liés à la consommation d</w:t>
      </w:r>
      <w:r w:rsidR="008279BF">
        <w:rPr>
          <w:lang w:val="fr-FR"/>
        </w:rPr>
        <w:t>’</w:t>
      </w:r>
      <w:r w:rsidRPr="00EE4C2A">
        <w:rPr>
          <w:lang w:val="fr-FR"/>
        </w:rPr>
        <w:t>alcool et de drogues. L</w:t>
      </w:r>
      <w:r w:rsidR="008279BF">
        <w:rPr>
          <w:lang w:val="fr-FR"/>
        </w:rPr>
        <w:t>’</w:t>
      </w:r>
      <w:r w:rsidRPr="00EE4C2A">
        <w:rPr>
          <w:lang w:val="fr-FR"/>
        </w:rPr>
        <w:t>État partie élabore actuellement un projet de loi complet sur le contrôle des produits à base de tabac et de nicotine qui, une fois adopté, devrait donner un coup d</w:t>
      </w:r>
      <w:r w:rsidR="008279BF">
        <w:rPr>
          <w:lang w:val="fr-FR"/>
        </w:rPr>
        <w:t>’</w:t>
      </w:r>
      <w:r w:rsidRPr="00EE4C2A">
        <w:rPr>
          <w:lang w:val="fr-FR"/>
        </w:rPr>
        <w:t>accélérateur à la lutte contre le tabagisme actif et passif dans le pays. Le Plan stratégique national de lutte contre le tabagisme pour la période 2021-2026 est encore à l</w:t>
      </w:r>
      <w:r w:rsidR="008279BF">
        <w:rPr>
          <w:lang w:val="fr-FR"/>
        </w:rPr>
        <w:t>’</w:t>
      </w:r>
      <w:r w:rsidRPr="00EE4C2A">
        <w:rPr>
          <w:lang w:val="fr-FR"/>
        </w:rPr>
        <w:t>état de projet. L</w:t>
      </w:r>
      <w:r w:rsidR="008279BF">
        <w:rPr>
          <w:lang w:val="fr-FR"/>
        </w:rPr>
        <w:t>’</w:t>
      </w:r>
      <w:r w:rsidRPr="00EE4C2A">
        <w:rPr>
          <w:lang w:val="fr-FR"/>
        </w:rPr>
        <w:t>État partie met également en œuvre un programme de renforcement des compétences familiales et parentales afin de donner aux parents et représentants légaux des outils pour les aider, notamment en matière de communication, de règlement des conflits et de stratégies de prévention de l</w:t>
      </w:r>
      <w:r w:rsidR="008279BF">
        <w:rPr>
          <w:lang w:val="fr-FR"/>
        </w:rPr>
        <w:t>’</w:t>
      </w:r>
      <w:r w:rsidRPr="00EE4C2A">
        <w:rPr>
          <w:lang w:val="fr-FR"/>
        </w:rPr>
        <w:t>abus de drogues.</w:t>
      </w:r>
    </w:p>
    <w:p w14:paraId="657FB2A1" w14:textId="03353F05" w:rsidR="00046F46" w:rsidRPr="00EE4C2A" w:rsidRDefault="00046F46" w:rsidP="00046F46">
      <w:pPr>
        <w:pStyle w:val="SingleTxtG"/>
        <w:rPr>
          <w:lang w:val="fr-FR"/>
        </w:rPr>
      </w:pPr>
      <w:r w:rsidRPr="00EE4C2A">
        <w:rPr>
          <w:lang w:val="fr-FR"/>
        </w:rPr>
        <w:t>127.</w:t>
      </w:r>
      <w:r w:rsidRPr="00EE4C2A">
        <w:rPr>
          <w:lang w:val="fr-FR"/>
        </w:rPr>
        <w:tab/>
        <w:t xml:space="preserve">La loi </w:t>
      </w:r>
      <w:r w:rsidR="00290B1B" w:rsidRPr="00290B1B">
        <w:rPr>
          <w:rFonts w:eastAsia="MS Mincho"/>
          <w:lang w:val="fr-FR"/>
        </w:rPr>
        <w:t>n</w:t>
      </w:r>
      <w:r w:rsidR="00290B1B" w:rsidRPr="00290B1B">
        <w:rPr>
          <w:rFonts w:eastAsia="MS Mincho"/>
          <w:vertAlign w:val="superscript"/>
          <w:lang w:val="fr-FR"/>
        </w:rPr>
        <w:t>o</w:t>
      </w:r>
      <w:r w:rsidR="00290B1B">
        <w:rPr>
          <w:lang w:val="fr-FR"/>
        </w:rPr>
        <w:t xml:space="preserve"> </w:t>
      </w:r>
      <w:r w:rsidRPr="00EE4C2A">
        <w:rPr>
          <w:lang w:val="fr-FR"/>
        </w:rPr>
        <w:t>20 de 2011 sur les licences d</w:t>
      </w:r>
      <w:r w:rsidR="008279BF">
        <w:rPr>
          <w:lang w:val="fr-FR"/>
        </w:rPr>
        <w:t>’</w:t>
      </w:r>
      <w:r w:rsidRPr="00EE4C2A">
        <w:rPr>
          <w:lang w:val="fr-FR"/>
        </w:rPr>
        <w:t>alcool régit la production, la possession, la vente et la fourniture de boissons alcoolisées. Cette loi interdit la vente d</w:t>
      </w:r>
      <w:r w:rsidR="008279BF">
        <w:rPr>
          <w:lang w:val="fr-FR"/>
        </w:rPr>
        <w:t>’</w:t>
      </w:r>
      <w:r w:rsidRPr="00EE4C2A">
        <w:rPr>
          <w:lang w:val="fr-FR"/>
        </w:rPr>
        <w:t>alcool aux enfants et l</w:t>
      </w:r>
      <w:r w:rsidR="008279BF">
        <w:rPr>
          <w:lang w:val="fr-FR"/>
        </w:rPr>
        <w:t>’</w:t>
      </w:r>
      <w:r w:rsidRPr="00EE4C2A">
        <w:rPr>
          <w:lang w:val="fr-FR"/>
        </w:rPr>
        <w:t>emploi d</w:t>
      </w:r>
      <w:r w:rsidR="008279BF">
        <w:rPr>
          <w:lang w:val="fr-FR"/>
        </w:rPr>
        <w:t>’</w:t>
      </w:r>
      <w:r w:rsidRPr="00EE4C2A">
        <w:rPr>
          <w:lang w:val="fr-FR"/>
        </w:rPr>
        <w:t>enfants dans les bars. Elle interdit également aux établissements commerciaux de vendre de l</w:t>
      </w:r>
      <w:r w:rsidR="008279BF">
        <w:rPr>
          <w:lang w:val="fr-FR"/>
        </w:rPr>
        <w:t>’</w:t>
      </w:r>
      <w:r w:rsidRPr="00EE4C2A">
        <w:rPr>
          <w:lang w:val="fr-FR"/>
        </w:rPr>
        <w:t>alcool, des drogues et du tabac aux personnes âgées de moins de 18 ans. Les fabricants de tabac sont tenus d</w:t>
      </w:r>
      <w:r w:rsidR="008279BF">
        <w:rPr>
          <w:lang w:val="fr-FR"/>
        </w:rPr>
        <w:t>’</w:t>
      </w:r>
      <w:r w:rsidRPr="00EE4C2A">
        <w:rPr>
          <w:lang w:val="fr-FR"/>
        </w:rPr>
        <w:t>avertir les consommateurs de la dangerosité de leurs produits pour la santé. Les écoles ont été déclarées « Zones sans tabac, alcool et substances ».</w:t>
      </w:r>
    </w:p>
    <w:p w14:paraId="6EF4B974" w14:textId="4210DBEC" w:rsidR="00046F46" w:rsidRPr="00EE4C2A" w:rsidRDefault="00046F46" w:rsidP="00046F46">
      <w:pPr>
        <w:pStyle w:val="H1G"/>
        <w:rPr>
          <w:lang w:val="fr-FR"/>
        </w:rPr>
      </w:pPr>
      <w:bookmarkStart w:id="33" w:name="_Toc63937986"/>
      <w:r w:rsidRPr="00EE4C2A">
        <w:rPr>
          <w:lang w:val="fr-FR"/>
        </w:rPr>
        <w:tab/>
      </w:r>
      <w:r w:rsidRPr="00EE4C2A">
        <w:rPr>
          <w:lang w:val="fr-FR"/>
        </w:rPr>
        <w:tab/>
      </w:r>
      <w:r w:rsidRPr="00EE4C2A">
        <w:rPr>
          <w:bCs/>
          <w:lang w:val="fr-FR"/>
        </w:rPr>
        <w:t>Salubrité de l</w:t>
      </w:r>
      <w:r w:rsidR="008279BF">
        <w:rPr>
          <w:bCs/>
          <w:lang w:val="fr-FR"/>
        </w:rPr>
        <w:t>’</w:t>
      </w:r>
      <w:r w:rsidRPr="00EE4C2A">
        <w:rPr>
          <w:bCs/>
          <w:lang w:val="fr-FR"/>
        </w:rPr>
        <w:t>environnement</w:t>
      </w:r>
      <w:bookmarkEnd w:id="33"/>
    </w:p>
    <w:p w14:paraId="3D7B97B8"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22 de la liste de points établie </w:t>
      </w:r>
      <w:r>
        <w:rPr>
          <w:bCs/>
          <w:lang w:val="fr-FR"/>
        </w:rPr>
        <w:t xml:space="preserve">avant la soumission du rapport </w:t>
      </w:r>
    </w:p>
    <w:p w14:paraId="49783BFE" w14:textId="43603081" w:rsidR="00046F46" w:rsidRPr="00EE4C2A" w:rsidRDefault="00046F46" w:rsidP="00046F46">
      <w:pPr>
        <w:pStyle w:val="SingleTxtG"/>
        <w:rPr>
          <w:lang w:val="fr-FR"/>
        </w:rPr>
      </w:pPr>
      <w:r w:rsidRPr="00EE4C2A">
        <w:rPr>
          <w:lang w:val="fr-FR"/>
        </w:rPr>
        <w:t>128.</w:t>
      </w:r>
      <w:r w:rsidRPr="00EE4C2A">
        <w:rPr>
          <w:lang w:val="fr-FR"/>
        </w:rPr>
        <w:tab/>
        <w:t>L</w:t>
      </w:r>
      <w:r w:rsidR="008279BF">
        <w:rPr>
          <w:lang w:val="fr-FR"/>
        </w:rPr>
        <w:t>’</w:t>
      </w:r>
      <w:r w:rsidRPr="00EE4C2A">
        <w:rPr>
          <w:lang w:val="fr-FR"/>
        </w:rPr>
        <w:t>État partie, grâce à la Banque mondiale, cofinance le projet d</w:t>
      </w:r>
      <w:r w:rsidR="008279BF">
        <w:rPr>
          <w:lang w:val="fr-FR"/>
        </w:rPr>
        <w:t>’</w:t>
      </w:r>
      <w:r w:rsidRPr="00EE4C2A">
        <w:rPr>
          <w:lang w:val="fr-FR"/>
        </w:rPr>
        <w:t>assainissement et d</w:t>
      </w:r>
      <w:r w:rsidR="008279BF">
        <w:rPr>
          <w:lang w:val="fr-FR"/>
        </w:rPr>
        <w:t>’</w:t>
      </w:r>
      <w:r w:rsidRPr="00EE4C2A">
        <w:rPr>
          <w:lang w:val="fr-FR"/>
        </w:rPr>
        <w:t>amélioration de l</w:t>
      </w:r>
      <w:r w:rsidR="008279BF">
        <w:rPr>
          <w:lang w:val="fr-FR"/>
        </w:rPr>
        <w:t>’</w:t>
      </w:r>
      <w:r w:rsidRPr="00EE4C2A">
        <w:rPr>
          <w:lang w:val="fr-FR"/>
        </w:rPr>
        <w:t>environnement et de l</w:t>
      </w:r>
      <w:r w:rsidR="008279BF">
        <w:rPr>
          <w:lang w:val="fr-FR"/>
        </w:rPr>
        <w:t>’</w:t>
      </w:r>
      <w:r w:rsidRPr="00EE4C2A">
        <w:rPr>
          <w:lang w:val="fr-FR"/>
        </w:rPr>
        <w:t>activité minière en Zambie (ZMERIP), qui vise à réduire les risques sanitaires environnementaux associés à l</w:t>
      </w:r>
      <w:r w:rsidR="008279BF">
        <w:rPr>
          <w:lang w:val="fr-FR"/>
        </w:rPr>
        <w:t>’</w:t>
      </w:r>
      <w:r w:rsidRPr="00EE4C2A">
        <w:rPr>
          <w:lang w:val="fr-FR"/>
        </w:rPr>
        <w:t>exposition toxique des populations touchées par le plomb. L</w:t>
      </w:r>
      <w:r w:rsidR="008279BF">
        <w:rPr>
          <w:lang w:val="fr-FR"/>
        </w:rPr>
        <w:t>’</w:t>
      </w:r>
      <w:r w:rsidRPr="00EE4C2A">
        <w:rPr>
          <w:lang w:val="fr-FR"/>
        </w:rPr>
        <w:t>administration du projet est décentralisée et relève du conseil municipal de Kabwe, et des coordonnateurs santé ont été nommés pour superviser sa mise en œuvre.</w:t>
      </w:r>
    </w:p>
    <w:p w14:paraId="24A26A6C" w14:textId="3862C5BB" w:rsidR="00046F46" w:rsidRPr="00EE4C2A" w:rsidRDefault="00046F46" w:rsidP="00046F46">
      <w:pPr>
        <w:pStyle w:val="SingleTxtG"/>
        <w:rPr>
          <w:lang w:val="fr-FR"/>
        </w:rPr>
      </w:pPr>
      <w:r w:rsidRPr="00EE4C2A">
        <w:rPr>
          <w:lang w:val="fr-FR"/>
        </w:rPr>
        <w:t>129.</w:t>
      </w:r>
      <w:r w:rsidRPr="00EE4C2A">
        <w:rPr>
          <w:lang w:val="fr-FR"/>
        </w:rPr>
        <w:tab/>
        <w:t>Dans le cadre de la décontamination, le sol de l</w:t>
      </w:r>
      <w:r w:rsidR="008279BF">
        <w:rPr>
          <w:lang w:val="fr-FR"/>
        </w:rPr>
        <w:t>’</w:t>
      </w:r>
      <w:r w:rsidRPr="00EE4C2A">
        <w:rPr>
          <w:lang w:val="fr-FR"/>
        </w:rPr>
        <w:t>école primaire Mine, dont le taux de plomb était supérieur à 1 500 ppm, a été assaini et un mur d</w:t>
      </w:r>
      <w:r w:rsidR="008279BF">
        <w:rPr>
          <w:lang w:val="fr-FR"/>
        </w:rPr>
        <w:t>’</w:t>
      </w:r>
      <w:r w:rsidRPr="00EE4C2A">
        <w:rPr>
          <w:lang w:val="fr-FR"/>
        </w:rPr>
        <w:t>enceinte a été construit pour réduire la biodisponibilité du plomb et donc l</w:t>
      </w:r>
      <w:r w:rsidR="008279BF">
        <w:rPr>
          <w:lang w:val="fr-FR"/>
        </w:rPr>
        <w:t>’</w:t>
      </w:r>
      <w:r w:rsidRPr="00EE4C2A">
        <w:rPr>
          <w:lang w:val="fr-FR"/>
        </w:rPr>
        <w:t>exposition des enfants de l</w:t>
      </w:r>
      <w:r w:rsidR="008279BF">
        <w:rPr>
          <w:lang w:val="fr-FR"/>
        </w:rPr>
        <w:t>’</w:t>
      </w:r>
      <w:r w:rsidRPr="00EE4C2A">
        <w:rPr>
          <w:lang w:val="fr-FR"/>
        </w:rPr>
        <w:t>école. En outre, des études techniques et environnementales ont été réalisées pour soutenir l</w:t>
      </w:r>
      <w:r w:rsidR="008279BF">
        <w:rPr>
          <w:lang w:val="fr-FR"/>
        </w:rPr>
        <w:t>’</w:t>
      </w:r>
      <w:r w:rsidRPr="00EE4C2A">
        <w:rPr>
          <w:lang w:val="fr-FR"/>
        </w:rPr>
        <w:t>infrastructure de protection de l</w:t>
      </w:r>
      <w:r w:rsidR="008279BF">
        <w:rPr>
          <w:lang w:val="fr-FR"/>
        </w:rPr>
        <w:t>’</w:t>
      </w:r>
      <w:r w:rsidRPr="00EE4C2A">
        <w:rPr>
          <w:lang w:val="fr-FR"/>
        </w:rPr>
        <w:t>environnement, comprenant l</w:t>
      </w:r>
      <w:r w:rsidR="008279BF">
        <w:rPr>
          <w:lang w:val="fr-FR"/>
        </w:rPr>
        <w:t>’</w:t>
      </w:r>
      <w:r w:rsidRPr="00EE4C2A">
        <w:rPr>
          <w:lang w:val="fr-FR"/>
        </w:rPr>
        <w:t>assainissement participatif, et créer ainsi les conditions requises pour le début des travaux en 2021.</w:t>
      </w:r>
    </w:p>
    <w:p w14:paraId="05D98156" w14:textId="2BEF3701" w:rsidR="00046F46" w:rsidRPr="00EE4C2A" w:rsidRDefault="00046F46" w:rsidP="00046F46">
      <w:pPr>
        <w:pStyle w:val="SingleTxtG"/>
        <w:rPr>
          <w:lang w:val="fr-FR"/>
        </w:rPr>
      </w:pPr>
      <w:r w:rsidRPr="00EE4C2A">
        <w:rPr>
          <w:lang w:val="fr-FR"/>
        </w:rPr>
        <w:lastRenderedPageBreak/>
        <w:t>130.</w:t>
      </w:r>
      <w:r w:rsidRPr="00EE4C2A">
        <w:rPr>
          <w:lang w:val="fr-FR"/>
        </w:rPr>
        <w:tab/>
        <w:t>Les travaux soutiendront la campagne d</w:t>
      </w:r>
      <w:r w:rsidR="008279BF">
        <w:rPr>
          <w:lang w:val="fr-FR"/>
        </w:rPr>
        <w:t>’</w:t>
      </w:r>
      <w:r w:rsidRPr="00EE4C2A">
        <w:rPr>
          <w:lang w:val="fr-FR"/>
        </w:rPr>
        <w:t>assainissement et contribueront à réduire progressivement les taux de plomb à Kabwe. Pour remédier aux conséquences de la contamination au plomb sur la santé des enfants à Kabwe, l</w:t>
      </w:r>
      <w:r w:rsidR="008279BF">
        <w:rPr>
          <w:lang w:val="fr-FR"/>
        </w:rPr>
        <w:t>’</w:t>
      </w:r>
      <w:r w:rsidRPr="00EE4C2A">
        <w:rPr>
          <w:lang w:val="fr-FR"/>
        </w:rPr>
        <w:t>État partie a entrepris en</w:t>
      </w:r>
      <w:r w:rsidR="00290B1B">
        <w:rPr>
          <w:lang w:val="fr-FR"/>
        </w:rPr>
        <w:t xml:space="preserve"> </w:t>
      </w:r>
      <w:r w:rsidRPr="00EE4C2A">
        <w:rPr>
          <w:lang w:val="fr-FR"/>
        </w:rPr>
        <w:t>avril 2020, dans le cadre du projet ZMERIP financé par la Banque mondiale, de mesurer les taux de plomb présents dans le sang des enfants âgés de moins de 14 ans et de soigner ces enfants. À ce jour, plus de</w:t>
      </w:r>
      <w:r w:rsidR="00290B1B">
        <w:rPr>
          <w:lang w:val="fr-FR"/>
        </w:rPr>
        <w:t xml:space="preserve"> </w:t>
      </w:r>
      <w:r w:rsidRPr="00EE4C2A">
        <w:rPr>
          <w:lang w:val="fr-FR"/>
        </w:rPr>
        <w:t>7 900 enfants ont fait l</w:t>
      </w:r>
      <w:r w:rsidR="008279BF">
        <w:rPr>
          <w:lang w:val="fr-FR"/>
        </w:rPr>
        <w:t>’</w:t>
      </w:r>
      <w:r w:rsidRPr="00EE4C2A">
        <w:rPr>
          <w:lang w:val="fr-FR"/>
        </w:rPr>
        <w:t>objet d</w:t>
      </w:r>
      <w:r w:rsidR="008279BF">
        <w:rPr>
          <w:lang w:val="fr-FR"/>
        </w:rPr>
        <w:t>’</w:t>
      </w:r>
      <w:r w:rsidRPr="00EE4C2A">
        <w:rPr>
          <w:lang w:val="fr-FR"/>
        </w:rPr>
        <w:t>un dépistage et près de</w:t>
      </w:r>
      <w:r w:rsidR="00290B1B">
        <w:rPr>
          <w:lang w:val="fr-FR"/>
        </w:rPr>
        <w:t xml:space="preserve"> </w:t>
      </w:r>
      <w:r w:rsidRPr="00EE4C2A">
        <w:rPr>
          <w:lang w:val="fr-FR"/>
        </w:rPr>
        <w:t>1 000 enfants bénéficient d</w:t>
      </w:r>
      <w:r w:rsidR="008279BF">
        <w:rPr>
          <w:lang w:val="fr-FR"/>
        </w:rPr>
        <w:t>’</w:t>
      </w:r>
      <w:r w:rsidRPr="00EE4C2A">
        <w:rPr>
          <w:lang w:val="fr-FR"/>
        </w:rPr>
        <w:t>un traitement par chélation administré dans les établissements de santé locaux. L</w:t>
      </w:r>
      <w:r w:rsidR="008279BF">
        <w:rPr>
          <w:lang w:val="fr-FR"/>
        </w:rPr>
        <w:t>’</w:t>
      </w:r>
      <w:r w:rsidRPr="00EE4C2A">
        <w:rPr>
          <w:lang w:val="fr-FR"/>
        </w:rPr>
        <w:t>État partie a acheté des médicaments pour les enfants touchés à Kabwe, quatre analyseurs de plomb pour les cliniques locales, des trousses de dépistage pour appuyer la campagne de traitement, et des aliments complémentaires pour éliminer le plomb de l</w:t>
      </w:r>
      <w:r w:rsidR="008279BF">
        <w:rPr>
          <w:lang w:val="fr-FR"/>
        </w:rPr>
        <w:t>’</w:t>
      </w:r>
      <w:r w:rsidRPr="00EE4C2A">
        <w:rPr>
          <w:lang w:val="fr-FR"/>
        </w:rPr>
        <w:t>organisme des enfants.</w:t>
      </w:r>
    </w:p>
    <w:p w14:paraId="04437A64" w14:textId="55AC85DD" w:rsidR="00046F46" w:rsidRPr="00EE4C2A" w:rsidRDefault="00046F46" w:rsidP="00046F46">
      <w:pPr>
        <w:pStyle w:val="SingleTxtG"/>
        <w:rPr>
          <w:lang w:val="fr-FR"/>
        </w:rPr>
      </w:pPr>
      <w:r w:rsidRPr="00EE4C2A">
        <w:rPr>
          <w:lang w:val="fr-FR"/>
        </w:rPr>
        <w:t>131.</w:t>
      </w:r>
      <w:r w:rsidRPr="00EE4C2A">
        <w:rPr>
          <w:lang w:val="fr-FR"/>
        </w:rPr>
        <w:tab/>
        <w:t>À cela s</w:t>
      </w:r>
      <w:r w:rsidR="008279BF">
        <w:rPr>
          <w:lang w:val="fr-FR"/>
        </w:rPr>
        <w:t>’</w:t>
      </w:r>
      <w:r w:rsidRPr="00EE4C2A">
        <w:rPr>
          <w:lang w:val="fr-FR"/>
        </w:rPr>
        <w:t>ajoute l</w:t>
      </w:r>
      <w:r w:rsidR="008279BF">
        <w:rPr>
          <w:lang w:val="fr-FR"/>
        </w:rPr>
        <w:t>’</w:t>
      </w:r>
      <w:r w:rsidRPr="00EE4C2A">
        <w:rPr>
          <w:lang w:val="fr-FR"/>
        </w:rPr>
        <w:t>installation d</w:t>
      </w:r>
      <w:r w:rsidR="008279BF">
        <w:rPr>
          <w:lang w:val="fr-FR"/>
        </w:rPr>
        <w:t>’</w:t>
      </w:r>
      <w:r w:rsidRPr="00EE4C2A">
        <w:rPr>
          <w:lang w:val="fr-FR"/>
        </w:rPr>
        <w:t>un système de surveillance du plomb à l</w:t>
      </w:r>
      <w:r w:rsidR="008279BF">
        <w:rPr>
          <w:lang w:val="fr-FR"/>
        </w:rPr>
        <w:t>’</w:t>
      </w:r>
      <w:r w:rsidRPr="00EE4C2A">
        <w:rPr>
          <w:lang w:val="fr-FR"/>
        </w:rPr>
        <w:t>École de médecine vétérinaire de l</w:t>
      </w:r>
      <w:r w:rsidR="008279BF">
        <w:rPr>
          <w:lang w:val="fr-FR"/>
        </w:rPr>
        <w:t>’</w:t>
      </w:r>
      <w:r w:rsidRPr="00EE4C2A">
        <w:rPr>
          <w:lang w:val="fr-FR"/>
        </w:rPr>
        <w:t>Université de Zambie (UNZA), qui a été mis en service l</w:t>
      </w:r>
      <w:r>
        <w:rPr>
          <w:lang w:val="fr-FR"/>
        </w:rPr>
        <w:t>e</w:t>
      </w:r>
      <w:r w:rsidR="00865896">
        <w:rPr>
          <w:lang w:val="fr-FR"/>
        </w:rPr>
        <w:t xml:space="preserve"> </w:t>
      </w:r>
      <w:r>
        <w:rPr>
          <w:lang w:val="fr-FR"/>
        </w:rPr>
        <w:t>14 août </w:t>
      </w:r>
      <w:r w:rsidRPr="00EE4C2A">
        <w:rPr>
          <w:lang w:val="fr-FR"/>
        </w:rPr>
        <w:t>2019. En outre, la dépollution sera menée parallèlement au traitement afin d</w:t>
      </w:r>
      <w:r w:rsidR="008279BF">
        <w:rPr>
          <w:lang w:val="fr-FR"/>
        </w:rPr>
        <w:t>’</w:t>
      </w:r>
      <w:r w:rsidRPr="00EE4C2A">
        <w:rPr>
          <w:lang w:val="fr-FR"/>
        </w:rPr>
        <w:t>éviter toute recontamination.</w:t>
      </w:r>
    </w:p>
    <w:p w14:paraId="2BBB0002" w14:textId="77777777" w:rsidR="00046F46" w:rsidRPr="00EE4C2A" w:rsidRDefault="00046F46" w:rsidP="00046F46">
      <w:pPr>
        <w:pStyle w:val="H1G"/>
        <w:rPr>
          <w:lang w:val="fr-FR"/>
        </w:rPr>
      </w:pPr>
      <w:bookmarkStart w:id="34" w:name="_Toc63937987"/>
      <w:r w:rsidRPr="00EE4C2A">
        <w:rPr>
          <w:lang w:val="fr-FR"/>
        </w:rPr>
        <w:tab/>
      </w:r>
      <w:r w:rsidRPr="00EE4C2A">
        <w:rPr>
          <w:lang w:val="fr-FR"/>
        </w:rPr>
        <w:tab/>
      </w:r>
      <w:r w:rsidRPr="00EE4C2A">
        <w:rPr>
          <w:bCs/>
          <w:lang w:val="fr-FR"/>
        </w:rPr>
        <w:t>Niveau de vie</w:t>
      </w:r>
      <w:bookmarkEnd w:id="34"/>
    </w:p>
    <w:p w14:paraId="3FFC109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23 a) de la liste de points établie </w:t>
      </w:r>
      <w:r>
        <w:rPr>
          <w:bCs/>
          <w:lang w:val="fr-FR"/>
        </w:rPr>
        <w:t xml:space="preserve">avant la soumission du rapport </w:t>
      </w:r>
    </w:p>
    <w:p w14:paraId="4416203D" w14:textId="308D3139" w:rsidR="00046F46" w:rsidRPr="00EE4C2A" w:rsidRDefault="00046F46" w:rsidP="00046F46">
      <w:pPr>
        <w:pStyle w:val="SingleTxtG"/>
        <w:rPr>
          <w:lang w:val="fr-FR"/>
        </w:rPr>
      </w:pPr>
      <w:r w:rsidRPr="00EE4C2A">
        <w:rPr>
          <w:lang w:val="fr-FR"/>
        </w:rPr>
        <w:t>132.</w:t>
      </w:r>
      <w:r w:rsidRPr="00EE4C2A">
        <w:rPr>
          <w:lang w:val="fr-FR"/>
        </w:rPr>
        <w:tab/>
        <w:t>Pour diminuer la pauvreté touchant les enfants, l</w:t>
      </w:r>
      <w:r w:rsidR="008279BF">
        <w:rPr>
          <w:lang w:val="fr-FR"/>
        </w:rPr>
        <w:t>’</w:t>
      </w:r>
      <w:r w:rsidRPr="00EE4C2A">
        <w:rPr>
          <w:lang w:val="fr-FR"/>
        </w:rPr>
        <w:t>État partie a lancé, en 2015, la Politique nationale de protection sociale</w:t>
      </w:r>
      <w:r w:rsidR="00865896">
        <w:rPr>
          <w:lang w:val="fr-FR"/>
        </w:rPr>
        <w:t xml:space="preserve"> </w:t>
      </w:r>
      <w:r w:rsidRPr="00EE4C2A">
        <w:rPr>
          <w:lang w:val="fr-FR"/>
        </w:rPr>
        <w:t>(</w:t>
      </w:r>
      <w:r>
        <w:rPr>
          <w:lang w:val="fr-FR"/>
        </w:rPr>
        <w:t>NSPP)</w:t>
      </w:r>
      <w:r w:rsidRPr="00EE4C2A">
        <w:rPr>
          <w:lang w:val="fr-FR"/>
        </w:rPr>
        <w:t xml:space="preserve"> qui repose sur l</w:t>
      </w:r>
      <w:r w:rsidR="008279BF">
        <w:rPr>
          <w:lang w:val="fr-FR"/>
        </w:rPr>
        <w:t>’</w:t>
      </w:r>
      <w:r w:rsidRPr="00EE4C2A">
        <w:rPr>
          <w:lang w:val="fr-FR"/>
        </w:rPr>
        <w:t>assurance sociale, la protection, l</w:t>
      </w:r>
      <w:r w:rsidR="008279BF">
        <w:rPr>
          <w:lang w:val="fr-FR"/>
        </w:rPr>
        <w:t>’</w:t>
      </w:r>
      <w:r w:rsidRPr="00EE4C2A">
        <w:rPr>
          <w:lang w:val="fr-FR"/>
        </w:rPr>
        <w:t>autonomisation, les moyens de subsistance et l</w:t>
      </w:r>
      <w:r w:rsidR="008279BF">
        <w:rPr>
          <w:lang w:val="fr-FR"/>
        </w:rPr>
        <w:t>’</w:t>
      </w:r>
      <w:r w:rsidRPr="00EE4C2A">
        <w:rPr>
          <w:lang w:val="fr-FR"/>
        </w:rPr>
        <w:t>assistance sociale. La mise en œuvre de cette politique a permis d</w:t>
      </w:r>
      <w:r w:rsidR="008279BF">
        <w:rPr>
          <w:lang w:val="fr-FR"/>
        </w:rPr>
        <w:t>’</w:t>
      </w:r>
      <w:r w:rsidRPr="00EE4C2A">
        <w:rPr>
          <w:lang w:val="fr-FR"/>
        </w:rPr>
        <w:t>augmenter la couverture du Programme de transferts sociaux en espèces, avec une moyenne annuelle de 1 377 kwacha (51 dollars des États</w:t>
      </w:r>
      <w:r w:rsidRPr="00EE4C2A">
        <w:rPr>
          <w:lang w:val="fr-FR"/>
        </w:rPr>
        <w:noBreakHyphen/>
        <w:t>Unis) ou 2 142 kwacha (102 dollars des États</w:t>
      </w:r>
      <w:r w:rsidRPr="00EE4C2A">
        <w:rPr>
          <w:lang w:val="fr-FR"/>
        </w:rPr>
        <w:noBreakHyphen/>
        <w:t>Unis) (ménages handicapés) pour 632 327 ménages bénéficiaires. Les bénéficiaires sont les ménages dirigés par des femmes ayant au moins trois enfants et les ménages dirigés par des enfants. L</w:t>
      </w:r>
      <w:r w:rsidR="008279BF">
        <w:rPr>
          <w:lang w:val="fr-FR"/>
        </w:rPr>
        <w:t>’</w:t>
      </w:r>
      <w:r w:rsidRPr="00EE4C2A">
        <w:rPr>
          <w:lang w:val="fr-FR"/>
        </w:rPr>
        <w:t>État partie a étendu la fourniture de transferts sociaux en espèces aux ménages en situation d</w:t>
      </w:r>
      <w:r w:rsidR="008279BF">
        <w:rPr>
          <w:lang w:val="fr-FR"/>
        </w:rPr>
        <w:t>’</w:t>
      </w:r>
      <w:r w:rsidRPr="00EE4C2A">
        <w:rPr>
          <w:lang w:val="fr-FR"/>
        </w:rPr>
        <w:t>extrême pauvreté. Ce programme, qui ne couvrait que 38 districts en 2014, a été étendu aux 116 districts du pays en 2019.</w:t>
      </w:r>
    </w:p>
    <w:p w14:paraId="1FDFAFC2" w14:textId="52F93F83" w:rsidR="00046F46" w:rsidRPr="00EE4C2A" w:rsidRDefault="00046F46" w:rsidP="00046F46">
      <w:pPr>
        <w:pStyle w:val="SingleTxtG"/>
        <w:rPr>
          <w:lang w:val="fr-FR"/>
        </w:rPr>
      </w:pPr>
      <w:r w:rsidRPr="00EE4C2A">
        <w:rPr>
          <w:lang w:val="fr-FR"/>
        </w:rPr>
        <w:t>133.</w:t>
      </w:r>
      <w:r w:rsidRPr="00EE4C2A">
        <w:rPr>
          <w:lang w:val="fr-FR"/>
        </w:rPr>
        <w:tab/>
        <w:t>Les ménages qui ne sont pas couverts par le Programme de transferts sociaux en espèces bénéficient d</w:t>
      </w:r>
      <w:r w:rsidR="008279BF">
        <w:rPr>
          <w:lang w:val="fr-FR"/>
        </w:rPr>
        <w:t>’</w:t>
      </w:r>
      <w:r w:rsidRPr="00EE4C2A">
        <w:rPr>
          <w:lang w:val="fr-FR"/>
        </w:rPr>
        <w:t>autres programmes de protection sociale, notamment d</w:t>
      </w:r>
      <w:r w:rsidR="008279BF">
        <w:rPr>
          <w:lang w:val="fr-FR"/>
        </w:rPr>
        <w:t>’</w:t>
      </w:r>
      <w:r w:rsidRPr="00EE4C2A">
        <w:rPr>
          <w:lang w:val="fr-FR"/>
        </w:rPr>
        <w:t>un soutien pour les femmes, filles, enfants scolarisés et agriculteurs vulnérables. Grâce à ces actions coordonnées, l</w:t>
      </w:r>
      <w:r w:rsidR="008279BF">
        <w:rPr>
          <w:lang w:val="fr-FR"/>
        </w:rPr>
        <w:t>’</w:t>
      </w:r>
      <w:r w:rsidRPr="00EE4C2A">
        <w:rPr>
          <w:lang w:val="fr-FR"/>
        </w:rPr>
        <w:t>indice de pauvreté multidimensionnelle est passé de 50 % en 2016 à 44 % en 2020. Les statistiques comparatives entre la population rurale et urbaine affichent également une baisse, passant de 69 % en 2016 à 59 % en 2020, et de 25 % à 18 %, respectivement. L</w:t>
      </w:r>
      <w:r w:rsidR="008279BF">
        <w:rPr>
          <w:lang w:val="fr-FR"/>
        </w:rPr>
        <w:t>’</w:t>
      </w:r>
      <w:r w:rsidRPr="00EE4C2A">
        <w:rPr>
          <w:lang w:val="fr-FR"/>
        </w:rPr>
        <w:t>État partie entend continuer d</w:t>
      </w:r>
      <w:r w:rsidR="008279BF">
        <w:rPr>
          <w:lang w:val="fr-FR"/>
        </w:rPr>
        <w:t>’</w:t>
      </w:r>
      <w:r w:rsidRPr="00EE4C2A">
        <w:rPr>
          <w:lang w:val="fr-FR"/>
        </w:rPr>
        <w:t>élargir la couverture et de relever les montants des prestations pour réduire ainsi l</w:t>
      </w:r>
      <w:r w:rsidR="008279BF">
        <w:rPr>
          <w:lang w:val="fr-FR"/>
        </w:rPr>
        <w:t>’</w:t>
      </w:r>
      <w:r w:rsidRPr="00EE4C2A">
        <w:rPr>
          <w:lang w:val="fr-FR"/>
        </w:rPr>
        <w:t>extrême pauvreté et le transfert intergénérationnel de la pauvreté.</w:t>
      </w:r>
    </w:p>
    <w:p w14:paraId="6366790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23 b) de la liste de points établie </w:t>
      </w:r>
      <w:r>
        <w:rPr>
          <w:bCs/>
          <w:lang w:val="fr-FR"/>
        </w:rPr>
        <w:t xml:space="preserve">avant la soumission du rapport </w:t>
      </w:r>
    </w:p>
    <w:p w14:paraId="6D3DA2F5" w14:textId="5C563233" w:rsidR="00046F46" w:rsidRPr="00EE4C2A" w:rsidRDefault="00046F46" w:rsidP="00046F46">
      <w:pPr>
        <w:pStyle w:val="SingleTxtG"/>
        <w:rPr>
          <w:lang w:val="fr-FR"/>
        </w:rPr>
      </w:pPr>
      <w:r w:rsidRPr="00EE4C2A">
        <w:rPr>
          <w:lang w:val="fr-FR"/>
        </w:rPr>
        <w:t>134.</w:t>
      </w:r>
      <w:r w:rsidRPr="00EE4C2A">
        <w:rPr>
          <w:lang w:val="fr-FR"/>
        </w:rPr>
        <w:tab/>
        <w:t>En ce qui concerne l</w:t>
      </w:r>
      <w:r w:rsidR="008279BF">
        <w:rPr>
          <w:lang w:val="fr-FR"/>
        </w:rPr>
        <w:t>’</w:t>
      </w:r>
      <w:r w:rsidRPr="00EE4C2A">
        <w:rPr>
          <w:lang w:val="fr-FR"/>
        </w:rPr>
        <w:t>allocation de budgets suffisants au secteur de l</w:t>
      </w:r>
      <w:r w:rsidR="008279BF">
        <w:rPr>
          <w:lang w:val="fr-FR"/>
        </w:rPr>
        <w:t>’</w:t>
      </w:r>
      <w:r w:rsidRPr="00EE4C2A">
        <w:rPr>
          <w:lang w:val="fr-FR"/>
        </w:rPr>
        <w:t>enfance, l</w:t>
      </w:r>
      <w:r w:rsidR="008279BF">
        <w:rPr>
          <w:lang w:val="fr-FR"/>
        </w:rPr>
        <w:t>’</w:t>
      </w:r>
      <w:r w:rsidRPr="00EE4C2A">
        <w:rPr>
          <w:lang w:val="fr-FR"/>
        </w:rPr>
        <w:t>État partie a veillé à ce que les ressources soient affectées en priorité aux secteurs essentiels tels que l</w:t>
      </w:r>
      <w:r w:rsidR="008279BF">
        <w:rPr>
          <w:lang w:val="fr-FR"/>
        </w:rPr>
        <w:t>’</w:t>
      </w:r>
      <w:r w:rsidRPr="00EE4C2A">
        <w:rPr>
          <w:lang w:val="fr-FR"/>
        </w:rPr>
        <w:t>éducation, la santé et la protection sociale, et que les budgets destinés aux enfants en général et aux enfants vulnérables en particulier soient protégés pour que les fonds destinés aux enfants ne soient pas interrompus, malgré les difficultés économiques et sociales auxquelles le pays est aux prises, notamment le service de la dette extérieure et intérieure et les effets néfastes des changements climatiques qui ont entraîné une baisse de la production d</w:t>
      </w:r>
      <w:r w:rsidR="008279BF">
        <w:rPr>
          <w:lang w:val="fr-FR"/>
        </w:rPr>
        <w:t>’</w:t>
      </w:r>
      <w:r w:rsidRPr="00EE4C2A">
        <w:rPr>
          <w:lang w:val="fr-FR"/>
        </w:rPr>
        <w:t>électricité des centrales hydroélectriques en raison de la baisse du niveau des eaux.</w:t>
      </w:r>
    </w:p>
    <w:p w14:paraId="70A191A7"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23 c) de la liste de points établie </w:t>
      </w:r>
      <w:r>
        <w:rPr>
          <w:bCs/>
          <w:lang w:val="fr-FR"/>
        </w:rPr>
        <w:t xml:space="preserve">avant la soumission du rapport </w:t>
      </w:r>
    </w:p>
    <w:p w14:paraId="015DAF3B" w14:textId="310F1A72" w:rsidR="00046F46" w:rsidRPr="00EE4C2A" w:rsidRDefault="00046F46" w:rsidP="00046F46">
      <w:pPr>
        <w:pStyle w:val="SingleTxtG"/>
        <w:rPr>
          <w:lang w:val="fr-FR"/>
        </w:rPr>
      </w:pPr>
      <w:r w:rsidRPr="00EE4C2A">
        <w:rPr>
          <w:lang w:val="fr-FR"/>
        </w:rPr>
        <w:t>135.</w:t>
      </w:r>
      <w:r w:rsidRPr="00EE4C2A">
        <w:rPr>
          <w:lang w:val="fr-FR"/>
        </w:rPr>
        <w:tab/>
        <w:t>En ce qui concerne l</w:t>
      </w:r>
      <w:r w:rsidR="008279BF">
        <w:rPr>
          <w:lang w:val="fr-FR"/>
        </w:rPr>
        <w:t>’</w:t>
      </w:r>
      <w:r w:rsidRPr="00EE4C2A">
        <w:rPr>
          <w:lang w:val="fr-FR"/>
        </w:rPr>
        <w:t>amélioration de l</w:t>
      </w:r>
      <w:r w:rsidR="008279BF">
        <w:rPr>
          <w:lang w:val="fr-FR"/>
        </w:rPr>
        <w:t>’</w:t>
      </w:r>
      <w:r w:rsidRPr="00EE4C2A">
        <w:rPr>
          <w:lang w:val="fr-FR"/>
        </w:rPr>
        <w:t>accès à l</w:t>
      </w:r>
      <w:r w:rsidR="008279BF">
        <w:rPr>
          <w:lang w:val="fr-FR"/>
        </w:rPr>
        <w:t>’</w:t>
      </w:r>
      <w:r w:rsidRPr="00EE4C2A">
        <w:rPr>
          <w:lang w:val="fr-FR"/>
        </w:rPr>
        <w:t>eau, à l</w:t>
      </w:r>
      <w:r w:rsidR="008279BF">
        <w:rPr>
          <w:lang w:val="fr-FR"/>
        </w:rPr>
        <w:t>’</w:t>
      </w:r>
      <w:r w:rsidRPr="00EE4C2A">
        <w:rPr>
          <w:lang w:val="fr-FR"/>
        </w:rPr>
        <w:t>assainissement et à l</w:t>
      </w:r>
      <w:r w:rsidR="008279BF">
        <w:rPr>
          <w:lang w:val="fr-FR"/>
        </w:rPr>
        <w:t>’</w:t>
      </w:r>
      <w:r w:rsidRPr="00EE4C2A">
        <w:rPr>
          <w:lang w:val="fr-FR"/>
        </w:rPr>
        <w:t>hygiène, selon l</w:t>
      </w:r>
      <w:r w:rsidR="008279BF">
        <w:rPr>
          <w:lang w:val="fr-FR"/>
        </w:rPr>
        <w:t>’</w:t>
      </w:r>
      <w:r w:rsidRPr="00EE4C2A">
        <w:rPr>
          <w:lang w:val="fr-FR"/>
        </w:rPr>
        <w:t>Enquête nationale démographique et sanitaire réalisée en 2018, 72 % des ménages</w:t>
      </w:r>
      <w:r w:rsidR="00865896">
        <w:rPr>
          <w:lang w:val="fr-FR"/>
        </w:rPr>
        <w:t xml:space="preserve"> </w:t>
      </w:r>
      <w:r w:rsidRPr="00EE4C2A">
        <w:rPr>
          <w:lang w:val="fr-FR"/>
        </w:rPr>
        <w:t xml:space="preserve">(92 % en milieu urbain et 58 % en milieu rural) pouvaient accéder à une eau potable à partir </w:t>
      </w:r>
      <w:r w:rsidRPr="00EE4C2A">
        <w:rPr>
          <w:lang w:val="fr-FR"/>
        </w:rPr>
        <w:lastRenderedPageBreak/>
        <w:t>d</w:t>
      </w:r>
      <w:r w:rsidR="008279BF">
        <w:rPr>
          <w:lang w:val="fr-FR"/>
        </w:rPr>
        <w:t>’</w:t>
      </w:r>
      <w:r w:rsidRPr="00EE4C2A">
        <w:rPr>
          <w:lang w:val="fr-FR"/>
        </w:rPr>
        <w:t>une source améliorée, ce qui représentait une amélioration de 7 % par rapport aux</w:t>
      </w:r>
      <w:r w:rsidR="00865896">
        <w:rPr>
          <w:lang w:val="fr-FR"/>
        </w:rPr>
        <w:t xml:space="preserve"> </w:t>
      </w:r>
      <w:r w:rsidRPr="00EE4C2A">
        <w:rPr>
          <w:lang w:val="fr-FR"/>
        </w:rPr>
        <w:t>chiffres rapportés dans l</w:t>
      </w:r>
      <w:r w:rsidR="008279BF">
        <w:rPr>
          <w:lang w:val="fr-FR"/>
        </w:rPr>
        <w:t>’</w:t>
      </w:r>
      <w:r w:rsidRPr="00EE4C2A">
        <w:rPr>
          <w:lang w:val="fr-FR"/>
        </w:rPr>
        <w:t>enquête de</w:t>
      </w:r>
      <w:r w:rsidR="00865896">
        <w:rPr>
          <w:lang w:val="fr-FR"/>
        </w:rPr>
        <w:t xml:space="preserve"> </w:t>
      </w:r>
      <w:r w:rsidRPr="00EE4C2A">
        <w:rPr>
          <w:lang w:val="fr-FR"/>
        </w:rPr>
        <w:t>2013</w:t>
      </w:r>
      <w:r w:rsidRPr="00EE4C2A">
        <w:rPr>
          <w:lang w:val="fr-FR"/>
        </w:rPr>
        <w:noBreakHyphen/>
      </w:r>
      <w:r w:rsidR="00865896">
        <w:rPr>
          <w:lang w:val="fr-FR"/>
        </w:rPr>
        <w:t>20</w:t>
      </w:r>
      <w:r w:rsidRPr="00EE4C2A">
        <w:rPr>
          <w:lang w:val="fr-FR"/>
        </w:rPr>
        <w:t>14, à savoir 65 %</w:t>
      </w:r>
      <w:r w:rsidR="00865896">
        <w:rPr>
          <w:lang w:val="fr-FR"/>
        </w:rPr>
        <w:t xml:space="preserve"> </w:t>
      </w:r>
      <w:r w:rsidRPr="00EE4C2A">
        <w:rPr>
          <w:lang w:val="fr-FR"/>
        </w:rPr>
        <w:t>des ménages</w:t>
      </w:r>
      <w:r w:rsidR="00865896">
        <w:rPr>
          <w:lang w:val="fr-FR"/>
        </w:rPr>
        <w:t xml:space="preserve"> </w:t>
      </w:r>
      <w:r w:rsidRPr="00EE4C2A">
        <w:rPr>
          <w:lang w:val="fr-FR"/>
        </w:rPr>
        <w:t>(90 % en milieu urbain et 47 % en milieu rural). En ce qui concerne l</w:t>
      </w:r>
      <w:r w:rsidR="008279BF">
        <w:rPr>
          <w:lang w:val="fr-FR"/>
        </w:rPr>
        <w:t>’</w:t>
      </w:r>
      <w:r w:rsidRPr="00EE4C2A">
        <w:rPr>
          <w:lang w:val="fr-FR"/>
        </w:rPr>
        <w:t>assainissement, l</w:t>
      </w:r>
      <w:r w:rsidR="008279BF">
        <w:rPr>
          <w:lang w:val="fr-FR"/>
        </w:rPr>
        <w:t>’</w:t>
      </w:r>
      <w:r w:rsidRPr="00EE4C2A">
        <w:rPr>
          <w:lang w:val="fr-FR"/>
        </w:rPr>
        <w:t>Enquête nationale démographique et sanitaire de</w:t>
      </w:r>
      <w:r w:rsidR="00865896">
        <w:rPr>
          <w:lang w:val="fr-FR"/>
        </w:rPr>
        <w:t xml:space="preserve"> </w:t>
      </w:r>
      <w:r w:rsidRPr="00EE4C2A">
        <w:rPr>
          <w:lang w:val="fr-FR"/>
        </w:rPr>
        <w:t>2018 montre que 54 % des ménages</w:t>
      </w:r>
      <w:r w:rsidR="00865896">
        <w:rPr>
          <w:lang w:val="fr-FR"/>
        </w:rPr>
        <w:t xml:space="preserve"> </w:t>
      </w:r>
      <w:r w:rsidRPr="00EE4C2A">
        <w:rPr>
          <w:lang w:val="fr-FR"/>
        </w:rPr>
        <w:t>(78 % en milieu urbain et 37 % en milieu rural) avaient accès à des installations sanitaires améliorées, contre 25 %</w:t>
      </w:r>
      <w:r w:rsidR="00865896">
        <w:rPr>
          <w:lang w:val="fr-FR"/>
        </w:rPr>
        <w:t xml:space="preserve"> </w:t>
      </w:r>
      <w:r w:rsidRPr="00EE4C2A">
        <w:rPr>
          <w:lang w:val="fr-FR"/>
        </w:rPr>
        <w:t>(35 % en milieu urbain et 195 % en milieu rural) selon l</w:t>
      </w:r>
      <w:r w:rsidR="008279BF">
        <w:rPr>
          <w:lang w:val="fr-FR"/>
        </w:rPr>
        <w:t>’</w:t>
      </w:r>
      <w:r w:rsidRPr="00EE4C2A">
        <w:rPr>
          <w:lang w:val="fr-FR"/>
        </w:rPr>
        <w:t>enquête de</w:t>
      </w:r>
      <w:r w:rsidR="00865896">
        <w:rPr>
          <w:lang w:val="fr-FR"/>
        </w:rPr>
        <w:t xml:space="preserve"> </w:t>
      </w:r>
      <w:r w:rsidRPr="00EE4C2A">
        <w:rPr>
          <w:lang w:val="fr-FR"/>
        </w:rPr>
        <w:t>2013-2014, soit une amélioration de</w:t>
      </w:r>
      <w:r w:rsidR="00865896">
        <w:rPr>
          <w:lang w:val="fr-FR"/>
        </w:rPr>
        <w:t xml:space="preserve"> </w:t>
      </w:r>
      <w:r w:rsidRPr="00EE4C2A">
        <w:rPr>
          <w:lang w:val="fr-FR"/>
        </w:rPr>
        <w:t>29 % entre</w:t>
      </w:r>
      <w:r w:rsidR="00865896">
        <w:rPr>
          <w:lang w:val="fr-FR"/>
        </w:rPr>
        <w:t xml:space="preserve"> </w:t>
      </w:r>
      <w:r w:rsidRPr="00EE4C2A">
        <w:rPr>
          <w:lang w:val="fr-FR"/>
        </w:rPr>
        <w:t>2014 et 2018.</w:t>
      </w:r>
    </w:p>
    <w:p w14:paraId="02180BC8" w14:textId="6043382F" w:rsidR="00046F46" w:rsidRPr="00EE4C2A" w:rsidRDefault="00046F46" w:rsidP="00046F46">
      <w:pPr>
        <w:pStyle w:val="SingleTxtG"/>
        <w:rPr>
          <w:lang w:val="fr-FR"/>
        </w:rPr>
      </w:pPr>
      <w:r w:rsidRPr="00EE4C2A">
        <w:rPr>
          <w:lang w:val="fr-FR"/>
        </w:rPr>
        <w:t>136.</w:t>
      </w:r>
      <w:r w:rsidRPr="00EE4C2A">
        <w:rPr>
          <w:lang w:val="fr-FR"/>
        </w:rPr>
        <w:tab/>
        <w:t>En outre, l</w:t>
      </w:r>
      <w:r w:rsidR="008279BF">
        <w:rPr>
          <w:lang w:val="fr-FR"/>
        </w:rPr>
        <w:t>’</w:t>
      </w:r>
      <w:r w:rsidRPr="00EE4C2A">
        <w:rPr>
          <w:lang w:val="fr-FR"/>
        </w:rPr>
        <w:t>État partie dispose de programmes destinés aux écoles, tels que le programme</w:t>
      </w:r>
      <w:r w:rsidR="00865896">
        <w:rPr>
          <w:lang w:val="fr-FR"/>
        </w:rPr>
        <w:t xml:space="preserve"> </w:t>
      </w:r>
      <w:r w:rsidRPr="00EE4C2A">
        <w:rPr>
          <w:lang w:val="fr-FR"/>
        </w:rPr>
        <w:t>WASH</w:t>
      </w:r>
      <w:r w:rsidR="00865896">
        <w:rPr>
          <w:lang w:val="fr-FR"/>
        </w:rPr>
        <w:t xml:space="preserve"> </w:t>
      </w:r>
      <w:r w:rsidRPr="00EE4C2A">
        <w:rPr>
          <w:lang w:val="fr-FR"/>
        </w:rPr>
        <w:t>(Eau, Assainissement et Hygiène pour tous), dans le cadre duquel des puits ont été creusés pour les écoles éloignées des réseaux d</w:t>
      </w:r>
      <w:r w:rsidR="008279BF">
        <w:rPr>
          <w:lang w:val="fr-FR"/>
        </w:rPr>
        <w:t>’</w:t>
      </w:r>
      <w:r>
        <w:rPr>
          <w:lang w:val="fr-FR"/>
        </w:rPr>
        <w:t>alimentation en eau</w:t>
      </w:r>
      <w:r w:rsidRPr="00EE4C2A">
        <w:rPr>
          <w:lang w:val="fr-FR"/>
        </w:rPr>
        <w:t xml:space="preserve"> et des fosses d</w:t>
      </w:r>
      <w:r w:rsidR="008279BF">
        <w:rPr>
          <w:lang w:val="fr-FR"/>
        </w:rPr>
        <w:t>’</w:t>
      </w:r>
      <w:r w:rsidRPr="00EE4C2A">
        <w:rPr>
          <w:lang w:val="fr-FR"/>
        </w:rPr>
        <w:t>aisances améliorées ont été aménagées pour développer l</w:t>
      </w:r>
      <w:r w:rsidR="008279BF">
        <w:rPr>
          <w:lang w:val="fr-FR"/>
        </w:rPr>
        <w:t>’</w:t>
      </w:r>
      <w:r w:rsidRPr="00EE4C2A">
        <w:rPr>
          <w:lang w:val="fr-FR"/>
        </w:rPr>
        <w:t>assainissement. Un autre programme destiné aux élèves concerne l</w:t>
      </w:r>
      <w:r w:rsidR="008279BF">
        <w:rPr>
          <w:lang w:val="fr-FR"/>
        </w:rPr>
        <w:t>’</w:t>
      </w:r>
      <w:r w:rsidRPr="00EE4C2A">
        <w:rPr>
          <w:lang w:val="fr-FR"/>
        </w:rPr>
        <w:t>hygiène menstruelle : des serviettes hygiéniques sont distribuées gratuitement aux filles scolarisées, en particulier dans les zones rurales. Une étude a été menée pour comprendre les facteurs entravant les pratiques de gestion de l</w:t>
      </w:r>
      <w:r w:rsidR="008279BF">
        <w:rPr>
          <w:lang w:val="fr-FR"/>
        </w:rPr>
        <w:t>’</w:t>
      </w:r>
      <w:r w:rsidRPr="00EE4C2A">
        <w:rPr>
          <w:lang w:val="fr-FR"/>
        </w:rPr>
        <w:t>hygiène menstruelle chez les élèves des écoles rurales, et les résultats de cette étude ont été utilisés pour informer l</w:t>
      </w:r>
      <w:r w:rsidR="008279BF">
        <w:rPr>
          <w:lang w:val="fr-FR"/>
        </w:rPr>
        <w:t>’</w:t>
      </w:r>
      <w:r w:rsidRPr="00EE4C2A">
        <w:rPr>
          <w:lang w:val="fr-FR"/>
        </w:rPr>
        <w:t>élaboration du Dispositif de gestion de l</w:t>
      </w:r>
      <w:r w:rsidR="008279BF">
        <w:rPr>
          <w:lang w:val="fr-FR"/>
        </w:rPr>
        <w:t>’</w:t>
      </w:r>
      <w:r w:rsidRPr="00EE4C2A">
        <w:rPr>
          <w:lang w:val="fr-FR"/>
        </w:rPr>
        <w:t>hygiène menstruelle, qui comprend des Lignes directrices nationales et une Boîte à outils.</w:t>
      </w:r>
    </w:p>
    <w:p w14:paraId="6F88A49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23 d) de la liste de points établie </w:t>
      </w:r>
      <w:r>
        <w:rPr>
          <w:bCs/>
          <w:lang w:val="fr-FR"/>
        </w:rPr>
        <w:t xml:space="preserve">avant la soumission du rapport </w:t>
      </w:r>
    </w:p>
    <w:p w14:paraId="681FFFC6" w14:textId="62EFB043" w:rsidR="00046F46" w:rsidRPr="00EE4C2A" w:rsidRDefault="00046F46" w:rsidP="00046F46">
      <w:pPr>
        <w:pStyle w:val="SingleTxtG"/>
        <w:rPr>
          <w:lang w:val="fr-FR"/>
        </w:rPr>
      </w:pPr>
      <w:r w:rsidRPr="00EE4C2A">
        <w:rPr>
          <w:lang w:val="fr-FR"/>
        </w:rPr>
        <w:t>137.</w:t>
      </w:r>
      <w:r w:rsidRPr="00EE4C2A">
        <w:rPr>
          <w:lang w:val="fr-FR"/>
        </w:rPr>
        <w:tab/>
        <w:t>En ce qui concerne la couverture et la gestion du Programme de transferts sociaux en espèces, l</w:t>
      </w:r>
      <w:r w:rsidR="008279BF">
        <w:rPr>
          <w:lang w:val="fr-FR"/>
        </w:rPr>
        <w:t>’</w:t>
      </w:r>
      <w:r w:rsidRPr="00EE4C2A">
        <w:rPr>
          <w:lang w:val="fr-FR"/>
        </w:rPr>
        <w:t>État partie souhaite rapporter que ce programme, lancé en</w:t>
      </w:r>
      <w:r w:rsidR="00865896">
        <w:rPr>
          <w:lang w:val="fr-FR"/>
        </w:rPr>
        <w:t xml:space="preserve"> </w:t>
      </w:r>
      <w:r w:rsidRPr="00EE4C2A">
        <w:rPr>
          <w:lang w:val="fr-FR"/>
        </w:rPr>
        <w:t>2003 dans un seul district à titre de projet pilote, couvre actuellement les</w:t>
      </w:r>
      <w:r w:rsidR="00865896">
        <w:rPr>
          <w:lang w:val="fr-FR"/>
        </w:rPr>
        <w:t xml:space="preserve"> </w:t>
      </w:r>
      <w:r w:rsidRPr="00EE4C2A">
        <w:rPr>
          <w:lang w:val="fr-FR"/>
        </w:rPr>
        <w:t>116 districts des</w:t>
      </w:r>
      <w:r w:rsidR="00865896">
        <w:rPr>
          <w:lang w:val="fr-FR"/>
        </w:rPr>
        <w:t xml:space="preserve"> </w:t>
      </w:r>
      <w:r w:rsidRPr="00EE4C2A">
        <w:rPr>
          <w:lang w:val="fr-FR"/>
        </w:rPr>
        <w:t>10 provinces. Au total,</w:t>
      </w:r>
      <w:r w:rsidR="00865896">
        <w:rPr>
          <w:lang w:val="fr-FR"/>
        </w:rPr>
        <w:t xml:space="preserve"> </w:t>
      </w:r>
      <w:r w:rsidRPr="00EE4C2A">
        <w:rPr>
          <w:lang w:val="fr-FR"/>
        </w:rPr>
        <w:t>632 327 ménages sont aidés par ce programme, dont</w:t>
      </w:r>
      <w:r w:rsidR="00865896">
        <w:rPr>
          <w:lang w:val="fr-FR"/>
        </w:rPr>
        <w:t xml:space="preserve"> </w:t>
      </w:r>
      <w:r w:rsidRPr="00EE4C2A">
        <w:rPr>
          <w:lang w:val="fr-FR"/>
        </w:rPr>
        <w:t>8 364 familles dirigées par des enfants, et</w:t>
      </w:r>
      <w:r w:rsidR="00865896">
        <w:rPr>
          <w:lang w:val="fr-FR"/>
        </w:rPr>
        <w:t xml:space="preserve"> </w:t>
      </w:r>
      <w:r w:rsidRPr="00EE4C2A">
        <w:rPr>
          <w:lang w:val="fr-FR"/>
        </w:rPr>
        <w:t>1 152 012 enfants en bénéficient.</w:t>
      </w:r>
      <w:bookmarkStart w:id="35" w:name="_Hlk63685762"/>
      <w:bookmarkEnd w:id="35"/>
    </w:p>
    <w:p w14:paraId="2EA42D44" w14:textId="4F546CBB" w:rsidR="00046F46" w:rsidRPr="00EE4C2A" w:rsidRDefault="00046F46" w:rsidP="00046F46">
      <w:pPr>
        <w:pStyle w:val="SingleTxtG"/>
        <w:rPr>
          <w:lang w:val="fr-FR"/>
        </w:rPr>
      </w:pPr>
      <w:r w:rsidRPr="00EE4C2A">
        <w:rPr>
          <w:lang w:val="fr-FR"/>
        </w:rPr>
        <w:t>138.</w:t>
      </w:r>
      <w:r w:rsidRPr="00EE4C2A">
        <w:rPr>
          <w:lang w:val="fr-FR"/>
        </w:rPr>
        <w:tab/>
        <w:t>Les bénéficiaires visés sont les personnes âgées ainsi que les ménages dirigés par des femmes ou des enfants inscrits dans ce programme. Des téléphones portables sont fournis dans le cadre de ce programme pour communiquer avec les bénéficiaires de manière efficace et efficiente, et les prestations sont versées au moyen de services d</w:t>
      </w:r>
      <w:r w:rsidR="008279BF">
        <w:rPr>
          <w:lang w:val="fr-FR"/>
        </w:rPr>
        <w:t>’</w:t>
      </w:r>
      <w:r w:rsidRPr="00EE4C2A">
        <w:rPr>
          <w:lang w:val="fr-FR"/>
        </w:rPr>
        <w:t>argent mobile et de coupons.</w:t>
      </w:r>
    </w:p>
    <w:p w14:paraId="6B69577A" w14:textId="3B86E813" w:rsidR="00046F46" w:rsidRPr="00EE4C2A" w:rsidRDefault="00046F46" w:rsidP="00046F46">
      <w:pPr>
        <w:pStyle w:val="H1G"/>
        <w:rPr>
          <w:lang w:val="fr-FR"/>
        </w:rPr>
      </w:pPr>
      <w:bookmarkStart w:id="36" w:name="_Toc63937988"/>
      <w:r w:rsidRPr="00EE4C2A">
        <w:rPr>
          <w:lang w:val="fr-FR"/>
        </w:rPr>
        <w:tab/>
      </w:r>
      <w:r w:rsidRPr="00EE4C2A">
        <w:rPr>
          <w:lang w:val="fr-FR"/>
        </w:rPr>
        <w:tab/>
      </w:r>
      <w:r w:rsidRPr="00EE4C2A">
        <w:rPr>
          <w:bCs/>
          <w:lang w:val="fr-FR"/>
        </w:rPr>
        <w:t>Incidences des changements climatiques sur les droits de l</w:t>
      </w:r>
      <w:r w:rsidR="008279BF">
        <w:rPr>
          <w:bCs/>
          <w:lang w:val="fr-FR"/>
        </w:rPr>
        <w:t>’</w:t>
      </w:r>
      <w:r w:rsidRPr="00EE4C2A">
        <w:rPr>
          <w:bCs/>
          <w:lang w:val="fr-FR"/>
        </w:rPr>
        <w:t>enfant</w:t>
      </w:r>
      <w:bookmarkEnd w:id="36"/>
    </w:p>
    <w:p w14:paraId="434DD1F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24 a) de la liste de points établie </w:t>
      </w:r>
      <w:r>
        <w:rPr>
          <w:bCs/>
          <w:lang w:val="fr-FR"/>
        </w:rPr>
        <w:t xml:space="preserve">avant la soumission du rapport </w:t>
      </w:r>
    </w:p>
    <w:p w14:paraId="1B7DBBB1" w14:textId="48D69252" w:rsidR="00046F46" w:rsidRPr="00EE4C2A" w:rsidRDefault="00046F46" w:rsidP="00046F46">
      <w:pPr>
        <w:pStyle w:val="SingleTxtG"/>
        <w:rPr>
          <w:lang w:val="fr-FR"/>
        </w:rPr>
      </w:pPr>
      <w:r w:rsidRPr="00EE4C2A">
        <w:rPr>
          <w:lang w:val="fr-FR"/>
        </w:rPr>
        <w:t>139.</w:t>
      </w:r>
      <w:r w:rsidRPr="00EE4C2A">
        <w:rPr>
          <w:lang w:val="fr-FR"/>
        </w:rPr>
        <w:tab/>
        <w:t>En ce qui concerne la réduction de la déforestation et de la dégradation des terres, la Zambie est l</w:t>
      </w:r>
      <w:r w:rsidR="008279BF">
        <w:rPr>
          <w:lang w:val="fr-FR"/>
        </w:rPr>
        <w:t>’</w:t>
      </w:r>
      <w:r w:rsidRPr="00EE4C2A">
        <w:rPr>
          <w:lang w:val="fr-FR"/>
        </w:rPr>
        <w:t>un des 121 États parties à la Convention des Nations Unies sur la lutte contre la désertification qui ont approuvé la cible 15.3 des objectifs de développement durable et la neutralité en matière de dégradation des terres (NDT), en tant que puissant moteur de mise en œuvre de la Convention. À cet effet, l</w:t>
      </w:r>
      <w:r w:rsidR="008279BF">
        <w:rPr>
          <w:lang w:val="fr-FR"/>
        </w:rPr>
        <w:t>’</w:t>
      </w:r>
      <w:r w:rsidRPr="00EE4C2A">
        <w:rPr>
          <w:lang w:val="fr-FR"/>
        </w:rPr>
        <w:t>État partie a lancé un certain nombre d</w:t>
      </w:r>
      <w:r w:rsidR="008279BF">
        <w:rPr>
          <w:lang w:val="fr-FR"/>
        </w:rPr>
        <w:t>’</w:t>
      </w:r>
      <w:r w:rsidRPr="00EE4C2A">
        <w:rPr>
          <w:lang w:val="fr-FR"/>
        </w:rPr>
        <w:t>initiatives dont : le projet REDD+, grâce auquel plus de 700 hectares de terres ont été protégés ; l</w:t>
      </w:r>
      <w:r w:rsidR="008279BF">
        <w:rPr>
          <w:lang w:val="fr-FR"/>
        </w:rPr>
        <w:t>’</w:t>
      </w:r>
      <w:r w:rsidRPr="00EE4C2A">
        <w:rPr>
          <w:lang w:val="fr-FR"/>
        </w:rPr>
        <w:t>élaboration d</w:t>
      </w:r>
      <w:r w:rsidR="008279BF">
        <w:rPr>
          <w:lang w:val="fr-FR"/>
        </w:rPr>
        <w:t>’</w:t>
      </w:r>
      <w:r w:rsidRPr="00EE4C2A">
        <w:rPr>
          <w:lang w:val="fr-FR"/>
        </w:rPr>
        <w:t>un Plan d</w:t>
      </w:r>
      <w:r w:rsidR="008279BF">
        <w:rPr>
          <w:lang w:val="fr-FR"/>
        </w:rPr>
        <w:t>’</w:t>
      </w:r>
      <w:r w:rsidRPr="00EE4C2A">
        <w:rPr>
          <w:lang w:val="fr-FR"/>
        </w:rPr>
        <w:t>investissement forestier, qui vise à encourager les communautés à protéger les forêts communautaires, conformément à la loi</w:t>
      </w:r>
      <w:r w:rsidR="004E2FEA">
        <w:rPr>
          <w:lang w:val="fr-FR"/>
        </w:rPr>
        <w:t xml:space="preserve"> </w:t>
      </w:r>
      <w:r w:rsidR="004E2FEA" w:rsidRPr="004E2FEA">
        <w:rPr>
          <w:rFonts w:eastAsia="MS Mincho"/>
          <w:lang w:val="fr-FR"/>
        </w:rPr>
        <w:t>n</w:t>
      </w:r>
      <w:r w:rsidR="004E2FEA" w:rsidRPr="004E2FEA">
        <w:rPr>
          <w:rFonts w:eastAsia="MS Mincho"/>
          <w:vertAlign w:val="superscript"/>
          <w:lang w:val="fr-FR"/>
        </w:rPr>
        <w:t>o</w:t>
      </w:r>
      <w:r w:rsidR="004E2FEA">
        <w:rPr>
          <w:rFonts w:eastAsia="MS Mincho"/>
          <w:vertAlign w:val="superscript"/>
          <w:lang w:val="fr-FR"/>
        </w:rPr>
        <w:t xml:space="preserve"> </w:t>
      </w:r>
      <w:r w:rsidRPr="00EE4C2A">
        <w:rPr>
          <w:lang w:val="fr-FR"/>
        </w:rPr>
        <w:t>4</w:t>
      </w:r>
      <w:r w:rsidR="004E2FEA">
        <w:rPr>
          <w:lang w:val="fr-FR"/>
        </w:rPr>
        <w:t xml:space="preserve"> </w:t>
      </w:r>
      <w:r w:rsidRPr="00EE4C2A">
        <w:rPr>
          <w:lang w:val="fr-FR"/>
        </w:rPr>
        <w:t>de</w:t>
      </w:r>
      <w:r w:rsidR="004E2FEA">
        <w:rPr>
          <w:lang w:val="fr-FR"/>
        </w:rPr>
        <w:t xml:space="preserve"> </w:t>
      </w:r>
      <w:r w:rsidRPr="00EE4C2A">
        <w:rPr>
          <w:lang w:val="fr-FR"/>
        </w:rPr>
        <w:t>2015 sur les forêts ; et la mise en œuvre du Projet de régénération naturelle assistée, dans le cadre duquel les communautés ont été formées à la gestion forestière pour leurs retombées bénéfiques.</w:t>
      </w:r>
    </w:p>
    <w:p w14:paraId="4196348A" w14:textId="63096F8A" w:rsidR="00046F46" w:rsidRPr="00EE4C2A" w:rsidRDefault="00046F46" w:rsidP="00046F46">
      <w:pPr>
        <w:pStyle w:val="SingleTxtG"/>
        <w:rPr>
          <w:lang w:val="fr-FR"/>
        </w:rPr>
      </w:pPr>
      <w:r w:rsidRPr="00EE4C2A">
        <w:rPr>
          <w:lang w:val="fr-FR"/>
        </w:rPr>
        <w:t>140.</w:t>
      </w:r>
      <w:r w:rsidRPr="00EE4C2A">
        <w:rPr>
          <w:lang w:val="fr-FR"/>
        </w:rPr>
        <w:tab/>
        <w:t>L</w:t>
      </w:r>
      <w:r w:rsidR="008279BF">
        <w:rPr>
          <w:lang w:val="fr-FR"/>
        </w:rPr>
        <w:t>’</w:t>
      </w:r>
      <w:r w:rsidRPr="00EE4C2A">
        <w:rPr>
          <w:lang w:val="fr-FR"/>
        </w:rPr>
        <w:t>État partie encourage l</w:t>
      </w:r>
      <w:r w:rsidR="008279BF">
        <w:rPr>
          <w:lang w:val="fr-FR"/>
        </w:rPr>
        <w:t>’</w:t>
      </w:r>
      <w:r w:rsidRPr="00EE4C2A">
        <w:rPr>
          <w:lang w:val="fr-FR"/>
        </w:rPr>
        <w:t>agriculture intelligente face au climat et l</w:t>
      </w:r>
      <w:r w:rsidR="008279BF">
        <w:rPr>
          <w:lang w:val="fr-FR"/>
        </w:rPr>
        <w:t>’</w:t>
      </w:r>
      <w:r w:rsidRPr="00EE4C2A">
        <w:rPr>
          <w:lang w:val="fr-FR"/>
        </w:rPr>
        <w:t>agriculture respectueuse de l</w:t>
      </w:r>
      <w:r w:rsidR="008279BF">
        <w:rPr>
          <w:lang w:val="fr-FR"/>
        </w:rPr>
        <w:t>’</w:t>
      </w:r>
      <w:r w:rsidRPr="00EE4C2A">
        <w:rPr>
          <w:lang w:val="fr-FR"/>
        </w:rPr>
        <w:t>environnement, qui sont respectivement des approches et technologies cl</w:t>
      </w:r>
      <w:r w:rsidR="004E2FEA">
        <w:rPr>
          <w:lang w:val="fr-FR"/>
        </w:rPr>
        <w:t>ef</w:t>
      </w:r>
      <w:r w:rsidRPr="00EE4C2A">
        <w:rPr>
          <w:lang w:val="fr-FR"/>
        </w:rPr>
        <w:t>s visant à renforcer la résilience des petits agriculteurs face aux effets et aux incidences des changements climatiques. Elles garantiront une production maximale malgré les phénomènes météorologiques extrêmes que nous connaissons, et permettront aux petits agriculteurs de tirer un revenu de leurs produits.</w:t>
      </w:r>
    </w:p>
    <w:p w14:paraId="3A6A77A9" w14:textId="26552EC8" w:rsidR="00046F46" w:rsidRPr="00EE4C2A" w:rsidRDefault="00046F46" w:rsidP="00046F46">
      <w:pPr>
        <w:pStyle w:val="SingleTxtG"/>
        <w:rPr>
          <w:lang w:val="fr-FR"/>
        </w:rPr>
      </w:pPr>
      <w:r w:rsidRPr="00EE4C2A">
        <w:rPr>
          <w:lang w:val="fr-FR"/>
        </w:rPr>
        <w:t>141.</w:t>
      </w:r>
      <w:r w:rsidRPr="00EE4C2A">
        <w:rPr>
          <w:lang w:val="fr-FR"/>
        </w:rPr>
        <w:tab/>
        <w:t>D</w:t>
      </w:r>
      <w:r w:rsidR="008279BF">
        <w:rPr>
          <w:lang w:val="fr-FR"/>
        </w:rPr>
        <w:t>’</w:t>
      </w:r>
      <w:r w:rsidRPr="00EE4C2A">
        <w:rPr>
          <w:lang w:val="fr-FR"/>
        </w:rPr>
        <w:t>autres projets, tels que le Projet pour la gestion intégrée des paysages forestiers en Zambie</w:t>
      </w:r>
      <w:r w:rsidR="004E2FEA">
        <w:rPr>
          <w:lang w:val="fr-FR"/>
        </w:rPr>
        <w:t xml:space="preserve"> </w:t>
      </w:r>
      <w:r w:rsidRPr="00EE4C2A">
        <w:rPr>
          <w:lang w:val="fr-FR"/>
        </w:rPr>
        <w:t>(ZIFLP), en cours de mis</w:t>
      </w:r>
      <w:r>
        <w:rPr>
          <w:lang w:val="fr-FR"/>
        </w:rPr>
        <w:t>e</w:t>
      </w:r>
      <w:r w:rsidRPr="00EE4C2A">
        <w:rPr>
          <w:lang w:val="fr-FR"/>
        </w:rPr>
        <w:t xml:space="preserve"> en œuvre dans la province orientale, visent à améliorer la gestion des forêts. Ils permettent aux bénéficiaires de mieux gérer les ressources de leurs </w:t>
      </w:r>
      <w:r w:rsidRPr="00EE4C2A">
        <w:rPr>
          <w:lang w:val="fr-FR"/>
        </w:rPr>
        <w:lastRenderedPageBreak/>
        <w:t>paysages afin de réduire la déforestation et d</w:t>
      </w:r>
      <w:r w:rsidR="008279BF">
        <w:rPr>
          <w:lang w:val="fr-FR"/>
        </w:rPr>
        <w:t>’</w:t>
      </w:r>
      <w:r w:rsidRPr="00EE4C2A">
        <w:rPr>
          <w:lang w:val="fr-FR"/>
        </w:rPr>
        <w:t>augmenter les avantages environnementaux et économiques pour les communautés rurales ciblées.</w:t>
      </w:r>
    </w:p>
    <w:p w14:paraId="217D6CF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24 b) de la liste de points établie </w:t>
      </w:r>
      <w:r>
        <w:rPr>
          <w:bCs/>
          <w:lang w:val="fr-FR"/>
        </w:rPr>
        <w:t xml:space="preserve">avant la soumission du rapport </w:t>
      </w:r>
    </w:p>
    <w:p w14:paraId="63C9AF52" w14:textId="05DD1E54" w:rsidR="00046F46" w:rsidRPr="00EE4C2A" w:rsidRDefault="00046F46" w:rsidP="00046F46">
      <w:pPr>
        <w:pStyle w:val="SingleTxtG"/>
        <w:rPr>
          <w:lang w:val="fr-FR"/>
        </w:rPr>
      </w:pPr>
      <w:r w:rsidRPr="00EE4C2A">
        <w:rPr>
          <w:lang w:val="fr-FR"/>
        </w:rPr>
        <w:t>142.</w:t>
      </w:r>
      <w:r w:rsidRPr="00EE4C2A">
        <w:rPr>
          <w:lang w:val="fr-FR"/>
        </w:rPr>
        <w:tab/>
        <w:t>En ce qui concerne l</w:t>
      </w:r>
      <w:r w:rsidR="008279BF">
        <w:rPr>
          <w:lang w:val="fr-FR"/>
        </w:rPr>
        <w:t>’</w:t>
      </w:r>
      <w:r w:rsidRPr="00EE4C2A">
        <w:rPr>
          <w:lang w:val="fr-FR"/>
        </w:rPr>
        <w:t>atténuation de l</w:t>
      </w:r>
      <w:r w:rsidR="008279BF">
        <w:rPr>
          <w:lang w:val="fr-FR"/>
        </w:rPr>
        <w:t>’</w:t>
      </w:r>
      <w:r w:rsidRPr="00EE4C2A">
        <w:rPr>
          <w:lang w:val="fr-FR"/>
        </w:rPr>
        <w:t>insécurité alimentaire, hydrique et énergétique, l</w:t>
      </w:r>
      <w:r w:rsidR="008279BF">
        <w:rPr>
          <w:lang w:val="fr-FR"/>
        </w:rPr>
        <w:t>’</w:t>
      </w:r>
      <w:r w:rsidRPr="00EE4C2A">
        <w:rPr>
          <w:lang w:val="fr-FR"/>
        </w:rPr>
        <w:t>État partie, par l</w:t>
      </w:r>
      <w:r w:rsidR="008279BF">
        <w:rPr>
          <w:lang w:val="fr-FR"/>
        </w:rPr>
        <w:t>’</w:t>
      </w:r>
      <w:r w:rsidRPr="00EE4C2A">
        <w:rPr>
          <w:lang w:val="fr-FR"/>
        </w:rPr>
        <w:t>intermédiaire de l</w:t>
      </w:r>
      <w:r w:rsidR="008279BF">
        <w:rPr>
          <w:lang w:val="fr-FR"/>
        </w:rPr>
        <w:t>’</w:t>
      </w:r>
      <w:r w:rsidRPr="00EE4C2A">
        <w:rPr>
          <w:lang w:val="fr-FR"/>
        </w:rPr>
        <w:t>Unité de gestion et d</w:t>
      </w:r>
      <w:r w:rsidR="008279BF">
        <w:rPr>
          <w:lang w:val="fr-FR"/>
        </w:rPr>
        <w:t>’</w:t>
      </w:r>
      <w:r w:rsidRPr="00EE4C2A">
        <w:rPr>
          <w:lang w:val="fr-FR"/>
        </w:rPr>
        <w:t>atténuation des effets des catastrophes</w:t>
      </w:r>
      <w:r w:rsidR="004E2FEA">
        <w:rPr>
          <w:lang w:val="fr-FR"/>
        </w:rPr>
        <w:t xml:space="preserve"> </w:t>
      </w:r>
      <w:r w:rsidRPr="00EE4C2A">
        <w:rPr>
          <w:lang w:val="fr-FR"/>
        </w:rPr>
        <w:t>(DMMU), œuvre pour atténuer les effets des changements climatiques, en collaboration avec d</w:t>
      </w:r>
      <w:r w:rsidR="008279BF">
        <w:rPr>
          <w:lang w:val="fr-FR"/>
        </w:rPr>
        <w:t>’</w:t>
      </w:r>
      <w:r w:rsidRPr="00EE4C2A">
        <w:rPr>
          <w:lang w:val="fr-FR"/>
        </w:rPr>
        <w:t>autres partenaires : construction de barrages, puits et installations hydriques ; organisation d</w:t>
      </w:r>
      <w:r w:rsidR="008279BF">
        <w:rPr>
          <w:lang w:val="fr-FR"/>
        </w:rPr>
        <w:t>’</w:t>
      </w:r>
      <w:r w:rsidRPr="00EE4C2A">
        <w:rPr>
          <w:lang w:val="fr-FR"/>
        </w:rPr>
        <w:t>activités de sensibilisation ; nomination d</w:t>
      </w:r>
      <w:r w:rsidR="008279BF">
        <w:rPr>
          <w:lang w:val="fr-FR"/>
        </w:rPr>
        <w:t>’</w:t>
      </w:r>
      <w:r w:rsidRPr="00EE4C2A">
        <w:rPr>
          <w:lang w:val="fr-FR"/>
        </w:rPr>
        <w:t>enfants ambassadeurs/champions de la lutte contre les changements climatiques ; création de clubs scolaires ; et intégration des changements climatiques dans les programmes scolaires. L</w:t>
      </w:r>
      <w:r w:rsidR="008279BF">
        <w:rPr>
          <w:lang w:val="fr-FR"/>
        </w:rPr>
        <w:t>’</w:t>
      </w:r>
      <w:r w:rsidRPr="00EE4C2A">
        <w:rPr>
          <w:lang w:val="fr-FR"/>
        </w:rPr>
        <w:t>Unité de gestion et d</w:t>
      </w:r>
      <w:r w:rsidR="008279BF">
        <w:rPr>
          <w:lang w:val="fr-FR"/>
        </w:rPr>
        <w:t>’</w:t>
      </w:r>
      <w:r w:rsidRPr="00EE4C2A">
        <w:rPr>
          <w:lang w:val="fr-FR"/>
        </w:rPr>
        <w:t>atténuation des effets des catastrophes et le Département métrologique ont mis au point un dispositif d</w:t>
      </w:r>
      <w:r w:rsidR="008279BF">
        <w:rPr>
          <w:lang w:val="fr-FR"/>
        </w:rPr>
        <w:t>’</w:t>
      </w:r>
      <w:r w:rsidRPr="00EE4C2A">
        <w:rPr>
          <w:lang w:val="fr-FR"/>
        </w:rPr>
        <w:t xml:space="preserve">alerte rapide pour faciliter la planification relative aux risques climatiques. </w:t>
      </w:r>
      <w:r>
        <w:rPr>
          <w:lang w:val="fr-FR"/>
        </w:rPr>
        <w:t xml:space="preserve">Dans le cadre </w:t>
      </w:r>
      <w:r w:rsidRPr="00EE4C2A">
        <w:rPr>
          <w:lang w:val="fr-FR"/>
        </w:rPr>
        <w:t>des services de vulgarisation sur les changements climatiques, il est conseillé aux agriculteurs de s</w:t>
      </w:r>
      <w:r w:rsidR="008279BF">
        <w:rPr>
          <w:lang w:val="fr-FR"/>
        </w:rPr>
        <w:t>’</w:t>
      </w:r>
      <w:r w:rsidRPr="00EE4C2A">
        <w:rPr>
          <w:lang w:val="fr-FR"/>
        </w:rPr>
        <w:t>adapter en diversifiant leur production animale et végétale, en cultivant des plantes résistantes à la sécheresse et en investissant dans l</w:t>
      </w:r>
      <w:r w:rsidR="008279BF">
        <w:rPr>
          <w:lang w:val="fr-FR"/>
        </w:rPr>
        <w:t>’</w:t>
      </w:r>
      <w:r w:rsidRPr="00EE4C2A">
        <w:rPr>
          <w:lang w:val="fr-FR"/>
        </w:rPr>
        <w:t>élevage de chèvres.</w:t>
      </w:r>
    </w:p>
    <w:p w14:paraId="4B57BF18" w14:textId="381EA437" w:rsidR="00046F46" w:rsidRPr="00EE4C2A" w:rsidRDefault="00046F46" w:rsidP="00046F46">
      <w:pPr>
        <w:pStyle w:val="SingleTxtG"/>
        <w:rPr>
          <w:lang w:val="fr-FR"/>
        </w:rPr>
      </w:pPr>
      <w:r w:rsidRPr="00EE4C2A">
        <w:rPr>
          <w:lang w:val="fr-FR"/>
        </w:rPr>
        <w:t>143.</w:t>
      </w:r>
      <w:r w:rsidRPr="00EE4C2A">
        <w:rPr>
          <w:lang w:val="fr-FR"/>
        </w:rPr>
        <w:tab/>
        <w:t>En ce qui concerne la protection des ressources en eau, l</w:t>
      </w:r>
      <w:r w:rsidR="008279BF">
        <w:rPr>
          <w:lang w:val="fr-FR"/>
        </w:rPr>
        <w:t>’</w:t>
      </w:r>
      <w:r w:rsidRPr="00EE4C2A">
        <w:rPr>
          <w:lang w:val="fr-FR"/>
        </w:rPr>
        <w:t>État partie a adopté des mesures pour sauvegarder les ressources hydriques, notamment en désignant des étendues d</w:t>
      </w:r>
      <w:r w:rsidR="008279BF">
        <w:rPr>
          <w:lang w:val="fr-FR"/>
        </w:rPr>
        <w:t>’</w:t>
      </w:r>
      <w:r w:rsidRPr="00EE4C2A">
        <w:rPr>
          <w:lang w:val="fr-FR"/>
        </w:rPr>
        <w:t>eau comme étant des « zones humides ». Huit zones humides ont ainsi été désignées, comme le prévoient différentes conventions internationales sur la protection de l</w:t>
      </w:r>
      <w:r w:rsidR="008279BF">
        <w:rPr>
          <w:lang w:val="fr-FR"/>
        </w:rPr>
        <w:t>’</w:t>
      </w:r>
      <w:r w:rsidRPr="00EE4C2A">
        <w:rPr>
          <w:lang w:val="fr-FR"/>
        </w:rPr>
        <w:t>environnement. Il a été entrepris de recenser et de cartographier les zones de protection des ressources en eau pour veiller à ce que les ressources hydriques et les terres adjacentes à celles-ci ne soient pas altérées au nom du développement. La protection de ces étendues d</w:t>
      </w:r>
      <w:r w:rsidR="008279BF">
        <w:rPr>
          <w:lang w:val="fr-FR"/>
        </w:rPr>
        <w:t>’</w:t>
      </w:r>
      <w:r w:rsidRPr="00EE4C2A">
        <w:rPr>
          <w:lang w:val="fr-FR"/>
        </w:rPr>
        <w:t>eau contribuera à accroître le développement socioéconomique et à améliorer les moyens de subsistance de la population, y compris des enfants.</w:t>
      </w:r>
    </w:p>
    <w:p w14:paraId="004AE18D" w14:textId="237FC199" w:rsidR="00046F46" w:rsidRPr="00EE4C2A" w:rsidRDefault="00046F46" w:rsidP="00046F46">
      <w:pPr>
        <w:pStyle w:val="SingleTxtG"/>
        <w:rPr>
          <w:lang w:val="fr-FR"/>
        </w:rPr>
      </w:pPr>
      <w:r w:rsidRPr="00EE4C2A">
        <w:rPr>
          <w:lang w:val="fr-FR"/>
        </w:rPr>
        <w:t>144.</w:t>
      </w:r>
      <w:r w:rsidRPr="00EE4C2A">
        <w:rPr>
          <w:lang w:val="fr-FR"/>
        </w:rPr>
        <w:tab/>
        <w:t>En ce qui concerne l</w:t>
      </w:r>
      <w:r w:rsidR="008279BF">
        <w:rPr>
          <w:lang w:val="fr-FR"/>
        </w:rPr>
        <w:t>’</w:t>
      </w:r>
      <w:r w:rsidRPr="00EE4C2A">
        <w:rPr>
          <w:lang w:val="fr-FR"/>
        </w:rPr>
        <w:t>énergie, l</w:t>
      </w:r>
      <w:r w:rsidR="008279BF">
        <w:rPr>
          <w:lang w:val="fr-FR"/>
        </w:rPr>
        <w:t>’</w:t>
      </w:r>
      <w:r w:rsidRPr="00EE4C2A">
        <w:rPr>
          <w:lang w:val="fr-FR"/>
        </w:rPr>
        <w:t>État partie encourage les initiatives durables telles que les énergies renouvelables, qui ont permis au pays de diversifier son bouquet énergétique. Sa dépendance à l</w:t>
      </w:r>
      <w:r w:rsidR="008279BF">
        <w:rPr>
          <w:lang w:val="fr-FR"/>
        </w:rPr>
        <w:t>’</w:t>
      </w:r>
      <w:r w:rsidRPr="00EE4C2A">
        <w:rPr>
          <w:lang w:val="fr-FR"/>
        </w:rPr>
        <w:t>hydroélectricité, qui était de 99 % en 2011, est ainsi passée à 80,6 % en 2019. Sa capacité de production d</w:t>
      </w:r>
      <w:r w:rsidR="008279BF">
        <w:rPr>
          <w:lang w:val="fr-FR"/>
        </w:rPr>
        <w:t>’</w:t>
      </w:r>
      <w:r w:rsidRPr="00EE4C2A">
        <w:rPr>
          <w:lang w:val="fr-FR"/>
        </w:rPr>
        <w:t>énergie solaire, actuellement de 90 mégawatts environ, représente 3 % de l</w:t>
      </w:r>
      <w:r w:rsidR="008279BF">
        <w:rPr>
          <w:lang w:val="fr-FR"/>
        </w:rPr>
        <w:t>’</w:t>
      </w:r>
      <w:r w:rsidRPr="00EE4C2A">
        <w:rPr>
          <w:lang w:val="fr-FR"/>
        </w:rPr>
        <w:t>énergie totale. L</w:t>
      </w:r>
      <w:r w:rsidR="008279BF">
        <w:rPr>
          <w:lang w:val="fr-FR"/>
        </w:rPr>
        <w:t>’</w:t>
      </w:r>
      <w:r w:rsidRPr="00EE4C2A">
        <w:rPr>
          <w:lang w:val="fr-FR"/>
        </w:rPr>
        <w:t>agriculture intelligente face au climat, les techniques de récupération de l</w:t>
      </w:r>
      <w:r w:rsidR="008279BF">
        <w:rPr>
          <w:lang w:val="fr-FR"/>
        </w:rPr>
        <w:t>’</w:t>
      </w:r>
      <w:r w:rsidRPr="00EE4C2A">
        <w:rPr>
          <w:lang w:val="fr-FR"/>
        </w:rPr>
        <w:t>eau et les infrastructures vertes font partie des mesures d</w:t>
      </w:r>
      <w:r w:rsidR="008279BF">
        <w:rPr>
          <w:lang w:val="fr-FR"/>
        </w:rPr>
        <w:t>’</w:t>
      </w:r>
      <w:r w:rsidRPr="00EE4C2A">
        <w:rPr>
          <w:lang w:val="fr-FR"/>
        </w:rPr>
        <w:t>adaptation aux changements climatiques.</w:t>
      </w:r>
    </w:p>
    <w:p w14:paraId="53BB8BE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24 c) de la liste de points établie </w:t>
      </w:r>
      <w:r>
        <w:rPr>
          <w:bCs/>
          <w:lang w:val="fr-FR"/>
        </w:rPr>
        <w:t xml:space="preserve">avant la soumission du rapport </w:t>
      </w:r>
    </w:p>
    <w:p w14:paraId="5CF3FBA8" w14:textId="0F51F8D7" w:rsidR="00046F46" w:rsidRPr="00EE4C2A" w:rsidRDefault="00046F46" w:rsidP="00046F46">
      <w:pPr>
        <w:pStyle w:val="SingleTxtG"/>
        <w:rPr>
          <w:lang w:val="fr-FR"/>
        </w:rPr>
      </w:pPr>
      <w:r w:rsidRPr="00EE4C2A">
        <w:rPr>
          <w:lang w:val="fr-FR"/>
        </w:rPr>
        <w:t>145.</w:t>
      </w:r>
      <w:r w:rsidRPr="00EE4C2A">
        <w:rPr>
          <w:lang w:val="fr-FR"/>
        </w:rPr>
        <w:tab/>
        <w:t>En ce qui concerne l</w:t>
      </w:r>
      <w:r w:rsidR="008279BF">
        <w:rPr>
          <w:lang w:val="fr-FR"/>
        </w:rPr>
        <w:t>’</w:t>
      </w:r>
      <w:r w:rsidRPr="00EE4C2A">
        <w:rPr>
          <w:lang w:val="fr-FR"/>
        </w:rPr>
        <w:t>information de la population sur les effets néfastes des changements climatiques, l</w:t>
      </w:r>
      <w:r w:rsidR="008279BF">
        <w:rPr>
          <w:lang w:val="fr-FR"/>
        </w:rPr>
        <w:t>’</w:t>
      </w:r>
      <w:r w:rsidRPr="00EE4C2A">
        <w:rPr>
          <w:lang w:val="fr-FR"/>
        </w:rPr>
        <w:t>État partie a mis en œuvre des activités de sensibilisation, guidées par la Stratégie nationale de communication et de sensibilisation sur les changements climatiques élaborée en</w:t>
      </w:r>
      <w:r w:rsidR="004E2FEA">
        <w:rPr>
          <w:lang w:val="fr-FR"/>
        </w:rPr>
        <w:t xml:space="preserve"> </w:t>
      </w:r>
      <w:r w:rsidRPr="00EE4C2A">
        <w:rPr>
          <w:lang w:val="fr-FR"/>
        </w:rPr>
        <w:t>2012. Compte tenu de l</w:t>
      </w:r>
      <w:r w:rsidR="008279BF">
        <w:rPr>
          <w:lang w:val="fr-FR"/>
        </w:rPr>
        <w:t>’</w:t>
      </w:r>
      <w:r w:rsidRPr="00EE4C2A">
        <w:rPr>
          <w:lang w:val="fr-FR"/>
        </w:rPr>
        <w:t>évolution de l</w:t>
      </w:r>
      <w:r w:rsidR="008279BF">
        <w:rPr>
          <w:lang w:val="fr-FR"/>
        </w:rPr>
        <w:t>’</w:t>
      </w:r>
      <w:r w:rsidRPr="00EE4C2A">
        <w:rPr>
          <w:lang w:val="fr-FR"/>
        </w:rPr>
        <w:t>environnement politique et institutionnel en matière de changements climatiques, l</w:t>
      </w:r>
      <w:r w:rsidR="008279BF">
        <w:rPr>
          <w:lang w:val="fr-FR"/>
        </w:rPr>
        <w:t>’</w:t>
      </w:r>
      <w:r w:rsidRPr="00EE4C2A">
        <w:rPr>
          <w:lang w:val="fr-FR"/>
        </w:rPr>
        <w:t>État partie révise actuellement sa stratégie de communication afin de répondre aux besoins d</w:t>
      </w:r>
      <w:r w:rsidR="008279BF">
        <w:rPr>
          <w:lang w:val="fr-FR"/>
        </w:rPr>
        <w:t>’</w:t>
      </w:r>
      <w:r w:rsidRPr="00EE4C2A">
        <w:rPr>
          <w:lang w:val="fr-FR"/>
        </w:rPr>
        <w:t>information des différents secteurs de la société, y compris des enfants.</w:t>
      </w:r>
    </w:p>
    <w:p w14:paraId="170A4E3A"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24 d) de la liste de points établie </w:t>
      </w:r>
      <w:r>
        <w:rPr>
          <w:bCs/>
          <w:lang w:val="fr-FR"/>
        </w:rPr>
        <w:t xml:space="preserve">avant la soumission du rapport </w:t>
      </w:r>
    </w:p>
    <w:p w14:paraId="0167B3A8" w14:textId="4B835C06" w:rsidR="00046F46" w:rsidRPr="00EE4C2A" w:rsidRDefault="00046F46" w:rsidP="00046F46">
      <w:pPr>
        <w:pStyle w:val="SingleTxtG"/>
        <w:rPr>
          <w:lang w:val="fr-FR"/>
        </w:rPr>
      </w:pPr>
      <w:r w:rsidRPr="00EE4C2A">
        <w:rPr>
          <w:lang w:val="fr-FR"/>
        </w:rPr>
        <w:t>146.</w:t>
      </w:r>
      <w:r w:rsidRPr="00EE4C2A">
        <w:rPr>
          <w:lang w:val="fr-FR"/>
        </w:rPr>
        <w:tab/>
        <w:t>S</w:t>
      </w:r>
      <w:r w:rsidR="008279BF">
        <w:rPr>
          <w:lang w:val="fr-FR"/>
        </w:rPr>
        <w:t>’</w:t>
      </w:r>
      <w:r w:rsidRPr="00EE4C2A">
        <w:rPr>
          <w:lang w:val="fr-FR"/>
        </w:rPr>
        <w:t>agissant de donner aux enfants les moyens de s</w:t>
      </w:r>
      <w:r w:rsidR="008279BF">
        <w:rPr>
          <w:lang w:val="fr-FR"/>
        </w:rPr>
        <w:t>’</w:t>
      </w:r>
      <w:r w:rsidRPr="00EE4C2A">
        <w:rPr>
          <w:lang w:val="fr-FR"/>
        </w:rPr>
        <w:t>adapter aux changements climatiques, l</w:t>
      </w:r>
      <w:r w:rsidR="008279BF">
        <w:rPr>
          <w:lang w:val="fr-FR"/>
        </w:rPr>
        <w:t>’</w:t>
      </w:r>
      <w:r w:rsidRPr="00EE4C2A">
        <w:rPr>
          <w:lang w:val="fr-FR"/>
        </w:rPr>
        <w:t>État partie, par l</w:t>
      </w:r>
      <w:r w:rsidR="008279BF">
        <w:rPr>
          <w:lang w:val="fr-FR"/>
        </w:rPr>
        <w:t>’</w:t>
      </w:r>
      <w:r w:rsidRPr="00EE4C2A">
        <w:rPr>
          <w:lang w:val="fr-FR"/>
        </w:rPr>
        <w:t>intermédiaire du Département des changements climatiques et de la gestion des ressources naturelles, a élaboré une Stratégie nationale d</w:t>
      </w:r>
      <w:r w:rsidR="008279BF">
        <w:rPr>
          <w:lang w:val="fr-FR"/>
        </w:rPr>
        <w:t>’</w:t>
      </w:r>
      <w:r w:rsidRPr="00EE4C2A">
        <w:rPr>
          <w:lang w:val="fr-FR"/>
        </w:rPr>
        <w:t>apprentissage sur les changements climatique</w:t>
      </w:r>
      <w:r w:rsidR="004E2FEA">
        <w:rPr>
          <w:lang w:val="fr-FR"/>
        </w:rPr>
        <w:t xml:space="preserve"> </w:t>
      </w:r>
      <w:r w:rsidRPr="00EE4C2A">
        <w:rPr>
          <w:lang w:val="fr-FR"/>
        </w:rPr>
        <w:t>(2020), qui vise à renforcer les compétences individuelles et les capacités institutionnelles face à ces changements. Son approche est adaptée au contexte local et comprend diverses initiatives, dont : l</w:t>
      </w:r>
      <w:r w:rsidR="008279BF">
        <w:rPr>
          <w:lang w:val="fr-FR"/>
        </w:rPr>
        <w:t>’</w:t>
      </w:r>
      <w:r w:rsidRPr="00EE4C2A">
        <w:rPr>
          <w:lang w:val="fr-FR"/>
        </w:rPr>
        <w:t>intégration des changements climatiques dans l</w:t>
      </w:r>
      <w:r w:rsidR="008279BF">
        <w:rPr>
          <w:lang w:val="fr-FR"/>
        </w:rPr>
        <w:t>’</w:t>
      </w:r>
      <w:r w:rsidRPr="00EE4C2A">
        <w:rPr>
          <w:lang w:val="fr-FR"/>
        </w:rPr>
        <w:t>ensemble des programmes scolaires</w:t>
      </w:r>
      <w:r w:rsidR="004E2FEA">
        <w:rPr>
          <w:lang w:val="fr-FR"/>
        </w:rPr>
        <w:t xml:space="preserve"> </w:t>
      </w:r>
      <w:r w:rsidRPr="00EE4C2A">
        <w:rPr>
          <w:lang w:val="fr-FR"/>
        </w:rPr>
        <w:t>(incorporation dans diverses matières à tous les niveaux) ; l</w:t>
      </w:r>
      <w:r w:rsidR="008279BF">
        <w:rPr>
          <w:lang w:val="fr-FR"/>
        </w:rPr>
        <w:t>’</w:t>
      </w:r>
      <w:r w:rsidRPr="00EE4C2A">
        <w:rPr>
          <w:lang w:val="fr-FR"/>
        </w:rPr>
        <w:t>utilisation de matériel pédagogique exclusivement consacré aux changements climatiques pour compléter les programmes existants dans certaines matières ; et l</w:t>
      </w:r>
      <w:r w:rsidR="008279BF">
        <w:rPr>
          <w:lang w:val="fr-FR"/>
        </w:rPr>
        <w:t>’</w:t>
      </w:r>
      <w:r w:rsidRPr="00EE4C2A">
        <w:rPr>
          <w:lang w:val="fr-FR"/>
        </w:rPr>
        <w:t>éducation aux changements climatiques dans le cadre d</w:t>
      </w:r>
      <w:r w:rsidR="008279BF">
        <w:rPr>
          <w:lang w:val="fr-FR"/>
        </w:rPr>
        <w:t>’</w:t>
      </w:r>
      <w:r w:rsidRPr="00EE4C2A">
        <w:rPr>
          <w:lang w:val="fr-FR"/>
        </w:rPr>
        <w:t xml:space="preserve">activités extrascolaires. Les activités </w:t>
      </w:r>
      <w:r w:rsidRPr="00EE4C2A">
        <w:rPr>
          <w:lang w:val="fr-FR"/>
        </w:rPr>
        <w:lastRenderedPageBreak/>
        <w:t>éducatives, tant au sein de l</w:t>
      </w:r>
      <w:r w:rsidR="008279BF">
        <w:rPr>
          <w:lang w:val="fr-FR"/>
        </w:rPr>
        <w:t>’</w:t>
      </w:r>
      <w:r w:rsidRPr="00EE4C2A">
        <w:rPr>
          <w:lang w:val="fr-FR"/>
        </w:rPr>
        <w:t>école que de la communauté au sens large, constituent la pierre angulaire de cette approche collective.</w:t>
      </w:r>
    </w:p>
    <w:p w14:paraId="0263EA6F" w14:textId="1A237A1C" w:rsidR="00046F46" w:rsidRPr="00EE4C2A" w:rsidRDefault="00046F46" w:rsidP="00046F46">
      <w:pPr>
        <w:pStyle w:val="SingleTxtG"/>
        <w:rPr>
          <w:lang w:val="fr-FR"/>
        </w:rPr>
      </w:pPr>
      <w:r w:rsidRPr="00EE4C2A">
        <w:rPr>
          <w:lang w:val="fr-FR"/>
        </w:rPr>
        <w:t>147.</w:t>
      </w:r>
      <w:r w:rsidRPr="00EE4C2A">
        <w:rPr>
          <w:lang w:val="fr-FR"/>
        </w:rPr>
        <w:tab/>
        <w:t>Les programmes scolaires ont été révisés pour inclure les questions relatives aux changements climatiques. Cela permet aux enfants de se familiariser avec la protection de l</w:t>
      </w:r>
      <w:r w:rsidR="008279BF">
        <w:rPr>
          <w:lang w:val="fr-FR"/>
        </w:rPr>
        <w:t>’</w:t>
      </w:r>
      <w:r w:rsidRPr="00EE4C2A">
        <w:rPr>
          <w:lang w:val="fr-FR"/>
        </w:rPr>
        <w:t>environnement et le développement durable. Les enfants à l</w:t>
      </w:r>
      <w:r w:rsidR="008279BF">
        <w:rPr>
          <w:lang w:val="fr-FR"/>
        </w:rPr>
        <w:t>’</w:t>
      </w:r>
      <w:r w:rsidRPr="00EE4C2A">
        <w:rPr>
          <w:lang w:val="fr-FR"/>
        </w:rPr>
        <w:t>école ou dans d</w:t>
      </w:r>
      <w:r w:rsidR="008279BF">
        <w:rPr>
          <w:lang w:val="fr-FR"/>
        </w:rPr>
        <w:t>’</w:t>
      </w:r>
      <w:r w:rsidRPr="00EE4C2A">
        <w:rPr>
          <w:lang w:val="fr-FR"/>
        </w:rPr>
        <w:t>autres contextes sont incités à proposer des projets écologiquement durables. Cela se fait par le biais d</w:t>
      </w:r>
      <w:r w:rsidR="008279BF">
        <w:rPr>
          <w:lang w:val="fr-FR"/>
        </w:rPr>
        <w:t>’</w:t>
      </w:r>
      <w:r w:rsidRPr="00EE4C2A">
        <w:rPr>
          <w:lang w:val="fr-FR"/>
        </w:rPr>
        <w:t>un concours interécoles dont le but est d</w:t>
      </w:r>
      <w:r w:rsidR="008279BF">
        <w:rPr>
          <w:lang w:val="fr-FR"/>
        </w:rPr>
        <w:t>’</w:t>
      </w:r>
      <w:r w:rsidRPr="00EE4C2A">
        <w:rPr>
          <w:lang w:val="fr-FR"/>
        </w:rPr>
        <w:t>intégrer la gestion de l</w:t>
      </w:r>
      <w:r w:rsidR="008279BF">
        <w:rPr>
          <w:lang w:val="fr-FR"/>
        </w:rPr>
        <w:t>’</w:t>
      </w:r>
      <w:r w:rsidRPr="00EE4C2A">
        <w:rPr>
          <w:lang w:val="fr-FR"/>
        </w:rPr>
        <w:t>environnement dans le système éducatif. La mise en œuvre de cette stratégie impliquera de transmettre des informations, connaissances et compétences liées aux changements climatiques à tous les élèves des différents niveaux d</w:t>
      </w:r>
      <w:r w:rsidR="008279BF">
        <w:rPr>
          <w:lang w:val="fr-FR"/>
        </w:rPr>
        <w:t>’</w:t>
      </w:r>
      <w:r w:rsidRPr="00EE4C2A">
        <w:rPr>
          <w:lang w:val="fr-FR"/>
        </w:rPr>
        <w:t>enseignement.</w:t>
      </w:r>
    </w:p>
    <w:p w14:paraId="4E2552DB" w14:textId="77777777" w:rsidR="00046F46" w:rsidRPr="00EE4C2A" w:rsidRDefault="00046F46" w:rsidP="00046F46">
      <w:pPr>
        <w:pStyle w:val="H1G"/>
        <w:rPr>
          <w:lang w:val="fr-FR"/>
        </w:rPr>
      </w:pPr>
      <w:bookmarkStart w:id="37" w:name="_Toc63937989"/>
      <w:r w:rsidRPr="00EE4C2A">
        <w:rPr>
          <w:bCs/>
          <w:lang w:val="fr-FR"/>
        </w:rPr>
        <w:tab/>
        <w:t>H.</w:t>
      </w:r>
      <w:r w:rsidRPr="00EE4C2A">
        <w:rPr>
          <w:lang w:val="fr-FR"/>
        </w:rPr>
        <w:tab/>
      </w:r>
      <w:r w:rsidRPr="00EE4C2A">
        <w:rPr>
          <w:bCs/>
          <w:lang w:val="fr-FR"/>
        </w:rPr>
        <w:t>Éducation, loisirs et activités culturelles (art. 28 à 31)</w:t>
      </w:r>
      <w:bookmarkEnd w:id="37"/>
    </w:p>
    <w:p w14:paraId="08E8792F" w14:textId="77777777" w:rsidR="00046F46" w:rsidRPr="00EE4C2A" w:rsidRDefault="00046F46" w:rsidP="00046F46">
      <w:pPr>
        <w:pStyle w:val="H1G"/>
        <w:rPr>
          <w:lang w:val="fr-FR"/>
        </w:rPr>
      </w:pPr>
      <w:bookmarkStart w:id="38" w:name="_Toc63937990"/>
      <w:r w:rsidRPr="00EE4C2A">
        <w:rPr>
          <w:lang w:val="fr-FR"/>
        </w:rPr>
        <w:tab/>
      </w:r>
      <w:r w:rsidRPr="00EE4C2A">
        <w:rPr>
          <w:lang w:val="fr-FR"/>
        </w:rPr>
        <w:tab/>
      </w:r>
      <w:r w:rsidRPr="00EE4C2A">
        <w:rPr>
          <w:bCs/>
          <w:lang w:val="fr-FR"/>
        </w:rPr>
        <w:t>Éducation</w:t>
      </w:r>
      <w:bookmarkEnd w:id="38"/>
    </w:p>
    <w:p w14:paraId="597DAE3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25 a) de la liste de points établie </w:t>
      </w:r>
      <w:r>
        <w:rPr>
          <w:bCs/>
          <w:lang w:val="fr-FR"/>
        </w:rPr>
        <w:t xml:space="preserve">avant la soumission du rapport </w:t>
      </w:r>
    </w:p>
    <w:p w14:paraId="4591E314" w14:textId="5CB689D9" w:rsidR="00046F46" w:rsidRPr="00EE4C2A" w:rsidRDefault="00046F46" w:rsidP="00046F46">
      <w:pPr>
        <w:pStyle w:val="SingleTxtG"/>
        <w:rPr>
          <w:lang w:val="fr-FR"/>
        </w:rPr>
      </w:pPr>
      <w:r w:rsidRPr="00EE4C2A">
        <w:rPr>
          <w:lang w:val="fr-FR"/>
        </w:rPr>
        <w:t>148.</w:t>
      </w:r>
      <w:r w:rsidRPr="00EE4C2A">
        <w:rPr>
          <w:lang w:val="fr-FR"/>
        </w:rPr>
        <w:tab/>
        <w:t>Pour favoriser l</w:t>
      </w:r>
      <w:r w:rsidR="008279BF">
        <w:rPr>
          <w:lang w:val="fr-FR"/>
        </w:rPr>
        <w:t>’</w:t>
      </w:r>
      <w:r w:rsidRPr="00EE4C2A">
        <w:rPr>
          <w:lang w:val="fr-FR"/>
        </w:rPr>
        <w:t>accès et l</w:t>
      </w:r>
      <w:r w:rsidR="008279BF">
        <w:rPr>
          <w:lang w:val="fr-FR"/>
        </w:rPr>
        <w:t>’</w:t>
      </w:r>
      <w:r w:rsidRPr="00EE4C2A">
        <w:rPr>
          <w:lang w:val="fr-FR"/>
        </w:rPr>
        <w:t>inscription aux services d</w:t>
      </w:r>
      <w:r w:rsidR="008279BF">
        <w:rPr>
          <w:lang w:val="fr-FR"/>
        </w:rPr>
        <w:t>’</w:t>
      </w:r>
      <w:r w:rsidRPr="00EE4C2A">
        <w:rPr>
          <w:lang w:val="fr-FR"/>
        </w:rPr>
        <w:t>accueil et d</w:t>
      </w:r>
      <w:r w:rsidR="008279BF">
        <w:rPr>
          <w:lang w:val="fr-FR"/>
        </w:rPr>
        <w:t>’</w:t>
      </w:r>
      <w:r w:rsidRPr="00EE4C2A">
        <w:rPr>
          <w:lang w:val="fr-FR"/>
        </w:rPr>
        <w:t>éducation de la petite enfance, l</w:t>
      </w:r>
      <w:r w:rsidR="008279BF">
        <w:rPr>
          <w:lang w:val="fr-FR"/>
        </w:rPr>
        <w:t>’</w:t>
      </w:r>
      <w:r w:rsidRPr="00EE4C2A">
        <w:rPr>
          <w:lang w:val="fr-FR"/>
        </w:rPr>
        <w:t>État partie a créé, dans toutes les provinces, 493 centres satellites à faible coût fondés sur le modèle communautaire et sur un système de pôles supervisant un certain nombre de centres satellites d</w:t>
      </w:r>
      <w:r w:rsidR="008279BF">
        <w:rPr>
          <w:lang w:val="fr-FR"/>
        </w:rPr>
        <w:t>’</w:t>
      </w:r>
      <w:r w:rsidRPr="00EE4C2A">
        <w:rPr>
          <w:lang w:val="fr-FR"/>
        </w:rPr>
        <w:t>accueil et d</w:t>
      </w:r>
      <w:r w:rsidR="008279BF">
        <w:rPr>
          <w:lang w:val="fr-FR"/>
        </w:rPr>
        <w:t>’</w:t>
      </w:r>
      <w:r w:rsidRPr="00EE4C2A">
        <w:rPr>
          <w:lang w:val="fr-FR"/>
        </w:rPr>
        <w:t>éducation de la petite enfance. Cela concerne principalement les communautés rurales et difficiles à atteindre. Ce modèle peu coûteux a amélioré l</w:t>
      </w:r>
      <w:r w:rsidR="008279BF">
        <w:rPr>
          <w:lang w:val="fr-FR"/>
        </w:rPr>
        <w:t>’</w:t>
      </w:r>
      <w:r w:rsidRPr="00EE4C2A">
        <w:rPr>
          <w:lang w:val="fr-FR"/>
        </w:rPr>
        <w:t>accès des enfants à l</w:t>
      </w:r>
      <w:r w:rsidR="008279BF">
        <w:rPr>
          <w:lang w:val="fr-FR"/>
        </w:rPr>
        <w:t>’</w:t>
      </w:r>
      <w:r w:rsidRPr="00EE4C2A">
        <w:rPr>
          <w:lang w:val="fr-FR"/>
        </w:rPr>
        <w:t>enseignement préprimaire. Le personnel des services d</w:t>
      </w:r>
      <w:r w:rsidR="008279BF">
        <w:rPr>
          <w:lang w:val="fr-FR"/>
        </w:rPr>
        <w:t>’</w:t>
      </w:r>
      <w:r w:rsidRPr="00EE4C2A">
        <w:rPr>
          <w:lang w:val="fr-FR"/>
        </w:rPr>
        <w:t>accueil et d</w:t>
      </w:r>
      <w:r w:rsidR="008279BF">
        <w:rPr>
          <w:lang w:val="fr-FR"/>
        </w:rPr>
        <w:t>’</w:t>
      </w:r>
      <w:r w:rsidRPr="00EE4C2A">
        <w:rPr>
          <w:lang w:val="fr-FR"/>
        </w:rPr>
        <w:t>éducation de la petite enfance est formé à l</w:t>
      </w:r>
      <w:r w:rsidR="008279BF">
        <w:rPr>
          <w:lang w:val="fr-FR"/>
        </w:rPr>
        <w:t>’</w:t>
      </w:r>
      <w:r w:rsidRPr="00EE4C2A">
        <w:rPr>
          <w:lang w:val="fr-FR"/>
        </w:rPr>
        <w:t>utilisation des matériaux locaux dans le cadre des activités de ces services.</w:t>
      </w:r>
    </w:p>
    <w:p w14:paraId="08C1415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25 b) de la liste de points établie </w:t>
      </w:r>
      <w:r>
        <w:rPr>
          <w:bCs/>
          <w:lang w:val="fr-FR"/>
        </w:rPr>
        <w:t xml:space="preserve">avant la soumission du rapport </w:t>
      </w:r>
    </w:p>
    <w:p w14:paraId="78F4A6F4" w14:textId="5A845521" w:rsidR="00046F46" w:rsidRPr="00EE4C2A" w:rsidRDefault="00046F46" w:rsidP="00046F46">
      <w:pPr>
        <w:pStyle w:val="SingleTxtG"/>
        <w:rPr>
          <w:lang w:val="fr-FR"/>
        </w:rPr>
      </w:pPr>
      <w:r w:rsidRPr="00EE4C2A">
        <w:rPr>
          <w:lang w:val="fr-FR"/>
        </w:rPr>
        <w:t>149.</w:t>
      </w:r>
      <w:r w:rsidRPr="00EE4C2A">
        <w:rPr>
          <w:lang w:val="fr-FR"/>
        </w:rPr>
        <w:tab/>
        <w:t>En ce qui concerne la gratuité de l</w:t>
      </w:r>
      <w:r w:rsidR="008279BF">
        <w:rPr>
          <w:lang w:val="fr-FR"/>
        </w:rPr>
        <w:t>’</w:t>
      </w:r>
      <w:r w:rsidRPr="00EE4C2A">
        <w:rPr>
          <w:lang w:val="fr-FR"/>
        </w:rPr>
        <w:t>enseignement primaire et secondaire, la politique d</w:t>
      </w:r>
      <w:r w:rsidR="008279BF">
        <w:rPr>
          <w:lang w:val="fr-FR"/>
        </w:rPr>
        <w:t>’</w:t>
      </w:r>
      <w:r w:rsidRPr="00EE4C2A">
        <w:rPr>
          <w:lang w:val="fr-FR"/>
        </w:rPr>
        <w:t>enseignement primaire gratuit, adoptée en 2002, est toujours en vigueur. En outre, toutes les écoles primaires qui souhaitent entreprendre des projets en partenariat avec les communautés doivent présenter une demande d</w:t>
      </w:r>
      <w:r w:rsidR="008279BF">
        <w:rPr>
          <w:lang w:val="fr-FR"/>
        </w:rPr>
        <w:t>’</w:t>
      </w:r>
      <w:r w:rsidRPr="00EE4C2A">
        <w:rPr>
          <w:lang w:val="fr-FR"/>
        </w:rPr>
        <w:t>autorisation auprès de l</w:t>
      </w:r>
      <w:r w:rsidR="008279BF">
        <w:rPr>
          <w:lang w:val="fr-FR"/>
        </w:rPr>
        <w:t>’</w:t>
      </w:r>
      <w:r w:rsidRPr="00EE4C2A">
        <w:rPr>
          <w:lang w:val="fr-FR"/>
        </w:rPr>
        <w:t>autorité de tutelle afin d</w:t>
      </w:r>
      <w:r w:rsidR="008279BF">
        <w:rPr>
          <w:lang w:val="fr-FR"/>
        </w:rPr>
        <w:t>’</w:t>
      </w:r>
      <w:r w:rsidRPr="00EE4C2A">
        <w:rPr>
          <w:lang w:val="fr-FR"/>
        </w:rPr>
        <w:t>éviter des frais inutiles pour les élèves. L</w:t>
      </w:r>
      <w:r w:rsidR="008279BF">
        <w:rPr>
          <w:lang w:val="fr-FR"/>
        </w:rPr>
        <w:t>’</w:t>
      </w:r>
      <w:r w:rsidRPr="00EE4C2A">
        <w:rPr>
          <w:lang w:val="fr-FR"/>
        </w:rPr>
        <w:t>enseignement secondaire est dispensé sur la base d</w:t>
      </w:r>
      <w:r w:rsidR="008279BF">
        <w:rPr>
          <w:lang w:val="fr-FR"/>
        </w:rPr>
        <w:t>’</w:t>
      </w:r>
      <w:r w:rsidRPr="00EE4C2A">
        <w:rPr>
          <w:lang w:val="fr-FR"/>
        </w:rPr>
        <w:t>une participation aux frais. Le comité souhaitera sans doute noter que l</w:t>
      </w:r>
      <w:r w:rsidR="008279BF">
        <w:rPr>
          <w:lang w:val="fr-FR"/>
        </w:rPr>
        <w:t>’</w:t>
      </w:r>
      <w:r w:rsidRPr="00EE4C2A">
        <w:rPr>
          <w:lang w:val="fr-FR"/>
        </w:rPr>
        <w:t>État partie a continué de réduire autant que possible le coût de l</w:t>
      </w:r>
      <w:r w:rsidR="008279BF">
        <w:rPr>
          <w:lang w:val="fr-FR"/>
        </w:rPr>
        <w:t>’</w:t>
      </w:r>
      <w:r w:rsidRPr="00EE4C2A">
        <w:rPr>
          <w:lang w:val="fr-FR"/>
        </w:rPr>
        <w:t>éducation pour les parents et représentants légaux, comme en témoigne la publication, en janvier 2019, d</w:t>
      </w:r>
      <w:r w:rsidR="008279BF">
        <w:rPr>
          <w:lang w:val="fr-FR"/>
        </w:rPr>
        <w:t>’</w:t>
      </w:r>
      <w:r w:rsidRPr="00EE4C2A">
        <w:rPr>
          <w:lang w:val="fr-FR"/>
        </w:rPr>
        <w:t>une circulaire sur les frais de scolarité dans les écoles publiques et subventionnées qui fournit des lignes directrices sur les frais standards pouvant être imposés par tous les établissements publics et subventionnés.</w:t>
      </w:r>
    </w:p>
    <w:p w14:paraId="5CB5E49C"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25 c) de la liste de points établie </w:t>
      </w:r>
      <w:r>
        <w:rPr>
          <w:bCs/>
          <w:lang w:val="fr-FR"/>
        </w:rPr>
        <w:t xml:space="preserve">avant la soumission du rapport </w:t>
      </w:r>
    </w:p>
    <w:p w14:paraId="49102C2F" w14:textId="6538D284" w:rsidR="00046F46" w:rsidRPr="00EE4C2A" w:rsidRDefault="00046F46" w:rsidP="00046F46">
      <w:pPr>
        <w:pStyle w:val="SingleTxtG"/>
        <w:rPr>
          <w:lang w:val="fr-FR"/>
        </w:rPr>
      </w:pPr>
      <w:r w:rsidRPr="00EE4C2A">
        <w:rPr>
          <w:lang w:val="fr-FR"/>
        </w:rPr>
        <w:t>150.</w:t>
      </w:r>
      <w:r w:rsidRPr="00EE4C2A">
        <w:rPr>
          <w:lang w:val="fr-FR"/>
        </w:rPr>
        <w:tab/>
        <w:t>En ce qui concerne la prévention de l</w:t>
      </w:r>
      <w:r w:rsidR="008279BF">
        <w:rPr>
          <w:lang w:val="fr-FR"/>
        </w:rPr>
        <w:t>’</w:t>
      </w:r>
      <w:r w:rsidRPr="00EE4C2A">
        <w:rPr>
          <w:lang w:val="fr-FR"/>
        </w:rPr>
        <w:t>abandon scolaire précoce, l</w:t>
      </w:r>
      <w:r w:rsidR="008279BF">
        <w:rPr>
          <w:lang w:val="fr-FR"/>
        </w:rPr>
        <w:t>’</w:t>
      </w:r>
      <w:r w:rsidRPr="00EE4C2A">
        <w:rPr>
          <w:lang w:val="fr-FR"/>
        </w:rPr>
        <w:t>État partie a entrepris de réviser sa Politique de rescolarisation en 2010, afin de la clarifier. Davantage de filles ont ainsi pu profiter de cette politique pour retourner à l</w:t>
      </w:r>
      <w:r w:rsidR="008279BF">
        <w:rPr>
          <w:lang w:val="fr-FR"/>
        </w:rPr>
        <w:t>’</w:t>
      </w:r>
      <w:r w:rsidRPr="00EE4C2A">
        <w:rPr>
          <w:lang w:val="fr-FR"/>
        </w:rPr>
        <w:t>école. Cette politique a également été importante pour combattre le</w:t>
      </w:r>
      <w:r>
        <w:rPr>
          <w:lang w:val="fr-FR"/>
        </w:rPr>
        <w:t>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 Par exemple, en 2019, 11 502 grossesses ont été enregistrées dans l</w:t>
      </w:r>
      <w:r w:rsidR="008279BF">
        <w:rPr>
          <w:lang w:val="fr-FR"/>
        </w:rPr>
        <w:t>’</w:t>
      </w:r>
      <w:r w:rsidRPr="00EE4C2A">
        <w:rPr>
          <w:lang w:val="fr-FR"/>
        </w:rPr>
        <w:t>enseignement primaire, et</w:t>
      </w:r>
      <w:r w:rsidR="004E2FEA">
        <w:rPr>
          <w:lang w:val="fr-FR"/>
        </w:rPr>
        <w:t xml:space="preserve"> </w:t>
      </w:r>
      <w:r w:rsidRPr="00EE4C2A">
        <w:rPr>
          <w:lang w:val="fr-FR"/>
        </w:rPr>
        <w:t>5 669 jeunes mères ont pu reprendre leur scolarité ; dans le secondaire, 4 222 grossesses ont été enregistrées et 3 158 jeunes mères ont été rescolarisées. De plus, l</w:t>
      </w:r>
      <w:r w:rsidR="008279BF">
        <w:rPr>
          <w:lang w:val="fr-FR"/>
        </w:rPr>
        <w:t>’</w:t>
      </w:r>
      <w:r w:rsidRPr="00EE4C2A">
        <w:rPr>
          <w:lang w:val="fr-FR"/>
        </w:rPr>
        <w:t>État partie a lancé en</w:t>
      </w:r>
      <w:r w:rsidR="004E2FEA">
        <w:rPr>
          <w:lang w:val="fr-FR"/>
        </w:rPr>
        <w:t xml:space="preserve"> </w:t>
      </w:r>
      <w:r w:rsidRPr="00EE4C2A">
        <w:rPr>
          <w:lang w:val="fr-FR"/>
        </w:rPr>
        <w:t>2016 le programme</w:t>
      </w:r>
      <w:r w:rsidR="004E2FEA">
        <w:rPr>
          <w:lang w:val="fr-FR"/>
        </w:rPr>
        <w:t xml:space="preserve"> </w:t>
      </w:r>
      <w:r w:rsidRPr="00EE4C2A">
        <w:rPr>
          <w:lang w:val="fr-FR"/>
        </w:rPr>
        <w:t>Maintenir les filles à l</w:t>
      </w:r>
      <w:r w:rsidR="008279BF">
        <w:rPr>
          <w:lang w:val="fr-FR"/>
        </w:rPr>
        <w:t>’</w:t>
      </w:r>
      <w:r w:rsidRPr="00EE4C2A">
        <w:rPr>
          <w:lang w:val="fr-FR"/>
        </w:rPr>
        <w:t>école</w:t>
      </w:r>
      <w:r w:rsidR="004E2FEA">
        <w:rPr>
          <w:lang w:val="fr-FR"/>
        </w:rPr>
        <w:t xml:space="preserve"> </w:t>
      </w:r>
      <w:r w:rsidRPr="00EE4C2A">
        <w:rPr>
          <w:lang w:val="fr-FR"/>
        </w:rPr>
        <w:t>(KGS), qui vise à aider les filles à poursuivre leur scolarité grâce à l</w:t>
      </w:r>
      <w:r w:rsidR="008279BF">
        <w:rPr>
          <w:lang w:val="fr-FR"/>
        </w:rPr>
        <w:t>’</w:t>
      </w:r>
      <w:r w:rsidRPr="00EE4C2A">
        <w:rPr>
          <w:lang w:val="fr-FR"/>
        </w:rPr>
        <w:t>octroi de bourses d</w:t>
      </w:r>
      <w:r w:rsidR="008279BF">
        <w:rPr>
          <w:lang w:val="fr-FR"/>
        </w:rPr>
        <w:t>’</w:t>
      </w:r>
      <w:r w:rsidRPr="00EE4C2A">
        <w:rPr>
          <w:lang w:val="fr-FR"/>
        </w:rPr>
        <w:t>études. Cela permet de retarder le mariage et, à long terme, de contribuer à l</w:t>
      </w:r>
      <w:r w:rsidR="008279BF">
        <w:rPr>
          <w:lang w:val="fr-FR"/>
        </w:rPr>
        <w:t>’</w:t>
      </w:r>
      <w:r w:rsidRPr="00EE4C2A">
        <w:rPr>
          <w:lang w:val="fr-FR"/>
        </w:rPr>
        <w:t>éradication d</w:t>
      </w:r>
      <w:r>
        <w:rPr>
          <w:lang w:val="fr-FR"/>
        </w:rPr>
        <w:t>es</w:t>
      </w:r>
      <w:r w:rsidRPr="00EE4C2A">
        <w:rPr>
          <w:lang w:val="fr-FR"/>
        </w:rPr>
        <w:t xml:space="preserve"> mariage</w:t>
      </w:r>
      <w:r>
        <w:rPr>
          <w:lang w:val="fr-FR"/>
        </w:rPr>
        <w:t>s</w:t>
      </w:r>
      <w:r w:rsidRPr="00EE4C2A">
        <w:rPr>
          <w:lang w:val="fr-FR"/>
        </w:rPr>
        <w:t xml:space="preserve"> d</w:t>
      </w:r>
      <w:r w:rsidR="008279BF">
        <w:rPr>
          <w:lang w:val="fr-FR"/>
        </w:rPr>
        <w:t>’</w:t>
      </w:r>
      <w:r w:rsidRPr="00EE4C2A">
        <w:rPr>
          <w:lang w:val="fr-FR"/>
        </w:rPr>
        <w:t>enfants.</w:t>
      </w:r>
    </w:p>
    <w:p w14:paraId="0C7BD60D" w14:textId="72135FC6" w:rsidR="00046F46" w:rsidRPr="00EE4C2A" w:rsidRDefault="00046F46" w:rsidP="00046F46">
      <w:pPr>
        <w:pStyle w:val="SingleTxtG"/>
        <w:rPr>
          <w:lang w:val="fr-FR"/>
        </w:rPr>
      </w:pPr>
      <w:r w:rsidRPr="00EE4C2A">
        <w:rPr>
          <w:lang w:val="fr-FR"/>
        </w:rPr>
        <w:t>151.</w:t>
      </w:r>
      <w:r w:rsidRPr="00EE4C2A">
        <w:rPr>
          <w:lang w:val="fr-FR"/>
        </w:rPr>
        <w:tab/>
        <w:t>Pour améliorer la fréquentation scolaire et la nutrition des élèves des écoles préprimaires et primaires, l</w:t>
      </w:r>
      <w:r w:rsidR="008279BF">
        <w:rPr>
          <w:lang w:val="fr-FR"/>
        </w:rPr>
        <w:t>’</w:t>
      </w:r>
      <w:r w:rsidRPr="00EE4C2A">
        <w:rPr>
          <w:lang w:val="fr-FR"/>
        </w:rPr>
        <w:t>État partie a continué de financer, dans l</w:t>
      </w:r>
      <w:r w:rsidR="008279BF">
        <w:rPr>
          <w:lang w:val="fr-FR"/>
        </w:rPr>
        <w:t>’</w:t>
      </w:r>
      <w:r w:rsidRPr="00EE4C2A">
        <w:rPr>
          <w:lang w:val="fr-FR"/>
        </w:rPr>
        <w:t>ensemble des provinces et des districts, le Programme d</w:t>
      </w:r>
      <w:r w:rsidR="008279BF">
        <w:rPr>
          <w:lang w:val="fr-FR"/>
        </w:rPr>
        <w:t>’</w:t>
      </w:r>
      <w:r w:rsidRPr="00EE4C2A">
        <w:rPr>
          <w:lang w:val="fr-FR"/>
        </w:rPr>
        <w:t>horticulture vivrière locale pour les repas scolaires</w:t>
      </w:r>
      <w:r w:rsidR="004E2FEA">
        <w:rPr>
          <w:lang w:val="fr-FR"/>
        </w:rPr>
        <w:t xml:space="preserve"> </w:t>
      </w:r>
      <w:r w:rsidRPr="00EE4C2A">
        <w:rPr>
          <w:lang w:val="fr-FR"/>
        </w:rPr>
        <w:t>(HGSFP). Ce programme, géré avec l</w:t>
      </w:r>
      <w:r w:rsidR="008279BF">
        <w:rPr>
          <w:lang w:val="fr-FR"/>
        </w:rPr>
        <w:t>’</w:t>
      </w:r>
      <w:r w:rsidRPr="00EE4C2A">
        <w:rPr>
          <w:lang w:val="fr-FR"/>
        </w:rPr>
        <w:t>appui technique du Programme alimentaire mondial</w:t>
      </w:r>
      <w:r w:rsidR="004E2FEA">
        <w:rPr>
          <w:lang w:val="fr-FR"/>
        </w:rPr>
        <w:t xml:space="preserve"> </w:t>
      </w:r>
      <w:r w:rsidRPr="00EE4C2A">
        <w:rPr>
          <w:lang w:val="fr-FR"/>
        </w:rPr>
        <w:t xml:space="preserve">(PAM), est </w:t>
      </w:r>
      <w:r w:rsidRPr="00EE4C2A">
        <w:rPr>
          <w:lang w:val="fr-FR"/>
        </w:rPr>
        <w:lastRenderedPageBreak/>
        <w:t>mis en œuvre dans 66 districts et bénéficie à</w:t>
      </w:r>
      <w:r w:rsidR="004E2FEA">
        <w:rPr>
          <w:lang w:val="fr-FR"/>
        </w:rPr>
        <w:t xml:space="preserve"> </w:t>
      </w:r>
      <w:r w:rsidRPr="00EE4C2A">
        <w:rPr>
          <w:lang w:val="fr-FR"/>
        </w:rPr>
        <w:t>1 948 130 élèves. Un partenariat a également été noué avec l</w:t>
      </w:r>
      <w:r w:rsidR="008279BF">
        <w:rPr>
          <w:lang w:val="fr-FR"/>
        </w:rPr>
        <w:t>’</w:t>
      </w:r>
      <w:r w:rsidRPr="00EE4C2A">
        <w:rPr>
          <w:lang w:val="fr-FR"/>
        </w:rPr>
        <w:t>organisation non gouvernementale internationale</w:t>
      </w:r>
      <w:r w:rsidR="004E2FEA">
        <w:rPr>
          <w:lang w:val="fr-FR"/>
        </w:rPr>
        <w:t xml:space="preserve"> </w:t>
      </w:r>
      <w:r w:rsidRPr="00EE4C2A">
        <w:rPr>
          <w:lang w:val="fr-FR"/>
        </w:rPr>
        <w:t>Mary</w:t>
      </w:r>
      <w:r w:rsidR="008279BF">
        <w:rPr>
          <w:lang w:val="fr-FR"/>
        </w:rPr>
        <w:t>’</w:t>
      </w:r>
      <w:r w:rsidRPr="00EE4C2A">
        <w:rPr>
          <w:lang w:val="fr-FR"/>
        </w:rPr>
        <w:t>s Meals, qui permet de nourrir environ 248 914 élèves dans sept districts de la province orientale. Par ailleurs, pour veiller à la valeur nutritionnelle des repas et à la bonne santé des élèves, toutes les écoles pratiquent le jardinage et la production agricole.</w:t>
      </w:r>
    </w:p>
    <w:p w14:paraId="05CF7570" w14:textId="2977F4A2" w:rsidR="00046F46" w:rsidRPr="00EE4C2A" w:rsidRDefault="00046F46" w:rsidP="00046F46">
      <w:pPr>
        <w:pStyle w:val="SingleTxtG"/>
        <w:rPr>
          <w:lang w:val="fr-FR"/>
        </w:rPr>
      </w:pPr>
      <w:r w:rsidRPr="00EE4C2A">
        <w:rPr>
          <w:lang w:val="fr-FR"/>
        </w:rPr>
        <w:t>152.</w:t>
      </w:r>
      <w:r w:rsidRPr="00EE4C2A">
        <w:rPr>
          <w:lang w:val="fr-FR"/>
        </w:rPr>
        <w:tab/>
        <w:t>Les enseignants-conseillers d</w:t>
      </w:r>
      <w:r w:rsidR="008279BF">
        <w:rPr>
          <w:lang w:val="fr-FR"/>
        </w:rPr>
        <w:t>’</w:t>
      </w:r>
      <w:r w:rsidRPr="00EE4C2A">
        <w:rPr>
          <w:lang w:val="fr-FR"/>
        </w:rPr>
        <w:t>orientation mettent en œuvre le Programme d</w:t>
      </w:r>
      <w:r w:rsidR="008279BF">
        <w:rPr>
          <w:lang w:val="fr-FR"/>
        </w:rPr>
        <w:t>’</w:t>
      </w:r>
      <w:r w:rsidRPr="00EE4C2A">
        <w:rPr>
          <w:lang w:val="fr-FR"/>
        </w:rPr>
        <w:t>orientation et de conseils dans les écoles pour guider l</w:t>
      </w:r>
      <w:r w:rsidR="008279BF">
        <w:rPr>
          <w:lang w:val="fr-FR"/>
        </w:rPr>
        <w:t>’</w:t>
      </w:r>
      <w:r w:rsidRPr="00EE4C2A">
        <w:rPr>
          <w:lang w:val="fr-FR"/>
        </w:rPr>
        <w:t>épanouissement scolaire, comportemental et social des élèves. Les enseignants apportent un soutien psychologique aux élèves marginalisés, dont ceux ayant des besoins éducatifs particuliers ou présentant un handicap, en veillant à ce que ces élèves ne fassent pas l</w:t>
      </w:r>
      <w:r w:rsidR="008279BF">
        <w:rPr>
          <w:lang w:val="fr-FR"/>
        </w:rPr>
        <w:t>’</w:t>
      </w:r>
      <w:r w:rsidRPr="00EE4C2A">
        <w:rPr>
          <w:lang w:val="fr-FR"/>
        </w:rPr>
        <w:t>objet de stigmatisation ou de discrimination. Les enseignants aident également les élèves à faire face aux problématiques émergentes et contemporaines telles que la violence fondée sur le genre, les difficultés de rescolarisation et l</w:t>
      </w:r>
      <w:r w:rsidR="008279BF">
        <w:rPr>
          <w:lang w:val="fr-FR"/>
        </w:rPr>
        <w:t>’</w:t>
      </w:r>
      <w:r w:rsidRPr="00EE4C2A">
        <w:rPr>
          <w:lang w:val="fr-FR"/>
        </w:rPr>
        <w:t>abus de substances illicites. Ils gèrent le Mécanisme de règlement des plaintes et les Filières d</w:t>
      </w:r>
      <w:r w:rsidR="008279BF">
        <w:rPr>
          <w:lang w:val="fr-FR"/>
        </w:rPr>
        <w:t>’</w:t>
      </w:r>
      <w:r w:rsidRPr="00EE4C2A">
        <w:rPr>
          <w:lang w:val="fr-FR"/>
        </w:rPr>
        <w:t>orientation au niveau de l</w:t>
      </w:r>
      <w:r w:rsidR="008279BF">
        <w:rPr>
          <w:lang w:val="fr-FR"/>
        </w:rPr>
        <w:t>’</w:t>
      </w:r>
      <w:r w:rsidRPr="00EE4C2A">
        <w:rPr>
          <w:lang w:val="fr-FR"/>
        </w:rPr>
        <w:t>école, et rendent compte à leur district en remplissant les formulaires d</w:t>
      </w:r>
      <w:r w:rsidR="008279BF">
        <w:rPr>
          <w:lang w:val="fr-FR"/>
        </w:rPr>
        <w:t>’</w:t>
      </w:r>
      <w:r w:rsidRPr="00EE4C2A">
        <w:rPr>
          <w:lang w:val="fr-FR"/>
        </w:rPr>
        <w:t>orientation annuels</w:t>
      </w:r>
      <w:r>
        <w:rPr>
          <w:lang w:val="fr-FR"/>
        </w:rPr>
        <w:t xml:space="preserve"> et en les lui transmettant</w:t>
      </w:r>
      <w:r w:rsidRPr="00EE4C2A">
        <w:rPr>
          <w:lang w:val="fr-FR"/>
        </w:rPr>
        <w:t>.</w:t>
      </w:r>
    </w:p>
    <w:p w14:paraId="02D8EC7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25 d) de la liste de points établie </w:t>
      </w:r>
      <w:r>
        <w:rPr>
          <w:bCs/>
          <w:lang w:val="fr-FR"/>
        </w:rPr>
        <w:t xml:space="preserve">avant la soumission du rapport </w:t>
      </w:r>
    </w:p>
    <w:p w14:paraId="56F402C5" w14:textId="63542072" w:rsidR="00046F46" w:rsidRPr="00EE4C2A" w:rsidRDefault="00046F46" w:rsidP="00046F46">
      <w:pPr>
        <w:pStyle w:val="SingleTxtG"/>
        <w:rPr>
          <w:lang w:val="fr-FR"/>
        </w:rPr>
      </w:pPr>
      <w:r w:rsidRPr="00EE4C2A">
        <w:rPr>
          <w:lang w:val="fr-FR"/>
        </w:rPr>
        <w:t>153.</w:t>
      </w:r>
      <w:r w:rsidRPr="00EE4C2A">
        <w:rPr>
          <w:lang w:val="fr-FR"/>
        </w:rPr>
        <w:tab/>
        <w:t>En ce qui concerne l</w:t>
      </w:r>
      <w:r w:rsidR="008279BF">
        <w:rPr>
          <w:lang w:val="fr-FR"/>
        </w:rPr>
        <w:t>’</w:t>
      </w:r>
      <w:r w:rsidRPr="00EE4C2A">
        <w:rPr>
          <w:lang w:val="fr-FR"/>
        </w:rPr>
        <w:t>augmentation des taux de passage et de maintien des enfants dans l</w:t>
      </w:r>
      <w:r w:rsidR="008279BF">
        <w:rPr>
          <w:lang w:val="fr-FR"/>
        </w:rPr>
        <w:t>’</w:t>
      </w:r>
      <w:r w:rsidRPr="00EE4C2A">
        <w:rPr>
          <w:lang w:val="fr-FR"/>
        </w:rPr>
        <w:t>enseignement secondaire, l</w:t>
      </w:r>
      <w:r w:rsidR="008279BF">
        <w:rPr>
          <w:lang w:val="fr-FR"/>
        </w:rPr>
        <w:t>’</w:t>
      </w:r>
      <w:r w:rsidRPr="00EE4C2A">
        <w:rPr>
          <w:lang w:val="fr-FR"/>
        </w:rPr>
        <w:t>État partie souhaite rapporter que, dans le cadre du Projet d</w:t>
      </w:r>
      <w:r w:rsidR="008279BF">
        <w:rPr>
          <w:lang w:val="fr-FR"/>
        </w:rPr>
        <w:t>’</w:t>
      </w:r>
      <w:r w:rsidRPr="00EE4C2A">
        <w:rPr>
          <w:lang w:val="fr-FR"/>
        </w:rPr>
        <w:t>amélioration de l</w:t>
      </w:r>
      <w:r w:rsidR="008279BF">
        <w:rPr>
          <w:lang w:val="fr-FR"/>
        </w:rPr>
        <w:t>’</w:t>
      </w:r>
      <w:r w:rsidRPr="00EE4C2A">
        <w:rPr>
          <w:lang w:val="fr-FR"/>
        </w:rPr>
        <w:t>éducation en Zambie</w:t>
      </w:r>
      <w:r w:rsidR="00F7671A">
        <w:rPr>
          <w:lang w:val="fr-FR"/>
        </w:rPr>
        <w:t xml:space="preserve"> </w:t>
      </w:r>
      <w:r w:rsidRPr="00EE4C2A">
        <w:rPr>
          <w:lang w:val="fr-FR"/>
        </w:rPr>
        <w:t>(ZEEP) mené avec l</w:t>
      </w:r>
      <w:r w:rsidR="008279BF">
        <w:rPr>
          <w:lang w:val="fr-FR"/>
        </w:rPr>
        <w:t>’</w:t>
      </w:r>
      <w:r w:rsidRPr="00EE4C2A">
        <w:rPr>
          <w:lang w:val="fr-FR"/>
        </w:rPr>
        <w:t>appui de la Banque</w:t>
      </w:r>
      <w:r w:rsidR="00F7671A">
        <w:rPr>
          <w:lang w:val="fr-FR"/>
        </w:rPr>
        <w:t xml:space="preserve"> </w:t>
      </w:r>
      <w:r w:rsidRPr="00EE4C2A">
        <w:rPr>
          <w:lang w:val="fr-FR"/>
        </w:rPr>
        <w:t>mondiale,</w:t>
      </w:r>
      <w:r w:rsidR="00F7671A">
        <w:rPr>
          <w:lang w:val="fr-FR"/>
        </w:rPr>
        <w:t xml:space="preserve"> </w:t>
      </w:r>
      <w:r w:rsidRPr="00EE4C2A">
        <w:rPr>
          <w:lang w:val="fr-FR"/>
        </w:rPr>
        <w:t>82 écoles secondaires sont en cours de construction dans sept</w:t>
      </w:r>
      <w:r w:rsidR="00F7671A">
        <w:rPr>
          <w:lang w:val="fr-FR"/>
        </w:rPr>
        <w:t xml:space="preserve"> </w:t>
      </w:r>
      <w:r w:rsidRPr="00EE4C2A">
        <w:rPr>
          <w:lang w:val="fr-FR"/>
        </w:rPr>
        <w:t>provinces pour augmenter ces taux. Dix des 82 écoles secondaires proposeront des places d</w:t>
      </w:r>
      <w:r w:rsidR="008279BF">
        <w:rPr>
          <w:lang w:val="fr-FR"/>
        </w:rPr>
        <w:t>’</w:t>
      </w:r>
      <w:r w:rsidRPr="00EE4C2A">
        <w:rPr>
          <w:lang w:val="fr-FR"/>
        </w:rPr>
        <w:t>internat hebdomadaire aux filles. Environ</w:t>
      </w:r>
      <w:r w:rsidR="00F7671A">
        <w:rPr>
          <w:lang w:val="fr-FR"/>
        </w:rPr>
        <w:t xml:space="preserve"> </w:t>
      </w:r>
      <w:r w:rsidRPr="00EE4C2A">
        <w:rPr>
          <w:lang w:val="fr-FR"/>
        </w:rPr>
        <w:t xml:space="preserve">18 450 élèves, dont 50 % de filles, sont concernés par ce projet. </w:t>
      </w:r>
      <w:r>
        <w:rPr>
          <w:lang w:val="fr-FR"/>
        </w:rPr>
        <w:t>Celui-ci</w:t>
      </w:r>
      <w:r w:rsidRPr="00EE4C2A">
        <w:rPr>
          <w:lang w:val="fr-FR"/>
        </w:rPr>
        <w:t xml:space="preserve"> vise à améliorer la qualité de l</w:t>
      </w:r>
      <w:r w:rsidR="008279BF">
        <w:rPr>
          <w:lang w:val="fr-FR"/>
        </w:rPr>
        <w:t>’</w:t>
      </w:r>
      <w:r w:rsidRPr="00EE4C2A">
        <w:rPr>
          <w:lang w:val="fr-FR"/>
        </w:rPr>
        <w:t>enseignement et de l</w:t>
      </w:r>
      <w:r w:rsidR="008279BF">
        <w:rPr>
          <w:lang w:val="fr-FR"/>
        </w:rPr>
        <w:t>’</w:t>
      </w:r>
      <w:r w:rsidRPr="00EE4C2A">
        <w:rPr>
          <w:lang w:val="fr-FR"/>
        </w:rPr>
        <w:t>apprentissage des mathématiques et des sciences dans les écoles primaires et secondaires concernées, ainsi qu</w:t>
      </w:r>
      <w:r w:rsidR="008279BF">
        <w:rPr>
          <w:lang w:val="fr-FR"/>
        </w:rPr>
        <w:t>’</w:t>
      </w:r>
      <w:r w:rsidRPr="00EE4C2A">
        <w:rPr>
          <w:lang w:val="fr-FR"/>
        </w:rPr>
        <w:t>à accroître l</w:t>
      </w:r>
      <w:r w:rsidR="008279BF">
        <w:rPr>
          <w:lang w:val="fr-FR"/>
        </w:rPr>
        <w:t>’</w:t>
      </w:r>
      <w:r w:rsidRPr="00EE4C2A">
        <w:rPr>
          <w:lang w:val="fr-FR"/>
        </w:rPr>
        <w:t>accès équitable à l</w:t>
      </w:r>
      <w:r w:rsidR="008279BF">
        <w:rPr>
          <w:lang w:val="fr-FR"/>
        </w:rPr>
        <w:t>’</w:t>
      </w:r>
      <w:r w:rsidRPr="00EE4C2A">
        <w:rPr>
          <w:lang w:val="fr-FR"/>
        </w:rPr>
        <w:t>enseignement secondaire.</w:t>
      </w:r>
    </w:p>
    <w:p w14:paraId="6A1B173C" w14:textId="05830B6E" w:rsidR="00046F46" w:rsidRPr="00EE4C2A" w:rsidRDefault="00046F46" w:rsidP="00046F46">
      <w:pPr>
        <w:pStyle w:val="SingleTxtG"/>
        <w:rPr>
          <w:lang w:val="fr-FR"/>
        </w:rPr>
      </w:pPr>
      <w:r w:rsidRPr="00EE4C2A">
        <w:rPr>
          <w:lang w:val="fr-FR"/>
        </w:rPr>
        <w:t>154.</w:t>
      </w:r>
      <w:r w:rsidRPr="00EE4C2A">
        <w:rPr>
          <w:lang w:val="fr-FR"/>
        </w:rPr>
        <w:tab/>
        <w:t>L</w:t>
      </w:r>
      <w:r w:rsidR="008279BF">
        <w:rPr>
          <w:lang w:val="fr-FR"/>
        </w:rPr>
        <w:t>’</w:t>
      </w:r>
      <w:r w:rsidRPr="00EE4C2A">
        <w:rPr>
          <w:lang w:val="fr-FR"/>
        </w:rPr>
        <w:t>État partie a également lancé l</w:t>
      </w:r>
      <w:r w:rsidR="008279BF">
        <w:rPr>
          <w:lang w:val="fr-FR"/>
        </w:rPr>
        <w:t>’</w:t>
      </w:r>
      <w:r w:rsidRPr="00EE4C2A">
        <w:rPr>
          <w:lang w:val="fr-FR"/>
        </w:rPr>
        <w:t>initiative</w:t>
      </w:r>
      <w:r w:rsidR="00F7671A">
        <w:rPr>
          <w:lang w:val="fr-FR"/>
        </w:rPr>
        <w:t xml:space="preserve"> </w:t>
      </w:r>
      <w:r w:rsidRPr="00EE4C2A">
        <w:rPr>
          <w:lang w:val="fr-FR"/>
        </w:rPr>
        <w:t>« Maintenir les filles à l</w:t>
      </w:r>
      <w:r w:rsidR="008279BF">
        <w:rPr>
          <w:lang w:val="fr-FR"/>
        </w:rPr>
        <w:t>’</w:t>
      </w:r>
      <w:r w:rsidRPr="00EE4C2A">
        <w:rPr>
          <w:lang w:val="fr-FR"/>
        </w:rPr>
        <w:t>école » afin de permettre à davantage de filles issues de ménages pauvres d</w:t>
      </w:r>
      <w:r w:rsidR="008279BF">
        <w:rPr>
          <w:lang w:val="fr-FR"/>
        </w:rPr>
        <w:t>’</w:t>
      </w:r>
      <w:r w:rsidRPr="00EE4C2A">
        <w:rPr>
          <w:lang w:val="fr-FR"/>
        </w:rPr>
        <w:t>accéder à l</w:t>
      </w:r>
      <w:r w:rsidR="008279BF">
        <w:rPr>
          <w:lang w:val="fr-FR"/>
        </w:rPr>
        <w:t>’</w:t>
      </w:r>
      <w:r w:rsidRPr="00EE4C2A">
        <w:rPr>
          <w:lang w:val="fr-FR"/>
        </w:rPr>
        <w:t>enseignement secondaire grâce au Programme de transferts sociaux en espèces. Cette initiative vise à prendre en charge les frais de scolarité de plus de</w:t>
      </w:r>
      <w:r w:rsidR="00F7671A">
        <w:rPr>
          <w:lang w:val="fr-FR"/>
        </w:rPr>
        <w:t xml:space="preserve"> </w:t>
      </w:r>
      <w:r w:rsidRPr="00EE4C2A">
        <w:rPr>
          <w:lang w:val="fr-FR"/>
        </w:rPr>
        <w:t>14 000 filles issues de ménages bénéficiant de transferts sociaux en espèces</w:t>
      </w:r>
      <w:r>
        <w:rPr>
          <w:lang w:val="fr-FR"/>
        </w:rPr>
        <w:t xml:space="preserve"> et</w:t>
      </w:r>
      <w:r w:rsidRPr="00EE4C2A">
        <w:rPr>
          <w:lang w:val="fr-FR"/>
        </w:rPr>
        <w:t xml:space="preserve"> qui entament l</w:t>
      </w:r>
      <w:r w:rsidR="008279BF">
        <w:rPr>
          <w:lang w:val="fr-FR"/>
        </w:rPr>
        <w:t>’</w:t>
      </w:r>
      <w:r w:rsidRPr="00EE4C2A">
        <w:rPr>
          <w:lang w:val="fr-FR"/>
        </w:rPr>
        <w:t xml:space="preserve">enseignement secondaire dans 16 districts sélectionnés dans les </w:t>
      </w:r>
      <w:r w:rsidR="00F7671A">
        <w:rPr>
          <w:lang w:val="fr-FR"/>
        </w:rPr>
        <w:t>10</w:t>
      </w:r>
      <w:r w:rsidRPr="00EE4C2A">
        <w:rPr>
          <w:lang w:val="fr-FR"/>
        </w:rPr>
        <w:t xml:space="preserve"> provinces zambiennes. L</w:t>
      </w:r>
      <w:r w:rsidR="008279BF">
        <w:rPr>
          <w:lang w:val="fr-FR"/>
        </w:rPr>
        <w:t>’</w:t>
      </w:r>
      <w:r w:rsidRPr="00EE4C2A">
        <w:rPr>
          <w:lang w:val="fr-FR"/>
        </w:rPr>
        <w:t>objectif fixé a été dépassé en 2019 : les frais de scolarité de 16 160 filles ont ainsi été pris en charge, alors que 14 000 filles étaient initialement visées. Ce résultat est dû au fait que l</w:t>
      </w:r>
      <w:r w:rsidR="008279BF">
        <w:rPr>
          <w:lang w:val="fr-FR"/>
        </w:rPr>
        <w:t>’</w:t>
      </w:r>
      <w:r w:rsidRPr="00EE4C2A">
        <w:rPr>
          <w:lang w:val="fr-FR"/>
        </w:rPr>
        <w:t>État partie a baissé les frais de scolarité.</w:t>
      </w:r>
    </w:p>
    <w:p w14:paraId="2C573735" w14:textId="47F2B72E" w:rsidR="00046F46" w:rsidRPr="00EE4C2A" w:rsidRDefault="00046F46" w:rsidP="00046F46">
      <w:pPr>
        <w:pStyle w:val="SingleTxtG"/>
        <w:rPr>
          <w:lang w:val="fr-FR"/>
        </w:rPr>
      </w:pPr>
      <w:r w:rsidRPr="00EE4C2A">
        <w:rPr>
          <w:lang w:val="fr-FR"/>
        </w:rPr>
        <w:t>155.</w:t>
      </w:r>
      <w:r w:rsidRPr="00EE4C2A">
        <w:rPr>
          <w:lang w:val="fr-FR"/>
        </w:rPr>
        <w:tab/>
        <w:t>En 2018, l</w:t>
      </w:r>
      <w:r w:rsidR="008279BF">
        <w:rPr>
          <w:lang w:val="fr-FR"/>
        </w:rPr>
        <w:t>’</w:t>
      </w:r>
      <w:r w:rsidRPr="00EE4C2A">
        <w:rPr>
          <w:lang w:val="fr-FR"/>
        </w:rPr>
        <w:t>État partie a établi un partenariat avec l</w:t>
      </w:r>
      <w:r w:rsidR="008279BF">
        <w:rPr>
          <w:lang w:val="fr-FR"/>
        </w:rPr>
        <w:t>’</w:t>
      </w:r>
      <w:r w:rsidRPr="00EE4C2A">
        <w:rPr>
          <w:lang w:val="fr-FR"/>
        </w:rPr>
        <w:t>association caritative</w:t>
      </w:r>
      <w:r w:rsidR="00F7671A">
        <w:rPr>
          <w:lang w:val="fr-FR"/>
        </w:rPr>
        <w:t xml:space="preserve"> </w:t>
      </w:r>
      <w:r w:rsidRPr="00EE4C2A">
        <w:rPr>
          <w:lang w:val="fr-FR"/>
        </w:rPr>
        <w:t>Promoting Equity in African Schools</w:t>
      </w:r>
      <w:r w:rsidR="00F7671A">
        <w:rPr>
          <w:lang w:val="fr-FR"/>
        </w:rPr>
        <w:t xml:space="preserve"> </w:t>
      </w:r>
      <w:r w:rsidRPr="00EE4C2A">
        <w:rPr>
          <w:lang w:val="fr-FR"/>
        </w:rPr>
        <w:t>(PEAS). Grâce à ce partenariat, une école secondaire avec internat a été construite dans le district de Kasama</w:t>
      </w:r>
      <w:r w:rsidR="00F7671A">
        <w:rPr>
          <w:lang w:val="fr-FR"/>
        </w:rPr>
        <w:t xml:space="preserve"> </w:t>
      </w:r>
      <w:r w:rsidRPr="00EE4C2A">
        <w:rPr>
          <w:lang w:val="fr-FR"/>
        </w:rPr>
        <w:t>(école secondaire de Kampinda). Cette école a ouvert ses portes en</w:t>
      </w:r>
      <w:r w:rsidR="00F7671A">
        <w:rPr>
          <w:lang w:val="fr-FR"/>
        </w:rPr>
        <w:t xml:space="preserve"> </w:t>
      </w:r>
      <w:r w:rsidRPr="00EE4C2A">
        <w:rPr>
          <w:lang w:val="fr-FR"/>
        </w:rPr>
        <w:t>2018 et accueille 437 élèves : 240 filles et 197 garçons.</w:t>
      </w:r>
    </w:p>
    <w:p w14:paraId="28EDC100"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25 e) de la liste de points établie </w:t>
      </w:r>
      <w:r>
        <w:rPr>
          <w:bCs/>
          <w:lang w:val="fr-FR"/>
        </w:rPr>
        <w:t xml:space="preserve">avant la soumission du rapport </w:t>
      </w:r>
    </w:p>
    <w:p w14:paraId="4411E12F" w14:textId="1D82BE15" w:rsidR="00046F46" w:rsidRPr="00EE4C2A" w:rsidRDefault="00046F46" w:rsidP="00046F46">
      <w:pPr>
        <w:pStyle w:val="SingleTxtG"/>
        <w:rPr>
          <w:lang w:val="fr-FR"/>
        </w:rPr>
      </w:pPr>
      <w:r w:rsidRPr="00EE4C2A">
        <w:rPr>
          <w:lang w:val="fr-FR"/>
        </w:rPr>
        <w:t>156.</w:t>
      </w:r>
      <w:r w:rsidRPr="00EE4C2A">
        <w:rPr>
          <w:lang w:val="fr-FR"/>
        </w:rPr>
        <w:tab/>
        <w:t>Pour améliorer la qualité de l</w:t>
      </w:r>
      <w:r w:rsidR="008279BF">
        <w:rPr>
          <w:lang w:val="fr-FR"/>
        </w:rPr>
        <w:t>’</w:t>
      </w:r>
      <w:r w:rsidRPr="00EE4C2A">
        <w:rPr>
          <w:lang w:val="fr-FR"/>
        </w:rPr>
        <w:t>enseignement et les résultats scolaires, l</w:t>
      </w:r>
      <w:r w:rsidR="008279BF">
        <w:rPr>
          <w:lang w:val="fr-FR"/>
        </w:rPr>
        <w:t>’</w:t>
      </w:r>
      <w:r w:rsidRPr="00EE4C2A">
        <w:rPr>
          <w:lang w:val="fr-FR"/>
        </w:rPr>
        <w:t>État partie met en œuvre, depuis 2019, des réformes de la spécialisation des enseignants dans les matières enseignées à l</w:t>
      </w:r>
      <w:r w:rsidR="008279BF">
        <w:rPr>
          <w:lang w:val="fr-FR"/>
        </w:rPr>
        <w:t>’</w:t>
      </w:r>
      <w:r w:rsidRPr="00EE4C2A">
        <w:rPr>
          <w:lang w:val="fr-FR"/>
        </w:rPr>
        <w:t>école primaire. Ces reformes visent à renforcer l</w:t>
      </w:r>
      <w:r w:rsidR="008279BF">
        <w:rPr>
          <w:lang w:val="fr-FR"/>
        </w:rPr>
        <w:t>’</w:t>
      </w:r>
      <w:r w:rsidRPr="00EE4C2A">
        <w:rPr>
          <w:lang w:val="fr-FR"/>
        </w:rPr>
        <w:t>efficacité de l</w:t>
      </w:r>
      <w:r w:rsidR="008279BF">
        <w:rPr>
          <w:lang w:val="fr-FR"/>
        </w:rPr>
        <w:t>’</w:t>
      </w:r>
      <w:r w:rsidRPr="00EE4C2A">
        <w:rPr>
          <w:lang w:val="fr-FR"/>
        </w:rPr>
        <w:t>enseignement et de l</w:t>
      </w:r>
      <w:r w:rsidR="008279BF">
        <w:rPr>
          <w:lang w:val="fr-FR"/>
        </w:rPr>
        <w:t>’</w:t>
      </w:r>
      <w:r w:rsidRPr="00EE4C2A">
        <w:rPr>
          <w:lang w:val="fr-FR"/>
        </w:rPr>
        <w:t>apprentissage, et à améliorer la qualité et les résultats de l</w:t>
      </w:r>
      <w:r w:rsidR="008279BF">
        <w:rPr>
          <w:lang w:val="fr-FR"/>
        </w:rPr>
        <w:t>’</w:t>
      </w:r>
      <w:r w:rsidRPr="00EE4C2A">
        <w:rPr>
          <w:lang w:val="fr-FR"/>
        </w:rPr>
        <w:t>apprentissage, car les enseignants seront tenus de se spécialiser dans leur domaine de compétence et d</w:t>
      </w:r>
      <w:r w:rsidR="008279BF">
        <w:rPr>
          <w:lang w:val="fr-FR"/>
        </w:rPr>
        <w:t>’</w:t>
      </w:r>
      <w:r w:rsidRPr="00EE4C2A">
        <w:rPr>
          <w:lang w:val="fr-FR"/>
        </w:rPr>
        <w:t>intérêt. En outre, grâce au Projet d</w:t>
      </w:r>
      <w:r w:rsidR="008279BF">
        <w:rPr>
          <w:lang w:val="fr-FR"/>
        </w:rPr>
        <w:t>’</w:t>
      </w:r>
      <w:r w:rsidRPr="00EE4C2A">
        <w:rPr>
          <w:lang w:val="fr-FR"/>
        </w:rPr>
        <w:t>amélioration de l</w:t>
      </w:r>
      <w:r w:rsidR="008279BF">
        <w:rPr>
          <w:lang w:val="fr-FR"/>
        </w:rPr>
        <w:t>’</w:t>
      </w:r>
      <w:r w:rsidRPr="00EE4C2A">
        <w:rPr>
          <w:lang w:val="fr-FR"/>
        </w:rPr>
        <w:t>éducation en Zambie, l</w:t>
      </w:r>
      <w:r w:rsidR="008279BF">
        <w:rPr>
          <w:lang w:val="fr-FR"/>
        </w:rPr>
        <w:t>’</w:t>
      </w:r>
      <w:r w:rsidRPr="00EE4C2A">
        <w:rPr>
          <w:lang w:val="fr-FR"/>
        </w:rPr>
        <w:t>État partie a renforcé les compétences des enseignants en mathématiques et sciences pour relever les faibles résultats de l</w:t>
      </w:r>
      <w:r w:rsidR="008279BF">
        <w:rPr>
          <w:lang w:val="fr-FR"/>
        </w:rPr>
        <w:t>’</w:t>
      </w:r>
      <w:r w:rsidRPr="00EE4C2A">
        <w:rPr>
          <w:lang w:val="fr-FR"/>
        </w:rPr>
        <w:t>apprentissage dans ces deux matières. Il a également acheté le matériel d</w:t>
      </w:r>
      <w:r w:rsidR="008279BF">
        <w:rPr>
          <w:lang w:val="fr-FR"/>
        </w:rPr>
        <w:t>’</w:t>
      </w:r>
      <w:r w:rsidRPr="00EE4C2A">
        <w:rPr>
          <w:lang w:val="fr-FR"/>
        </w:rPr>
        <w:t>enseignement et d</w:t>
      </w:r>
      <w:r w:rsidR="008279BF">
        <w:rPr>
          <w:lang w:val="fr-FR"/>
        </w:rPr>
        <w:t>’</w:t>
      </w:r>
      <w:r w:rsidRPr="00EE4C2A">
        <w:rPr>
          <w:lang w:val="fr-FR"/>
        </w:rPr>
        <w:t>apprentissage nécessaire au projet.</w:t>
      </w:r>
    </w:p>
    <w:p w14:paraId="7CF8AD26" w14:textId="76FB6106" w:rsidR="00046F46" w:rsidRPr="00EE4C2A" w:rsidRDefault="00046F46" w:rsidP="00046F46">
      <w:pPr>
        <w:pStyle w:val="SingleTxtG"/>
        <w:rPr>
          <w:lang w:val="fr-FR"/>
        </w:rPr>
      </w:pPr>
      <w:r w:rsidRPr="00EE4C2A">
        <w:rPr>
          <w:lang w:val="fr-FR"/>
        </w:rPr>
        <w:t>157.</w:t>
      </w:r>
      <w:r w:rsidRPr="00EE4C2A">
        <w:rPr>
          <w:lang w:val="fr-FR"/>
        </w:rPr>
        <w:tab/>
        <w:t>Des progrès ont été accomplis dans la réalisation de la parité des genres en matière d</w:t>
      </w:r>
      <w:r w:rsidR="008279BF">
        <w:rPr>
          <w:lang w:val="fr-FR"/>
        </w:rPr>
        <w:t>’</w:t>
      </w:r>
      <w:r w:rsidRPr="00EE4C2A">
        <w:rPr>
          <w:lang w:val="fr-FR"/>
        </w:rPr>
        <w:t>inscription à l</w:t>
      </w:r>
      <w:r w:rsidR="008279BF">
        <w:rPr>
          <w:lang w:val="fr-FR"/>
        </w:rPr>
        <w:t>’</w:t>
      </w:r>
      <w:r w:rsidRPr="00EE4C2A">
        <w:rPr>
          <w:lang w:val="fr-FR"/>
        </w:rPr>
        <w:t>école primaire. En</w:t>
      </w:r>
      <w:r w:rsidR="00F7671A">
        <w:rPr>
          <w:lang w:val="fr-FR"/>
        </w:rPr>
        <w:t xml:space="preserve"> </w:t>
      </w:r>
      <w:r w:rsidRPr="00EE4C2A">
        <w:rPr>
          <w:lang w:val="fr-FR"/>
        </w:rPr>
        <w:t>2016, 89 % des filles et 90 % des garçons admissibles étaient inscrits à l</w:t>
      </w:r>
      <w:r w:rsidR="008279BF">
        <w:rPr>
          <w:lang w:val="fr-FR"/>
        </w:rPr>
        <w:t>’</w:t>
      </w:r>
      <w:r w:rsidRPr="00EE4C2A">
        <w:rPr>
          <w:lang w:val="fr-FR"/>
        </w:rPr>
        <w:t>école primaire. En 2019, les inscriptions ont légèrement diminué, mais il y avait plus de filles inscrites</w:t>
      </w:r>
      <w:r w:rsidR="00F7671A">
        <w:rPr>
          <w:lang w:val="fr-FR"/>
        </w:rPr>
        <w:t xml:space="preserve"> </w:t>
      </w:r>
      <w:r w:rsidRPr="00EE4C2A">
        <w:rPr>
          <w:lang w:val="fr-FR"/>
        </w:rPr>
        <w:t>(89 %) que de garçons</w:t>
      </w:r>
      <w:r w:rsidR="00F7671A">
        <w:rPr>
          <w:lang w:val="fr-FR"/>
        </w:rPr>
        <w:t xml:space="preserve"> </w:t>
      </w:r>
      <w:r w:rsidRPr="00EE4C2A">
        <w:rPr>
          <w:lang w:val="fr-FR"/>
        </w:rPr>
        <w:t>(85 %). Toutefois, après l</w:t>
      </w:r>
      <w:r w:rsidR="008279BF">
        <w:rPr>
          <w:lang w:val="fr-FR"/>
        </w:rPr>
        <w:t>’</w:t>
      </w:r>
      <w:r w:rsidRPr="00EE4C2A">
        <w:rPr>
          <w:lang w:val="fr-FR"/>
        </w:rPr>
        <w:t>école primaire, le taux de transition vers l</w:t>
      </w:r>
      <w:r w:rsidR="008279BF">
        <w:rPr>
          <w:lang w:val="fr-FR"/>
        </w:rPr>
        <w:t>’</w:t>
      </w:r>
      <w:r w:rsidRPr="00EE4C2A">
        <w:rPr>
          <w:lang w:val="fr-FR"/>
        </w:rPr>
        <w:t>école secondaire diminue avec le passage de la huitième</w:t>
      </w:r>
      <w:r w:rsidR="00F7671A">
        <w:rPr>
          <w:lang w:val="fr-FR"/>
        </w:rPr>
        <w:t xml:space="preserve"> </w:t>
      </w:r>
      <w:r w:rsidRPr="00EE4C2A">
        <w:rPr>
          <w:lang w:val="fr-FR"/>
        </w:rPr>
        <w:t xml:space="preserve">à la </w:t>
      </w:r>
      <w:r w:rsidRPr="00EE4C2A">
        <w:rPr>
          <w:lang w:val="fr-FR"/>
        </w:rPr>
        <w:lastRenderedPageBreak/>
        <w:t>neuvième</w:t>
      </w:r>
      <w:r w:rsidR="00F7671A">
        <w:rPr>
          <w:lang w:val="fr-FR"/>
        </w:rPr>
        <w:t xml:space="preserve"> </w:t>
      </w:r>
      <w:r w:rsidRPr="00EE4C2A">
        <w:rPr>
          <w:lang w:val="fr-FR"/>
        </w:rPr>
        <w:t>année : situé à 91,8 % pour les filles en</w:t>
      </w:r>
      <w:r w:rsidR="00F7671A">
        <w:rPr>
          <w:lang w:val="fr-FR"/>
        </w:rPr>
        <w:t xml:space="preserve"> </w:t>
      </w:r>
      <w:r w:rsidRPr="00EE4C2A">
        <w:rPr>
          <w:lang w:val="fr-FR"/>
        </w:rPr>
        <w:t>2016, le taux de transition était de</w:t>
      </w:r>
      <w:r w:rsidR="00F7671A">
        <w:rPr>
          <w:lang w:val="fr-FR"/>
        </w:rPr>
        <w:t xml:space="preserve"> </w:t>
      </w:r>
      <w:r w:rsidRPr="00EE4C2A">
        <w:rPr>
          <w:lang w:val="fr-FR"/>
        </w:rPr>
        <w:t>70,6 % en</w:t>
      </w:r>
      <w:r w:rsidR="00F7671A">
        <w:rPr>
          <w:lang w:val="fr-FR"/>
        </w:rPr>
        <w:t xml:space="preserve"> </w:t>
      </w:r>
      <w:r w:rsidRPr="00EE4C2A">
        <w:rPr>
          <w:lang w:val="fr-FR"/>
        </w:rPr>
        <w:t>2019, tandis que celui des garçons est passé de 88,4 % en</w:t>
      </w:r>
      <w:r w:rsidR="00F7671A">
        <w:rPr>
          <w:lang w:val="fr-FR"/>
        </w:rPr>
        <w:t xml:space="preserve"> </w:t>
      </w:r>
      <w:r w:rsidRPr="00EE4C2A">
        <w:rPr>
          <w:lang w:val="fr-FR"/>
        </w:rPr>
        <w:t>2016 à 68,2 % en</w:t>
      </w:r>
      <w:r w:rsidR="00F7671A">
        <w:rPr>
          <w:lang w:val="fr-FR"/>
        </w:rPr>
        <w:t xml:space="preserve"> </w:t>
      </w:r>
      <w:r w:rsidRPr="00EE4C2A">
        <w:rPr>
          <w:lang w:val="fr-FR"/>
        </w:rPr>
        <w:t>2019. Le passage de la neuvième à la dixième</w:t>
      </w:r>
      <w:r w:rsidR="00F7671A">
        <w:rPr>
          <w:lang w:val="fr-FR"/>
        </w:rPr>
        <w:t xml:space="preserve"> </w:t>
      </w:r>
      <w:r w:rsidRPr="00EE4C2A">
        <w:rPr>
          <w:lang w:val="fr-FR"/>
        </w:rPr>
        <w:t>année était plus élevé chez les garçons</w:t>
      </w:r>
      <w:r w:rsidR="00F7671A">
        <w:rPr>
          <w:lang w:val="fr-FR"/>
        </w:rPr>
        <w:t xml:space="preserve"> </w:t>
      </w:r>
      <w:r w:rsidRPr="00EE4C2A">
        <w:rPr>
          <w:lang w:val="fr-FR"/>
        </w:rPr>
        <w:t xml:space="preserve">(57 %) que chez </w:t>
      </w:r>
      <w:r>
        <w:rPr>
          <w:lang w:val="fr-FR"/>
        </w:rPr>
        <w:t>l</w:t>
      </w:r>
      <w:r w:rsidRPr="00EE4C2A">
        <w:rPr>
          <w:lang w:val="fr-FR"/>
        </w:rPr>
        <w:t>es filles</w:t>
      </w:r>
      <w:r w:rsidR="00F7671A">
        <w:rPr>
          <w:lang w:val="fr-FR"/>
        </w:rPr>
        <w:t xml:space="preserve"> </w:t>
      </w:r>
      <w:r w:rsidRPr="00EE4C2A">
        <w:rPr>
          <w:lang w:val="fr-FR"/>
        </w:rPr>
        <w:t>(49 %). En</w:t>
      </w:r>
      <w:r w:rsidR="00F7671A">
        <w:rPr>
          <w:lang w:val="fr-FR"/>
        </w:rPr>
        <w:t xml:space="preserve"> </w:t>
      </w:r>
      <w:r w:rsidRPr="00EE4C2A">
        <w:rPr>
          <w:lang w:val="fr-FR"/>
        </w:rPr>
        <w:t>2018, le taux de décrochage moyen entre la première et la septième</w:t>
      </w:r>
      <w:r w:rsidR="00F7671A">
        <w:rPr>
          <w:lang w:val="fr-FR"/>
        </w:rPr>
        <w:t xml:space="preserve"> </w:t>
      </w:r>
      <w:r w:rsidRPr="00EE4C2A">
        <w:rPr>
          <w:lang w:val="fr-FR"/>
        </w:rPr>
        <w:t>année était de 1,7 %, contre 1,2 % entre la huitième et la douzième</w:t>
      </w:r>
      <w:r w:rsidR="00F7671A">
        <w:rPr>
          <w:lang w:val="fr-FR"/>
        </w:rPr>
        <w:t xml:space="preserve"> </w:t>
      </w:r>
      <w:r w:rsidRPr="00EE4C2A">
        <w:rPr>
          <w:lang w:val="fr-FR"/>
        </w:rPr>
        <w:t>année.</w:t>
      </w:r>
    </w:p>
    <w:p w14:paraId="6B178C47" w14:textId="45FBAE80" w:rsidR="00046F46" w:rsidRPr="00EE4C2A" w:rsidRDefault="00046F46" w:rsidP="00046F46">
      <w:pPr>
        <w:pStyle w:val="SingleTxtG"/>
        <w:rPr>
          <w:lang w:val="fr-FR"/>
        </w:rPr>
      </w:pPr>
      <w:r w:rsidRPr="00EE4C2A">
        <w:rPr>
          <w:lang w:val="fr-FR"/>
        </w:rPr>
        <w:t>158.</w:t>
      </w:r>
      <w:r w:rsidRPr="00EE4C2A">
        <w:rPr>
          <w:lang w:val="fr-FR"/>
        </w:rPr>
        <w:tab/>
        <w:t>En primaire, les filles abandonnaient plus l</w:t>
      </w:r>
      <w:r w:rsidR="008279BF">
        <w:rPr>
          <w:lang w:val="fr-FR"/>
        </w:rPr>
        <w:t>’</w:t>
      </w:r>
      <w:r w:rsidRPr="00EE4C2A">
        <w:rPr>
          <w:lang w:val="fr-FR"/>
        </w:rPr>
        <w:t>école que les garçons : 1,9 % contre 1,4 %, respectivement. De même, dans le secondaire, les filles abandonnaient l</w:t>
      </w:r>
      <w:r w:rsidR="008279BF">
        <w:rPr>
          <w:lang w:val="fr-FR"/>
        </w:rPr>
        <w:t>’</w:t>
      </w:r>
      <w:r w:rsidRPr="00EE4C2A">
        <w:rPr>
          <w:lang w:val="fr-FR"/>
        </w:rPr>
        <w:t>école en plus grand nombre que les garçons : 1,7 % contre 0,7 %, respectivement. En 2018, le taux d</w:t>
      </w:r>
      <w:r w:rsidR="008279BF">
        <w:rPr>
          <w:lang w:val="fr-FR"/>
        </w:rPr>
        <w:t>’</w:t>
      </w:r>
      <w:r w:rsidRPr="00EE4C2A">
        <w:rPr>
          <w:lang w:val="fr-FR"/>
        </w:rPr>
        <w:t>achèvement de l</w:t>
      </w:r>
      <w:r w:rsidR="008279BF">
        <w:rPr>
          <w:lang w:val="fr-FR"/>
        </w:rPr>
        <w:t>’</w:t>
      </w:r>
      <w:r w:rsidRPr="00EE4C2A">
        <w:rPr>
          <w:lang w:val="fr-FR"/>
        </w:rPr>
        <w:t>enseignement primaire s</w:t>
      </w:r>
      <w:r w:rsidR="008279BF">
        <w:rPr>
          <w:lang w:val="fr-FR"/>
        </w:rPr>
        <w:t>’</w:t>
      </w:r>
      <w:r w:rsidRPr="00EE4C2A">
        <w:rPr>
          <w:lang w:val="fr-FR"/>
        </w:rPr>
        <w:t>élevait à 97,3 % ; dans le premier et le deuxième cycle du secondaire, il était respectivement de 87,7 % et 36 %.</w:t>
      </w:r>
    </w:p>
    <w:p w14:paraId="016D7B34" w14:textId="77777777" w:rsidR="00046F46" w:rsidRPr="00EE4C2A" w:rsidRDefault="00046F46" w:rsidP="00046F46">
      <w:pPr>
        <w:pStyle w:val="H1G"/>
        <w:rPr>
          <w:lang w:val="fr-FR"/>
        </w:rPr>
      </w:pPr>
      <w:bookmarkStart w:id="39" w:name="_Toc63937991"/>
      <w:r w:rsidRPr="00EE4C2A">
        <w:rPr>
          <w:lang w:val="fr-FR"/>
        </w:rPr>
        <w:tab/>
      </w:r>
      <w:r w:rsidRPr="00EE4C2A">
        <w:rPr>
          <w:lang w:val="fr-FR"/>
        </w:rPr>
        <w:tab/>
      </w:r>
      <w:r w:rsidRPr="00EE4C2A">
        <w:rPr>
          <w:bCs/>
          <w:lang w:val="fr-FR"/>
        </w:rPr>
        <w:t>Repos, loisirs et activités récréatives, culturelles et artistiques</w:t>
      </w:r>
      <w:bookmarkEnd w:id="39"/>
    </w:p>
    <w:p w14:paraId="601C33A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26 de la liste de points établie </w:t>
      </w:r>
      <w:r>
        <w:rPr>
          <w:bCs/>
          <w:lang w:val="fr-FR"/>
        </w:rPr>
        <w:t xml:space="preserve">avant la soumission du rapport </w:t>
      </w:r>
    </w:p>
    <w:p w14:paraId="34F6B5F6" w14:textId="6CD36589" w:rsidR="00046F46" w:rsidRPr="00EE4C2A" w:rsidRDefault="00046F46" w:rsidP="00046F46">
      <w:pPr>
        <w:pStyle w:val="SingleTxtG"/>
        <w:rPr>
          <w:lang w:val="fr-FR"/>
        </w:rPr>
      </w:pPr>
      <w:r w:rsidRPr="00EE4C2A">
        <w:rPr>
          <w:lang w:val="fr-FR"/>
        </w:rPr>
        <w:t>159.</w:t>
      </w:r>
      <w:r w:rsidRPr="00EE4C2A">
        <w:rPr>
          <w:lang w:val="fr-FR"/>
        </w:rPr>
        <w:tab/>
        <w:t>L</w:t>
      </w:r>
      <w:r w:rsidR="008279BF">
        <w:rPr>
          <w:lang w:val="fr-FR"/>
        </w:rPr>
        <w:t>’</w:t>
      </w:r>
      <w:r w:rsidRPr="00EE4C2A">
        <w:rPr>
          <w:lang w:val="fr-FR"/>
        </w:rPr>
        <w:t>État partie souhaite rapporter que les sports, les loisirs et les activités récréatives et artistiques font partie intégrante des programmes scolaires du système d</w:t>
      </w:r>
      <w:r w:rsidR="008279BF">
        <w:rPr>
          <w:lang w:val="fr-FR"/>
        </w:rPr>
        <w:t>’</w:t>
      </w:r>
      <w:r w:rsidRPr="00EE4C2A">
        <w:rPr>
          <w:lang w:val="fr-FR"/>
        </w:rPr>
        <w:t>éducation formelle. Les collectivités locales sont chargées de fournir des services récréatifs, sportifs et de loisirs dans les différentes communautés locales. Le Ministère de la jeunesse, des sports et du développement de l</w:t>
      </w:r>
      <w:r w:rsidR="008279BF">
        <w:rPr>
          <w:lang w:val="fr-FR"/>
        </w:rPr>
        <w:t>’</w:t>
      </w:r>
      <w:r w:rsidRPr="00EE4C2A">
        <w:rPr>
          <w:lang w:val="fr-FR"/>
        </w:rPr>
        <w:t>enfant dispose de programmes tels que le sport communal et la création d</w:t>
      </w:r>
      <w:r w:rsidR="008279BF">
        <w:rPr>
          <w:lang w:val="fr-FR"/>
        </w:rPr>
        <w:t>’</w:t>
      </w:r>
      <w:r w:rsidRPr="00EE4C2A">
        <w:rPr>
          <w:lang w:val="fr-FR"/>
        </w:rPr>
        <w:t>espaces sûrs pour les enfants. Dans le cadre de ces programmes, le Ministère forme des bénévoles et des administrateurs sportifs locaux, et fournit des équipements sportifs et récréatifs aux collectivités locales. Des festivals culturels et artistiques sont également organisés, aux niveaux local et national, afin de promouvoir l</w:t>
      </w:r>
      <w:r w:rsidR="008279BF">
        <w:rPr>
          <w:lang w:val="fr-FR"/>
        </w:rPr>
        <w:t>’</w:t>
      </w:r>
      <w:r w:rsidRPr="00EE4C2A">
        <w:rPr>
          <w:lang w:val="fr-FR"/>
        </w:rPr>
        <w:t>identité culturelle dans divers contextes. Des journées thématiques sont organisées, telles que la Journée de l</w:t>
      </w:r>
      <w:r w:rsidR="008279BF">
        <w:rPr>
          <w:lang w:val="fr-FR"/>
        </w:rPr>
        <w:t>’</w:t>
      </w:r>
      <w:r w:rsidRPr="00EE4C2A">
        <w:rPr>
          <w:lang w:val="fr-FR"/>
        </w:rPr>
        <w:t>enfant africain et la Journée des réfugiés, au cours desquelles les enfants, notamment les migrants et les réfugiés, sont encouragés à présenter leur patrimoine culturel.</w:t>
      </w:r>
    </w:p>
    <w:p w14:paraId="77AF5BF5" w14:textId="77777777" w:rsidR="00046F46" w:rsidRPr="00EE4C2A" w:rsidRDefault="00046F46" w:rsidP="00046F46">
      <w:pPr>
        <w:pStyle w:val="H1G"/>
        <w:rPr>
          <w:lang w:val="fr-FR"/>
        </w:rPr>
      </w:pPr>
      <w:bookmarkStart w:id="40" w:name="_Toc63937992"/>
      <w:r w:rsidRPr="00EE4C2A">
        <w:rPr>
          <w:bCs/>
          <w:lang w:val="fr-FR"/>
        </w:rPr>
        <w:tab/>
        <w:t>I.</w:t>
      </w:r>
      <w:r w:rsidRPr="00EE4C2A">
        <w:rPr>
          <w:lang w:val="fr-FR"/>
        </w:rPr>
        <w:tab/>
      </w:r>
      <w:r w:rsidRPr="00EE4C2A">
        <w:rPr>
          <w:bCs/>
          <w:lang w:val="fr-FR"/>
        </w:rPr>
        <w:t>Mesures de protection spéciales (art. 22, 30, 32, 33, 35, 36, 37 (al. b) à d)) et 38 à 40)</w:t>
      </w:r>
      <w:bookmarkEnd w:id="40"/>
    </w:p>
    <w:p w14:paraId="1D67ABAF" w14:textId="4D5A6C9F" w:rsidR="00046F46" w:rsidRPr="00EE4C2A" w:rsidRDefault="00046F46" w:rsidP="00046F46">
      <w:pPr>
        <w:pStyle w:val="H1G"/>
        <w:rPr>
          <w:lang w:val="fr-FR"/>
        </w:rPr>
      </w:pPr>
      <w:bookmarkStart w:id="41" w:name="_Toc63937993"/>
      <w:r w:rsidRPr="00EE4C2A">
        <w:rPr>
          <w:lang w:val="fr-FR"/>
        </w:rPr>
        <w:tab/>
      </w:r>
      <w:r w:rsidRPr="00EE4C2A">
        <w:rPr>
          <w:lang w:val="fr-FR"/>
        </w:rPr>
        <w:tab/>
      </w:r>
      <w:r w:rsidRPr="00EE4C2A">
        <w:rPr>
          <w:bCs/>
          <w:lang w:val="fr-FR"/>
        </w:rPr>
        <w:t>Enfants demandeurs d</w:t>
      </w:r>
      <w:r w:rsidR="008279BF">
        <w:rPr>
          <w:bCs/>
          <w:lang w:val="fr-FR"/>
        </w:rPr>
        <w:t>’</w:t>
      </w:r>
      <w:r w:rsidRPr="00EE4C2A">
        <w:rPr>
          <w:bCs/>
          <w:lang w:val="fr-FR"/>
        </w:rPr>
        <w:t>asile, réfugiés ou migrants</w:t>
      </w:r>
      <w:bookmarkEnd w:id="41"/>
    </w:p>
    <w:p w14:paraId="2D321EC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27 a) de la liste de points établie </w:t>
      </w:r>
      <w:r>
        <w:rPr>
          <w:bCs/>
          <w:lang w:val="fr-FR"/>
        </w:rPr>
        <w:t xml:space="preserve">avant la soumission du rapport </w:t>
      </w:r>
    </w:p>
    <w:p w14:paraId="76D3C00F" w14:textId="5E7647AF" w:rsidR="00046F46" w:rsidRPr="00EE4C2A" w:rsidRDefault="00046F46" w:rsidP="00046F46">
      <w:pPr>
        <w:pStyle w:val="SingleTxtG"/>
        <w:rPr>
          <w:lang w:val="fr-FR"/>
        </w:rPr>
      </w:pPr>
      <w:r w:rsidRPr="007647FF">
        <w:rPr>
          <w:lang w:val="fr-FR"/>
        </w:rPr>
        <w:t>160.</w:t>
      </w:r>
      <w:r w:rsidRPr="007647FF">
        <w:rPr>
          <w:lang w:val="fr-FR"/>
        </w:rPr>
        <w:tab/>
        <w:t>L</w:t>
      </w:r>
      <w:r w:rsidR="008279BF">
        <w:rPr>
          <w:lang w:val="fr-FR"/>
        </w:rPr>
        <w:t>’</w:t>
      </w:r>
      <w:r w:rsidRPr="007647FF">
        <w:rPr>
          <w:lang w:val="fr-FR"/>
        </w:rPr>
        <w:t>État partie</w:t>
      </w:r>
      <w:r w:rsidRPr="00EE4C2A">
        <w:rPr>
          <w:lang w:val="fr-FR"/>
        </w:rPr>
        <w:t>, en collaboration avec l</w:t>
      </w:r>
      <w:r w:rsidR="008279BF">
        <w:rPr>
          <w:lang w:val="fr-FR"/>
        </w:rPr>
        <w:t>’</w:t>
      </w:r>
      <w:r w:rsidRPr="00EE4C2A">
        <w:rPr>
          <w:lang w:val="fr-FR"/>
        </w:rPr>
        <w:t>Organisation internationale pour les migrations</w:t>
      </w:r>
      <w:r w:rsidR="007647FF">
        <w:rPr>
          <w:lang w:val="fr-FR"/>
        </w:rPr>
        <w:t xml:space="preserve"> </w:t>
      </w:r>
      <w:r w:rsidRPr="00EE4C2A">
        <w:rPr>
          <w:lang w:val="fr-FR"/>
        </w:rPr>
        <w:t>(OIM), a élaboré des directives régissant le traitement des enfants demandeurs d</w:t>
      </w:r>
      <w:r w:rsidR="008279BF">
        <w:rPr>
          <w:lang w:val="fr-FR"/>
        </w:rPr>
        <w:t>’</w:t>
      </w:r>
      <w:r w:rsidRPr="00EE4C2A">
        <w:rPr>
          <w:lang w:val="fr-FR"/>
        </w:rPr>
        <w:t>asile, réfugiés ou migrants. Des comités de détermination de l</w:t>
      </w:r>
      <w:r w:rsidR="008279BF">
        <w:rPr>
          <w:lang w:val="fr-FR"/>
        </w:rPr>
        <w:t>’</w:t>
      </w:r>
      <w:r w:rsidRPr="00EE4C2A">
        <w:rPr>
          <w:lang w:val="fr-FR"/>
        </w:rPr>
        <w:t>intérêt supérieur ont été mis en place dans les districts comptant un grand nombre d</w:t>
      </w:r>
      <w:r w:rsidR="008279BF">
        <w:rPr>
          <w:lang w:val="fr-FR"/>
        </w:rPr>
        <w:t>’</w:t>
      </w:r>
      <w:r w:rsidRPr="00EE4C2A">
        <w:rPr>
          <w:lang w:val="fr-FR"/>
        </w:rPr>
        <w:t>enfants migrants. Les travailleurs de première ligne, tels que les fonctionnaires de l</w:t>
      </w:r>
      <w:r w:rsidR="008279BF">
        <w:rPr>
          <w:lang w:val="fr-FR"/>
        </w:rPr>
        <w:t>’</w:t>
      </w:r>
      <w:r w:rsidRPr="00EE4C2A">
        <w:rPr>
          <w:lang w:val="fr-FR"/>
        </w:rPr>
        <w:t>immigration, les policiers chargés de la protection de l</w:t>
      </w:r>
      <w:r w:rsidR="008279BF">
        <w:rPr>
          <w:lang w:val="fr-FR"/>
        </w:rPr>
        <w:t>’</w:t>
      </w:r>
      <w:r w:rsidRPr="00EE4C2A">
        <w:rPr>
          <w:lang w:val="fr-FR"/>
        </w:rPr>
        <w:t>enfance, les travailleurs sociaux et les magistrats, ont été formés à la détermination de l</w:t>
      </w:r>
      <w:r w:rsidR="008279BF">
        <w:rPr>
          <w:lang w:val="fr-FR"/>
        </w:rPr>
        <w:t>’</w:t>
      </w:r>
      <w:r w:rsidRPr="00EE4C2A">
        <w:rPr>
          <w:lang w:val="fr-FR"/>
        </w:rPr>
        <w:t>intérêt supérieur des enfants migrants, réfugiés ou demandeurs d</w:t>
      </w:r>
      <w:r w:rsidR="008279BF">
        <w:rPr>
          <w:lang w:val="fr-FR"/>
        </w:rPr>
        <w:t>’</w:t>
      </w:r>
      <w:r w:rsidRPr="00EE4C2A">
        <w:rPr>
          <w:lang w:val="fr-FR"/>
        </w:rPr>
        <w:t>asile, selon une approche fondée sur les droits de l</w:t>
      </w:r>
      <w:r w:rsidR="008279BF">
        <w:rPr>
          <w:lang w:val="fr-FR"/>
        </w:rPr>
        <w:t>’</w:t>
      </w:r>
      <w:r w:rsidRPr="00EE4C2A">
        <w:rPr>
          <w:lang w:val="fr-FR"/>
        </w:rPr>
        <w:t>enfant. Les procédures écrites prévoient le repérage des enfants vulnérables à l</w:t>
      </w:r>
      <w:r w:rsidR="008279BF">
        <w:rPr>
          <w:lang w:val="fr-FR"/>
        </w:rPr>
        <w:t>’</w:t>
      </w:r>
      <w:r w:rsidRPr="00EE4C2A">
        <w:rPr>
          <w:lang w:val="fr-FR"/>
        </w:rPr>
        <w:t>aide d</w:t>
      </w:r>
      <w:r w:rsidR="008279BF">
        <w:rPr>
          <w:lang w:val="fr-FR"/>
        </w:rPr>
        <w:t>’</w:t>
      </w:r>
      <w:r w:rsidRPr="00EE4C2A">
        <w:rPr>
          <w:lang w:val="fr-FR"/>
        </w:rPr>
        <w:t>outils de gestion des cas, afin d</w:t>
      </w:r>
      <w:r w:rsidR="008279BF">
        <w:rPr>
          <w:lang w:val="fr-FR"/>
        </w:rPr>
        <w:t>’</w:t>
      </w:r>
      <w:r w:rsidRPr="00EE4C2A">
        <w:rPr>
          <w:lang w:val="fr-FR"/>
        </w:rPr>
        <w:t>identifier le type de traite éventuellement concerné ainsi que la catégorie de groupe vulnérable.</w:t>
      </w:r>
    </w:p>
    <w:p w14:paraId="347C04BF" w14:textId="035F1CE3" w:rsidR="00046F46" w:rsidRPr="00EE4C2A" w:rsidRDefault="00046F46" w:rsidP="00046F46">
      <w:pPr>
        <w:pStyle w:val="SingleTxtG"/>
        <w:rPr>
          <w:lang w:val="fr-FR"/>
        </w:rPr>
      </w:pPr>
      <w:r w:rsidRPr="00EE4C2A">
        <w:rPr>
          <w:lang w:val="fr-FR"/>
        </w:rPr>
        <w:t>161.</w:t>
      </w:r>
      <w:r w:rsidRPr="00EE4C2A">
        <w:rPr>
          <w:lang w:val="fr-FR"/>
        </w:rPr>
        <w:tab/>
        <w:t>L</w:t>
      </w:r>
      <w:r w:rsidR="008279BF">
        <w:rPr>
          <w:lang w:val="fr-FR"/>
        </w:rPr>
        <w:t>’</w:t>
      </w:r>
      <w:r w:rsidRPr="00EE4C2A">
        <w:rPr>
          <w:lang w:val="fr-FR"/>
        </w:rPr>
        <w:t xml:space="preserve">État partie a établi un Mécanisme national </w:t>
      </w:r>
      <w:r w:rsidR="00DE7C87" w:rsidRPr="00EE4C2A">
        <w:rPr>
          <w:lang w:val="fr-FR"/>
        </w:rPr>
        <w:t>d</w:t>
      </w:r>
      <w:r w:rsidR="008279BF">
        <w:rPr>
          <w:lang w:val="fr-FR"/>
        </w:rPr>
        <w:t>’</w:t>
      </w:r>
      <w:r w:rsidR="00DE7C87">
        <w:rPr>
          <w:lang w:val="fr-FR"/>
        </w:rPr>
        <w:t xml:space="preserve">orientation </w:t>
      </w:r>
      <w:r w:rsidRPr="00EE4C2A">
        <w:rPr>
          <w:lang w:val="fr-FR"/>
        </w:rPr>
        <w:t>(MNO) visant à fournir une assistance aux enfants migrants, ce qui a facilité le processus d</w:t>
      </w:r>
      <w:r w:rsidR="008279BF">
        <w:rPr>
          <w:lang w:val="fr-FR"/>
        </w:rPr>
        <w:t>’</w:t>
      </w:r>
      <w:r w:rsidR="00DE7C87">
        <w:rPr>
          <w:lang w:val="fr-FR"/>
        </w:rPr>
        <w:t xml:space="preserve">orientation </w:t>
      </w:r>
      <w:r w:rsidRPr="00EE4C2A">
        <w:rPr>
          <w:lang w:val="fr-FR"/>
        </w:rPr>
        <w:t>et la mise en œuvre d</w:t>
      </w:r>
      <w:r w:rsidR="008279BF">
        <w:rPr>
          <w:lang w:val="fr-FR"/>
        </w:rPr>
        <w:t>’</w:t>
      </w:r>
      <w:r w:rsidRPr="00EE4C2A">
        <w:rPr>
          <w:lang w:val="fr-FR"/>
        </w:rPr>
        <w:t xml:space="preserve">interventions appropriées pour les migrants vulnérables. Ce mécanisme </w:t>
      </w:r>
      <w:r w:rsidR="00DE7C87" w:rsidRPr="00EE4C2A">
        <w:rPr>
          <w:lang w:val="fr-FR"/>
        </w:rPr>
        <w:t>d</w:t>
      </w:r>
      <w:r w:rsidR="008279BF">
        <w:rPr>
          <w:lang w:val="fr-FR"/>
        </w:rPr>
        <w:t>’</w:t>
      </w:r>
      <w:r w:rsidR="00DE7C87">
        <w:rPr>
          <w:lang w:val="fr-FR"/>
        </w:rPr>
        <w:t xml:space="preserve">orientation </w:t>
      </w:r>
      <w:r w:rsidR="00DE7C87">
        <w:rPr>
          <w:lang w:val="fr-FR"/>
        </w:rPr>
        <w:t xml:space="preserve">donne des indications </w:t>
      </w:r>
      <w:r w:rsidRPr="00EE4C2A">
        <w:rPr>
          <w:lang w:val="fr-FR"/>
        </w:rPr>
        <w:t>sur les besoins immédiats, à court et à long terme des victimes identifiées et sur les acteurs habilités à contribuer à la mise en place d</w:t>
      </w:r>
      <w:r w:rsidR="008279BF">
        <w:rPr>
          <w:lang w:val="fr-FR"/>
        </w:rPr>
        <w:t>’</w:t>
      </w:r>
      <w:r w:rsidRPr="00EE4C2A">
        <w:rPr>
          <w:lang w:val="fr-FR"/>
        </w:rPr>
        <w:t xml:space="preserve">interventions. Les outils de gestion des cas aident en outre à détecter les risques encourus pour assurer la protection et la sécurité des personnes concernées. Le Mécanisme national </w:t>
      </w:r>
      <w:r w:rsidR="00DE7C87" w:rsidRPr="00EE4C2A">
        <w:rPr>
          <w:lang w:val="fr-FR"/>
        </w:rPr>
        <w:t>d</w:t>
      </w:r>
      <w:r w:rsidR="008279BF">
        <w:rPr>
          <w:lang w:val="fr-FR"/>
        </w:rPr>
        <w:t>’</w:t>
      </w:r>
      <w:r w:rsidR="00DE7C87">
        <w:rPr>
          <w:lang w:val="fr-FR"/>
        </w:rPr>
        <w:t xml:space="preserve">orientation </w:t>
      </w:r>
      <w:r w:rsidRPr="00EE4C2A">
        <w:rPr>
          <w:lang w:val="fr-FR"/>
        </w:rPr>
        <w:t>a été révisé pour inclure les rapatriés de plein gré. Les victimes ont pu bénéficier des services suivants : soins de santé, soutien pédagogique, soutien psychosocial, hébergement, rapatriement, réintégration et autonomisation.</w:t>
      </w:r>
    </w:p>
    <w:p w14:paraId="14CEF2A0"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27 b) de la liste de points établie </w:t>
      </w:r>
      <w:r>
        <w:rPr>
          <w:bCs/>
          <w:lang w:val="fr-FR"/>
        </w:rPr>
        <w:t>avant la soumission du rapport</w:t>
      </w:r>
    </w:p>
    <w:p w14:paraId="623E926E" w14:textId="25665429" w:rsidR="00046F46" w:rsidRPr="00EE4C2A" w:rsidRDefault="00046F46" w:rsidP="00046F46">
      <w:pPr>
        <w:pStyle w:val="SingleTxtG"/>
        <w:rPr>
          <w:lang w:val="fr-FR"/>
        </w:rPr>
      </w:pPr>
      <w:r w:rsidRPr="00EE4C2A">
        <w:rPr>
          <w:lang w:val="fr-FR"/>
        </w:rPr>
        <w:t>162.</w:t>
      </w:r>
      <w:r w:rsidRPr="00EE4C2A">
        <w:rPr>
          <w:lang w:val="fr-FR"/>
        </w:rPr>
        <w:tab/>
        <w:t>Pour veiller à ce que les enfants ne soient pas placés en détention en raison de leur statut migratoire, l</w:t>
      </w:r>
      <w:r w:rsidR="008279BF">
        <w:rPr>
          <w:lang w:val="fr-FR"/>
        </w:rPr>
        <w:t>’</w:t>
      </w:r>
      <w:r w:rsidRPr="00EE4C2A">
        <w:rPr>
          <w:lang w:val="fr-FR"/>
        </w:rPr>
        <w:t>État partie a formé 179 agents de première ligne aux questions de migration mixte, à la traite des personnes, au repérage des migrants vulnérables et à la fourniture d</w:t>
      </w:r>
      <w:r w:rsidR="008279BF">
        <w:rPr>
          <w:lang w:val="fr-FR"/>
        </w:rPr>
        <w:t>’</w:t>
      </w:r>
      <w:r w:rsidRPr="00EE4C2A">
        <w:rPr>
          <w:lang w:val="fr-FR"/>
        </w:rPr>
        <w:t>une protection et assistance. L</w:t>
      </w:r>
      <w:r w:rsidR="008279BF">
        <w:rPr>
          <w:lang w:val="fr-FR"/>
        </w:rPr>
        <w:t>’</w:t>
      </w:r>
      <w:r w:rsidR="007647FF" w:rsidRPr="00EE4C2A">
        <w:rPr>
          <w:lang w:val="fr-FR"/>
        </w:rPr>
        <w:t>État</w:t>
      </w:r>
      <w:r w:rsidRPr="00EE4C2A">
        <w:rPr>
          <w:lang w:val="fr-FR"/>
        </w:rPr>
        <w:t xml:space="preserve"> partie dispose de quatre</w:t>
      </w:r>
      <w:r w:rsidR="007647FF">
        <w:rPr>
          <w:lang w:val="fr-FR"/>
        </w:rPr>
        <w:t xml:space="preserve"> </w:t>
      </w:r>
      <w:r w:rsidRPr="00EE4C2A">
        <w:rPr>
          <w:lang w:val="fr-FR"/>
        </w:rPr>
        <w:t>(4) lieux sûrs à Chongwe, Sesheke, Mansa et Chipata.</w:t>
      </w:r>
    </w:p>
    <w:p w14:paraId="1584698B" w14:textId="77777777" w:rsidR="00046F46" w:rsidRPr="00EE4C2A" w:rsidRDefault="00046F46" w:rsidP="00046F46">
      <w:pPr>
        <w:pStyle w:val="H1G"/>
        <w:rPr>
          <w:lang w:val="fr-FR"/>
        </w:rPr>
      </w:pPr>
      <w:bookmarkStart w:id="42" w:name="_Toc63937994"/>
      <w:r w:rsidRPr="00EE4C2A">
        <w:rPr>
          <w:lang w:val="fr-FR"/>
        </w:rPr>
        <w:tab/>
      </w:r>
      <w:r w:rsidRPr="00EE4C2A">
        <w:rPr>
          <w:lang w:val="fr-FR"/>
        </w:rPr>
        <w:tab/>
      </w:r>
      <w:r w:rsidRPr="00EE4C2A">
        <w:rPr>
          <w:bCs/>
          <w:lang w:val="fr-FR"/>
        </w:rPr>
        <w:t>Exploitation économique, notamment travail des enfants</w:t>
      </w:r>
      <w:bookmarkEnd w:id="42"/>
    </w:p>
    <w:p w14:paraId="13D1BC56"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28 a) de la liste de points établie </w:t>
      </w:r>
      <w:r>
        <w:rPr>
          <w:bCs/>
          <w:lang w:val="fr-FR"/>
        </w:rPr>
        <w:t xml:space="preserve">avant la soumission du rapport </w:t>
      </w:r>
    </w:p>
    <w:p w14:paraId="7032E39D" w14:textId="4DD32F21" w:rsidR="00046F46" w:rsidRPr="00EE4C2A" w:rsidRDefault="007647FF" w:rsidP="007647FF">
      <w:pPr>
        <w:pStyle w:val="H4G"/>
        <w:rPr>
          <w:lang w:val="fr-FR"/>
        </w:rPr>
      </w:pPr>
      <w:r>
        <w:rPr>
          <w:lang w:val="fr-FR"/>
        </w:rPr>
        <w:tab/>
      </w:r>
      <w:r>
        <w:rPr>
          <w:lang w:val="fr-FR"/>
        </w:rPr>
        <w:tab/>
      </w:r>
      <w:r w:rsidR="00046F46" w:rsidRPr="00EE4C2A">
        <w:rPr>
          <w:lang w:val="fr-FR"/>
        </w:rPr>
        <w:t>Les mesures prises sont les suivantes :</w:t>
      </w:r>
    </w:p>
    <w:p w14:paraId="6B52FCF6" w14:textId="55F5B5F1" w:rsidR="00046F46" w:rsidRPr="00EE4C2A" w:rsidRDefault="00046F46" w:rsidP="00046F46">
      <w:pPr>
        <w:pStyle w:val="SingleTxtG"/>
        <w:rPr>
          <w:lang w:val="fr-FR"/>
        </w:rPr>
      </w:pPr>
      <w:r w:rsidRPr="00EE4C2A">
        <w:rPr>
          <w:lang w:val="fr-FR"/>
        </w:rPr>
        <w:t>163.</w:t>
      </w:r>
      <w:r w:rsidRPr="00EE4C2A">
        <w:rPr>
          <w:lang w:val="fr-FR"/>
        </w:rPr>
        <w:tab/>
        <w:t>L</w:t>
      </w:r>
      <w:r w:rsidR="008279BF">
        <w:rPr>
          <w:lang w:val="fr-FR"/>
        </w:rPr>
        <w:t>’</w:t>
      </w:r>
      <w:r w:rsidRPr="00EE4C2A">
        <w:rPr>
          <w:lang w:val="fr-FR"/>
        </w:rPr>
        <w:t>État partie s</w:t>
      </w:r>
      <w:r w:rsidR="008279BF">
        <w:rPr>
          <w:lang w:val="fr-FR"/>
        </w:rPr>
        <w:t>’</w:t>
      </w:r>
      <w:r w:rsidRPr="00EE4C2A">
        <w:rPr>
          <w:lang w:val="fr-FR"/>
        </w:rPr>
        <w:t>attaque à la question du travail des enfants au moyen de lois et politiques qui encadrent les mesures de protection spéciales relatives à l</w:t>
      </w:r>
      <w:r w:rsidR="008279BF">
        <w:rPr>
          <w:lang w:val="fr-FR"/>
        </w:rPr>
        <w:t>’</w:t>
      </w:r>
      <w:r w:rsidRPr="00EE4C2A">
        <w:rPr>
          <w:lang w:val="fr-FR"/>
        </w:rPr>
        <w:t xml:space="preserve">exploitation économique et au travail des enfants, notamment avec la promulgation de la loi </w:t>
      </w:r>
      <w:r w:rsidR="007647FF" w:rsidRPr="007647FF">
        <w:rPr>
          <w:rFonts w:eastAsia="MS Mincho"/>
          <w:lang w:val="fr-FR"/>
        </w:rPr>
        <w:t>n</w:t>
      </w:r>
      <w:r w:rsidR="007647FF" w:rsidRPr="007647FF">
        <w:rPr>
          <w:rFonts w:eastAsia="MS Mincho"/>
          <w:vertAlign w:val="superscript"/>
          <w:lang w:val="fr-FR"/>
        </w:rPr>
        <w:t>o</w:t>
      </w:r>
      <w:r w:rsidR="007647FF">
        <w:rPr>
          <w:lang w:val="fr-FR"/>
        </w:rPr>
        <w:t xml:space="preserve"> </w:t>
      </w:r>
      <w:r w:rsidRPr="00EE4C2A">
        <w:rPr>
          <w:lang w:val="fr-FR"/>
        </w:rPr>
        <w:t>3</w:t>
      </w:r>
      <w:r w:rsidR="007647FF">
        <w:rPr>
          <w:lang w:val="fr-FR"/>
        </w:rPr>
        <w:t xml:space="preserve"> </w:t>
      </w:r>
      <w:r w:rsidRPr="00EE4C2A">
        <w:rPr>
          <w:lang w:val="fr-FR"/>
        </w:rPr>
        <w:t>de</w:t>
      </w:r>
      <w:r w:rsidR="007647FF">
        <w:rPr>
          <w:lang w:val="fr-FR"/>
        </w:rPr>
        <w:t xml:space="preserve"> </w:t>
      </w:r>
      <w:r w:rsidRPr="00EE4C2A">
        <w:rPr>
          <w:lang w:val="fr-FR"/>
        </w:rPr>
        <w:t>2019 sur le Code du travail et l</w:t>
      </w:r>
      <w:r w:rsidR="008279BF">
        <w:rPr>
          <w:lang w:val="fr-FR"/>
        </w:rPr>
        <w:t>’</w:t>
      </w:r>
      <w:r w:rsidRPr="00EE4C2A">
        <w:rPr>
          <w:lang w:val="fr-FR"/>
        </w:rPr>
        <w:t>élaboration du Plan d</w:t>
      </w:r>
      <w:r w:rsidR="008279BF">
        <w:rPr>
          <w:lang w:val="fr-FR"/>
        </w:rPr>
        <w:t>’</w:t>
      </w:r>
      <w:r w:rsidRPr="00EE4C2A">
        <w:rPr>
          <w:lang w:val="fr-FR"/>
        </w:rPr>
        <w:t>action national pour l</w:t>
      </w:r>
      <w:r w:rsidR="008279BF">
        <w:rPr>
          <w:lang w:val="fr-FR"/>
        </w:rPr>
        <w:t>’</w:t>
      </w:r>
      <w:r w:rsidRPr="00EE4C2A">
        <w:rPr>
          <w:lang w:val="fr-FR"/>
        </w:rPr>
        <w:t>élimination du travail des enfants</w:t>
      </w:r>
      <w:r w:rsidR="007647FF">
        <w:rPr>
          <w:lang w:val="fr-FR"/>
        </w:rPr>
        <w:t xml:space="preserve"> </w:t>
      </w:r>
      <w:r w:rsidRPr="00EE4C2A">
        <w:rPr>
          <w:lang w:val="fr-FR"/>
        </w:rPr>
        <w:t>(2020, à l</w:t>
      </w:r>
      <w:r w:rsidR="008279BF">
        <w:rPr>
          <w:lang w:val="fr-FR"/>
        </w:rPr>
        <w:t>’</w:t>
      </w:r>
      <w:r w:rsidRPr="00EE4C2A">
        <w:rPr>
          <w:lang w:val="fr-FR"/>
        </w:rPr>
        <w:t>état de projet).</w:t>
      </w:r>
    </w:p>
    <w:p w14:paraId="69BF5E2E" w14:textId="642C7DA9" w:rsidR="00046F46" w:rsidRPr="00EE4C2A" w:rsidRDefault="00046F46" w:rsidP="00046F46">
      <w:pPr>
        <w:pStyle w:val="SingleTxtG"/>
        <w:rPr>
          <w:lang w:val="fr-FR"/>
        </w:rPr>
      </w:pPr>
      <w:r w:rsidRPr="00EE4C2A">
        <w:rPr>
          <w:lang w:val="fr-FR"/>
        </w:rPr>
        <w:t>164.</w:t>
      </w:r>
      <w:r w:rsidRPr="00EE4C2A">
        <w:rPr>
          <w:lang w:val="fr-FR"/>
        </w:rPr>
        <w:tab/>
        <w:t>En outre, l</w:t>
      </w:r>
      <w:r w:rsidR="008279BF">
        <w:rPr>
          <w:lang w:val="fr-FR"/>
        </w:rPr>
        <w:t>’</w:t>
      </w:r>
      <w:r w:rsidRPr="00EE4C2A">
        <w:rPr>
          <w:lang w:val="fr-FR"/>
        </w:rPr>
        <w:t>État partie, en collaboration avec des acteurs étatiques et non étatiques, entreprend des projets visant à lutter contre le travail des enfants dans les communautés par l</w:t>
      </w:r>
      <w:r w:rsidR="008279BF">
        <w:rPr>
          <w:lang w:val="fr-FR"/>
        </w:rPr>
        <w:t>’</w:t>
      </w:r>
      <w:r w:rsidRPr="00EE4C2A">
        <w:rPr>
          <w:lang w:val="fr-FR"/>
        </w:rPr>
        <w:t>intermédiaire des Comités de district sur le travail des enfants</w:t>
      </w:r>
      <w:r w:rsidR="007647FF">
        <w:rPr>
          <w:lang w:val="fr-FR"/>
        </w:rPr>
        <w:t xml:space="preserve"> </w:t>
      </w:r>
      <w:r w:rsidRPr="00EE4C2A">
        <w:rPr>
          <w:lang w:val="fr-FR"/>
        </w:rPr>
        <w:t>(DCLC) et des Comités communautaires sur le travail des enfants</w:t>
      </w:r>
      <w:r w:rsidR="007647FF">
        <w:rPr>
          <w:lang w:val="fr-FR"/>
        </w:rPr>
        <w:t xml:space="preserve"> </w:t>
      </w:r>
      <w:r w:rsidRPr="00EE4C2A">
        <w:rPr>
          <w:lang w:val="fr-FR"/>
        </w:rPr>
        <w:t>(CCLC). Ces interventions visent principalement à faire en sorte que les enfants sortis du marché du travail soient inscrits dans le système éducatif. Les Comités communautaires sur le travail des enfants</w:t>
      </w:r>
      <w:r w:rsidR="007647FF">
        <w:rPr>
          <w:lang w:val="fr-FR"/>
        </w:rPr>
        <w:t xml:space="preserve"> </w:t>
      </w:r>
      <w:r w:rsidRPr="00EE4C2A">
        <w:rPr>
          <w:lang w:val="fr-FR"/>
        </w:rPr>
        <w:t>(CCLC) sont également chargés de surveiller la situation dans leurs communautés respectives afin de veiller à ce que les enfants ne soient pas soumis à des formes de travail.</w:t>
      </w:r>
    </w:p>
    <w:p w14:paraId="6D8CEB71" w14:textId="6A5F8DD7" w:rsidR="00046F46" w:rsidRPr="00EE4C2A" w:rsidRDefault="00046F46" w:rsidP="00046F46">
      <w:pPr>
        <w:pStyle w:val="SingleTxtG"/>
        <w:rPr>
          <w:lang w:val="fr-FR"/>
        </w:rPr>
      </w:pPr>
      <w:r w:rsidRPr="00EE4C2A">
        <w:rPr>
          <w:lang w:val="fr-FR"/>
        </w:rPr>
        <w:t>165.</w:t>
      </w:r>
      <w:r w:rsidRPr="00EE4C2A">
        <w:rPr>
          <w:lang w:val="fr-FR"/>
        </w:rPr>
        <w:tab/>
        <w:t>Au niveau national, le Comité directeur national sur le travail des enfants</w:t>
      </w:r>
      <w:r w:rsidR="007647FF">
        <w:rPr>
          <w:lang w:val="fr-FR"/>
        </w:rPr>
        <w:t xml:space="preserve"> </w:t>
      </w:r>
      <w:r w:rsidRPr="00EE4C2A">
        <w:rPr>
          <w:lang w:val="fr-FR"/>
        </w:rPr>
        <w:t>(NCLSC) coordonne les activités liées au travail des enfants et fournit des critères pour l</w:t>
      </w:r>
      <w:r w:rsidR="008279BF">
        <w:rPr>
          <w:lang w:val="fr-FR"/>
        </w:rPr>
        <w:t>’</w:t>
      </w:r>
      <w:r w:rsidRPr="00EE4C2A">
        <w:rPr>
          <w:lang w:val="fr-FR"/>
        </w:rPr>
        <w:t>élaboration et la mise en œuvre des politiques.</w:t>
      </w:r>
    </w:p>
    <w:p w14:paraId="52313AFF"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28 b) de la liste de points établie </w:t>
      </w:r>
      <w:r>
        <w:rPr>
          <w:bCs/>
          <w:lang w:val="fr-FR"/>
        </w:rPr>
        <w:t xml:space="preserve">avant la soumission du rapport </w:t>
      </w:r>
    </w:p>
    <w:p w14:paraId="45B126AC" w14:textId="001E708A" w:rsidR="00046F46" w:rsidRPr="00EE4C2A" w:rsidRDefault="00046F46" w:rsidP="00046F46">
      <w:pPr>
        <w:pStyle w:val="SingleTxtG"/>
        <w:rPr>
          <w:lang w:val="fr-FR"/>
        </w:rPr>
      </w:pPr>
      <w:r w:rsidRPr="00EE4C2A">
        <w:rPr>
          <w:lang w:val="fr-FR"/>
        </w:rPr>
        <w:t>166.</w:t>
      </w:r>
      <w:r w:rsidRPr="00EE4C2A">
        <w:rPr>
          <w:lang w:val="fr-FR"/>
        </w:rPr>
        <w:tab/>
        <w:t>Au niveau microéconomique, l</w:t>
      </w:r>
      <w:r w:rsidR="008279BF">
        <w:rPr>
          <w:lang w:val="fr-FR"/>
        </w:rPr>
        <w:t>’</w:t>
      </w:r>
      <w:r w:rsidRPr="00EE4C2A">
        <w:rPr>
          <w:lang w:val="fr-FR"/>
        </w:rPr>
        <w:t>État partie a chargé le département du travail dans certains districts de promouvoir les droits des travailleurs et le travail décent en veillant au respect de la législation du travail, afin de favoriser l</w:t>
      </w:r>
      <w:r w:rsidR="008279BF">
        <w:rPr>
          <w:lang w:val="fr-FR"/>
        </w:rPr>
        <w:t>’</w:t>
      </w:r>
      <w:r w:rsidRPr="00EE4C2A">
        <w:rPr>
          <w:lang w:val="fr-FR"/>
        </w:rPr>
        <w:t>établissement et le maintien de relations harmonieuses entre employeurs et travailleurs, et de lutter contre le travail des enfants ainsi que le travail forcé dans ces districts. En septembre 2019, le département a coordonné une réunion d</w:t>
      </w:r>
      <w:r w:rsidR="008279BF">
        <w:rPr>
          <w:lang w:val="fr-FR"/>
        </w:rPr>
        <w:t>’</w:t>
      </w:r>
      <w:r w:rsidRPr="00EE4C2A">
        <w:rPr>
          <w:lang w:val="fr-FR"/>
        </w:rPr>
        <w:t>évaluation rapide entre l</w:t>
      </w:r>
      <w:r w:rsidR="008279BF">
        <w:rPr>
          <w:lang w:val="fr-FR"/>
        </w:rPr>
        <w:t>’</w:t>
      </w:r>
      <w:r w:rsidRPr="00EE4C2A">
        <w:rPr>
          <w:lang w:val="fr-FR"/>
        </w:rPr>
        <w:t>Organisation internationale du Travail</w:t>
      </w:r>
      <w:r w:rsidR="007647FF">
        <w:rPr>
          <w:lang w:val="fr-FR"/>
        </w:rPr>
        <w:t xml:space="preserve"> </w:t>
      </w:r>
      <w:r w:rsidRPr="00EE4C2A">
        <w:rPr>
          <w:lang w:val="fr-FR"/>
        </w:rPr>
        <w:t>(OIT) et les Comités de district sur le travail des enfants</w:t>
      </w:r>
      <w:r w:rsidR="007647FF">
        <w:rPr>
          <w:lang w:val="fr-FR"/>
        </w:rPr>
        <w:t xml:space="preserve"> </w:t>
      </w:r>
      <w:r w:rsidRPr="00EE4C2A">
        <w:rPr>
          <w:lang w:val="fr-FR"/>
        </w:rPr>
        <w:t>(DCLC), consacrée au manque d</w:t>
      </w:r>
      <w:r w:rsidR="008279BF">
        <w:rPr>
          <w:lang w:val="fr-FR"/>
        </w:rPr>
        <w:t>’</w:t>
      </w:r>
      <w:r w:rsidRPr="00EE4C2A">
        <w:rPr>
          <w:lang w:val="fr-FR"/>
        </w:rPr>
        <w:t>emplois décents. Le département, qui a également prévu de mettre en œuvre un projet sur la justice sociale et la pénurie de travail décent, s</w:t>
      </w:r>
      <w:r w:rsidR="008279BF">
        <w:rPr>
          <w:lang w:val="fr-FR"/>
        </w:rPr>
        <w:t>’</w:t>
      </w:r>
      <w:r w:rsidRPr="00EE4C2A">
        <w:rPr>
          <w:lang w:val="fr-FR"/>
        </w:rPr>
        <w:t>intéressera au système de suivi de la situation en matière de travail des enfants, à la prise en compte systématique des questions liées au travail des enfants et à la sensibilisation à ce problème.</w:t>
      </w:r>
    </w:p>
    <w:p w14:paraId="38256CC0" w14:textId="77777777" w:rsidR="00046F46" w:rsidRPr="00EE4C2A" w:rsidRDefault="00046F46" w:rsidP="00046F46">
      <w:pPr>
        <w:pStyle w:val="H1G"/>
        <w:rPr>
          <w:lang w:val="fr-FR"/>
        </w:rPr>
      </w:pPr>
      <w:bookmarkStart w:id="43" w:name="_Toc63937995"/>
      <w:r w:rsidRPr="00EE4C2A">
        <w:rPr>
          <w:lang w:val="fr-FR"/>
        </w:rPr>
        <w:tab/>
      </w:r>
      <w:r w:rsidRPr="00EE4C2A">
        <w:rPr>
          <w:lang w:val="fr-FR"/>
        </w:rPr>
        <w:tab/>
      </w:r>
      <w:r w:rsidRPr="00EE4C2A">
        <w:rPr>
          <w:bCs/>
          <w:lang w:val="fr-FR"/>
        </w:rPr>
        <w:t>Enfants en situation de rue</w:t>
      </w:r>
      <w:bookmarkEnd w:id="43"/>
    </w:p>
    <w:p w14:paraId="0EC9DA8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29 de la liste de points établie </w:t>
      </w:r>
      <w:r>
        <w:rPr>
          <w:bCs/>
          <w:lang w:val="fr-FR"/>
        </w:rPr>
        <w:t xml:space="preserve">avant la soumission du rapport </w:t>
      </w:r>
    </w:p>
    <w:p w14:paraId="70D1C356" w14:textId="7CDFCEC3" w:rsidR="00046F46" w:rsidRPr="00EE4C2A" w:rsidRDefault="00046F46" w:rsidP="00046F46">
      <w:pPr>
        <w:pStyle w:val="SingleTxtG"/>
        <w:rPr>
          <w:lang w:val="fr-FR"/>
        </w:rPr>
      </w:pPr>
      <w:r w:rsidRPr="00EE4C2A">
        <w:rPr>
          <w:lang w:val="fr-FR"/>
        </w:rPr>
        <w:t>167.</w:t>
      </w:r>
      <w:r w:rsidRPr="00EE4C2A">
        <w:rPr>
          <w:lang w:val="fr-FR"/>
        </w:rPr>
        <w:tab/>
        <w:t>En collaboration avec les parties prenantes, l</w:t>
      </w:r>
      <w:r w:rsidR="008279BF">
        <w:rPr>
          <w:lang w:val="fr-FR"/>
        </w:rPr>
        <w:t>’</w:t>
      </w:r>
      <w:r w:rsidRPr="00EE4C2A">
        <w:rPr>
          <w:lang w:val="fr-FR"/>
        </w:rPr>
        <w:t>État partie a mis en place des programmes visant à remédier au sort des enfants vivant dans la rue la journée ou en permanence, notamment : Retrait, réadaptation et réinsertion des enfants en situation de rue</w:t>
      </w:r>
      <w:r w:rsidR="007647FF">
        <w:rPr>
          <w:lang w:val="fr-FR"/>
        </w:rPr>
        <w:t xml:space="preserve"> −</w:t>
      </w:r>
      <w:r w:rsidRPr="00EE4C2A">
        <w:rPr>
          <w:lang w:val="fr-FR"/>
        </w:rPr>
        <w:t> cette action est menée par des spécialistes de la protection de l</w:t>
      </w:r>
      <w:r w:rsidR="008279BF">
        <w:rPr>
          <w:lang w:val="fr-FR"/>
        </w:rPr>
        <w:t>’</w:t>
      </w:r>
      <w:r w:rsidRPr="00EE4C2A">
        <w:rPr>
          <w:lang w:val="fr-FR"/>
        </w:rPr>
        <w:t>enfance</w:t>
      </w:r>
      <w:r w:rsidR="007647FF">
        <w:rPr>
          <w:lang w:val="fr-FR"/>
        </w:rPr>
        <w:t xml:space="preserve"> </w:t>
      </w:r>
      <w:r w:rsidRPr="00EE4C2A">
        <w:rPr>
          <w:lang w:val="fr-FR"/>
        </w:rPr>
        <w:t>(policiers) et des organisations d</w:t>
      </w:r>
      <w:r w:rsidR="008279BF">
        <w:rPr>
          <w:lang w:val="fr-FR"/>
        </w:rPr>
        <w:t>’</w:t>
      </w:r>
      <w:r w:rsidRPr="00EE4C2A">
        <w:rPr>
          <w:lang w:val="fr-FR"/>
        </w:rPr>
        <w:t>éducateurs des rues formés aux droits de l</w:t>
      </w:r>
      <w:r w:rsidR="008279BF">
        <w:rPr>
          <w:lang w:val="fr-FR"/>
        </w:rPr>
        <w:t>’</w:t>
      </w:r>
      <w:r w:rsidRPr="00EE4C2A">
        <w:rPr>
          <w:lang w:val="fr-FR"/>
        </w:rPr>
        <w:t xml:space="preserve">enfant et menant des programmes de sensibilisation dans la rue pour informer les enfants sur ses dangers. Les enfants retirés de </w:t>
      </w:r>
      <w:r w:rsidRPr="00EE4C2A">
        <w:rPr>
          <w:lang w:val="fr-FR"/>
        </w:rPr>
        <w:lastRenderedPageBreak/>
        <w:t>la rue sont confiés à des refuges où ils sont examinés et soignés si des maladies sont diagnostiquées. Des recherches sont ensuite effectuées pour déterminer la situation des ménages d</w:t>
      </w:r>
      <w:r w:rsidR="008279BF">
        <w:rPr>
          <w:lang w:val="fr-FR"/>
        </w:rPr>
        <w:t>’</w:t>
      </w:r>
      <w:r w:rsidRPr="00EE4C2A">
        <w:rPr>
          <w:lang w:val="fr-FR"/>
        </w:rPr>
        <w:t>où ces enfants sont issus. Des services, notamment des bourses scolaires, sont proposés aux enfants qui expriment leur volonté de retourner à l</w:t>
      </w:r>
      <w:r w:rsidR="008279BF">
        <w:rPr>
          <w:lang w:val="fr-FR"/>
        </w:rPr>
        <w:t>’</w:t>
      </w:r>
      <w:r w:rsidRPr="00EE4C2A">
        <w:rPr>
          <w:lang w:val="fr-FR"/>
        </w:rPr>
        <w:t>école. Les enfants qui optent pour des formations professionnelles ont la possibilité de suivre des formations en agriculture, mécanique, maçonnerie, plâtrerie, charpenterie, menuiserie et restauration, etc. Ces formations ne sont dispensées qu</w:t>
      </w:r>
      <w:r w:rsidR="008279BF">
        <w:rPr>
          <w:lang w:val="fr-FR"/>
        </w:rPr>
        <w:t>’</w:t>
      </w:r>
      <w:r w:rsidRPr="00EE4C2A">
        <w:rPr>
          <w:lang w:val="fr-FR"/>
        </w:rPr>
        <w:t>aux enfants âgés de plus de</w:t>
      </w:r>
      <w:r w:rsidR="007647FF">
        <w:rPr>
          <w:lang w:val="fr-FR"/>
        </w:rPr>
        <w:t xml:space="preserve"> </w:t>
      </w:r>
      <w:r w:rsidRPr="00EE4C2A">
        <w:rPr>
          <w:lang w:val="fr-FR"/>
        </w:rPr>
        <w:t>15 ans. Au cours de la période</w:t>
      </w:r>
      <w:r w:rsidR="007647FF">
        <w:rPr>
          <w:lang w:val="fr-FR"/>
        </w:rPr>
        <w:t xml:space="preserve"> </w:t>
      </w:r>
      <w:r w:rsidRPr="00EE4C2A">
        <w:rPr>
          <w:lang w:val="fr-FR"/>
        </w:rPr>
        <w:t>2012-2018, 4 400 enfants ont été retirés de la rue dans tout le pays, dont</w:t>
      </w:r>
      <w:r w:rsidR="007647FF">
        <w:rPr>
          <w:lang w:val="fr-FR"/>
        </w:rPr>
        <w:t xml:space="preserve"> </w:t>
      </w:r>
      <w:r w:rsidRPr="00EE4C2A">
        <w:rPr>
          <w:lang w:val="fr-FR"/>
        </w:rPr>
        <w:t>75 % (3 150) étaient des garçons et 25 % (1 050) des filles.</w:t>
      </w:r>
    </w:p>
    <w:p w14:paraId="3A3FA6F7" w14:textId="027B8090" w:rsidR="00046F46" w:rsidRPr="00EE4C2A" w:rsidRDefault="00046F46" w:rsidP="00046F46">
      <w:pPr>
        <w:pStyle w:val="SingleTxtG"/>
        <w:rPr>
          <w:lang w:val="fr-FR"/>
        </w:rPr>
      </w:pPr>
      <w:r w:rsidRPr="00EE4C2A">
        <w:rPr>
          <w:lang w:val="fr-FR"/>
        </w:rPr>
        <w:t>168.</w:t>
      </w:r>
      <w:r w:rsidRPr="00EE4C2A">
        <w:rPr>
          <w:lang w:val="fr-FR"/>
        </w:rPr>
        <w:tab/>
        <w:t>Autonomisation des familles des enfants en situation de rue</w:t>
      </w:r>
      <w:r w:rsidR="007647FF">
        <w:rPr>
          <w:lang w:val="fr-FR"/>
        </w:rPr>
        <w:t xml:space="preserve"> −</w:t>
      </w:r>
      <w:r w:rsidRPr="00EE4C2A">
        <w:rPr>
          <w:lang w:val="fr-FR"/>
        </w:rPr>
        <w:t> dans le cadre de ce programme, les représentant légaux et les parents des enfants vivant dans la rue la journée ou en permanence sont identifiés et dotés de compétences leur permettant d</w:t>
      </w:r>
      <w:r w:rsidR="008279BF">
        <w:rPr>
          <w:lang w:val="fr-FR"/>
        </w:rPr>
        <w:t>’</w:t>
      </w:r>
      <w:r w:rsidRPr="00EE4C2A">
        <w:rPr>
          <w:lang w:val="fr-FR"/>
        </w:rPr>
        <w:t>exercer des activités génératrices de revenus. À l</w:t>
      </w:r>
      <w:r w:rsidR="008279BF">
        <w:rPr>
          <w:lang w:val="fr-FR"/>
        </w:rPr>
        <w:t>’</w:t>
      </w:r>
      <w:r w:rsidRPr="00EE4C2A">
        <w:rPr>
          <w:lang w:val="fr-FR"/>
        </w:rPr>
        <w:t xml:space="preserve">issue de ces formations, les représentant légaux et les parents reçoivent un capital de départ pour entreprendre des activités génératrices de revenus </w:t>
      </w:r>
      <w:r>
        <w:rPr>
          <w:lang w:val="fr-FR"/>
        </w:rPr>
        <w:t>et</w:t>
      </w:r>
      <w:r w:rsidRPr="00EE4C2A">
        <w:rPr>
          <w:lang w:val="fr-FR"/>
        </w:rPr>
        <w:t xml:space="preserve"> compléter </w:t>
      </w:r>
      <w:r>
        <w:rPr>
          <w:lang w:val="fr-FR"/>
        </w:rPr>
        <w:t xml:space="preserve">ainsi </w:t>
      </w:r>
      <w:r w:rsidRPr="00EE4C2A">
        <w:rPr>
          <w:lang w:val="fr-FR"/>
        </w:rPr>
        <w:t>les moyens de subsistance de leur famille et éviter que les enfants ne retournent dans la rue. Transferts sociaux en espèces</w:t>
      </w:r>
      <w:r w:rsidR="007647FF">
        <w:rPr>
          <w:lang w:val="fr-FR"/>
        </w:rPr>
        <w:t xml:space="preserve"> −</w:t>
      </w:r>
      <w:r w:rsidRPr="00EE4C2A">
        <w:rPr>
          <w:lang w:val="fr-FR"/>
        </w:rPr>
        <w:t> le Département de la protection sociale fournit un soutien financier mensuel aux ménages vulnérables et à ceux dirigés par des enfants. Les familles et les représentant légaux des enfants vivant dans la rue la journée ou en permanence bénéficient également de ce programme.</w:t>
      </w:r>
    </w:p>
    <w:p w14:paraId="36F51AC9" w14:textId="77777777" w:rsidR="00046F46" w:rsidRPr="00EE4C2A" w:rsidRDefault="00046F46" w:rsidP="00046F46">
      <w:pPr>
        <w:pStyle w:val="H1G"/>
        <w:rPr>
          <w:lang w:val="fr-FR"/>
        </w:rPr>
      </w:pPr>
      <w:bookmarkStart w:id="44" w:name="_Toc63937996"/>
      <w:r w:rsidRPr="00EE4C2A">
        <w:rPr>
          <w:lang w:val="fr-FR"/>
        </w:rPr>
        <w:tab/>
      </w:r>
      <w:r w:rsidRPr="00EE4C2A">
        <w:rPr>
          <w:lang w:val="fr-FR"/>
        </w:rPr>
        <w:tab/>
      </w:r>
      <w:r w:rsidRPr="00EE4C2A">
        <w:rPr>
          <w:bCs/>
          <w:lang w:val="fr-FR"/>
        </w:rPr>
        <w:t>Administration de la justice pour enfants</w:t>
      </w:r>
      <w:bookmarkEnd w:id="44"/>
    </w:p>
    <w:p w14:paraId="74116EA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30 de la liste de points établie </w:t>
      </w:r>
      <w:r>
        <w:rPr>
          <w:bCs/>
          <w:lang w:val="fr-FR"/>
        </w:rPr>
        <w:t>avant la soumission du rapport</w:t>
      </w:r>
    </w:p>
    <w:p w14:paraId="5BCFE4FF" w14:textId="761B6AEB" w:rsidR="00046F46" w:rsidRPr="00EE4C2A" w:rsidRDefault="00046F46" w:rsidP="00046F46">
      <w:pPr>
        <w:pStyle w:val="SingleTxtG"/>
        <w:rPr>
          <w:lang w:val="fr-FR"/>
        </w:rPr>
      </w:pPr>
      <w:r w:rsidRPr="00EE4C2A">
        <w:rPr>
          <w:lang w:val="fr-FR"/>
        </w:rPr>
        <w:t>169.</w:t>
      </w:r>
      <w:r w:rsidRPr="00EE4C2A">
        <w:rPr>
          <w:lang w:val="fr-FR"/>
        </w:rPr>
        <w:tab/>
        <w:t>En ce qui concerne les mesures visant à permettre au tribunal spécialisé de fonctionner, l</w:t>
      </w:r>
      <w:r w:rsidR="008279BF">
        <w:rPr>
          <w:lang w:val="fr-FR"/>
        </w:rPr>
        <w:t>’</w:t>
      </w:r>
      <w:r w:rsidRPr="00EE4C2A">
        <w:rPr>
          <w:lang w:val="fr-FR"/>
        </w:rPr>
        <w:t>État partie souhaite rapporter que des textes réglementaires ont été adoptés pour donner compétence au tribunal des affaires familiales et des enfants dans les domaines suivants : divorces, séparations de corps, différends relatifs à la garde des enfants, prestations compensatoires, demandes relatives à la faute intentionnelle en matière d</w:t>
      </w:r>
      <w:r w:rsidR="008279BF">
        <w:rPr>
          <w:lang w:val="fr-FR"/>
        </w:rPr>
        <w:t>’</w:t>
      </w:r>
      <w:r w:rsidRPr="00EE4C2A">
        <w:rPr>
          <w:lang w:val="fr-FR"/>
        </w:rPr>
        <w:t>aménagement du droit de propriété, adoptions, demandes au titre de la loi sur la légitimité, différends en matière de succession légale, testaments et administration des successions, reconnaissances de paternité et adoptions y afférentes, et toutes les procédures d</w:t>
      </w:r>
      <w:r w:rsidR="008279BF">
        <w:rPr>
          <w:lang w:val="fr-FR"/>
        </w:rPr>
        <w:t>’</w:t>
      </w:r>
      <w:r w:rsidRPr="00EE4C2A">
        <w:rPr>
          <w:lang w:val="fr-FR"/>
        </w:rPr>
        <w:t>appel relatives à la famille et à l</w:t>
      </w:r>
      <w:r w:rsidR="008279BF">
        <w:rPr>
          <w:lang w:val="fr-FR"/>
        </w:rPr>
        <w:t>’</w:t>
      </w:r>
      <w:r w:rsidRPr="00EE4C2A">
        <w:rPr>
          <w:lang w:val="fr-FR"/>
        </w:rPr>
        <w:t>enfance émanant des juridictions inférieures. Lesdits textes n</w:t>
      </w:r>
      <w:r w:rsidR="008279BF">
        <w:rPr>
          <w:lang w:val="fr-FR"/>
        </w:rPr>
        <w:t>’</w:t>
      </w:r>
      <w:r w:rsidRPr="00EE4C2A">
        <w:rPr>
          <w:lang w:val="fr-FR"/>
        </w:rPr>
        <w:t>établissent aucune distinction entre le tribunal des affaires familiales et le tribunal pour enfants. Pour des raisons administratives et en l</w:t>
      </w:r>
      <w:r w:rsidR="008279BF">
        <w:rPr>
          <w:lang w:val="fr-FR"/>
        </w:rPr>
        <w:t>’</w:t>
      </w:r>
      <w:r w:rsidRPr="00EE4C2A">
        <w:rPr>
          <w:lang w:val="fr-FR"/>
        </w:rPr>
        <w:t>absence de moyens financiers permettant de créer des tribunaux distincts, ces tribunaux doivent fonctionner comme un tribunal unique. Il est question de créer des tribunaux pour enfants au niveau des juridictions inférieures, mais il n</w:t>
      </w:r>
      <w:r w:rsidR="008279BF">
        <w:rPr>
          <w:lang w:val="fr-FR"/>
        </w:rPr>
        <w:t>’</w:t>
      </w:r>
      <w:r w:rsidRPr="00EE4C2A">
        <w:rPr>
          <w:lang w:val="fr-FR"/>
        </w:rPr>
        <w:t>existe pas de cadre juridique pour cela à l</w:t>
      </w:r>
      <w:r w:rsidR="008279BF">
        <w:rPr>
          <w:lang w:val="fr-FR"/>
        </w:rPr>
        <w:t>’</w:t>
      </w:r>
      <w:r w:rsidRPr="00EE4C2A">
        <w:rPr>
          <w:lang w:val="fr-FR"/>
        </w:rPr>
        <w:t>heure actuelle.</w:t>
      </w:r>
    </w:p>
    <w:p w14:paraId="5190F81B" w14:textId="052B983A" w:rsidR="00046F46" w:rsidRPr="00EE4C2A" w:rsidRDefault="00046F46" w:rsidP="00046F46">
      <w:pPr>
        <w:pStyle w:val="SingleTxtG"/>
        <w:rPr>
          <w:lang w:val="fr-FR"/>
        </w:rPr>
      </w:pPr>
      <w:r w:rsidRPr="00EE4C2A">
        <w:rPr>
          <w:lang w:val="fr-FR"/>
        </w:rPr>
        <w:t>170.</w:t>
      </w:r>
      <w:r w:rsidRPr="00EE4C2A">
        <w:rPr>
          <w:lang w:val="fr-FR"/>
        </w:rPr>
        <w:tab/>
        <w:t xml:space="preserve">La Chambre des affaires familiales est dirigée par un juge en chef nommé par le </w:t>
      </w:r>
      <w:r w:rsidR="007647FF" w:rsidRPr="00EE4C2A">
        <w:rPr>
          <w:lang w:val="fr-FR"/>
        </w:rPr>
        <w:t>P</w:t>
      </w:r>
      <w:r w:rsidRPr="00EE4C2A">
        <w:rPr>
          <w:lang w:val="fr-FR"/>
        </w:rPr>
        <w:t>résident de la Haute Cour. Un juge a récemment été nommé à cette Chambre, mais la plupart des affaires relevant de la Chambre des affaires familiales et des enfants sont inscrites au rôle général et confiées à des juges de la Haute Cour. Toutefois, au moins 40 % des affaires sont jugées par le juge en chef. Il est nécessaire d</w:t>
      </w:r>
      <w:r w:rsidR="008279BF">
        <w:rPr>
          <w:lang w:val="fr-FR"/>
        </w:rPr>
        <w:t>’</w:t>
      </w:r>
      <w:r w:rsidRPr="00EE4C2A">
        <w:rPr>
          <w:lang w:val="fr-FR"/>
        </w:rPr>
        <w:t>adopter une législation pour faciliter le fonctionnement de la Chambre des affaires familiales. Le processus de rédaction de plusieurs textes de loi a donc été lancé en</w:t>
      </w:r>
      <w:r w:rsidR="007647FF">
        <w:rPr>
          <w:lang w:val="fr-FR"/>
        </w:rPr>
        <w:t xml:space="preserve"> </w:t>
      </w:r>
      <w:r w:rsidRPr="00EE4C2A">
        <w:rPr>
          <w:lang w:val="fr-FR"/>
        </w:rPr>
        <w:t>2017, mais le Ministère de la justice ne l</w:t>
      </w:r>
      <w:r w:rsidR="008279BF">
        <w:rPr>
          <w:lang w:val="fr-FR"/>
        </w:rPr>
        <w:t>’</w:t>
      </w:r>
      <w:r w:rsidRPr="00EE4C2A">
        <w:rPr>
          <w:lang w:val="fr-FR"/>
        </w:rPr>
        <w:t xml:space="preserve">a pas encore mené à son terme. La Cour a également entamé la révision de la législation relative à la famille et aux enfants, en collaboration avec la Commission zambienne de développement du droit et le Ministère de la </w:t>
      </w:r>
      <w:r w:rsidR="007647FF" w:rsidRPr="00EE4C2A">
        <w:rPr>
          <w:lang w:val="fr-FR"/>
        </w:rPr>
        <w:t>j</w:t>
      </w:r>
      <w:r w:rsidRPr="00EE4C2A">
        <w:rPr>
          <w:lang w:val="fr-FR"/>
        </w:rPr>
        <w:t>ustice. L</w:t>
      </w:r>
      <w:r w:rsidR="008279BF">
        <w:rPr>
          <w:lang w:val="fr-FR"/>
        </w:rPr>
        <w:t>’</w:t>
      </w:r>
      <w:r w:rsidRPr="00EE4C2A">
        <w:rPr>
          <w:lang w:val="fr-FR"/>
        </w:rPr>
        <w:t>objectif est d</w:t>
      </w:r>
      <w:r w:rsidR="008279BF">
        <w:rPr>
          <w:lang w:val="fr-FR"/>
        </w:rPr>
        <w:t>’</w:t>
      </w:r>
      <w:r w:rsidRPr="00EE4C2A">
        <w:rPr>
          <w:lang w:val="fr-FR"/>
        </w:rPr>
        <w:t>harmoniser les différents textes législatifs en matière de droit de la famille et des enfants. La Chambre a également entrepris de mettre en place des antennes pour les familles et les enfants dans plusieurs districts du pays. En effet, il est nécessaire que le tribunal des affaires familiales puisse opérer au-delà des limites géographiques de la Haute Cour de Lusaka. Il est prévu de nommer d</w:t>
      </w:r>
      <w:r w:rsidR="008279BF">
        <w:rPr>
          <w:lang w:val="fr-FR"/>
        </w:rPr>
        <w:t>’</w:t>
      </w:r>
      <w:r w:rsidRPr="00EE4C2A">
        <w:rPr>
          <w:lang w:val="fr-FR"/>
        </w:rPr>
        <w:t>autres juges au cours de l</w:t>
      </w:r>
      <w:r w:rsidR="008279BF">
        <w:rPr>
          <w:lang w:val="fr-FR"/>
        </w:rPr>
        <w:t>’</w:t>
      </w:r>
      <w:r w:rsidRPr="00EE4C2A">
        <w:rPr>
          <w:lang w:val="fr-FR"/>
        </w:rPr>
        <w:t>année 2021 et d</w:t>
      </w:r>
      <w:r w:rsidR="008279BF">
        <w:rPr>
          <w:lang w:val="fr-FR"/>
        </w:rPr>
        <w:t>’</w:t>
      </w:r>
      <w:r w:rsidRPr="00EE4C2A">
        <w:rPr>
          <w:lang w:val="fr-FR"/>
        </w:rPr>
        <w:t>entreprendre d</w:t>
      </w:r>
      <w:r w:rsidR="008279BF">
        <w:rPr>
          <w:lang w:val="fr-FR"/>
        </w:rPr>
        <w:t>’</w:t>
      </w:r>
      <w:r w:rsidRPr="00EE4C2A">
        <w:rPr>
          <w:lang w:val="fr-FR"/>
        </w:rPr>
        <w:t>autres activités, telles que la formation des magistrats, pour permettre au tribunal de fonctionner.</w:t>
      </w:r>
    </w:p>
    <w:p w14:paraId="418B0C1C"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30 a) de la liste de points établie </w:t>
      </w:r>
      <w:r>
        <w:rPr>
          <w:bCs/>
          <w:lang w:val="fr-FR"/>
        </w:rPr>
        <w:t>avant la soumission du rapport</w:t>
      </w:r>
    </w:p>
    <w:p w14:paraId="0E5C6205" w14:textId="28CF27F0" w:rsidR="00046F46" w:rsidRPr="00EE4C2A" w:rsidRDefault="007647FF" w:rsidP="007647FF">
      <w:pPr>
        <w:pStyle w:val="H4G"/>
        <w:rPr>
          <w:lang w:val="fr-FR"/>
        </w:rPr>
      </w:pPr>
      <w:r>
        <w:rPr>
          <w:lang w:val="fr-FR"/>
        </w:rPr>
        <w:tab/>
      </w:r>
      <w:r>
        <w:rPr>
          <w:lang w:val="fr-FR"/>
        </w:rPr>
        <w:tab/>
      </w:r>
      <w:r w:rsidR="00046F46" w:rsidRPr="00EE4C2A">
        <w:rPr>
          <w:lang w:val="fr-FR"/>
        </w:rPr>
        <w:t>Mesures prises pour mettre en œuvre les recommandations :</w:t>
      </w:r>
    </w:p>
    <w:p w14:paraId="0929171D" w14:textId="6FAFF743" w:rsidR="00046F46" w:rsidRPr="00EE4C2A" w:rsidRDefault="00046F46" w:rsidP="00046F46">
      <w:pPr>
        <w:pStyle w:val="SingleTxtG"/>
        <w:rPr>
          <w:lang w:val="fr-FR"/>
        </w:rPr>
      </w:pPr>
      <w:r w:rsidRPr="00EE4C2A">
        <w:rPr>
          <w:lang w:val="fr-FR"/>
        </w:rPr>
        <w:t>171.</w:t>
      </w:r>
      <w:r w:rsidRPr="00EE4C2A">
        <w:rPr>
          <w:lang w:val="fr-FR"/>
        </w:rPr>
        <w:tab/>
        <w:t>En ce qui concerne le relèvement de l</w:t>
      </w:r>
      <w:r w:rsidR="008279BF">
        <w:rPr>
          <w:lang w:val="fr-FR"/>
        </w:rPr>
        <w:t>’</w:t>
      </w:r>
      <w:r w:rsidRPr="00EE4C2A">
        <w:rPr>
          <w:lang w:val="fr-FR"/>
        </w:rPr>
        <w:t>âge de la responsabilité pénale, l</w:t>
      </w:r>
      <w:r w:rsidR="008279BF">
        <w:rPr>
          <w:lang w:val="fr-FR"/>
        </w:rPr>
        <w:t>’</w:t>
      </w:r>
      <w:r w:rsidRPr="00EE4C2A">
        <w:rPr>
          <w:lang w:val="fr-FR"/>
        </w:rPr>
        <w:t>État partie souhaite rapporter que le projet de loi relatif au Code de l</w:t>
      </w:r>
      <w:r w:rsidR="008279BF">
        <w:rPr>
          <w:lang w:val="fr-FR"/>
        </w:rPr>
        <w:t>’</w:t>
      </w:r>
      <w:r w:rsidRPr="00EE4C2A">
        <w:rPr>
          <w:lang w:val="fr-FR"/>
        </w:rPr>
        <w:t>enfance, qui fusionne les différents textes législatifs relatifs à l</w:t>
      </w:r>
      <w:r w:rsidR="008279BF">
        <w:rPr>
          <w:lang w:val="fr-FR"/>
        </w:rPr>
        <w:t>’</w:t>
      </w:r>
      <w:r w:rsidRPr="00EE4C2A">
        <w:rPr>
          <w:lang w:val="fr-FR"/>
        </w:rPr>
        <w:t>enfance et intègre les dispositions pertinentes de la Convention relative aux droits de l</w:t>
      </w:r>
      <w:r w:rsidR="008279BF">
        <w:rPr>
          <w:lang w:val="fr-FR"/>
        </w:rPr>
        <w:t>’</w:t>
      </w:r>
      <w:r w:rsidRPr="00EE4C2A">
        <w:rPr>
          <w:lang w:val="fr-FR"/>
        </w:rPr>
        <w:t>enfant, est dans sa phase finale et doit être présenté au Parlement à sa prochaine session, en février</w:t>
      </w:r>
      <w:r w:rsidR="00330C8D">
        <w:rPr>
          <w:lang w:val="fr-FR"/>
        </w:rPr>
        <w:t xml:space="preserve"> </w:t>
      </w:r>
      <w:r w:rsidRPr="00EE4C2A">
        <w:rPr>
          <w:lang w:val="fr-FR"/>
        </w:rPr>
        <w:t>2021. Il est à noter que ce projet de loi prévoit le relèvement de l</w:t>
      </w:r>
      <w:r w:rsidR="008279BF">
        <w:rPr>
          <w:lang w:val="fr-FR"/>
        </w:rPr>
        <w:t>’</w:t>
      </w:r>
      <w:r w:rsidRPr="00EE4C2A">
        <w:rPr>
          <w:lang w:val="fr-FR"/>
        </w:rPr>
        <w:t>âge minimum de la responsabilité pénale, qui passerait de 8 à 12 ans. Il érige le mariage d</w:t>
      </w:r>
      <w:r w:rsidR="008279BF">
        <w:rPr>
          <w:lang w:val="fr-FR"/>
        </w:rPr>
        <w:t>’</w:t>
      </w:r>
      <w:r w:rsidRPr="00EE4C2A">
        <w:rPr>
          <w:lang w:val="fr-FR"/>
        </w:rPr>
        <w:t>enfants en infraction pénale, et prévoit expressément une protection contre le travail des enfants, les abus, les mauvais traitements et l</w:t>
      </w:r>
      <w:r w:rsidR="008279BF">
        <w:rPr>
          <w:lang w:val="fr-FR"/>
        </w:rPr>
        <w:t>’</w:t>
      </w:r>
      <w:r w:rsidRPr="00EE4C2A">
        <w:rPr>
          <w:lang w:val="fr-FR"/>
        </w:rPr>
        <w:t>exploitation sexuelle en ligne, qui est un phénomène émergent. Une partie du projet de loi relatif au Code de l</w:t>
      </w:r>
      <w:r w:rsidR="008279BF">
        <w:rPr>
          <w:lang w:val="fr-FR"/>
        </w:rPr>
        <w:t>’</w:t>
      </w:r>
      <w:r w:rsidRPr="00EE4C2A">
        <w:rPr>
          <w:lang w:val="fr-FR"/>
        </w:rPr>
        <w:t>enfance est consacrée aux droits de l</w:t>
      </w:r>
      <w:r w:rsidR="008279BF">
        <w:rPr>
          <w:lang w:val="fr-FR"/>
        </w:rPr>
        <w:t>’</w:t>
      </w:r>
      <w:r w:rsidRPr="00EE4C2A">
        <w:rPr>
          <w:lang w:val="fr-FR"/>
        </w:rPr>
        <w:t>enfant, afin de combler les lacunes de la Constitution. Cette partie énonce les droits de l</w:t>
      </w:r>
      <w:r w:rsidR="008279BF">
        <w:rPr>
          <w:lang w:val="fr-FR"/>
        </w:rPr>
        <w:t>’</w:t>
      </w:r>
      <w:r w:rsidRPr="00EE4C2A">
        <w:rPr>
          <w:lang w:val="fr-FR"/>
        </w:rPr>
        <w:t>enfant et consacre le principe de responsabilité et l</w:t>
      </w:r>
      <w:r w:rsidR="008279BF">
        <w:rPr>
          <w:lang w:val="fr-FR"/>
        </w:rPr>
        <w:t>’</w:t>
      </w:r>
      <w:r w:rsidRPr="00EE4C2A">
        <w:rPr>
          <w:lang w:val="fr-FR"/>
        </w:rPr>
        <w:t>obligation de rendre compte en matière de défense et de protection de ces droits.</w:t>
      </w:r>
    </w:p>
    <w:p w14:paraId="086856F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30 b) de la liste de points établie </w:t>
      </w:r>
      <w:r>
        <w:rPr>
          <w:bCs/>
          <w:lang w:val="fr-FR"/>
        </w:rPr>
        <w:t>avant la soumission du rapport</w:t>
      </w:r>
    </w:p>
    <w:p w14:paraId="25DD8B70" w14:textId="1D322F73" w:rsidR="00046F46" w:rsidRPr="00EE4C2A" w:rsidRDefault="00046F46" w:rsidP="00046F46">
      <w:pPr>
        <w:pStyle w:val="SingleTxtG"/>
        <w:rPr>
          <w:lang w:val="fr-FR"/>
        </w:rPr>
      </w:pPr>
      <w:r w:rsidRPr="00EE4C2A">
        <w:rPr>
          <w:lang w:val="fr-FR"/>
        </w:rPr>
        <w:t>172.</w:t>
      </w:r>
      <w:r w:rsidRPr="00EE4C2A">
        <w:rPr>
          <w:lang w:val="fr-FR"/>
        </w:rPr>
        <w:tab/>
        <w:t>En ce qui concerne l</w:t>
      </w:r>
      <w:r w:rsidR="008279BF">
        <w:rPr>
          <w:lang w:val="fr-FR"/>
        </w:rPr>
        <w:t>’</w:t>
      </w:r>
      <w:r w:rsidRPr="00EE4C2A">
        <w:rPr>
          <w:lang w:val="fr-FR"/>
        </w:rPr>
        <w:t>accès des enfants à l</w:t>
      </w:r>
      <w:r w:rsidR="008279BF">
        <w:rPr>
          <w:lang w:val="fr-FR"/>
        </w:rPr>
        <w:t>’</w:t>
      </w:r>
      <w:r w:rsidRPr="00EE4C2A">
        <w:rPr>
          <w:lang w:val="fr-FR"/>
        </w:rPr>
        <w:t>assistance gratuite d</w:t>
      </w:r>
      <w:r w:rsidR="008279BF">
        <w:rPr>
          <w:lang w:val="fr-FR"/>
        </w:rPr>
        <w:t>’</w:t>
      </w:r>
      <w:r w:rsidRPr="00EE4C2A">
        <w:rPr>
          <w:lang w:val="fr-FR"/>
        </w:rPr>
        <w:t>un avocat, l</w:t>
      </w:r>
      <w:r w:rsidR="008279BF">
        <w:rPr>
          <w:lang w:val="fr-FR"/>
        </w:rPr>
        <w:t>’</w:t>
      </w:r>
      <w:r w:rsidRPr="00EE4C2A">
        <w:rPr>
          <w:lang w:val="fr-FR"/>
        </w:rPr>
        <w:t>État partie souhaite rapporter qu</w:t>
      </w:r>
      <w:r w:rsidR="008279BF">
        <w:rPr>
          <w:lang w:val="fr-FR"/>
        </w:rPr>
        <w:t>’</w:t>
      </w:r>
      <w:r w:rsidRPr="00EE4C2A">
        <w:rPr>
          <w:lang w:val="fr-FR"/>
        </w:rPr>
        <w:t>avec l</w:t>
      </w:r>
      <w:r w:rsidR="008279BF">
        <w:rPr>
          <w:lang w:val="fr-FR"/>
        </w:rPr>
        <w:t>’</w:t>
      </w:r>
      <w:r w:rsidRPr="00EE4C2A">
        <w:rPr>
          <w:lang w:val="fr-FR"/>
        </w:rPr>
        <w:t>entrée en vigueur du Code de l</w:t>
      </w:r>
      <w:r w:rsidR="008279BF">
        <w:rPr>
          <w:lang w:val="fr-FR"/>
        </w:rPr>
        <w:t>’</w:t>
      </w:r>
      <w:r w:rsidRPr="00EE4C2A">
        <w:rPr>
          <w:lang w:val="fr-FR"/>
        </w:rPr>
        <w:t>enfance, les enfants devront obligatoirement être représentés par un avocat. Le Bureau de l</w:t>
      </w:r>
      <w:r w:rsidR="008279BF">
        <w:rPr>
          <w:lang w:val="fr-FR"/>
        </w:rPr>
        <w:t>’</w:t>
      </w:r>
      <w:r w:rsidRPr="00EE4C2A">
        <w:rPr>
          <w:lang w:val="fr-FR"/>
        </w:rPr>
        <w:t>aide juridictionnelle fournit des services juridiques gratuits aux personnes vulnérables, y compris aux enfants. Les praticiens du droit qui sont membres de la Law Association of Zambia</w:t>
      </w:r>
      <w:r w:rsidR="00330C8D">
        <w:rPr>
          <w:lang w:val="fr-FR"/>
        </w:rPr>
        <w:t xml:space="preserve"> </w:t>
      </w:r>
      <w:r w:rsidRPr="00EE4C2A">
        <w:rPr>
          <w:lang w:val="fr-FR"/>
        </w:rPr>
        <w:t>(LAZ) sont encouragés à fournir des services</w:t>
      </w:r>
      <w:r w:rsidR="00330C8D">
        <w:rPr>
          <w:lang w:val="fr-FR"/>
        </w:rPr>
        <w:t xml:space="preserve"> </w:t>
      </w:r>
      <w:r w:rsidRPr="00EE4C2A">
        <w:rPr>
          <w:i/>
          <w:iCs/>
          <w:lang w:val="fr-FR"/>
        </w:rPr>
        <w:t>pro bono</w:t>
      </w:r>
      <w:r w:rsidRPr="00EE4C2A">
        <w:rPr>
          <w:lang w:val="fr-FR"/>
        </w:rPr>
        <w:t>. Les avocats en exercice et ceux en formation sont tenus de fournir des services juridiques gratuits aux personnes vulnérables. Actuellement, le Département de la protection sociale dispose de fonctionnaires habilités par la loi à accompagner les enfants au tribunal, mais ces personnes ne représentent pas les enfants devant les tribunaux. Ces fonctionnaires sont chargés d</w:t>
      </w:r>
      <w:r w:rsidR="008279BF">
        <w:rPr>
          <w:lang w:val="fr-FR"/>
        </w:rPr>
        <w:t>’</w:t>
      </w:r>
      <w:r w:rsidRPr="00EE4C2A">
        <w:rPr>
          <w:lang w:val="fr-FR"/>
        </w:rPr>
        <w:t>établir un rapport des services sociaux pour chaque enfant comparaissant devant un tribunal.</w:t>
      </w:r>
    </w:p>
    <w:p w14:paraId="3F3B20A1" w14:textId="590EEB82" w:rsidR="00046F46" w:rsidRPr="00EE4C2A" w:rsidRDefault="00046F46" w:rsidP="00046F46">
      <w:pPr>
        <w:pStyle w:val="SingleTxtG"/>
        <w:rPr>
          <w:lang w:val="fr-FR"/>
        </w:rPr>
      </w:pPr>
      <w:r w:rsidRPr="00EE4C2A">
        <w:rPr>
          <w:lang w:val="fr-FR"/>
        </w:rPr>
        <w:t>173.</w:t>
      </w:r>
      <w:r w:rsidRPr="00EE4C2A">
        <w:rPr>
          <w:lang w:val="fr-FR"/>
        </w:rPr>
        <w:tab/>
        <w:t>Fait encourageant, l</w:t>
      </w:r>
      <w:r w:rsidR="008279BF">
        <w:rPr>
          <w:lang w:val="fr-FR"/>
        </w:rPr>
        <w:t>’</w:t>
      </w:r>
      <w:r w:rsidRPr="00EE4C2A">
        <w:rPr>
          <w:lang w:val="fr-FR"/>
        </w:rPr>
        <w:t>article 133 (par. 2) de la loi </w:t>
      </w:r>
      <w:r w:rsidR="00330C8D" w:rsidRPr="00330C8D">
        <w:rPr>
          <w:rFonts w:eastAsia="MS Mincho"/>
          <w:lang w:val="fr-FR"/>
        </w:rPr>
        <w:t>n</w:t>
      </w:r>
      <w:r w:rsidR="00330C8D" w:rsidRPr="00330C8D">
        <w:rPr>
          <w:rFonts w:eastAsia="MS Mincho"/>
          <w:vertAlign w:val="superscript"/>
          <w:lang w:val="fr-FR"/>
        </w:rPr>
        <w:t>o</w:t>
      </w:r>
      <w:r w:rsidR="00330C8D">
        <w:rPr>
          <w:lang w:val="fr-FR"/>
        </w:rPr>
        <w:t xml:space="preserve"> </w:t>
      </w:r>
      <w:r w:rsidRPr="00EE4C2A">
        <w:rPr>
          <w:lang w:val="fr-FR"/>
        </w:rPr>
        <w:t xml:space="preserve">2 de 2016 portant modification de la Constitution zambienne a établi les </w:t>
      </w:r>
      <w:r>
        <w:rPr>
          <w:lang w:val="fr-FR"/>
        </w:rPr>
        <w:t>c</w:t>
      </w:r>
      <w:r w:rsidRPr="00EE4C2A">
        <w:rPr>
          <w:lang w:val="fr-FR"/>
        </w:rPr>
        <w:t>hambres de la Haute Cour, qui incluent le tribunal pour enfants. Il s</w:t>
      </w:r>
      <w:r w:rsidR="008279BF">
        <w:rPr>
          <w:lang w:val="fr-FR"/>
        </w:rPr>
        <w:t>’</w:t>
      </w:r>
      <w:r w:rsidRPr="00EE4C2A">
        <w:rPr>
          <w:lang w:val="fr-FR"/>
        </w:rPr>
        <w:t>agit d</w:t>
      </w:r>
      <w:r w:rsidR="008279BF">
        <w:rPr>
          <w:lang w:val="fr-FR"/>
        </w:rPr>
        <w:t>’</w:t>
      </w:r>
      <w:r w:rsidRPr="00EE4C2A">
        <w:rPr>
          <w:lang w:val="fr-FR"/>
        </w:rPr>
        <w:t>une mesure progressiste, car elle permet d</w:t>
      </w:r>
      <w:r w:rsidR="008279BF">
        <w:rPr>
          <w:lang w:val="fr-FR"/>
        </w:rPr>
        <w:t>’</w:t>
      </w:r>
      <w:r w:rsidRPr="00EE4C2A">
        <w:rPr>
          <w:lang w:val="fr-FR"/>
        </w:rPr>
        <w:t>accorder une attention particulière aux questions relatives aux enfants dans le cadre de l</w:t>
      </w:r>
      <w:r w:rsidR="008279BF">
        <w:rPr>
          <w:lang w:val="fr-FR"/>
        </w:rPr>
        <w:t>’</w:t>
      </w:r>
      <w:r w:rsidRPr="00EE4C2A">
        <w:rPr>
          <w:lang w:val="fr-FR"/>
        </w:rPr>
        <w:t>administration de la justice. L</w:t>
      </w:r>
      <w:r w:rsidR="008279BF">
        <w:rPr>
          <w:lang w:val="fr-FR"/>
        </w:rPr>
        <w:t>’</w:t>
      </w:r>
      <w:r w:rsidRPr="00EE4C2A">
        <w:rPr>
          <w:lang w:val="fr-FR"/>
        </w:rPr>
        <w:t>extension des services d</w:t>
      </w:r>
      <w:r w:rsidR="008279BF">
        <w:rPr>
          <w:lang w:val="fr-FR"/>
        </w:rPr>
        <w:t>’</w:t>
      </w:r>
      <w:r w:rsidRPr="00EE4C2A">
        <w:rPr>
          <w:lang w:val="fr-FR"/>
        </w:rPr>
        <w:t>aide juridictionnelle au tribunal pour enfants devrait permettre à ceux-ci de bénéficier gratuitement de l</w:t>
      </w:r>
      <w:r w:rsidR="008279BF">
        <w:rPr>
          <w:lang w:val="fr-FR"/>
        </w:rPr>
        <w:t>’</w:t>
      </w:r>
      <w:r w:rsidRPr="00EE4C2A">
        <w:rPr>
          <w:lang w:val="fr-FR"/>
        </w:rPr>
        <w:t>assistance d</w:t>
      </w:r>
      <w:r w:rsidR="008279BF">
        <w:rPr>
          <w:lang w:val="fr-FR"/>
        </w:rPr>
        <w:t>’</w:t>
      </w:r>
      <w:r w:rsidRPr="00EE4C2A">
        <w:rPr>
          <w:lang w:val="fr-FR"/>
        </w:rPr>
        <w:t>un avocat.</w:t>
      </w:r>
    </w:p>
    <w:p w14:paraId="5A5F8B4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30 c) de la liste de points établie </w:t>
      </w:r>
      <w:r>
        <w:rPr>
          <w:bCs/>
          <w:lang w:val="fr-FR"/>
        </w:rPr>
        <w:t>avant la soumission du rapport</w:t>
      </w:r>
    </w:p>
    <w:p w14:paraId="1E6E942F" w14:textId="05FAA75D" w:rsidR="00046F46" w:rsidRPr="00EE4C2A" w:rsidRDefault="00046F46" w:rsidP="00046F46">
      <w:pPr>
        <w:pStyle w:val="SingleTxtG"/>
        <w:rPr>
          <w:lang w:val="fr-FR"/>
        </w:rPr>
      </w:pPr>
      <w:r w:rsidRPr="00EE4C2A">
        <w:rPr>
          <w:lang w:val="fr-FR"/>
        </w:rPr>
        <w:t>174.</w:t>
      </w:r>
      <w:r w:rsidRPr="00EE4C2A">
        <w:rPr>
          <w:lang w:val="fr-FR"/>
        </w:rPr>
        <w:tab/>
        <w:t xml:space="preserve">En ce qui concerne les garanties mises en place pour </w:t>
      </w:r>
      <w:r w:rsidR="00330C8D">
        <w:rPr>
          <w:lang w:val="fr-FR"/>
        </w:rPr>
        <w:t xml:space="preserve">que </w:t>
      </w:r>
      <w:r w:rsidRPr="00EE4C2A">
        <w:rPr>
          <w:lang w:val="fr-FR"/>
        </w:rPr>
        <w:t>les enfants ne soient pas détenus avec des adultes, l</w:t>
      </w:r>
      <w:r w:rsidR="008279BF">
        <w:rPr>
          <w:lang w:val="fr-FR"/>
        </w:rPr>
        <w:t>’</w:t>
      </w:r>
      <w:r w:rsidRPr="00EE4C2A">
        <w:rPr>
          <w:lang w:val="fr-FR"/>
        </w:rPr>
        <w:t>État partie souhaite rapporter que, dans le cadre des réformes nationales du système judiciaire en général et de la justice pour mineurs en particulier, il a entrepris de construire et d</w:t>
      </w:r>
      <w:r w:rsidR="008279BF">
        <w:rPr>
          <w:lang w:val="fr-FR"/>
        </w:rPr>
        <w:t>’</w:t>
      </w:r>
      <w:r w:rsidRPr="00EE4C2A">
        <w:rPr>
          <w:lang w:val="fr-FR"/>
        </w:rPr>
        <w:t>équiper des centres de détention pour les enfants en conflit avec la loi. Ces établissements sont équipés de literies, de matelas et d</w:t>
      </w:r>
      <w:r w:rsidR="008279BF">
        <w:rPr>
          <w:lang w:val="fr-FR"/>
        </w:rPr>
        <w:t>’</w:t>
      </w:r>
      <w:r w:rsidRPr="00EE4C2A">
        <w:rPr>
          <w:lang w:val="fr-FR"/>
        </w:rPr>
        <w:t>autres éléments nécessaires à l</w:t>
      </w:r>
      <w:r w:rsidR="008279BF">
        <w:rPr>
          <w:lang w:val="fr-FR"/>
        </w:rPr>
        <w:t>’</w:t>
      </w:r>
      <w:r w:rsidRPr="00EE4C2A">
        <w:rPr>
          <w:lang w:val="fr-FR"/>
        </w:rPr>
        <w:t>accueil des enfants. Les centres de détention disposant de sections pour enfants ne sont pas autorisés à mélanger les enfants délinquants avec les adultes. Lorsque la séparation des enfants et des délinquants adultes n</w:t>
      </w:r>
      <w:r w:rsidR="008279BF">
        <w:rPr>
          <w:lang w:val="fr-FR"/>
        </w:rPr>
        <w:t>’</w:t>
      </w:r>
      <w:r w:rsidRPr="00EE4C2A">
        <w:rPr>
          <w:lang w:val="fr-FR"/>
        </w:rPr>
        <w:t>est pas prévue, les fonctionnaires ont pour instruction de trouver d</w:t>
      </w:r>
      <w:r w:rsidR="008279BF">
        <w:rPr>
          <w:lang w:val="fr-FR"/>
        </w:rPr>
        <w:t>’</w:t>
      </w:r>
      <w:r w:rsidRPr="00EE4C2A">
        <w:rPr>
          <w:lang w:val="fr-FR"/>
        </w:rPr>
        <w:t>autres pièces pour les délinquants mineurs.</w:t>
      </w:r>
    </w:p>
    <w:p w14:paraId="133798CF"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30 d) de la liste de points établie </w:t>
      </w:r>
      <w:r>
        <w:rPr>
          <w:bCs/>
          <w:lang w:val="fr-FR"/>
        </w:rPr>
        <w:t>avant la soumission du rapport</w:t>
      </w:r>
    </w:p>
    <w:p w14:paraId="56EDE67C" w14:textId="26657CB7" w:rsidR="00046F46" w:rsidRPr="00EE4C2A" w:rsidRDefault="00046F46" w:rsidP="00046F46">
      <w:pPr>
        <w:pStyle w:val="SingleTxtG"/>
        <w:rPr>
          <w:lang w:val="fr-FR"/>
        </w:rPr>
      </w:pPr>
      <w:r w:rsidRPr="00EE4C2A">
        <w:rPr>
          <w:lang w:val="fr-FR"/>
        </w:rPr>
        <w:t>175.</w:t>
      </w:r>
      <w:r w:rsidRPr="00EE4C2A">
        <w:rPr>
          <w:lang w:val="fr-FR"/>
        </w:rPr>
        <w:tab/>
        <w:t>En ce qui concerne la fin du recours excessif à la détention avant et après jugement, l</w:t>
      </w:r>
      <w:r w:rsidR="008279BF">
        <w:rPr>
          <w:lang w:val="fr-FR"/>
        </w:rPr>
        <w:t>’</w:t>
      </w:r>
      <w:r w:rsidRPr="00EE4C2A">
        <w:rPr>
          <w:lang w:val="fr-FR"/>
        </w:rPr>
        <w:t>État partie souhaite rapporter que, dans le cadre de la mise en œuvre du principe selon lequel</w:t>
      </w:r>
      <w:r w:rsidR="00330C8D">
        <w:rPr>
          <w:lang w:val="fr-FR"/>
        </w:rPr>
        <w:t xml:space="preserve"> </w:t>
      </w:r>
      <w:r w:rsidRPr="00EE4C2A">
        <w:rPr>
          <w:lang w:val="fr-FR"/>
        </w:rPr>
        <w:t>« la détention est une mesure de dernier recours », il a piloté le Programme national de déjudiciarisation</w:t>
      </w:r>
      <w:r w:rsidR="00330C8D">
        <w:rPr>
          <w:lang w:val="fr-FR"/>
        </w:rPr>
        <w:t xml:space="preserve"> </w:t>
      </w:r>
      <w:r w:rsidRPr="00EE4C2A">
        <w:rPr>
          <w:lang w:val="fr-FR"/>
        </w:rPr>
        <w:t xml:space="preserve">(NDF) en décembre 2018. Le Programme national de déjudiciarisation définit la portée, les critères, le processus et les modalités de la déjudiciarisation en Zambie, et vise à aider les acteurs étatiques et non étatiques à répondre aux besoins des enfants </w:t>
      </w:r>
      <w:r w:rsidRPr="00EE4C2A">
        <w:rPr>
          <w:lang w:val="fr-FR"/>
        </w:rPr>
        <w:lastRenderedPageBreak/>
        <w:t>délinquants en utilisant des moyens extrajudiciaires. Ce programme a été largement adopté par les acteurs concernés, notamment par les services de police, par l</w:t>
      </w:r>
      <w:r w:rsidR="008279BF">
        <w:rPr>
          <w:lang w:val="fr-FR"/>
        </w:rPr>
        <w:t>’</w:t>
      </w:r>
      <w:r w:rsidRPr="00EE4C2A">
        <w:rPr>
          <w:lang w:val="fr-FR"/>
        </w:rPr>
        <w:t>Autorité nationale chargée des poursuites judiciaires et par les organismes de déjudiciarisation. Les tribunaux se sont adaptés à leur rôle en permettant aux enfants de bénéficier de mesures de déjudiciarisation : ils ordonnent désormais rarement leur incarcération, sauf circonstances impérieuses. La déjudiciarisation avant le procès est devenue un mécanisme accepté pour éloigner les enfants du système de justice pénale et de ses traumatismes inhérents. Le Forum national sur la justice pour enfants, en collaboration avec les entités membres, organise des formations permanentes et fournit des orientations pour renforcer les capacités des institutions compétentes en matière de justice pour enfants.</w:t>
      </w:r>
    </w:p>
    <w:p w14:paraId="7FB0001B" w14:textId="095325B9" w:rsidR="00046F46" w:rsidRPr="00EE4C2A" w:rsidRDefault="00046F46" w:rsidP="00046F46">
      <w:pPr>
        <w:pStyle w:val="H1G"/>
        <w:rPr>
          <w:lang w:val="fr-FR"/>
        </w:rPr>
      </w:pPr>
      <w:bookmarkStart w:id="45" w:name="_Toc63937997"/>
      <w:r w:rsidRPr="00EE4C2A">
        <w:rPr>
          <w:lang w:val="fr-FR"/>
        </w:rPr>
        <w:tab/>
      </w:r>
      <w:r w:rsidRPr="00EE4C2A">
        <w:rPr>
          <w:lang w:val="fr-FR"/>
        </w:rPr>
        <w:tab/>
      </w:r>
      <w:r w:rsidRPr="00EE4C2A">
        <w:rPr>
          <w:bCs/>
          <w:lang w:val="fr-FR"/>
        </w:rPr>
        <w:t>Enfants victimes ou témoins d</w:t>
      </w:r>
      <w:r w:rsidR="008279BF">
        <w:rPr>
          <w:bCs/>
          <w:lang w:val="fr-FR"/>
        </w:rPr>
        <w:t>’</w:t>
      </w:r>
      <w:r w:rsidRPr="00EE4C2A">
        <w:rPr>
          <w:bCs/>
          <w:lang w:val="fr-FR"/>
        </w:rPr>
        <w:t>infractions</w:t>
      </w:r>
      <w:bookmarkEnd w:id="45"/>
    </w:p>
    <w:p w14:paraId="1E00FC9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31 de la liste de points établie </w:t>
      </w:r>
      <w:r>
        <w:rPr>
          <w:bCs/>
          <w:lang w:val="fr-FR"/>
        </w:rPr>
        <w:t>avant la soumission du rapport</w:t>
      </w:r>
    </w:p>
    <w:p w14:paraId="26E67B7B" w14:textId="17F598CE" w:rsidR="00046F46" w:rsidRPr="00EE4C2A" w:rsidRDefault="00046F46" w:rsidP="00046F46">
      <w:pPr>
        <w:pStyle w:val="SingleTxtG"/>
        <w:rPr>
          <w:lang w:val="fr-FR"/>
        </w:rPr>
      </w:pPr>
      <w:r w:rsidRPr="00EE4C2A">
        <w:rPr>
          <w:lang w:val="fr-FR"/>
        </w:rPr>
        <w:t>176.</w:t>
      </w:r>
      <w:r w:rsidRPr="00EE4C2A">
        <w:rPr>
          <w:lang w:val="fr-FR"/>
        </w:rPr>
        <w:tab/>
        <w:t>L</w:t>
      </w:r>
      <w:r w:rsidR="008279BF">
        <w:rPr>
          <w:lang w:val="fr-FR"/>
        </w:rPr>
        <w:t>’</w:t>
      </w:r>
      <w:r w:rsidRPr="00EE4C2A">
        <w:rPr>
          <w:lang w:val="fr-FR"/>
        </w:rPr>
        <w:t xml:space="preserve">État partie a </w:t>
      </w:r>
      <w:r>
        <w:rPr>
          <w:lang w:val="fr-FR"/>
        </w:rPr>
        <w:t>créé</w:t>
      </w:r>
      <w:r w:rsidRPr="00EE4C2A">
        <w:rPr>
          <w:lang w:val="fr-FR"/>
        </w:rPr>
        <w:t xml:space="preserve"> des lieux sûrs pour veiller au bien-être des enfants victimes et témoins dans les affaires de maltraitance. Et ce, afin de s</w:t>
      </w:r>
      <w:r w:rsidR="008279BF">
        <w:rPr>
          <w:lang w:val="fr-FR"/>
        </w:rPr>
        <w:t>’</w:t>
      </w:r>
      <w:r w:rsidRPr="00EE4C2A">
        <w:rPr>
          <w:lang w:val="fr-FR"/>
        </w:rPr>
        <w:t xml:space="preserve">assurer que les victimes soient </w:t>
      </w:r>
      <w:r>
        <w:rPr>
          <w:lang w:val="fr-FR"/>
        </w:rPr>
        <w:t xml:space="preserve">soustraites à </w:t>
      </w:r>
      <w:r w:rsidRPr="00EE4C2A">
        <w:rPr>
          <w:lang w:val="fr-FR"/>
        </w:rPr>
        <w:t>l</w:t>
      </w:r>
      <w:r w:rsidR="008279BF">
        <w:rPr>
          <w:lang w:val="fr-FR"/>
        </w:rPr>
        <w:t>’</w:t>
      </w:r>
      <w:r w:rsidRPr="00EE4C2A">
        <w:rPr>
          <w:lang w:val="fr-FR"/>
        </w:rPr>
        <w:t>environnement maltraitant et éloignées des auteurs. Les personnels concernés respectent le caractère strictement confidentiel des affaires. Le lieu où se trouve l</w:t>
      </w:r>
      <w:r w:rsidR="008279BF">
        <w:rPr>
          <w:lang w:val="fr-FR"/>
        </w:rPr>
        <w:t>’</w:t>
      </w:r>
      <w:r w:rsidRPr="00EE4C2A">
        <w:rPr>
          <w:lang w:val="fr-FR"/>
        </w:rPr>
        <w:t>enfant victime n</w:t>
      </w:r>
      <w:r w:rsidR="008279BF">
        <w:rPr>
          <w:lang w:val="fr-FR"/>
        </w:rPr>
        <w:t>’</w:t>
      </w:r>
      <w:r w:rsidRPr="00EE4C2A">
        <w:rPr>
          <w:lang w:val="fr-FR"/>
        </w:rPr>
        <w:t>est divulgué que selon le principe du besoin d</w:t>
      </w:r>
      <w:r w:rsidR="008279BF">
        <w:rPr>
          <w:lang w:val="fr-FR"/>
        </w:rPr>
        <w:t>’</w:t>
      </w:r>
      <w:r w:rsidRPr="00EE4C2A">
        <w:rPr>
          <w:lang w:val="fr-FR"/>
        </w:rPr>
        <w:t>en connaître. Seuls les fonctionnaires formés sont autorisés à s</w:t>
      </w:r>
      <w:r w:rsidR="008279BF">
        <w:rPr>
          <w:lang w:val="fr-FR"/>
        </w:rPr>
        <w:t>’</w:t>
      </w:r>
      <w:r w:rsidRPr="00EE4C2A">
        <w:rPr>
          <w:lang w:val="fr-FR"/>
        </w:rPr>
        <w:t>occuper des enfants victimes et témoins, et à être en contact avec eux. Les noms des enfants concernés ne sont pas non plus divulgués. Le fonctionnement du tribunal est également adapté aux besoins de l</w:t>
      </w:r>
      <w:r w:rsidR="008279BF">
        <w:rPr>
          <w:lang w:val="fr-FR"/>
        </w:rPr>
        <w:t>’</w:t>
      </w:r>
      <w:r w:rsidRPr="00EE4C2A">
        <w:rPr>
          <w:lang w:val="fr-FR"/>
        </w:rPr>
        <w:t>enfant. Les enfants victimes et témoins ne sont pas en contact avec les auteurs et les victimes. Les procédures judiciaires se déroulent à huis clos. L</w:t>
      </w:r>
      <w:r w:rsidR="008279BF">
        <w:rPr>
          <w:lang w:val="fr-FR"/>
        </w:rPr>
        <w:t>’</w:t>
      </w:r>
      <w:r w:rsidRPr="00EE4C2A">
        <w:rPr>
          <w:lang w:val="fr-FR"/>
        </w:rPr>
        <w:t>État partie, en collaboration avec des acteurs étatiques et non étatiques, élabore actuellement des Lignes directrices relatives aux enfants victimes et témoins. Un Groupe de travail technique a été constitué, et la Commission des droits de l</w:t>
      </w:r>
      <w:r w:rsidR="008279BF">
        <w:rPr>
          <w:lang w:val="fr-FR"/>
        </w:rPr>
        <w:t>’</w:t>
      </w:r>
      <w:r w:rsidRPr="00EE4C2A">
        <w:rPr>
          <w:lang w:val="fr-FR"/>
        </w:rPr>
        <w:t>homme en est membre.</w:t>
      </w:r>
    </w:p>
    <w:p w14:paraId="731BDC9F" w14:textId="77777777" w:rsidR="00046F46" w:rsidRPr="00EE4C2A" w:rsidRDefault="00046F46" w:rsidP="00046F46">
      <w:pPr>
        <w:pStyle w:val="HChG"/>
        <w:rPr>
          <w:lang w:val="fr-FR"/>
        </w:rPr>
      </w:pPr>
      <w:bookmarkStart w:id="46" w:name="_Toc63937998"/>
      <w:r w:rsidRPr="00EE4C2A">
        <w:rPr>
          <w:bCs/>
          <w:lang w:val="fr-FR"/>
        </w:rPr>
        <w:tab/>
        <w:t>III.</w:t>
      </w:r>
      <w:r w:rsidRPr="00EE4C2A">
        <w:rPr>
          <w:lang w:val="fr-FR"/>
        </w:rPr>
        <w:tab/>
      </w:r>
      <w:r w:rsidRPr="00EE4C2A">
        <w:rPr>
          <w:bCs/>
          <w:lang w:val="fr-FR"/>
        </w:rPr>
        <w:t>Informations et données statistiques</w:t>
      </w:r>
      <w:bookmarkEnd w:id="46"/>
    </w:p>
    <w:p w14:paraId="0EEBAFC8" w14:textId="7C3A7E7F" w:rsidR="00046F46" w:rsidRPr="00EE4C2A" w:rsidRDefault="00046F46" w:rsidP="00046F46">
      <w:pPr>
        <w:pStyle w:val="H1G"/>
        <w:rPr>
          <w:lang w:val="fr-FR"/>
        </w:rPr>
      </w:pPr>
      <w:bookmarkStart w:id="47" w:name="_Toc63937999"/>
      <w:r w:rsidRPr="00EE4C2A">
        <w:rPr>
          <w:bCs/>
          <w:lang w:val="fr-FR"/>
        </w:rPr>
        <w:tab/>
        <w:t>A.</w:t>
      </w:r>
      <w:r w:rsidRPr="00EE4C2A">
        <w:rPr>
          <w:lang w:val="fr-FR"/>
        </w:rPr>
        <w:tab/>
      </w:r>
      <w:r w:rsidRPr="00EE4C2A">
        <w:rPr>
          <w:bCs/>
          <w:lang w:val="fr-FR"/>
        </w:rPr>
        <w:t>Mesures d</w:t>
      </w:r>
      <w:r w:rsidR="008279BF">
        <w:rPr>
          <w:bCs/>
          <w:lang w:val="fr-FR"/>
        </w:rPr>
        <w:t>’</w:t>
      </w:r>
      <w:r w:rsidRPr="00EE4C2A">
        <w:rPr>
          <w:bCs/>
          <w:lang w:val="fr-FR"/>
        </w:rPr>
        <w:t>application générales (art. 4, 42 et 44 (par. 6))</w:t>
      </w:r>
      <w:bookmarkEnd w:id="47"/>
    </w:p>
    <w:p w14:paraId="02C3546A"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34 de la liste de points établie </w:t>
      </w:r>
      <w:r>
        <w:rPr>
          <w:bCs/>
          <w:lang w:val="fr-FR"/>
        </w:rPr>
        <w:t>avant la soumission du rapport</w:t>
      </w:r>
    </w:p>
    <w:p w14:paraId="1A8A284C" w14:textId="4ECC2EC9" w:rsidR="00046F46" w:rsidRPr="00EE4C2A" w:rsidRDefault="00046F46" w:rsidP="00046F46">
      <w:pPr>
        <w:pStyle w:val="SingleTxtG"/>
        <w:rPr>
          <w:iCs/>
          <w:lang w:val="fr-FR"/>
        </w:rPr>
      </w:pPr>
      <w:r w:rsidRPr="0048667E">
        <w:rPr>
          <w:lang w:val="fr-FR"/>
        </w:rPr>
        <w:t>177.</w:t>
      </w:r>
      <w:r w:rsidRPr="0048667E">
        <w:rPr>
          <w:lang w:val="fr-FR"/>
        </w:rPr>
        <w:tab/>
        <w:t>En ce q</w:t>
      </w:r>
      <w:r w:rsidRPr="00EE4C2A">
        <w:rPr>
          <w:lang w:val="fr-FR"/>
        </w:rPr>
        <w:t>ui concerne les budgets consacrés aux secteurs sociaux en 2020, en dépit des conditions budgétaires difficiles et de la tendance à la baisse de la croissance économique : l</w:t>
      </w:r>
      <w:r w:rsidR="008279BF">
        <w:rPr>
          <w:lang w:val="fr-FR"/>
        </w:rPr>
        <w:t>’</w:t>
      </w:r>
      <w:r w:rsidRPr="00EE4C2A">
        <w:rPr>
          <w:lang w:val="fr-FR"/>
        </w:rPr>
        <w:t>État partie a mis en œuvre des programmes de renforcement de la protection sociale, notamment le Programme de transferts sociaux en espèces, le Pack de sécurité alimentaire</w:t>
      </w:r>
      <w:r w:rsidR="0048667E">
        <w:rPr>
          <w:lang w:val="fr-FR"/>
        </w:rPr>
        <w:t xml:space="preserve"> </w:t>
      </w:r>
      <w:r w:rsidRPr="00EE4C2A">
        <w:rPr>
          <w:lang w:val="fr-FR"/>
        </w:rPr>
        <w:t>(FSP) et le Système d</w:t>
      </w:r>
      <w:r w:rsidR="008279BF">
        <w:rPr>
          <w:lang w:val="fr-FR"/>
        </w:rPr>
        <w:t>’</w:t>
      </w:r>
      <w:r w:rsidRPr="00EE4C2A">
        <w:rPr>
          <w:lang w:val="fr-FR"/>
        </w:rPr>
        <w:t>assistance sociale publique</w:t>
      </w:r>
      <w:r w:rsidR="0048667E">
        <w:rPr>
          <w:lang w:val="fr-FR"/>
        </w:rPr>
        <w:t xml:space="preserve"> </w:t>
      </w:r>
      <w:r w:rsidRPr="00EE4C2A">
        <w:rPr>
          <w:lang w:val="fr-FR"/>
        </w:rPr>
        <w:t>(PWAS), et ce, afin de remédier aux niveaux élevés de vulnérabilité. L</w:t>
      </w:r>
      <w:r w:rsidR="008279BF">
        <w:rPr>
          <w:lang w:val="fr-FR"/>
        </w:rPr>
        <w:t>’</w:t>
      </w:r>
      <w:r w:rsidRPr="00EE4C2A">
        <w:rPr>
          <w:lang w:val="fr-FR"/>
        </w:rPr>
        <w:t>allocation budgétaire prévue pour le Programme de transferts sociaux en espèces a été de nouveau relevée en</w:t>
      </w:r>
      <w:r w:rsidR="0048667E">
        <w:rPr>
          <w:lang w:val="fr-FR"/>
        </w:rPr>
        <w:t xml:space="preserve"> </w:t>
      </w:r>
      <w:r w:rsidRPr="00EE4C2A">
        <w:rPr>
          <w:lang w:val="fr-FR"/>
        </w:rPr>
        <w:t>2020. Le budget de la protection sociale et celui de l</w:t>
      </w:r>
      <w:r w:rsidR="008279BF">
        <w:rPr>
          <w:lang w:val="fr-FR"/>
        </w:rPr>
        <w:t>’</w:t>
      </w:r>
      <w:r w:rsidRPr="00EE4C2A">
        <w:rPr>
          <w:lang w:val="fr-FR"/>
        </w:rPr>
        <w:t>eau et de l</w:t>
      </w:r>
      <w:r w:rsidR="008279BF">
        <w:rPr>
          <w:lang w:val="fr-FR"/>
        </w:rPr>
        <w:t>’</w:t>
      </w:r>
      <w:r w:rsidRPr="00EE4C2A">
        <w:rPr>
          <w:lang w:val="fr-FR"/>
        </w:rPr>
        <w:t>assainissement ont augmenté de</w:t>
      </w:r>
      <w:r w:rsidR="0048667E">
        <w:rPr>
          <w:lang w:val="fr-FR"/>
        </w:rPr>
        <w:t xml:space="preserve"> </w:t>
      </w:r>
      <w:r w:rsidRPr="00EE4C2A">
        <w:rPr>
          <w:lang w:val="fr-FR"/>
        </w:rPr>
        <w:t>18 % et</w:t>
      </w:r>
      <w:r w:rsidR="0048667E">
        <w:rPr>
          <w:lang w:val="fr-FR"/>
        </w:rPr>
        <w:t xml:space="preserve"> </w:t>
      </w:r>
      <w:r w:rsidRPr="00EE4C2A">
        <w:rPr>
          <w:lang w:val="fr-FR"/>
        </w:rPr>
        <w:t>32 %, respectivement. Toutefois, ces deux postes n</w:t>
      </w:r>
      <w:r w:rsidR="008279BF">
        <w:rPr>
          <w:lang w:val="fr-FR"/>
        </w:rPr>
        <w:t>’</w:t>
      </w:r>
      <w:r w:rsidRPr="00EE4C2A">
        <w:rPr>
          <w:lang w:val="fr-FR"/>
        </w:rPr>
        <w:t>ont que partiellement atteint les résultats attendus en matière de performance budgétaire en 2019.</w:t>
      </w:r>
    </w:p>
    <w:p w14:paraId="4138B185" w14:textId="723E8FAF" w:rsidR="00046F46" w:rsidRPr="00EE4C2A" w:rsidRDefault="00046F46" w:rsidP="00046F46">
      <w:pPr>
        <w:pStyle w:val="SingleTxtG"/>
        <w:rPr>
          <w:iCs/>
          <w:lang w:val="fr-FR"/>
        </w:rPr>
      </w:pPr>
      <w:r w:rsidRPr="00EE4C2A">
        <w:rPr>
          <w:lang w:val="fr-FR"/>
        </w:rPr>
        <w:t>178.</w:t>
      </w:r>
      <w:r w:rsidRPr="00EE4C2A">
        <w:rPr>
          <w:lang w:val="fr-FR"/>
        </w:rPr>
        <w:tab/>
        <w:t>L</w:t>
      </w:r>
      <w:r w:rsidR="008279BF">
        <w:rPr>
          <w:lang w:val="fr-FR"/>
        </w:rPr>
        <w:t>’</w:t>
      </w:r>
      <w:r w:rsidRPr="00EE4C2A">
        <w:rPr>
          <w:lang w:val="fr-FR"/>
        </w:rPr>
        <w:t>État partie a poursuivi ses progrès dans le secteur de la santé, notamment en ce qui concerne les infrastructures sanitaires et les ressources humaines. Cela a permis d</w:t>
      </w:r>
      <w:r w:rsidR="008279BF">
        <w:rPr>
          <w:lang w:val="fr-FR"/>
        </w:rPr>
        <w:t>’</w:t>
      </w:r>
      <w:r w:rsidRPr="00EE4C2A">
        <w:rPr>
          <w:lang w:val="fr-FR"/>
        </w:rPr>
        <w:t>améliorer considérablement les résultats dans le domaine de la santé des femmes et des enfants, comme en témoignent les indicateurs publiés dans l</w:t>
      </w:r>
      <w:r w:rsidR="008279BF">
        <w:rPr>
          <w:lang w:val="fr-FR"/>
        </w:rPr>
        <w:t>’</w:t>
      </w:r>
      <w:r w:rsidRPr="00EE4C2A">
        <w:rPr>
          <w:lang w:val="fr-FR"/>
        </w:rPr>
        <w:t>Enquête nationale démographique et sanitaire de</w:t>
      </w:r>
      <w:r w:rsidR="0048667E">
        <w:rPr>
          <w:lang w:val="fr-FR"/>
        </w:rPr>
        <w:t xml:space="preserve"> </w:t>
      </w:r>
      <w:r w:rsidRPr="00EE4C2A">
        <w:rPr>
          <w:lang w:val="fr-FR"/>
        </w:rPr>
        <w:t>2018. Les ressources budgétaires consacrées au secteur de la santé ont augmenté de</w:t>
      </w:r>
      <w:r w:rsidR="0048667E">
        <w:rPr>
          <w:lang w:val="fr-FR"/>
        </w:rPr>
        <w:t xml:space="preserve"> </w:t>
      </w:r>
      <w:r w:rsidRPr="00EE4C2A">
        <w:rPr>
          <w:lang w:val="fr-FR"/>
        </w:rPr>
        <w:t>16 % en valeur nominale, mais leur part du budget total est passée de</w:t>
      </w:r>
      <w:r w:rsidR="0048667E">
        <w:rPr>
          <w:lang w:val="fr-FR"/>
        </w:rPr>
        <w:t xml:space="preserve"> </w:t>
      </w:r>
      <w:r w:rsidRPr="00EE4C2A">
        <w:rPr>
          <w:lang w:val="fr-FR"/>
        </w:rPr>
        <w:t>9,3 % à</w:t>
      </w:r>
      <w:r w:rsidR="0048667E">
        <w:rPr>
          <w:lang w:val="fr-FR"/>
        </w:rPr>
        <w:t xml:space="preserve"> </w:t>
      </w:r>
      <w:r w:rsidRPr="00EE4C2A">
        <w:rPr>
          <w:lang w:val="fr-FR"/>
        </w:rPr>
        <w:t>8,8 %, ce qui est en deçà de l</w:t>
      </w:r>
      <w:r w:rsidR="008279BF">
        <w:rPr>
          <w:lang w:val="fr-FR"/>
        </w:rPr>
        <w:t>’</w:t>
      </w:r>
      <w:r w:rsidRPr="00EE4C2A">
        <w:rPr>
          <w:lang w:val="fr-FR"/>
        </w:rPr>
        <w:t>objectif annuel de</w:t>
      </w:r>
      <w:r w:rsidR="0048667E">
        <w:rPr>
          <w:lang w:val="fr-FR"/>
        </w:rPr>
        <w:t xml:space="preserve"> </w:t>
      </w:r>
      <w:r w:rsidRPr="00EE4C2A">
        <w:rPr>
          <w:lang w:val="fr-FR"/>
        </w:rPr>
        <w:t>13 % fixé dans le Plan stratégique national de santé. Le budget de l</w:t>
      </w:r>
      <w:r w:rsidR="008279BF">
        <w:rPr>
          <w:lang w:val="fr-FR"/>
        </w:rPr>
        <w:t>’</w:t>
      </w:r>
      <w:r w:rsidRPr="00EE4C2A">
        <w:rPr>
          <w:lang w:val="fr-FR"/>
        </w:rPr>
        <w:t>éducation a baissé en valeur nominale, passant de</w:t>
      </w:r>
      <w:r w:rsidR="0048667E">
        <w:rPr>
          <w:lang w:val="fr-FR"/>
        </w:rPr>
        <w:t xml:space="preserve"> </w:t>
      </w:r>
      <w:r w:rsidRPr="00EE4C2A">
        <w:rPr>
          <w:lang w:val="fr-FR"/>
        </w:rPr>
        <w:t>13,2 milliards de kwacha en</w:t>
      </w:r>
      <w:r w:rsidR="0048667E">
        <w:rPr>
          <w:lang w:val="fr-FR"/>
        </w:rPr>
        <w:t xml:space="preserve"> </w:t>
      </w:r>
      <w:r w:rsidRPr="00EE4C2A">
        <w:rPr>
          <w:lang w:val="fr-FR"/>
        </w:rPr>
        <w:t>2019 à</w:t>
      </w:r>
      <w:r w:rsidR="0048667E">
        <w:rPr>
          <w:lang w:val="fr-FR"/>
        </w:rPr>
        <w:t xml:space="preserve"> </w:t>
      </w:r>
      <w:r w:rsidRPr="00EE4C2A">
        <w:rPr>
          <w:lang w:val="fr-FR"/>
        </w:rPr>
        <w:t>13,1 milliards de kwacha. Le budget alloué à l</w:t>
      </w:r>
      <w:r w:rsidR="008279BF">
        <w:rPr>
          <w:lang w:val="fr-FR"/>
        </w:rPr>
        <w:t>’</w:t>
      </w:r>
      <w:r w:rsidRPr="00EE4C2A">
        <w:rPr>
          <w:lang w:val="fr-FR"/>
        </w:rPr>
        <w:t>éducation représente</w:t>
      </w:r>
      <w:r w:rsidR="0048667E">
        <w:rPr>
          <w:lang w:val="fr-FR"/>
        </w:rPr>
        <w:t xml:space="preserve"> </w:t>
      </w:r>
      <w:r w:rsidRPr="00EE4C2A">
        <w:rPr>
          <w:lang w:val="fr-FR"/>
        </w:rPr>
        <w:t>12 % du budget total, contre</w:t>
      </w:r>
      <w:r w:rsidR="0048667E">
        <w:rPr>
          <w:lang w:val="fr-FR"/>
        </w:rPr>
        <w:t xml:space="preserve"> </w:t>
      </w:r>
      <w:r w:rsidRPr="00EE4C2A">
        <w:rPr>
          <w:lang w:val="fr-FR"/>
        </w:rPr>
        <w:t>15 % en</w:t>
      </w:r>
      <w:r w:rsidR="0048667E">
        <w:rPr>
          <w:lang w:val="fr-FR"/>
        </w:rPr>
        <w:t xml:space="preserve"> </w:t>
      </w:r>
      <w:r w:rsidRPr="00EE4C2A">
        <w:rPr>
          <w:lang w:val="fr-FR"/>
        </w:rPr>
        <w:t>2019.</w:t>
      </w:r>
    </w:p>
    <w:p w14:paraId="36FF17DB" w14:textId="62132910" w:rsidR="00046F46" w:rsidRPr="00EE4C2A" w:rsidRDefault="00046F46" w:rsidP="00046F46">
      <w:pPr>
        <w:pStyle w:val="SingleTxtG"/>
        <w:rPr>
          <w:iCs/>
          <w:lang w:val="fr-FR"/>
        </w:rPr>
      </w:pPr>
      <w:r w:rsidRPr="00EE4C2A">
        <w:rPr>
          <w:lang w:val="fr-FR"/>
        </w:rPr>
        <w:lastRenderedPageBreak/>
        <w:t>179.</w:t>
      </w:r>
      <w:r w:rsidRPr="00EE4C2A">
        <w:rPr>
          <w:lang w:val="fr-FR"/>
        </w:rPr>
        <w:tab/>
        <w:t>L</w:t>
      </w:r>
      <w:r w:rsidR="008279BF">
        <w:rPr>
          <w:lang w:val="fr-FR"/>
        </w:rPr>
        <w:t>’</w:t>
      </w:r>
      <w:r w:rsidRPr="00EE4C2A">
        <w:rPr>
          <w:lang w:val="fr-FR"/>
        </w:rPr>
        <w:t>État partie souhaite rapporter que les contraintes budgétaires actuelles ont pesé sur les dépenses sociales plus que sur tout autre poste de dépense publique. En 2019, un budget de</w:t>
      </w:r>
      <w:r w:rsidR="0048667E">
        <w:rPr>
          <w:lang w:val="fr-FR"/>
        </w:rPr>
        <w:t xml:space="preserve"> </w:t>
      </w:r>
      <w:r w:rsidRPr="00EE4C2A">
        <w:rPr>
          <w:lang w:val="fr-FR"/>
        </w:rPr>
        <w:t>1,7 milliard de kwacha a été approuvé pour les prestations sociales, mais seulement</w:t>
      </w:r>
      <w:r w:rsidR="0048667E">
        <w:rPr>
          <w:lang w:val="fr-FR"/>
        </w:rPr>
        <w:t xml:space="preserve"> </w:t>
      </w:r>
      <w:r w:rsidRPr="00EE4C2A">
        <w:rPr>
          <w:lang w:val="fr-FR"/>
        </w:rPr>
        <w:t>141 millions de kwacha, soit 8 % du budget approuvé pour l</w:t>
      </w:r>
      <w:r w:rsidR="008279BF">
        <w:rPr>
          <w:lang w:val="fr-FR"/>
        </w:rPr>
        <w:t>’</w:t>
      </w:r>
      <w:r w:rsidRPr="00EE4C2A">
        <w:rPr>
          <w:lang w:val="fr-FR"/>
        </w:rPr>
        <w:t>année, avaient été débloqués à la date de juin 2019. En outre, la part du budget alloué au secteur social est en baisse, passant de</w:t>
      </w:r>
      <w:r w:rsidR="0048667E">
        <w:rPr>
          <w:lang w:val="fr-FR"/>
        </w:rPr>
        <w:t xml:space="preserve"> </w:t>
      </w:r>
      <w:r w:rsidRPr="00EE4C2A">
        <w:rPr>
          <w:lang w:val="fr-FR"/>
        </w:rPr>
        <w:t>29,6 % du budget total en</w:t>
      </w:r>
      <w:r w:rsidR="0048667E">
        <w:rPr>
          <w:lang w:val="fr-FR"/>
        </w:rPr>
        <w:t xml:space="preserve"> </w:t>
      </w:r>
      <w:r w:rsidRPr="00EE4C2A">
        <w:rPr>
          <w:lang w:val="fr-FR"/>
        </w:rPr>
        <w:t>2018, à 29,4</w:t>
      </w:r>
      <w:r w:rsidR="0048667E">
        <w:rPr>
          <w:lang w:val="fr-FR"/>
        </w:rPr>
        <w:t xml:space="preserve"> </w:t>
      </w:r>
      <w:r w:rsidRPr="00EE4C2A">
        <w:rPr>
          <w:lang w:val="fr-FR"/>
        </w:rPr>
        <w:t>en 2019 et 26,1 % en</w:t>
      </w:r>
      <w:r w:rsidR="0048667E">
        <w:rPr>
          <w:lang w:val="fr-FR"/>
        </w:rPr>
        <w:t xml:space="preserve"> </w:t>
      </w:r>
      <w:r w:rsidRPr="00EE4C2A">
        <w:rPr>
          <w:lang w:val="fr-FR"/>
        </w:rPr>
        <w:t>2020.</w:t>
      </w:r>
    </w:p>
    <w:p w14:paraId="7342EC8B" w14:textId="48B75796" w:rsidR="00046F46" w:rsidRPr="00EE4C2A" w:rsidRDefault="00046F46" w:rsidP="00046F46">
      <w:pPr>
        <w:pStyle w:val="SingleTxtG"/>
        <w:rPr>
          <w:iCs/>
          <w:lang w:val="fr-FR"/>
        </w:rPr>
      </w:pPr>
      <w:r w:rsidRPr="00EE4C2A">
        <w:rPr>
          <w:lang w:val="fr-FR"/>
        </w:rPr>
        <w:t>180.</w:t>
      </w:r>
      <w:r w:rsidRPr="00EE4C2A">
        <w:rPr>
          <w:lang w:val="fr-FR"/>
        </w:rPr>
        <w:tab/>
        <w:t>En ce qui concerne le financement du Plan de mise en œuvre du septième Plan national de développement</w:t>
      </w:r>
      <w:r w:rsidR="0048667E">
        <w:rPr>
          <w:lang w:val="fr-FR"/>
        </w:rPr>
        <w:t xml:space="preserve"> </w:t>
      </w:r>
      <w:r w:rsidRPr="00EE4C2A">
        <w:rPr>
          <w:lang w:val="fr-FR"/>
        </w:rPr>
        <w:t>(2017-2021), l</w:t>
      </w:r>
      <w:r w:rsidR="008279BF">
        <w:rPr>
          <w:lang w:val="fr-FR"/>
        </w:rPr>
        <w:t>’</w:t>
      </w:r>
      <w:r w:rsidRPr="00EE4C2A">
        <w:rPr>
          <w:lang w:val="fr-FR"/>
        </w:rPr>
        <w:t>État partie souhaite rapporter que les objectifs de développement durable ont été intégrés dans le septième Plan national de développement</w:t>
      </w:r>
      <w:r w:rsidRPr="00EE4C2A">
        <w:rPr>
          <w:rStyle w:val="Marquedecommentaire"/>
          <w:rFonts w:eastAsia="Times New Roman"/>
          <w:lang w:val="fr-FR"/>
        </w:rPr>
        <w:t> </w:t>
      </w:r>
      <w:r w:rsidRPr="00EE4C2A">
        <w:rPr>
          <w:lang w:val="fr-FR"/>
        </w:rPr>
        <w:t>: 75 %</w:t>
      </w:r>
      <w:r w:rsidR="0048667E">
        <w:rPr>
          <w:lang w:val="fr-FR"/>
        </w:rPr>
        <w:t xml:space="preserve"> </w:t>
      </w:r>
      <w:r w:rsidRPr="00EE4C2A">
        <w:rPr>
          <w:lang w:val="fr-FR"/>
        </w:rPr>
        <w:t>des cibles des ODD applicables sont pleinement conformes et 11 % sont partiellement conformes. Pour faciliter la concrétisation des progrès réalisés depuis l</w:t>
      </w:r>
      <w:r w:rsidR="008279BF">
        <w:rPr>
          <w:lang w:val="fr-FR"/>
        </w:rPr>
        <w:t>’</w:t>
      </w:r>
      <w:r w:rsidRPr="00EE4C2A">
        <w:rPr>
          <w:lang w:val="fr-FR"/>
        </w:rPr>
        <w:t>adoption du Programme de développement durable à l</w:t>
      </w:r>
      <w:r w:rsidR="008279BF">
        <w:rPr>
          <w:lang w:val="fr-FR"/>
        </w:rPr>
        <w:t>’</w:t>
      </w:r>
      <w:r w:rsidRPr="00EE4C2A">
        <w:rPr>
          <w:lang w:val="fr-FR"/>
        </w:rPr>
        <w:t>horizon 2030, l</w:t>
      </w:r>
      <w:r w:rsidR="008279BF">
        <w:rPr>
          <w:lang w:val="fr-FR"/>
        </w:rPr>
        <w:t>’</w:t>
      </w:r>
      <w:r w:rsidRPr="00EE4C2A">
        <w:rPr>
          <w:lang w:val="fr-FR"/>
        </w:rPr>
        <w:t>État partie a continué d</w:t>
      </w:r>
      <w:r w:rsidR="008279BF">
        <w:rPr>
          <w:lang w:val="fr-FR"/>
        </w:rPr>
        <w:t>’</w:t>
      </w:r>
      <w:r w:rsidRPr="00EE4C2A">
        <w:rPr>
          <w:lang w:val="fr-FR"/>
        </w:rPr>
        <w:t>allouer des ressources humaines, financières et institutionnelles. Des investissements publics substantiels ont été consacrés aux secteurs sociaux afin de lutter contre l</w:t>
      </w:r>
      <w:r w:rsidR="008279BF">
        <w:rPr>
          <w:lang w:val="fr-FR"/>
        </w:rPr>
        <w:t>’</w:t>
      </w:r>
      <w:r w:rsidRPr="00EE4C2A">
        <w:rPr>
          <w:lang w:val="fr-FR"/>
        </w:rPr>
        <w:t>extrême pauvreté et la vulnérabilité et de promouvoir le développement du capital humain.</w:t>
      </w:r>
    </w:p>
    <w:p w14:paraId="69799557" w14:textId="77777777" w:rsidR="00046F46" w:rsidRPr="00EE4C2A" w:rsidRDefault="00046F46" w:rsidP="00046F46">
      <w:pPr>
        <w:pStyle w:val="SingleTxtG"/>
        <w:rPr>
          <w:iCs/>
          <w:lang w:val="fr-FR"/>
        </w:rPr>
      </w:pPr>
      <w:r w:rsidRPr="00EE4C2A">
        <w:rPr>
          <w:lang w:val="fr-FR"/>
        </w:rPr>
        <w:t>181.</w:t>
      </w:r>
      <w:r w:rsidRPr="00EE4C2A">
        <w:rPr>
          <w:lang w:val="fr-FR"/>
        </w:rPr>
        <w:tab/>
        <w:t>En particulier, le coût total de la mise en œuvre du programme décrit dans le Plan de mise en œuvre du septième Plan national de développement</w:t>
      </w:r>
      <w:r w:rsidRPr="00EE4C2A">
        <w:rPr>
          <w:rStyle w:val="Marquedecommentaire"/>
          <w:rFonts w:eastAsia="Times New Roman"/>
          <w:lang w:val="fr-FR"/>
        </w:rPr>
        <w:t xml:space="preserve"> </w:t>
      </w:r>
      <w:r w:rsidRPr="00EE4C2A">
        <w:rPr>
          <w:lang w:val="fr-FR"/>
        </w:rPr>
        <w:t>est estimé à 173 milliards de kwacha. La répartition du coût total des cinq Volets de développement stratégique (ZDS) du plan est la suivante :</w:t>
      </w:r>
    </w:p>
    <w:p w14:paraId="78632CC1" w14:textId="12223B38" w:rsidR="00046F46" w:rsidRPr="00EE4C2A" w:rsidRDefault="00046F46" w:rsidP="0048667E">
      <w:pPr>
        <w:pStyle w:val="SingleTxtG"/>
        <w:rPr>
          <w:lang w:val="fr-FR"/>
        </w:rPr>
      </w:pPr>
      <w:r w:rsidRPr="00EE4C2A">
        <w:rPr>
          <w:lang w:val="fr-FR"/>
        </w:rPr>
        <w:tab/>
        <w:t>a)</w:t>
      </w:r>
      <w:r w:rsidRPr="00EE4C2A">
        <w:rPr>
          <w:lang w:val="fr-FR"/>
        </w:rPr>
        <w:tab/>
        <w:t>Diversification économique et création d</w:t>
      </w:r>
      <w:r w:rsidR="008279BF">
        <w:rPr>
          <w:lang w:val="fr-FR"/>
        </w:rPr>
        <w:t>’</w:t>
      </w:r>
      <w:r w:rsidRPr="00EE4C2A">
        <w:rPr>
          <w:lang w:val="fr-FR"/>
        </w:rPr>
        <w:t>emplois</w:t>
      </w:r>
      <w:r w:rsidR="0048667E">
        <w:rPr>
          <w:lang w:val="fr-FR"/>
        </w:rPr>
        <w:t xml:space="preserve"> −</w:t>
      </w:r>
      <w:r w:rsidRPr="00EE4C2A">
        <w:rPr>
          <w:lang w:val="fr-FR"/>
        </w:rPr>
        <w:t> 120,6 milliards de kwacha </w:t>
      </w:r>
      <w:r w:rsidR="0048667E">
        <w:rPr>
          <w:lang w:val="fr-FR"/>
        </w:rPr>
        <w:t xml:space="preserve">− </w:t>
      </w:r>
      <w:r w:rsidRPr="00EE4C2A">
        <w:rPr>
          <w:lang w:val="fr-FR"/>
        </w:rPr>
        <w:t>70 % ;</w:t>
      </w:r>
    </w:p>
    <w:p w14:paraId="0FB8D583" w14:textId="04436422" w:rsidR="00046F46" w:rsidRPr="00EE4C2A" w:rsidRDefault="00046F46" w:rsidP="0048667E">
      <w:pPr>
        <w:pStyle w:val="SingleTxtG"/>
        <w:rPr>
          <w:lang w:val="fr-FR"/>
        </w:rPr>
      </w:pPr>
      <w:r w:rsidRPr="00EE4C2A">
        <w:rPr>
          <w:lang w:val="fr-FR"/>
        </w:rPr>
        <w:tab/>
        <w:t>b)</w:t>
      </w:r>
      <w:r w:rsidRPr="00EE4C2A">
        <w:rPr>
          <w:lang w:val="fr-FR"/>
        </w:rPr>
        <w:tab/>
        <w:t>Amélioration du développement humain</w:t>
      </w:r>
      <w:r w:rsidR="0048667E">
        <w:rPr>
          <w:lang w:val="fr-FR"/>
        </w:rPr>
        <w:t xml:space="preserve"> −</w:t>
      </w:r>
      <w:r w:rsidRPr="00EE4C2A">
        <w:rPr>
          <w:lang w:val="fr-FR"/>
        </w:rPr>
        <w:t> 25,2 milliards de kwacha </w:t>
      </w:r>
      <w:r w:rsidR="0048667E">
        <w:rPr>
          <w:lang w:val="fr-FR"/>
        </w:rPr>
        <w:t xml:space="preserve">− </w:t>
      </w:r>
      <w:r w:rsidRPr="00EE4C2A">
        <w:rPr>
          <w:lang w:val="fr-FR"/>
        </w:rPr>
        <w:t>14,5 % ;</w:t>
      </w:r>
    </w:p>
    <w:p w14:paraId="40E3BD8F" w14:textId="09967DF5" w:rsidR="00046F46" w:rsidRPr="00EE4C2A" w:rsidRDefault="00046F46" w:rsidP="0048667E">
      <w:pPr>
        <w:pStyle w:val="SingleTxtG"/>
        <w:rPr>
          <w:lang w:val="fr-FR"/>
        </w:rPr>
      </w:pPr>
      <w:r w:rsidRPr="00EE4C2A">
        <w:rPr>
          <w:lang w:val="fr-FR"/>
        </w:rPr>
        <w:tab/>
        <w:t>c)</w:t>
      </w:r>
      <w:r w:rsidRPr="00EE4C2A">
        <w:rPr>
          <w:lang w:val="fr-FR"/>
        </w:rPr>
        <w:tab/>
        <w:t>Réduction de la pauvreté et de la vulnérabilité</w:t>
      </w:r>
      <w:r w:rsidR="0048667E">
        <w:rPr>
          <w:lang w:val="fr-FR"/>
        </w:rPr>
        <w:t xml:space="preserve"> −</w:t>
      </w:r>
      <w:r w:rsidRPr="00EE4C2A">
        <w:rPr>
          <w:lang w:val="fr-FR"/>
        </w:rPr>
        <w:t> 9,9 milliards de kwacha </w:t>
      </w:r>
      <w:r w:rsidR="0048667E">
        <w:rPr>
          <w:lang w:val="fr-FR"/>
        </w:rPr>
        <w:t xml:space="preserve">− </w:t>
      </w:r>
      <w:r w:rsidRPr="00EE4C2A">
        <w:rPr>
          <w:lang w:val="fr-FR"/>
        </w:rPr>
        <w:t>6 % ;</w:t>
      </w:r>
    </w:p>
    <w:p w14:paraId="7BEBEEE9" w14:textId="10615E61" w:rsidR="00046F46" w:rsidRPr="00EE4C2A" w:rsidRDefault="00046F46" w:rsidP="0048667E">
      <w:pPr>
        <w:pStyle w:val="SingleTxtG"/>
        <w:rPr>
          <w:lang w:val="fr-FR"/>
        </w:rPr>
      </w:pPr>
      <w:r w:rsidRPr="00EE4C2A">
        <w:rPr>
          <w:lang w:val="fr-FR"/>
        </w:rPr>
        <w:tab/>
        <w:t>d)</w:t>
      </w:r>
      <w:r w:rsidRPr="00EE4C2A">
        <w:rPr>
          <w:lang w:val="fr-FR"/>
        </w:rPr>
        <w:tab/>
        <w:t>Réduction des inégalités de développement</w:t>
      </w:r>
      <w:r w:rsidR="0048667E">
        <w:rPr>
          <w:lang w:val="fr-FR"/>
        </w:rPr>
        <w:t xml:space="preserve"> −</w:t>
      </w:r>
      <w:r w:rsidRPr="00EE4C2A">
        <w:rPr>
          <w:lang w:val="fr-FR"/>
        </w:rPr>
        <w:t> 12,3 milliards de kwacha </w:t>
      </w:r>
      <w:r w:rsidR="0048667E">
        <w:rPr>
          <w:lang w:val="fr-FR"/>
        </w:rPr>
        <w:t xml:space="preserve">− </w:t>
      </w:r>
      <w:r w:rsidRPr="00EE4C2A">
        <w:rPr>
          <w:lang w:val="fr-FR"/>
        </w:rPr>
        <w:t>7 % ;</w:t>
      </w:r>
    </w:p>
    <w:p w14:paraId="25396A4A" w14:textId="1919AA33" w:rsidR="00046F46" w:rsidRPr="00EE4C2A" w:rsidRDefault="00046F46" w:rsidP="0048667E">
      <w:pPr>
        <w:pStyle w:val="SingleTxtG"/>
        <w:rPr>
          <w:lang w:val="fr-FR"/>
        </w:rPr>
      </w:pPr>
      <w:r w:rsidRPr="00EE4C2A">
        <w:rPr>
          <w:lang w:val="fr-FR"/>
        </w:rPr>
        <w:tab/>
        <w:t>e)</w:t>
      </w:r>
      <w:r w:rsidRPr="00EE4C2A">
        <w:rPr>
          <w:lang w:val="fr-FR"/>
        </w:rPr>
        <w:tab/>
        <w:t>Création d</w:t>
      </w:r>
      <w:r w:rsidR="008279BF">
        <w:rPr>
          <w:lang w:val="fr-FR"/>
        </w:rPr>
        <w:t>’</w:t>
      </w:r>
      <w:r w:rsidRPr="00EE4C2A">
        <w:rPr>
          <w:lang w:val="fr-FR"/>
        </w:rPr>
        <w:t>un environnement propice à la bonne gouvernance</w:t>
      </w:r>
      <w:r w:rsidR="0048667E">
        <w:rPr>
          <w:lang w:val="fr-FR"/>
        </w:rPr>
        <w:t xml:space="preserve"> −</w:t>
      </w:r>
      <w:r w:rsidRPr="00EE4C2A">
        <w:rPr>
          <w:lang w:val="fr-FR"/>
        </w:rPr>
        <w:t> 5 milliards de kwacha </w:t>
      </w:r>
      <w:r w:rsidR="0048667E">
        <w:rPr>
          <w:lang w:val="fr-FR"/>
        </w:rPr>
        <w:t xml:space="preserve">− </w:t>
      </w:r>
      <w:r w:rsidRPr="00EE4C2A">
        <w:rPr>
          <w:lang w:val="fr-FR"/>
        </w:rPr>
        <w:t>3 %.</w:t>
      </w:r>
    </w:p>
    <w:p w14:paraId="26AF6649" w14:textId="74EFC11C" w:rsidR="00046F46" w:rsidRPr="00EE4C2A" w:rsidRDefault="00046F46" w:rsidP="00046F46">
      <w:pPr>
        <w:pStyle w:val="H1G"/>
        <w:rPr>
          <w:lang w:val="fr-FR"/>
        </w:rPr>
      </w:pPr>
      <w:bookmarkStart w:id="48" w:name="_Toc63938000"/>
      <w:r w:rsidRPr="00EE4C2A">
        <w:rPr>
          <w:bCs/>
          <w:lang w:val="fr-FR"/>
        </w:rPr>
        <w:tab/>
        <w:t>B.</w:t>
      </w:r>
      <w:r w:rsidRPr="00EE4C2A">
        <w:rPr>
          <w:lang w:val="fr-FR"/>
        </w:rPr>
        <w:tab/>
      </w:r>
      <w:r w:rsidRPr="00EE4C2A">
        <w:rPr>
          <w:bCs/>
          <w:lang w:val="fr-FR"/>
        </w:rPr>
        <w:t>Définition de l</w:t>
      </w:r>
      <w:r w:rsidR="008279BF">
        <w:rPr>
          <w:bCs/>
          <w:lang w:val="fr-FR"/>
        </w:rPr>
        <w:t>’</w:t>
      </w:r>
      <w:r w:rsidRPr="00EE4C2A">
        <w:rPr>
          <w:bCs/>
          <w:lang w:val="fr-FR"/>
        </w:rPr>
        <w:t>enfant (art. 1)</w:t>
      </w:r>
      <w:bookmarkEnd w:id="48"/>
    </w:p>
    <w:p w14:paraId="31F3CA5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35 de la liste de points établie </w:t>
      </w:r>
      <w:r>
        <w:rPr>
          <w:bCs/>
          <w:lang w:val="fr-FR"/>
        </w:rPr>
        <w:t>avant la soumission du rapport</w:t>
      </w:r>
    </w:p>
    <w:p w14:paraId="70A68B46" w14:textId="5655C8DD" w:rsidR="00046F46" w:rsidRPr="00EE4C2A" w:rsidRDefault="00046F46" w:rsidP="00046F46">
      <w:pPr>
        <w:pStyle w:val="SingleTxtG"/>
        <w:rPr>
          <w:iCs/>
          <w:lang w:val="fr-FR"/>
        </w:rPr>
      </w:pPr>
      <w:r w:rsidRPr="00EE4C2A">
        <w:rPr>
          <w:lang w:val="fr-FR"/>
        </w:rPr>
        <w:t>182.</w:t>
      </w:r>
      <w:r w:rsidRPr="00EE4C2A">
        <w:rPr>
          <w:lang w:val="fr-FR"/>
        </w:rPr>
        <w:tab/>
        <w:t>Le nombre et le pourcentage d</w:t>
      </w:r>
      <w:r w:rsidR="008279BF">
        <w:rPr>
          <w:lang w:val="fr-FR"/>
        </w:rPr>
        <w:t>’</w:t>
      </w:r>
      <w:r w:rsidRPr="00EE4C2A">
        <w:rPr>
          <w:lang w:val="fr-FR"/>
        </w:rPr>
        <w:t>enfants de moins de 18 ans qui vivent dans l</w:t>
      </w:r>
      <w:r w:rsidR="008279BF">
        <w:rPr>
          <w:lang w:val="fr-FR"/>
        </w:rPr>
        <w:t>’</w:t>
      </w:r>
      <w:r w:rsidRPr="00EE4C2A">
        <w:rPr>
          <w:lang w:val="fr-FR"/>
        </w:rPr>
        <w:t>État partie, et le nombre de filles et de garçons de moins de 18 ans qui sont mariés, tels que ces données ressortent de l</w:t>
      </w:r>
      <w:r w:rsidR="008279BF">
        <w:rPr>
          <w:lang w:val="fr-FR"/>
        </w:rPr>
        <w:t>’</w:t>
      </w:r>
      <w:r w:rsidRPr="00EE4C2A">
        <w:rPr>
          <w:lang w:val="fr-FR"/>
        </w:rPr>
        <w:t>Enquête nationale démographique et sanitaire de 2018, sont les suivants : sur les</w:t>
      </w:r>
      <w:r w:rsidR="0048667E">
        <w:rPr>
          <w:lang w:val="fr-FR"/>
        </w:rPr>
        <w:t xml:space="preserve"> </w:t>
      </w:r>
      <w:r w:rsidRPr="00EE4C2A">
        <w:rPr>
          <w:lang w:val="fr-FR"/>
        </w:rPr>
        <w:t>3 000 filles interrogées, 14,4 % étaient mariées et 0,2 % vivaient en couple. Pour leur part,</w:t>
      </w:r>
      <w:r w:rsidR="0048667E">
        <w:rPr>
          <w:lang w:val="fr-FR"/>
        </w:rPr>
        <w:t xml:space="preserve"> </w:t>
      </w:r>
      <w:r w:rsidRPr="00EE4C2A">
        <w:rPr>
          <w:lang w:val="fr-FR"/>
        </w:rPr>
        <w:t>1,1 % de garçons étaient mariés et 0 % vivaient en couple. Le tableau ci-après montre que les filles sont davantage concernées : 14,6 % des filles et 1,1 % des garçons vivaient en couple ou étaient mariés.</w:t>
      </w:r>
    </w:p>
    <w:p w14:paraId="4039FF8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Situation matrimoniale actuelle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9"/>
        <w:gridCol w:w="741"/>
        <w:gridCol w:w="708"/>
        <w:gridCol w:w="709"/>
        <w:gridCol w:w="851"/>
        <w:gridCol w:w="850"/>
        <w:gridCol w:w="851"/>
        <w:gridCol w:w="708"/>
        <w:gridCol w:w="1192"/>
        <w:gridCol w:w="1076"/>
      </w:tblGrid>
      <w:tr w:rsidR="00046F46" w:rsidRPr="0019096A" w14:paraId="067D638D" w14:textId="77777777" w:rsidTr="004C1F7B">
        <w:trPr>
          <w:tblHeader/>
        </w:trPr>
        <w:tc>
          <w:tcPr>
            <w:tcW w:w="8505" w:type="dxa"/>
            <w:gridSpan w:val="10"/>
            <w:tcBorders>
              <w:top w:val="single" w:sz="4" w:space="0" w:color="auto"/>
              <w:bottom w:val="single" w:sz="4" w:space="0" w:color="auto"/>
            </w:tcBorders>
            <w:shd w:val="clear" w:color="auto" w:fill="auto"/>
            <w:vAlign w:val="bottom"/>
          </w:tcPr>
          <w:p w14:paraId="0C0DBFA2" w14:textId="6DA65C88" w:rsidR="00046F46" w:rsidRPr="00EE4C2A" w:rsidRDefault="00046F46" w:rsidP="0048667E">
            <w:pPr>
              <w:pStyle w:val="SingleTxtG"/>
              <w:tabs>
                <w:tab w:val="clear" w:pos="1701"/>
                <w:tab w:val="clear" w:pos="2268"/>
              </w:tabs>
              <w:suppressAutoHyphens w:val="0"/>
              <w:spacing w:before="80" w:after="80" w:line="200" w:lineRule="exact"/>
              <w:ind w:left="0" w:right="0"/>
              <w:jc w:val="left"/>
              <w:rPr>
                <w:i/>
                <w:sz w:val="16"/>
                <w:szCs w:val="16"/>
                <w:lang w:val="fr-FR"/>
              </w:rPr>
            </w:pPr>
            <w:r w:rsidRPr="00EE4C2A">
              <w:rPr>
                <w:i/>
                <w:iCs/>
                <w:sz w:val="16"/>
                <w:szCs w:val="16"/>
                <w:lang w:val="fr-FR"/>
              </w:rPr>
              <w:t xml:space="preserve">Pourcentages des filles et des garçons âgés de 15 à 19 ans, selon leur situation matrimoniale actuelle </w:t>
            </w:r>
            <w:r w:rsidR="008279BF">
              <w:rPr>
                <w:i/>
                <w:iCs/>
                <w:sz w:val="16"/>
                <w:szCs w:val="16"/>
                <w:lang w:val="fr-FR"/>
              </w:rPr>
              <w:t>(</w:t>
            </w:r>
            <w:r w:rsidRPr="00EE4C2A">
              <w:rPr>
                <w:i/>
                <w:iCs/>
                <w:sz w:val="16"/>
                <w:szCs w:val="16"/>
                <w:lang w:val="fr-FR"/>
              </w:rPr>
              <w:t>Enquête nationale démographique et sanitaire de 2018</w:t>
            </w:r>
            <w:r w:rsidR="008279BF">
              <w:rPr>
                <w:i/>
                <w:iCs/>
                <w:sz w:val="16"/>
                <w:szCs w:val="16"/>
                <w:lang w:val="fr-FR"/>
              </w:rPr>
              <w:t>)</w:t>
            </w:r>
          </w:p>
        </w:tc>
      </w:tr>
      <w:tr w:rsidR="00046F46" w:rsidRPr="00EE4C2A" w14:paraId="01B62A92" w14:textId="77777777" w:rsidTr="004C1F7B">
        <w:tc>
          <w:tcPr>
            <w:tcW w:w="819" w:type="dxa"/>
            <w:vMerge w:val="restart"/>
            <w:tcBorders>
              <w:top w:val="single" w:sz="4" w:space="0" w:color="auto"/>
              <w:bottom w:val="single" w:sz="12" w:space="0" w:color="auto"/>
            </w:tcBorders>
            <w:shd w:val="clear" w:color="auto" w:fill="auto"/>
            <w:vAlign w:val="bottom"/>
          </w:tcPr>
          <w:p w14:paraId="1360C675" w14:textId="77777777" w:rsidR="00046F46" w:rsidRPr="00EE4C2A" w:rsidRDefault="00046F46" w:rsidP="0048667E">
            <w:pPr>
              <w:pStyle w:val="SingleTxtG"/>
              <w:spacing w:before="80" w:after="80" w:line="200" w:lineRule="exact"/>
              <w:ind w:left="0" w:right="0"/>
              <w:jc w:val="left"/>
              <w:rPr>
                <w:i/>
                <w:sz w:val="16"/>
                <w:szCs w:val="16"/>
                <w:lang w:val="fr-FR"/>
              </w:rPr>
            </w:pPr>
            <w:r w:rsidRPr="00EE4C2A">
              <w:rPr>
                <w:i/>
                <w:iCs/>
                <w:sz w:val="16"/>
                <w:szCs w:val="16"/>
                <w:lang w:val="fr-FR"/>
              </w:rPr>
              <w:t>Âge</w:t>
            </w:r>
          </w:p>
        </w:tc>
        <w:tc>
          <w:tcPr>
            <w:tcW w:w="4710" w:type="dxa"/>
            <w:gridSpan w:val="6"/>
            <w:tcBorders>
              <w:top w:val="single" w:sz="4" w:space="0" w:color="auto"/>
              <w:bottom w:val="single" w:sz="4" w:space="0" w:color="auto"/>
            </w:tcBorders>
            <w:shd w:val="clear" w:color="auto" w:fill="auto"/>
          </w:tcPr>
          <w:p w14:paraId="02AA2CC2"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center"/>
              <w:rPr>
                <w:i/>
                <w:sz w:val="16"/>
                <w:szCs w:val="16"/>
                <w:lang w:val="fr-FR"/>
              </w:rPr>
            </w:pPr>
            <w:r w:rsidRPr="00EE4C2A">
              <w:rPr>
                <w:i/>
                <w:iCs/>
                <w:sz w:val="16"/>
                <w:szCs w:val="16"/>
                <w:lang w:val="fr-FR"/>
              </w:rPr>
              <w:t>Situation matrimoniale des répondants</w:t>
            </w:r>
          </w:p>
        </w:tc>
        <w:tc>
          <w:tcPr>
            <w:tcW w:w="708" w:type="dxa"/>
            <w:vMerge w:val="restart"/>
            <w:tcBorders>
              <w:top w:val="single" w:sz="4" w:space="0" w:color="auto"/>
              <w:bottom w:val="single" w:sz="12" w:space="0" w:color="auto"/>
            </w:tcBorders>
            <w:shd w:val="clear" w:color="auto" w:fill="auto"/>
            <w:vAlign w:val="bottom"/>
          </w:tcPr>
          <w:p w14:paraId="5583AF12"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Total</w:t>
            </w:r>
          </w:p>
        </w:tc>
        <w:tc>
          <w:tcPr>
            <w:tcW w:w="1192" w:type="dxa"/>
            <w:vMerge w:val="restart"/>
            <w:tcBorders>
              <w:top w:val="single" w:sz="4" w:space="0" w:color="auto"/>
              <w:bottom w:val="single" w:sz="12" w:space="0" w:color="auto"/>
            </w:tcBorders>
            <w:shd w:val="clear" w:color="auto" w:fill="auto"/>
            <w:vAlign w:val="bottom"/>
          </w:tcPr>
          <w:p w14:paraId="37E01FE8"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Pourcentage de répondants actuellement dans une union</w:t>
            </w:r>
          </w:p>
        </w:tc>
        <w:tc>
          <w:tcPr>
            <w:tcW w:w="1076" w:type="dxa"/>
            <w:vMerge w:val="restart"/>
            <w:tcBorders>
              <w:top w:val="single" w:sz="4" w:space="0" w:color="auto"/>
              <w:bottom w:val="single" w:sz="12" w:space="0" w:color="auto"/>
            </w:tcBorders>
            <w:shd w:val="clear" w:color="auto" w:fill="auto"/>
            <w:vAlign w:val="bottom"/>
          </w:tcPr>
          <w:p w14:paraId="2C34D402"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Nombre de répondants</w:t>
            </w:r>
          </w:p>
        </w:tc>
      </w:tr>
      <w:tr w:rsidR="00046F46" w:rsidRPr="00EE4C2A" w14:paraId="7AD49171" w14:textId="77777777" w:rsidTr="004C1F7B">
        <w:tc>
          <w:tcPr>
            <w:tcW w:w="819" w:type="dxa"/>
            <w:vMerge/>
            <w:tcBorders>
              <w:top w:val="nil"/>
              <w:bottom w:val="single" w:sz="12" w:space="0" w:color="auto"/>
            </w:tcBorders>
            <w:shd w:val="clear" w:color="auto" w:fill="auto"/>
          </w:tcPr>
          <w:p w14:paraId="448BCE59"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left"/>
              <w:rPr>
                <w:i/>
                <w:sz w:val="16"/>
                <w:szCs w:val="16"/>
                <w:lang w:val="fr-FR"/>
              </w:rPr>
            </w:pPr>
          </w:p>
        </w:tc>
        <w:tc>
          <w:tcPr>
            <w:tcW w:w="741" w:type="dxa"/>
            <w:tcBorders>
              <w:top w:val="nil"/>
              <w:bottom w:val="single" w:sz="12" w:space="0" w:color="auto"/>
            </w:tcBorders>
            <w:shd w:val="clear" w:color="auto" w:fill="auto"/>
            <w:vAlign w:val="bottom"/>
          </w:tcPr>
          <w:p w14:paraId="427805B9" w14:textId="77777777" w:rsidR="00046F46" w:rsidRPr="00EE4C2A" w:rsidRDefault="00046F46" w:rsidP="0048667E">
            <w:pPr>
              <w:pStyle w:val="SingleTxtG"/>
              <w:spacing w:before="80" w:after="80" w:line="200" w:lineRule="exact"/>
              <w:ind w:left="0" w:right="0"/>
              <w:jc w:val="right"/>
              <w:rPr>
                <w:i/>
                <w:sz w:val="16"/>
                <w:szCs w:val="16"/>
                <w:lang w:val="fr-FR"/>
              </w:rPr>
            </w:pPr>
            <w:r w:rsidRPr="00EE4C2A">
              <w:rPr>
                <w:i/>
                <w:iCs/>
                <w:sz w:val="16"/>
                <w:szCs w:val="16"/>
                <w:lang w:val="fr-FR"/>
              </w:rPr>
              <w:t>Jamais mariés</w:t>
            </w:r>
          </w:p>
        </w:tc>
        <w:tc>
          <w:tcPr>
            <w:tcW w:w="708" w:type="dxa"/>
            <w:tcBorders>
              <w:top w:val="nil"/>
              <w:bottom w:val="single" w:sz="12" w:space="0" w:color="auto"/>
            </w:tcBorders>
            <w:shd w:val="clear" w:color="auto" w:fill="auto"/>
            <w:vAlign w:val="bottom"/>
          </w:tcPr>
          <w:p w14:paraId="11806F70" w14:textId="77777777" w:rsidR="00046F46" w:rsidRPr="00EE4C2A" w:rsidRDefault="00046F46" w:rsidP="0048667E">
            <w:pPr>
              <w:pStyle w:val="SingleTxtG"/>
              <w:spacing w:before="80" w:after="80" w:line="200" w:lineRule="exact"/>
              <w:ind w:left="0" w:right="0"/>
              <w:jc w:val="right"/>
              <w:rPr>
                <w:i/>
                <w:sz w:val="16"/>
                <w:szCs w:val="16"/>
                <w:lang w:val="fr-FR"/>
              </w:rPr>
            </w:pPr>
            <w:r w:rsidRPr="00EE4C2A">
              <w:rPr>
                <w:i/>
                <w:iCs/>
                <w:sz w:val="16"/>
                <w:szCs w:val="16"/>
                <w:lang w:val="fr-FR"/>
              </w:rPr>
              <w:t>Mariés</w:t>
            </w:r>
          </w:p>
        </w:tc>
        <w:tc>
          <w:tcPr>
            <w:tcW w:w="709" w:type="dxa"/>
            <w:tcBorders>
              <w:top w:val="nil"/>
              <w:bottom w:val="single" w:sz="12" w:space="0" w:color="auto"/>
            </w:tcBorders>
            <w:shd w:val="clear" w:color="auto" w:fill="auto"/>
            <w:vAlign w:val="bottom"/>
          </w:tcPr>
          <w:p w14:paraId="073FDE61" w14:textId="77777777" w:rsidR="00046F46" w:rsidRPr="00EE4C2A" w:rsidRDefault="00046F46" w:rsidP="0048667E">
            <w:pPr>
              <w:pStyle w:val="SingleTxtG"/>
              <w:spacing w:before="80" w:after="80" w:line="200" w:lineRule="exact"/>
              <w:ind w:left="0" w:right="0"/>
              <w:jc w:val="right"/>
              <w:rPr>
                <w:i/>
                <w:sz w:val="16"/>
                <w:szCs w:val="16"/>
                <w:lang w:val="fr-FR"/>
              </w:rPr>
            </w:pPr>
            <w:r w:rsidRPr="00EE4C2A">
              <w:rPr>
                <w:i/>
                <w:iCs/>
                <w:sz w:val="16"/>
                <w:szCs w:val="16"/>
                <w:lang w:val="fr-FR"/>
              </w:rPr>
              <w:t>Vivant en couple</w:t>
            </w:r>
          </w:p>
        </w:tc>
        <w:tc>
          <w:tcPr>
            <w:tcW w:w="851" w:type="dxa"/>
            <w:tcBorders>
              <w:top w:val="nil"/>
              <w:bottom w:val="single" w:sz="12" w:space="0" w:color="auto"/>
            </w:tcBorders>
            <w:shd w:val="clear" w:color="auto" w:fill="auto"/>
            <w:vAlign w:val="bottom"/>
          </w:tcPr>
          <w:p w14:paraId="3842D5AD" w14:textId="77777777" w:rsidR="00046F46" w:rsidRPr="00EE4C2A" w:rsidRDefault="00046F46" w:rsidP="0048667E">
            <w:pPr>
              <w:pStyle w:val="SingleTxtG"/>
              <w:spacing w:before="80" w:after="80" w:line="200" w:lineRule="exact"/>
              <w:ind w:left="0" w:right="0"/>
              <w:jc w:val="right"/>
              <w:rPr>
                <w:i/>
                <w:sz w:val="16"/>
                <w:szCs w:val="16"/>
                <w:lang w:val="fr-FR"/>
              </w:rPr>
            </w:pPr>
            <w:r w:rsidRPr="00EE4C2A">
              <w:rPr>
                <w:i/>
                <w:iCs/>
                <w:sz w:val="16"/>
                <w:szCs w:val="16"/>
                <w:lang w:val="fr-FR"/>
              </w:rPr>
              <w:t>Divorcés</w:t>
            </w:r>
          </w:p>
        </w:tc>
        <w:tc>
          <w:tcPr>
            <w:tcW w:w="850" w:type="dxa"/>
            <w:tcBorders>
              <w:top w:val="nil"/>
              <w:bottom w:val="single" w:sz="12" w:space="0" w:color="auto"/>
            </w:tcBorders>
            <w:shd w:val="clear" w:color="auto" w:fill="auto"/>
            <w:vAlign w:val="bottom"/>
          </w:tcPr>
          <w:p w14:paraId="770C2EA7" w14:textId="77777777" w:rsidR="00046F46" w:rsidRPr="00EE4C2A" w:rsidRDefault="00046F46" w:rsidP="0048667E">
            <w:pPr>
              <w:pStyle w:val="SingleTxtG"/>
              <w:spacing w:before="80" w:after="80" w:line="200" w:lineRule="exact"/>
              <w:ind w:left="0" w:right="0"/>
              <w:jc w:val="right"/>
              <w:rPr>
                <w:i/>
                <w:sz w:val="16"/>
                <w:szCs w:val="16"/>
                <w:lang w:val="fr-FR"/>
              </w:rPr>
            </w:pPr>
            <w:r w:rsidRPr="00EE4C2A">
              <w:rPr>
                <w:i/>
                <w:iCs/>
                <w:sz w:val="16"/>
                <w:szCs w:val="16"/>
                <w:lang w:val="fr-FR"/>
              </w:rPr>
              <w:t>Séparés ou divorcés</w:t>
            </w:r>
          </w:p>
        </w:tc>
        <w:tc>
          <w:tcPr>
            <w:tcW w:w="851" w:type="dxa"/>
            <w:tcBorders>
              <w:top w:val="nil"/>
              <w:bottom w:val="single" w:sz="12" w:space="0" w:color="auto"/>
            </w:tcBorders>
            <w:shd w:val="clear" w:color="auto" w:fill="auto"/>
            <w:vAlign w:val="bottom"/>
          </w:tcPr>
          <w:p w14:paraId="2966B095" w14:textId="77777777" w:rsidR="00046F46" w:rsidRPr="00EE4C2A" w:rsidRDefault="00046F46" w:rsidP="0048667E">
            <w:pPr>
              <w:pStyle w:val="SingleTxtG"/>
              <w:spacing w:before="80" w:after="80" w:line="200" w:lineRule="exact"/>
              <w:ind w:left="0" w:right="0"/>
              <w:jc w:val="right"/>
              <w:rPr>
                <w:i/>
                <w:sz w:val="16"/>
                <w:szCs w:val="16"/>
                <w:lang w:val="fr-FR"/>
              </w:rPr>
            </w:pPr>
            <w:r w:rsidRPr="00EE4C2A">
              <w:rPr>
                <w:i/>
                <w:iCs/>
                <w:sz w:val="16"/>
                <w:szCs w:val="16"/>
                <w:lang w:val="fr-FR"/>
              </w:rPr>
              <w:t>Veufs</w:t>
            </w:r>
          </w:p>
        </w:tc>
        <w:tc>
          <w:tcPr>
            <w:tcW w:w="708" w:type="dxa"/>
            <w:vMerge/>
            <w:tcBorders>
              <w:top w:val="nil"/>
              <w:bottom w:val="single" w:sz="12" w:space="0" w:color="auto"/>
            </w:tcBorders>
            <w:shd w:val="clear" w:color="auto" w:fill="auto"/>
          </w:tcPr>
          <w:p w14:paraId="63911DF7"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i/>
                <w:sz w:val="16"/>
                <w:lang w:val="fr-FR"/>
              </w:rPr>
            </w:pPr>
          </w:p>
        </w:tc>
        <w:tc>
          <w:tcPr>
            <w:tcW w:w="1192" w:type="dxa"/>
            <w:vMerge/>
            <w:tcBorders>
              <w:top w:val="nil"/>
              <w:bottom w:val="single" w:sz="12" w:space="0" w:color="auto"/>
            </w:tcBorders>
            <w:shd w:val="clear" w:color="auto" w:fill="auto"/>
          </w:tcPr>
          <w:p w14:paraId="513784C4"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i/>
                <w:sz w:val="16"/>
                <w:lang w:val="fr-FR"/>
              </w:rPr>
            </w:pPr>
          </w:p>
        </w:tc>
        <w:tc>
          <w:tcPr>
            <w:tcW w:w="1076" w:type="dxa"/>
            <w:vMerge/>
            <w:tcBorders>
              <w:top w:val="nil"/>
              <w:bottom w:val="single" w:sz="12" w:space="0" w:color="auto"/>
            </w:tcBorders>
            <w:shd w:val="clear" w:color="auto" w:fill="auto"/>
          </w:tcPr>
          <w:p w14:paraId="59ED2C97"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i/>
                <w:sz w:val="16"/>
                <w:lang w:val="fr-FR"/>
              </w:rPr>
            </w:pPr>
          </w:p>
        </w:tc>
      </w:tr>
      <w:tr w:rsidR="00046F46" w:rsidRPr="00EE4C2A" w14:paraId="366AB818" w14:textId="77777777" w:rsidTr="004C1F7B">
        <w:tc>
          <w:tcPr>
            <w:tcW w:w="819" w:type="dxa"/>
            <w:tcBorders>
              <w:top w:val="single" w:sz="12" w:space="0" w:color="auto"/>
            </w:tcBorders>
            <w:shd w:val="clear" w:color="auto" w:fill="auto"/>
          </w:tcPr>
          <w:p w14:paraId="47DC8E2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Filles</w:t>
            </w:r>
          </w:p>
        </w:tc>
        <w:tc>
          <w:tcPr>
            <w:tcW w:w="741" w:type="dxa"/>
            <w:tcBorders>
              <w:top w:val="single" w:sz="12" w:space="0" w:color="auto"/>
            </w:tcBorders>
            <w:shd w:val="clear" w:color="auto" w:fill="auto"/>
          </w:tcPr>
          <w:p w14:paraId="7346D3A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708" w:type="dxa"/>
            <w:tcBorders>
              <w:top w:val="single" w:sz="12" w:space="0" w:color="auto"/>
            </w:tcBorders>
            <w:shd w:val="clear" w:color="auto" w:fill="auto"/>
          </w:tcPr>
          <w:p w14:paraId="7F335555"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709" w:type="dxa"/>
            <w:tcBorders>
              <w:top w:val="single" w:sz="12" w:space="0" w:color="auto"/>
            </w:tcBorders>
            <w:shd w:val="clear" w:color="auto" w:fill="auto"/>
          </w:tcPr>
          <w:p w14:paraId="6F5D94C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851" w:type="dxa"/>
            <w:tcBorders>
              <w:top w:val="single" w:sz="12" w:space="0" w:color="auto"/>
            </w:tcBorders>
            <w:shd w:val="clear" w:color="auto" w:fill="auto"/>
          </w:tcPr>
          <w:p w14:paraId="7421ED69"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850" w:type="dxa"/>
            <w:tcBorders>
              <w:top w:val="single" w:sz="12" w:space="0" w:color="auto"/>
            </w:tcBorders>
            <w:shd w:val="clear" w:color="auto" w:fill="auto"/>
          </w:tcPr>
          <w:p w14:paraId="549DC1DD"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851" w:type="dxa"/>
            <w:tcBorders>
              <w:top w:val="single" w:sz="12" w:space="0" w:color="auto"/>
            </w:tcBorders>
            <w:shd w:val="clear" w:color="auto" w:fill="auto"/>
          </w:tcPr>
          <w:p w14:paraId="43232AB4"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708" w:type="dxa"/>
            <w:tcBorders>
              <w:top w:val="single" w:sz="12" w:space="0" w:color="auto"/>
            </w:tcBorders>
            <w:shd w:val="clear" w:color="auto" w:fill="auto"/>
          </w:tcPr>
          <w:p w14:paraId="372A190D"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1192" w:type="dxa"/>
            <w:tcBorders>
              <w:top w:val="single" w:sz="12" w:space="0" w:color="auto"/>
            </w:tcBorders>
            <w:shd w:val="clear" w:color="auto" w:fill="auto"/>
          </w:tcPr>
          <w:p w14:paraId="650FE382"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c>
          <w:tcPr>
            <w:tcW w:w="1076" w:type="dxa"/>
            <w:tcBorders>
              <w:top w:val="single" w:sz="12" w:space="0" w:color="auto"/>
            </w:tcBorders>
            <w:shd w:val="clear" w:color="auto" w:fill="auto"/>
          </w:tcPr>
          <w:p w14:paraId="2D97DFA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p>
        </w:tc>
      </w:tr>
      <w:tr w:rsidR="00046F46" w:rsidRPr="00EE4C2A" w14:paraId="7F1D1995" w14:textId="77777777" w:rsidTr="004C1F7B">
        <w:tc>
          <w:tcPr>
            <w:tcW w:w="819" w:type="dxa"/>
            <w:shd w:val="clear" w:color="auto" w:fill="auto"/>
          </w:tcPr>
          <w:p w14:paraId="372548AF" w14:textId="5358C22D"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15</w:t>
            </w:r>
            <w:r w:rsidR="0048667E">
              <w:rPr>
                <w:sz w:val="18"/>
                <w:szCs w:val="18"/>
                <w:lang w:val="fr-FR"/>
              </w:rPr>
              <w:t>-</w:t>
            </w:r>
            <w:r w:rsidRPr="00EE4C2A">
              <w:rPr>
                <w:sz w:val="18"/>
                <w:szCs w:val="18"/>
                <w:lang w:val="fr-FR"/>
              </w:rPr>
              <w:t>19</w:t>
            </w:r>
          </w:p>
        </w:tc>
        <w:tc>
          <w:tcPr>
            <w:tcW w:w="741" w:type="dxa"/>
            <w:shd w:val="clear" w:color="auto" w:fill="auto"/>
          </w:tcPr>
          <w:p w14:paraId="2C6244D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84,4</w:t>
            </w:r>
          </w:p>
        </w:tc>
        <w:tc>
          <w:tcPr>
            <w:tcW w:w="708" w:type="dxa"/>
            <w:shd w:val="clear" w:color="auto" w:fill="auto"/>
          </w:tcPr>
          <w:p w14:paraId="50F852E2"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14,4</w:t>
            </w:r>
          </w:p>
        </w:tc>
        <w:tc>
          <w:tcPr>
            <w:tcW w:w="709" w:type="dxa"/>
            <w:shd w:val="clear" w:color="auto" w:fill="auto"/>
          </w:tcPr>
          <w:p w14:paraId="61909352"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0,2</w:t>
            </w:r>
          </w:p>
        </w:tc>
        <w:tc>
          <w:tcPr>
            <w:tcW w:w="851" w:type="dxa"/>
            <w:shd w:val="clear" w:color="auto" w:fill="auto"/>
          </w:tcPr>
          <w:p w14:paraId="0270AE39"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0,3</w:t>
            </w:r>
          </w:p>
        </w:tc>
        <w:tc>
          <w:tcPr>
            <w:tcW w:w="850" w:type="dxa"/>
            <w:shd w:val="clear" w:color="auto" w:fill="auto"/>
          </w:tcPr>
          <w:p w14:paraId="37D876B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0,7</w:t>
            </w:r>
          </w:p>
        </w:tc>
        <w:tc>
          <w:tcPr>
            <w:tcW w:w="851" w:type="dxa"/>
            <w:shd w:val="clear" w:color="auto" w:fill="auto"/>
          </w:tcPr>
          <w:p w14:paraId="064FBC5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0,0</w:t>
            </w:r>
          </w:p>
        </w:tc>
        <w:tc>
          <w:tcPr>
            <w:tcW w:w="708" w:type="dxa"/>
            <w:shd w:val="clear" w:color="auto" w:fill="auto"/>
          </w:tcPr>
          <w:p w14:paraId="3BF9A01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100,0</w:t>
            </w:r>
          </w:p>
        </w:tc>
        <w:tc>
          <w:tcPr>
            <w:tcW w:w="1192" w:type="dxa"/>
            <w:shd w:val="clear" w:color="auto" w:fill="auto"/>
          </w:tcPr>
          <w:p w14:paraId="727E57B5"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14,6</w:t>
            </w:r>
          </w:p>
        </w:tc>
        <w:tc>
          <w:tcPr>
            <w:tcW w:w="1076" w:type="dxa"/>
            <w:shd w:val="clear" w:color="auto" w:fill="auto"/>
          </w:tcPr>
          <w:p w14:paraId="73F7A90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3 000</w:t>
            </w:r>
          </w:p>
        </w:tc>
      </w:tr>
      <w:tr w:rsidR="00046F46" w:rsidRPr="00EE4C2A" w14:paraId="42812D1F" w14:textId="77777777" w:rsidTr="004C1F7B">
        <w:tc>
          <w:tcPr>
            <w:tcW w:w="819" w:type="dxa"/>
            <w:tcBorders>
              <w:bottom w:val="nil"/>
            </w:tcBorders>
            <w:shd w:val="clear" w:color="auto" w:fill="auto"/>
          </w:tcPr>
          <w:p w14:paraId="1A6B5C72"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Garçons</w:t>
            </w:r>
          </w:p>
        </w:tc>
        <w:tc>
          <w:tcPr>
            <w:tcW w:w="741" w:type="dxa"/>
            <w:tcBorders>
              <w:bottom w:val="nil"/>
            </w:tcBorders>
            <w:shd w:val="clear" w:color="auto" w:fill="auto"/>
          </w:tcPr>
          <w:p w14:paraId="23C649DF"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708" w:type="dxa"/>
            <w:tcBorders>
              <w:bottom w:val="nil"/>
            </w:tcBorders>
            <w:shd w:val="clear" w:color="auto" w:fill="auto"/>
          </w:tcPr>
          <w:p w14:paraId="090CBC4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709" w:type="dxa"/>
            <w:tcBorders>
              <w:bottom w:val="nil"/>
            </w:tcBorders>
            <w:shd w:val="clear" w:color="auto" w:fill="auto"/>
          </w:tcPr>
          <w:p w14:paraId="48A03946"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851" w:type="dxa"/>
            <w:tcBorders>
              <w:bottom w:val="nil"/>
            </w:tcBorders>
            <w:shd w:val="clear" w:color="auto" w:fill="auto"/>
          </w:tcPr>
          <w:p w14:paraId="45C21CD4"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850" w:type="dxa"/>
            <w:tcBorders>
              <w:bottom w:val="nil"/>
            </w:tcBorders>
            <w:shd w:val="clear" w:color="auto" w:fill="auto"/>
          </w:tcPr>
          <w:p w14:paraId="42D8C82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851" w:type="dxa"/>
            <w:tcBorders>
              <w:bottom w:val="nil"/>
            </w:tcBorders>
            <w:shd w:val="clear" w:color="auto" w:fill="auto"/>
          </w:tcPr>
          <w:p w14:paraId="118389E4"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708" w:type="dxa"/>
            <w:tcBorders>
              <w:bottom w:val="nil"/>
            </w:tcBorders>
            <w:shd w:val="clear" w:color="auto" w:fill="auto"/>
          </w:tcPr>
          <w:p w14:paraId="7E4D9DC1"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1192" w:type="dxa"/>
            <w:tcBorders>
              <w:bottom w:val="nil"/>
            </w:tcBorders>
            <w:shd w:val="clear" w:color="auto" w:fill="auto"/>
          </w:tcPr>
          <w:p w14:paraId="02AA0295"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1076" w:type="dxa"/>
            <w:tcBorders>
              <w:bottom w:val="nil"/>
            </w:tcBorders>
            <w:shd w:val="clear" w:color="auto" w:fill="auto"/>
          </w:tcPr>
          <w:p w14:paraId="4F31BF35"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p>
        </w:tc>
      </w:tr>
      <w:tr w:rsidR="00046F46" w:rsidRPr="00EE4C2A" w14:paraId="20110661" w14:textId="77777777" w:rsidTr="004C1F7B">
        <w:tc>
          <w:tcPr>
            <w:tcW w:w="819" w:type="dxa"/>
            <w:tcBorders>
              <w:top w:val="nil"/>
              <w:bottom w:val="single" w:sz="12" w:space="0" w:color="auto"/>
            </w:tcBorders>
            <w:shd w:val="clear" w:color="auto" w:fill="auto"/>
          </w:tcPr>
          <w:p w14:paraId="70ACD912" w14:textId="132A84E4" w:rsidR="00046F46" w:rsidRPr="00EE4C2A" w:rsidRDefault="00046F46" w:rsidP="0048667E">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15</w:t>
            </w:r>
            <w:r w:rsidR="0048667E">
              <w:rPr>
                <w:sz w:val="18"/>
                <w:szCs w:val="18"/>
                <w:lang w:val="fr-FR"/>
              </w:rPr>
              <w:t>-</w:t>
            </w:r>
            <w:r w:rsidRPr="00EE4C2A">
              <w:rPr>
                <w:sz w:val="18"/>
                <w:szCs w:val="18"/>
                <w:lang w:val="fr-FR"/>
              </w:rPr>
              <w:t>19</w:t>
            </w:r>
          </w:p>
        </w:tc>
        <w:tc>
          <w:tcPr>
            <w:tcW w:w="741" w:type="dxa"/>
            <w:tcBorders>
              <w:top w:val="nil"/>
              <w:bottom w:val="single" w:sz="12" w:space="0" w:color="auto"/>
            </w:tcBorders>
            <w:shd w:val="clear" w:color="auto" w:fill="auto"/>
          </w:tcPr>
          <w:p w14:paraId="32108D7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98,9</w:t>
            </w:r>
          </w:p>
        </w:tc>
        <w:tc>
          <w:tcPr>
            <w:tcW w:w="708" w:type="dxa"/>
            <w:tcBorders>
              <w:top w:val="nil"/>
              <w:bottom w:val="single" w:sz="12" w:space="0" w:color="auto"/>
            </w:tcBorders>
            <w:shd w:val="clear" w:color="auto" w:fill="auto"/>
          </w:tcPr>
          <w:p w14:paraId="400ECBF1"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1,1</w:t>
            </w:r>
          </w:p>
        </w:tc>
        <w:tc>
          <w:tcPr>
            <w:tcW w:w="709" w:type="dxa"/>
            <w:tcBorders>
              <w:top w:val="nil"/>
              <w:bottom w:val="single" w:sz="12" w:space="0" w:color="auto"/>
            </w:tcBorders>
            <w:shd w:val="clear" w:color="auto" w:fill="auto"/>
          </w:tcPr>
          <w:p w14:paraId="12B2B69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0,0</w:t>
            </w:r>
          </w:p>
        </w:tc>
        <w:tc>
          <w:tcPr>
            <w:tcW w:w="851" w:type="dxa"/>
            <w:tcBorders>
              <w:top w:val="nil"/>
              <w:bottom w:val="single" w:sz="12" w:space="0" w:color="auto"/>
            </w:tcBorders>
            <w:shd w:val="clear" w:color="auto" w:fill="auto"/>
          </w:tcPr>
          <w:p w14:paraId="6D148B9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0,0</w:t>
            </w:r>
          </w:p>
        </w:tc>
        <w:tc>
          <w:tcPr>
            <w:tcW w:w="850" w:type="dxa"/>
            <w:tcBorders>
              <w:top w:val="nil"/>
              <w:bottom w:val="single" w:sz="12" w:space="0" w:color="auto"/>
            </w:tcBorders>
            <w:shd w:val="clear" w:color="auto" w:fill="auto"/>
          </w:tcPr>
          <w:p w14:paraId="483CD31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0,0</w:t>
            </w:r>
          </w:p>
        </w:tc>
        <w:tc>
          <w:tcPr>
            <w:tcW w:w="851" w:type="dxa"/>
            <w:tcBorders>
              <w:top w:val="nil"/>
              <w:bottom w:val="single" w:sz="12" w:space="0" w:color="auto"/>
            </w:tcBorders>
            <w:shd w:val="clear" w:color="auto" w:fill="auto"/>
          </w:tcPr>
          <w:p w14:paraId="6079DC29"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0,0</w:t>
            </w:r>
          </w:p>
        </w:tc>
        <w:tc>
          <w:tcPr>
            <w:tcW w:w="708" w:type="dxa"/>
            <w:tcBorders>
              <w:top w:val="nil"/>
              <w:bottom w:val="single" w:sz="12" w:space="0" w:color="auto"/>
            </w:tcBorders>
            <w:shd w:val="clear" w:color="auto" w:fill="auto"/>
          </w:tcPr>
          <w:p w14:paraId="3DFFF872"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100,0</w:t>
            </w:r>
          </w:p>
        </w:tc>
        <w:tc>
          <w:tcPr>
            <w:tcW w:w="1192" w:type="dxa"/>
            <w:tcBorders>
              <w:top w:val="nil"/>
              <w:bottom w:val="single" w:sz="12" w:space="0" w:color="auto"/>
            </w:tcBorders>
            <w:shd w:val="clear" w:color="auto" w:fill="auto"/>
          </w:tcPr>
          <w:p w14:paraId="1FEB084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1,1</w:t>
            </w:r>
          </w:p>
        </w:tc>
        <w:tc>
          <w:tcPr>
            <w:tcW w:w="1076" w:type="dxa"/>
            <w:tcBorders>
              <w:top w:val="nil"/>
              <w:bottom w:val="single" w:sz="12" w:space="0" w:color="auto"/>
            </w:tcBorders>
            <w:shd w:val="clear" w:color="auto" w:fill="auto"/>
          </w:tcPr>
          <w:p w14:paraId="16AA587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2 781</w:t>
            </w:r>
          </w:p>
        </w:tc>
      </w:tr>
    </w:tbl>
    <w:p w14:paraId="482E8AB5" w14:textId="26F7F65F" w:rsidR="00046F46" w:rsidRPr="00EE4C2A" w:rsidRDefault="00046F46" w:rsidP="00046F46">
      <w:pPr>
        <w:pStyle w:val="SingleTxtG"/>
        <w:spacing w:before="240"/>
        <w:rPr>
          <w:iCs/>
          <w:lang w:val="fr-FR"/>
        </w:rPr>
      </w:pPr>
      <w:r w:rsidRPr="00EE4C2A">
        <w:rPr>
          <w:lang w:val="fr-FR"/>
        </w:rPr>
        <w:lastRenderedPageBreak/>
        <w:t>83.</w:t>
      </w:r>
      <w:r w:rsidRPr="00EE4C2A">
        <w:rPr>
          <w:lang w:val="fr-FR"/>
        </w:rPr>
        <w:tab/>
        <w:t>Selon les projections démographiques</w:t>
      </w:r>
      <w:r w:rsidR="0048667E">
        <w:rPr>
          <w:lang w:val="fr-FR"/>
        </w:rPr>
        <w:t xml:space="preserve"> </w:t>
      </w:r>
      <w:r w:rsidRPr="00EE4C2A">
        <w:rPr>
          <w:lang w:val="fr-FR"/>
        </w:rPr>
        <w:t>pour</w:t>
      </w:r>
      <w:r w:rsidR="0048667E">
        <w:rPr>
          <w:lang w:val="fr-FR"/>
        </w:rPr>
        <w:t xml:space="preserve"> </w:t>
      </w:r>
      <w:r w:rsidRPr="00EE4C2A">
        <w:rPr>
          <w:lang w:val="fr-FR"/>
        </w:rPr>
        <w:t>2020, l</w:t>
      </w:r>
      <w:r w:rsidR="008279BF">
        <w:rPr>
          <w:lang w:val="fr-FR"/>
        </w:rPr>
        <w:t>’</w:t>
      </w:r>
      <w:r w:rsidRPr="00EE4C2A">
        <w:rPr>
          <w:lang w:val="fr-FR"/>
        </w:rPr>
        <w:t>écart entre le nombre de garçons et de filles devrait être négligeable.</w:t>
      </w:r>
    </w:p>
    <w:p w14:paraId="3C8C28E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Population par sexe et âge, Projections pour 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6"/>
        <w:gridCol w:w="1858"/>
        <w:gridCol w:w="1858"/>
        <w:gridCol w:w="1858"/>
      </w:tblGrid>
      <w:tr w:rsidR="00046F46" w:rsidRPr="00EE4C2A" w14:paraId="23D049AA" w14:textId="77777777" w:rsidTr="004C1F7B">
        <w:trPr>
          <w:tblHeader/>
        </w:trPr>
        <w:tc>
          <w:tcPr>
            <w:tcW w:w="2346" w:type="dxa"/>
            <w:tcBorders>
              <w:top w:val="single" w:sz="4" w:space="0" w:color="auto"/>
              <w:bottom w:val="nil"/>
            </w:tcBorders>
            <w:shd w:val="clear" w:color="auto" w:fill="auto"/>
            <w:vAlign w:val="bottom"/>
            <w:hideMark/>
          </w:tcPr>
          <w:p w14:paraId="680B10DE"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left"/>
              <w:rPr>
                <w:bCs/>
                <w:i/>
                <w:iCs/>
                <w:sz w:val="16"/>
                <w:szCs w:val="16"/>
                <w:lang w:val="fr-FR"/>
              </w:rPr>
            </w:pPr>
          </w:p>
        </w:tc>
        <w:tc>
          <w:tcPr>
            <w:tcW w:w="7287" w:type="dxa"/>
            <w:gridSpan w:val="3"/>
            <w:tcBorders>
              <w:top w:val="single" w:sz="4" w:space="0" w:color="auto"/>
              <w:bottom w:val="single" w:sz="4" w:space="0" w:color="auto"/>
            </w:tcBorders>
            <w:shd w:val="clear" w:color="auto" w:fill="auto"/>
            <w:noWrap/>
            <w:vAlign w:val="bottom"/>
            <w:hideMark/>
          </w:tcPr>
          <w:p w14:paraId="0B930FC2"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center"/>
              <w:rPr>
                <w:bCs/>
                <w:i/>
                <w:iCs/>
                <w:sz w:val="16"/>
                <w:szCs w:val="16"/>
                <w:lang w:val="fr-FR"/>
              </w:rPr>
            </w:pPr>
            <w:r w:rsidRPr="00EE4C2A">
              <w:rPr>
                <w:i/>
                <w:iCs/>
                <w:sz w:val="16"/>
                <w:szCs w:val="16"/>
                <w:lang w:val="fr-FR"/>
              </w:rPr>
              <w:t>Sexe</w:t>
            </w:r>
          </w:p>
        </w:tc>
      </w:tr>
      <w:tr w:rsidR="00046F46" w:rsidRPr="00EE4C2A" w14:paraId="29E306FB" w14:textId="77777777" w:rsidTr="004C1F7B">
        <w:tc>
          <w:tcPr>
            <w:tcW w:w="2346" w:type="dxa"/>
            <w:tcBorders>
              <w:top w:val="nil"/>
              <w:bottom w:val="single" w:sz="12" w:space="0" w:color="auto"/>
            </w:tcBorders>
            <w:shd w:val="clear" w:color="auto" w:fill="auto"/>
            <w:noWrap/>
            <w:hideMark/>
          </w:tcPr>
          <w:p w14:paraId="08A6BD7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6"/>
                <w:szCs w:val="16"/>
                <w:lang w:val="fr-FR"/>
              </w:rPr>
            </w:pPr>
            <w:r w:rsidRPr="00EE4C2A">
              <w:rPr>
                <w:i/>
                <w:iCs/>
                <w:sz w:val="16"/>
                <w:szCs w:val="16"/>
                <w:lang w:val="fr-FR"/>
              </w:rPr>
              <w:t>Âge</w:t>
            </w:r>
          </w:p>
        </w:tc>
        <w:tc>
          <w:tcPr>
            <w:tcW w:w="2429" w:type="dxa"/>
            <w:tcBorders>
              <w:top w:val="single" w:sz="4" w:space="0" w:color="auto"/>
              <w:bottom w:val="single" w:sz="12" w:space="0" w:color="auto"/>
            </w:tcBorders>
            <w:shd w:val="clear" w:color="auto" w:fill="auto"/>
            <w:noWrap/>
            <w:vAlign w:val="bottom"/>
            <w:hideMark/>
          </w:tcPr>
          <w:p w14:paraId="7FBFA611"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Garçons et filles</w:t>
            </w:r>
          </w:p>
        </w:tc>
        <w:tc>
          <w:tcPr>
            <w:tcW w:w="2429" w:type="dxa"/>
            <w:tcBorders>
              <w:top w:val="single" w:sz="4" w:space="0" w:color="auto"/>
              <w:bottom w:val="single" w:sz="12" w:space="0" w:color="auto"/>
            </w:tcBorders>
            <w:shd w:val="clear" w:color="auto" w:fill="auto"/>
            <w:noWrap/>
            <w:vAlign w:val="bottom"/>
            <w:hideMark/>
          </w:tcPr>
          <w:p w14:paraId="7652D594"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Garçons</w:t>
            </w:r>
          </w:p>
        </w:tc>
        <w:tc>
          <w:tcPr>
            <w:tcW w:w="2429" w:type="dxa"/>
            <w:tcBorders>
              <w:top w:val="single" w:sz="4" w:space="0" w:color="auto"/>
              <w:bottom w:val="single" w:sz="12" w:space="0" w:color="auto"/>
            </w:tcBorders>
            <w:shd w:val="clear" w:color="auto" w:fill="auto"/>
            <w:noWrap/>
            <w:vAlign w:val="bottom"/>
            <w:hideMark/>
          </w:tcPr>
          <w:p w14:paraId="62D89543" w14:textId="77777777" w:rsidR="00046F46" w:rsidRPr="00EE4C2A" w:rsidRDefault="00046F46" w:rsidP="0048667E">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Filles</w:t>
            </w:r>
          </w:p>
        </w:tc>
      </w:tr>
      <w:tr w:rsidR="00046F46" w:rsidRPr="00EE4C2A" w14:paraId="592FCE58" w14:textId="77777777" w:rsidTr="004C1F7B">
        <w:tc>
          <w:tcPr>
            <w:tcW w:w="2346" w:type="dxa"/>
            <w:tcBorders>
              <w:top w:val="single" w:sz="12" w:space="0" w:color="auto"/>
            </w:tcBorders>
            <w:shd w:val="clear" w:color="auto" w:fill="auto"/>
            <w:noWrap/>
            <w:hideMark/>
          </w:tcPr>
          <w:p w14:paraId="058F844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0</w:t>
            </w:r>
          </w:p>
        </w:tc>
        <w:tc>
          <w:tcPr>
            <w:tcW w:w="2429" w:type="dxa"/>
            <w:tcBorders>
              <w:top w:val="single" w:sz="12" w:space="0" w:color="auto"/>
            </w:tcBorders>
            <w:shd w:val="clear" w:color="auto" w:fill="auto"/>
            <w:noWrap/>
            <w:vAlign w:val="bottom"/>
            <w:hideMark/>
          </w:tcPr>
          <w:p w14:paraId="6DD2815D"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678 359</w:t>
            </w:r>
          </w:p>
        </w:tc>
        <w:tc>
          <w:tcPr>
            <w:tcW w:w="2429" w:type="dxa"/>
            <w:tcBorders>
              <w:top w:val="single" w:sz="12" w:space="0" w:color="auto"/>
            </w:tcBorders>
            <w:shd w:val="clear" w:color="auto" w:fill="auto"/>
            <w:noWrap/>
            <w:vAlign w:val="bottom"/>
            <w:hideMark/>
          </w:tcPr>
          <w:p w14:paraId="3FB9CA5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342 919</w:t>
            </w:r>
          </w:p>
        </w:tc>
        <w:tc>
          <w:tcPr>
            <w:tcW w:w="2429" w:type="dxa"/>
            <w:tcBorders>
              <w:top w:val="single" w:sz="12" w:space="0" w:color="auto"/>
            </w:tcBorders>
            <w:shd w:val="clear" w:color="auto" w:fill="auto"/>
            <w:noWrap/>
            <w:vAlign w:val="bottom"/>
            <w:hideMark/>
          </w:tcPr>
          <w:p w14:paraId="55953C1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335 440</w:t>
            </w:r>
          </w:p>
        </w:tc>
      </w:tr>
      <w:tr w:rsidR="00046F46" w:rsidRPr="00EE4C2A" w14:paraId="2ACB6D01" w14:textId="77777777" w:rsidTr="004C1F7B">
        <w:tc>
          <w:tcPr>
            <w:tcW w:w="2346" w:type="dxa"/>
            <w:shd w:val="clear" w:color="auto" w:fill="auto"/>
            <w:noWrap/>
            <w:hideMark/>
          </w:tcPr>
          <w:p w14:paraId="1A0BED73"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w:t>
            </w:r>
          </w:p>
        </w:tc>
        <w:tc>
          <w:tcPr>
            <w:tcW w:w="2429" w:type="dxa"/>
            <w:shd w:val="clear" w:color="auto" w:fill="auto"/>
            <w:noWrap/>
            <w:vAlign w:val="bottom"/>
            <w:hideMark/>
          </w:tcPr>
          <w:p w14:paraId="56A10255"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646 609</w:t>
            </w:r>
          </w:p>
        </w:tc>
        <w:tc>
          <w:tcPr>
            <w:tcW w:w="2429" w:type="dxa"/>
            <w:shd w:val="clear" w:color="auto" w:fill="auto"/>
            <w:noWrap/>
            <w:vAlign w:val="bottom"/>
            <w:hideMark/>
          </w:tcPr>
          <w:p w14:paraId="79E3618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325 999</w:t>
            </w:r>
          </w:p>
        </w:tc>
        <w:tc>
          <w:tcPr>
            <w:tcW w:w="2429" w:type="dxa"/>
            <w:shd w:val="clear" w:color="auto" w:fill="auto"/>
            <w:noWrap/>
            <w:vAlign w:val="bottom"/>
            <w:hideMark/>
          </w:tcPr>
          <w:p w14:paraId="2320578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320 610</w:t>
            </w:r>
          </w:p>
        </w:tc>
      </w:tr>
      <w:tr w:rsidR="00046F46" w:rsidRPr="00EE4C2A" w14:paraId="12026917" w14:textId="77777777" w:rsidTr="004C1F7B">
        <w:tc>
          <w:tcPr>
            <w:tcW w:w="2346" w:type="dxa"/>
            <w:shd w:val="clear" w:color="auto" w:fill="auto"/>
            <w:noWrap/>
            <w:hideMark/>
          </w:tcPr>
          <w:p w14:paraId="59217C5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w:t>
            </w:r>
          </w:p>
        </w:tc>
        <w:tc>
          <w:tcPr>
            <w:tcW w:w="2429" w:type="dxa"/>
            <w:shd w:val="clear" w:color="auto" w:fill="auto"/>
            <w:noWrap/>
            <w:vAlign w:val="bottom"/>
            <w:hideMark/>
          </w:tcPr>
          <w:p w14:paraId="74AC835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622 829</w:t>
            </w:r>
          </w:p>
        </w:tc>
        <w:tc>
          <w:tcPr>
            <w:tcW w:w="2429" w:type="dxa"/>
            <w:shd w:val="clear" w:color="auto" w:fill="auto"/>
            <w:noWrap/>
            <w:vAlign w:val="bottom"/>
            <w:hideMark/>
          </w:tcPr>
          <w:p w14:paraId="1937FACD"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313 728</w:t>
            </w:r>
          </w:p>
        </w:tc>
        <w:tc>
          <w:tcPr>
            <w:tcW w:w="2429" w:type="dxa"/>
            <w:shd w:val="clear" w:color="auto" w:fill="auto"/>
            <w:noWrap/>
            <w:vAlign w:val="bottom"/>
            <w:hideMark/>
          </w:tcPr>
          <w:p w14:paraId="139D3B8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309 101</w:t>
            </w:r>
          </w:p>
        </w:tc>
      </w:tr>
      <w:tr w:rsidR="00046F46" w:rsidRPr="00EE4C2A" w14:paraId="4AE3BC2E" w14:textId="77777777" w:rsidTr="004C1F7B">
        <w:tc>
          <w:tcPr>
            <w:tcW w:w="2346" w:type="dxa"/>
            <w:shd w:val="clear" w:color="auto" w:fill="auto"/>
            <w:noWrap/>
            <w:hideMark/>
          </w:tcPr>
          <w:p w14:paraId="01865B2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3</w:t>
            </w:r>
          </w:p>
        </w:tc>
        <w:tc>
          <w:tcPr>
            <w:tcW w:w="2429" w:type="dxa"/>
            <w:shd w:val="clear" w:color="auto" w:fill="auto"/>
            <w:noWrap/>
            <w:vAlign w:val="bottom"/>
            <w:hideMark/>
          </w:tcPr>
          <w:p w14:paraId="1A6442D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602 212</w:t>
            </w:r>
          </w:p>
        </w:tc>
        <w:tc>
          <w:tcPr>
            <w:tcW w:w="2429" w:type="dxa"/>
            <w:shd w:val="clear" w:color="auto" w:fill="auto"/>
            <w:noWrap/>
            <w:vAlign w:val="bottom"/>
            <w:hideMark/>
          </w:tcPr>
          <w:p w14:paraId="1365BB4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303 135</w:t>
            </w:r>
          </w:p>
        </w:tc>
        <w:tc>
          <w:tcPr>
            <w:tcW w:w="2429" w:type="dxa"/>
            <w:shd w:val="clear" w:color="auto" w:fill="auto"/>
            <w:noWrap/>
            <w:vAlign w:val="bottom"/>
            <w:hideMark/>
          </w:tcPr>
          <w:p w14:paraId="40CE717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299 077</w:t>
            </w:r>
          </w:p>
        </w:tc>
      </w:tr>
      <w:tr w:rsidR="00046F46" w:rsidRPr="00EE4C2A" w14:paraId="467419B6" w14:textId="77777777" w:rsidTr="004C1F7B">
        <w:tc>
          <w:tcPr>
            <w:tcW w:w="2346" w:type="dxa"/>
            <w:shd w:val="clear" w:color="auto" w:fill="auto"/>
            <w:noWrap/>
            <w:hideMark/>
          </w:tcPr>
          <w:p w14:paraId="1DB7200F"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4</w:t>
            </w:r>
          </w:p>
        </w:tc>
        <w:tc>
          <w:tcPr>
            <w:tcW w:w="2429" w:type="dxa"/>
            <w:shd w:val="clear" w:color="auto" w:fill="auto"/>
            <w:noWrap/>
            <w:vAlign w:val="bottom"/>
            <w:hideMark/>
          </w:tcPr>
          <w:p w14:paraId="15558FC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583 231</w:t>
            </w:r>
          </w:p>
        </w:tc>
        <w:tc>
          <w:tcPr>
            <w:tcW w:w="2429" w:type="dxa"/>
            <w:shd w:val="clear" w:color="auto" w:fill="auto"/>
            <w:noWrap/>
            <w:vAlign w:val="bottom"/>
            <w:hideMark/>
          </w:tcPr>
          <w:p w14:paraId="0E79A534"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293 450</w:t>
            </w:r>
          </w:p>
        </w:tc>
        <w:tc>
          <w:tcPr>
            <w:tcW w:w="2429" w:type="dxa"/>
            <w:shd w:val="clear" w:color="auto" w:fill="auto"/>
            <w:noWrap/>
            <w:vAlign w:val="bottom"/>
            <w:hideMark/>
          </w:tcPr>
          <w:p w14:paraId="6BC3828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289 781</w:t>
            </w:r>
          </w:p>
        </w:tc>
      </w:tr>
      <w:tr w:rsidR="00046F46" w:rsidRPr="00EE4C2A" w14:paraId="3EC9F27C" w14:textId="77777777" w:rsidTr="004C1F7B">
        <w:tc>
          <w:tcPr>
            <w:tcW w:w="2346" w:type="dxa"/>
            <w:shd w:val="clear" w:color="auto" w:fill="auto"/>
            <w:noWrap/>
            <w:hideMark/>
          </w:tcPr>
          <w:p w14:paraId="6F0B47D6"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5</w:t>
            </w:r>
          </w:p>
        </w:tc>
        <w:tc>
          <w:tcPr>
            <w:tcW w:w="2429" w:type="dxa"/>
            <w:shd w:val="clear" w:color="auto" w:fill="auto"/>
            <w:noWrap/>
            <w:vAlign w:val="bottom"/>
            <w:hideMark/>
          </w:tcPr>
          <w:p w14:paraId="1ECFCC1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567 413</w:t>
            </w:r>
          </w:p>
        </w:tc>
        <w:tc>
          <w:tcPr>
            <w:tcW w:w="2429" w:type="dxa"/>
            <w:shd w:val="clear" w:color="auto" w:fill="auto"/>
            <w:noWrap/>
            <w:vAlign w:val="bottom"/>
            <w:hideMark/>
          </w:tcPr>
          <w:p w14:paraId="24D53ED6"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285 403</w:t>
            </w:r>
          </w:p>
        </w:tc>
        <w:tc>
          <w:tcPr>
            <w:tcW w:w="2429" w:type="dxa"/>
            <w:shd w:val="clear" w:color="auto" w:fill="auto"/>
            <w:noWrap/>
            <w:vAlign w:val="bottom"/>
            <w:hideMark/>
          </w:tcPr>
          <w:p w14:paraId="23D85F3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282 010</w:t>
            </w:r>
          </w:p>
        </w:tc>
      </w:tr>
      <w:tr w:rsidR="00046F46" w:rsidRPr="00EE4C2A" w14:paraId="7BCC49F3" w14:textId="77777777" w:rsidTr="004C1F7B">
        <w:tc>
          <w:tcPr>
            <w:tcW w:w="2346" w:type="dxa"/>
            <w:shd w:val="clear" w:color="auto" w:fill="auto"/>
            <w:noWrap/>
            <w:hideMark/>
          </w:tcPr>
          <w:p w14:paraId="646864A6"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6</w:t>
            </w:r>
          </w:p>
        </w:tc>
        <w:tc>
          <w:tcPr>
            <w:tcW w:w="2429" w:type="dxa"/>
            <w:shd w:val="clear" w:color="auto" w:fill="auto"/>
            <w:noWrap/>
            <w:vAlign w:val="bottom"/>
            <w:hideMark/>
          </w:tcPr>
          <w:p w14:paraId="13EA19D6"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553 929</w:t>
            </w:r>
          </w:p>
        </w:tc>
        <w:tc>
          <w:tcPr>
            <w:tcW w:w="2429" w:type="dxa"/>
            <w:shd w:val="clear" w:color="auto" w:fill="auto"/>
            <w:noWrap/>
            <w:vAlign w:val="bottom"/>
            <w:hideMark/>
          </w:tcPr>
          <w:p w14:paraId="16EDDEF1"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278 525</w:t>
            </w:r>
          </w:p>
        </w:tc>
        <w:tc>
          <w:tcPr>
            <w:tcW w:w="2429" w:type="dxa"/>
            <w:shd w:val="clear" w:color="auto" w:fill="auto"/>
            <w:noWrap/>
            <w:vAlign w:val="bottom"/>
            <w:hideMark/>
          </w:tcPr>
          <w:p w14:paraId="3E8E7FD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275 404</w:t>
            </w:r>
          </w:p>
        </w:tc>
      </w:tr>
      <w:tr w:rsidR="00046F46" w:rsidRPr="00EE4C2A" w14:paraId="31F23A5C" w14:textId="77777777" w:rsidTr="004C1F7B">
        <w:tc>
          <w:tcPr>
            <w:tcW w:w="2346" w:type="dxa"/>
            <w:shd w:val="clear" w:color="auto" w:fill="auto"/>
            <w:noWrap/>
            <w:hideMark/>
          </w:tcPr>
          <w:p w14:paraId="673DFB7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7</w:t>
            </w:r>
          </w:p>
        </w:tc>
        <w:tc>
          <w:tcPr>
            <w:tcW w:w="2429" w:type="dxa"/>
            <w:shd w:val="clear" w:color="auto" w:fill="auto"/>
            <w:noWrap/>
            <w:vAlign w:val="bottom"/>
            <w:hideMark/>
          </w:tcPr>
          <w:p w14:paraId="4FE4FEBD"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540 313</w:t>
            </w:r>
          </w:p>
        </w:tc>
        <w:tc>
          <w:tcPr>
            <w:tcW w:w="2429" w:type="dxa"/>
            <w:shd w:val="clear" w:color="auto" w:fill="auto"/>
            <w:noWrap/>
            <w:vAlign w:val="bottom"/>
            <w:hideMark/>
          </w:tcPr>
          <w:p w14:paraId="1F0D71D4"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271 541</w:t>
            </w:r>
          </w:p>
        </w:tc>
        <w:tc>
          <w:tcPr>
            <w:tcW w:w="2429" w:type="dxa"/>
            <w:shd w:val="clear" w:color="auto" w:fill="auto"/>
            <w:noWrap/>
            <w:vAlign w:val="bottom"/>
            <w:hideMark/>
          </w:tcPr>
          <w:p w14:paraId="61D48B56"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268 772</w:t>
            </w:r>
          </w:p>
        </w:tc>
      </w:tr>
      <w:tr w:rsidR="00046F46" w:rsidRPr="00EE4C2A" w14:paraId="28D2FD9A" w14:textId="77777777" w:rsidTr="004C1F7B">
        <w:tc>
          <w:tcPr>
            <w:tcW w:w="2346" w:type="dxa"/>
            <w:shd w:val="clear" w:color="auto" w:fill="auto"/>
            <w:noWrap/>
            <w:hideMark/>
          </w:tcPr>
          <w:p w14:paraId="34B5A64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8</w:t>
            </w:r>
          </w:p>
        </w:tc>
        <w:tc>
          <w:tcPr>
            <w:tcW w:w="2429" w:type="dxa"/>
            <w:shd w:val="clear" w:color="auto" w:fill="auto"/>
            <w:noWrap/>
            <w:vAlign w:val="bottom"/>
            <w:hideMark/>
          </w:tcPr>
          <w:p w14:paraId="37B8B6E1"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526 591</w:t>
            </w:r>
          </w:p>
        </w:tc>
        <w:tc>
          <w:tcPr>
            <w:tcW w:w="2429" w:type="dxa"/>
            <w:shd w:val="clear" w:color="auto" w:fill="auto"/>
            <w:noWrap/>
            <w:vAlign w:val="bottom"/>
            <w:hideMark/>
          </w:tcPr>
          <w:p w14:paraId="444C9B59"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264 488</w:t>
            </w:r>
          </w:p>
        </w:tc>
        <w:tc>
          <w:tcPr>
            <w:tcW w:w="2429" w:type="dxa"/>
            <w:shd w:val="clear" w:color="auto" w:fill="auto"/>
            <w:noWrap/>
            <w:vAlign w:val="bottom"/>
            <w:hideMark/>
          </w:tcPr>
          <w:p w14:paraId="49F0755B"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262 103</w:t>
            </w:r>
          </w:p>
        </w:tc>
      </w:tr>
      <w:tr w:rsidR="00046F46" w:rsidRPr="00EE4C2A" w14:paraId="71E0DF61" w14:textId="77777777" w:rsidTr="004C1F7B">
        <w:tc>
          <w:tcPr>
            <w:tcW w:w="2346" w:type="dxa"/>
            <w:shd w:val="clear" w:color="auto" w:fill="auto"/>
            <w:noWrap/>
            <w:hideMark/>
          </w:tcPr>
          <w:p w14:paraId="4157B2B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9</w:t>
            </w:r>
          </w:p>
        </w:tc>
        <w:tc>
          <w:tcPr>
            <w:tcW w:w="2429" w:type="dxa"/>
            <w:shd w:val="clear" w:color="auto" w:fill="auto"/>
            <w:noWrap/>
            <w:vAlign w:val="bottom"/>
            <w:hideMark/>
          </w:tcPr>
          <w:p w14:paraId="5C710CE5"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512 972</w:t>
            </w:r>
          </w:p>
        </w:tc>
        <w:tc>
          <w:tcPr>
            <w:tcW w:w="2429" w:type="dxa"/>
            <w:shd w:val="clear" w:color="auto" w:fill="auto"/>
            <w:noWrap/>
            <w:vAlign w:val="bottom"/>
            <w:hideMark/>
          </w:tcPr>
          <w:p w14:paraId="7808A04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257 485</w:t>
            </w:r>
          </w:p>
        </w:tc>
        <w:tc>
          <w:tcPr>
            <w:tcW w:w="2429" w:type="dxa"/>
            <w:shd w:val="clear" w:color="auto" w:fill="auto"/>
            <w:noWrap/>
            <w:vAlign w:val="bottom"/>
            <w:hideMark/>
          </w:tcPr>
          <w:p w14:paraId="7DF9C3F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255 487</w:t>
            </w:r>
          </w:p>
        </w:tc>
      </w:tr>
      <w:tr w:rsidR="00046F46" w:rsidRPr="00EE4C2A" w14:paraId="4244C6A0" w14:textId="77777777" w:rsidTr="004C1F7B">
        <w:tc>
          <w:tcPr>
            <w:tcW w:w="2346" w:type="dxa"/>
            <w:shd w:val="clear" w:color="auto" w:fill="auto"/>
            <w:noWrap/>
            <w:hideMark/>
          </w:tcPr>
          <w:p w14:paraId="5AE6930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10</w:t>
            </w:r>
          </w:p>
        </w:tc>
        <w:tc>
          <w:tcPr>
            <w:tcW w:w="2429" w:type="dxa"/>
            <w:shd w:val="clear" w:color="auto" w:fill="auto"/>
            <w:noWrap/>
            <w:vAlign w:val="bottom"/>
            <w:hideMark/>
          </w:tcPr>
          <w:p w14:paraId="5AA3916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497 810</w:t>
            </w:r>
          </w:p>
        </w:tc>
        <w:tc>
          <w:tcPr>
            <w:tcW w:w="2429" w:type="dxa"/>
            <w:shd w:val="clear" w:color="auto" w:fill="auto"/>
            <w:noWrap/>
            <w:vAlign w:val="bottom"/>
            <w:hideMark/>
          </w:tcPr>
          <w:p w14:paraId="500E84D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249 592</w:t>
            </w:r>
          </w:p>
        </w:tc>
        <w:tc>
          <w:tcPr>
            <w:tcW w:w="2429" w:type="dxa"/>
            <w:shd w:val="clear" w:color="auto" w:fill="auto"/>
            <w:noWrap/>
            <w:vAlign w:val="bottom"/>
            <w:hideMark/>
          </w:tcPr>
          <w:p w14:paraId="580B3D8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248 218</w:t>
            </w:r>
          </w:p>
        </w:tc>
      </w:tr>
      <w:tr w:rsidR="00046F46" w:rsidRPr="00EE4C2A" w14:paraId="669D0F5B" w14:textId="77777777" w:rsidTr="004C1F7B">
        <w:tc>
          <w:tcPr>
            <w:tcW w:w="2346" w:type="dxa"/>
            <w:shd w:val="clear" w:color="auto" w:fill="auto"/>
            <w:noWrap/>
            <w:hideMark/>
          </w:tcPr>
          <w:p w14:paraId="6384CCC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11</w:t>
            </w:r>
          </w:p>
        </w:tc>
        <w:tc>
          <w:tcPr>
            <w:tcW w:w="2429" w:type="dxa"/>
            <w:shd w:val="clear" w:color="auto" w:fill="auto"/>
            <w:noWrap/>
            <w:vAlign w:val="bottom"/>
            <w:hideMark/>
          </w:tcPr>
          <w:p w14:paraId="78AFDFC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482 464</w:t>
            </w:r>
          </w:p>
        </w:tc>
        <w:tc>
          <w:tcPr>
            <w:tcW w:w="2429" w:type="dxa"/>
            <w:shd w:val="clear" w:color="auto" w:fill="auto"/>
            <w:noWrap/>
            <w:vAlign w:val="bottom"/>
            <w:hideMark/>
          </w:tcPr>
          <w:p w14:paraId="0E28C311"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241 832</w:t>
            </w:r>
          </w:p>
        </w:tc>
        <w:tc>
          <w:tcPr>
            <w:tcW w:w="2429" w:type="dxa"/>
            <w:shd w:val="clear" w:color="auto" w:fill="auto"/>
            <w:noWrap/>
            <w:vAlign w:val="bottom"/>
            <w:hideMark/>
          </w:tcPr>
          <w:p w14:paraId="4CD01AB2"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240 632</w:t>
            </w:r>
          </w:p>
        </w:tc>
      </w:tr>
      <w:tr w:rsidR="00046F46" w:rsidRPr="00EE4C2A" w14:paraId="0DB076E6" w14:textId="77777777" w:rsidTr="004C1F7B">
        <w:tc>
          <w:tcPr>
            <w:tcW w:w="2346" w:type="dxa"/>
            <w:shd w:val="clear" w:color="auto" w:fill="auto"/>
            <w:noWrap/>
            <w:hideMark/>
          </w:tcPr>
          <w:p w14:paraId="3262F71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12</w:t>
            </w:r>
          </w:p>
        </w:tc>
        <w:tc>
          <w:tcPr>
            <w:tcW w:w="2429" w:type="dxa"/>
            <w:shd w:val="clear" w:color="auto" w:fill="auto"/>
            <w:noWrap/>
            <w:vAlign w:val="bottom"/>
            <w:hideMark/>
          </w:tcPr>
          <w:p w14:paraId="19AE0FD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463 687</w:t>
            </w:r>
          </w:p>
        </w:tc>
        <w:tc>
          <w:tcPr>
            <w:tcW w:w="2429" w:type="dxa"/>
            <w:shd w:val="clear" w:color="auto" w:fill="auto"/>
            <w:noWrap/>
            <w:vAlign w:val="bottom"/>
            <w:hideMark/>
          </w:tcPr>
          <w:p w14:paraId="45A16BF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232 301</w:t>
            </w:r>
          </w:p>
        </w:tc>
        <w:tc>
          <w:tcPr>
            <w:tcW w:w="2429" w:type="dxa"/>
            <w:shd w:val="clear" w:color="auto" w:fill="auto"/>
            <w:noWrap/>
            <w:vAlign w:val="bottom"/>
            <w:hideMark/>
          </w:tcPr>
          <w:p w14:paraId="5CB7AE8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231 386</w:t>
            </w:r>
          </w:p>
        </w:tc>
      </w:tr>
      <w:tr w:rsidR="00046F46" w:rsidRPr="00EE4C2A" w14:paraId="6AACB5B1" w14:textId="77777777" w:rsidTr="004C1F7B">
        <w:tc>
          <w:tcPr>
            <w:tcW w:w="2346" w:type="dxa"/>
            <w:shd w:val="clear" w:color="auto" w:fill="auto"/>
            <w:noWrap/>
            <w:hideMark/>
          </w:tcPr>
          <w:p w14:paraId="45CE0BF4"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13</w:t>
            </w:r>
          </w:p>
        </w:tc>
        <w:tc>
          <w:tcPr>
            <w:tcW w:w="2429" w:type="dxa"/>
            <w:shd w:val="clear" w:color="auto" w:fill="auto"/>
            <w:noWrap/>
            <w:vAlign w:val="bottom"/>
            <w:hideMark/>
          </w:tcPr>
          <w:p w14:paraId="0CAD648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444 379</w:t>
            </w:r>
          </w:p>
        </w:tc>
        <w:tc>
          <w:tcPr>
            <w:tcW w:w="2429" w:type="dxa"/>
            <w:shd w:val="clear" w:color="auto" w:fill="auto"/>
            <w:noWrap/>
            <w:vAlign w:val="bottom"/>
            <w:hideMark/>
          </w:tcPr>
          <w:p w14:paraId="72F6ADE3"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222 715</w:t>
            </w:r>
          </w:p>
        </w:tc>
        <w:tc>
          <w:tcPr>
            <w:tcW w:w="2429" w:type="dxa"/>
            <w:shd w:val="clear" w:color="auto" w:fill="auto"/>
            <w:noWrap/>
            <w:vAlign w:val="bottom"/>
            <w:hideMark/>
          </w:tcPr>
          <w:p w14:paraId="7C79E0A9"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221 664</w:t>
            </w:r>
          </w:p>
        </w:tc>
      </w:tr>
      <w:tr w:rsidR="00046F46" w:rsidRPr="00EE4C2A" w14:paraId="2C7D922E" w14:textId="77777777" w:rsidTr="004C1F7B">
        <w:tc>
          <w:tcPr>
            <w:tcW w:w="2346" w:type="dxa"/>
            <w:shd w:val="clear" w:color="auto" w:fill="auto"/>
            <w:noWrap/>
            <w:hideMark/>
          </w:tcPr>
          <w:p w14:paraId="7EC342B4"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14</w:t>
            </w:r>
          </w:p>
        </w:tc>
        <w:tc>
          <w:tcPr>
            <w:tcW w:w="2429" w:type="dxa"/>
            <w:shd w:val="clear" w:color="auto" w:fill="auto"/>
            <w:noWrap/>
            <w:vAlign w:val="bottom"/>
            <w:hideMark/>
          </w:tcPr>
          <w:p w14:paraId="23E2F9D0"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426 325</w:t>
            </w:r>
          </w:p>
        </w:tc>
        <w:tc>
          <w:tcPr>
            <w:tcW w:w="2429" w:type="dxa"/>
            <w:shd w:val="clear" w:color="auto" w:fill="auto"/>
            <w:noWrap/>
            <w:vAlign w:val="bottom"/>
            <w:hideMark/>
          </w:tcPr>
          <w:p w14:paraId="5596754E"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213 816</w:t>
            </w:r>
          </w:p>
        </w:tc>
        <w:tc>
          <w:tcPr>
            <w:tcW w:w="2429" w:type="dxa"/>
            <w:shd w:val="clear" w:color="auto" w:fill="auto"/>
            <w:noWrap/>
            <w:vAlign w:val="bottom"/>
            <w:hideMark/>
          </w:tcPr>
          <w:p w14:paraId="081F1BE3"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212 509</w:t>
            </w:r>
          </w:p>
        </w:tc>
      </w:tr>
      <w:tr w:rsidR="00046F46" w:rsidRPr="00EE4C2A" w14:paraId="1169D1D4" w14:textId="77777777" w:rsidTr="004C1F7B">
        <w:tc>
          <w:tcPr>
            <w:tcW w:w="2346" w:type="dxa"/>
            <w:shd w:val="clear" w:color="auto" w:fill="auto"/>
            <w:noWrap/>
            <w:hideMark/>
          </w:tcPr>
          <w:p w14:paraId="685DC9D2"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15</w:t>
            </w:r>
          </w:p>
        </w:tc>
        <w:tc>
          <w:tcPr>
            <w:tcW w:w="2429" w:type="dxa"/>
            <w:shd w:val="clear" w:color="auto" w:fill="auto"/>
            <w:noWrap/>
            <w:vAlign w:val="bottom"/>
            <w:hideMark/>
          </w:tcPr>
          <w:p w14:paraId="711478B1"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409 155</w:t>
            </w:r>
          </w:p>
        </w:tc>
        <w:tc>
          <w:tcPr>
            <w:tcW w:w="2429" w:type="dxa"/>
            <w:shd w:val="clear" w:color="auto" w:fill="auto"/>
            <w:noWrap/>
            <w:vAlign w:val="bottom"/>
            <w:hideMark/>
          </w:tcPr>
          <w:p w14:paraId="396724B9"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205 319</w:t>
            </w:r>
          </w:p>
        </w:tc>
        <w:tc>
          <w:tcPr>
            <w:tcW w:w="2429" w:type="dxa"/>
            <w:shd w:val="clear" w:color="auto" w:fill="auto"/>
            <w:noWrap/>
            <w:vAlign w:val="bottom"/>
            <w:hideMark/>
          </w:tcPr>
          <w:p w14:paraId="44F8A1F3"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203 836</w:t>
            </w:r>
          </w:p>
        </w:tc>
      </w:tr>
      <w:tr w:rsidR="00046F46" w:rsidRPr="00EE4C2A" w14:paraId="178E0DEB" w14:textId="77777777" w:rsidTr="004C1F7B">
        <w:tc>
          <w:tcPr>
            <w:tcW w:w="2346" w:type="dxa"/>
            <w:shd w:val="clear" w:color="auto" w:fill="auto"/>
            <w:noWrap/>
            <w:hideMark/>
          </w:tcPr>
          <w:p w14:paraId="23A370B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16</w:t>
            </w:r>
          </w:p>
        </w:tc>
        <w:tc>
          <w:tcPr>
            <w:tcW w:w="2429" w:type="dxa"/>
            <w:shd w:val="clear" w:color="auto" w:fill="auto"/>
            <w:noWrap/>
            <w:vAlign w:val="bottom"/>
            <w:hideMark/>
          </w:tcPr>
          <w:p w14:paraId="5028910C"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393 277</w:t>
            </w:r>
          </w:p>
        </w:tc>
        <w:tc>
          <w:tcPr>
            <w:tcW w:w="2429" w:type="dxa"/>
            <w:shd w:val="clear" w:color="auto" w:fill="auto"/>
            <w:noWrap/>
            <w:vAlign w:val="bottom"/>
            <w:hideMark/>
          </w:tcPr>
          <w:p w14:paraId="3F514E67"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197 354</w:t>
            </w:r>
          </w:p>
        </w:tc>
        <w:tc>
          <w:tcPr>
            <w:tcW w:w="2429" w:type="dxa"/>
            <w:shd w:val="clear" w:color="auto" w:fill="auto"/>
            <w:noWrap/>
            <w:vAlign w:val="bottom"/>
            <w:hideMark/>
          </w:tcPr>
          <w:p w14:paraId="2D39A57A"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195 923</w:t>
            </w:r>
          </w:p>
        </w:tc>
      </w:tr>
      <w:tr w:rsidR="00046F46" w:rsidRPr="00EE4C2A" w14:paraId="24DD8283" w14:textId="77777777" w:rsidTr="0048667E">
        <w:tc>
          <w:tcPr>
            <w:tcW w:w="2346" w:type="dxa"/>
            <w:tcBorders>
              <w:bottom w:val="single" w:sz="4" w:space="0" w:color="auto"/>
            </w:tcBorders>
            <w:shd w:val="clear" w:color="auto" w:fill="auto"/>
            <w:noWrap/>
            <w:hideMark/>
          </w:tcPr>
          <w:p w14:paraId="3FB8A69F"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17</w:t>
            </w:r>
          </w:p>
        </w:tc>
        <w:tc>
          <w:tcPr>
            <w:tcW w:w="2429" w:type="dxa"/>
            <w:tcBorders>
              <w:bottom w:val="single" w:sz="4" w:space="0" w:color="auto"/>
            </w:tcBorders>
            <w:shd w:val="clear" w:color="auto" w:fill="auto"/>
            <w:noWrap/>
            <w:vAlign w:val="bottom"/>
            <w:hideMark/>
          </w:tcPr>
          <w:p w14:paraId="29DCE8B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380 254</w:t>
            </w:r>
          </w:p>
        </w:tc>
        <w:tc>
          <w:tcPr>
            <w:tcW w:w="2429" w:type="dxa"/>
            <w:tcBorders>
              <w:bottom w:val="single" w:sz="4" w:space="0" w:color="auto"/>
            </w:tcBorders>
            <w:shd w:val="clear" w:color="auto" w:fill="auto"/>
            <w:noWrap/>
            <w:vAlign w:val="bottom"/>
            <w:hideMark/>
          </w:tcPr>
          <w:p w14:paraId="1AD8B536"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190 664</w:t>
            </w:r>
          </w:p>
        </w:tc>
        <w:tc>
          <w:tcPr>
            <w:tcW w:w="2429" w:type="dxa"/>
            <w:tcBorders>
              <w:bottom w:val="single" w:sz="4" w:space="0" w:color="auto"/>
            </w:tcBorders>
            <w:shd w:val="clear" w:color="auto" w:fill="auto"/>
            <w:noWrap/>
            <w:vAlign w:val="bottom"/>
            <w:hideMark/>
          </w:tcPr>
          <w:p w14:paraId="06AC8E58" w14:textId="77777777" w:rsidR="00046F46" w:rsidRPr="00EE4C2A" w:rsidRDefault="00046F46" w:rsidP="0048667E">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189 590</w:t>
            </w:r>
          </w:p>
        </w:tc>
      </w:tr>
      <w:tr w:rsidR="00046F46" w:rsidRPr="0048667E" w14:paraId="5966BB39" w14:textId="77777777" w:rsidTr="004C1F7B">
        <w:tc>
          <w:tcPr>
            <w:tcW w:w="2346" w:type="dxa"/>
            <w:tcBorders>
              <w:top w:val="single" w:sz="4" w:space="0" w:color="auto"/>
              <w:bottom w:val="single" w:sz="12" w:space="0" w:color="auto"/>
            </w:tcBorders>
            <w:shd w:val="clear" w:color="auto" w:fill="auto"/>
            <w:noWrap/>
            <w:hideMark/>
          </w:tcPr>
          <w:p w14:paraId="60E4AC70" w14:textId="77777777" w:rsidR="00046F46" w:rsidRPr="0048667E" w:rsidRDefault="00046F46" w:rsidP="0048667E">
            <w:pPr>
              <w:pStyle w:val="SingleTxtG"/>
              <w:tabs>
                <w:tab w:val="clear" w:pos="1701"/>
                <w:tab w:val="clear" w:pos="2268"/>
              </w:tabs>
              <w:suppressAutoHyphens w:val="0"/>
              <w:spacing w:before="80" w:after="80" w:line="220" w:lineRule="exact"/>
              <w:ind w:left="283" w:right="0"/>
              <w:jc w:val="left"/>
              <w:rPr>
                <w:b/>
                <w:iCs/>
                <w:sz w:val="18"/>
                <w:szCs w:val="18"/>
                <w:lang w:val="fr-FR"/>
              </w:rPr>
            </w:pPr>
            <w:r w:rsidRPr="0048667E">
              <w:rPr>
                <w:b/>
                <w:sz w:val="18"/>
                <w:szCs w:val="18"/>
                <w:lang w:val="fr-FR"/>
              </w:rPr>
              <w:t>Total</w:t>
            </w:r>
          </w:p>
        </w:tc>
        <w:tc>
          <w:tcPr>
            <w:tcW w:w="2429" w:type="dxa"/>
            <w:tcBorders>
              <w:top w:val="single" w:sz="4" w:space="0" w:color="auto"/>
              <w:bottom w:val="single" w:sz="12" w:space="0" w:color="auto"/>
            </w:tcBorders>
            <w:shd w:val="clear" w:color="auto" w:fill="auto"/>
            <w:noWrap/>
            <w:vAlign w:val="bottom"/>
            <w:hideMark/>
          </w:tcPr>
          <w:p w14:paraId="3FB81E27" w14:textId="77777777" w:rsidR="00046F46" w:rsidRPr="0048667E" w:rsidRDefault="00046F46" w:rsidP="0048667E">
            <w:pPr>
              <w:pStyle w:val="SingleTxtG"/>
              <w:tabs>
                <w:tab w:val="clear" w:pos="1701"/>
                <w:tab w:val="clear" w:pos="2268"/>
              </w:tabs>
              <w:suppressAutoHyphens w:val="0"/>
              <w:spacing w:before="80" w:after="80" w:line="220" w:lineRule="exact"/>
              <w:ind w:left="0" w:right="0"/>
              <w:jc w:val="right"/>
              <w:rPr>
                <w:b/>
                <w:iCs/>
                <w:sz w:val="18"/>
                <w:szCs w:val="18"/>
                <w:lang w:val="fr-FR"/>
              </w:rPr>
            </w:pPr>
            <w:r w:rsidRPr="0048667E">
              <w:rPr>
                <w:b/>
                <w:sz w:val="18"/>
                <w:szCs w:val="18"/>
                <w:lang w:val="fr-FR"/>
              </w:rPr>
              <w:t>9 331 809</w:t>
            </w:r>
          </w:p>
        </w:tc>
        <w:tc>
          <w:tcPr>
            <w:tcW w:w="2429" w:type="dxa"/>
            <w:tcBorders>
              <w:top w:val="single" w:sz="4" w:space="0" w:color="auto"/>
              <w:bottom w:val="single" w:sz="12" w:space="0" w:color="auto"/>
            </w:tcBorders>
            <w:shd w:val="clear" w:color="auto" w:fill="auto"/>
            <w:noWrap/>
            <w:vAlign w:val="bottom"/>
            <w:hideMark/>
          </w:tcPr>
          <w:p w14:paraId="1569935D" w14:textId="77777777" w:rsidR="00046F46" w:rsidRPr="0048667E" w:rsidRDefault="00046F46" w:rsidP="0048667E">
            <w:pPr>
              <w:pStyle w:val="SingleTxtG"/>
              <w:tabs>
                <w:tab w:val="clear" w:pos="1701"/>
                <w:tab w:val="clear" w:pos="2268"/>
              </w:tabs>
              <w:suppressAutoHyphens w:val="0"/>
              <w:spacing w:before="80" w:after="80" w:line="220" w:lineRule="exact"/>
              <w:ind w:left="0" w:right="0"/>
              <w:jc w:val="right"/>
              <w:rPr>
                <w:b/>
                <w:iCs/>
                <w:sz w:val="18"/>
                <w:szCs w:val="18"/>
                <w:lang w:val="fr-FR"/>
              </w:rPr>
            </w:pPr>
            <w:r w:rsidRPr="0048667E">
              <w:rPr>
                <w:b/>
                <w:sz w:val="18"/>
                <w:szCs w:val="18"/>
                <w:lang w:val="fr-FR"/>
              </w:rPr>
              <w:t>4 690 266</w:t>
            </w:r>
          </w:p>
        </w:tc>
        <w:tc>
          <w:tcPr>
            <w:tcW w:w="2429" w:type="dxa"/>
            <w:tcBorders>
              <w:top w:val="single" w:sz="4" w:space="0" w:color="auto"/>
              <w:bottom w:val="single" w:sz="12" w:space="0" w:color="auto"/>
            </w:tcBorders>
            <w:shd w:val="clear" w:color="auto" w:fill="auto"/>
            <w:noWrap/>
            <w:vAlign w:val="bottom"/>
            <w:hideMark/>
          </w:tcPr>
          <w:p w14:paraId="0E471E6C" w14:textId="77777777" w:rsidR="00046F46" w:rsidRPr="0048667E" w:rsidRDefault="00046F46" w:rsidP="0048667E">
            <w:pPr>
              <w:pStyle w:val="SingleTxtG"/>
              <w:tabs>
                <w:tab w:val="clear" w:pos="1701"/>
                <w:tab w:val="clear" w:pos="2268"/>
              </w:tabs>
              <w:suppressAutoHyphens w:val="0"/>
              <w:spacing w:before="80" w:after="80" w:line="220" w:lineRule="exact"/>
              <w:ind w:left="0" w:right="0"/>
              <w:jc w:val="right"/>
              <w:rPr>
                <w:b/>
                <w:iCs/>
                <w:sz w:val="18"/>
                <w:szCs w:val="18"/>
                <w:lang w:val="fr-FR"/>
              </w:rPr>
            </w:pPr>
            <w:r w:rsidRPr="0048667E">
              <w:rPr>
                <w:b/>
                <w:sz w:val="18"/>
                <w:szCs w:val="18"/>
                <w:lang w:val="fr-FR"/>
              </w:rPr>
              <w:t>4 641 543</w:t>
            </w:r>
          </w:p>
        </w:tc>
      </w:tr>
    </w:tbl>
    <w:p w14:paraId="55295711" w14:textId="77777777" w:rsidR="00046F46" w:rsidRPr="00EE4C2A" w:rsidRDefault="00046F46" w:rsidP="00046F46">
      <w:pPr>
        <w:pStyle w:val="H1G"/>
        <w:rPr>
          <w:lang w:val="fr-FR"/>
        </w:rPr>
      </w:pPr>
      <w:bookmarkStart w:id="49" w:name="_Toc63938001"/>
      <w:r w:rsidRPr="00EE4C2A">
        <w:rPr>
          <w:bCs/>
          <w:lang w:val="fr-FR"/>
        </w:rPr>
        <w:tab/>
        <w:t>C.</w:t>
      </w:r>
      <w:r w:rsidRPr="00EE4C2A">
        <w:rPr>
          <w:lang w:val="fr-FR"/>
        </w:rPr>
        <w:tab/>
      </w:r>
      <w:r w:rsidRPr="00EE4C2A">
        <w:rPr>
          <w:bCs/>
          <w:lang w:val="fr-FR"/>
        </w:rPr>
        <w:t>Principes généraux (art. 2, 3, 6 et 12)</w:t>
      </w:r>
      <w:bookmarkEnd w:id="49"/>
    </w:p>
    <w:p w14:paraId="2DFE0D7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36 de la liste de points établie </w:t>
      </w:r>
      <w:r>
        <w:rPr>
          <w:bCs/>
          <w:lang w:val="fr-FR"/>
        </w:rPr>
        <w:t>avant la soumission du rapport</w:t>
      </w:r>
    </w:p>
    <w:p w14:paraId="0656F2A9" w14:textId="62393479" w:rsidR="00046F46" w:rsidRPr="00EE4C2A" w:rsidRDefault="00046F46" w:rsidP="00046F46">
      <w:pPr>
        <w:pStyle w:val="SingleTxtG"/>
        <w:rPr>
          <w:i/>
          <w:iCs/>
          <w:lang w:val="fr-FR"/>
        </w:rPr>
      </w:pPr>
      <w:r w:rsidRPr="00EE4C2A">
        <w:rPr>
          <w:lang w:val="fr-FR"/>
        </w:rPr>
        <w:t>184.</w:t>
      </w:r>
      <w:r w:rsidRPr="00EE4C2A">
        <w:rPr>
          <w:lang w:val="fr-FR"/>
        </w:rPr>
        <w:tab/>
        <w:t>L</w:t>
      </w:r>
      <w:r w:rsidR="008279BF">
        <w:rPr>
          <w:lang w:val="fr-FR"/>
        </w:rPr>
        <w:t>’</w:t>
      </w:r>
      <w:r w:rsidRPr="00EE4C2A">
        <w:rPr>
          <w:lang w:val="fr-FR"/>
        </w:rPr>
        <w:t>État partie souhaite rapporter que la Commission des droits de l</w:t>
      </w:r>
      <w:r w:rsidR="008279BF">
        <w:rPr>
          <w:lang w:val="fr-FR"/>
        </w:rPr>
        <w:t>’</w:t>
      </w:r>
      <w:r w:rsidRPr="00EE4C2A">
        <w:rPr>
          <w:lang w:val="fr-FR"/>
        </w:rPr>
        <w:t>homme continue d</w:t>
      </w:r>
      <w:r w:rsidR="008279BF">
        <w:rPr>
          <w:lang w:val="fr-FR"/>
        </w:rPr>
        <w:t>’</w:t>
      </w:r>
      <w:r w:rsidRPr="00EE4C2A">
        <w:rPr>
          <w:lang w:val="fr-FR"/>
        </w:rPr>
        <w:t>enregistrer les plaintes relatives aux violations des droits de l</w:t>
      </w:r>
      <w:r w:rsidR="008279BF">
        <w:rPr>
          <w:lang w:val="fr-FR"/>
        </w:rPr>
        <w:t>’</w:t>
      </w:r>
      <w:r w:rsidRPr="00EE4C2A">
        <w:rPr>
          <w:lang w:val="fr-FR"/>
        </w:rPr>
        <w:t>enfant et à la maltraitance d</w:t>
      </w:r>
      <w:r w:rsidR="008279BF">
        <w:rPr>
          <w:lang w:val="fr-FR"/>
        </w:rPr>
        <w:t>’</w:t>
      </w:r>
      <w:r w:rsidRPr="00EE4C2A">
        <w:rPr>
          <w:lang w:val="fr-FR"/>
        </w:rPr>
        <w:t>enfants. En moyenne, plus de 70 plaintes ont été enregistrées pour les années 2015, 2018 et</w:t>
      </w:r>
      <w:r w:rsidR="00551E3D">
        <w:rPr>
          <w:lang w:val="fr-FR"/>
        </w:rPr>
        <w:t xml:space="preserve"> </w:t>
      </w:r>
      <w:r w:rsidRPr="00EE4C2A">
        <w:rPr>
          <w:lang w:val="fr-FR"/>
        </w:rPr>
        <w:t>2019. La plupart des plaintes concernaient des maltraitances commises par des membres de la famille et ont été réglé</w:t>
      </w:r>
      <w:r w:rsidR="00551E3D">
        <w:rPr>
          <w:lang w:val="fr-FR"/>
        </w:rPr>
        <w:t>e</w:t>
      </w:r>
      <w:r w:rsidRPr="00EE4C2A">
        <w:rPr>
          <w:lang w:val="fr-FR"/>
        </w:rPr>
        <w:t xml:space="preserve">s par des mesures de médiation et de conciliation afin de maintenir et de soutenir les relations familiales.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8"/>
        <w:gridCol w:w="2831"/>
        <w:gridCol w:w="2831"/>
      </w:tblGrid>
      <w:tr w:rsidR="00046F46" w:rsidRPr="0019096A" w14:paraId="2149382E" w14:textId="77777777" w:rsidTr="004C1F7B">
        <w:trPr>
          <w:tblHeader/>
        </w:trPr>
        <w:tc>
          <w:tcPr>
            <w:tcW w:w="1708" w:type="dxa"/>
            <w:tcBorders>
              <w:top w:val="single" w:sz="4" w:space="0" w:color="auto"/>
              <w:bottom w:val="single" w:sz="12" w:space="0" w:color="auto"/>
            </w:tcBorders>
            <w:shd w:val="clear" w:color="auto" w:fill="auto"/>
            <w:vAlign w:val="bottom"/>
          </w:tcPr>
          <w:p w14:paraId="50A7F6DD" w14:textId="77777777" w:rsidR="00046F46" w:rsidRPr="00EE4C2A" w:rsidRDefault="00046F46" w:rsidP="00551E3D">
            <w:pPr>
              <w:pStyle w:val="SingleTxtG"/>
              <w:tabs>
                <w:tab w:val="clear" w:pos="1701"/>
                <w:tab w:val="clear" w:pos="2268"/>
              </w:tabs>
              <w:suppressAutoHyphens w:val="0"/>
              <w:spacing w:before="80" w:after="80" w:line="200" w:lineRule="exact"/>
              <w:ind w:left="0" w:right="0"/>
              <w:jc w:val="left"/>
              <w:rPr>
                <w:i/>
                <w:iCs/>
                <w:sz w:val="16"/>
                <w:szCs w:val="16"/>
                <w:lang w:val="fr-FR"/>
              </w:rPr>
            </w:pPr>
            <w:r w:rsidRPr="00EE4C2A">
              <w:rPr>
                <w:i/>
                <w:iCs/>
                <w:sz w:val="16"/>
                <w:szCs w:val="16"/>
                <w:lang w:val="fr-FR"/>
              </w:rPr>
              <w:t>Année</w:t>
            </w:r>
          </w:p>
        </w:tc>
        <w:tc>
          <w:tcPr>
            <w:tcW w:w="2831" w:type="dxa"/>
            <w:tcBorders>
              <w:top w:val="single" w:sz="4" w:space="0" w:color="auto"/>
              <w:bottom w:val="single" w:sz="12" w:space="0" w:color="auto"/>
            </w:tcBorders>
            <w:shd w:val="clear" w:color="auto" w:fill="auto"/>
            <w:vAlign w:val="bottom"/>
          </w:tcPr>
          <w:p w14:paraId="56B66256" w14:textId="362D1913" w:rsidR="00046F46" w:rsidRPr="00EE4C2A" w:rsidRDefault="00046F46" w:rsidP="00551E3D">
            <w:pPr>
              <w:pStyle w:val="SingleTxtG"/>
              <w:tabs>
                <w:tab w:val="clear" w:pos="1701"/>
                <w:tab w:val="clear" w:pos="2268"/>
              </w:tabs>
              <w:suppressAutoHyphens w:val="0"/>
              <w:spacing w:before="80" w:after="80" w:line="200" w:lineRule="exact"/>
              <w:ind w:left="0" w:right="0"/>
              <w:jc w:val="right"/>
              <w:rPr>
                <w:i/>
                <w:iCs/>
                <w:sz w:val="16"/>
                <w:szCs w:val="16"/>
                <w:lang w:val="fr-FR"/>
              </w:rPr>
            </w:pPr>
            <w:r w:rsidRPr="00EE4C2A">
              <w:rPr>
                <w:i/>
                <w:iCs/>
                <w:sz w:val="16"/>
                <w:szCs w:val="16"/>
                <w:lang w:val="fr-FR"/>
              </w:rPr>
              <w:t>Nombre de plaintes reçues par la Commission des droits de l</w:t>
            </w:r>
            <w:r w:rsidR="008279BF">
              <w:rPr>
                <w:i/>
                <w:iCs/>
                <w:sz w:val="16"/>
                <w:szCs w:val="16"/>
                <w:lang w:val="fr-FR"/>
              </w:rPr>
              <w:t>’</w:t>
            </w:r>
            <w:r w:rsidRPr="00EE4C2A">
              <w:rPr>
                <w:i/>
                <w:iCs/>
                <w:sz w:val="16"/>
                <w:szCs w:val="16"/>
                <w:lang w:val="fr-FR"/>
              </w:rPr>
              <w:t>homme</w:t>
            </w:r>
          </w:p>
        </w:tc>
        <w:tc>
          <w:tcPr>
            <w:tcW w:w="2831" w:type="dxa"/>
            <w:tcBorders>
              <w:top w:val="single" w:sz="4" w:space="0" w:color="auto"/>
              <w:bottom w:val="single" w:sz="12" w:space="0" w:color="auto"/>
            </w:tcBorders>
            <w:shd w:val="clear" w:color="auto" w:fill="auto"/>
            <w:vAlign w:val="bottom"/>
          </w:tcPr>
          <w:p w14:paraId="2DE76638" w14:textId="3DDC3014" w:rsidR="00046F46" w:rsidRPr="00EE4C2A" w:rsidRDefault="00046F46" w:rsidP="00551E3D">
            <w:pPr>
              <w:pStyle w:val="SingleTxtG"/>
              <w:tabs>
                <w:tab w:val="clear" w:pos="1701"/>
                <w:tab w:val="clear" w:pos="2268"/>
              </w:tabs>
              <w:suppressAutoHyphens w:val="0"/>
              <w:spacing w:before="80" w:after="80" w:line="200" w:lineRule="exact"/>
              <w:ind w:left="0" w:right="0"/>
              <w:jc w:val="right"/>
              <w:rPr>
                <w:i/>
                <w:iCs/>
                <w:sz w:val="16"/>
                <w:szCs w:val="16"/>
                <w:lang w:val="fr-FR"/>
              </w:rPr>
            </w:pPr>
            <w:r w:rsidRPr="00EE4C2A">
              <w:rPr>
                <w:i/>
                <w:iCs/>
                <w:sz w:val="16"/>
                <w:szCs w:val="16"/>
                <w:lang w:val="fr-FR"/>
              </w:rPr>
              <w:t>Plaintes relatives aux droits de l</w:t>
            </w:r>
            <w:r w:rsidR="008279BF">
              <w:rPr>
                <w:i/>
                <w:iCs/>
                <w:sz w:val="16"/>
                <w:szCs w:val="16"/>
                <w:lang w:val="fr-FR"/>
              </w:rPr>
              <w:t>’</w:t>
            </w:r>
            <w:r w:rsidRPr="00EE4C2A">
              <w:rPr>
                <w:i/>
                <w:iCs/>
                <w:sz w:val="16"/>
                <w:szCs w:val="16"/>
                <w:lang w:val="fr-FR"/>
              </w:rPr>
              <w:t>enfant</w:t>
            </w:r>
          </w:p>
        </w:tc>
      </w:tr>
      <w:tr w:rsidR="00046F46" w:rsidRPr="00EE4C2A" w14:paraId="6671CA8C" w14:textId="77777777" w:rsidTr="004C1F7B">
        <w:tc>
          <w:tcPr>
            <w:tcW w:w="1708" w:type="dxa"/>
            <w:tcBorders>
              <w:top w:val="single" w:sz="12" w:space="0" w:color="auto"/>
            </w:tcBorders>
            <w:shd w:val="clear" w:color="auto" w:fill="auto"/>
          </w:tcPr>
          <w:p w14:paraId="10FCFB47"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2015</w:t>
            </w:r>
          </w:p>
        </w:tc>
        <w:tc>
          <w:tcPr>
            <w:tcW w:w="2831" w:type="dxa"/>
            <w:tcBorders>
              <w:top w:val="single" w:sz="12" w:space="0" w:color="auto"/>
            </w:tcBorders>
            <w:shd w:val="clear" w:color="auto" w:fill="auto"/>
            <w:vAlign w:val="bottom"/>
          </w:tcPr>
          <w:p w14:paraId="54409FF8"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777</w:t>
            </w:r>
          </w:p>
        </w:tc>
        <w:tc>
          <w:tcPr>
            <w:tcW w:w="2831" w:type="dxa"/>
            <w:tcBorders>
              <w:top w:val="single" w:sz="12" w:space="0" w:color="auto"/>
            </w:tcBorders>
            <w:shd w:val="clear" w:color="auto" w:fill="auto"/>
            <w:vAlign w:val="bottom"/>
          </w:tcPr>
          <w:p w14:paraId="4E45CA61"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97</w:t>
            </w:r>
          </w:p>
        </w:tc>
      </w:tr>
      <w:tr w:rsidR="00046F46" w:rsidRPr="00EE4C2A" w14:paraId="79DEA9F6" w14:textId="77777777" w:rsidTr="004C1F7B">
        <w:tc>
          <w:tcPr>
            <w:tcW w:w="1708" w:type="dxa"/>
            <w:shd w:val="clear" w:color="auto" w:fill="auto"/>
          </w:tcPr>
          <w:p w14:paraId="3674387F"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2018</w:t>
            </w:r>
          </w:p>
        </w:tc>
        <w:tc>
          <w:tcPr>
            <w:tcW w:w="2831" w:type="dxa"/>
            <w:shd w:val="clear" w:color="auto" w:fill="auto"/>
            <w:vAlign w:val="bottom"/>
          </w:tcPr>
          <w:p w14:paraId="23A83F99"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1 167</w:t>
            </w:r>
          </w:p>
        </w:tc>
        <w:tc>
          <w:tcPr>
            <w:tcW w:w="2831" w:type="dxa"/>
            <w:shd w:val="clear" w:color="auto" w:fill="auto"/>
            <w:vAlign w:val="bottom"/>
          </w:tcPr>
          <w:p w14:paraId="089C93CC"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24</w:t>
            </w:r>
          </w:p>
        </w:tc>
      </w:tr>
      <w:tr w:rsidR="00046F46" w:rsidRPr="00EE4C2A" w14:paraId="2A9B6702" w14:textId="77777777" w:rsidTr="004C1F7B">
        <w:tc>
          <w:tcPr>
            <w:tcW w:w="1708" w:type="dxa"/>
            <w:shd w:val="clear" w:color="auto" w:fill="auto"/>
          </w:tcPr>
          <w:p w14:paraId="6E2B2CB0"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2019</w:t>
            </w:r>
          </w:p>
        </w:tc>
        <w:tc>
          <w:tcPr>
            <w:tcW w:w="2831" w:type="dxa"/>
            <w:shd w:val="clear" w:color="auto" w:fill="auto"/>
            <w:vAlign w:val="bottom"/>
          </w:tcPr>
          <w:p w14:paraId="095E528D"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1 093</w:t>
            </w:r>
          </w:p>
        </w:tc>
        <w:tc>
          <w:tcPr>
            <w:tcW w:w="2831" w:type="dxa"/>
            <w:shd w:val="clear" w:color="auto" w:fill="auto"/>
            <w:vAlign w:val="bottom"/>
          </w:tcPr>
          <w:p w14:paraId="0291B362" w14:textId="77777777" w:rsidR="00046F46" w:rsidRPr="00EE4C2A" w:rsidRDefault="00046F46" w:rsidP="00551E3D">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100</w:t>
            </w:r>
          </w:p>
        </w:tc>
      </w:tr>
    </w:tbl>
    <w:p w14:paraId="26CB783E" w14:textId="3AD068B0" w:rsidR="00046F46" w:rsidRPr="00EE4C2A" w:rsidRDefault="00046F46" w:rsidP="00046F46">
      <w:pPr>
        <w:spacing w:before="120" w:after="240"/>
        <w:ind w:left="1134" w:right="1134" w:firstLine="170"/>
        <w:rPr>
          <w:i/>
          <w:iCs/>
          <w:sz w:val="18"/>
          <w:szCs w:val="18"/>
          <w:lang w:val="fr-FR"/>
        </w:rPr>
      </w:pPr>
      <w:r w:rsidRPr="00EE4C2A">
        <w:rPr>
          <w:i/>
          <w:sz w:val="18"/>
          <w:szCs w:val="18"/>
          <w:lang w:val="fr-FR"/>
        </w:rPr>
        <w:t>Source</w:t>
      </w:r>
      <w:r w:rsidRPr="00EE4C2A">
        <w:rPr>
          <w:sz w:val="18"/>
          <w:szCs w:val="18"/>
          <w:lang w:val="fr-FR"/>
        </w:rPr>
        <w:t> : Rapports annuels de la Commission des droits de l</w:t>
      </w:r>
      <w:r w:rsidR="008279BF">
        <w:rPr>
          <w:sz w:val="18"/>
          <w:szCs w:val="18"/>
          <w:lang w:val="fr-FR"/>
        </w:rPr>
        <w:t>’</w:t>
      </w:r>
      <w:r w:rsidRPr="00EE4C2A">
        <w:rPr>
          <w:sz w:val="18"/>
          <w:szCs w:val="18"/>
          <w:lang w:val="fr-FR"/>
        </w:rPr>
        <w:t>homme pour 2015, 2018 et 2019.</w:t>
      </w:r>
    </w:p>
    <w:p w14:paraId="66D0BC10" w14:textId="77777777" w:rsidR="00046F46" w:rsidRPr="00EE4C2A" w:rsidRDefault="00046F46" w:rsidP="00046F46">
      <w:pPr>
        <w:pStyle w:val="H1G"/>
        <w:rPr>
          <w:lang w:val="fr-FR"/>
        </w:rPr>
      </w:pPr>
      <w:r w:rsidRPr="00EE4C2A">
        <w:rPr>
          <w:bCs/>
          <w:lang w:val="fr-FR"/>
        </w:rPr>
        <w:lastRenderedPageBreak/>
        <w:tab/>
        <w:t>D.</w:t>
      </w:r>
      <w:r w:rsidRPr="00EE4C2A">
        <w:rPr>
          <w:lang w:val="fr-FR"/>
        </w:rPr>
        <w:tab/>
      </w:r>
      <w:r w:rsidRPr="00EE4C2A">
        <w:rPr>
          <w:bCs/>
          <w:lang w:val="fr-FR"/>
        </w:rPr>
        <w:t>Libertés et droits civils (art. 7, 8 et 13 à 17)</w:t>
      </w:r>
      <w:bookmarkStart w:id="50" w:name="_Toc63938002"/>
      <w:bookmarkEnd w:id="50"/>
    </w:p>
    <w:p w14:paraId="70CB8DF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37 de la liste de points établie </w:t>
      </w:r>
      <w:r>
        <w:rPr>
          <w:bCs/>
          <w:lang w:val="fr-FR"/>
        </w:rPr>
        <w:t>avant la soumission du rapport</w:t>
      </w:r>
    </w:p>
    <w:p w14:paraId="4C127355" w14:textId="27796F48" w:rsidR="00046F46" w:rsidRPr="00EE4C2A" w:rsidRDefault="00046F46" w:rsidP="00046F46">
      <w:pPr>
        <w:pStyle w:val="SingleTxtG"/>
        <w:rPr>
          <w:iCs/>
          <w:lang w:val="fr-FR"/>
        </w:rPr>
      </w:pPr>
      <w:r w:rsidRPr="00EE4C2A">
        <w:rPr>
          <w:lang w:val="fr-FR"/>
        </w:rPr>
        <w:t>185.</w:t>
      </w:r>
      <w:r w:rsidRPr="00EE4C2A">
        <w:rPr>
          <w:lang w:val="fr-FR"/>
        </w:rPr>
        <w:tab/>
        <w:t>L</w:t>
      </w:r>
      <w:r w:rsidR="008279BF">
        <w:rPr>
          <w:lang w:val="fr-FR"/>
        </w:rPr>
        <w:t>’</w:t>
      </w:r>
      <w:r w:rsidRPr="00EE4C2A">
        <w:rPr>
          <w:lang w:val="fr-FR"/>
        </w:rPr>
        <w:t>État partie souhaite rapporter qu</w:t>
      </w:r>
      <w:r w:rsidR="008279BF">
        <w:rPr>
          <w:lang w:val="fr-FR"/>
        </w:rPr>
        <w:t>’</w:t>
      </w:r>
      <w:r w:rsidRPr="00EE4C2A">
        <w:rPr>
          <w:lang w:val="fr-FR"/>
        </w:rPr>
        <w:t>il n</w:t>
      </w:r>
      <w:r w:rsidR="008279BF">
        <w:rPr>
          <w:lang w:val="fr-FR"/>
        </w:rPr>
        <w:t>’</w:t>
      </w:r>
      <w:r w:rsidRPr="00EE4C2A">
        <w:rPr>
          <w:lang w:val="fr-FR"/>
        </w:rPr>
        <w:t>existe pas de statistiques sur le nombre d</w:t>
      </w:r>
      <w:r w:rsidR="008279BF">
        <w:rPr>
          <w:lang w:val="fr-FR"/>
        </w:rPr>
        <w:t>’</w:t>
      </w:r>
      <w:r w:rsidRPr="00EE4C2A">
        <w:rPr>
          <w:lang w:val="fr-FR"/>
        </w:rPr>
        <w:t>apatrides.</w:t>
      </w:r>
    </w:p>
    <w:p w14:paraId="7ADF50AD" w14:textId="687D8661" w:rsidR="00046F46" w:rsidRPr="00EE4C2A" w:rsidRDefault="00046F46" w:rsidP="00046F46">
      <w:pPr>
        <w:pStyle w:val="H1G"/>
        <w:rPr>
          <w:lang w:val="fr-FR"/>
        </w:rPr>
      </w:pPr>
      <w:bookmarkStart w:id="51" w:name="_Toc63938003"/>
      <w:r w:rsidRPr="00EE4C2A">
        <w:rPr>
          <w:bCs/>
          <w:lang w:val="fr-FR"/>
        </w:rPr>
        <w:tab/>
        <w:t>E.</w:t>
      </w:r>
      <w:r w:rsidRPr="00EE4C2A">
        <w:rPr>
          <w:lang w:val="fr-FR"/>
        </w:rPr>
        <w:tab/>
      </w:r>
      <w:r w:rsidRPr="00EE4C2A">
        <w:rPr>
          <w:bCs/>
          <w:lang w:val="fr-FR"/>
        </w:rPr>
        <w:t>Violence à l</w:t>
      </w:r>
      <w:r w:rsidR="008279BF">
        <w:rPr>
          <w:bCs/>
          <w:lang w:val="fr-FR"/>
        </w:rPr>
        <w:t>’</w:t>
      </w:r>
      <w:r w:rsidRPr="00EE4C2A">
        <w:rPr>
          <w:bCs/>
          <w:lang w:val="fr-FR"/>
        </w:rPr>
        <w:t>égard des enfants (art. 19, 24 (par. 3), 28 (par. 2), 34, 37 (al. a)) et 39)</w:t>
      </w:r>
      <w:bookmarkEnd w:id="51"/>
    </w:p>
    <w:p w14:paraId="6427040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38 de la liste de points établie </w:t>
      </w:r>
      <w:r>
        <w:rPr>
          <w:bCs/>
          <w:lang w:val="fr-FR"/>
        </w:rPr>
        <w:t>avant la soumission du rapport</w:t>
      </w:r>
    </w:p>
    <w:p w14:paraId="47D2015E" w14:textId="0EE11E50" w:rsidR="00046F46" w:rsidRPr="00EE4C2A" w:rsidRDefault="00046F46" w:rsidP="00046F46">
      <w:pPr>
        <w:pStyle w:val="SingleTxtG"/>
        <w:rPr>
          <w:iCs/>
          <w:lang w:val="fr-FR"/>
        </w:rPr>
      </w:pPr>
      <w:r w:rsidRPr="00EE4C2A">
        <w:rPr>
          <w:lang w:val="fr-FR"/>
        </w:rPr>
        <w:t>186.</w:t>
      </w:r>
      <w:r w:rsidRPr="00EE4C2A">
        <w:rPr>
          <w:lang w:val="fr-FR"/>
        </w:rPr>
        <w:tab/>
        <w:t>Le tableau ci-après fournit des statistiques relatives aux violence</w:t>
      </w:r>
      <w:r>
        <w:rPr>
          <w:lang w:val="fr-FR"/>
        </w:rPr>
        <w:t>s</w:t>
      </w:r>
      <w:r w:rsidRPr="00EE4C2A">
        <w:rPr>
          <w:lang w:val="fr-FR"/>
        </w:rPr>
        <w:t xml:space="preserve"> à l</w:t>
      </w:r>
      <w:r w:rsidR="008279BF">
        <w:rPr>
          <w:lang w:val="fr-FR"/>
        </w:rPr>
        <w:t>’</w:t>
      </w:r>
      <w:r w:rsidRPr="00EE4C2A">
        <w:rPr>
          <w:lang w:val="fr-FR"/>
        </w:rPr>
        <w:t>égard des enfants qui ont été signalé</w:t>
      </w:r>
      <w:r>
        <w:rPr>
          <w:lang w:val="fr-FR"/>
        </w:rPr>
        <w:t>e</w:t>
      </w:r>
      <w:r w:rsidRPr="00EE4C2A">
        <w:rPr>
          <w:lang w:val="fr-FR"/>
        </w:rPr>
        <w:t>s. À titre d</w:t>
      </w:r>
      <w:r w:rsidR="008279BF">
        <w:rPr>
          <w:lang w:val="fr-FR"/>
        </w:rPr>
        <w:t>’</w:t>
      </w:r>
      <w:r w:rsidRPr="00EE4C2A">
        <w:rPr>
          <w:lang w:val="fr-FR"/>
        </w:rPr>
        <w:t>exemple, au premier trimestre de 2020, la police zambienne a déclaré avoir enregistré</w:t>
      </w:r>
      <w:r w:rsidR="00551E3D">
        <w:rPr>
          <w:lang w:val="fr-FR"/>
        </w:rPr>
        <w:t xml:space="preserve"> </w:t>
      </w:r>
      <w:r w:rsidRPr="00EE4C2A">
        <w:rPr>
          <w:lang w:val="fr-FR"/>
        </w:rPr>
        <w:t>633 viols sur mineurs</w:t>
      </w:r>
      <w:r w:rsidR="00551E3D">
        <w:rPr>
          <w:lang w:val="fr-FR"/>
        </w:rPr>
        <w:t xml:space="preserve"> </w:t>
      </w:r>
      <w:r w:rsidRPr="00EE4C2A">
        <w:rPr>
          <w:lang w:val="fr-FR"/>
        </w:rPr>
        <w:t>(630 filles et trois garçons), ce qui représente</w:t>
      </w:r>
      <w:r w:rsidR="00551E3D">
        <w:rPr>
          <w:lang w:val="fr-FR"/>
        </w:rPr>
        <w:t xml:space="preserve"> </w:t>
      </w:r>
      <w:r w:rsidRPr="00EE4C2A">
        <w:rPr>
          <w:lang w:val="fr-FR"/>
        </w:rPr>
        <w:t>12,5 % du nombre total d</w:t>
      </w:r>
      <w:r w:rsidR="008279BF">
        <w:rPr>
          <w:lang w:val="fr-FR"/>
        </w:rPr>
        <w:t>’</w:t>
      </w:r>
      <w:r w:rsidRPr="00EE4C2A">
        <w:rPr>
          <w:lang w:val="fr-FR"/>
        </w:rPr>
        <w:t xml:space="preserve">actes de violence </w:t>
      </w:r>
      <w:r>
        <w:rPr>
          <w:lang w:val="fr-FR"/>
        </w:rPr>
        <w:t xml:space="preserve">fondée sur le </w:t>
      </w:r>
      <w:r w:rsidRPr="00EE4C2A">
        <w:rPr>
          <w:lang w:val="fr-FR"/>
        </w:rPr>
        <w:t>genre enregistrés ; selon les statistiques du premier trimestre de</w:t>
      </w:r>
      <w:r w:rsidR="00551E3D">
        <w:rPr>
          <w:lang w:val="fr-FR"/>
        </w:rPr>
        <w:t xml:space="preserve"> </w:t>
      </w:r>
      <w:r w:rsidRPr="00EE4C2A">
        <w:rPr>
          <w:lang w:val="fr-FR"/>
        </w:rPr>
        <w:t>2019, 495 viols sur mineurs avaient été enregistrés, ce qui représentait 8,9 % du nombre total d</w:t>
      </w:r>
      <w:r w:rsidR="008279BF">
        <w:rPr>
          <w:lang w:val="fr-FR"/>
        </w:rPr>
        <w:t>’</w:t>
      </w:r>
      <w:r w:rsidRPr="00EE4C2A">
        <w:rPr>
          <w:lang w:val="fr-FR"/>
        </w:rPr>
        <w:t xml:space="preserve">actes de violences </w:t>
      </w:r>
      <w:r>
        <w:rPr>
          <w:lang w:val="fr-FR"/>
        </w:rPr>
        <w:t xml:space="preserve">fondée sur le </w:t>
      </w:r>
      <w:r w:rsidRPr="00EE4C2A">
        <w:rPr>
          <w:lang w:val="fr-FR"/>
        </w:rPr>
        <w:t>genre. Cependant, en</w:t>
      </w:r>
      <w:r w:rsidR="00551E3D">
        <w:rPr>
          <w:lang w:val="fr-FR"/>
        </w:rPr>
        <w:t xml:space="preserve"> </w:t>
      </w:r>
      <w:r w:rsidRPr="00EE4C2A">
        <w:rPr>
          <w:lang w:val="fr-FR"/>
        </w:rPr>
        <w:t>2019, toutes les victimes étaient des filles.</w:t>
      </w:r>
    </w:p>
    <w:p w14:paraId="5E8B4CE9" w14:textId="1AE95FEC" w:rsidR="00046F46" w:rsidRDefault="00046F46" w:rsidP="00046F46">
      <w:pPr>
        <w:pStyle w:val="SingleTxtG"/>
        <w:spacing w:after="240"/>
        <w:rPr>
          <w:lang w:val="fr-FR"/>
        </w:rPr>
      </w:pPr>
      <w:r w:rsidRPr="00EE4C2A">
        <w:rPr>
          <w:lang w:val="fr-FR"/>
        </w:rPr>
        <w:t>187.</w:t>
      </w:r>
      <w:r w:rsidRPr="00EE4C2A">
        <w:rPr>
          <w:lang w:val="fr-FR"/>
        </w:rPr>
        <w:tab/>
        <w:t>Le tableau ci-après présente les différentes formes de violences faites aux enfants sur la période</w:t>
      </w:r>
      <w:r w:rsidR="00551E3D">
        <w:rPr>
          <w:lang w:val="fr-FR"/>
        </w:rPr>
        <w:t xml:space="preserve"> </w:t>
      </w:r>
      <w:r w:rsidRPr="00EE4C2A">
        <w:rPr>
          <w:lang w:val="fr-FR"/>
        </w:rPr>
        <w:t xml:space="preserve">2017-2019, le viol sur mineur restant la forme de violence la plus courante, suivie des voies de fait. Les autres formes sont très peu nombreuses. </w:t>
      </w:r>
      <w:r>
        <w:rPr>
          <w:lang w:val="fr-FR"/>
        </w:rPr>
        <w:t>On constate une augmentation de la</w:t>
      </w:r>
      <w:r w:rsidRPr="00EE4C2A">
        <w:rPr>
          <w:lang w:val="fr-FR"/>
        </w:rPr>
        <w:t xml:space="preserve"> violence </w:t>
      </w:r>
      <w:r>
        <w:rPr>
          <w:lang w:val="fr-FR"/>
        </w:rPr>
        <w:t>à l</w:t>
      </w:r>
      <w:r w:rsidR="008279BF">
        <w:rPr>
          <w:lang w:val="fr-FR"/>
        </w:rPr>
        <w:t>’</w:t>
      </w:r>
      <w:r>
        <w:rPr>
          <w:lang w:val="fr-FR"/>
        </w:rPr>
        <w:t>égard des</w:t>
      </w:r>
      <w:r w:rsidRPr="00EE4C2A">
        <w:rPr>
          <w:lang w:val="fr-FR"/>
        </w:rPr>
        <w:t xml:space="preserve"> enfants, comme il ressort du nombre de cas signalés, de poursuites judiciaires et de condamnations.</w:t>
      </w:r>
    </w:p>
    <w:p w14:paraId="211277B7" w14:textId="77777777" w:rsidR="00046F46" w:rsidRPr="00EE4C2A" w:rsidRDefault="00046F46" w:rsidP="00046F46">
      <w:pPr>
        <w:pStyle w:val="SingleTxtG"/>
        <w:spacing w:after="240"/>
        <w:rPr>
          <w:iCs/>
          <w:lang w:val="fr-FR"/>
        </w:rPr>
      </w:pPr>
      <w:r w:rsidRPr="00EE4C2A">
        <w:rPr>
          <w:iCs/>
          <w:noProof/>
          <w:lang w:val="fr-FR" w:eastAsia="fr-FR"/>
        </w:rPr>
        <w:drawing>
          <wp:inline distT="0" distB="0" distL="0" distR="0" wp14:anchorId="149266BE" wp14:editId="4F7C3E3F">
            <wp:extent cx="4817110" cy="2814320"/>
            <wp:effectExtent l="0" t="0" r="2540" b="508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875EA0"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38 b) de la liste de points établie </w:t>
      </w:r>
      <w:r>
        <w:rPr>
          <w:bCs/>
          <w:lang w:val="fr-FR"/>
        </w:rPr>
        <w:t>avant la soumission du rapport</w:t>
      </w:r>
    </w:p>
    <w:p w14:paraId="50461457" w14:textId="45AA2A51" w:rsidR="00046F46" w:rsidRPr="00EE4C2A" w:rsidRDefault="00046F46" w:rsidP="00046F46">
      <w:pPr>
        <w:pStyle w:val="SingleTxtG"/>
        <w:rPr>
          <w:iCs/>
          <w:lang w:val="fr-FR"/>
        </w:rPr>
      </w:pPr>
      <w:r w:rsidRPr="0080668F">
        <w:rPr>
          <w:lang w:val="fr-FR"/>
        </w:rPr>
        <w:t>188.</w:t>
      </w:r>
      <w:r w:rsidRPr="0080668F">
        <w:rPr>
          <w:lang w:val="fr-FR"/>
        </w:rPr>
        <w:tab/>
        <w:t>Les enfants</w:t>
      </w:r>
      <w:r w:rsidRPr="00EE4C2A">
        <w:rPr>
          <w:lang w:val="fr-FR"/>
        </w:rPr>
        <w:t xml:space="preserve"> victimes bénéficient de recours grâce aux centres polyvalents. Fondés sur un modèle interprofessionnel, les centres polyvalents fournissent des services de santé axés sur la personne ainsi qu</w:t>
      </w:r>
      <w:r w:rsidR="008279BF">
        <w:rPr>
          <w:lang w:val="fr-FR"/>
        </w:rPr>
        <w:t>’</w:t>
      </w:r>
      <w:r w:rsidRPr="00EE4C2A">
        <w:rPr>
          <w:lang w:val="fr-FR"/>
        </w:rPr>
        <w:t>un ensemble de services sociaux, juridiques, policiers et/ou d</w:t>
      </w:r>
      <w:r w:rsidR="008279BF">
        <w:rPr>
          <w:lang w:val="fr-FR"/>
        </w:rPr>
        <w:t>’</w:t>
      </w:r>
      <w:r w:rsidRPr="00EE4C2A">
        <w:rPr>
          <w:lang w:val="fr-FR"/>
        </w:rPr>
        <w:t>hébergement aux enfants victimes d</w:t>
      </w:r>
      <w:r w:rsidR="008279BF">
        <w:rPr>
          <w:lang w:val="fr-FR"/>
        </w:rPr>
        <w:t>’</w:t>
      </w:r>
      <w:r w:rsidRPr="00EE4C2A">
        <w:rPr>
          <w:lang w:val="fr-FR"/>
        </w:rPr>
        <w:t>actes de violences. Ils proposent des services de santé de qualité aux enfants et adolescents qui ont subi ou risquent de subir des violences, avec des soins et services appropriés, rapides, adaptés aux enfants et tenant compte de la dimension de genre, et des services qui répondent à leurs besoins en matière de sécurité et de santé, ainsi qu</w:t>
      </w:r>
      <w:r w:rsidR="008279BF">
        <w:rPr>
          <w:lang w:val="fr-FR"/>
        </w:rPr>
        <w:t>’</w:t>
      </w:r>
      <w:r w:rsidRPr="00EE4C2A">
        <w:rPr>
          <w:lang w:val="fr-FR"/>
        </w:rPr>
        <w:t>à leurs besoins sociaux, et qui leur permettent d</w:t>
      </w:r>
      <w:r w:rsidR="008279BF">
        <w:rPr>
          <w:lang w:val="fr-FR"/>
        </w:rPr>
        <w:t>’</w:t>
      </w:r>
      <w:r w:rsidRPr="00EE4C2A">
        <w:rPr>
          <w:lang w:val="fr-FR"/>
        </w:rPr>
        <w:t>accéder à la justice. Les services proposés sont les suivants : examens et traitements médicaux, prophylaxie postexposition, tests de grossesse, contraception d</w:t>
      </w:r>
      <w:r w:rsidR="008279BF">
        <w:rPr>
          <w:lang w:val="fr-FR"/>
        </w:rPr>
        <w:t>’</w:t>
      </w:r>
      <w:r w:rsidRPr="00EE4C2A">
        <w:rPr>
          <w:lang w:val="fr-FR"/>
        </w:rPr>
        <w:t>urgence, recueil de preuves résultant d</w:t>
      </w:r>
      <w:r w:rsidR="008279BF">
        <w:rPr>
          <w:lang w:val="fr-FR"/>
        </w:rPr>
        <w:t>’</w:t>
      </w:r>
      <w:r w:rsidRPr="00EE4C2A">
        <w:rPr>
          <w:lang w:val="fr-FR"/>
        </w:rPr>
        <w:t xml:space="preserve">examens de laboratoire, </w:t>
      </w:r>
      <w:r w:rsidRPr="00EE4C2A">
        <w:rPr>
          <w:lang w:val="fr-FR"/>
        </w:rPr>
        <w:lastRenderedPageBreak/>
        <w:t>rapports médicaux, enquêtes et suivi des affaires, conseils et soutien juridiques, sécurité et sûreté, conseils généraux, soutien psychosocial pour les familles et les enfants, réintégration dans la famille et la communauté, et orientation vers des lieux sûrs.</w:t>
      </w:r>
    </w:p>
    <w:p w14:paraId="2B871CE2" w14:textId="0854D993" w:rsidR="00046F46" w:rsidRPr="00EE4C2A" w:rsidRDefault="00046F46" w:rsidP="00046F46">
      <w:pPr>
        <w:pStyle w:val="SingleTxtG"/>
        <w:rPr>
          <w:iCs/>
          <w:lang w:val="fr-FR"/>
        </w:rPr>
      </w:pPr>
      <w:r w:rsidRPr="0080668F">
        <w:rPr>
          <w:lang w:val="fr-FR"/>
        </w:rPr>
        <w:t>189.</w:t>
      </w:r>
      <w:r w:rsidRPr="00EE4C2A">
        <w:rPr>
          <w:lang w:val="fr-FR"/>
        </w:rPr>
        <w:tab/>
        <w:t>Les avantages pour la victime sont les suivants : éviter la multiplication des entretiens, davantage de services fournis en un seul endroit, meilleure qualité des soins, systèmes intégrés de gestion des données confidentielles, réseau de services multidisciplinaires pour les victimes et coordination multisectorielle accrue dans les centres polyvalents, avec une plus grande accessibilité des services fournis par ces centres. On constate également une amélioration de la santé et du bien-être des victimes, ainsi qu</w:t>
      </w:r>
      <w:r w:rsidR="008279BF">
        <w:rPr>
          <w:lang w:val="fr-FR"/>
        </w:rPr>
        <w:t>’</w:t>
      </w:r>
      <w:r w:rsidRPr="00EE4C2A">
        <w:rPr>
          <w:lang w:val="fr-FR"/>
        </w:rPr>
        <w:t>une atténuation de leur traumatisme et des conséquences de la violence. L</w:t>
      </w:r>
      <w:r w:rsidR="008279BF">
        <w:rPr>
          <w:lang w:val="fr-FR"/>
        </w:rPr>
        <w:t>’</w:t>
      </w:r>
      <w:r w:rsidRPr="00EE4C2A">
        <w:rPr>
          <w:lang w:val="fr-FR"/>
        </w:rPr>
        <w:t>État partie compte 65 centres polyvalents répartis dans toutes les provinces.</w:t>
      </w:r>
    </w:p>
    <w:p w14:paraId="796BC451" w14:textId="77777777" w:rsidR="00046F46" w:rsidRPr="00EE4C2A" w:rsidRDefault="00046F46" w:rsidP="00046F46">
      <w:pPr>
        <w:pStyle w:val="H1G"/>
        <w:rPr>
          <w:lang w:val="fr-FR"/>
        </w:rPr>
      </w:pPr>
      <w:bookmarkStart w:id="52" w:name="_Toc63938004"/>
      <w:r w:rsidRPr="00EE4C2A">
        <w:rPr>
          <w:bCs/>
          <w:lang w:val="fr-FR"/>
        </w:rPr>
        <w:tab/>
        <w:t>F.</w:t>
      </w:r>
      <w:r w:rsidRPr="00EE4C2A">
        <w:rPr>
          <w:lang w:val="fr-FR"/>
        </w:rPr>
        <w:tab/>
      </w:r>
      <w:r w:rsidRPr="00EE4C2A">
        <w:rPr>
          <w:bCs/>
          <w:lang w:val="fr-FR"/>
        </w:rPr>
        <w:t>Milieu familial et protection de remplacement (art. 5, 9 à 11, 18 (par. 1 et 2), 20, 21, 25 et 27 (par. 4))</w:t>
      </w:r>
      <w:bookmarkEnd w:id="52"/>
    </w:p>
    <w:p w14:paraId="36575CC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39 de la liste de points établie </w:t>
      </w:r>
      <w:r>
        <w:rPr>
          <w:bCs/>
          <w:lang w:val="fr-FR"/>
        </w:rPr>
        <w:t>avant la soumission du rapport</w:t>
      </w:r>
    </w:p>
    <w:p w14:paraId="508FE43C" w14:textId="77777777" w:rsidR="00046F46" w:rsidRPr="00EE4C2A" w:rsidRDefault="00046F46" w:rsidP="00046F46">
      <w:pPr>
        <w:pStyle w:val="SingleTxtG"/>
        <w:rPr>
          <w:iCs/>
          <w:lang w:val="fr-FR"/>
        </w:rPr>
      </w:pPr>
      <w:r w:rsidRPr="007757CF">
        <w:rPr>
          <w:lang w:val="fr-FR"/>
        </w:rPr>
        <w:t>190.</w:t>
      </w:r>
      <w:r w:rsidRPr="007757CF">
        <w:rPr>
          <w:lang w:val="fr-FR"/>
        </w:rPr>
        <w:tab/>
        <w:t>Lancé en 2003 dans un seul district à titre de projet pilote, le Programme de transferts sociaux en espèces</w:t>
      </w:r>
      <w:r w:rsidRPr="00EE4C2A">
        <w:rPr>
          <w:lang w:val="fr-FR"/>
        </w:rPr>
        <w:t xml:space="preserve"> couvre act</w:t>
      </w:r>
      <w:r>
        <w:rPr>
          <w:lang w:val="fr-FR"/>
        </w:rPr>
        <w:t>uellement les 116 districts des 10 </w:t>
      </w:r>
      <w:r w:rsidRPr="00EE4C2A">
        <w:rPr>
          <w:lang w:val="fr-FR"/>
        </w:rPr>
        <w:t xml:space="preserve">provinces. </w:t>
      </w:r>
      <w:r>
        <w:rPr>
          <w:lang w:val="fr-FR"/>
        </w:rPr>
        <w:t xml:space="preserve">Ainsi, </w:t>
      </w:r>
      <w:r w:rsidRPr="00EE4C2A">
        <w:rPr>
          <w:lang w:val="fr-FR"/>
        </w:rPr>
        <w:t>632 327 familles sont aidées par ce programme, dont 8 364 ménages dirigés par des enfants. Et 1 152 012 enfants en ont bénéficié.</w:t>
      </w:r>
    </w:p>
    <w:p w14:paraId="3B33C1B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40 de la liste de points établie </w:t>
      </w:r>
      <w:r>
        <w:rPr>
          <w:bCs/>
          <w:lang w:val="fr-FR"/>
        </w:rPr>
        <w:t>avant la soumission du rapport</w:t>
      </w:r>
    </w:p>
    <w:p w14:paraId="4B9C57BC" w14:textId="7BA636CC" w:rsidR="00046F46" w:rsidRPr="00EE4C2A" w:rsidRDefault="00046F46" w:rsidP="00046F46">
      <w:pPr>
        <w:pStyle w:val="SingleTxtG"/>
        <w:spacing w:after="240"/>
        <w:rPr>
          <w:iCs/>
          <w:lang w:val="fr-FR"/>
        </w:rPr>
      </w:pPr>
      <w:r w:rsidRPr="00EE4C2A">
        <w:rPr>
          <w:lang w:val="fr-FR"/>
        </w:rPr>
        <w:t>191.</w:t>
      </w:r>
      <w:r w:rsidRPr="00EE4C2A">
        <w:rPr>
          <w:lang w:val="fr-FR"/>
        </w:rPr>
        <w:tab/>
        <w:t>Le tableau ci-après indique le nombre d</w:t>
      </w:r>
      <w:r w:rsidR="008279BF">
        <w:rPr>
          <w:lang w:val="fr-FR"/>
        </w:rPr>
        <w:t>’</w:t>
      </w:r>
      <w:r w:rsidRPr="00EE4C2A">
        <w:rPr>
          <w:lang w:val="fr-FR"/>
        </w:rPr>
        <w:t xml:space="preserve">enfants placés en institution. </w:t>
      </w:r>
      <w:r>
        <w:rPr>
          <w:lang w:val="fr-FR"/>
        </w:rPr>
        <w:t xml:space="preserve">La </w:t>
      </w:r>
      <w:r w:rsidRPr="00EE4C2A">
        <w:rPr>
          <w:lang w:val="fr-FR"/>
        </w:rPr>
        <w:t>pris</w:t>
      </w:r>
      <w:r>
        <w:rPr>
          <w:lang w:val="fr-FR"/>
        </w:rPr>
        <w:t>e</w:t>
      </w:r>
      <w:r w:rsidRPr="00EE4C2A">
        <w:rPr>
          <w:lang w:val="fr-FR"/>
        </w:rPr>
        <w:t xml:space="preserve"> en charge dans un cadre familial ou communautaire</w:t>
      </w:r>
      <w:r>
        <w:rPr>
          <w:lang w:val="fr-FR"/>
        </w:rPr>
        <w:t xml:space="preserve"> concerne </w:t>
      </w:r>
      <w:r w:rsidRPr="00EE4C2A">
        <w:rPr>
          <w:lang w:val="fr-FR"/>
        </w:rPr>
        <w:t>39 enfants. On dénombre</w:t>
      </w:r>
      <w:r w:rsidR="007757CF">
        <w:rPr>
          <w:lang w:val="fr-FR"/>
        </w:rPr>
        <w:t xml:space="preserve"> </w:t>
      </w:r>
      <w:r w:rsidRPr="00EE4C2A">
        <w:rPr>
          <w:lang w:val="fr-FR"/>
        </w:rPr>
        <w:t>5 394 enfants</w:t>
      </w:r>
      <w:r w:rsidR="007757CF">
        <w:rPr>
          <w:lang w:val="fr-FR"/>
        </w:rPr>
        <w:t xml:space="preserve"> </w:t>
      </w:r>
      <w:r w:rsidRPr="00EE4C2A">
        <w:rPr>
          <w:lang w:val="fr-FR"/>
        </w:rPr>
        <w:t>(2 789 garçons et 2 605 filles) vivant dans 177 structures d</w:t>
      </w:r>
      <w:r w:rsidR="008279BF">
        <w:rPr>
          <w:lang w:val="fr-FR"/>
        </w:rPr>
        <w:t>’</w:t>
      </w:r>
      <w:r w:rsidRPr="00EE4C2A">
        <w:rPr>
          <w:lang w:val="fr-FR"/>
        </w:rPr>
        <w:t>accueil. La durée moyenne de leur séjour varie selon les établissements et les enfants. Toutefois, il a été constaté que la plupart des enfants restaient trop longtemps dans ces établissements, ce qui a incité le Gouvernement à prendre des mesures strictes pour faire en sorte que les établissements améliorent leurs processus de gestion des dossiers, facilitent la réintégration des enfants qui ont une famille, et prennent des décisions de placement en coordination avec le Département de la protection sociale pour les enfants privés de protection parentale. Selon l</w:t>
      </w:r>
      <w:r w:rsidR="008279BF">
        <w:rPr>
          <w:lang w:val="fr-FR"/>
        </w:rPr>
        <w:t>’</w:t>
      </w:r>
      <w:r w:rsidRPr="00EE4C2A">
        <w:rPr>
          <w:lang w:val="fr-FR"/>
        </w:rPr>
        <w:t>Évaluation nationale des établissements d</w:t>
      </w:r>
      <w:r w:rsidR="008279BF">
        <w:rPr>
          <w:lang w:val="fr-FR"/>
        </w:rPr>
        <w:t>’</w:t>
      </w:r>
      <w:r w:rsidRPr="00EE4C2A">
        <w:rPr>
          <w:lang w:val="fr-FR"/>
        </w:rPr>
        <w:t>accueil menée en</w:t>
      </w:r>
      <w:r w:rsidR="007757CF">
        <w:rPr>
          <w:lang w:val="fr-FR"/>
        </w:rPr>
        <w:t xml:space="preserve"> </w:t>
      </w:r>
      <w:r w:rsidRPr="00EE4C2A">
        <w:rPr>
          <w:lang w:val="fr-FR"/>
        </w:rPr>
        <w:t>2016, 67 % des enfants placés en institution le sont par leur famille.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7"/>
        <w:gridCol w:w="1060"/>
        <w:gridCol w:w="1059"/>
        <w:gridCol w:w="993"/>
        <w:gridCol w:w="993"/>
        <w:gridCol w:w="1059"/>
        <w:gridCol w:w="1059"/>
      </w:tblGrid>
      <w:tr w:rsidR="00046F46" w:rsidRPr="00EE4C2A" w14:paraId="53EBA8CD" w14:textId="77777777" w:rsidTr="004C1F7B">
        <w:trPr>
          <w:tblHeader/>
        </w:trPr>
        <w:tc>
          <w:tcPr>
            <w:tcW w:w="1147" w:type="dxa"/>
            <w:vMerge w:val="restart"/>
            <w:tcBorders>
              <w:top w:val="single" w:sz="4" w:space="0" w:color="auto"/>
              <w:bottom w:val="single" w:sz="12" w:space="0" w:color="auto"/>
            </w:tcBorders>
            <w:shd w:val="clear" w:color="auto" w:fill="auto"/>
            <w:vAlign w:val="bottom"/>
          </w:tcPr>
          <w:p w14:paraId="47DEAC9A" w14:textId="0619E8D9" w:rsidR="00046F46" w:rsidRPr="00EE4C2A" w:rsidRDefault="00046F46" w:rsidP="007757CF">
            <w:pPr>
              <w:pStyle w:val="SingleTxtG"/>
              <w:tabs>
                <w:tab w:val="clear" w:pos="1701"/>
                <w:tab w:val="clear" w:pos="2268"/>
              </w:tabs>
              <w:suppressAutoHyphens w:val="0"/>
              <w:spacing w:before="80" w:after="80" w:line="200" w:lineRule="exact"/>
              <w:ind w:left="0" w:right="0"/>
              <w:rPr>
                <w:bCs/>
                <w:i/>
                <w:iCs/>
                <w:sz w:val="16"/>
                <w:szCs w:val="16"/>
                <w:lang w:val="fr-FR"/>
              </w:rPr>
            </w:pPr>
            <w:r w:rsidRPr="00EE4C2A">
              <w:rPr>
                <w:i/>
                <w:iCs/>
                <w:sz w:val="16"/>
                <w:szCs w:val="16"/>
                <w:lang w:val="fr-FR"/>
              </w:rPr>
              <w:t>Groupe d</w:t>
            </w:r>
            <w:r w:rsidR="008279BF">
              <w:rPr>
                <w:i/>
                <w:iCs/>
                <w:sz w:val="16"/>
                <w:szCs w:val="16"/>
                <w:lang w:val="fr-FR"/>
              </w:rPr>
              <w:t>’</w:t>
            </w:r>
            <w:r w:rsidRPr="00EE4C2A">
              <w:rPr>
                <w:i/>
                <w:iCs/>
                <w:sz w:val="16"/>
                <w:szCs w:val="16"/>
                <w:lang w:val="fr-FR"/>
              </w:rPr>
              <w:t>âge</w:t>
            </w:r>
          </w:p>
        </w:tc>
        <w:tc>
          <w:tcPr>
            <w:tcW w:w="2119" w:type="dxa"/>
            <w:gridSpan w:val="2"/>
            <w:tcBorders>
              <w:top w:val="single" w:sz="4" w:space="0" w:color="auto"/>
              <w:bottom w:val="single" w:sz="4" w:space="0" w:color="auto"/>
              <w:right w:val="single" w:sz="24" w:space="0" w:color="FFFFFF" w:themeColor="background1"/>
            </w:tcBorders>
            <w:shd w:val="clear" w:color="auto" w:fill="auto"/>
            <w:vAlign w:val="bottom"/>
          </w:tcPr>
          <w:p w14:paraId="4490599A"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center"/>
              <w:rPr>
                <w:bCs/>
                <w:i/>
                <w:iCs/>
                <w:sz w:val="16"/>
                <w:szCs w:val="16"/>
                <w:lang w:val="fr-FR"/>
              </w:rPr>
            </w:pPr>
            <w:r w:rsidRPr="00EE4C2A">
              <w:rPr>
                <w:i/>
                <w:iCs/>
                <w:sz w:val="16"/>
                <w:szCs w:val="16"/>
                <w:lang w:val="fr-FR"/>
              </w:rPr>
              <w:t>Déjà pris en charge</w:t>
            </w:r>
          </w:p>
        </w:tc>
        <w:tc>
          <w:tcPr>
            <w:tcW w:w="198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0CA31A0"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center"/>
              <w:rPr>
                <w:bCs/>
                <w:i/>
                <w:iCs/>
                <w:sz w:val="16"/>
                <w:szCs w:val="16"/>
                <w:lang w:val="fr-FR"/>
              </w:rPr>
            </w:pPr>
            <w:r w:rsidRPr="00EE4C2A">
              <w:rPr>
                <w:i/>
                <w:iCs/>
                <w:sz w:val="16"/>
                <w:szCs w:val="16"/>
                <w:lang w:val="fr-FR"/>
              </w:rPr>
              <w:t>Nouveaux placements/dossiers</w:t>
            </w:r>
          </w:p>
        </w:tc>
        <w:tc>
          <w:tcPr>
            <w:tcW w:w="2118" w:type="dxa"/>
            <w:gridSpan w:val="2"/>
            <w:tcBorders>
              <w:top w:val="single" w:sz="4" w:space="0" w:color="auto"/>
              <w:left w:val="single" w:sz="24" w:space="0" w:color="FFFFFF" w:themeColor="background1"/>
              <w:bottom w:val="single" w:sz="4" w:space="0" w:color="auto"/>
            </w:tcBorders>
            <w:shd w:val="clear" w:color="auto" w:fill="auto"/>
            <w:vAlign w:val="bottom"/>
          </w:tcPr>
          <w:p w14:paraId="17DEA84F"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center"/>
              <w:rPr>
                <w:bCs/>
                <w:i/>
                <w:iCs/>
                <w:sz w:val="16"/>
                <w:szCs w:val="16"/>
                <w:lang w:val="fr-FR"/>
              </w:rPr>
            </w:pPr>
            <w:r w:rsidRPr="00EE4C2A">
              <w:rPr>
                <w:i/>
                <w:iCs/>
                <w:sz w:val="16"/>
                <w:szCs w:val="16"/>
                <w:lang w:val="fr-FR"/>
              </w:rPr>
              <w:t>Total</w:t>
            </w:r>
          </w:p>
        </w:tc>
      </w:tr>
      <w:tr w:rsidR="00046F46" w:rsidRPr="00EE4C2A" w14:paraId="7E1011DE" w14:textId="77777777" w:rsidTr="004C1F7B">
        <w:trPr>
          <w:tblHeader/>
        </w:trPr>
        <w:tc>
          <w:tcPr>
            <w:tcW w:w="1147" w:type="dxa"/>
            <w:vMerge/>
            <w:tcBorders>
              <w:top w:val="single" w:sz="12" w:space="0" w:color="auto"/>
              <w:bottom w:val="single" w:sz="12" w:space="0" w:color="auto"/>
            </w:tcBorders>
            <w:shd w:val="clear" w:color="auto" w:fill="auto"/>
            <w:vAlign w:val="bottom"/>
          </w:tcPr>
          <w:p w14:paraId="12B7B2F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b/>
                <w:bCs/>
                <w:iCs/>
                <w:sz w:val="16"/>
                <w:szCs w:val="16"/>
                <w:lang w:val="fr-FR"/>
              </w:rPr>
            </w:pPr>
          </w:p>
        </w:tc>
        <w:tc>
          <w:tcPr>
            <w:tcW w:w="1060" w:type="dxa"/>
            <w:tcBorders>
              <w:top w:val="single" w:sz="4" w:space="0" w:color="auto"/>
              <w:bottom w:val="single" w:sz="12" w:space="0" w:color="auto"/>
            </w:tcBorders>
            <w:shd w:val="clear" w:color="auto" w:fill="auto"/>
            <w:vAlign w:val="bottom"/>
          </w:tcPr>
          <w:p w14:paraId="2C597630"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G</w:t>
            </w:r>
          </w:p>
        </w:tc>
        <w:tc>
          <w:tcPr>
            <w:tcW w:w="1059" w:type="dxa"/>
            <w:tcBorders>
              <w:top w:val="single" w:sz="4" w:space="0" w:color="auto"/>
              <w:bottom w:val="single" w:sz="12" w:space="0" w:color="auto"/>
              <w:right w:val="single" w:sz="24" w:space="0" w:color="FFFFFF" w:themeColor="background1"/>
            </w:tcBorders>
            <w:shd w:val="clear" w:color="auto" w:fill="auto"/>
            <w:vAlign w:val="bottom"/>
          </w:tcPr>
          <w:p w14:paraId="7F17DBB6"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bCs/>
                <w:i/>
                <w:iCs/>
                <w:sz w:val="16"/>
                <w:szCs w:val="16"/>
                <w:lang w:val="fr-FR"/>
              </w:rPr>
              <w:t>F</w:t>
            </w:r>
          </w:p>
        </w:tc>
        <w:tc>
          <w:tcPr>
            <w:tcW w:w="993" w:type="dxa"/>
            <w:tcBorders>
              <w:top w:val="single" w:sz="4" w:space="0" w:color="auto"/>
              <w:left w:val="single" w:sz="24" w:space="0" w:color="FFFFFF" w:themeColor="background1"/>
              <w:bottom w:val="single" w:sz="12" w:space="0" w:color="auto"/>
            </w:tcBorders>
            <w:shd w:val="clear" w:color="auto" w:fill="auto"/>
            <w:vAlign w:val="bottom"/>
          </w:tcPr>
          <w:p w14:paraId="5154D1DF"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G</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14:paraId="3E04427C"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bCs/>
                <w:i/>
                <w:iCs/>
                <w:sz w:val="16"/>
                <w:szCs w:val="16"/>
                <w:lang w:val="fr-FR"/>
              </w:rPr>
              <w:t>F</w:t>
            </w:r>
          </w:p>
        </w:tc>
        <w:tc>
          <w:tcPr>
            <w:tcW w:w="1059" w:type="dxa"/>
            <w:tcBorders>
              <w:top w:val="single" w:sz="4" w:space="0" w:color="auto"/>
              <w:left w:val="single" w:sz="24" w:space="0" w:color="FFFFFF" w:themeColor="background1"/>
              <w:bottom w:val="single" w:sz="12" w:space="0" w:color="auto"/>
            </w:tcBorders>
            <w:shd w:val="clear" w:color="auto" w:fill="auto"/>
            <w:vAlign w:val="bottom"/>
          </w:tcPr>
          <w:p w14:paraId="44776D28"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G</w:t>
            </w:r>
          </w:p>
        </w:tc>
        <w:tc>
          <w:tcPr>
            <w:tcW w:w="1059" w:type="dxa"/>
            <w:tcBorders>
              <w:top w:val="single" w:sz="4" w:space="0" w:color="auto"/>
              <w:bottom w:val="single" w:sz="12" w:space="0" w:color="auto"/>
            </w:tcBorders>
            <w:shd w:val="clear" w:color="auto" w:fill="auto"/>
            <w:vAlign w:val="bottom"/>
          </w:tcPr>
          <w:p w14:paraId="34A376C4"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bCs/>
                <w:i/>
                <w:iCs/>
                <w:sz w:val="16"/>
                <w:szCs w:val="16"/>
                <w:lang w:val="fr-FR"/>
              </w:rPr>
              <w:t>F</w:t>
            </w:r>
          </w:p>
        </w:tc>
      </w:tr>
      <w:tr w:rsidR="00046F46" w:rsidRPr="00EE4C2A" w14:paraId="0EC4AAA7" w14:textId="77777777" w:rsidTr="004C1F7B">
        <w:tc>
          <w:tcPr>
            <w:tcW w:w="1147" w:type="dxa"/>
            <w:tcBorders>
              <w:top w:val="single" w:sz="12" w:space="0" w:color="auto"/>
            </w:tcBorders>
            <w:shd w:val="clear" w:color="auto" w:fill="auto"/>
          </w:tcPr>
          <w:p w14:paraId="498A7B97" w14:textId="314A6155"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Moins d</w:t>
            </w:r>
            <w:r w:rsidR="008279BF">
              <w:rPr>
                <w:sz w:val="18"/>
                <w:szCs w:val="18"/>
                <w:lang w:val="fr-FR"/>
              </w:rPr>
              <w:t>’</w:t>
            </w:r>
            <w:r w:rsidRPr="00EE4C2A">
              <w:rPr>
                <w:sz w:val="18"/>
                <w:szCs w:val="18"/>
                <w:lang w:val="fr-FR"/>
              </w:rPr>
              <w:t>1 an</w:t>
            </w:r>
          </w:p>
        </w:tc>
        <w:tc>
          <w:tcPr>
            <w:tcW w:w="1060" w:type="dxa"/>
            <w:tcBorders>
              <w:top w:val="single" w:sz="12" w:space="0" w:color="auto"/>
            </w:tcBorders>
            <w:shd w:val="clear" w:color="auto" w:fill="auto"/>
            <w:vAlign w:val="bottom"/>
          </w:tcPr>
          <w:p w14:paraId="60B43921"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100</w:t>
            </w:r>
          </w:p>
        </w:tc>
        <w:tc>
          <w:tcPr>
            <w:tcW w:w="1059" w:type="dxa"/>
            <w:tcBorders>
              <w:top w:val="single" w:sz="12" w:space="0" w:color="auto"/>
            </w:tcBorders>
            <w:shd w:val="clear" w:color="auto" w:fill="auto"/>
            <w:vAlign w:val="bottom"/>
          </w:tcPr>
          <w:p w14:paraId="7D0088B1"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169</w:t>
            </w:r>
          </w:p>
        </w:tc>
        <w:tc>
          <w:tcPr>
            <w:tcW w:w="993" w:type="dxa"/>
            <w:tcBorders>
              <w:top w:val="single" w:sz="12" w:space="0" w:color="auto"/>
            </w:tcBorders>
            <w:shd w:val="clear" w:color="auto" w:fill="auto"/>
            <w:vAlign w:val="bottom"/>
          </w:tcPr>
          <w:p w14:paraId="1888E91C"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7</w:t>
            </w:r>
          </w:p>
        </w:tc>
        <w:tc>
          <w:tcPr>
            <w:tcW w:w="993" w:type="dxa"/>
            <w:tcBorders>
              <w:top w:val="single" w:sz="12" w:space="0" w:color="auto"/>
            </w:tcBorders>
            <w:shd w:val="clear" w:color="auto" w:fill="auto"/>
            <w:vAlign w:val="bottom"/>
          </w:tcPr>
          <w:p w14:paraId="5763A5EC"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7</w:t>
            </w:r>
          </w:p>
        </w:tc>
        <w:tc>
          <w:tcPr>
            <w:tcW w:w="1059" w:type="dxa"/>
            <w:tcBorders>
              <w:top w:val="single" w:sz="12" w:space="0" w:color="auto"/>
            </w:tcBorders>
            <w:shd w:val="clear" w:color="auto" w:fill="auto"/>
            <w:vAlign w:val="bottom"/>
          </w:tcPr>
          <w:p w14:paraId="24E124E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107</w:t>
            </w:r>
          </w:p>
        </w:tc>
        <w:tc>
          <w:tcPr>
            <w:tcW w:w="1059" w:type="dxa"/>
            <w:tcBorders>
              <w:top w:val="single" w:sz="12" w:space="0" w:color="auto"/>
            </w:tcBorders>
            <w:shd w:val="clear" w:color="auto" w:fill="auto"/>
            <w:vAlign w:val="bottom"/>
          </w:tcPr>
          <w:p w14:paraId="6C518769"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176</w:t>
            </w:r>
          </w:p>
        </w:tc>
      </w:tr>
      <w:tr w:rsidR="00046F46" w:rsidRPr="00EE4C2A" w14:paraId="61F46ED4" w14:textId="77777777" w:rsidTr="004C1F7B">
        <w:tc>
          <w:tcPr>
            <w:tcW w:w="1147" w:type="dxa"/>
            <w:shd w:val="clear" w:color="auto" w:fill="auto"/>
          </w:tcPr>
          <w:p w14:paraId="29D3848A"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1-4 ans</w:t>
            </w:r>
          </w:p>
        </w:tc>
        <w:tc>
          <w:tcPr>
            <w:tcW w:w="1060" w:type="dxa"/>
            <w:shd w:val="clear" w:color="auto" w:fill="auto"/>
            <w:vAlign w:val="bottom"/>
          </w:tcPr>
          <w:p w14:paraId="32905AA1"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289</w:t>
            </w:r>
          </w:p>
        </w:tc>
        <w:tc>
          <w:tcPr>
            <w:tcW w:w="1059" w:type="dxa"/>
            <w:shd w:val="clear" w:color="auto" w:fill="auto"/>
            <w:vAlign w:val="bottom"/>
          </w:tcPr>
          <w:p w14:paraId="66F1AAAD"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242</w:t>
            </w:r>
          </w:p>
        </w:tc>
        <w:tc>
          <w:tcPr>
            <w:tcW w:w="993" w:type="dxa"/>
            <w:shd w:val="clear" w:color="auto" w:fill="auto"/>
            <w:vAlign w:val="bottom"/>
          </w:tcPr>
          <w:p w14:paraId="602DA708"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21</w:t>
            </w:r>
          </w:p>
        </w:tc>
        <w:tc>
          <w:tcPr>
            <w:tcW w:w="993" w:type="dxa"/>
            <w:shd w:val="clear" w:color="auto" w:fill="auto"/>
            <w:vAlign w:val="bottom"/>
          </w:tcPr>
          <w:p w14:paraId="526DC53B"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26</w:t>
            </w:r>
          </w:p>
        </w:tc>
        <w:tc>
          <w:tcPr>
            <w:tcW w:w="1059" w:type="dxa"/>
            <w:shd w:val="clear" w:color="auto" w:fill="auto"/>
            <w:vAlign w:val="bottom"/>
          </w:tcPr>
          <w:p w14:paraId="583454C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302</w:t>
            </w:r>
          </w:p>
        </w:tc>
        <w:tc>
          <w:tcPr>
            <w:tcW w:w="1059" w:type="dxa"/>
            <w:shd w:val="clear" w:color="auto" w:fill="auto"/>
            <w:vAlign w:val="bottom"/>
          </w:tcPr>
          <w:p w14:paraId="6AA54928"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268</w:t>
            </w:r>
          </w:p>
        </w:tc>
      </w:tr>
      <w:tr w:rsidR="00046F46" w:rsidRPr="00EE4C2A" w14:paraId="6BE251E0" w14:textId="77777777" w:rsidTr="004C1F7B">
        <w:tc>
          <w:tcPr>
            <w:tcW w:w="1147" w:type="dxa"/>
            <w:shd w:val="clear" w:color="auto" w:fill="auto"/>
          </w:tcPr>
          <w:p w14:paraId="794C990C"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5-9 ans</w:t>
            </w:r>
          </w:p>
        </w:tc>
        <w:tc>
          <w:tcPr>
            <w:tcW w:w="1060" w:type="dxa"/>
            <w:shd w:val="clear" w:color="auto" w:fill="auto"/>
            <w:vAlign w:val="bottom"/>
          </w:tcPr>
          <w:p w14:paraId="0A985FFE"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671</w:t>
            </w:r>
          </w:p>
        </w:tc>
        <w:tc>
          <w:tcPr>
            <w:tcW w:w="1059" w:type="dxa"/>
            <w:shd w:val="clear" w:color="auto" w:fill="auto"/>
            <w:vAlign w:val="bottom"/>
          </w:tcPr>
          <w:p w14:paraId="12A745DA"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593</w:t>
            </w:r>
          </w:p>
        </w:tc>
        <w:tc>
          <w:tcPr>
            <w:tcW w:w="993" w:type="dxa"/>
            <w:shd w:val="clear" w:color="auto" w:fill="auto"/>
            <w:vAlign w:val="bottom"/>
          </w:tcPr>
          <w:p w14:paraId="362F86FA"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14</w:t>
            </w:r>
          </w:p>
        </w:tc>
        <w:tc>
          <w:tcPr>
            <w:tcW w:w="993" w:type="dxa"/>
            <w:shd w:val="clear" w:color="auto" w:fill="auto"/>
            <w:vAlign w:val="bottom"/>
          </w:tcPr>
          <w:p w14:paraId="5859E2EF"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23</w:t>
            </w:r>
          </w:p>
        </w:tc>
        <w:tc>
          <w:tcPr>
            <w:tcW w:w="1059" w:type="dxa"/>
            <w:shd w:val="clear" w:color="auto" w:fill="auto"/>
            <w:vAlign w:val="bottom"/>
          </w:tcPr>
          <w:p w14:paraId="0B63DAEC"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685</w:t>
            </w:r>
          </w:p>
        </w:tc>
        <w:tc>
          <w:tcPr>
            <w:tcW w:w="1059" w:type="dxa"/>
            <w:shd w:val="clear" w:color="auto" w:fill="auto"/>
            <w:vAlign w:val="bottom"/>
          </w:tcPr>
          <w:p w14:paraId="10D2390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616</w:t>
            </w:r>
          </w:p>
        </w:tc>
      </w:tr>
      <w:tr w:rsidR="00046F46" w:rsidRPr="00EE4C2A" w14:paraId="64E89ED0" w14:textId="77777777" w:rsidTr="004C1F7B">
        <w:tc>
          <w:tcPr>
            <w:tcW w:w="1147" w:type="dxa"/>
            <w:shd w:val="clear" w:color="auto" w:fill="auto"/>
          </w:tcPr>
          <w:p w14:paraId="646BEF24"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10-18 ans</w:t>
            </w:r>
          </w:p>
        </w:tc>
        <w:tc>
          <w:tcPr>
            <w:tcW w:w="1060" w:type="dxa"/>
            <w:shd w:val="clear" w:color="auto" w:fill="auto"/>
            <w:vAlign w:val="bottom"/>
          </w:tcPr>
          <w:p w14:paraId="1BC22028"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1 624</w:t>
            </w:r>
          </w:p>
        </w:tc>
        <w:tc>
          <w:tcPr>
            <w:tcW w:w="1059" w:type="dxa"/>
            <w:shd w:val="clear" w:color="auto" w:fill="auto"/>
            <w:vAlign w:val="bottom"/>
          </w:tcPr>
          <w:p w14:paraId="01585D7A"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14</w:t>
            </w:r>
          </w:p>
        </w:tc>
        <w:tc>
          <w:tcPr>
            <w:tcW w:w="993" w:type="dxa"/>
            <w:shd w:val="clear" w:color="auto" w:fill="auto"/>
            <w:vAlign w:val="bottom"/>
          </w:tcPr>
          <w:p w14:paraId="3606B49D"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29</w:t>
            </w:r>
          </w:p>
        </w:tc>
        <w:tc>
          <w:tcPr>
            <w:tcW w:w="993" w:type="dxa"/>
            <w:shd w:val="clear" w:color="auto" w:fill="auto"/>
            <w:vAlign w:val="bottom"/>
          </w:tcPr>
          <w:p w14:paraId="3A4BB3B8"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21</w:t>
            </w:r>
          </w:p>
        </w:tc>
        <w:tc>
          <w:tcPr>
            <w:tcW w:w="1059" w:type="dxa"/>
            <w:shd w:val="clear" w:color="auto" w:fill="auto"/>
            <w:vAlign w:val="bottom"/>
          </w:tcPr>
          <w:p w14:paraId="053A6021"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1 653</w:t>
            </w:r>
          </w:p>
        </w:tc>
        <w:tc>
          <w:tcPr>
            <w:tcW w:w="1059" w:type="dxa"/>
            <w:shd w:val="clear" w:color="auto" w:fill="auto"/>
            <w:vAlign w:val="bottom"/>
          </w:tcPr>
          <w:p w14:paraId="2B869400"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1 487</w:t>
            </w:r>
          </w:p>
        </w:tc>
      </w:tr>
      <w:tr w:rsidR="00046F46" w:rsidRPr="00EE4C2A" w14:paraId="4EFA1C03" w14:textId="77777777" w:rsidTr="007757CF">
        <w:tc>
          <w:tcPr>
            <w:tcW w:w="1147" w:type="dxa"/>
            <w:tcBorders>
              <w:bottom w:val="single" w:sz="4" w:space="0" w:color="auto"/>
            </w:tcBorders>
            <w:shd w:val="clear" w:color="auto" w:fill="auto"/>
          </w:tcPr>
          <w:p w14:paraId="4B217119"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19 ans et plus</w:t>
            </w:r>
          </w:p>
        </w:tc>
        <w:tc>
          <w:tcPr>
            <w:tcW w:w="1060" w:type="dxa"/>
            <w:tcBorders>
              <w:bottom w:val="single" w:sz="4" w:space="0" w:color="auto"/>
            </w:tcBorders>
            <w:shd w:val="clear" w:color="auto" w:fill="auto"/>
            <w:vAlign w:val="bottom"/>
          </w:tcPr>
          <w:p w14:paraId="5CFC9642"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29</w:t>
            </w:r>
          </w:p>
        </w:tc>
        <w:tc>
          <w:tcPr>
            <w:tcW w:w="1059" w:type="dxa"/>
            <w:tcBorders>
              <w:bottom w:val="single" w:sz="4" w:space="0" w:color="auto"/>
            </w:tcBorders>
            <w:shd w:val="clear" w:color="auto" w:fill="auto"/>
            <w:vAlign w:val="bottom"/>
          </w:tcPr>
          <w:p w14:paraId="611D5B6F"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50</w:t>
            </w:r>
          </w:p>
        </w:tc>
        <w:tc>
          <w:tcPr>
            <w:tcW w:w="993" w:type="dxa"/>
            <w:tcBorders>
              <w:bottom w:val="single" w:sz="4" w:space="0" w:color="auto"/>
            </w:tcBorders>
            <w:shd w:val="clear" w:color="auto" w:fill="auto"/>
            <w:vAlign w:val="bottom"/>
          </w:tcPr>
          <w:p w14:paraId="3E499C0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w:t>
            </w:r>
          </w:p>
        </w:tc>
        <w:tc>
          <w:tcPr>
            <w:tcW w:w="993" w:type="dxa"/>
            <w:tcBorders>
              <w:bottom w:val="single" w:sz="4" w:space="0" w:color="auto"/>
            </w:tcBorders>
            <w:shd w:val="clear" w:color="auto" w:fill="auto"/>
            <w:vAlign w:val="bottom"/>
          </w:tcPr>
          <w:p w14:paraId="28F35ED5" w14:textId="77777777" w:rsidR="00046F46" w:rsidRPr="00EE4C2A" w:rsidRDefault="00046F46" w:rsidP="007757CF">
            <w:pPr>
              <w:pStyle w:val="SingleTxtG"/>
              <w:tabs>
                <w:tab w:val="clear" w:pos="1701"/>
                <w:tab w:val="clear" w:pos="2268"/>
              </w:tabs>
              <w:suppressAutoHyphens w:val="0"/>
              <w:spacing w:before="40" w:after="40" w:line="220" w:lineRule="exact"/>
              <w:ind w:left="0" w:right="57"/>
              <w:jc w:val="right"/>
              <w:rPr>
                <w:iCs/>
                <w:sz w:val="18"/>
                <w:szCs w:val="18"/>
                <w:lang w:val="fr-FR"/>
              </w:rPr>
            </w:pPr>
            <w:r w:rsidRPr="00EE4C2A">
              <w:rPr>
                <w:sz w:val="18"/>
                <w:szCs w:val="18"/>
                <w:lang w:val="fr-FR"/>
              </w:rPr>
              <w:t>8</w:t>
            </w:r>
          </w:p>
        </w:tc>
        <w:tc>
          <w:tcPr>
            <w:tcW w:w="1059" w:type="dxa"/>
            <w:tcBorders>
              <w:bottom w:val="single" w:sz="4" w:space="0" w:color="auto"/>
            </w:tcBorders>
            <w:shd w:val="clear" w:color="auto" w:fill="auto"/>
            <w:vAlign w:val="bottom"/>
          </w:tcPr>
          <w:p w14:paraId="1B89E441"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42</w:t>
            </w:r>
          </w:p>
        </w:tc>
        <w:tc>
          <w:tcPr>
            <w:tcW w:w="1059" w:type="dxa"/>
            <w:tcBorders>
              <w:bottom w:val="single" w:sz="4" w:space="0" w:color="auto"/>
            </w:tcBorders>
            <w:shd w:val="clear" w:color="auto" w:fill="auto"/>
            <w:vAlign w:val="bottom"/>
          </w:tcPr>
          <w:p w14:paraId="1406410C"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58</w:t>
            </w:r>
          </w:p>
        </w:tc>
      </w:tr>
      <w:tr w:rsidR="00046F46" w:rsidRPr="007757CF" w14:paraId="20CD449F" w14:textId="77777777" w:rsidTr="004C1F7B">
        <w:tc>
          <w:tcPr>
            <w:tcW w:w="1147" w:type="dxa"/>
            <w:tcBorders>
              <w:top w:val="single" w:sz="4" w:space="0" w:color="auto"/>
              <w:bottom w:val="single" w:sz="12" w:space="0" w:color="auto"/>
            </w:tcBorders>
            <w:shd w:val="clear" w:color="auto" w:fill="auto"/>
          </w:tcPr>
          <w:p w14:paraId="6C1170D6" w14:textId="77777777" w:rsidR="00046F46" w:rsidRPr="007757CF" w:rsidRDefault="00046F46" w:rsidP="007757CF">
            <w:pPr>
              <w:pStyle w:val="SingleTxtG"/>
              <w:tabs>
                <w:tab w:val="clear" w:pos="1701"/>
                <w:tab w:val="clear" w:pos="2268"/>
              </w:tabs>
              <w:suppressAutoHyphens w:val="0"/>
              <w:spacing w:before="80" w:after="80" w:line="220" w:lineRule="exact"/>
              <w:ind w:left="283" w:right="0"/>
              <w:jc w:val="left"/>
              <w:rPr>
                <w:b/>
                <w:iCs/>
                <w:sz w:val="18"/>
                <w:szCs w:val="18"/>
                <w:lang w:val="fr-FR"/>
              </w:rPr>
            </w:pPr>
            <w:r w:rsidRPr="007757CF">
              <w:rPr>
                <w:b/>
                <w:sz w:val="18"/>
                <w:szCs w:val="18"/>
                <w:lang w:val="fr-FR"/>
              </w:rPr>
              <w:t>Total</w:t>
            </w:r>
          </w:p>
        </w:tc>
        <w:tc>
          <w:tcPr>
            <w:tcW w:w="1060" w:type="dxa"/>
            <w:tcBorders>
              <w:top w:val="single" w:sz="4" w:space="0" w:color="auto"/>
              <w:bottom w:val="single" w:sz="12" w:space="0" w:color="auto"/>
            </w:tcBorders>
            <w:shd w:val="clear" w:color="auto" w:fill="auto"/>
            <w:vAlign w:val="bottom"/>
          </w:tcPr>
          <w:p w14:paraId="7422A219"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b/>
                <w:iCs/>
                <w:sz w:val="18"/>
                <w:szCs w:val="18"/>
                <w:lang w:val="fr-FR"/>
              </w:rPr>
            </w:pPr>
            <w:r w:rsidRPr="007757CF">
              <w:rPr>
                <w:b/>
                <w:sz w:val="18"/>
                <w:szCs w:val="18"/>
                <w:lang w:val="fr-FR"/>
              </w:rPr>
              <w:t>2 715</w:t>
            </w:r>
          </w:p>
        </w:tc>
        <w:tc>
          <w:tcPr>
            <w:tcW w:w="1059" w:type="dxa"/>
            <w:tcBorders>
              <w:top w:val="single" w:sz="4" w:space="0" w:color="auto"/>
              <w:bottom w:val="single" w:sz="12" w:space="0" w:color="auto"/>
            </w:tcBorders>
            <w:shd w:val="clear" w:color="auto" w:fill="auto"/>
            <w:vAlign w:val="bottom"/>
          </w:tcPr>
          <w:p w14:paraId="6FB189B2"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b/>
                <w:iCs/>
                <w:sz w:val="18"/>
                <w:szCs w:val="18"/>
                <w:lang w:val="fr-FR"/>
              </w:rPr>
            </w:pPr>
            <w:r w:rsidRPr="007757CF">
              <w:rPr>
                <w:b/>
                <w:sz w:val="18"/>
                <w:szCs w:val="18"/>
                <w:lang w:val="fr-FR"/>
              </w:rPr>
              <w:t>2 520</w:t>
            </w:r>
          </w:p>
        </w:tc>
        <w:tc>
          <w:tcPr>
            <w:tcW w:w="993" w:type="dxa"/>
            <w:tcBorders>
              <w:top w:val="single" w:sz="4" w:space="0" w:color="auto"/>
              <w:bottom w:val="single" w:sz="12" w:space="0" w:color="auto"/>
            </w:tcBorders>
            <w:shd w:val="clear" w:color="auto" w:fill="auto"/>
            <w:vAlign w:val="bottom"/>
          </w:tcPr>
          <w:p w14:paraId="08FC722B"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b/>
                <w:iCs/>
                <w:sz w:val="18"/>
                <w:szCs w:val="18"/>
                <w:lang w:val="fr-FR"/>
              </w:rPr>
            </w:pPr>
            <w:r w:rsidRPr="007757CF">
              <w:rPr>
                <w:b/>
                <w:sz w:val="18"/>
                <w:szCs w:val="18"/>
                <w:lang w:val="fr-FR"/>
              </w:rPr>
              <w:t>74</w:t>
            </w:r>
          </w:p>
        </w:tc>
        <w:tc>
          <w:tcPr>
            <w:tcW w:w="993" w:type="dxa"/>
            <w:tcBorders>
              <w:top w:val="single" w:sz="4" w:space="0" w:color="auto"/>
              <w:bottom w:val="single" w:sz="12" w:space="0" w:color="auto"/>
            </w:tcBorders>
            <w:shd w:val="clear" w:color="auto" w:fill="auto"/>
            <w:vAlign w:val="bottom"/>
          </w:tcPr>
          <w:p w14:paraId="57B4A2E0"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b/>
                <w:iCs/>
                <w:sz w:val="18"/>
                <w:szCs w:val="18"/>
                <w:lang w:val="fr-FR"/>
              </w:rPr>
            </w:pPr>
            <w:r w:rsidRPr="007757CF">
              <w:rPr>
                <w:b/>
                <w:sz w:val="18"/>
                <w:szCs w:val="18"/>
                <w:lang w:val="fr-FR"/>
              </w:rPr>
              <w:t>85</w:t>
            </w:r>
          </w:p>
        </w:tc>
        <w:tc>
          <w:tcPr>
            <w:tcW w:w="1059" w:type="dxa"/>
            <w:tcBorders>
              <w:top w:val="single" w:sz="4" w:space="0" w:color="auto"/>
              <w:bottom w:val="single" w:sz="12" w:space="0" w:color="auto"/>
            </w:tcBorders>
            <w:shd w:val="clear" w:color="auto" w:fill="auto"/>
            <w:vAlign w:val="bottom"/>
          </w:tcPr>
          <w:p w14:paraId="47D9619D"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b/>
                <w:iCs/>
                <w:sz w:val="18"/>
                <w:szCs w:val="18"/>
                <w:lang w:val="fr-FR"/>
              </w:rPr>
            </w:pPr>
            <w:r w:rsidRPr="007757CF">
              <w:rPr>
                <w:b/>
                <w:sz w:val="18"/>
                <w:szCs w:val="18"/>
                <w:lang w:val="fr-FR"/>
              </w:rPr>
              <w:t>2 789</w:t>
            </w:r>
          </w:p>
        </w:tc>
        <w:tc>
          <w:tcPr>
            <w:tcW w:w="1059" w:type="dxa"/>
            <w:tcBorders>
              <w:top w:val="single" w:sz="4" w:space="0" w:color="auto"/>
              <w:bottom w:val="single" w:sz="12" w:space="0" w:color="auto"/>
            </w:tcBorders>
            <w:shd w:val="clear" w:color="auto" w:fill="auto"/>
            <w:vAlign w:val="bottom"/>
          </w:tcPr>
          <w:p w14:paraId="79828FA2"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b/>
                <w:iCs/>
                <w:sz w:val="18"/>
                <w:szCs w:val="18"/>
                <w:lang w:val="fr-FR"/>
              </w:rPr>
            </w:pPr>
            <w:r w:rsidRPr="007757CF">
              <w:rPr>
                <w:b/>
                <w:sz w:val="18"/>
                <w:szCs w:val="18"/>
                <w:lang w:val="fr-FR"/>
              </w:rPr>
              <w:t>2 605</w:t>
            </w:r>
          </w:p>
        </w:tc>
      </w:tr>
    </w:tbl>
    <w:p w14:paraId="7DCE4A8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40 b) de la liste de points établie </w:t>
      </w:r>
      <w:r>
        <w:rPr>
          <w:bCs/>
          <w:lang w:val="fr-FR"/>
        </w:rPr>
        <w:t>avant la soumission du rapport</w:t>
      </w:r>
    </w:p>
    <w:p w14:paraId="6E0DCA72" w14:textId="41360071" w:rsidR="00046F46" w:rsidRPr="00EE4C2A" w:rsidRDefault="00046F46" w:rsidP="00046F46">
      <w:pPr>
        <w:pStyle w:val="SingleTxtG"/>
        <w:rPr>
          <w:iCs/>
          <w:lang w:val="fr-FR"/>
        </w:rPr>
      </w:pPr>
      <w:r w:rsidRPr="00EE4C2A">
        <w:rPr>
          <w:lang w:val="fr-FR"/>
        </w:rPr>
        <w:t>192.</w:t>
      </w:r>
      <w:r w:rsidRPr="00EE4C2A">
        <w:rPr>
          <w:lang w:val="fr-FR"/>
        </w:rPr>
        <w:tab/>
        <w:t>Le système informatique de gestion des dossiers présente encore des lacunes en ce qui concerne les enfants pris en charge dans un cadre familial ou communautaire, ce qui n</w:t>
      </w:r>
      <w:r w:rsidR="008279BF">
        <w:rPr>
          <w:lang w:val="fr-FR"/>
        </w:rPr>
        <w:t>’</w:t>
      </w:r>
      <w:r w:rsidRPr="00EE4C2A">
        <w:rPr>
          <w:lang w:val="fr-FR"/>
        </w:rPr>
        <w:t>est pas le cas pour ceux qui passent d</w:t>
      </w:r>
      <w:r w:rsidR="008279BF">
        <w:rPr>
          <w:lang w:val="fr-FR"/>
        </w:rPr>
        <w:t>’</w:t>
      </w:r>
      <w:r w:rsidRPr="00EE4C2A">
        <w:rPr>
          <w:lang w:val="fr-FR"/>
        </w:rPr>
        <w:t>une prise en charge institutionnelle à une prise en charge en milieu familial/communautaire. L</w:t>
      </w:r>
      <w:r w:rsidR="008279BF">
        <w:rPr>
          <w:lang w:val="fr-FR"/>
        </w:rPr>
        <w:t>’</w:t>
      </w:r>
      <w:r w:rsidRPr="00EE4C2A">
        <w:rPr>
          <w:lang w:val="fr-FR"/>
        </w:rPr>
        <w:t>État partie poursuit donc ses efforts pour mettre en place un système centralisé de gestion des informations sur les enfants, afin d</w:t>
      </w:r>
      <w:r w:rsidR="008279BF">
        <w:rPr>
          <w:lang w:val="fr-FR"/>
        </w:rPr>
        <w:t>’</w:t>
      </w:r>
      <w:r w:rsidRPr="00EE4C2A">
        <w:rPr>
          <w:lang w:val="fr-FR"/>
        </w:rPr>
        <w:t xml:space="preserve">améliorer la </w:t>
      </w:r>
      <w:r w:rsidRPr="00EE4C2A">
        <w:rPr>
          <w:lang w:val="fr-FR"/>
        </w:rPr>
        <w:lastRenderedPageBreak/>
        <w:t>collecte et l</w:t>
      </w:r>
      <w:r w:rsidR="008279BF">
        <w:rPr>
          <w:lang w:val="fr-FR"/>
        </w:rPr>
        <w:t>’</w:t>
      </w:r>
      <w:r w:rsidRPr="00EE4C2A">
        <w:rPr>
          <w:lang w:val="fr-FR"/>
        </w:rPr>
        <w:t>analyse des données relatives aux vulnérabilités et aux services pour les orphelins et les enfants vulnérables.</w:t>
      </w:r>
    </w:p>
    <w:p w14:paraId="221C7A9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40 c) de la liste de points établie </w:t>
      </w:r>
      <w:r>
        <w:rPr>
          <w:bCs/>
          <w:lang w:val="fr-FR"/>
        </w:rPr>
        <w:t>avant la soumission du rapport</w:t>
      </w:r>
    </w:p>
    <w:p w14:paraId="3998B4F9" w14:textId="41511B1F" w:rsidR="00046F46" w:rsidRPr="00EE4C2A" w:rsidRDefault="00046F46" w:rsidP="00046F46">
      <w:pPr>
        <w:pStyle w:val="SingleTxtG"/>
        <w:rPr>
          <w:iCs/>
          <w:lang w:val="fr-FR"/>
        </w:rPr>
      </w:pPr>
      <w:r w:rsidRPr="00EE4C2A">
        <w:rPr>
          <w:lang w:val="fr-FR"/>
        </w:rPr>
        <w:t>193.</w:t>
      </w:r>
      <w:r w:rsidRPr="00EE4C2A">
        <w:rPr>
          <w:lang w:val="fr-FR"/>
        </w:rPr>
        <w:tab/>
        <w:t>En ce qui concerne le nombre d</w:t>
      </w:r>
      <w:r w:rsidR="008279BF">
        <w:rPr>
          <w:lang w:val="fr-FR"/>
        </w:rPr>
        <w:t>’</w:t>
      </w:r>
      <w:r w:rsidRPr="00EE4C2A">
        <w:rPr>
          <w:lang w:val="fr-FR"/>
        </w:rPr>
        <w:t>enfants adoptés dans le pays ou à l</w:t>
      </w:r>
      <w:r w:rsidR="008279BF">
        <w:rPr>
          <w:lang w:val="fr-FR"/>
        </w:rPr>
        <w:t>’</w:t>
      </w:r>
      <w:r w:rsidRPr="00EE4C2A">
        <w:rPr>
          <w:lang w:val="fr-FR"/>
        </w:rPr>
        <w:t>étranger, seul un tiers des enfants recensés dans le tableau ci-après ont été adoptés à l</w:t>
      </w:r>
      <w:r w:rsidR="008279BF">
        <w:rPr>
          <w:lang w:val="fr-FR"/>
        </w:rPr>
        <w:t>’</w:t>
      </w:r>
      <w:r w:rsidRPr="00EE4C2A">
        <w:rPr>
          <w:lang w:val="fr-FR"/>
        </w:rPr>
        <w:t>étranger.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05"/>
        <w:gridCol w:w="1813"/>
        <w:gridCol w:w="1926"/>
        <w:gridCol w:w="1826"/>
      </w:tblGrid>
      <w:tr w:rsidR="00046F46" w:rsidRPr="00EE4C2A" w14:paraId="32855FC3" w14:textId="77777777" w:rsidTr="004C1F7B">
        <w:trPr>
          <w:tblHeader/>
        </w:trPr>
        <w:tc>
          <w:tcPr>
            <w:tcW w:w="1805" w:type="dxa"/>
            <w:tcBorders>
              <w:top w:val="single" w:sz="4" w:space="0" w:color="auto"/>
              <w:bottom w:val="single" w:sz="12" w:space="0" w:color="auto"/>
            </w:tcBorders>
            <w:shd w:val="clear" w:color="auto" w:fill="auto"/>
            <w:vAlign w:val="bottom"/>
          </w:tcPr>
          <w:p w14:paraId="3263896D"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left"/>
              <w:rPr>
                <w:bCs/>
                <w:i/>
                <w:iCs/>
                <w:sz w:val="16"/>
                <w:szCs w:val="16"/>
                <w:lang w:val="fr-FR"/>
              </w:rPr>
            </w:pPr>
            <w:r w:rsidRPr="00EE4C2A">
              <w:rPr>
                <w:i/>
                <w:iCs/>
                <w:sz w:val="16"/>
                <w:szCs w:val="16"/>
                <w:lang w:val="fr-FR"/>
              </w:rPr>
              <w:t>Année</w:t>
            </w:r>
          </w:p>
        </w:tc>
        <w:tc>
          <w:tcPr>
            <w:tcW w:w="1813" w:type="dxa"/>
            <w:tcBorders>
              <w:top w:val="single" w:sz="4" w:space="0" w:color="auto"/>
              <w:bottom w:val="single" w:sz="12" w:space="0" w:color="auto"/>
            </w:tcBorders>
            <w:shd w:val="clear" w:color="auto" w:fill="auto"/>
            <w:vAlign w:val="bottom"/>
          </w:tcPr>
          <w:p w14:paraId="2F9BF3B0"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Garçons</w:t>
            </w:r>
          </w:p>
        </w:tc>
        <w:tc>
          <w:tcPr>
            <w:tcW w:w="1926" w:type="dxa"/>
            <w:tcBorders>
              <w:top w:val="single" w:sz="4" w:space="0" w:color="auto"/>
              <w:bottom w:val="single" w:sz="12" w:space="0" w:color="auto"/>
            </w:tcBorders>
            <w:shd w:val="clear" w:color="auto" w:fill="auto"/>
            <w:vAlign w:val="bottom"/>
          </w:tcPr>
          <w:p w14:paraId="0CE07FA8"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Filles</w:t>
            </w:r>
          </w:p>
        </w:tc>
        <w:tc>
          <w:tcPr>
            <w:tcW w:w="1826" w:type="dxa"/>
            <w:tcBorders>
              <w:top w:val="single" w:sz="4" w:space="0" w:color="auto"/>
              <w:bottom w:val="single" w:sz="12" w:space="0" w:color="auto"/>
            </w:tcBorders>
            <w:shd w:val="clear" w:color="auto" w:fill="auto"/>
            <w:vAlign w:val="bottom"/>
          </w:tcPr>
          <w:p w14:paraId="1B8E05E8"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bCs/>
                <w:i/>
                <w:iCs/>
                <w:sz w:val="16"/>
                <w:szCs w:val="16"/>
                <w:lang w:val="fr-FR"/>
              </w:rPr>
            </w:pPr>
            <w:r w:rsidRPr="00EE4C2A">
              <w:rPr>
                <w:i/>
                <w:iCs/>
                <w:sz w:val="16"/>
                <w:szCs w:val="16"/>
                <w:lang w:val="fr-FR"/>
              </w:rPr>
              <w:t>Total</w:t>
            </w:r>
          </w:p>
        </w:tc>
      </w:tr>
      <w:tr w:rsidR="00046F46" w:rsidRPr="00EE4C2A" w14:paraId="0CAD0509" w14:textId="77777777" w:rsidTr="004C1F7B">
        <w:tc>
          <w:tcPr>
            <w:tcW w:w="1805" w:type="dxa"/>
            <w:tcBorders>
              <w:top w:val="single" w:sz="12" w:space="0" w:color="auto"/>
            </w:tcBorders>
            <w:shd w:val="clear" w:color="auto" w:fill="auto"/>
          </w:tcPr>
          <w:p w14:paraId="41B78472"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2016</w:t>
            </w:r>
          </w:p>
        </w:tc>
        <w:tc>
          <w:tcPr>
            <w:tcW w:w="1813" w:type="dxa"/>
            <w:tcBorders>
              <w:top w:val="single" w:sz="12" w:space="0" w:color="auto"/>
            </w:tcBorders>
            <w:shd w:val="clear" w:color="auto" w:fill="auto"/>
            <w:vAlign w:val="bottom"/>
          </w:tcPr>
          <w:p w14:paraId="3860E3A1"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70</w:t>
            </w:r>
          </w:p>
        </w:tc>
        <w:tc>
          <w:tcPr>
            <w:tcW w:w="1926" w:type="dxa"/>
            <w:tcBorders>
              <w:top w:val="single" w:sz="12" w:space="0" w:color="auto"/>
            </w:tcBorders>
            <w:shd w:val="clear" w:color="auto" w:fill="auto"/>
            <w:vAlign w:val="bottom"/>
          </w:tcPr>
          <w:p w14:paraId="780965A3"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54</w:t>
            </w:r>
          </w:p>
        </w:tc>
        <w:tc>
          <w:tcPr>
            <w:tcW w:w="1826" w:type="dxa"/>
            <w:tcBorders>
              <w:top w:val="single" w:sz="12" w:space="0" w:color="auto"/>
            </w:tcBorders>
            <w:shd w:val="clear" w:color="auto" w:fill="auto"/>
            <w:vAlign w:val="bottom"/>
          </w:tcPr>
          <w:p w14:paraId="1B8D095D"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124</w:t>
            </w:r>
          </w:p>
        </w:tc>
      </w:tr>
      <w:tr w:rsidR="00046F46" w:rsidRPr="00EE4C2A" w14:paraId="0DEE8B1C" w14:textId="77777777" w:rsidTr="004C1F7B">
        <w:tc>
          <w:tcPr>
            <w:tcW w:w="1805" w:type="dxa"/>
            <w:shd w:val="clear" w:color="auto" w:fill="auto"/>
          </w:tcPr>
          <w:p w14:paraId="64A6F259"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2017</w:t>
            </w:r>
          </w:p>
        </w:tc>
        <w:tc>
          <w:tcPr>
            <w:tcW w:w="1813" w:type="dxa"/>
            <w:shd w:val="clear" w:color="auto" w:fill="auto"/>
            <w:vAlign w:val="bottom"/>
          </w:tcPr>
          <w:p w14:paraId="73AC367E"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40</w:t>
            </w:r>
          </w:p>
        </w:tc>
        <w:tc>
          <w:tcPr>
            <w:tcW w:w="1926" w:type="dxa"/>
            <w:shd w:val="clear" w:color="auto" w:fill="auto"/>
            <w:vAlign w:val="bottom"/>
          </w:tcPr>
          <w:p w14:paraId="30B36AC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51</w:t>
            </w:r>
          </w:p>
        </w:tc>
        <w:tc>
          <w:tcPr>
            <w:tcW w:w="1826" w:type="dxa"/>
            <w:shd w:val="clear" w:color="auto" w:fill="auto"/>
            <w:vAlign w:val="bottom"/>
          </w:tcPr>
          <w:p w14:paraId="6E13F01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91</w:t>
            </w:r>
          </w:p>
        </w:tc>
      </w:tr>
      <w:tr w:rsidR="00046F46" w:rsidRPr="00EE4C2A" w14:paraId="5715586A" w14:textId="77777777" w:rsidTr="004C1F7B">
        <w:tc>
          <w:tcPr>
            <w:tcW w:w="1805" w:type="dxa"/>
            <w:shd w:val="clear" w:color="auto" w:fill="auto"/>
          </w:tcPr>
          <w:p w14:paraId="135B6241"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2018</w:t>
            </w:r>
          </w:p>
        </w:tc>
        <w:tc>
          <w:tcPr>
            <w:tcW w:w="1813" w:type="dxa"/>
            <w:shd w:val="clear" w:color="auto" w:fill="auto"/>
            <w:vAlign w:val="bottom"/>
          </w:tcPr>
          <w:p w14:paraId="33D50A1E"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31</w:t>
            </w:r>
          </w:p>
        </w:tc>
        <w:tc>
          <w:tcPr>
            <w:tcW w:w="1926" w:type="dxa"/>
            <w:shd w:val="clear" w:color="auto" w:fill="auto"/>
            <w:vAlign w:val="bottom"/>
          </w:tcPr>
          <w:p w14:paraId="0EF1E4B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43</w:t>
            </w:r>
          </w:p>
        </w:tc>
        <w:tc>
          <w:tcPr>
            <w:tcW w:w="1826" w:type="dxa"/>
            <w:shd w:val="clear" w:color="auto" w:fill="auto"/>
            <w:vAlign w:val="bottom"/>
          </w:tcPr>
          <w:p w14:paraId="70DFDC5A"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74</w:t>
            </w:r>
          </w:p>
        </w:tc>
      </w:tr>
      <w:tr w:rsidR="00046F46" w:rsidRPr="00EE4C2A" w14:paraId="364A5D64" w14:textId="77777777" w:rsidTr="007757CF">
        <w:tc>
          <w:tcPr>
            <w:tcW w:w="1805" w:type="dxa"/>
            <w:tcBorders>
              <w:bottom w:val="single" w:sz="4" w:space="0" w:color="auto"/>
            </w:tcBorders>
            <w:shd w:val="clear" w:color="auto" w:fill="auto"/>
          </w:tcPr>
          <w:p w14:paraId="68EDADC0"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2020</w:t>
            </w:r>
          </w:p>
        </w:tc>
        <w:tc>
          <w:tcPr>
            <w:tcW w:w="1813" w:type="dxa"/>
            <w:tcBorders>
              <w:bottom w:val="single" w:sz="4" w:space="0" w:color="auto"/>
            </w:tcBorders>
            <w:shd w:val="clear" w:color="auto" w:fill="auto"/>
            <w:vAlign w:val="bottom"/>
          </w:tcPr>
          <w:p w14:paraId="012F9764"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15</w:t>
            </w:r>
          </w:p>
        </w:tc>
        <w:tc>
          <w:tcPr>
            <w:tcW w:w="1926" w:type="dxa"/>
            <w:tcBorders>
              <w:bottom w:val="single" w:sz="4" w:space="0" w:color="auto"/>
            </w:tcBorders>
            <w:shd w:val="clear" w:color="auto" w:fill="auto"/>
            <w:vAlign w:val="bottom"/>
          </w:tcPr>
          <w:p w14:paraId="19CF7561"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37</w:t>
            </w:r>
          </w:p>
        </w:tc>
        <w:tc>
          <w:tcPr>
            <w:tcW w:w="1826" w:type="dxa"/>
            <w:tcBorders>
              <w:bottom w:val="single" w:sz="4" w:space="0" w:color="auto"/>
            </w:tcBorders>
            <w:shd w:val="clear" w:color="auto" w:fill="auto"/>
            <w:vAlign w:val="bottom"/>
          </w:tcPr>
          <w:p w14:paraId="46D6B77F"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52</w:t>
            </w:r>
          </w:p>
        </w:tc>
      </w:tr>
      <w:tr w:rsidR="00046F46" w:rsidRPr="007757CF" w14:paraId="61994A8B" w14:textId="77777777" w:rsidTr="004C1F7B">
        <w:tc>
          <w:tcPr>
            <w:tcW w:w="5544" w:type="dxa"/>
            <w:gridSpan w:val="3"/>
            <w:tcBorders>
              <w:top w:val="single" w:sz="4" w:space="0" w:color="auto"/>
              <w:bottom w:val="single" w:sz="12" w:space="0" w:color="auto"/>
            </w:tcBorders>
            <w:shd w:val="clear" w:color="auto" w:fill="auto"/>
          </w:tcPr>
          <w:p w14:paraId="5DED83D1" w14:textId="77777777" w:rsidR="00046F46" w:rsidRPr="007757CF" w:rsidRDefault="00046F46" w:rsidP="007757CF">
            <w:pPr>
              <w:pStyle w:val="SingleTxtG"/>
              <w:tabs>
                <w:tab w:val="clear" w:pos="1701"/>
                <w:tab w:val="clear" w:pos="2268"/>
              </w:tabs>
              <w:suppressAutoHyphens w:val="0"/>
              <w:spacing w:before="80" w:after="80" w:line="220" w:lineRule="exact"/>
              <w:ind w:left="283" w:right="0"/>
              <w:jc w:val="left"/>
              <w:rPr>
                <w:b/>
                <w:iCs/>
                <w:sz w:val="18"/>
                <w:szCs w:val="18"/>
                <w:lang w:val="fr-FR"/>
              </w:rPr>
            </w:pPr>
            <w:r w:rsidRPr="007757CF">
              <w:rPr>
                <w:b/>
                <w:sz w:val="18"/>
                <w:szCs w:val="18"/>
                <w:lang w:val="fr-FR"/>
              </w:rPr>
              <w:t>Total général</w:t>
            </w:r>
          </w:p>
        </w:tc>
        <w:tc>
          <w:tcPr>
            <w:tcW w:w="1826" w:type="dxa"/>
            <w:tcBorders>
              <w:top w:val="single" w:sz="4" w:space="0" w:color="auto"/>
              <w:bottom w:val="single" w:sz="12" w:space="0" w:color="auto"/>
            </w:tcBorders>
            <w:shd w:val="clear" w:color="auto" w:fill="auto"/>
            <w:vAlign w:val="bottom"/>
          </w:tcPr>
          <w:p w14:paraId="7BE6D57E"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b/>
                <w:iCs/>
                <w:sz w:val="18"/>
                <w:szCs w:val="18"/>
                <w:lang w:val="fr-FR"/>
              </w:rPr>
            </w:pPr>
            <w:r w:rsidRPr="007757CF">
              <w:rPr>
                <w:b/>
                <w:sz w:val="18"/>
                <w:szCs w:val="18"/>
                <w:lang w:val="fr-FR"/>
              </w:rPr>
              <w:t>395</w:t>
            </w:r>
          </w:p>
        </w:tc>
      </w:tr>
    </w:tbl>
    <w:p w14:paraId="50CD956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40 d) de la liste de points établie </w:t>
      </w:r>
      <w:r>
        <w:rPr>
          <w:bCs/>
          <w:lang w:val="fr-FR"/>
        </w:rPr>
        <w:t>avant la soumission du rapport</w:t>
      </w:r>
    </w:p>
    <w:p w14:paraId="79EA7C1E" w14:textId="5711368F" w:rsidR="00046F46" w:rsidRPr="00EE4C2A" w:rsidRDefault="00046F46" w:rsidP="00046F46">
      <w:pPr>
        <w:pStyle w:val="SingleTxtG"/>
        <w:spacing w:after="240"/>
        <w:rPr>
          <w:iCs/>
          <w:lang w:val="fr-FR"/>
        </w:rPr>
      </w:pPr>
      <w:r w:rsidRPr="00EE4C2A">
        <w:rPr>
          <w:lang w:val="fr-FR"/>
        </w:rPr>
        <w:t>194.</w:t>
      </w:r>
      <w:r w:rsidRPr="00EE4C2A">
        <w:rPr>
          <w:lang w:val="fr-FR"/>
        </w:rPr>
        <w:tab/>
        <w:t>Le tableau ci-après indique le nombre d</w:t>
      </w:r>
      <w:r w:rsidR="008279BF">
        <w:rPr>
          <w:lang w:val="fr-FR"/>
        </w:rPr>
        <w:t>’</w:t>
      </w:r>
      <w:r w:rsidRPr="00EE4C2A">
        <w:rPr>
          <w:lang w:val="fr-FR"/>
        </w:rPr>
        <w:t>enfants dont les parents sont en détention.</w:t>
      </w:r>
    </w:p>
    <w:tbl>
      <w:tblPr>
        <w:tblW w:w="7370"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046F46" w:rsidRPr="0019096A" w14:paraId="621B8B24" w14:textId="77777777" w:rsidTr="004C1F7B">
        <w:trPr>
          <w:tblHeader/>
        </w:trPr>
        <w:tc>
          <w:tcPr>
            <w:tcW w:w="7370" w:type="dxa"/>
            <w:gridSpan w:val="3"/>
            <w:tcBorders>
              <w:bottom w:val="single" w:sz="4" w:space="0" w:color="auto"/>
            </w:tcBorders>
            <w:shd w:val="clear" w:color="auto" w:fill="auto"/>
            <w:vAlign w:val="bottom"/>
          </w:tcPr>
          <w:p w14:paraId="33A87EF7"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left"/>
              <w:rPr>
                <w:i/>
                <w:iCs/>
                <w:sz w:val="16"/>
                <w:szCs w:val="16"/>
                <w:lang w:val="fr-FR"/>
              </w:rPr>
            </w:pPr>
            <w:r w:rsidRPr="00EE4C2A">
              <w:rPr>
                <w:i/>
                <w:iCs/>
                <w:sz w:val="16"/>
                <w:szCs w:val="16"/>
                <w:lang w:val="fr-FR"/>
              </w:rPr>
              <w:t>Enfants vivant en prison avec leur mère</w:t>
            </w:r>
          </w:p>
        </w:tc>
      </w:tr>
      <w:tr w:rsidR="00046F46" w:rsidRPr="00EE4C2A" w14:paraId="5222549A" w14:textId="77777777" w:rsidTr="004C1F7B">
        <w:tc>
          <w:tcPr>
            <w:tcW w:w="2457" w:type="dxa"/>
            <w:tcBorders>
              <w:bottom w:val="single" w:sz="12" w:space="0" w:color="auto"/>
            </w:tcBorders>
            <w:shd w:val="clear" w:color="auto" w:fill="auto"/>
          </w:tcPr>
          <w:p w14:paraId="55B5D3DF"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left"/>
              <w:rPr>
                <w:i/>
                <w:iCs/>
                <w:sz w:val="16"/>
                <w:szCs w:val="16"/>
                <w:lang w:val="fr-FR"/>
              </w:rPr>
            </w:pPr>
            <w:r w:rsidRPr="00EE4C2A">
              <w:rPr>
                <w:i/>
                <w:iCs/>
                <w:sz w:val="16"/>
                <w:szCs w:val="16"/>
                <w:lang w:val="fr-FR"/>
              </w:rPr>
              <w:t>Garçons</w:t>
            </w:r>
          </w:p>
        </w:tc>
        <w:tc>
          <w:tcPr>
            <w:tcW w:w="2456" w:type="dxa"/>
            <w:tcBorders>
              <w:bottom w:val="single" w:sz="12" w:space="0" w:color="auto"/>
            </w:tcBorders>
            <w:shd w:val="clear" w:color="auto" w:fill="auto"/>
          </w:tcPr>
          <w:p w14:paraId="3B8DEC27"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center"/>
              <w:rPr>
                <w:i/>
                <w:iCs/>
                <w:sz w:val="16"/>
                <w:szCs w:val="16"/>
                <w:lang w:val="fr-FR"/>
              </w:rPr>
            </w:pPr>
            <w:r w:rsidRPr="00EE4C2A">
              <w:rPr>
                <w:i/>
                <w:iCs/>
                <w:sz w:val="16"/>
                <w:szCs w:val="16"/>
                <w:lang w:val="fr-FR"/>
              </w:rPr>
              <w:t>Filles</w:t>
            </w:r>
          </w:p>
        </w:tc>
        <w:tc>
          <w:tcPr>
            <w:tcW w:w="2457" w:type="dxa"/>
            <w:tcBorders>
              <w:bottom w:val="single" w:sz="12" w:space="0" w:color="auto"/>
            </w:tcBorders>
            <w:shd w:val="clear" w:color="auto" w:fill="auto"/>
          </w:tcPr>
          <w:p w14:paraId="4EA95B59"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center"/>
              <w:rPr>
                <w:i/>
                <w:iCs/>
                <w:sz w:val="16"/>
                <w:szCs w:val="16"/>
                <w:lang w:val="fr-FR"/>
              </w:rPr>
            </w:pPr>
            <w:r w:rsidRPr="00EE4C2A">
              <w:rPr>
                <w:i/>
                <w:iCs/>
                <w:sz w:val="16"/>
                <w:szCs w:val="16"/>
                <w:lang w:val="fr-FR"/>
              </w:rPr>
              <w:t>Total</w:t>
            </w:r>
          </w:p>
        </w:tc>
      </w:tr>
      <w:tr w:rsidR="00046F46" w:rsidRPr="00EE4C2A" w14:paraId="78E53126" w14:textId="77777777" w:rsidTr="004C1F7B">
        <w:tc>
          <w:tcPr>
            <w:tcW w:w="2457" w:type="dxa"/>
            <w:tcBorders>
              <w:top w:val="single" w:sz="12" w:space="0" w:color="auto"/>
            </w:tcBorders>
            <w:shd w:val="clear" w:color="auto" w:fill="auto"/>
          </w:tcPr>
          <w:p w14:paraId="0A1467AC"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iCs/>
                <w:sz w:val="18"/>
                <w:szCs w:val="18"/>
                <w:lang w:val="fr-FR"/>
              </w:rPr>
            </w:pPr>
            <w:r w:rsidRPr="00EE4C2A">
              <w:rPr>
                <w:sz w:val="18"/>
                <w:szCs w:val="18"/>
                <w:lang w:val="fr-FR"/>
              </w:rPr>
              <w:t>28</w:t>
            </w:r>
          </w:p>
        </w:tc>
        <w:tc>
          <w:tcPr>
            <w:tcW w:w="2456" w:type="dxa"/>
            <w:tcBorders>
              <w:top w:val="single" w:sz="12" w:space="0" w:color="auto"/>
            </w:tcBorders>
            <w:shd w:val="clear" w:color="auto" w:fill="auto"/>
          </w:tcPr>
          <w:p w14:paraId="4BD9EF2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27</w:t>
            </w:r>
          </w:p>
        </w:tc>
        <w:tc>
          <w:tcPr>
            <w:tcW w:w="2457" w:type="dxa"/>
            <w:tcBorders>
              <w:top w:val="single" w:sz="12" w:space="0" w:color="auto"/>
            </w:tcBorders>
            <w:shd w:val="clear" w:color="auto" w:fill="auto"/>
          </w:tcPr>
          <w:p w14:paraId="02B87174"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iCs/>
                <w:sz w:val="18"/>
                <w:szCs w:val="18"/>
                <w:lang w:val="fr-FR"/>
              </w:rPr>
            </w:pPr>
            <w:r w:rsidRPr="00EE4C2A">
              <w:rPr>
                <w:sz w:val="18"/>
                <w:szCs w:val="18"/>
                <w:lang w:val="fr-FR"/>
              </w:rPr>
              <w:t>55</w:t>
            </w:r>
          </w:p>
        </w:tc>
      </w:tr>
    </w:tbl>
    <w:p w14:paraId="0B9B7FFD" w14:textId="77777777" w:rsidR="00046F46" w:rsidRPr="00EE4C2A" w:rsidRDefault="00046F46" w:rsidP="00046F46">
      <w:pPr>
        <w:pStyle w:val="H1G"/>
        <w:rPr>
          <w:lang w:val="fr-FR"/>
        </w:rPr>
      </w:pPr>
      <w:r w:rsidRPr="00EE4C2A">
        <w:rPr>
          <w:bCs/>
          <w:lang w:val="fr-FR"/>
        </w:rPr>
        <w:tab/>
        <w:t>G.</w:t>
      </w:r>
      <w:r w:rsidRPr="00EE4C2A">
        <w:rPr>
          <w:lang w:val="fr-FR"/>
        </w:rPr>
        <w:tab/>
      </w:r>
      <w:r w:rsidRPr="00EE4C2A">
        <w:rPr>
          <w:bCs/>
          <w:lang w:val="fr-FR"/>
        </w:rPr>
        <w:t>Enfants handicapés (art. 23)</w:t>
      </w:r>
    </w:p>
    <w:p w14:paraId="6789B6C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41 de la liste de points établie </w:t>
      </w:r>
      <w:r>
        <w:rPr>
          <w:bCs/>
          <w:lang w:val="fr-FR"/>
        </w:rPr>
        <w:t>avant la soumission du rapport</w:t>
      </w:r>
    </w:p>
    <w:p w14:paraId="29367831" w14:textId="1C47FAF3" w:rsidR="00046F46" w:rsidRPr="00EE4C2A" w:rsidRDefault="00046F46" w:rsidP="00046F46">
      <w:pPr>
        <w:pStyle w:val="SingleTxtG"/>
        <w:rPr>
          <w:iCs/>
          <w:lang w:val="fr-FR"/>
        </w:rPr>
      </w:pPr>
      <w:r w:rsidRPr="00EE4C2A">
        <w:rPr>
          <w:lang w:val="fr-FR"/>
        </w:rPr>
        <w:t>195.</w:t>
      </w:r>
      <w:r w:rsidRPr="00EE4C2A">
        <w:rPr>
          <w:lang w:val="fr-FR"/>
        </w:rPr>
        <w:tab/>
        <w:t>Entre 2018 et 2020, par l</w:t>
      </w:r>
      <w:r w:rsidR="008279BF">
        <w:rPr>
          <w:lang w:val="fr-FR"/>
        </w:rPr>
        <w:t>’</w:t>
      </w:r>
      <w:r w:rsidRPr="00EE4C2A">
        <w:rPr>
          <w:lang w:val="fr-FR"/>
        </w:rPr>
        <w:t>intermédiaire de l</w:t>
      </w:r>
      <w:r w:rsidR="008279BF">
        <w:rPr>
          <w:lang w:val="fr-FR"/>
        </w:rPr>
        <w:t>’</w:t>
      </w:r>
      <w:r w:rsidRPr="00EE4C2A">
        <w:rPr>
          <w:lang w:val="fr-FR"/>
        </w:rPr>
        <w:t>Agence zambienne pour les personnes handicapées, l</w:t>
      </w:r>
      <w:r w:rsidR="008279BF">
        <w:rPr>
          <w:lang w:val="fr-FR"/>
        </w:rPr>
        <w:t>’</w:t>
      </w:r>
      <w:r w:rsidRPr="00EE4C2A">
        <w:rPr>
          <w:lang w:val="fr-FR"/>
        </w:rPr>
        <w:t>État partie a apporté un soutien financier et matériel à 605 familles, et un soutien éducatif à 383 enfants, ce qui représente 988 enfants au total. Le tableau ci-après présente l</w:t>
      </w:r>
      <w:r w:rsidR="008279BF">
        <w:rPr>
          <w:lang w:val="fr-FR"/>
        </w:rPr>
        <w:t>’</w:t>
      </w:r>
      <w:r w:rsidRPr="00EE4C2A">
        <w:rPr>
          <w:lang w:val="fr-FR"/>
        </w:rPr>
        <w:t>aide à l</w:t>
      </w:r>
      <w:r w:rsidR="008279BF">
        <w:rPr>
          <w:lang w:val="fr-FR"/>
        </w:rPr>
        <w:t>’</w:t>
      </w:r>
      <w:r w:rsidRPr="00EE4C2A">
        <w:rPr>
          <w:lang w:val="fr-FR"/>
        </w:rPr>
        <w:t>éducation fournie entre 2011 et 2017.</w:t>
      </w:r>
    </w:p>
    <w:p w14:paraId="29ADBF9A" w14:textId="283304F2"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Nombre d</w:t>
      </w:r>
      <w:r w:rsidR="008279BF">
        <w:rPr>
          <w:bCs/>
          <w:lang w:val="fr-FR"/>
        </w:rPr>
        <w:t>’</w:t>
      </w:r>
      <w:r w:rsidRPr="00EE4C2A">
        <w:rPr>
          <w:bCs/>
          <w:lang w:val="fr-FR"/>
        </w:rPr>
        <w:t xml:space="preserve">élèves ayant des besoins particuliers dans toutes les écoles, par sexe </w:t>
      </w:r>
      <w:r w:rsidR="007757CF">
        <w:rPr>
          <w:bCs/>
          <w:lang w:val="fr-FR"/>
        </w:rPr>
        <w:br/>
      </w:r>
      <w:r w:rsidRPr="00EE4C2A">
        <w:rPr>
          <w:bCs/>
          <w:lang w:val="fr-FR"/>
        </w:rPr>
        <w:t>et par année entre 2011 et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0"/>
        <w:gridCol w:w="851"/>
        <w:gridCol w:w="850"/>
        <w:gridCol w:w="692"/>
        <w:gridCol w:w="903"/>
        <w:gridCol w:w="903"/>
        <w:gridCol w:w="903"/>
      </w:tblGrid>
      <w:tr w:rsidR="00046F46" w:rsidRPr="00EE4C2A" w14:paraId="43CA4B31" w14:textId="77777777" w:rsidTr="004C1F7B">
        <w:trPr>
          <w:tblHeader/>
        </w:trPr>
        <w:tc>
          <w:tcPr>
            <w:tcW w:w="1418" w:type="dxa"/>
            <w:tcBorders>
              <w:top w:val="single" w:sz="4" w:space="0" w:color="auto"/>
              <w:bottom w:val="single" w:sz="12" w:space="0" w:color="auto"/>
            </w:tcBorders>
            <w:shd w:val="clear" w:color="auto" w:fill="auto"/>
            <w:vAlign w:val="bottom"/>
          </w:tcPr>
          <w:p w14:paraId="099C3B95"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left"/>
              <w:rPr>
                <w:rFonts w:eastAsia="Calibri"/>
                <w:i/>
                <w:sz w:val="16"/>
                <w:szCs w:val="16"/>
                <w:lang w:val="fr-FR"/>
              </w:rPr>
            </w:pPr>
          </w:p>
        </w:tc>
        <w:tc>
          <w:tcPr>
            <w:tcW w:w="850" w:type="dxa"/>
            <w:tcBorders>
              <w:top w:val="single" w:sz="4" w:space="0" w:color="auto"/>
              <w:bottom w:val="single" w:sz="12" w:space="0" w:color="auto"/>
            </w:tcBorders>
            <w:shd w:val="clear" w:color="auto" w:fill="auto"/>
            <w:vAlign w:val="bottom"/>
          </w:tcPr>
          <w:p w14:paraId="49A6854A"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2011</w:t>
            </w:r>
          </w:p>
        </w:tc>
        <w:tc>
          <w:tcPr>
            <w:tcW w:w="851" w:type="dxa"/>
            <w:tcBorders>
              <w:top w:val="single" w:sz="4" w:space="0" w:color="auto"/>
              <w:bottom w:val="single" w:sz="12" w:space="0" w:color="auto"/>
            </w:tcBorders>
            <w:shd w:val="clear" w:color="auto" w:fill="auto"/>
            <w:vAlign w:val="bottom"/>
          </w:tcPr>
          <w:p w14:paraId="145450A3"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2012</w:t>
            </w:r>
          </w:p>
        </w:tc>
        <w:tc>
          <w:tcPr>
            <w:tcW w:w="850" w:type="dxa"/>
            <w:tcBorders>
              <w:top w:val="single" w:sz="4" w:space="0" w:color="auto"/>
              <w:bottom w:val="single" w:sz="12" w:space="0" w:color="auto"/>
            </w:tcBorders>
            <w:shd w:val="clear" w:color="auto" w:fill="auto"/>
            <w:vAlign w:val="bottom"/>
          </w:tcPr>
          <w:p w14:paraId="01A62E26"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2013</w:t>
            </w:r>
          </w:p>
        </w:tc>
        <w:tc>
          <w:tcPr>
            <w:tcW w:w="692" w:type="dxa"/>
            <w:tcBorders>
              <w:top w:val="single" w:sz="4" w:space="0" w:color="auto"/>
              <w:bottom w:val="single" w:sz="12" w:space="0" w:color="auto"/>
            </w:tcBorders>
            <w:shd w:val="clear" w:color="auto" w:fill="auto"/>
            <w:vAlign w:val="bottom"/>
          </w:tcPr>
          <w:p w14:paraId="5F450C5E"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2014</w:t>
            </w:r>
          </w:p>
        </w:tc>
        <w:tc>
          <w:tcPr>
            <w:tcW w:w="903" w:type="dxa"/>
            <w:tcBorders>
              <w:top w:val="single" w:sz="4" w:space="0" w:color="auto"/>
              <w:bottom w:val="single" w:sz="12" w:space="0" w:color="auto"/>
            </w:tcBorders>
            <w:shd w:val="clear" w:color="auto" w:fill="auto"/>
            <w:vAlign w:val="bottom"/>
          </w:tcPr>
          <w:p w14:paraId="76F86490"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2015</w:t>
            </w:r>
          </w:p>
        </w:tc>
        <w:tc>
          <w:tcPr>
            <w:tcW w:w="903" w:type="dxa"/>
            <w:tcBorders>
              <w:top w:val="single" w:sz="4" w:space="0" w:color="auto"/>
              <w:bottom w:val="single" w:sz="12" w:space="0" w:color="auto"/>
            </w:tcBorders>
            <w:shd w:val="clear" w:color="auto" w:fill="auto"/>
            <w:vAlign w:val="bottom"/>
          </w:tcPr>
          <w:p w14:paraId="3236DBA1"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2016</w:t>
            </w:r>
          </w:p>
        </w:tc>
        <w:tc>
          <w:tcPr>
            <w:tcW w:w="903" w:type="dxa"/>
            <w:tcBorders>
              <w:top w:val="single" w:sz="4" w:space="0" w:color="auto"/>
              <w:bottom w:val="single" w:sz="12" w:space="0" w:color="auto"/>
            </w:tcBorders>
            <w:shd w:val="clear" w:color="auto" w:fill="auto"/>
            <w:vAlign w:val="bottom"/>
          </w:tcPr>
          <w:p w14:paraId="7D9477F1" w14:textId="77777777" w:rsidR="00046F46" w:rsidRPr="00EE4C2A" w:rsidRDefault="00046F46" w:rsidP="007757CF">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2017</w:t>
            </w:r>
          </w:p>
        </w:tc>
      </w:tr>
      <w:tr w:rsidR="00046F46" w:rsidRPr="00EE4C2A" w14:paraId="78769AF0" w14:textId="77777777" w:rsidTr="004C1F7B">
        <w:tc>
          <w:tcPr>
            <w:tcW w:w="7370" w:type="dxa"/>
            <w:gridSpan w:val="8"/>
            <w:tcBorders>
              <w:top w:val="single" w:sz="12" w:space="0" w:color="auto"/>
            </w:tcBorders>
            <w:shd w:val="clear" w:color="auto" w:fill="auto"/>
          </w:tcPr>
          <w:p w14:paraId="42B36D58"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Écoles primaires</w:t>
            </w:r>
          </w:p>
        </w:tc>
      </w:tr>
      <w:tr w:rsidR="00046F46" w:rsidRPr="00EE4C2A" w14:paraId="0F68FEA4" w14:textId="77777777" w:rsidTr="004C1F7B">
        <w:tc>
          <w:tcPr>
            <w:tcW w:w="1418" w:type="dxa"/>
            <w:shd w:val="clear" w:color="auto" w:fill="auto"/>
          </w:tcPr>
          <w:p w14:paraId="7922DE72"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 xml:space="preserve">Garçons </w:t>
            </w:r>
          </w:p>
        </w:tc>
        <w:tc>
          <w:tcPr>
            <w:tcW w:w="850" w:type="dxa"/>
            <w:shd w:val="clear" w:color="auto" w:fill="auto"/>
            <w:vAlign w:val="bottom"/>
          </w:tcPr>
          <w:p w14:paraId="49BCC5F5"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90 494</w:t>
            </w:r>
          </w:p>
        </w:tc>
        <w:tc>
          <w:tcPr>
            <w:tcW w:w="851" w:type="dxa"/>
            <w:shd w:val="clear" w:color="auto" w:fill="auto"/>
            <w:vAlign w:val="bottom"/>
          </w:tcPr>
          <w:p w14:paraId="6A031C4C"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55 004</w:t>
            </w:r>
          </w:p>
        </w:tc>
        <w:tc>
          <w:tcPr>
            <w:tcW w:w="850" w:type="dxa"/>
            <w:shd w:val="clear" w:color="auto" w:fill="auto"/>
            <w:vAlign w:val="bottom"/>
          </w:tcPr>
          <w:p w14:paraId="146176B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55 528</w:t>
            </w:r>
          </w:p>
        </w:tc>
        <w:tc>
          <w:tcPr>
            <w:tcW w:w="692" w:type="dxa"/>
            <w:shd w:val="clear" w:color="auto" w:fill="auto"/>
            <w:vAlign w:val="bottom"/>
          </w:tcPr>
          <w:p w14:paraId="7A13FB8E"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46 322</w:t>
            </w:r>
          </w:p>
        </w:tc>
        <w:tc>
          <w:tcPr>
            <w:tcW w:w="903" w:type="dxa"/>
            <w:shd w:val="clear" w:color="auto" w:fill="auto"/>
            <w:vAlign w:val="bottom"/>
          </w:tcPr>
          <w:p w14:paraId="6BA675D0"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42 955</w:t>
            </w:r>
          </w:p>
        </w:tc>
        <w:tc>
          <w:tcPr>
            <w:tcW w:w="903" w:type="dxa"/>
            <w:shd w:val="clear" w:color="auto" w:fill="auto"/>
            <w:vAlign w:val="bottom"/>
          </w:tcPr>
          <w:p w14:paraId="6C0296E2"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53 035</w:t>
            </w:r>
          </w:p>
        </w:tc>
        <w:tc>
          <w:tcPr>
            <w:tcW w:w="903" w:type="dxa"/>
            <w:shd w:val="clear" w:color="auto" w:fill="auto"/>
            <w:vAlign w:val="bottom"/>
          </w:tcPr>
          <w:p w14:paraId="3A6352B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56 907</w:t>
            </w:r>
          </w:p>
        </w:tc>
      </w:tr>
      <w:tr w:rsidR="00046F46" w:rsidRPr="00EE4C2A" w14:paraId="1DAF27AC" w14:textId="77777777" w:rsidTr="007757CF">
        <w:tc>
          <w:tcPr>
            <w:tcW w:w="1418" w:type="dxa"/>
            <w:tcBorders>
              <w:bottom w:val="single" w:sz="4" w:space="0" w:color="auto"/>
            </w:tcBorders>
            <w:shd w:val="clear" w:color="auto" w:fill="auto"/>
          </w:tcPr>
          <w:p w14:paraId="49FD89FB"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Filles</w:t>
            </w:r>
          </w:p>
        </w:tc>
        <w:tc>
          <w:tcPr>
            <w:tcW w:w="850" w:type="dxa"/>
            <w:tcBorders>
              <w:bottom w:val="single" w:sz="4" w:space="0" w:color="auto"/>
            </w:tcBorders>
            <w:shd w:val="clear" w:color="auto" w:fill="auto"/>
            <w:vAlign w:val="bottom"/>
          </w:tcPr>
          <w:p w14:paraId="1EA34910"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84 867</w:t>
            </w:r>
          </w:p>
        </w:tc>
        <w:tc>
          <w:tcPr>
            <w:tcW w:w="851" w:type="dxa"/>
            <w:tcBorders>
              <w:bottom w:val="single" w:sz="4" w:space="0" w:color="auto"/>
            </w:tcBorders>
            <w:shd w:val="clear" w:color="auto" w:fill="auto"/>
            <w:vAlign w:val="bottom"/>
          </w:tcPr>
          <w:p w14:paraId="7936AD58"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51 855</w:t>
            </w:r>
          </w:p>
        </w:tc>
        <w:tc>
          <w:tcPr>
            <w:tcW w:w="850" w:type="dxa"/>
            <w:tcBorders>
              <w:bottom w:val="single" w:sz="4" w:space="0" w:color="auto"/>
            </w:tcBorders>
            <w:shd w:val="clear" w:color="auto" w:fill="auto"/>
            <w:vAlign w:val="bottom"/>
          </w:tcPr>
          <w:p w14:paraId="41A5148F"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51 743</w:t>
            </w:r>
          </w:p>
        </w:tc>
        <w:tc>
          <w:tcPr>
            <w:tcW w:w="692" w:type="dxa"/>
            <w:tcBorders>
              <w:bottom w:val="single" w:sz="4" w:space="0" w:color="auto"/>
            </w:tcBorders>
            <w:shd w:val="clear" w:color="auto" w:fill="auto"/>
            <w:vAlign w:val="bottom"/>
          </w:tcPr>
          <w:p w14:paraId="75129B12"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42 818</w:t>
            </w:r>
          </w:p>
        </w:tc>
        <w:tc>
          <w:tcPr>
            <w:tcW w:w="903" w:type="dxa"/>
            <w:tcBorders>
              <w:bottom w:val="single" w:sz="4" w:space="0" w:color="auto"/>
            </w:tcBorders>
            <w:shd w:val="clear" w:color="auto" w:fill="auto"/>
            <w:vAlign w:val="bottom"/>
          </w:tcPr>
          <w:p w14:paraId="65D3FBAC"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46 691</w:t>
            </w:r>
          </w:p>
        </w:tc>
        <w:tc>
          <w:tcPr>
            <w:tcW w:w="903" w:type="dxa"/>
            <w:tcBorders>
              <w:bottom w:val="single" w:sz="4" w:space="0" w:color="auto"/>
            </w:tcBorders>
            <w:shd w:val="clear" w:color="auto" w:fill="auto"/>
            <w:vAlign w:val="bottom"/>
          </w:tcPr>
          <w:p w14:paraId="106AD253"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50 183</w:t>
            </w:r>
          </w:p>
        </w:tc>
        <w:tc>
          <w:tcPr>
            <w:tcW w:w="903" w:type="dxa"/>
            <w:tcBorders>
              <w:bottom w:val="single" w:sz="4" w:space="0" w:color="auto"/>
            </w:tcBorders>
            <w:shd w:val="clear" w:color="auto" w:fill="auto"/>
            <w:vAlign w:val="bottom"/>
          </w:tcPr>
          <w:p w14:paraId="6D136FA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53 413</w:t>
            </w:r>
          </w:p>
        </w:tc>
      </w:tr>
      <w:tr w:rsidR="00046F46" w:rsidRPr="007757CF" w14:paraId="740A5DD5" w14:textId="77777777" w:rsidTr="007757CF">
        <w:tc>
          <w:tcPr>
            <w:tcW w:w="1418" w:type="dxa"/>
            <w:tcBorders>
              <w:top w:val="single" w:sz="4" w:space="0" w:color="auto"/>
              <w:bottom w:val="single" w:sz="12" w:space="0" w:color="auto"/>
            </w:tcBorders>
            <w:shd w:val="clear" w:color="auto" w:fill="auto"/>
          </w:tcPr>
          <w:p w14:paraId="6391A868" w14:textId="77777777" w:rsidR="00046F46" w:rsidRPr="007757CF" w:rsidRDefault="00046F46" w:rsidP="007757CF">
            <w:pPr>
              <w:pStyle w:val="SingleTxtG"/>
              <w:tabs>
                <w:tab w:val="clear" w:pos="1701"/>
                <w:tab w:val="clear" w:pos="2268"/>
              </w:tabs>
              <w:suppressAutoHyphens w:val="0"/>
              <w:spacing w:before="80" w:after="80" w:line="220" w:lineRule="exact"/>
              <w:ind w:left="283" w:right="0"/>
              <w:jc w:val="left"/>
              <w:rPr>
                <w:b/>
                <w:iCs/>
                <w:sz w:val="18"/>
                <w:szCs w:val="18"/>
                <w:lang w:val="fr-FR"/>
              </w:rPr>
            </w:pPr>
            <w:r w:rsidRPr="007757CF">
              <w:rPr>
                <w:b/>
                <w:sz w:val="18"/>
                <w:szCs w:val="18"/>
                <w:lang w:val="fr-FR"/>
              </w:rPr>
              <w:t>Total</w:t>
            </w:r>
          </w:p>
        </w:tc>
        <w:tc>
          <w:tcPr>
            <w:tcW w:w="850" w:type="dxa"/>
            <w:tcBorders>
              <w:top w:val="single" w:sz="4" w:space="0" w:color="auto"/>
              <w:bottom w:val="single" w:sz="12" w:space="0" w:color="auto"/>
            </w:tcBorders>
            <w:shd w:val="clear" w:color="auto" w:fill="auto"/>
            <w:vAlign w:val="bottom"/>
          </w:tcPr>
          <w:p w14:paraId="65F67D17"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175 361</w:t>
            </w:r>
          </w:p>
        </w:tc>
        <w:tc>
          <w:tcPr>
            <w:tcW w:w="851" w:type="dxa"/>
            <w:tcBorders>
              <w:top w:val="single" w:sz="4" w:space="0" w:color="auto"/>
              <w:bottom w:val="single" w:sz="12" w:space="0" w:color="auto"/>
            </w:tcBorders>
            <w:shd w:val="clear" w:color="auto" w:fill="auto"/>
            <w:vAlign w:val="bottom"/>
          </w:tcPr>
          <w:p w14:paraId="3C29B6FE"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106 859</w:t>
            </w:r>
          </w:p>
        </w:tc>
        <w:tc>
          <w:tcPr>
            <w:tcW w:w="850" w:type="dxa"/>
            <w:tcBorders>
              <w:top w:val="single" w:sz="4" w:space="0" w:color="auto"/>
              <w:bottom w:val="single" w:sz="12" w:space="0" w:color="auto"/>
            </w:tcBorders>
            <w:shd w:val="clear" w:color="auto" w:fill="auto"/>
            <w:vAlign w:val="bottom"/>
          </w:tcPr>
          <w:p w14:paraId="275E0DBC"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107 271</w:t>
            </w:r>
          </w:p>
        </w:tc>
        <w:tc>
          <w:tcPr>
            <w:tcW w:w="692" w:type="dxa"/>
            <w:tcBorders>
              <w:top w:val="single" w:sz="4" w:space="0" w:color="auto"/>
              <w:bottom w:val="single" w:sz="12" w:space="0" w:color="auto"/>
            </w:tcBorders>
            <w:shd w:val="clear" w:color="auto" w:fill="auto"/>
            <w:vAlign w:val="bottom"/>
          </w:tcPr>
          <w:p w14:paraId="5E41A882"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89 134</w:t>
            </w:r>
          </w:p>
        </w:tc>
        <w:tc>
          <w:tcPr>
            <w:tcW w:w="903" w:type="dxa"/>
            <w:tcBorders>
              <w:top w:val="single" w:sz="4" w:space="0" w:color="auto"/>
              <w:bottom w:val="single" w:sz="12" w:space="0" w:color="auto"/>
            </w:tcBorders>
            <w:shd w:val="clear" w:color="auto" w:fill="auto"/>
            <w:vAlign w:val="bottom"/>
          </w:tcPr>
          <w:p w14:paraId="17EA5A72"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89 646</w:t>
            </w:r>
          </w:p>
        </w:tc>
        <w:tc>
          <w:tcPr>
            <w:tcW w:w="903" w:type="dxa"/>
            <w:tcBorders>
              <w:top w:val="single" w:sz="4" w:space="0" w:color="auto"/>
              <w:bottom w:val="single" w:sz="12" w:space="0" w:color="auto"/>
            </w:tcBorders>
            <w:shd w:val="clear" w:color="auto" w:fill="auto"/>
            <w:vAlign w:val="bottom"/>
          </w:tcPr>
          <w:p w14:paraId="149C8B61"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103 218</w:t>
            </w:r>
          </w:p>
        </w:tc>
        <w:tc>
          <w:tcPr>
            <w:tcW w:w="903" w:type="dxa"/>
            <w:tcBorders>
              <w:top w:val="single" w:sz="4" w:space="0" w:color="auto"/>
              <w:bottom w:val="single" w:sz="12" w:space="0" w:color="auto"/>
            </w:tcBorders>
            <w:shd w:val="clear" w:color="auto" w:fill="auto"/>
            <w:vAlign w:val="bottom"/>
          </w:tcPr>
          <w:p w14:paraId="549BB20C"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110 320</w:t>
            </w:r>
          </w:p>
        </w:tc>
      </w:tr>
      <w:tr w:rsidR="00046F46" w:rsidRPr="00EE4C2A" w14:paraId="4A3F7404" w14:textId="77777777" w:rsidTr="007757CF">
        <w:tc>
          <w:tcPr>
            <w:tcW w:w="7370" w:type="dxa"/>
            <w:gridSpan w:val="8"/>
            <w:tcBorders>
              <w:top w:val="single" w:sz="12" w:space="0" w:color="auto"/>
            </w:tcBorders>
            <w:shd w:val="clear" w:color="auto" w:fill="auto"/>
          </w:tcPr>
          <w:p w14:paraId="4CBEAEA9"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Écoles secondaires</w:t>
            </w:r>
          </w:p>
        </w:tc>
      </w:tr>
      <w:tr w:rsidR="00046F46" w:rsidRPr="00EE4C2A" w14:paraId="79F92201" w14:textId="77777777" w:rsidTr="004C1F7B">
        <w:tc>
          <w:tcPr>
            <w:tcW w:w="1418" w:type="dxa"/>
            <w:shd w:val="clear" w:color="auto" w:fill="auto"/>
          </w:tcPr>
          <w:p w14:paraId="7F52A97F"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Garçons</w:t>
            </w:r>
          </w:p>
        </w:tc>
        <w:tc>
          <w:tcPr>
            <w:tcW w:w="850" w:type="dxa"/>
            <w:shd w:val="clear" w:color="auto" w:fill="auto"/>
            <w:vAlign w:val="bottom"/>
          </w:tcPr>
          <w:p w14:paraId="213D6A7E"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2 351</w:t>
            </w:r>
          </w:p>
        </w:tc>
        <w:tc>
          <w:tcPr>
            <w:tcW w:w="851" w:type="dxa"/>
            <w:shd w:val="clear" w:color="auto" w:fill="auto"/>
            <w:vAlign w:val="bottom"/>
          </w:tcPr>
          <w:p w14:paraId="4C2B3944"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146</w:t>
            </w:r>
          </w:p>
        </w:tc>
        <w:tc>
          <w:tcPr>
            <w:tcW w:w="850" w:type="dxa"/>
            <w:shd w:val="clear" w:color="auto" w:fill="auto"/>
            <w:vAlign w:val="bottom"/>
          </w:tcPr>
          <w:p w14:paraId="3140C93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396</w:t>
            </w:r>
          </w:p>
        </w:tc>
        <w:tc>
          <w:tcPr>
            <w:tcW w:w="692" w:type="dxa"/>
            <w:shd w:val="clear" w:color="auto" w:fill="auto"/>
            <w:vAlign w:val="bottom"/>
          </w:tcPr>
          <w:p w14:paraId="1D73D87D"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3 797</w:t>
            </w:r>
          </w:p>
        </w:tc>
        <w:tc>
          <w:tcPr>
            <w:tcW w:w="903" w:type="dxa"/>
            <w:shd w:val="clear" w:color="auto" w:fill="auto"/>
            <w:vAlign w:val="bottom"/>
          </w:tcPr>
          <w:p w14:paraId="0044EBE9"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9 090</w:t>
            </w:r>
          </w:p>
        </w:tc>
        <w:tc>
          <w:tcPr>
            <w:tcW w:w="903" w:type="dxa"/>
            <w:shd w:val="clear" w:color="auto" w:fill="auto"/>
            <w:vAlign w:val="bottom"/>
          </w:tcPr>
          <w:p w14:paraId="6F1AFB78"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10 609</w:t>
            </w:r>
          </w:p>
        </w:tc>
        <w:tc>
          <w:tcPr>
            <w:tcW w:w="903" w:type="dxa"/>
            <w:shd w:val="clear" w:color="auto" w:fill="auto"/>
            <w:vAlign w:val="bottom"/>
          </w:tcPr>
          <w:p w14:paraId="792E22C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10 330</w:t>
            </w:r>
          </w:p>
        </w:tc>
      </w:tr>
      <w:tr w:rsidR="00046F46" w:rsidRPr="00EE4C2A" w14:paraId="1D875D12" w14:textId="77777777" w:rsidTr="007757CF">
        <w:tc>
          <w:tcPr>
            <w:tcW w:w="1418" w:type="dxa"/>
            <w:tcBorders>
              <w:bottom w:val="single" w:sz="4" w:space="0" w:color="auto"/>
            </w:tcBorders>
            <w:shd w:val="clear" w:color="auto" w:fill="auto"/>
          </w:tcPr>
          <w:p w14:paraId="659A67FD"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Filles</w:t>
            </w:r>
          </w:p>
        </w:tc>
        <w:tc>
          <w:tcPr>
            <w:tcW w:w="850" w:type="dxa"/>
            <w:tcBorders>
              <w:bottom w:val="single" w:sz="4" w:space="0" w:color="auto"/>
            </w:tcBorders>
            <w:shd w:val="clear" w:color="auto" w:fill="auto"/>
            <w:vAlign w:val="bottom"/>
          </w:tcPr>
          <w:p w14:paraId="6F9436D7"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2 561</w:t>
            </w:r>
          </w:p>
        </w:tc>
        <w:tc>
          <w:tcPr>
            <w:tcW w:w="851" w:type="dxa"/>
            <w:tcBorders>
              <w:bottom w:val="single" w:sz="4" w:space="0" w:color="auto"/>
            </w:tcBorders>
            <w:shd w:val="clear" w:color="auto" w:fill="auto"/>
            <w:vAlign w:val="bottom"/>
          </w:tcPr>
          <w:p w14:paraId="2408BF75"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215</w:t>
            </w:r>
          </w:p>
        </w:tc>
        <w:tc>
          <w:tcPr>
            <w:tcW w:w="850" w:type="dxa"/>
            <w:tcBorders>
              <w:bottom w:val="single" w:sz="4" w:space="0" w:color="auto"/>
            </w:tcBorders>
            <w:shd w:val="clear" w:color="auto" w:fill="auto"/>
            <w:vAlign w:val="bottom"/>
          </w:tcPr>
          <w:p w14:paraId="7EA5ADF6"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482</w:t>
            </w:r>
          </w:p>
        </w:tc>
        <w:tc>
          <w:tcPr>
            <w:tcW w:w="692" w:type="dxa"/>
            <w:tcBorders>
              <w:bottom w:val="single" w:sz="4" w:space="0" w:color="auto"/>
            </w:tcBorders>
            <w:shd w:val="clear" w:color="auto" w:fill="auto"/>
            <w:vAlign w:val="bottom"/>
          </w:tcPr>
          <w:p w14:paraId="350FBAFE"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3 674</w:t>
            </w:r>
          </w:p>
        </w:tc>
        <w:tc>
          <w:tcPr>
            <w:tcW w:w="903" w:type="dxa"/>
            <w:tcBorders>
              <w:bottom w:val="single" w:sz="4" w:space="0" w:color="auto"/>
            </w:tcBorders>
            <w:shd w:val="clear" w:color="auto" w:fill="auto"/>
            <w:vAlign w:val="bottom"/>
          </w:tcPr>
          <w:p w14:paraId="3785693B"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8 278</w:t>
            </w:r>
          </w:p>
        </w:tc>
        <w:tc>
          <w:tcPr>
            <w:tcW w:w="903" w:type="dxa"/>
            <w:tcBorders>
              <w:bottom w:val="single" w:sz="4" w:space="0" w:color="auto"/>
            </w:tcBorders>
            <w:shd w:val="clear" w:color="auto" w:fill="auto"/>
            <w:vAlign w:val="bottom"/>
          </w:tcPr>
          <w:p w14:paraId="1422D6CD"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9 483</w:t>
            </w:r>
          </w:p>
        </w:tc>
        <w:tc>
          <w:tcPr>
            <w:tcW w:w="903" w:type="dxa"/>
            <w:tcBorders>
              <w:bottom w:val="single" w:sz="4" w:space="0" w:color="auto"/>
            </w:tcBorders>
            <w:shd w:val="clear" w:color="auto" w:fill="auto"/>
            <w:vAlign w:val="bottom"/>
          </w:tcPr>
          <w:p w14:paraId="17972C33" w14:textId="77777777" w:rsidR="00046F46" w:rsidRPr="00EE4C2A" w:rsidRDefault="00046F46" w:rsidP="007757CF">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9 742</w:t>
            </w:r>
          </w:p>
        </w:tc>
      </w:tr>
      <w:tr w:rsidR="00046F46" w:rsidRPr="007757CF" w14:paraId="3F2CC5BC" w14:textId="77777777" w:rsidTr="007757CF">
        <w:tc>
          <w:tcPr>
            <w:tcW w:w="1418" w:type="dxa"/>
            <w:tcBorders>
              <w:top w:val="single" w:sz="4" w:space="0" w:color="auto"/>
              <w:bottom w:val="single" w:sz="4" w:space="0" w:color="auto"/>
            </w:tcBorders>
            <w:shd w:val="clear" w:color="auto" w:fill="auto"/>
          </w:tcPr>
          <w:p w14:paraId="6D0A4C62" w14:textId="77777777" w:rsidR="00046F46" w:rsidRPr="007757CF" w:rsidRDefault="00046F46" w:rsidP="007757CF">
            <w:pPr>
              <w:pStyle w:val="SingleTxtG"/>
              <w:tabs>
                <w:tab w:val="clear" w:pos="1701"/>
                <w:tab w:val="clear" w:pos="2268"/>
              </w:tabs>
              <w:suppressAutoHyphens w:val="0"/>
              <w:spacing w:before="80" w:after="80" w:line="220" w:lineRule="exact"/>
              <w:ind w:left="283" w:right="0"/>
              <w:jc w:val="left"/>
              <w:rPr>
                <w:b/>
                <w:iCs/>
                <w:sz w:val="18"/>
                <w:szCs w:val="18"/>
                <w:lang w:val="fr-FR"/>
              </w:rPr>
            </w:pPr>
            <w:r w:rsidRPr="007757CF">
              <w:rPr>
                <w:b/>
                <w:sz w:val="18"/>
                <w:szCs w:val="18"/>
                <w:lang w:val="fr-FR"/>
              </w:rPr>
              <w:t>Total</w:t>
            </w:r>
          </w:p>
        </w:tc>
        <w:tc>
          <w:tcPr>
            <w:tcW w:w="850" w:type="dxa"/>
            <w:tcBorders>
              <w:top w:val="single" w:sz="4" w:space="0" w:color="auto"/>
              <w:bottom w:val="single" w:sz="4" w:space="0" w:color="auto"/>
            </w:tcBorders>
            <w:shd w:val="clear" w:color="auto" w:fill="auto"/>
            <w:vAlign w:val="bottom"/>
          </w:tcPr>
          <w:p w14:paraId="3F214B6E"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4 912</w:t>
            </w:r>
          </w:p>
        </w:tc>
        <w:tc>
          <w:tcPr>
            <w:tcW w:w="851" w:type="dxa"/>
            <w:tcBorders>
              <w:top w:val="single" w:sz="4" w:space="0" w:color="auto"/>
              <w:bottom w:val="single" w:sz="4" w:space="0" w:color="auto"/>
            </w:tcBorders>
            <w:shd w:val="clear" w:color="auto" w:fill="auto"/>
            <w:vAlign w:val="bottom"/>
          </w:tcPr>
          <w:p w14:paraId="7B57904D"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361</w:t>
            </w:r>
          </w:p>
        </w:tc>
        <w:tc>
          <w:tcPr>
            <w:tcW w:w="850" w:type="dxa"/>
            <w:tcBorders>
              <w:top w:val="single" w:sz="4" w:space="0" w:color="auto"/>
              <w:bottom w:val="single" w:sz="4" w:space="0" w:color="auto"/>
            </w:tcBorders>
            <w:shd w:val="clear" w:color="auto" w:fill="auto"/>
            <w:vAlign w:val="bottom"/>
          </w:tcPr>
          <w:p w14:paraId="6947D5E7"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878</w:t>
            </w:r>
          </w:p>
        </w:tc>
        <w:tc>
          <w:tcPr>
            <w:tcW w:w="692" w:type="dxa"/>
            <w:tcBorders>
              <w:top w:val="single" w:sz="4" w:space="0" w:color="auto"/>
              <w:bottom w:val="single" w:sz="4" w:space="0" w:color="auto"/>
            </w:tcBorders>
            <w:shd w:val="clear" w:color="auto" w:fill="auto"/>
            <w:vAlign w:val="bottom"/>
          </w:tcPr>
          <w:p w14:paraId="03E5E98B"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7 471</w:t>
            </w:r>
          </w:p>
        </w:tc>
        <w:tc>
          <w:tcPr>
            <w:tcW w:w="903" w:type="dxa"/>
            <w:tcBorders>
              <w:top w:val="single" w:sz="4" w:space="0" w:color="auto"/>
              <w:bottom w:val="single" w:sz="4" w:space="0" w:color="auto"/>
            </w:tcBorders>
            <w:shd w:val="clear" w:color="auto" w:fill="auto"/>
            <w:vAlign w:val="bottom"/>
          </w:tcPr>
          <w:p w14:paraId="263D3F2E"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17 368</w:t>
            </w:r>
          </w:p>
        </w:tc>
        <w:tc>
          <w:tcPr>
            <w:tcW w:w="903" w:type="dxa"/>
            <w:tcBorders>
              <w:top w:val="single" w:sz="4" w:space="0" w:color="auto"/>
              <w:bottom w:val="single" w:sz="4" w:space="0" w:color="auto"/>
            </w:tcBorders>
            <w:shd w:val="clear" w:color="auto" w:fill="auto"/>
            <w:vAlign w:val="bottom"/>
          </w:tcPr>
          <w:p w14:paraId="16AD9EB5"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20 092</w:t>
            </w:r>
          </w:p>
        </w:tc>
        <w:tc>
          <w:tcPr>
            <w:tcW w:w="903" w:type="dxa"/>
            <w:tcBorders>
              <w:top w:val="single" w:sz="4" w:space="0" w:color="auto"/>
              <w:bottom w:val="single" w:sz="4" w:space="0" w:color="auto"/>
            </w:tcBorders>
            <w:shd w:val="clear" w:color="auto" w:fill="auto"/>
            <w:vAlign w:val="bottom"/>
          </w:tcPr>
          <w:p w14:paraId="1DAE34D0"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20 072</w:t>
            </w:r>
          </w:p>
        </w:tc>
      </w:tr>
      <w:tr w:rsidR="00046F46" w:rsidRPr="007757CF" w14:paraId="12A95A61" w14:textId="77777777" w:rsidTr="007757CF">
        <w:tc>
          <w:tcPr>
            <w:tcW w:w="1418" w:type="dxa"/>
            <w:tcBorders>
              <w:top w:val="single" w:sz="4" w:space="0" w:color="auto"/>
              <w:bottom w:val="single" w:sz="12" w:space="0" w:color="auto"/>
            </w:tcBorders>
            <w:shd w:val="clear" w:color="auto" w:fill="auto"/>
          </w:tcPr>
          <w:p w14:paraId="33AAA3A6" w14:textId="77777777" w:rsidR="00046F46" w:rsidRPr="007757CF" w:rsidRDefault="00046F46" w:rsidP="007757CF">
            <w:pPr>
              <w:pStyle w:val="SingleTxtG"/>
              <w:tabs>
                <w:tab w:val="clear" w:pos="1701"/>
                <w:tab w:val="clear" w:pos="2268"/>
              </w:tabs>
              <w:suppressAutoHyphens w:val="0"/>
              <w:spacing w:before="80" w:after="80" w:line="220" w:lineRule="exact"/>
              <w:ind w:left="283" w:right="0"/>
              <w:jc w:val="left"/>
              <w:rPr>
                <w:rFonts w:eastAsia="Calibri"/>
                <w:b/>
                <w:sz w:val="18"/>
                <w:szCs w:val="18"/>
                <w:lang w:val="fr-FR"/>
              </w:rPr>
            </w:pPr>
            <w:r w:rsidRPr="007757CF">
              <w:rPr>
                <w:b/>
                <w:sz w:val="18"/>
                <w:szCs w:val="18"/>
                <w:lang w:val="fr-FR"/>
              </w:rPr>
              <w:t>Total national</w:t>
            </w:r>
          </w:p>
        </w:tc>
        <w:tc>
          <w:tcPr>
            <w:tcW w:w="850" w:type="dxa"/>
            <w:tcBorders>
              <w:top w:val="single" w:sz="4" w:space="0" w:color="auto"/>
              <w:bottom w:val="single" w:sz="12" w:space="0" w:color="auto"/>
            </w:tcBorders>
            <w:shd w:val="clear" w:color="auto" w:fill="auto"/>
            <w:vAlign w:val="bottom"/>
          </w:tcPr>
          <w:p w14:paraId="3454F5CA"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180 273</w:t>
            </w:r>
          </w:p>
        </w:tc>
        <w:tc>
          <w:tcPr>
            <w:tcW w:w="851" w:type="dxa"/>
            <w:tcBorders>
              <w:top w:val="single" w:sz="4" w:space="0" w:color="auto"/>
              <w:bottom w:val="single" w:sz="12" w:space="0" w:color="auto"/>
            </w:tcBorders>
            <w:shd w:val="clear" w:color="auto" w:fill="auto"/>
            <w:vAlign w:val="bottom"/>
          </w:tcPr>
          <w:p w14:paraId="3A662219"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107 220</w:t>
            </w:r>
          </w:p>
        </w:tc>
        <w:tc>
          <w:tcPr>
            <w:tcW w:w="850" w:type="dxa"/>
            <w:tcBorders>
              <w:top w:val="single" w:sz="4" w:space="0" w:color="auto"/>
              <w:bottom w:val="single" w:sz="12" w:space="0" w:color="auto"/>
            </w:tcBorders>
            <w:shd w:val="clear" w:color="auto" w:fill="auto"/>
            <w:vAlign w:val="bottom"/>
          </w:tcPr>
          <w:p w14:paraId="7B36D924"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108 149</w:t>
            </w:r>
          </w:p>
        </w:tc>
        <w:tc>
          <w:tcPr>
            <w:tcW w:w="692" w:type="dxa"/>
            <w:tcBorders>
              <w:top w:val="single" w:sz="4" w:space="0" w:color="auto"/>
              <w:bottom w:val="single" w:sz="12" w:space="0" w:color="auto"/>
            </w:tcBorders>
            <w:shd w:val="clear" w:color="auto" w:fill="auto"/>
            <w:vAlign w:val="bottom"/>
          </w:tcPr>
          <w:p w14:paraId="023545E6"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96 605</w:t>
            </w:r>
          </w:p>
        </w:tc>
        <w:tc>
          <w:tcPr>
            <w:tcW w:w="903" w:type="dxa"/>
            <w:tcBorders>
              <w:top w:val="single" w:sz="4" w:space="0" w:color="auto"/>
              <w:bottom w:val="single" w:sz="12" w:space="0" w:color="auto"/>
            </w:tcBorders>
            <w:shd w:val="clear" w:color="auto" w:fill="auto"/>
            <w:vAlign w:val="bottom"/>
          </w:tcPr>
          <w:p w14:paraId="50C739EF"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107 014</w:t>
            </w:r>
          </w:p>
        </w:tc>
        <w:tc>
          <w:tcPr>
            <w:tcW w:w="903" w:type="dxa"/>
            <w:tcBorders>
              <w:top w:val="single" w:sz="4" w:space="0" w:color="auto"/>
              <w:bottom w:val="single" w:sz="12" w:space="0" w:color="auto"/>
            </w:tcBorders>
            <w:shd w:val="clear" w:color="auto" w:fill="auto"/>
            <w:vAlign w:val="bottom"/>
          </w:tcPr>
          <w:p w14:paraId="06065435"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123 310</w:t>
            </w:r>
          </w:p>
        </w:tc>
        <w:tc>
          <w:tcPr>
            <w:tcW w:w="903" w:type="dxa"/>
            <w:tcBorders>
              <w:top w:val="single" w:sz="4" w:space="0" w:color="auto"/>
              <w:bottom w:val="single" w:sz="12" w:space="0" w:color="auto"/>
            </w:tcBorders>
            <w:shd w:val="clear" w:color="auto" w:fill="auto"/>
            <w:vAlign w:val="bottom"/>
          </w:tcPr>
          <w:p w14:paraId="3BD91938" w14:textId="77777777" w:rsidR="00046F46" w:rsidRPr="007757CF" w:rsidRDefault="00046F46" w:rsidP="007757CF">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7757CF">
              <w:rPr>
                <w:b/>
                <w:sz w:val="18"/>
                <w:szCs w:val="18"/>
                <w:lang w:val="fr-FR"/>
              </w:rPr>
              <w:t>130 392</w:t>
            </w:r>
          </w:p>
        </w:tc>
      </w:tr>
    </w:tbl>
    <w:p w14:paraId="05FCF756" w14:textId="79DBE71B" w:rsidR="00046F46" w:rsidRPr="00EE4C2A" w:rsidRDefault="00046F46" w:rsidP="00046F46">
      <w:pPr>
        <w:spacing w:before="120" w:after="240"/>
        <w:ind w:left="1134" w:right="1134" w:firstLine="170"/>
        <w:rPr>
          <w:sz w:val="18"/>
          <w:szCs w:val="18"/>
          <w:lang w:val="fr-FR"/>
        </w:rPr>
      </w:pPr>
      <w:r w:rsidRPr="00EE4C2A">
        <w:rPr>
          <w:i/>
          <w:iCs/>
          <w:sz w:val="18"/>
          <w:szCs w:val="18"/>
          <w:lang w:val="fr-FR"/>
        </w:rPr>
        <w:t>Source </w:t>
      </w:r>
      <w:r w:rsidRPr="00EE4C2A">
        <w:rPr>
          <w:iCs/>
          <w:sz w:val="18"/>
          <w:szCs w:val="18"/>
          <w:lang w:val="fr-FR"/>
        </w:rPr>
        <w:t>:</w:t>
      </w:r>
      <w:r w:rsidRPr="00EE4C2A">
        <w:rPr>
          <w:sz w:val="18"/>
          <w:szCs w:val="18"/>
          <w:lang w:val="fr-FR"/>
        </w:rPr>
        <w:t xml:space="preserve"> Bulletin du Ministère de l</w:t>
      </w:r>
      <w:r w:rsidR="008279BF">
        <w:rPr>
          <w:sz w:val="18"/>
          <w:szCs w:val="18"/>
          <w:lang w:val="fr-FR"/>
        </w:rPr>
        <w:t>’</w:t>
      </w:r>
      <w:r w:rsidRPr="00EE4C2A">
        <w:rPr>
          <w:sz w:val="18"/>
          <w:szCs w:val="18"/>
          <w:lang w:val="fr-FR"/>
        </w:rPr>
        <w:t>éducation générale 2017.</w:t>
      </w:r>
    </w:p>
    <w:p w14:paraId="54A94547"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42 a) de la liste de points établie </w:t>
      </w:r>
      <w:r>
        <w:rPr>
          <w:bCs/>
          <w:lang w:val="fr-FR"/>
        </w:rPr>
        <w:t>avant la soumission du rapport</w:t>
      </w:r>
    </w:p>
    <w:p w14:paraId="7CD3A6FB" w14:textId="556E401D" w:rsidR="00046F46" w:rsidRPr="00EE4C2A" w:rsidRDefault="00046F46" w:rsidP="00046F46">
      <w:pPr>
        <w:pStyle w:val="SingleTxtG"/>
        <w:rPr>
          <w:iCs/>
          <w:lang w:val="fr-FR"/>
        </w:rPr>
      </w:pPr>
      <w:r w:rsidRPr="00EE4C2A">
        <w:rPr>
          <w:lang w:val="fr-FR"/>
        </w:rPr>
        <w:t>196.</w:t>
      </w:r>
      <w:r w:rsidRPr="00EE4C2A">
        <w:rPr>
          <w:lang w:val="fr-FR"/>
        </w:rPr>
        <w:tab/>
        <w:t>Selon les estimations issues de l</w:t>
      </w:r>
      <w:r w:rsidR="008279BF">
        <w:rPr>
          <w:lang w:val="fr-FR"/>
        </w:rPr>
        <w:t>’</w:t>
      </w:r>
      <w:r w:rsidRPr="00EE4C2A">
        <w:rPr>
          <w:lang w:val="fr-FR"/>
        </w:rPr>
        <w:t>Enquête nationale sur le handicap réalisée en</w:t>
      </w:r>
      <w:r w:rsidR="00A76CF1">
        <w:rPr>
          <w:lang w:val="fr-FR"/>
        </w:rPr>
        <w:t xml:space="preserve"> </w:t>
      </w:r>
      <w:r w:rsidRPr="00EE4C2A">
        <w:rPr>
          <w:lang w:val="fr-FR"/>
        </w:rPr>
        <w:t>2015,</w:t>
      </w:r>
      <w:r w:rsidR="00A76CF1">
        <w:rPr>
          <w:lang w:val="fr-FR"/>
        </w:rPr>
        <w:t xml:space="preserve"> </w:t>
      </w:r>
      <w:r w:rsidRPr="00EE4C2A">
        <w:rPr>
          <w:lang w:val="fr-FR"/>
        </w:rPr>
        <w:t>4,4 % des enfants âgés de 2 à 17 ans présentaient un handicap, pour la plupart congénital/de naissance</w:t>
      </w:r>
      <w:r w:rsidR="00A76CF1">
        <w:rPr>
          <w:lang w:val="fr-FR"/>
        </w:rPr>
        <w:t xml:space="preserve"> </w:t>
      </w:r>
      <w:r w:rsidRPr="00EE4C2A">
        <w:rPr>
          <w:lang w:val="fr-FR"/>
        </w:rPr>
        <w:t>(40,4 %). En termes de sexe, la prévalence était légèrement plus élevée chez les garçons que chez les filles</w:t>
      </w:r>
      <w:r w:rsidR="00A76CF1">
        <w:rPr>
          <w:lang w:val="fr-FR"/>
        </w:rPr>
        <w:t xml:space="preserve"> </w:t>
      </w:r>
      <w:r w:rsidRPr="00EE4C2A">
        <w:rPr>
          <w:lang w:val="fr-FR"/>
        </w:rPr>
        <w:t>(4,5 % et 4,2 %, respectivement). Géographiquement, le pourcentage était plus élevé dans les zones urbaines que les zones rurales</w:t>
      </w:r>
      <w:r w:rsidR="00A76CF1">
        <w:rPr>
          <w:lang w:val="fr-FR"/>
        </w:rPr>
        <w:t xml:space="preserve"> </w:t>
      </w:r>
      <w:r w:rsidRPr="00EE4C2A">
        <w:rPr>
          <w:lang w:val="fr-FR"/>
        </w:rPr>
        <w:t>(4,6 % et 4,2 %, respectivement). En ce qui concerne la prévalence du handicap chez les enfants âgés de 2 à</w:t>
      </w:r>
      <w:r w:rsidR="00A76CF1">
        <w:rPr>
          <w:lang w:val="fr-FR"/>
        </w:rPr>
        <w:t xml:space="preserve"> </w:t>
      </w:r>
      <w:r w:rsidRPr="00EE4C2A">
        <w:rPr>
          <w:lang w:val="fr-FR"/>
        </w:rPr>
        <w:t>17 ans, par province : Luapula (7,3 %), Copperbelt (5,0 %), Lusaka (4,8 %) et la province nord</w:t>
      </w:r>
      <w:r w:rsidR="00A76CF1">
        <w:rPr>
          <w:lang w:val="fr-FR"/>
        </w:rPr>
        <w:t xml:space="preserve"> </w:t>
      </w:r>
      <w:r w:rsidRPr="00EE4C2A">
        <w:rPr>
          <w:lang w:val="fr-FR"/>
        </w:rPr>
        <w:t>(4,6 %) présentaient la prévalence la plus élevée, tandis que la province occidentale</w:t>
      </w:r>
      <w:r w:rsidR="00A76CF1">
        <w:rPr>
          <w:lang w:val="fr-FR"/>
        </w:rPr>
        <w:t xml:space="preserve"> </w:t>
      </w:r>
      <w:r w:rsidRPr="00EE4C2A">
        <w:rPr>
          <w:lang w:val="fr-FR"/>
        </w:rPr>
        <w:t>(2,7%), nord-occidentale</w:t>
      </w:r>
      <w:r w:rsidR="00A76CF1">
        <w:rPr>
          <w:lang w:val="fr-FR"/>
        </w:rPr>
        <w:t xml:space="preserve"> </w:t>
      </w:r>
      <w:r w:rsidRPr="00EE4C2A">
        <w:rPr>
          <w:lang w:val="fr-FR"/>
        </w:rPr>
        <w:t>(3,3 %) et orientale</w:t>
      </w:r>
      <w:r w:rsidR="00A76CF1">
        <w:rPr>
          <w:lang w:val="fr-FR"/>
        </w:rPr>
        <w:t xml:space="preserve"> </w:t>
      </w:r>
      <w:r w:rsidRPr="00EE4C2A">
        <w:rPr>
          <w:lang w:val="fr-FR"/>
        </w:rPr>
        <w:t>(3,4 %) présentaient la prévalence la plus faible.</w:t>
      </w:r>
    </w:p>
    <w:p w14:paraId="5EB9E47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42 b) de la liste de points établie </w:t>
      </w:r>
      <w:r>
        <w:rPr>
          <w:bCs/>
          <w:lang w:val="fr-FR"/>
        </w:rPr>
        <w:t>avant la soumission du rapport</w:t>
      </w:r>
    </w:p>
    <w:p w14:paraId="1C7F929D" w14:textId="372937F4" w:rsidR="00046F46" w:rsidRPr="00A76CF1" w:rsidRDefault="00046F46" w:rsidP="00046F46">
      <w:pPr>
        <w:pStyle w:val="SingleTxtG"/>
        <w:spacing w:after="240"/>
        <w:rPr>
          <w:iCs/>
          <w:spacing w:val="-2"/>
          <w:lang w:val="fr-FR"/>
        </w:rPr>
      </w:pPr>
      <w:r w:rsidRPr="00A76CF1">
        <w:rPr>
          <w:spacing w:val="-2"/>
          <w:lang w:val="fr-FR"/>
        </w:rPr>
        <w:t>197.</w:t>
      </w:r>
      <w:r w:rsidRPr="00A76CF1">
        <w:rPr>
          <w:spacing w:val="-2"/>
          <w:lang w:val="fr-FR"/>
        </w:rPr>
        <w:tab/>
        <w:t>Les tableaux ci-après indiquent le nombre d</w:t>
      </w:r>
      <w:r w:rsidR="008279BF">
        <w:rPr>
          <w:spacing w:val="-2"/>
          <w:lang w:val="fr-FR"/>
        </w:rPr>
        <w:t>’</w:t>
      </w:r>
      <w:r w:rsidRPr="00A76CF1">
        <w:rPr>
          <w:spacing w:val="-2"/>
          <w:lang w:val="fr-FR"/>
        </w:rPr>
        <w:t>enfants handicapés vivant avec leur famille.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046F46" w:rsidRPr="00EE4C2A" w14:paraId="5526C3C5" w14:textId="77777777" w:rsidTr="004C1F7B">
        <w:trPr>
          <w:tblHeader/>
        </w:trPr>
        <w:tc>
          <w:tcPr>
            <w:tcW w:w="7370" w:type="dxa"/>
            <w:gridSpan w:val="3"/>
            <w:tcBorders>
              <w:top w:val="single" w:sz="4" w:space="0" w:color="auto"/>
              <w:bottom w:val="single" w:sz="4" w:space="0" w:color="auto"/>
            </w:tcBorders>
            <w:shd w:val="clear" w:color="auto" w:fill="auto"/>
            <w:vAlign w:val="bottom"/>
          </w:tcPr>
          <w:p w14:paraId="65284688" w14:textId="77777777" w:rsidR="00046F46" w:rsidRPr="00EE4C2A" w:rsidRDefault="00046F46" w:rsidP="00A76CF1">
            <w:pPr>
              <w:pStyle w:val="SingleTxtG"/>
              <w:tabs>
                <w:tab w:val="clear" w:pos="1701"/>
                <w:tab w:val="clear" w:pos="2268"/>
              </w:tabs>
              <w:suppressAutoHyphens w:val="0"/>
              <w:spacing w:before="80" w:after="80" w:line="200" w:lineRule="exact"/>
              <w:ind w:left="0" w:right="0"/>
              <w:jc w:val="left"/>
              <w:rPr>
                <w:i/>
                <w:sz w:val="16"/>
                <w:szCs w:val="16"/>
                <w:lang w:val="fr-FR"/>
              </w:rPr>
            </w:pPr>
            <w:r w:rsidRPr="00EE4C2A">
              <w:rPr>
                <w:i/>
                <w:iCs/>
                <w:sz w:val="16"/>
                <w:szCs w:val="16"/>
                <w:lang w:val="fr-FR"/>
              </w:rPr>
              <w:t>Enfants handicapés</w:t>
            </w:r>
          </w:p>
        </w:tc>
      </w:tr>
      <w:tr w:rsidR="00046F46" w:rsidRPr="00EE4C2A" w14:paraId="0CC6A4C2" w14:textId="77777777" w:rsidTr="004C1F7B">
        <w:tc>
          <w:tcPr>
            <w:tcW w:w="2457" w:type="dxa"/>
            <w:tcBorders>
              <w:top w:val="single" w:sz="4" w:space="0" w:color="auto"/>
              <w:bottom w:val="single" w:sz="12" w:space="0" w:color="auto"/>
            </w:tcBorders>
            <w:shd w:val="clear" w:color="auto" w:fill="auto"/>
          </w:tcPr>
          <w:p w14:paraId="4B3139C7"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left"/>
              <w:rPr>
                <w:sz w:val="18"/>
                <w:lang w:val="fr-FR"/>
              </w:rPr>
            </w:pPr>
          </w:p>
        </w:tc>
        <w:tc>
          <w:tcPr>
            <w:tcW w:w="2456" w:type="dxa"/>
            <w:tcBorders>
              <w:top w:val="single" w:sz="4" w:space="0" w:color="auto"/>
              <w:bottom w:val="single" w:sz="12" w:space="0" w:color="auto"/>
            </w:tcBorders>
            <w:shd w:val="clear" w:color="auto" w:fill="auto"/>
          </w:tcPr>
          <w:p w14:paraId="3A825FA2" w14:textId="77777777" w:rsidR="00046F46" w:rsidRPr="00EE4C2A" w:rsidRDefault="00046F46" w:rsidP="00A76CF1">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Nombre</w:t>
            </w:r>
          </w:p>
        </w:tc>
        <w:tc>
          <w:tcPr>
            <w:tcW w:w="2457" w:type="dxa"/>
            <w:tcBorders>
              <w:top w:val="single" w:sz="4" w:space="0" w:color="auto"/>
              <w:bottom w:val="single" w:sz="12" w:space="0" w:color="auto"/>
            </w:tcBorders>
            <w:shd w:val="clear" w:color="auto" w:fill="auto"/>
          </w:tcPr>
          <w:p w14:paraId="369BA99C" w14:textId="77777777" w:rsidR="00046F46" w:rsidRPr="00EE4C2A" w:rsidRDefault="00046F46" w:rsidP="00A76CF1">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w:t>
            </w:r>
          </w:p>
        </w:tc>
      </w:tr>
      <w:tr w:rsidR="00046F46" w:rsidRPr="00EE4C2A" w14:paraId="4285217A" w14:textId="77777777" w:rsidTr="004C1F7B">
        <w:tc>
          <w:tcPr>
            <w:tcW w:w="2457" w:type="dxa"/>
            <w:tcBorders>
              <w:top w:val="single" w:sz="12" w:space="0" w:color="auto"/>
            </w:tcBorders>
            <w:shd w:val="clear" w:color="auto" w:fill="auto"/>
          </w:tcPr>
          <w:p w14:paraId="3BAB6D36"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Garçons</w:t>
            </w:r>
          </w:p>
        </w:tc>
        <w:tc>
          <w:tcPr>
            <w:tcW w:w="2456" w:type="dxa"/>
            <w:tcBorders>
              <w:top w:val="single" w:sz="12" w:space="0" w:color="auto"/>
            </w:tcBorders>
            <w:shd w:val="clear" w:color="auto" w:fill="auto"/>
          </w:tcPr>
          <w:p w14:paraId="3A897614"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505</w:t>
            </w:r>
          </w:p>
        </w:tc>
        <w:tc>
          <w:tcPr>
            <w:tcW w:w="2457" w:type="dxa"/>
            <w:tcBorders>
              <w:top w:val="single" w:sz="12" w:space="0" w:color="auto"/>
            </w:tcBorders>
            <w:shd w:val="clear" w:color="auto" w:fill="auto"/>
          </w:tcPr>
          <w:p w14:paraId="46839F5A"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52,9</w:t>
            </w:r>
          </w:p>
        </w:tc>
      </w:tr>
      <w:tr w:rsidR="00046F46" w:rsidRPr="00EE4C2A" w14:paraId="087D73AA" w14:textId="77777777" w:rsidTr="00A76CF1">
        <w:tc>
          <w:tcPr>
            <w:tcW w:w="2457" w:type="dxa"/>
            <w:tcBorders>
              <w:bottom w:val="single" w:sz="4" w:space="0" w:color="auto"/>
            </w:tcBorders>
            <w:shd w:val="clear" w:color="auto" w:fill="auto"/>
          </w:tcPr>
          <w:p w14:paraId="086220BD"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Filles</w:t>
            </w:r>
          </w:p>
        </w:tc>
        <w:tc>
          <w:tcPr>
            <w:tcW w:w="2456" w:type="dxa"/>
            <w:tcBorders>
              <w:bottom w:val="single" w:sz="4" w:space="0" w:color="auto"/>
            </w:tcBorders>
            <w:shd w:val="clear" w:color="auto" w:fill="auto"/>
          </w:tcPr>
          <w:p w14:paraId="378E96DA"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449</w:t>
            </w:r>
          </w:p>
        </w:tc>
        <w:tc>
          <w:tcPr>
            <w:tcW w:w="2457" w:type="dxa"/>
            <w:tcBorders>
              <w:bottom w:val="single" w:sz="4" w:space="0" w:color="auto"/>
            </w:tcBorders>
            <w:shd w:val="clear" w:color="auto" w:fill="auto"/>
          </w:tcPr>
          <w:p w14:paraId="743DF8C4"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47,1</w:t>
            </w:r>
          </w:p>
        </w:tc>
      </w:tr>
      <w:tr w:rsidR="00046F46" w:rsidRPr="00A76CF1" w14:paraId="22AFE25C" w14:textId="77777777" w:rsidTr="00A76CF1">
        <w:tc>
          <w:tcPr>
            <w:tcW w:w="2457" w:type="dxa"/>
            <w:tcBorders>
              <w:top w:val="single" w:sz="4" w:space="0" w:color="auto"/>
              <w:bottom w:val="single" w:sz="12" w:space="0" w:color="auto"/>
            </w:tcBorders>
            <w:shd w:val="clear" w:color="auto" w:fill="auto"/>
          </w:tcPr>
          <w:p w14:paraId="4FCAE8FE" w14:textId="77777777" w:rsidR="00046F46" w:rsidRPr="00A76CF1" w:rsidRDefault="00046F46" w:rsidP="00A76CF1">
            <w:pPr>
              <w:pStyle w:val="SingleTxtG"/>
              <w:tabs>
                <w:tab w:val="clear" w:pos="1701"/>
                <w:tab w:val="clear" w:pos="2268"/>
              </w:tabs>
              <w:suppressAutoHyphens w:val="0"/>
              <w:spacing w:before="80" w:after="80" w:line="220" w:lineRule="exact"/>
              <w:ind w:left="283" w:right="0"/>
              <w:jc w:val="left"/>
              <w:rPr>
                <w:b/>
                <w:iCs/>
                <w:sz w:val="18"/>
                <w:szCs w:val="18"/>
                <w:lang w:val="fr-FR"/>
              </w:rPr>
            </w:pPr>
            <w:r w:rsidRPr="00A76CF1">
              <w:rPr>
                <w:b/>
                <w:sz w:val="18"/>
                <w:szCs w:val="18"/>
                <w:lang w:val="fr-FR"/>
              </w:rPr>
              <w:t>Total</w:t>
            </w:r>
          </w:p>
        </w:tc>
        <w:tc>
          <w:tcPr>
            <w:tcW w:w="2456" w:type="dxa"/>
            <w:tcBorders>
              <w:top w:val="single" w:sz="4" w:space="0" w:color="auto"/>
              <w:bottom w:val="single" w:sz="12" w:space="0" w:color="auto"/>
            </w:tcBorders>
            <w:shd w:val="clear" w:color="auto" w:fill="auto"/>
          </w:tcPr>
          <w:p w14:paraId="365946DE" w14:textId="77777777" w:rsidR="00046F46" w:rsidRPr="00A76CF1" w:rsidRDefault="00046F46" w:rsidP="00A76CF1">
            <w:pPr>
              <w:pStyle w:val="SingleTxtG"/>
              <w:tabs>
                <w:tab w:val="clear" w:pos="1701"/>
                <w:tab w:val="clear" w:pos="2268"/>
              </w:tabs>
              <w:suppressAutoHyphens w:val="0"/>
              <w:spacing w:before="80" w:after="80" w:line="220" w:lineRule="exact"/>
              <w:ind w:left="0" w:right="0"/>
              <w:jc w:val="right"/>
              <w:rPr>
                <w:b/>
                <w:sz w:val="18"/>
                <w:szCs w:val="18"/>
                <w:lang w:val="fr-FR"/>
              </w:rPr>
            </w:pPr>
            <w:r w:rsidRPr="00A76CF1">
              <w:rPr>
                <w:b/>
                <w:sz w:val="18"/>
                <w:szCs w:val="18"/>
                <w:lang w:val="fr-FR"/>
              </w:rPr>
              <w:t>954</w:t>
            </w:r>
          </w:p>
        </w:tc>
        <w:tc>
          <w:tcPr>
            <w:tcW w:w="2457" w:type="dxa"/>
            <w:tcBorders>
              <w:top w:val="single" w:sz="4" w:space="0" w:color="auto"/>
              <w:bottom w:val="single" w:sz="12" w:space="0" w:color="auto"/>
            </w:tcBorders>
            <w:shd w:val="clear" w:color="auto" w:fill="auto"/>
          </w:tcPr>
          <w:p w14:paraId="1A009063" w14:textId="77777777" w:rsidR="00046F46" w:rsidRPr="00A76CF1" w:rsidRDefault="00046F46" w:rsidP="00A76CF1">
            <w:pPr>
              <w:pStyle w:val="SingleTxtG"/>
              <w:tabs>
                <w:tab w:val="clear" w:pos="1701"/>
                <w:tab w:val="clear" w:pos="2268"/>
              </w:tabs>
              <w:suppressAutoHyphens w:val="0"/>
              <w:spacing w:before="80" w:after="80" w:line="220" w:lineRule="exact"/>
              <w:ind w:left="0" w:right="0"/>
              <w:jc w:val="right"/>
              <w:rPr>
                <w:b/>
                <w:sz w:val="18"/>
                <w:szCs w:val="18"/>
                <w:lang w:val="fr-FR"/>
              </w:rPr>
            </w:pPr>
            <w:r w:rsidRPr="00A76CF1">
              <w:rPr>
                <w:b/>
                <w:sz w:val="18"/>
                <w:szCs w:val="18"/>
                <w:lang w:val="fr-FR"/>
              </w:rPr>
              <w:t>100</w:t>
            </w:r>
          </w:p>
        </w:tc>
      </w:tr>
      <w:tr w:rsidR="00046F46" w:rsidRPr="00EE4C2A" w14:paraId="45C567DD" w14:textId="77777777" w:rsidTr="00A76CF1">
        <w:tc>
          <w:tcPr>
            <w:tcW w:w="2457" w:type="dxa"/>
            <w:tcBorders>
              <w:top w:val="single" w:sz="12" w:space="0" w:color="auto"/>
            </w:tcBorders>
            <w:shd w:val="clear" w:color="auto" w:fill="auto"/>
          </w:tcPr>
          <w:p w14:paraId="508BA655"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Zones urbaines</w:t>
            </w:r>
          </w:p>
        </w:tc>
        <w:tc>
          <w:tcPr>
            <w:tcW w:w="2456" w:type="dxa"/>
            <w:tcBorders>
              <w:top w:val="single" w:sz="12" w:space="0" w:color="auto"/>
            </w:tcBorders>
            <w:shd w:val="clear" w:color="auto" w:fill="auto"/>
          </w:tcPr>
          <w:p w14:paraId="1878EC97"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303</w:t>
            </w:r>
          </w:p>
        </w:tc>
        <w:tc>
          <w:tcPr>
            <w:tcW w:w="2457" w:type="dxa"/>
            <w:tcBorders>
              <w:top w:val="single" w:sz="12" w:space="0" w:color="auto"/>
            </w:tcBorders>
            <w:shd w:val="clear" w:color="auto" w:fill="auto"/>
          </w:tcPr>
          <w:p w14:paraId="72190AEF"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68,2</w:t>
            </w:r>
          </w:p>
        </w:tc>
      </w:tr>
      <w:tr w:rsidR="00046F46" w:rsidRPr="00EE4C2A" w14:paraId="3F2A4ED7" w14:textId="77777777" w:rsidTr="00A76CF1">
        <w:tc>
          <w:tcPr>
            <w:tcW w:w="2457" w:type="dxa"/>
            <w:tcBorders>
              <w:bottom w:val="single" w:sz="4" w:space="0" w:color="auto"/>
            </w:tcBorders>
            <w:shd w:val="clear" w:color="auto" w:fill="auto"/>
          </w:tcPr>
          <w:p w14:paraId="412E58A2"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Zones rurales</w:t>
            </w:r>
          </w:p>
        </w:tc>
        <w:tc>
          <w:tcPr>
            <w:tcW w:w="2456" w:type="dxa"/>
            <w:tcBorders>
              <w:bottom w:val="single" w:sz="4" w:space="0" w:color="auto"/>
            </w:tcBorders>
            <w:shd w:val="clear" w:color="auto" w:fill="auto"/>
          </w:tcPr>
          <w:p w14:paraId="2A0B2667"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651</w:t>
            </w:r>
          </w:p>
        </w:tc>
        <w:tc>
          <w:tcPr>
            <w:tcW w:w="2457" w:type="dxa"/>
            <w:tcBorders>
              <w:bottom w:val="single" w:sz="4" w:space="0" w:color="auto"/>
            </w:tcBorders>
            <w:shd w:val="clear" w:color="auto" w:fill="auto"/>
          </w:tcPr>
          <w:p w14:paraId="08CD184F"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31,8</w:t>
            </w:r>
          </w:p>
        </w:tc>
      </w:tr>
      <w:tr w:rsidR="00046F46" w:rsidRPr="00A76CF1" w14:paraId="26C29DCC" w14:textId="77777777" w:rsidTr="004C1F7B">
        <w:tc>
          <w:tcPr>
            <w:tcW w:w="2457" w:type="dxa"/>
            <w:tcBorders>
              <w:top w:val="single" w:sz="4" w:space="0" w:color="auto"/>
              <w:bottom w:val="single" w:sz="12" w:space="0" w:color="auto"/>
            </w:tcBorders>
            <w:shd w:val="clear" w:color="auto" w:fill="auto"/>
          </w:tcPr>
          <w:p w14:paraId="551F542A" w14:textId="77777777" w:rsidR="00046F46" w:rsidRPr="00A76CF1" w:rsidRDefault="00046F46" w:rsidP="00A76CF1">
            <w:pPr>
              <w:pStyle w:val="SingleTxtG"/>
              <w:tabs>
                <w:tab w:val="clear" w:pos="1701"/>
                <w:tab w:val="clear" w:pos="2268"/>
              </w:tabs>
              <w:suppressAutoHyphens w:val="0"/>
              <w:spacing w:before="80" w:after="80" w:line="220" w:lineRule="exact"/>
              <w:ind w:left="283" w:right="0"/>
              <w:jc w:val="left"/>
              <w:rPr>
                <w:b/>
                <w:sz w:val="18"/>
                <w:szCs w:val="18"/>
                <w:lang w:val="fr-FR"/>
              </w:rPr>
            </w:pPr>
            <w:r w:rsidRPr="00A76CF1">
              <w:rPr>
                <w:b/>
                <w:sz w:val="18"/>
                <w:szCs w:val="18"/>
                <w:lang w:val="fr-FR"/>
              </w:rPr>
              <w:t>Total</w:t>
            </w:r>
          </w:p>
        </w:tc>
        <w:tc>
          <w:tcPr>
            <w:tcW w:w="2456" w:type="dxa"/>
            <w:tcBorders>
              <w:top w:val="single" w:sz="4" w:space="0" w:color="auto"/>
              <w:bottom w:val="single" w:sz="12" w:space="0" w:color="auto"/>
            </w:tcBorders>
            <w:shd w:val="clear" w:color="auto" w:fill="auto"/>
          </w:tcPr>
          <w:p w14:paraId="2DECA2BB" w14:textId="77777777" w:rsidR="00046F46" w:rsidRPr="00A76CF1" w:rsidRDefault="00046F46" w:rsidP="00A76CF1">
            <w:pPr>
              <w:pStyle w:val="SingleTxtG"/>
              <w:tabs>
                <w:tab w:val="clear" w:pos="1701"/>
                <w:tab w:val="clear" w:pos="2268"/>
              </w:tabs>
              <w:suppressAutoHyphens w:val="0"/>
              <w:spacing w:before="80" w:after="80" w:line="220" w:lineRule="exact"/>
              <w:ind w:left="0" w:right="0"/>
              <w:jc w:val="right"/>
              <w:rPr>
                <w:b/>
                <w:sz w:val="18"/>
                <w:szCs w:val="18"/>
                <w:lang w:val="fr-FR"/>
              </w:rPr>
            </w:pPr>
            <w:r w:rsidRPr="00A76CF1">
              <w:rPr>
                <w:b/>
                <w:sz w:val="18"/>
                <w:szCs w:val="18"/>
                <w:lang w:val="fr-FR"/>
              </w:rPr>
              <w:t>954</w:t>
            </w:r>
          </w:p>
        </w:tc>
        <w:tc>
          <w:tcPr>
            <w:tcW w:w="2457" w:type="dxa"/>
            <w:tcBorders>
              <w:top w:val="single" w:sz="4" w:space="0" w:color="auto"/>
              <w:bottom w:val="single" w:sz="12" w:space="0" w:color="auto"/>
            </w:tcBorders>
            <w:shd w:val="clear" w:color="auto" w:fill="auto"/>
          </w:tcPr>
          <w:p w14:paraId="6A2BA0BF" w14:textId="77777777" w:rsidR="00046F46" w:rsidRPr="00A76CF1" w:rsidRDefault="00046F46" w:rsidP="00A76CF1">
            <w:pPr>
              <w:pStyle w:val="SingleTxtG"/>
              <w:tabs>
                <w:tab w:val="clear" w:pos="1701"/>
                <w:tab w:val="clear" w:pos="2268"/>
              </w:tabs>
              <w:suppressAutoHyphens w:val="0"/>
              <w:spacing w:before="80" w:after="80" w:line="220" w:lineRule="exact"/>
              <w:ind w:left="0" w:right="0"/>
              <w:jc w:val="right"/>
              <w:rPr>
                <w:b/>
                <w:sz w:val="18"/>
                <w:szCs w:val="18"/>
                <w:lang w:val="fr-FR"/>
              </w:rPr>
            </w:pPr>
            <w:r w:rsidRPr="00A76CF1">
              <w:rPr>
                <w:b/>
                <w:sz w:val="18"/>
                <w:szCs w:val="18"/>
                <w:lang w:val="fr-FR"/>
              </w:rPr>
              <w:t>100</w:t>
            </w:r>
          </w:p>
        </w:tc>
      </w:tr>
    </w:tbl>
    <w:p w14:paraId="132C6FDB" w14:textId="77777777" w:rsidR="00046F46" w:rsidRPr="00EE4C2A" w:rsidRDefault="00046F46" w:rsidP="00046F46">
      <w:pPr>
        <w:pStyle w:val="SingleTxtG"/>
        <w:rPr>
          <w:i/>
          <w:iCs/>
          <w:lang w:val="fr-FR"/>
        </w:rPr>
      </w:pPr>
    </w:p>
    <w:tbl>
      <w:tblPr>
        <w:tblW w:w="7370"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046F46" w:rsidRPr="0019096A" w14:paraId="6BACA619" w14:textId="77777777" w:rsidTr="004C1F7B">
        <w:trPr>
          <w:tblHeader/>
        </w:trPr>
        <w:tc>
          <w:tcPr>
            <w:tcW w:w="8494" w:type="dxa"/>
            <w:gridSpan w:val="3"/>
            <w:tcBorders>
              <w:top w:val="single" w:sz="4" w:space="0" w:color="auto"/>
              <w:bottom w:val="single" w:sz="4" w:space="0" w:color="auto"/>
            </w:tcBorders>
            <w:shd w:val="clear" w:color="auto" w:fill="auto"/>
            <w:vAlign w:val="bottom"/>
          </w:tcPr>
          <w:p w14:paraId="2ACBE8BF" w14:textId="77777777" w:rsidR="00046F46" w:rsidRPr="00EE4C2A" w:rsidRDefault="00046F46" w:rsidP="00A76CF1">
            <w:pPr>
              <w:pStyle w:val="SingleTxtG"/>
              <w:tabs>
                <w:tab w:val="clear" w:pos="1701"/>
                <w:tab w:val="clear" w:pos="2268"/>
              </w:tabs>
              <w:suppressAutoHyphens w:val="0"/>
              <w:spacing w:before="80" w:after="80" w:line="200" w:lineRule="exact"/>
              <w:ind w:left="0" w:right="0"/>
              <w:jc w:val="left"/>
              <w:rPr>
                <w:i/>
                <w:sz w:val="16"/>
                <w:szCs w:val="16"/>
                <w:lang w:val="fr-FR"/>
              </w:rPr>
            </w:pPr>
            <w:r w:rsidRPr="00EE4C2A">
              <w:rPr>
                <w:i/>
                <w:iCs/>
                <w:sz w:val="16"/>
                <w:szCs w:val="16"/>
                <w:lang w:val="fr-FR"/>
              </w:rPr>
              <w:t>Ménages comptant des enfants handicapés</w:t>
            </w:r>
          </w:p>
        </w:tc>
      </w:tr>
      <w:tr w:rsidR="00046F46" w:rsidRPr="00EE4C2A" w14:paraId="5EEBD979" w14:textId="77777777" w:rsidTr="004C1F7B">
        <w:tc>
          <w:tcPr>
            <w:tcW w:w="2831" w:type="dxa"/>
            <w:tcBorders>
              <w:top w:val="single" w:sz="4" w:space="0" w:color="auto"/>
              <w:bottom w:val="single" w:sz="12" w:space="0" w:color="auto"/>
            </w:tcBorders>
            <w:shd w:val="clear" w:color="auto" w:fill="auto"/>
          </w:tcPr>
          <w:p w14:paraId="596D0E8F"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lang w:val="fr-FR"/>
              </w:rPr>
            </w:pPr>
            <w:r w:rsidRPr="00EE4C2A">
              <w:rPr>
                <w:sz w:val="18"/>
                <w:lang w:val="fr-FR"/>
              </w:rPr>
              <w:t xml:space="preserve"> </w:t>
            </w:r>
          </w:p>
        </w:tc>
        <w:tc>
          <w:tcPr>
            <w:tcW w:w="2831" w:type="dxa"/>
            <w:tcBorders>
              <w:top w:val="single" w:sz="4" w:space="0" w:color="auto"/>
              <w:bottom w:val="single" w:sz="12" w:space="0" w:color="auto"/>
            </w:tcBorders>
            <w:shd w:val="clear" w:color="auto" w:fill="auto"/>
          </w:tcPr>
          <w:p w14:paraId="47D458FE" w14:textId="77777777" w:rsidR="00046F46" w:rsidRPr="00EE4C2A" w:rsidRDefault="00046F46" w:rsidP="00A76CF1">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Zones rurales</w:t>
            </w:r>
          </w:p>
        </w:tc>
        <w:tc>
          <w:tcPr>
            <w:tcW w:w="2832" w:type="dxa"/>
            <w:tcBorders>
              <w:top w:val="single" w:sz="4" w:space="0" w:color="auto"/>
              <w:bottom w:val="single" w:sz="12" w:space="0" w:color="auto"/>
            </w:tcBorders>
            <w:shd w:val="clear" w:color="auto" w:fill="auto"/>
          </w:tcPr>
          <w:p w14:paraId="3866E855" w14:textId="77777777" w:rsidR="00046F46" w:rsidRPr="00EE4C2A" w:rsidRDefault="00046F46" w:rsidP="00A76CF1">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Zones urbaines</w:t>
            </w:r>
          </w:p>
        </w:tc>
      </w:tr>
      <w:tr w:rsidR="00046F46" w:rsidRPr="00EE4C2A" w14:paraId="28864717" w14:textId="77777777" w:rsidTr="004C1F7B">
        <w:tc>
          <w:tcPr>
            <w:tcW w:w="2831" w:type="dxa"/>
            <w:tcBorders>
              <w:top w:val="single" w:sz="12" w:space="0" w:color="auto"/>
              <w:bottom w:val="nil"/>
            </w:tcBorders>
            <w:shd w:val="clear" w:color="auto" w:fill="auto"/>
          </w:tcPr>
          <w:p w14:paraId="1902D392"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Enfants de 2 à 4 ans</w:t>
            </w:r>
          </w:p>
        </w:tc>
        <w:tc>
          <w:tcPr>
            <w:tcW w:w="2831" w:type="dxa"/>
            <w:tcBorders>
              <w:top w:val="single" w:sz="12" w:space="0" w:color="auto"/>
              <w:bottom w:val="nil"/>
            </w:tcBorders>
            <w:shd w:val="clear" w:color="auto" w:fill="auto"/>
          </w:tcPr>
          <w:p w14:paraId="1C7B4F00"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120</w:t>
            </w:r>
          </w:p>
        </w:tc>
        <w:tc>
          <w:tcPr>
            <w:tcW w:w="2832" w:type="dxa"/>
            <w:tcBorders>
              <w:top w:val="single" w:sz="12" w:space="0" w:color="auto"/>
              <w:bottom w:val="nil"/>
            </w:tcBorders>
            <w:shd w:val="clear" w:color="auto" w:fill="auto"/>
          </w:tcPr>
          <w:p w14:paraId="41926700"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38</w:t>
            </w:r>
          </w:p>
        </w:tc>
      </w:tr>
      <w:tr w:rsidR="00046F46" w:rsidRPr="00EE4C2A" w14:paraId="30DE404C" w14:textId="77777777" w:rsidTr="004C1F7B">
        <w:tc>
          <w:tcPr>
            <w:tcW w:w="2831" w:type="dxa"/>
            <w:tcBorders>
              <w:top w:val="nil"/>
              <w:bottom w:val="single" w:sz="12" w:space="0" w:color="auto"/>
            </w:tcBorders>
            <w:shd w:val="clear" w:color="auto" w:fill="auto"/>
          </w:tcPr>
          <w:p w14:paraId="4261F9E6"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Enfants de 5 à 17 ans</w:t>
            </w:r>
          </w:p>
        </w:tc>
        <w:tc>
          <w:tcPr>
            <w:tcW w:w="2831" w:type="dxa"/>
            <w:tcBorders>
              <w:top w:val="nil"/>
              <w:bottom w:val="single" w:sz="12" w:space="0" w:color="auto"/>
            </w:tcBorders>
            <w:shd w:val="clear" w:color="auto" w:fill="auto"/>
          </w:tcPr>
          <w:p w14:paraId="43BCBD67"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531</w:t>
            </w:r>
          </w:p>
        </w:tc>
        <w:tc>
          <w:tcPr>
            <w:tcW w:w="2832" w:type="dxa"/>
            <w:tcBorders>
              <w:top w:val="nil"/>
              <w:bottom w:val="single" w:sz="12" w:space="0" w:color="auto"/>
            </w:tcBorders>
            <w:shd w:val="clear" w:color="auto" w:fill="auto"/>
          </w:tcPr>
          <w:p w14:paraId="3ABAF1E2" w14:textId="77777777" w:rsidR="00046F46" w:rsidRPr="00EE4C2A" w:rsidRDefault="00046F46" w:rsidP="00A76CF1">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265</w:t>
            </w:r>
          </w:p>
        </w:tc>
      </w:tr>
    </w:tbl>
    <w:p w14:paraId="59556B3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42 c) de la liste de points établie </w:t>
      </w:r>
      <w:r>
        <w:rPr>
          <w:bCs/>
          <w:lang w:val="fr-FR"/>
        </w:rPr>
        <w:t>avant la soumission du rapport</w:t>
      </w:r>
    </w:p>
    <w:p w14:paraId="3CFFF5E0" w14:textId="11299DBC" w:rsidR="00046F46" w:rsidRPr="00EE4C2A" w:rsidRDefault="00046F46" w:rsidP="00046F46">
      <w:pPr>
        <w:pStyle w:val="SingleTxtG"/>
        <w:spacing w:after="240"/>
        <w:rPr>
          <w:iCs/>
          <w:lang w:val="fr-FR"/>
        </w:rPr>
      </w:pPr>
      <w:r w:rsidRPr="00EE4C2A">
        <w:rPr>
          <w:lang w:val="fr-FR"/>
        </w:rPr>
        <w:t>198.</w:t>
      </w:r>
      <w:r w:rsidRPr="00EE4C2A">
        <w:rPr>
          <w:lang w:val="fr-FR"/>
        </w:rPr>
        <w:tab/>
        <w:t>Les tableaux ci-après indiquent le nombre d</w:t>
      </w:r>
      <w:r w:rsidR="008279BF">
        <w:rPr>
          <w:lang w:val="fr-FR"/>
        </w:rPr>
        <w:t>’</w:t>
      </w:r>
      <w:r w:rsidRPr="00EE4C2A">
        <w:rPr>
          <w:lang w:val="fr-FR"/>
        </w:rPr>
        <w:t>enfants handicapés vivant en institution. Les raisons pour lesquelles les enfants sont placés en institution sont notamment l</w:t>
      </w:r>
      <w:r w:rsidR="008279BF">
        <w:rPr>
          <w:lang w:val="fr-FR"/>
        </w:rPr>
        <w:t>’</w:t>
      </w:r>
      <w:r w:rsidRPr="00EE4C2A">
        <w:rPr>
          <w:lang w:val="fr-FR"/>
        </w:rPr>
        <w:t>abandon parental, l</w:t>
      </w:r>
      <w:r w:rsidR="008279BF">
        <w:rPr>
          <w:lang w:val="fr-FR"/>
        </w:rPr>
        <w:t>’</w:t>
      </w:r>
      <w:r w:rsidRPr="00EE4C2A">
        <w:rPr>
          <w:lang w:val="fr-FR"/>
        </w:rPr>
        <w:t>absence de famille élargie, la pauvreté et l</w:t>
      </w:r>
      <w:r w:rsidR="008279BF">
        <w:rPr>
          <w:lang w:val="fr-FR"/>
        </w:rPr>
        <w:t>’</w:t>
      </w:r>
      <w:r w:rsidRPr="00EE4C2A">
        <w:rPr>
          <w:lang w:val="fr-FR"/>
        </w:rPr>
        <w:t>insuffisance des organisations de prise en charge en milieu familial.</w:t>
      </w:r>
    </w:p>
    <w:p w14:paraId="42886FBC" w14:textId="77777777" w:rsidR="00046F46" w:rsidRPr="00EE4C2A" w:rsidRDefault="00046F46" w:rsidP="00046F46">
      <w:pPr>
        <w:pStyle w:val="SingleTxtG"/>
        <w:rPr>
          <w:i/>
          <w:iCs/>
          <w:lang w:val="fr-FR"/>
        </w:rPr>
      </w:pPr>
      <w:r w:rsidRPr="00EE4C2A">
        <w:rPr>
          <w:iCs/>
          <w:noProof/>
          <w:lang w:val="fr-FR" w:eastAsia="fr-FR"/>
        </w:rPr>
        <w:drawing>
          <wp:inline distT="0" distB="0" distL="0" distR="0" wp14:anchorId="6C6CCBB4" wp14:editId="602337BF">
            <wp:extent cx="4737062" cy="22156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183" b="7957"/>
                    <a:stretch/>
                  </pic:blipFill>
                  <pic:spPr bwMode="auto">
                    <a:xfrm>
                      <a:off x="0" y="0"/>
                      <a:ext cx="4746982" cy="2220302"/>
                    </a:xfrm>
                    <a:prstGeom prst="rect">
                      <a:avLst/>
                    </a:prstGeom>
                    <a:noFill/>
                    <a:ln>
                      <a:noFill/>
                    </a:ln>
                    <a:extLst>
                      <a:ext uri="{53640926-AAD7-44D8-BBD7-CCE9431645EC}">
                        <a14:shadowObscured xmlns:a14="http://schemas.microsoft.com/office/drawing/2010/main"/>
                      </a:ext>
                    </a:extLst>
                  </pic:spPr>
                </pic:pic>
              </a:graphicData>
            </a:graphic>
          </wp:inline>
        </w:drawing>
      </w:r>
    </w:p>
    <w:p w14:paraId="07336594"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42 d) de la liste de points établie </w:t>
      </w:r>
      <w:r>
        <w:rPr>
          <w:bCs/>
          <w:lang w:val="fr-FR"/>
        </w:rPr>
        <w:t>avant la soumission du rapport</w:t>
      </w:r>
    </w:p>
    <w:p w14:paraId="237DD416" w14:textId="30B3E0E3" w:rsidR="008279BF" w:rsidRPr="00EE4C2A" w:rsidRDefault="00046F46" w:rsidP="00046F46">
      <w:pPr>
        <w:pStyle w:val="SingleTxtG"/>
        <w:rPr>
          <w:iCs/>
          <w:lang w:val="fr-FR"/>
        </w:rPr>
      </w:pPr>
      <w:r w:rsidRPr="008279BF">
        <w:rPr>
          <w:lang w:val="fr-FR"/>
        </w:rPr>
        <w:t>199.</w:t>
      </w:r>
      <w:r w:rsidRPr="008279BF">
        <w:rPr>
          <w:lang w:val="fr-FR"/>
        </w:rPr>
        <w:tab/>
      </w:r>
      <w:r w:rsidR="008279BF" w:rsidRPr="008279BF">
        <w:rPr>
          <w:iCs/>
        </w:rPr>
        <w:t>D</w:t>
      </w:r>
      <w:r w:rsidR="008279BF">
        <w:rPr>
          <w:iCs/>
        </w:rPr>
        <w:t>’</w:t>
      </w:r>
      <w:r w:rsidR="008279BF" w:rsidRPr="008279BF">
        <w:rPr>
          <w:iCs/>
        </w:rPr>
        <w:t>après les données émanant des acteurs de la réadaptation et du développement inclusif en milieu communautaire, 1</w:t>
      </w:r>
      <w:r w:rsidR="008279BF">
        <w:rPr>
          <w:iCs/>
        </w:rPr>
        <w:t xml:space="preserve"> </w:t>
      </w:r>
      <w:r w:rsidR="008279BF" w:rsidRPr="008279BF">
        <w:rPr>
          <w:iCs/>
        </w:rPr>
        <w:t>000 enfants au total bénéficient d</w:t>
      </w:r>
      <w:r w:rsidR="008279BF">
        <w:rPr>
          <w:iCs/>
        </w:rPr>
        <w:t>’</w:t>
      </w:r>
      <w:r w:rsidR="008279BF" w:rsidRPr="008279BF">
        <w:rPr>
          <w:iCs/>
        </w:rPr>
        <w:t>une prise en charge en milieu familial ou communautaire.</w:t>
      </w:r>
    </w:p>
    <w:p w14:paraId="17BA0A3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42 e) de la liste de points établie </w:t>
      </w:r>
      <w:r>
        <w:rPr>
          <w:bCs/>
          <w:lang w:val="fr-FR"/>
        </w:rPr>
        <w:t>avant la soumission du rapport</w:t>
      </w:r>
    </w:p>
    <w:p w14:paraId="572652F1" w14:textId="74BCB354" w:rsidR="00046F46" w:rsidRPr="00EE4C2A" w:rsidRDefault="00046F46" w:rsidP="00046F46">
      <w:pPr>
        <w:pStyle w:val="SingleTxtG"/>
        <w:rPr>
          <w:iCs/>
          <w:lang w:val="fr-FR"/>
        </w:rPr>
      </w:pPr>
      <w:r w:rsidRPr="00EE4C2A">
        <w:rPr>
          <w:lang w:val="fr-FR"/>
        </w:rPr>
        <w:t>200.</w:t>
      </w:r>
      <w:r w:rsidRPr="00EE4C2A">
        <w:rPr>
          <w:lang w:val="fr-FR"/>
        </w:rPr>
        <w:tab/>
        <w:t>En ce qui concerne le nombre d</w:t>
      </w:r>
      <w:r w:rsidR="008279BF">
        <w:rPr>
          <w:lang w:val="fr-FR"/>
        </w:rPr>
        <w:t>’</w:t>
      </w:r>
      <w:r w:rsidRPr="00EE4C2A">
        <w:rPr>
          <w:lang w:val="fr-FR"/>
        </w:rPr>
        <w:t>enfants handicapés âgés de 12 à 17 ans qui bénéficient d</w:t>
      </w:r>
      <w:r w:rsidR="008279BF">
        <w:rPr>
          <w:lang w:val="fr-FR"/>
        </w:rPr>
        <w:t>’</w:t>
      </w:r>
      <w:r w:rsidRPr="00EE4C2A">
        <w:rPr>
          <w:lang w:val="fr-FR"/>
        </w:rPr>
        <w:t>une éducation inclusive : 92,4 % des garçons et 91,8 % des filles sont dans cette situation. Le rapport montre également que 10,7 % et 20,3 % des enfants handicapés ont déclaré que leur famille n</w:t>
      </w:r>
      <w:r w:rsidR="008279BF">
        <w:rPr>
          <w:lang w:val="fr-FR"/>
        </w:rPr>
        <w:t>’</w:t>
      </w:r>
      <w:r w:rsidRPr="00EE4C2A">
        <w:rPr>
          <w:lang w:val="fr-FR"/>
        </w:rPr>
        <w:t>avait pas demandé leur inscription en école primaire et secondaire, respectivement.</w:t>
      </w:r>
    </w:p>
    <w:p w14:paraId="7448D086"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42 f) de la liste de points établie </w:t>
      </w:r>
      <w:r>
        <w:rPr>
          <w:bCs/>
          <w:lang w:val="fr-FR"/>
        </w:rPr>
        <w:t>avant la soumission du rapport</w:t>
      </w:r>
    </w:p>
    <w:p w14:paraId="287490E1" w14:textId="6CFCFBCF" w:rsidR="00046F46" w:rsidRPr="00EE4C2A" w:rsidRDefault="00046F46" w:rsidP="00046F46">
      <w:pPr>
        <w:pStyle w:val="SingleTxtG"/>
        <w:rPr>
          <w:iCs/>
          <w:lang w:val="fr-FR"/>
        </w:rPr>
      </w:pPr>
      <w:r w:rsidRPr="008279BF">
        <w:rPr>
          <w:lang w:val="fr-FR"/>
        </w:rPr>
        <w:t>201.</w:t>
      </w:r>
      <w:r w:rsidRPr="008279BF">
        <w:rPr>
          <w:lang w:val="fr-FR"/>
        </w:rPr>
        <w:tab/>
        <w:t>Le nombre de signalements d</w:t>
      </w:r>
      <w:r w:rsidR="008279BF">
        <w:rPr>
          <w:lang w:val="fr-FR"/>
        </w:rPr>
        <w:t>’</w:t>
      </w:r>
      <w:r w:rsidRPr="008279BF">
        <w:rPr>
          <w:lang w:val="fr-FR"/>
        </w:rPr>
        <w:t>actes de violence, y compris sexuelle, à l</w:t>
      </w:r>
      <w:r w:rsidR="008279BF">
        <w:rPr>
          <w:lang w:val="fr-FR"/>
        </w:rPr>
        <w:t>’</w:t>
      </w:r>
      <w:r w:rsidRPr="008279BF">
        <w:rPr>
          <w:lang w:val="fr-FR"/>
        </w:rPr>
        <w:t>égard d</w:t>
      </w:r>
      <w:r w:rsidR="008279BF">
        <w:rPr>
          <w:lang w:val="fr-FR"/>
        </w:rPr>
        <w:t>’</w:t>
      </w:r>
      <w:r w:rsidRPr="008279BF">
        <w:rPr>
          <w:lang w:val="fr-FR"/>
        </w:rPr>
        <w:t>enfants handicapés, ainsi que le nombre d</w:t>
      </w:r>
      <w:r w:rsidR="008279BF">
        <w:rPr>
          <w:lang w:val="fr-FR"/>
        </w:rPr>
        <w:t>’</w:t>
      </w:r>
      <w:r w:rsidRPr="008279BF">
        <w:rPr>
          <w:lang w:val="fr-FR"/>
        </w:rPr>
        <w:t>enquêtes ouvertes et de poursuites engagées, et les peines prononcées.</w:t>
      </w:r>
    </w:p>
    <w:p w14:paraId="1AE6C64E" w14:textId="77777777" w:rsidR="00046F46" w:rsidRPr="00EE4C2A" w:rsidRDefault="00046F46" w:rsidP="00046F46">
      <w:pPr>
        <w:pStyle w:val="H1G"/>
        <w:rPr>
          <w:lang w:val="fr-FR"/>
        </w:rPr>
      </w:pPr>
      <w:bookmarkStart w:id="53" w:name="_Toc63938005"/>
      <w:r w:rsidRPr="00EE4C2A">
        <w:rPr>
          <w:bCs/>
          <w:lang w:val="fr-FR"/>
        </w:rPr>
        <w:tab/>
        <w:t>H.</w:t>
      </w:r>
      <w:r w:rsidRPr="00EE4C2A">
        <w:rPr>
          <w:lang w:val="fr-FR"/>
        </w:rPr>
        <w:tab/>
      </w:r>
      <w:r w:rsidRPr="00EE4C2A">
        <w:rPr>
          <w:bCs/>
          <w:lang w:val="fr-FR"/>
        </w:rPr>
        <w:t>Santé de base et bien-être (art. 6, 18 (par. 3), 24, 26, 27 (par. 1 à 3) et 33)</w:t>
      </w:r>
      <w:bookmarkEnd w:id="53"/>
    </w:p>
    <w:p w14:paraId="22526B8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43 a) de la liste de points établie </w:t>
      </w:r>
      <w:r>
        <w:rPr>
          <w:bCs/>
          <w:lang w:val="fr-FR"/>
        </w:rPr>
        <w:t>avant la soumission du rapport</w:t>
      </w:r>
    </w:p>
    <w:p w14:paraId="4EF35DE0" w14:textId="0C9B721B" w:rsidR="00046F46" w:rsidRPr="00EE4C2A" w:rsidRDefault="00046F46" w:rsidP="00046F46">
      <w:pPr>
        <w:pStyle w:val="SingleTxtG"/>
        <w:rPr>
          <w:iCs/>
          <w:lang w:val="fr-FR"/>
        </w:rPr>
      </w:pPr>
      <w:r w:rsidRPr="00EE4C2A">
        <w:rPr>
          <w:lang w:val="fr-FR"/>
        </w:rPr>
        <w:t>202.</w:t>
      </w:r>
      <w:r w:rsidRPr="00EE4C2A">
        <w:rPr>
          <w:lang w:val="fr-FR"/>
        </w:rPr>
        <w:tab/>
        <w:t>Selon l</w:t>
      </w:r>
      <w:r w:rsidR="008279BF">
        <w:rPr>
          <w:lang w:val="fr-FR"/>
        </w:rPr>
        <w:t>’</w:t>
      </w:r>
      <w:r w:rsidRPr="00EE4C2A">
        <w:rPr>
          <w:lang w:val="fr-FR"/>
        </w:rPr>
        <w:t>Enquête nationale démographique et sanitaire réalisée en 2018, le taux de mortalité infantile était de 42 pour 1 000 naissances vivantes, légèrement plus élevé dans les zones rurales</w:t>
      </w:r>
      <w:r w:rsidR="00CB5D24">
        <w:rPr>
          <w:lang w:val="fr-FR"/>
        </w:rPr>
        <w:t xml:space="preserve"> </w:t>
      </w:r>
      <w:r w:rsidRPr="00EE4C2A">
        <w:rPr>
          <w:lang w:val="fr-FR"/>
        </w:rPr>
        <w:t>(44 décès pour 1 000 naissances vivantes) que dans les zones urbaines</w:t>
      </w:r>
      <w:r w:rsidR="00CB5D24">
        <w:rPr>
          <w:lang w:val="fr-FR"/>
        </w:rPr>
        <w:t xml:space="preserve"> </w:t>
      </w:r>
      <w:r w:rsidRPr="00EE4C2A">
        <w:rPr>
          <w:lang w:val="fr-FR"/>
        </w:rPr>
        <w:t>(41 décès pour 1 000 naissances vivantes). La mortalité maternelle a continué de baisser, passant de 398 décès pour 100 000 naissances vivantes en 2013/14 à 278 décès pour 100 000 naissances vivantes en</w:t>
      </w:r>
      <w:r w:rsidR="00CB5D24">
        <w:rPr>
          <w:lang w:val="fr-FR"/>
        </w:rPr>
        <w:t xml:space="preserve"> </w:t>
      </w:r>
      <w:r w:rsidRPr="00EE4C2A">
        <w:rPr>
          <w:lang w:val="fr-FR"/>
        </w:rPr>
        <w:t>2018. Cette baisse de la mortalité maternelle et juvénile est le résultat de mesures réfléchies, notamment du développement accéléré des ressources humaines pour la santé et d</w:t>
      </w:r>
      <w:r w:rsidR="008279BF">
        <w:rPr>
          <w:lang w:val="fr-FR"/>
        </w:rPr>
        <w:t>’</w:t>
      </w:r>
      <w:r w:rsidRPr="00EE4C2A">
        <w:rPr>
          <w:lang w:val="fr-FR"/>
        </w:rPr>
        <w:t>autres interventions à fort impact telles que les Groupes d</w:t>
      </w:r>
      <w:r w:rsidR="008279BF">
        <w:rPr>
          <w:lang w:val="fr-FR"/>
        </w:rPr>
        <w:t>’</w:t>
      </w:r>
      <w:r w:rsidRPr="00EE4C2A">
        <w:rPr>
          <w:lang w:val="fr-FR"/>
        </w:rPr>
        <w:t>action pour une maternité sans risques, les relais communautaires, la fourniture de soins obstétricaux et néonatals d</w:t>
      </w:r>
      <w:r w:rsidR="008279BF">
        <w:rPr>
          <w:lang w:val="fr-FR"/>
        </w:rPr>
        <w:t>’</w:t>
      </w:r>
      <w:r w:rsidRPr="00EE4C2A">
        <w:rPr>
          <w:lang w:val="fr-FR"/>
        </w:rPr>
        <w:t>urgence, etc.</w:t>
      </w:r>
    </w:p>
    <w:p w14:paraId="696539AE" w14:textId="77777777" w:rsidR="00046F46" w:rsidRPr="00EE4C2A" w:rsidRDefault="00046F46" w:rsidP="00CB5D24">
      <w:pPr>
        <w:pStyle w:val="H23G"/>
        <w:rPr>
          <w:lang w:val="fr-FR"/>
        </w:rPr>
      </w:pPr>
      <w:r w:rsidRPr="00EE4C2A">
        <w:rPr>
          <w:lang w:val="fr-FR"/>
        </w:rPr>
        <w:tab/>
      </w:r>
      <w:r w:rsidRPr="00EE4C2A">
        <w:rPr>
          <w:lang w:val="fr-FR"/>
        </w:rPr>
        <w:tab/>
        <w:t>Taux de mortalité des jeunes enfants</w:t>
      </w:r>
    </w:p>
    <w:p w14:paraId="6B62CA36" w14:textId="23506C1C" w:rsidR="00046F46" w:rsidRPr="00EE4C2A" w:rsidRDefault="00046F46" w:rsidP="00CB5D24">
      <w:pPr>
        <w:pStyle w:val="H23G"/>
        <w:rPr>
          <w:lang w:val="fr-FR"/>
        </w:rPr>
      </w:pPr>
      <w:r w:rsidRPr="00EE4C2A">
        <w:rPr>
          <w:lang w:val="fr-FR"/>
        </w:rPr>
        <w:tab/>
      </w:r>
      <w:r w:rsidRPr="00EE4C2A">
        <w:rPr>
          <w:lang w:val="fr-FR"/>
        </w:rPr>
        <w:tab/>
        <w:t>Taux de mortalité néonatale, postnéonatale, infantile, juvénile et des moins de 5 ans pour les cinq années précédant l</w:t>
      </w:r>
      <w:r w:rsidR="008279BF">
        <w:rPr>
          <w:lang w:val="fr-FR"/>
        </w:rPr>
        <w:t>’</w:t>
      </w:r>
      <w:r w:rsidRPr="00EE4C2A">
        <w:rPr>
          <w:lang w:val="fr-FR"/>
        </w:rPr>
        <w:t xml:space="preserve">enquête, Enquête nationale démographique </w:t>
      </w:r>
      <w:r w:rsidR="00CB5D24">
        <w:rPr>
          <w:lang w:val="fr-FR"/>
        </w:rPr>
        <w:br/>
      </w:r>
      <w:r w:rsidRPr="00EE4C2A">
        <w:rPr>
          <w:lang w:val="fr-FR"/>
        </w:rPr>
        <w:t>et sanitaire de 2018</w:t>
      </w:r>
    </w:p>
    <w:tbl>
      <w:tblPr>
        <w:tblW w:w="7370"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946"/>
        <w:gridCol w:w="1015"/>
        <w:gridCol w:w="932"/>
        <w:gridCol w:w="746"/>
        <w:gridCol w:w="932"/>
        <w:gridCol w:w="933"/>
        <w:gridCol w:w="933"/>
        <w:gridCol w:w="933"/>
      </w:tblGrid>
      <w:tr w:rsidR="00046F46" w:rsidRPr="0019096A" w14:paraId="040A17A1" w14:textId="77777777" w:rsidTr="004C1F7B">
        <w:trPr>
          <w:tblHeader/>
        </w:trPr>
        <w:tc>
          <w:tcPr>
            <w:tcW w:w="7370" w:type="dxa"/>
            <w:gridSpan w:val="8"/>
            <w:tcBorders>
              <w:top w:val="single" w:sz="4" w:space="0" w:color="auto"/>
              <w:bottom w:val="single" w:sz="4" w:space="0" w:color="auto"/>
            </w:tcBorders>
            <w:shd w:val="clear" w:color="auto" w:fill="auto"/>
            <w:vAlign w:val="bottom"/>
          </w:tcPr>
          <w:p w14:paraId="47F45913" w14:textId="77E74FE2" w:rsidR="00046F46" w:rsidRPr="00EE4C2A" w:rsidRDefault="00046F46" w:rsidP="00CB5D24">
            <w:pPr>
              <w:pStyle w:val="SingleTxtG"/>
              <w:tabs>
                <w:tab w:val="clear" w:pos="1701"/>
                <w:tab w:val="clear" w:pos="2268"/>
              </w:tabs>
              <w:suppressAutoHyphens w:val="0"/>
              <w:spacing w:before="80" w:after="80" w:line="200" w:lineRule="exact"/>
              <w:ind w:left="0" w:right="0"/>
              <w:jc w:val="left"/>
              <w:rPr>
                <w:i/>
                <w:sz w:val="16"/>
                <w:szCs w:val="16"/>
                <w:lang w:val="fr-FR"/>
              </w:rPr>
            </w:pPr>
            <w:r w:rsidRPr="00EE4C2A">
              <w:rPr>
                <w:i/>
                <w:iCs/>
                <w:sz w:val="16"/>
                <w:szCs w:val="16"/>
                <w:lang w:val="fr-FR"/>
              </w:rPr>
              <w:t>Taux de mortalité néonatale, postnéonatale, infantile, juvénile et des moins de 5 ans pour les cinq années précédant l</w:t>
            </w:r>
            <w:r w:rsidR="008279BF">
              <w:rPr>
                <w:i/>
                <w:iCs/>
                <w:sz w:val="16"/>
                <w:szCs w:val="16"/>
                <w:lang w:val="fr-FR"/>
              </w:rPr>
              <w:t>’</w:t>
            </w:r>
            <w:r w:rsidRPr="00EE4C2A">
              <w:rPr>
                <w:i/>
                <w:iCs/>
                <w:sz w:val="16"/>
                <w:szCs w:val="16"/>
                <w:lang w:val="fr-FR"/>
              </w:rPr>
              <w:t xml:space="preserve">enquête </w:t>
            </w:r>
            <w:r w:rsidR="008279BF">
              <w:rPr>
                <w:i/>
                <w:iCs/>
                <w:sz w:val="16"/>
                <w:szCs w:val="16"/>
                <w:lang w:val="fr-FR"/>
              </w:rPr>
              <w:t>(</w:t>
            </w:r>
            <w:r w:rsidRPr="00EE4C2A">
              <w:rPr>
                <w:i/>
                <w:iCs/>
                <w:sz w:val="16"/>
                <w:szCs w:val="16"/>
                <w:lang w:val="fr-FR"/>
              </w:rPr>
              <w:t>Enquête nationale démographique et sanitaire de 2018</w:t>
            </w:r>
            <w:r w:rsidR="008279BF">
              <w:rPr>
                <w:i/>
                <w:iCs/>
                <w:sz w:val="16"/>
                <w:szCs w:val="16"/>
                <w:lang w:val="fr-FR"/>
              </w:rPr>
              <w:t>)</w:t>
            </w:r>
          </w:p>
        </w:tc>
      </w:tr>
      <w:tr w:rsidR="00046F46" w:rsidRPr="0019096A" w14:paraId="2D92AB21" w14:textId="77777777" w:rsidTr="00CB5D24">
        <w:trPr>
          <w:tblHeader/>
        </w:trPr>
        <w:tc>
          <w:tcPr>
            <w:tcW w:w="946" w:type="dxa"/>
            <w:tcBorders>
              <w:top w:val="single" w:sz="4" w:space="0" w:color="auto"/>
              <w:bottom w:val="single" w:sz="12" w:space="0" w:color="auto"/>
            </w:tcBorders>
            <w:shd w:val="clear" w:color="auto" w:fill="auto"/>
            <w:vAlign w:val="bottom"/>
          </w:tcPr>
          <w:p w14:paraId="12393A48" w14:textId="4794DB24" w:rsidR="00046F46" w:rsidRPr="00EE4C2A" w:rsidRDefault="00046F46" w:rsidP="00CB5D24">
            <w:pPr>
              <w:pStyle w:val="SingleTxtG"/>
              <w:tabs>
                <w:tab w:val="clear" w:pos="1701"/>
                <w:tab w:val="clear" w:pos="2268"/>
              </w:tabs>
              <w:suppressAutoHyphens w:val="0"/>
              <w:spacing w:before="80" w:after="80" w:line="200" w:lineRule="exact"/>
              <w:ind w:left="0" w:right="0"/>
              <w:jc w:val="left"/>
              <w:rPr>
                <w:i/>
                <w:sz w:val="16"/>
                <w:szCs w:val="16"/>
                <w:lang w:val="fr-FR"/>
              </w:rPr>
            </w:pPr>
            <w:r w:rsidRPr="00EE4C2A">
              <w:rPr>
                <w:i/>
                <w:iCs/>
                <w:sz w:val="16"/>
                <w:szCs w:val="16"/>
                <w:lang w:val="fr-FR"/>
              </w:rPr>
              <w:t xml:space="preserve">Années </w:t>
            </w:r>
            <w:r w:rsidRPr="00EE4C2A">
              <w:rPr>
                <w:bCs/>
                <w:i/>
                <w:iCs/>
                <w:sz w:val="16"/>
                <w:szCs w:val="16"/>
                <w:lang w:val="fr-FR"/>
              </w:rPr>
              <w:t xml:space="preserve">précédant </w:t>
            </w:r>
            <w:r w:rsidRPr="00EE4C2A">
              <w:rPr>
                <w:i/>
                <w:iCs/>
                <w:sz w:val="16"/>
                <w:szCs w:val="16"/>
                <w:lang w:val="fr-FR"/>
              </w:rPr>
              <w:t>l</w:t>
            </w:r>
            <w:r w:rsidR="008279BF">
              <w:rPr>
                <w:i/>
                <w:iCs/>
                <w:sz w:val="16"/>
                <w:szCs w:val="16"/>
                <w:lang w:val="fr-FR"/>
              </w:rPr>
              <w:t>’</w:t>
            </w:r>
            <w:r w:rsidRPr="00EE4C2A">
              <w:rPr>
                <w:i/>
                <w:iCs/>
                <w:sz w:val="16"/>
                <w:szCs w:val="16"/>
                <w:lang w:val="fr-FR"/>
              </w:rPr>
              <w:t>enquête</w:t>
            </w:r>
          </w:p>
        </w:tc>
        <w:tc>
          <w:tcPr>
            <w:tcW w:w="1015" w:type="dxa"/>
            <w:tcBorders>
              <w:top w:val="single" w:sz="4" w:space="0" w:color="auto"/>
              <w:bottom w:val="single" w:sz="12" w:space="0" w:color="auto"/>
            </w:tcBorders>
            <w:shd w:val="clear" w:color="auto" w:fill="auto"/>
            <w:vAlign w:val="bottom"/>
          </w:tcPr>
          <w:p w14:paraId="387D97E0"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left"/>
              <w:rPr>
                <w:i/>
                <w:sz w:val="15"/>
                <w:szCs w:val="15"/>
                <w:lang w:val="fr-FR"/>
              </w:rPr>
            </w:pPr>
            <w:r w:rsidRPr="00EE4C2A">
              <w:rPr>
                <w:i/>
                <w:iCs/>
                <w:sz w:val="15"/>
                <w:szCs w:val="15"/>
                <w:lang w:val="fr-FR"/>
              </w:rPr>
              <w:t xml:space="preserve">Période approximative pour les taux estimés </w:t>
            </w:r>
          </w:p>
        </w:tc>
        <w:tc>
          <w:tcPr>
            <w:tcW w:w="932" w:type="dxa"/>
            <w:tcBorders>
              <w:top w:val="single" w:sz="4" w:space="0" w:color="auto"/>
              <w:bottom w:val="single" w:sz="12" w:space="0" w:color="auto"/>
            </w:tcBorders>
            <w:shd w:val="clear" w:color="auto" w:fill="auto"/>
            <w:vAlign w:val="bottom"/>
          </w:tcPr>
          <w:p w14:paraId="45383D4C"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Mortalité néonatale</w:t>
            </w:r>
          </w:p>
        </w:tc>
        <w:tc>
          <w:tcPr>
            <w:tcW w:w="746" w:type="dxa"/>
            <w:tcBorders>
              <w:top w:val="single" w:sz="4" w:space="0" w:color="auto"/>
              <w:bottom w:val="single" w:sz="12" w:space="0" w:color="auto"/>
            </w:tcBorders>
            <w:shd w:val="clear" w:color="auto" w:fill="auto"/>
            <w:vAlign w:val="bottom"/>
          </w:tcPr>
          <w:p w14:paraId="19946D0B"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p>
        </w:tc>
        <w:tc>
          <w:tcPr>
            <w:tcW w:w="932" w:type="dxa"/>
            <w:tcBorders>
              <w:top w:val="single" w:sz="4" w:space="0" w:color="auto"/>
              <w:bottom w:val="single" w:sz="12" w:space="0" w:color="auto"/>
            </w:tcBorders>
            <w:shd w:val="clear" w:color="auto" w:fill="auto"/>
            <w:vAlign w:val="bottom"/>
          </w:tcPr>
          <w:p w14:paraId="6E281011" w14:textId="108AFDF3" w:rsidR="00046F46" w:rsidRPr="00EE4C2A"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Mortalité postnéonatale</w:t>
            </w:r>
            <w:r w:rsidRPr="00EE4C2A">
              <w:rPr>
                <w:i/>
                <w:sz w:val="16"/>
                <w:szCs w:val="16"/>
                <w:vertAlign w:val="superscript"/>
                <w:lang w:val="fr-FR"/>
              </w:rPr>
              <w:t>1</w:t>
            </w:r>
          </w:p>
        </w:tc>
        <w:tc>
          <w:tcPr>
            <w:tcW w:w="933" w:type="dxa"/>
            <w:tcBorders>
              <w:top w:val="single" w:sz="4" w:space="0" w:color="auto"/>
              <w:bottom w:val="single" w:sz="12" w:space="0" w:color="auto"/>
            </w:tcBorders>
            <w:shd w:val="clear" w:color="auto" w:fill="auto"/>
            <w:vAlign w:val="bottom"/>
          </w:tcPr>
          <w:p w14:paraId="11FD4A8C" w14:textId="221C5897" w:rsidR="00046F46" w:rsidRPr="00EE4C2A"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Mortalité infantile </w:t>
            </w:r>
            <w:r w:rsidR="00CB5D24">
              <w:rPr>
                <w:i/>
                <w:iCs/>
                <w:sz w:val="16"/>
                <w:szCs w:val="16"/>
                <w:lang w:val="fr-FR"/>
              </w:rPr>
              <w:br/>
              <w:t>(</w:t>
            </w:r>
            <w:r w:rsidRPr="00EE4C2A">
              <w:rPr>
                <w:i/>
                <w:iCs/>
                <w:sz w:val="16"/>
                <w:szCs w:val="16"/>
                <w:lang w:val="fr-FR"/>
              </w:rPr>
              <w:t>&lt;1 an)</w:t>
            </w:r>
          </w:p>
        </w:tc>
        <w:tc>
          <w:tcPr>
            <w:tcW w:w="933" w:type="dxa"/>
            <w:tcBorders>
              <w:top w:val="single" w:sz="4" w:space="0" w:color="auto"/>
              <w:bottom w:val="single" w:sz="12" w:space="0" w:color="auto"/>
            </w:tcBorders>
            <w:shd w:val="clear" w:color="auto" w:fill="auto"/>
            <w:vAlign w:val="bottom"/>
          </w:tcPr>
          <w:p w14:paraId="3D21A5C4" w14:textId="347F643C" w:rsidR="00046F46" w:rsidRPr="00EE4C2A"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Mortalité juvénile </w:t>
            </w:r>
            <w:r w:rsidR="00CB5D24">
              <w:rPr>
                <w:i/>
                <w:iCs/>
                <w:sz w:val="16"/>
                <w:szCs w:val="16"/>
                <w:lang w:val="fr-FR"/>
              </w:rPr>
              <w:br/>
            </w:r>
            <w:r w:rsidRPr="00EE4C2A">
              <w:rPr>
                <w:i/>
                <w:iCs/>
                <w:sz w:val="16"/>
                <w:szCs w:val="16"/>
                <w:lang w:val="fr-FR"/>
              </w:rPr>
              <w:t>(&lt;4 ans)</w:t>
            </w:r>
          </w:p>
        </w:tc>
        <w:tc>
          <w:tcPr>
            <w:tcW w:w="933" w:type="dxa"/>
            <w:tcBorders>
              <w:top w:val="single" w:sz="4" w:space="0" w:color="auto"/>
              <w:bottom w:val="single" w:sz="12" w:space="0" w:color="auto"/>
            </w:tcBorders>
            <w:shd w:val="clear" w:color="auto" w:fill="auto"/>
            <w:vAlign w:val="bottom"/>
          </w:tcPr>
          <w:p w14:paraId="4EE11FED"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EE4C2A">
              <w:rPr>
                <w:i/>
                <w:iCs/>
                <w:sz w:val="16"/>
                <w:szCs w:val="16"/>
                <w:lang w:val="fr-FR"/>
              </w:rPr>
              <w:t>Mortalité des enfants de moins de 5 ans</w:t>
            </w:r>
          </w:p>
        </w:tc>
      </w:tr>
      <w:tr w:rsidR="00046F46" w:rsidRPr="00EE4C2A" w14:paraId="060184C5" w14:textId="77777777" w:rsidTr="00CB5D24">
        <w:tc>
          <w:tcPr>
            <w:tcW w:w="946" w:type="dxa"/>
            <w:tcBorders>
              <w:top w:val="single" w:sz="12" w:space="0" w:color="auto"/>
              <w:bottom w:val="single" w:sz="12" w:space="0" w:color="auto"/>
            </w:tcBorders>
            <w:shd w:val="clear" w:color="auto" w:fill="auto"/>
          </w:tcPr>
          <w:p w14:paraId="6EBBD745" w14:textId="0F4B2FBD"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0</w:t>
            </w:r>
            <w:r w:rsidR="00CB5D24">
              <w:rPr>
                <w:sz w:val="18"/>
                <w:szCs w:val="18"/>
                <w:lang w:val="fr-FR"/>
              </w:rPr>
              <w:t>-</w:t>
            </w:r>
            <w:r w:rsidRPr="00EE4C2A">
              <w:rPr>
                <w:sz w:val="18"/>
                <w:szCs w:val="18"/>
                <w:lang w:val="fr-FR"/>
              </w:rPr>
              <w:t>4</w:t>
            </w:r>
          </w:p>
        </w:tc>
        <w:tc>
          <w:tcPr>
            <w:tcW w:w="1015" w:type="dxa"/>
            <w:tcBorders>
              <w:top w:val="single" w:sz="12" w:space="0" w:color="auto"/>
              <w:bottom w:val="single" w:sz="12" w:space="0" w:color="auto"/>
            </w:tcBorders>
            <w:shd w:val="clear" w:color="auto" w:fill="auto"/>
          </w:tcPr>
          <w:p w14:paraId="373E5A71" w14:textId="238431CE"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2014</w:t>
            </w:r>
            <w:r w:rsidR="00CB5D24">
              <w:rPr>
                <w:sz w:val="18"/>
                <w:szCs w:val="18"/>
                <w:lang w:val="fr-FR"/>
              </w:rPr>
              <w:t>-</w:t>
            </w:r>
            <w:r w:rsidRPr="00EE4C2A">
              <w:rPr>
                <w:sz w:val="18"/>
                <w:szCs w:val="18"/>
                <w:lang w:val="fr-FR"/>
              </w:rPr>
              <w:t>2018</w:t>
            </w:r>
          </w:p>
        </w:tc>
        <w:tc>
          <w:tcPr>
            <w:tcW w:w="932" w:type="dxa"/>
            <w:tcBorders>
              <w:top w:val="single" w:sz="12" w:space="0" w:color="auto"/>
              <w:bottom w:val="single" w:sz="12" w:space="0" w:color="auto"/>
            </w:tcBorders>
            <w:shd w:val="clear" w:color="auto" w:fill="auto"/>
            <w:vAlign w:val="bottom"/>
          </w:tcPr>
          <w:p w14:paraId="6E207BF0"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27</w:t>
            </w:r>
          </w:p>
        </w:tc>
        <w:tc>
          <w:tcPr>
            <w:tcW w:w="746" w:type="dxa"/>
            <w:tcBorders>
              <w:top w:val="single" w:sz="12" w:space="0" w:color="auto"/>
              <w:bottom w:val="single" w:sz="12" w:space="0" w:color="auto"/>
            </w:tcBorders>
            <w:shd w:val="clear" w:color="auto" w:fill="auto"/>
            <w:vAlign w:val="bottom"/>
          </w:tcPr>
          <w:p w14:paraId="6F3F8CB0"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right"/>
              <w:rPr>
                <w:sz w:val="18"/>
                <w:szCs w:val="18"/>
                <w:lang w:val="fr-FR"/>
              </w:rPr>
            </w:pPr>
          </w:p>
        </w:tc>
        <w:tc>
          <w:tcPr>
            <w:tcW w:w="932" w:type="dxa"/>
            <w:tcBorders>
              <w:top w:val="single" w:sz="12" w:space="0" w:color="auto"/>
              <w:bottom w:val="single" w:sz="12" w:space="0" w:color="auto"/>
            </w:tcBorders>
            <w:shd w:val="clear" w:color="auto" w:fill="auto"/>
            <w:vAlign w:val="bottom"/>
          </w:tcPr>
          <w:p w14:paraId="7405285B"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14</w:t>
            </w:r>
          </w:p>
        </w:tc>
        <w:tc>
          <w:tcPr>
            <w:tcW w:w="933" w:type="dxa"/>
            <w:tcBorders>
              <w:top w:val="single" w:sz="12" w:space="0" w:color="auto"/>
              <w:bottom w:val="single" w:sz="12" w:space="0" w:color="auto"/>
            </w:tcBorders>
            <w:shd w:val="clear" w:color="auto" w:fill="auto"/>
            <w:vAlign w:val="bottom"/>
          </w:tcPr>
          <w:p w14:paraId="04EA24F9"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42</w:t>
            </w:r>
          </w:p>
        </w:tc>
        <w:tc>
          <w:tcPr>
            <w:tcW w:w="933" w:type="dxa"/>
            <w:tcBorders>
              <w:top w:val="single" w:sz="12" w:space="0" w:color="auto"/>
              <w:bottom w:val="single" w:sz="12" w:space="0" w:color="auto"/>
            </w:tcBorders>
            <w:shd w:val="clear" w:color="auto" w:fill="auto"/>
            <w:vAlign w:val="bottom"/>
          </w:tcPr>
          <w:p w14:paraId="259905F4"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19</w:t>
            </w:r>
          </w:p>
        </w:tc>
        <w:tc>
          <w:tcPr>
            <w:tcW w:w="933" w:type="dxa"/>
            <w:tcBorders>
              <w:top w:val="single" w:sz="12" w:space="0" w:color="auto"/>
              <w:bottom w:val="single" w:sz="12" w:space="0" w:color="auto"/>
            </w:tcBorders>
            <w:shd w:val="clear" w:color="auto" w:fill="auto"/>
            <w:vAlign w:val="bottom"/>
          </w:tcPr>
          <w:p w14:paraId="7A861C88"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61</w:t>
            </w:r>
          </w:p>
        </w:tc>
      </w:tr>
    </w:tbl>
    <w:p w14:paraId="034F3AAF" w14:textId="7D4AFDD1" w:rsidR="00046F46" w:rsidRPr="00EE4C2A" w:rsidRDefault="00046F46" w:rsidP="00046F46">
      <w:pPr>
        <w:spacing w:before="120" w:after="240"/>
        <w:ind w:left="1134" w:right="1134" w:firstLine="170"/>
        <w:rPr>
          <w:sz w:val="18"/>
          <w:szCs w:val="18"/>
          <w:lang w:val="fr-FR"/>
        </w:rPr>
      </w:pPr>
      <w:r w:rsidRPr="00EE4C2A">
        <w:rPr>
          <w:sz w:val="18"/>
          <w:szCs w:val="18"/>
          <w:vertAlign w:val="superscript"/>
          <w:lang w:val="fr-FR"/>
        </w:rPr>
        <w:t>1</w:t>
      </w:r>
      <w:r w:rsidR="00CB5D24">
        <w:rPr>
          <w:sz w:val="18"/>
          <w:szCs w:val="18"/>
          <w:vertAlign w:val="superscript"/>
          <w:lang w:val="fr-FR"/>
        </w:rPr>
        <w:t xml:space="preserve">  </w:t>
      </w:r>
      <w:r w:rsidRPr="00EE4C2A">
        <w:rPr>
          <w:sz w:val="18"/>
          <w:szCs w:val="18"/>
          <w:lang w:val="fr-FR"/>
        </w:rPr>
        <w:t>Calculée comme étant la différence entre les taux de mortalité infantile et néonatale.</w:t>
      </w:r>
    </w:p>
    <w:p w14:paraId="118AF922"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43 b) de la liste de points établie </w:t>
      </w:r>
      <w:r>
        <w:rPr>
          <w:bCs/>
          <w:lang w:val="fr-FR"/>
        </w:rPr>
        <w:t>avant la soumission du rapport</w:t>
      </w:r>
    </w:p>
    <w:p w14:paraId="1B84519E" w14:textId="26766C51" w:rsidR="00046F46" w:rsidRPr="00EE4C2A" w:rsidRDefault="00046F46" w:rsidP="00046F46">
      <w:pPr>
        <w:pStyle w:val="SingleTxtG"/>
        <w:rPr>
          <w:iCs/>
          <w:lang w:val="fr-FR"/>
        </w:rPr>
      </w:pPr>
      <w:r w:rsidRPr="00EE4C2A">
        <w:rPr>
          <w:lang w:val="fr-FR"/>
        </w:rPr>
        <w:t>203.</w:t>
      </w:r>
      <w:r w:rsidRPr="00EE4C2A">
        <w:rPr>
          <w:lang w:val="fr-FR"/>
        </w:rPr>
        <w:tab/>
        <w:t>Selon l</w:t>
      </w:r>
      <w:r w:rsidR="008279BF">
        <w:rPr>
          <w:lang w:val="fr-FR"/>
        </w:rPr>
        <w:t>’</w:t>
      </w:r>
      <w:r w:rsidRPr="00EE4C2A">
        <w:rPr>
          <w:lang w:val="fr-FR"/>
        </w:rPr>
        <w:t>Enquête nationale démographique et sanitaire de 2018, 1 182 140 enfants présentaient un retard de croissance, soit 35 % des enfants de moins de</w:t>
      </w:r>
      <w:r w:rsidR="00CB5D24">
        <w:rPr>
          <w:lang w:val="fr-FR"/>
        </w:rPr>
        <w:t xml:space="preserve"> </w:t>
      </w:r>
      <w:r w:rsidRPr="00EE4C2A">
        <w:rPr>
          <w:lang w:val="fr-FR"/>
        </w:rPr>
        <w:t>5 ans.</w:t>
      </w:r>
    </w:p>
    <w:p w14:paraId="3E3BD0B9"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État nutritionnel des enfants</w:t>
      </w:r>
    </w:p>
    <w:tbl>
      <w:tblPr>
        <w:tblW w:w="963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38"/>
        <w:gridCol w:w="760"/>
        <w:gridCol w:w="820"/>
        <w:gridCol w:w="709"/>
        <w:gridCol w:w="850"/>
        <w:gridCol w:w="851"/>
        <w:gridCol w:w="709"/>
        <w:gridCol w:w="708"/>
        <w:gridCol w:w="851"/>
        <w:gridCol w:w="850"/>
        <w:gridCol w:w="709"/>
        <w:gridCol w:w="684"/>
      </w:tblGrid>
      <w:tr w:rsidR="00046F46" w:rsidRPr="0019096A" w14:paraId="325B4998" w14:textId="77777777" w:rsidTr="004C1F7B">
        <w:trPr>
          <w:tblHeader/>
        </w:trPr>
        <w:tc>
          <w:tcPr>
            <w:tcW w:w="9639" w:type="dxa"/>
            <w:gridSpan w:val="12"/>
            <w:tcBorders>
              <w:top w:val="single" w:sz="4" w:space="0" w:color="auto"/>
              <w:bottom w:val="single" w:sz="4" w:space="0" w:color="auto"/>
            </w:tcBorders>
            <w:shd w:val="clear" w:color="auto" w:fill="auto"/>
            <w:vAlign w:val="bottom"/>
          </w:tcPr>
          <w:p w14:paraId="17C31723" w14:textId="6F2D6BD5" w:rsidR="00046F46" w:rsidRPr="00EE4C2A" w:rsidRDefault="00046F46" w:rsidP="00CB5D24">
            <w:pPr>
              <w:pStyle w:val="SingleTxtG"/>
              <w:tabs>
                <w:tab w:val="clear" w:pos="1701"/>
                <w:tab w:val="clear" w:pos="2268"/>
              </w:tabs>
              <w:suppressAutoHyphens w:val="0"/>
              <w:spacing w:before="80" w:after="80" w:line="200" w:lineRule="exact"/>
              <w:ind w:left="0" w:right="0"/>
              <w:jc w:val="left"/>
              <w:rPr>
                <w:i/>
                <w:sz w:val="16"/>
                <w:szCs w:val="16"/>
                <w:lang w:val="fr-FR"/>
              </w:rPr>
            </w:pPr>
            <w:r w:rsidRPr="00EE4C2A">
              <w:rPr>
                <w:i/>
                <w:iCs/>
                <w:sz w:val="16"/>
                <w:szCs w:val="16"/>
                <w:lang w:val="fr-FR"/>
              </w:rPr>
              <w:t>Pourcentage d</w:t>
            </w:r>
            <w:r w:rsidR="008279BF">
              <w:rPr>
                <w:i/>
                <w:iCs/>
                <w:sz w:val="16"/>
                <w:szCs w:val="16"/>
                <w:lang w:val="fr-FR"/>
              </w:rPr>
              <w:t>’</w:t>
            </w:r>
            <w:r w:rsidRPr="00EE4C2A">
              <w:rPr>
                <w:i/>
                <w:iCs/>
                <w:sz w:val="16"/>
                <w:szCs w:val="16"/>
                <w:lang w:val="fr-FR"/>
              </w:rPr>
              <w:t>enfants de moins de 5 ans considérés comme étant malnutris selon trois indices anthropométriques de l</w:t>
            </w:r>
            <w:r w:rsidR="008279BF">
              <w:rPr>
                <w:i/>
                <w:iCs/>
                <w:sz w:val="16"/>
                <w:szCs w:val="16"/>
                <w:lang w:val="fr-FR"/>
              </w:rPr>
              <w:t>’</w:t>
            </w:r>
            <w:r w:rsidRPr="00EE4C2A">
              <w:rPr>
                <w:i/>
                <w:iCs/>
                <w:sz w:val="16"/>
                <w:szCs w:val="16"/>
                <w:lang w:val="fr-FR"/>
              </w:rPr>
              <w:t xml:space="preserve">état nutritionnel : rapport taille-âge, rapport poids-taille et rapport poids-âge, selon les caractéristiques de base </w:t>
            </w:r>
            <w:r w:rsidR="008279BF">
              <w:rPr>
                <w:i/>
                <w:iCs/>
                <w:sz w:val="16"/>
                <w:szCs w:val="16"/>
                <w:lang w:val="fr-FR"/>
              </w:rPr>
              <w:t>(</w:t>
            </w:r>
            <w:r w:rsidRPr="00EE4C2A">
              <w:rPr>
                <w:i/>
                <w:iCs/>
                <w:sz w:val="16"/>
                <w:szCs w:val="16"/>
                <w:lang w:val="fr-FR"/>
              </w:rPr>
              <w:t>Enquête nationale démographique et sanitaire de 2018</w:t>
            </w:r>
            <w:r w:rsidR="008279BF">
              <w:rPr>
                <w:i/>
                <w:iCs/>
                <w:sz w:val="16"/>
                <w:szCs w:val="16"/>
                <w:lang w:val="fr-FR"/>
              </w:rPr>
              <w:t>)</w:t>
            </w:r>
            <w:r w:rsidRPr="00EE4C2A">
              <w:rPr>
                <w:sz w:val="16"/>
                <w:szCs w:val="16"/>
                <w:lang w:val="fr-FR"/>
              </w:rPr>
              <w:t xml:space="preserve"> </w:t>
            </w:r>
          </w:p>
        </w:tc>
      </w:tr>
      <w:tr w:rsidR="00046F46" w:rsidRPr="00EE4C2A" w14:paraId="1E9BD4DB" w14:textId="77777777" w:rsidTr="004C1F7B">
        <w:trPr>
          <w:tblHeader/>
        </w:trPr>
        <w:tc>
          <w:tcPr>
            <w:tcW w:w="1138" w:type="dxa"/>
            <w:vMerge w:val="restart"/>
            <w:tcBorders>
              <w:top w:val="single" w:sz="4" w:space="0" w:color="auto"/>
            </w:tcBorders>
            <w:shd w:val="clear" w:color="auto" w:fill="auto"/>
            <w:vAlign w:val="bottom"/>
          </w:tcPr>
          <w:p w14:paraId="732328AD" w14:textId="77777777" w:rsidR="00046F46" w:rsidRPr="00EE4C2A" w:rsidRDefault="00046F46" w:rsidP="00CB5D24">
            <w:pPr>
              <w:pStyle w:val="SingleTxtG"/>
              <w:spacing w:before="80" w:after="80" w:line="200" w:lineRule="exact"/>
              <w:ind w:left="0" w:right="0"/>
              <w:jc w:val="left"/>
              <w:rPr>
                <w:sz w:val="16"/>
                <w:szCs w:val="16"/>
                <w:lang w:val="fr-FR"/>
              </w:rPr>
            </w:pPr>
            <w:r w:rsidRPr="00EE4C2A">
              <w:rPr>
                <w:i/>
                <w:iCs/>
                <w:sz w:val="16"/>
                <w:szCs w:val="16"/>
                <w:lang w:val="fr-FR"/>
              </w:rPr>
              <w:t>Caractéristique de base</w:t>
            </w:r>
          </w:p>
        </w:tc>
        <w:tc>
          <w:tcPr>
            <w:tcW w:w="1580" w:type="dxa"/>
            <w:gridSpan w:val="2"/>
            <w:tcBorders>
              <w:top w:val="single" w:sz="4" w:space="0" w:color="auto"/>
              <w:bottom w:val="single" w:sz="4" w:space="0" w:color="auto"/>
            </w:tcBorders>
            <w:shd w:val="clear" w:color="auto" w:fill="auto"/>
          </w:tcPr>
          <w:p w14:paraId="26DC7A99"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center"/>
              <w:rPr>
                <w:i/>
                <w:sz w:val="16"/>
                <w:szCs w:val="16"/>
                <w:lang w:val="fr-FR"/>
              </w:rPr>
            </w:pPr>
            <w:r w:rsidRPr="00EE4C2A">
              <w:rPr>
                <w:i/>
                <w:iCs/>
                <w:sz w:val="16"/>
                <w:szCs w:val="16"/>
                <w:lang w:val="fr-FR"/>
              </w:rPr>
              <w:t>Rapport taille-âge</w:t>
            </w:r>
          </w:p>
        </w:tc>
        <w:tc>
          <w:tcPr>
            <w:tcW w:w="709" w:type="dxa"/>
            <w:tcBorders>
              <w:top w:val="single" w:sz="4" w:space="0" w:color="auto"/>
              <w:bottom w:val="nil"/>
            </w:tcBorders>
            <w:shd w:val="clear" w:color="auto" w:fill="auto"/>
          </w:tcPr>
          <w:p w14:paraId="7357FBE6"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center"/>
              <w:rPr>
                <w:i/>
                <w:sz w:val="16"/>
                <w:szCs w:val="16"/>
                <w:lang w:val="fr-FR"/>
              </w:rPr>
            </w:pPr>
          </w:p>
        </w:tc>
        <w:tc>
          <w:tcPr>
            <w:tcW w:w="2410" w:type="dxa"/>
            <w:gridSpan w:val="3"/>
            <w:tcBorders>
              <w:top w:val="single" w:sz="4" w:space="0" w:color="auto"/>
              <w:bottom w:val="single" w:sz="4" w:space="0" w:color="auto"/>
            </w:tcBorders>
            <w:shd w:val="clear" w:color="auto" w:fill="auto"/>
            <w:hideMark/>
          </w:tcPr>
          <w:p w14:paraId="116788DD"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center"/>
              <w:rPr>
                <w:i/>
                <w:sz w:val="16"/>
                <w:szCs w:val="16"/>
                <w:lang w:val="fr-FR"/>
              </w:rPr>
            </w:pPr>
            <w:r w:rsidRPr="00EE4C2A">
              <w:rPr>
                <w:i/>
                <w:iCs/>
                <w:sz w:val="16"/>
                <w:szCs w:val="16"/>
                <w:lang w:val="fr-FR"/>
              </w:rPr>
              <w:t>Rapport poids-taille</w:t>
            </w:r>
          </w:p>
        </w:tc>
        <w:tc>
          <w:tcPr>
            <w:tcW w:w="708" w:type="dxa"/>
            <w:tcBorders>
              <w:top w:val="single" w:sz="4" w:space="0" w:color="auto"/>
              <w:bottom w:val="nil"/>
            </w:tcBorders>
            <w:shd w:val="clear" w:color="auto" w:fill="auto"/>
            <w:hideMark/>
          </w:tcPr>
          <w:p w14:paraId="4BFA45C0"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center"/>
              <w:rPr>
                <w:i/>
                <w:sz w:val="16"/>
                <w:szCs w:val="16"/>
                <w:lang w:val="fr-FR"/>
              </w:rPr>
            </w:pPr>
          </w:p>
        </w:tc>
        <w:tc>
          <w:tcPr>
            <w:tcW w:w="2410" w:type="dxa"/>
            <w:gridSpan w:val="3"/>
            <w:tcBorders>
              <w:top w:val="single" w:sz="4" w:space="0" w:color="auto"/>
              <w:bottom w:val="single" w:sz="4" w:space="0" w:color="auto"/>
            </w:tcBorders>
            <w:shd w:val="clear" w:color="auto" w:fill="auto"/>
          </w:tcPr>
          <w:p w14:paraId="5B52AAD1"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center"/>
              <w:rPr>
                <w:i/>
                <w:sz w:val="16"/>
                <w:szCs w:val="16"/>
                <w:lang w:val="fr-FR"/>
              </w:rPr>
            </w:pPr>
            <w:r w:rsidRPr="00EE4C2A">
              <w:rPr>
                <w:i/>
                <w:iCs/>
                <w:sz w:val="16"/>
                <w:szCs w:val="16"/>
                <w:lang w:val="fr-FR"/>
              </w:rPr>
              <w:t>Rapport poids-âge</w:t>
            </w:r>
          </w:p>
        </w:tc>
        <w:tc>
          <w:tcPr>
            <w:tcW w:w="684" w:type="dxa"/>
            <w:tcBorders>
              <w:top w:val="single" w:sz="4" w:space="0" w:color="auto"/>
              <w:bottom w:val="nil"/>
            </w:tcBorders>
            <w:shd w:val="clear" w:color="auto" w:fill="auto"/>
            <w:hideMark/>
          </w:tcPr>
          <w:p w14:paraId="0D700C7D"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p>
        </w:tc>
      </w:tr>
      <w:tr w:rsidR="00046F46" w:rsidRPr="00EE4C2A" w14:paraId="3D48A130" w14:textId="77777777" w:rsidTr="004C1F7B">
        <w:trPr>
          <w:tblHeader/>
        </w:trPr>
        <w:tc>
          <w:tcPr>
            <w:tcW w:w="1138" w:type="dxa"/>
            <w:vMerge/>
            <w:tcBorders>
              <w:top w:val="nil"/>
              <w:bottom w:val="single" w:sz="4" w:space="0" w:color="auto"/>
            </w:tcBorders>
            <w:shd w:val="clear" w:color="auto" w:fill="auto"/>
            <w:vAlign w:val="bottom"/>
            <w:hideMark/>
          </w:tcPr>
          <w:p w14:paraId="5B4186EF"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left"/>
              <w:rPr>
                <w:sz w:val="16"/>
                <w:szCs w:val="16"/>
                <w:lang w:val="fr-FR"/>
              </w:rPr>
            </w:pPr>
          </w:p>
        </w:tc>
        <w:tc>
          <w:tcPr>
            <w:tcW w:w="760" w:type="dxa"/>
            <w:tcBorders>
              <w:top w:val="nil"/>
              <w:bottom w:val="single" w:sz="4" w:space="0" w:color="auto"/>
            </w:tcBorders>
            <w:shd w:val="clear" w:color="auto" w:fill="auto"/>
            <w:vAlign w:val="bottom"/>
            <w:hideMark/>
          </w:tcPr>
          <w:p w14:paraId="7BE2738F" w14:textId="7777777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Retard de croissance grave</w:t>
            </w:r>
          </w:p>
        </w:tc>
        <w:tc>
          <w:tcPr>
            <w:tcW w:w="820" w:type="dxa"/>
            <w:tcBorders>
              <w:top w:val="nil"/>
              <w:bottom w:val="single" w:sz="4" w:space="0" w:color="auto"/>
            </w:tcBorders>
            <w:shd w:val="clear" w:color="auto" w:fill="auto"/>
            <w:vAlign w:val="bottom"/>
            <w:hideMark/>
          </w:tcPr>
          <w:p w14:paraId="39783501" w14:textId="7777777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Retard de croissance</w:t>
            </w:r>
          </w:p>
        </w:tc>
        <w:tc>
          <w:tcPr>
            <w:tcW w:w="709" w:type="dxa"/>
            <w:tcBorders>
              <w:top w:val="nil"/>
              <w:bottom w:val="single" w:sz="4" w:space="0" w:color="auto"/>
            </w:tcBorders>
            <w:shd w:val="clear" w:color="auto" w:fill="auto"/>
            <w:vAlign w:val="bottom"/>
            <w:hideMark/>
          </w:tcPr>
          <w:p w14:paraId="53962B2C" w14:textId="4F0911D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Nombre d</w:t>
            </w:r>
            <w:r w:rsidR="008279BF">
              <w:rPr>
                <w:i/>
                <w:iCs/>
                <w:sz w:val="16"/>
                <w:szCs w:val="16"/>
                <w:lang w:val="fr-FR"/>
              </w:rPr>
              <w:t>’</w:t>
            </w:r>
            <w:r w:rsidRPr="0083586C">
              <w:rPr>
                <w:i/>
                <w:iCs/>
                <w:sz w:val="16"/>
                <w:szCs w:val="16"/>
                <w:lang w:val="fr-FR"/>
              </w:rPr>
              <w:t>enfants</w:t>
            </w:r>
          </w:p>
        </w:tc>
        <w:tc>
          <w:tcPr>
            <w:tcW w:w="850" w:type="dxa"/>
            <w:tcBorders>
              <w:top w:val="nil"/>
              <w:bottom w:val="single" w:sz="4" w:space="0" w:color="auto"/>
            </w:tcBorders>
            <w:shd w:val="clear" w:color="auto" w:fill="auto"/>
            <w:vAlign w:val="bottom"/>
            <w:hideMark/>
          </w:tcPr>
          <w:p w14:paraId="43031F96" w14:textId="7777777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Insuffisance pondérale grave</w:t>
            </w:r>
          </w:p>
        </w:tc>
        <w:tc>
          <w:tcPr>
            <w:tcW w:w="851" w:type="dxa"/>
            <w:tcBorders>
              <w:top w:val="nil"/>
              <w:bottom w:val="single" w:sz="4" w:space="0" w:color="auto"/>
            </w:tcBorders>
            <w:shd w:val="clear" w:color="auto" w:fill="auto"/>
            <w:vAlign w:val="bottom"/>
            <w:hideMark/>
          </w:tcPr>
          <w:p w14:paraId="69DF86D8" w14:textId="7777777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Insuffisance pondérale</w:t>
            </w:r>
          </w:p>
        </w:tc>
        <w:tc>
          <w:tcPr>
            <w:tcW w:w="709" w:type="dxa"/>
            <w:tcBorders>
              <w:top w:val="nil"/>
              <w:bottom w:val="single" w:sz="4" w:space="0" w:color="auto"/>
            </w:tcBorders>
            <w:shd w:val="clear" w:color="auto" w:fill="auto"/>
            <w:vAlign w:val="bottom"/>
            <w:hideMark/>
          </w:tcPr>
          <w:p w14:paraId="3F450601" w14:textId="7777777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Surpoids pour la taille</w:t>
            </w:r>
          </w:p>
        </w:tc>
        <w:tc>
          <w:tcPr>
            <w:tcW w:w="708" w:type="dxa"/>
            <w:tcBorders>
              <w:top w:val="nil"/>
              <w:bottom w:val="single" w:sz="4" w:space="0" w:color="auto"/>
            </w:tcBorders>
            <w:shd w:val="clear" w:color="auto" w:fill="auto"/>
            <w:vAlign w:val="bottom"/>
            <w:hideMark/>
          </w:tcPr>
          <w:p w14:paraId="56041FAA" w14:textId="192F022F"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Nombre d</w:t>
            </w:r>
            <w:r w:rsidR="008279BF">
              <w:rPr>
                <w:i/>
                <w:iCs/>
                <w:sz w:val="16"/>
                <w:szCs w:val="16"/>
                <w:lang w:val="fr-FR"/>
              </w:rPr>
              <w:t>’</w:t>
            </w:r>
            <w:r w:rsidRPr="0083586C">
              <w:rPr>
                <w:i/>
                <w:iCs/>
                <w:sz w:val="16"/>
                <w:szCs w:val="16"/>
                <w:lang w:val="fr-FR"/>
              </w:rPr>
              <w:t>enfants</w:t>
            </w:r>
          </w:p>
        </w:tc>
        <w:tc>
          <w:tcPr>
            <w:tcW w:w="851" w:type="dxa"/>
            <w:tcBorders>
              <w:top w:val="single" w:sz="4" w:space="0" w:color="auto"/>
              <w:bottom w:val="single" w:sz="4" w:space="0" w:color="auto"/>
            </w:tcBorders>
            <w:shd w:val="clear" w:color="auto" w:fill="auto"/>
            <w:vAlign w:val="bottom"/>
            <w:hideMark/>
          </w:tcPr>
          <w:p w14:paraId="773FABA6" w14:textId="7777777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Insuffisance pondérale grave</w:t>
            </w:r>
          </w:p>
        </w:tc>
        <w:tc>
          <w:tcPr>
            <w:tcW w:w="850" w:type="dxa"/>
            <w:tcBorders>
              <w:top w:val="single" w:sz="4" w:space="0" w:color="auto"/>
              <w:bottom w:val="single" w:sz="4" w:space="0" w:color="auto"/>
            </w:tcBorders>
            <w:shd w:val="clear" w:color="auto" w:fill="auto"/>
            <w:vAlign w:val="bottom"/>
            <w:hideMark/>
          </w:tcPr>
          <w:p w14:paraId="60A8F8E9" w14:textId="77777777"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Insuffisance pondérale</w:t>
            </w:r>
          </w:p>
        </w:tc>
        <w:tc>
          <w:tcPr>
            <w:tcW w:w="709" w:type="dxa"/>
            <w:tcBorders>
              <w:top w:val="single" w:sz="4" w:space="0" w:color="auto"/>
              <w:bottom w:val="single" w:sz="4" w:space="0" w:color="auto"/>
            </w:tcBorders>
            <w:shd w:val="clear" w:color="auto" w:fill="auto"/>
            <w:vAlign w:val="bottom"/>
            <w:hideMark/>
          </w:tcPr>
          <w:p w14:paraId="4D61FB5A" w14:textId="5A938BFC"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Surpoids pour l</w:t>
            </w:r>
            <w:r w:rsidR="008279BF">
              <w:rPr>
                <w:i/>
                <w:iCs/>
                <w:sz w:val="16"/>
                <w:szCs w:val="16"/>
                <w:lang w:val="fr-FR"/>
              </w:rPr>
              <w:t>’</w:t>
            </w:r>
            <w:r w:rsidRPr="0083586C">
              <w:rPr>
                <w:i/>
                <w:iCs/>
                <w:sz w:val="16"/>
                <w:szCs w:val="16"/>
                <w:lang w:val="fr-FR"/>
              </w:rPr>
              <w:t>âge</w:t>
            </w:r>
            <w:r w:rsidRPr="0083586C">
              <w:rPr>
                <w:sz w:val="16"/>
                <w:szCs w:val="16"/>
                <w:lang w:val="fr-FR"/>
              </w:rPr>
              <w:t xml:space="preserve"> </w:t>
            </w:r>
          </w:p>
        </w:tc>
        <w:tc>
          <w:tcPr>
            <w:tcW w:w="684" w:type="dxa"/>
            <w:tcBorders>
              <w:top w:val="nil"/>
              <w:bottom w:val="single" w:sz="4" w:space="0" w:color="auto"/>
            </w:tcBorders>
            <w:shd w:val="clear" w:color="auto" w:fill="auto"/>
            <w:vAlign w:val="bottom"/>
            <w:hideMark/>
          </w:tcPr>
          <w:p w14:paraId="42F49D70" w14:textId="42129ED1" w:rsidR="00046F46" w:rsidRPr="0083586C" w:rsidRDefault="00046F46" w:rsidP="00CB5D24">
            <w:pPr>
              <w:pStyle w:val="SingleTxtG"/>
              <w:tabs>
                <w:tab w:val="clear" w:pos="1701"/>
                <w:tab w:val="clear" w:pos="2268"/>
              </w:tabs>
              <w:suppressAutoHyphens w:val="0"/>
              <w:spacing w:before="80" w:after="80" w:line="200" w:lineRule="exact"/>
              <w:ind w:left="0" w:right="0"/>
              <w:jc w:val="right"/>
              <w:rPr>
                <w:i/>
                <w:sz w:val="16"/>
                <w:szCs w:val="16"/>
                <w:lang w:val="fr-FR"/>
              </w:rPr>
            </w:pPr>
            <w:r w:rsidRPr="0083586C">
              <w:rPr>
                <w:i/>
                <w:iCs/>
                <w:sz w:val="16"/>
                <w:szCs w:val="16"/>
                <w:lang w:val="fr-FR"/>
              </w:rPr>
              <w:t>Nombre d</w:t>
            </w:r>
            <w:r w:rsidR="008279BF">
              <w:rPr>
                <w:i/>
                <w:iCs/>
                <w:sz w:val="16"/>
                <w:szCs w:val="16"/>
                <w:lang w:val="fr-FR"/>
              </w:rPr>
              <w:t>’</w:t>
            </w:r>
            <w:r w:rsidRPr="0083586C">
              <w:rPr>
                <w:i/>
                <w:iCs/>
                <w:sz w:val="16"/>
                <w:szCs w:val="16"/>
                <w:lang w:val="fr-FR"/>
              </w:rPr>
              <w:t>enfants</w:t>
            </w:r>
          </w:p>
        </w:tc>
      </w:tr>
      <w:tr w:rsidR="00046F46" w:rsidRPr="00EE4C2A" w14:paraId="1EFA4C6C" w14:textId="77777777" w:rsidTr="004C1F7B">
        <w:trPr>
          <w:tblHeader/>
        </w:trPr>
        <w:tc>
          <w:tcPr>
            <w:tcW w:w="1138" w:type="dxa"/>
            <w:tcBorders>
              <w:top w:val="single" w:sz="4" w:space="0" w:color="auto"/>
              <w:bottom w:val="single" w:sz="12" w:space="0" w:color="auto"/>
            </w:tcBorders>
            <w:shd w:val="clear" w:color="auto" w:fill="auto"/>
            <w:hideMark/>
          </w:tcPr>
          <w:p w14:paraId="265C7D90" w14:textId="77777777" w:rsidR="00046F46" w:rsidRPr="00EE4C2A" w:rsidRDefault="00046F46" w:rsidP="00CB5D24">
            <w:pPr>
              <w:pStyle w:val="SingleTxtG"/>
              <w:tabs>
                <w:tab w:val="clear" w:pos="1701"/>
                <w:tab w:val="clear" w:pos="2268"/>
              </w:tabs>
              <w:suppressAutoHyphens w:val="0"/>
              <w:spacing w:before="80" w:after="80" w:line="200" w:lineRule="exact"/>
              <w:ind w:left="0" w:right="0"/>
              <w:jc w:val="left"/>
              <w:rPr>
                <w:b/>
                <w:bCs/>
                <w:sz w:val="16"/>
                <w:szCs w:val="16"/>
                <w:lang w:val="fr-FR"/>
              </w:rPr>
            </w:pPr>
            <w:r w:rsidRPr="00EE4C2A">
              <w:rPr>
                <w:i/>
                <w:iCs/>
                <w:sz w:val="16"/>
                <w:szCs w:val="16"/>
                <w:lang w:val="fr-FR"/>
              </w:rPr>
              <w:t>Âge en mois</w:t>
            </w:r>
          </w:p>
        </w:tc>
        <w:tc>
          <w:tcPr>
            <w:tcW w:w="760" w:type="dxa"/>
            <w:tcBorders>
              <w:top w:val="single" w:sz="4" w:space="0" w:color="auto"/>
              <w:bottom w:val="single" w:sz="12" w:space="0" w:color="auto"/>
            </w:tcBorders>
            <w:shd w:val="clear" w:color="auto" w:fill="auto"/>
            <w:hideMark/>
          </w:tcPr>
          <w:p w14:paraId="4549CFF5"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b/>
                <w:bCs/>
                <w:sz w:val="16"/>
                <w:szCs w:val="16"/>
                <w:lang w:val="fr-FR"/>
              </w:rPr>
            </w:pPr>
          </w:p>
        </w:tc>
        <w:tc>
          <w:tcPr>
            <w:tcW w:w="820" w:type="dxa"/>
            <w:tcBorders>
              <w:top w:val="single" w:sz="4" w:space="0" w:color="auto"/>
              <w:bottom w:val="single" w:sz="12" w:space="0" w:color="auto"/>
            </w:tcBorders>
            <w:shd w:val="clear" w:color="auto" w:fill="auto"/>
            <w:hideMark/>
          </w:tcPr>
          <w:p w14:paraId="3BBBD141"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709" w:type="dxa"/>
            <w:tcBorders>
              <w:top w:val="single" w:sz="4" w:space="0" w:color="auto"/>
              <w:bottom w:val="single" w:sz="12" w:space="0" w:color="auto"/>
            </w:tcBorders>
            <w:shd w:val="clear" w:color="auto" w:fill="auto"/>
            <w:hideMark/>
          </w:tcPr>
          <w:p w14:paraId="2F578FFE"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850" w:type="dxa"/>
            <w:tcBorders>
              <w:top w:val="single" w:sz="4" w:space="0" w:color="auto"/>
              <w:bottom w:val="single" w:sz="12" w:space="0" w:color="auto"/>
            </w:tcBorders>
            <w:shd w:val="clear" w:color="auto" w:fill="auto"/>
            <w:hideMark/>
          </w:tcPr>
          <w:p w14:paraId="4D3BD3E5"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851" w:type="dxa"/>
            <w:tcBorders>
              <w:top w:val="single" w:sz="4" w:space="0" w:color="auto"/>
              <w:bottom w:val="single" w:sz="12" w:space="0" w:color="auto"/>
            </w:tcBorders>
            <w:shd w:val="clear" w:color="auto" w:fill="auto"/>
            <w:hideMark/>
          </w:tcPr>
          <w:p w14:paraId="0B3CE31E"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709" w:type="dxa"/>
            <w:tcBorders>
              <w:top w:val="single" w:sz="4" w:space="0" w:color="auto"/>
              <w:bottom w:val="single" w:sz="12" w:space="0" w:color="auto"/>
            </w:tcBorders>
            <w:shd w:val="clear" w:color="auto" w:fill="auto"/>
            <w:hideMark/>
          </w:tcPr>
          <w:p w14:paraId="39E1B118"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708" w:type="dxa"/>
            <w:tcBorders>
              <w:top w:val="single" w:sz="4" w:space="0" w:color="auto"/>
              <w:bottom w:val="single" w:sz="12" w:space="0" w:color="auto"/>
            </w:tcBorders>
            <w:shd w:val="clear" w:color="auto" w:fill="auto"/>
            <w:hideMark/>
          </w:tcPr>
          <w:p w14:paraId="2253AC3A"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851" w:type="dxa"/>
            <w:tcBorders>
              <w:top w:val="single" w:sz="4" w:space="0" w:color="auto"/>
              <w:bottom w:val="single" w:sz="12" w:space="0" w:color="auto"/>
            </w:tcBorders>
            <w:shd w:val="clear" w:color="auto" w:fill="auto"/>
            <w:hideMark/>
          </w:tcPr>
          <w:p w14:paraId="7F0303FC"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850" w:type="dxa"/>
            <w:tcBorders>
              <w:top w:val="single" w:sz="4" w:space="0" w:color="auto"/>
              <w:bottom w:val="single" w:sz="12" w:space="0" w:color="auto"/>
            </w:tcBorders>
            <w:shd w:val="clear" w:color="auto" w:fill="auto"/>
            <w:hideMark/>
          </w:tcPr>
          <w:p w14:paraId="31BCCF5C"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709" w:type="dxa"/>
            <w:tcBorders>
              <w:top w:val="single" w:sz="4" w:space="0" w:color="auto"/>
              <w:bottom w:val="single" w:sz="12" w:space="0" w:color="auto"/>
            </w:tcBorders>
            <w:shd w:val="clear" w:color="auto" w:fill="auto"/>
            <w:hideMark/>
          </w:tcPr>
          <w:p w14:paraId="336BDD28"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c>
          <w:tcPr>
            <w:tcW w:w="684" w:type="dxa"/>
            <w:tcBorders>
              <w:top w:val="single" w:sz="4" w:space="0" w:color="auto"/>
              <w:bottom w:val="single" w:sz="12" w:space="0" w:color="auto"/>
            </w:tcBorders>
            <w:shd w:val="clear" w:color="auto" w:fill="auto"/>
            <w:hideMark/>
          </w:tcPr>
          <w:p w14:paraId="4C100E1D" w14:textId="77777777" w:rsidR="00046F46" w:rsidRPr="00EE4C2A" w:rsidRDefault="00046F46" w:rsidP="00CB5D24">
            <w:pPr>
              <w:pStyle w:val="SingleTxtG"/>
              <w:tabs>
                <w:tab w:val="clear" w:pos="1701"/>
                <w:tab w:val="clear" w:pos="2268"/>
              </w:tabs>
              <w:suppressAutoHyphens w:val="0"/>
              <w:spacing w:before="40" w:after="40" w:line="220" w:lineRule="exact"/>
              <w:ind w:left="0" w:right="0"/>
              <w:jc w:val="left"/>
              <w:rPr>
                <w:sz w:val="16"/>
                <w:szCs w:val="16"/>
                <w:lang w:val="fr-FR"/>
              </w:rPr>
            </w:pPr>
          </w:p>
        </w:tc>
      </w:tr>
      <w:tr w:rsidR="00046F46" w:rsidRPr="00EE4C2A" w14:paraId="4E93FD99" w14:textId="77777777" w:rsidTr="004C1F7B">
        <w:tc>
          <w:tcPr>
            <w:tcW w:w="1138" w:type="dxa"/>
            <w:tcBorders>
              <w:top w:val="single" w:sz="12" w:space="0" w:color="auto"/>
            </w:tcBorders>
            <w:shd w:val="clear" w:color="auto" w:fill="auto"/>
            <w:hideMark/>
          </w:tcPr>
          <w:p w14:paraId="0352959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&lt;6 </w:t>
            </w:r>
          </w:p>
        </w:tc>
        <w:tc>
          <w:tcPr>
            <w:tcW w:w="760" w:type="dxa"/>
            <w:tcBorders>
              <w:top w:val="single" w:sz="12" w:space="0" w:color="auto"/>
            </w:tcBorders>
            <w:shd w:val="clear" w:color="auto" w:fill="auto"/>
            <w:hideMark/>
          </w:tcPr>
          <w:p w14:paraId="1240965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6,7</w:t>
            </w:r>
          </w:p>
        </w:tc>
        <w:tc>
          <w:tcPr>
            <w:tcW w:w="820" w:type="dxa"/>
            <w:tcBorders>
              <w:top w:val="single" w:sz="12" w:space="0" w:color="auto"/>
            </w:tcBorders>
            <w:shd w:val="clear" w:color="auto" w:fill="auto"/>
            <w:hideMark/>
          </w:tcPr>
          <w:p w14:paraId="52D4906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18,7</w:t>
            </w:r>
          </w:p>
        </w:tc>
        <w:tc>
          <w:tcPr>
            <w:tcW w:w="709" w:type="dxa"/>
            <w:tcBorders>
              <w:top w:val="single" w:sz="12" w:space="0" w:color="auto"/>
            </w:tcBorders>
            <w:shd w:val="clear" w:color="auto" w:fill="auto"/>
            <w:hideMark/>
          </w:tcPr>
          <w:p w14:paraId="3FB58A0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997</w:t>
            </w:r>
          </w:p>
        </w:tc>
        <w:tc>
          <w:tcPr>
            <w:tcW w:w="850" w:type="dxa"/>
            <w:tcBorders>
              <w:top w:val="single" w:sz="12" w:space="0" w:color="auto"/>
            </w:tcBorders>
            <w:shd w:val="clear" w:color="auto" w:fill="auto"/>
            <w:hideMark/>
          </w:tcPr>
          <w:p w14:paraId="327C0B2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2,4</w:t>
            </w:r>
          </w:p>
        </w:tc>
        <w:tc>
          <w:tcPr>
            <w:tcW w:w="851" w:type="dxa"/>
            <w:tcBorders>
              <w:top w:val="single" w:sz="12" w:space="0" w:color="auto"/>
            </w:tcBorders>
            <w:shd w:val="clear" w:color="auto" w:fill="auto"/>
            <w:hideMark/>
          </w:tcPr>
          <w:p w14:paraId="5BC39E6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5,1</w:t>
            </w:r>
          </w:p>
        </w:tc>
        <w:tc>
          <w:tcPr>
            <w:tcW w:w="709" w:type="dxa"/>
            <w:tcBorders>
              <w:top w:val="single" w:sz="12" w:space="0" w:color="auto"/>
            </w:tcBorders>
            <w:shd w:val="clear" w:color="auto" w:fill="auto"/>
            <w:hideMark/>
          </w:tcPr>
          <w:p w14:paraId="7AA0656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w:t>
            </w:r>
          </w:p>
        </w:tc>
        <w:tc>
          <w:tcPr>
            <w:tcW w:w="708" w:type="dxa"/>
            <w:tcBorders>
              <w:top w:val="single" w:sz="12" w:space="0" w:color="auto"/>
            </w:tcBorders>
            <w:shd w:val="clear" w:color="auto" w:fill="auto"/>
            <w:hideMark/>
          </w:tcPr>
          <w:p w14:paraId="765E082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968</w:t>
            </w:r>
          </w:p>
        </w:tc>
        <w:tc>
          <w:tcPr>
            <w:tcW w:w="851" w:type="dxa"/>
            <w:tcBorders>
              <w:top w:val="single" w:sz="12" w:space="0" w:color="auto"/>
            </w:tcBorders>
            <w:shd w:val="clear" w:color="auto" w:fill="auto"/>
            <w:hideMark/>
          </w:tcPr>
          <w:p w14:paraId="106C098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2,1</w:t>
            </w:r>
          </w:p>
        </w:tc>
        <w:tc>
          <w:tcPr>
            <w:tcW w:w="850" w:type="dxa"/>
            <w:tcBorders>
              <w:top w:val="single" w:sz="12" w:space="0" w:color="auto"/>
            </w:tcBorders>
            <w:shd w:val="clear" w:color="auto" w:fill="auto"/>
            <w:hideMark/>
          </w:tcPr>
          <w:p w14:paraId="1BB5500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7,6</w:t>
            </w:r>
          </w:p>
        </w:tc>
        <w:tc>
          <w:tcPr>
            <w:tcW w:w="709" w:type="dxa"/>
            <w:tcBorders>
              <w:top w:val="single" w:sz="12" w:space="0" w:color="auto"/>
            </w:tcBorders>
            <w:shd w:val="clear" w:color="auto" w:fill="auto"/>
            <w:hideMark/>
          </w:tcPr>
          <w:p w14:paraId="15CC4FA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3,3</w:t>
            </w:r>
          </w:p>
        </w:tc>
        <w:tc>
          <w:tcPr>
            <w:tcW w:w="684" w:type="dxa"/>
            <w:tcBorders>
              <w:top w:val="single" w:sz="12" w:space="0" w:color="auto"/>
            </w:tcBorders>
            <w:shd w:val="clear" w:color="auto" w:fill="auto"/>
            <w:hideMark/>
          </w:tcPr>
          <w:p w14:paraId="5A17653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1 015</w:t>
            </w:r>
          </w:p>
        </w:tc>
      </w:tr>
      <w:tr w:rsidR="00046F46" w:rsidRPr="00EE4C2A" w14:paraId="596B56EE" w14:textId="77777777" w:rsidTr="004C1F7B">
        <w:tc>
          <w:tcPr>
            <w:tcW w:w="1138" w:type="dxa"/>
            <w:shd w:val="clear" w:color="auto" w:fill="auto"/>
            <w:hideMark/>
          </w:tcPr>
          <w:p w14:paraId="1E74BD03" w14:textId="39D4E40F"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6</w:t>
            </w:r>
            <w:r w:rsidR="0083586C">
              <w:rPr>
                <w:sz w:val="18"/>
                <w:szCs w:val="18"/>
                <w:lang w:val="fr-FR"/>
              </w:rPr>
              <w:t>-</w:t>
            </w:r>
            <w:r w:rsidRPr="00EE4C2A">
              <w:rPr>
                <w:sz w:val="18"/>
                <w:szCs w:val="18"/>
                <w:lang w:val="fr-FR"/>
              </w:rPr>
              <w:t>8</w:t>
            </w:r>
          </w:p>
        </w:tc>
        <w:tc>
          <w:tcPr>
            <w:tcW w:w="760" w:type="dxa"/>
            <w:shd w:val="clear" w:color="auto" w:fill="auto"/>
            <w:hideMark/>
          </w:tcPr>
          <w:p w14:paraId="7F83DB2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7,1</w:t>
            </w:r>
          </w:p>
        </w:tc>
        <w:tc>
          <w:tcPr>
            <w:tcW w:w="820" w:type="dxa"/>
            <w:shd w:val="clear" w:color="auto" w:fill="auto"/>
            <w:hideMark/>
          </w:tcPr>
          <w:p w14:paraId="007C4B4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22,5</w:t>
            </w:r>
          </w:p>
        </w:tc>
        <w:tc>
          <w:tcPr>
            <w:tcW w:w="709" w:type="dxa"/>
            <w:shd w:val="clear" w:color="auto" w:fill="auto"/>
            <w:hideMark/>
          </w:tcPr>
          <w:p w14:paraId="3B61AFD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459</w:t>
            </w:r>
          </w:p>
        </w:tc>
        <w:tc>
          <w:tcPr>
            <w:tcW w:w="850" w:type="dxa"/>
            <w:shd w:val="clear" w:color="auto" w:fill="auto"/>
            <w:hideMark/>
          </w:tcPr>
          <w:p w14:paraId="2DA400B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851" w:type="dxa"/>
            <w:shd w:val="clear" w:color="auto" w:fill="auto"/>
            <w:hideMark/>
          </w:tcPr>
          <w:p w14:paraId="07BCF6A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3,7</w:t>
            </w:r>
          </w:p>
        </w:tc>
        <w:tc>
          <w:tcPr>
            <w:tcW w:w="709" w:type="dxa"/>
            <w:shd w:val="clear" w:color="auto" w:fill="auto"/>
            <w:hideMark/>
          </w:tcPr>
          <w:p w14:paraId="774E392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5,9</w:t>
            </w:r>
          </w:p>
        </w:tc>
        <w:tc>
          <w:tcPr>
            <w:tcW w:w="708" w:type="dxa"/>
            <w:shd w:val="clear" w:color="auto" w:fill="auto"/>
            <w:hideMark/>
          </w:tcPr>
          <w:p w14:paraId="0EF395F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454</w:t>
            </w:r>
          </w:p>
        </w:tc>
        <w:tc>
          <w:tcPr>
            <w:tcW w:w="851" w:type="dxa"/>
            <w:shd w:val="clear" w:color="auto" w:fill="auto"/>
            <w:hideMark/>
          </w:tcPr>
          <w:p w14:paraId="31CDD87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2,4</w:t>
            </w:r>
          </w:p>
        </w:tc>
        <w:tc>
          <w:tcPr>
            <w:tcW w:w="850" w:type="dxa"/>
            <w:shd w:val="clear" w:color="auto" w:fill="auto"/>
            <w:hideMark/>
          </w:tcPr>
          <w:p w14:paraId="40F600A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10,1</w:t>
            </w:r>
          </w:p>
        </w:tc>
        <w:tc>
          <w:tcPr>
            <w:tcW w:w="709" w:type="dxa"/>
            <w:shd w:val="clear" w:color="auto" w:fill="auto"/>
            <w:hideMark/>
          </w:tcPr>
          <w:p w14:paraId="3883118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w:t>
            </w:r>
          </w:p>
        </w:tc>
        <w:tc>
          <w:tcPr>
            <w:tcW w:w="684" w:type="dxa"/>
            <w:shd w:val="clear" w:color="auto" w:fill="auto"/>
            <w:hideMark/>
          </w:tcPr>
          <w:p w14:paraId="1745521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467</w:t>
            </w:r>
          </w:p>
        </w:tc>
      </w:tr>
      <w:tr w:rsidR="00046F46" w:rsidRPr="00EE4C2A" w14:paraId="6470661D" w14:textId="77777777" w:rsidTr="004C1F7B">
        <w:tc>
          <w:tcPr>
            <w:tcW w:w="1138" w:type="dxa"/>
            <w:shd w:val="clear" w:color="auto" w:fill="auto"/>
            <w:hideMark/>
          </w:tcPr>
          <w:p w14:paraId="05F2DE1A" w14:textId="5C972F22"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9</w:t>
            </w:r>
            <w:r w:rsidR="0083586C">
              <w:rPr>
                <w:sz w:val="18"/>
                <w:szCs w:val="18"/>
                <w:lang w:val="fr-FR"/>
              </w:rPr>
              <w:t>-</w:t>
            </w:r>
            <w:r w:rsidRPr="00EE4C2A">
              <w:rPr>
                <w:sz w:val="18"/>
                <w:szCs w:val="18"/>
                <w:lang w:val="fr-FR"/>
              </w:rPr>
              <w:t>11</w:t>
            </w:r>
          </w:p>
        </w:tc>
        <w:tc>
          <w:tcPr>
            <w:tcW w:w="760" w:type="dxa"/>
            <w:shd w:val="clear" w:color="auto" w:fill="auto"/>
            <w:hideMark/>
          </w:tcPr>
          <w:p w14:paraId="513F45A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9,8</w:t>
            </w:r>
          </w:p>
        </w:tc>
        <w:tc>
          <w:tcPr>
            <w:tcW w:w="820" w:type="dxa"/>
            <w:shd w:val="clear" w:color="auto" w:fill="auto"/>
            <w:hideMark/>
          </w:tcPr>
          <w:p w14:paraId="036069C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28,5</w:t>
            </w:r>
          </w:p>
        </w:tc>
        <w:tc>
          <w:tcPr>
            <w:tcW w:w="709" w:type="dxa"/>
            <w:shd w:val="clear" w:color="auto" w:fill="auto"/>
            <w:hideMark/>
          </w:tcPr>
          <w:p w14:paraId="24C66A5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476</w:t>
            </w:r>
          </w:p>
        </w:tc>
        <w:tc>
          <w:tcPr>
            <w:tcW w:w="850" w:type="dxa"/>
            <w:shd w:val="clear" w:color="auto" w:fill="auto"/>
            <w:hideMark/>
          </w:tcPr>
          <w:p w14:paraId="6AEA087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w:t>
            </w:r>
          </w:p>
        </w:tc>
        <w:tc>
          <w:tcPr>
            <w:tcW w:w="851" w:type="dxa"/>
            <w:shd w:val="clear" w:color="auto" w:fill="auto"/>
            <w:hideMark/>
          </w:tcPr>
          <w:p w14:paraId="2F53589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6,6</w:t>
            </w:r>
          </w:p>
        </w:tc>
        <w:tc>
          <w:tcPr>
            <w:tcW w:w="709" w:type="dxa"/>
            <w:shd w:val="clear" w:color="auto" w:fill="auto"/>
            <w:hideMark/>
          </w:tcPr>
          <w:p w14:paraId="2B7A0B2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5,6</w:t>
            </w:r>
          </w:p>
        </w:tc>
        <w:tc>
          <w:tcPr>
            <w:tcW w:w="708" w:type="dxa"/>
            <w:shd w:val="clear" w:color="auto" w:fill="auto"/>
            <w:hideMark/>
          </w:tcPr>
          <w:p w14:paraId="040A5B1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476</w:t>
            </w:r>
          </w:p>
        </w:tc>
        <w:tc>
          <w:tcPr>
            <w:tcW w:w="851" w:type="dxa"/>
            <w:shd w:val="clear" w:color="auto" w:fill="auto"/>
            <w:hideMark/>
          </w:tcPr>
          <w:p w14:paraId="1C545FB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2,1</w:t>
            </w:r>
          </w:p>
        </w:tc>
        <w:tc>
          <w:tcPr>
            <w:tcW w:w="850" w:type="dxa"/>
            <w:shd w:val="clear" w:color="auto" w:fill="auto"/>
            <w:hideMark/>
          </w:tcPr>
          <w:p w14:paraId="6BE990D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12,7</w:t>
            </w:r>
          </w:p>
        </w:tc>
        <w:tc>
          <w:tcPr>
            <w:tcW w:w="709" w:type="dxa"/>
            <w:shd w:val="clear" w:color="auto" w:fill="auto"/>
            <w:hideMark/>
          </w:tcPr>
          <w:p w14:paraId="7A66E81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684" w:type="dxa"/>
            <w:shd w:val="clear" w:color="auto" w:fill="auto"/>
            <w:hideMark/>
          </w:tcPr>
          <w:p w14:paraId="58E1AB2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482</w:t>
            </w:r>
          </w:p>
        </w:tc>
      </w:tr>
      <w:tr w:rsidR="00046F46" w:rsidRPr="00EE4C2A" w14:paraId="37851469" w14:textId="77777777" w:rsidTr="004C1F7B">
        <w:tc>
          <w:tcPr>
            <w:tcW w:w="1138" w:type="dxa"/>
            <w:shd w:val="clear" w:color="auto" w:fill="auto"/>
            <w:hideMark/>
          </w:tcPr>
          <w:p w14:paraId="470A4A0A" w14:textId="7D75C8C0"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12</w:t>
            </w:r>
            <w:r w:rsidR="0083586C">
              <w:rPr>
                <w:sz w:val="18"/>
                <w:szCs w:val="18"/>
                <w:lang w:val="fr-FR"/>
              </w:rPr>
              <w:t>-</w:t>
            </w:r>
            <w:r w:rsidRPr="00EE4C2A">
              <w:rPr>
                <w:sz w:val="18"/>
                <w:szCs w:val="18"/>
                <w:lang w:val="fr-FR"/>
              </w:rPr>
              <w:t>17</w:t>
            </w:r>
          </w:p>
        </w:tc>
        <w:tc>
          <w:tcPr>
            <w:tcW w:w="760" w:type="dxa"/>
            <w:shd w:val="clear" w:color="auto" w:fill="auto"/>
            <w:hideMark/>
          </w:tcPr>
          <w:p w14:paraId="70C743D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13,6</w:t>
            </w:r>
          </w:p>
        </w:tc>
        <w:tc>
          <w:tcPr>
            <w:tcW w:w="820" w:type="dxa"/>
            <w:shd w:val="clear" w:color="auto" w:fill="auto"/>
            <w:hideMark/>
          </w:tcPr>
          <w:p w14:paraId="2783542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36,2</w:t>
            </w:r>
          </w:p>
        </w:tc>
        <w:tc>
          <w:tcPr>
            <w:tcW w:w="709" w:type="dxa"/>
            <w:shd w:val="clear" w:color="auto" w:fill="auto"/>
            <w:hideMark/>
          </w:tcPr>
          <w:p w14:paraId="743FE7C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962</w:t>
            </w:r>
          </w:p>
        </w:tc>
        <w:tc>
          <w:tcPr>
            <w:tcW w:w="850" w:type="dxa"/>
            <w:shd w:val="clear" w:color="auto" w:fill="auto"/>
            <w:hideMark/>
          </w:tcPr>
          <w:p w14:paraId="52ABC36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2,3</w:t>
            </w:r>
          </w:p>
        </w:tc>
        <w:tc>
          <w:tcPr>
            <w:tcW w:w="851" w:type="dxa"/>
            <w:shd w:val="clear" w:color="auto" w:fill="auto"/>
            <w:hideMark/>
          </w:tcPr>
          <w:p w14:paraId="227498B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w:t>
            </w:r>
          </w:p>
        </w:tc>
        <w:tc>
          <w:tcPr>
            <w:tcW w:w="709" w:type="dxa"/>
            <w:shd w:val="clear" w:color="auto" w:fill="auto"/>
            <w:hideMark/>
          </w:tcPr>
          <w:p w14:paraId="6E1485B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5,2</w:t>
            </w:r>
          </w:p>
        </w:tc>
        <w:tc>
          <w:tcPr>
            <w:tcW w:w="708" w:type="dxa"/>
            <w:shd w:val="clear" w:color="auto" w:fill="auto"/>
            <w:hideMark/>
          </w:tcPr>
          <w:p w14:paraId="2459BAE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964</w:t>
            </w:r>
          </w:p>
        </w:tc>
        <w:tc>
          <w:tcPr>
            <w:tcW w:w="851" w:type="dxa"/>
            <w:shd w:val="clear" w:color="auto" w:fill="auto"/>
            <w:hideMark/>
          </w:tcPr>
          <w:p w14:paraId="2163330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3,2</w:t>
            </w:r>
          </w:p>
        </w:tc>
        <w:tc>
          <w:tcPr>
            <w:tcW w:w="850" w:type="dxa"/>
            <w:shd w:val="clear" w:color="auto" w:fill="auto"/>
            <w:hideMark/>
          </w:tcPr>
          <w:p w14:paraId="75A8DBC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13,4</w:t>
            </w:r>
          </w:p>
        </w:tc>
        <w:tc>
          <w:tcPr>
            <w:tcW w:w="709" w:type="dxa"/>
            <w:shd w:val="clear" w:color="auto" w:fill="auto"/>
            <w:hideMark/>
          </w:tcPr>
          <w:p w14:paraId="6A04F58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0,6</w:t>
            </w:r>
          </w:p>
        </w:tc>
        <w:tc>
          <w:tcPr>
            <w:tcW w:w="684" w:type="dxa"/>
            <w:shd w:val="clear" w:color="auto" w:fill="auto"/>
            <w:hideMark/>
          </w:tcPr>
          <w:p w14:paraId="5B4D175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969</w:t>
            </w:r>
          </w:p>
        </w:tc>
      </w:tr>
      <w:tr w:rsidR="00046F46" w:rsidRPr="00EE4C2A" w14:paraId="3F15BA65" w14:textId="77777777" w:rsidTr="004C1F7B">
        <w:tc>
          <w:tcPr>
            <w:tcW w:w="1138" w:type="dxa"/>
            <w:shd w:val="clear" w:color="auto" w:fill="auto"/>
            <w:hideMark/>
          </w:tcPr>
          <w:p w14:paraId="076CD5A4" w14:textId="5C4D897C"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18</w:t>
            </w:r>
            <w:r w:rsidR="0083586C">
              <w:rPr>
                <w:sz w:val="18"/>
                <w:szCs w:val="18"/>
                <w:lang w:val="fr-FR"/>
              </w:rPr>
              <w:t>-</w:t>
            </w:r>
            <w:r w:rsidRPr="00EE4C2A">
              <w:rPr>
                <w:sz w:val="18"/>
                <w:szCs w:val="18"/>
                <w:lang w:val="fr-FR"/>
              </w:rPr>
              <w:t xml:space="preserve">23 </w:t>
            </w:r>
          </w:p>
        </w:tc>
        <w:tc>
          <w:tcPr>
            <w:tcW w:w="760" w:type="dxa"/>
            <w:shd w:val="clear" w:color="auto" w:fill="auto"/>
            <w:hideMark/>
          </w:tcPr>
          <w:p w14:paraId="754CB1B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20</w:t>
            </w:r>
          </w:p>
        </w:tc>
        <w:tc>
          <w:tcPr>
            <w:tcW w:w="820" w:type="dxa"/>
            <w:shd w:val="clear" w:color="auto" w:fill="auto"/>
            <w:hideMark/>
          </w:tcPr>
          <w:p w14:paraId="1A4AC21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46,3</w:t>
            </w:r>
          </w:p>
        </w:tc>
        <w:tc>
          <w:tcPr>
            <w:tcW w:w="709" w:type="dxa"/>
            <w:shd w:val="clear" w:color="auto" w:fill="auto"/>
            <w:hideMark/>
          </w:tcPr>
          <w:p w14:paraId="410431D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946</w:t>
            </w:r>
          </w:p>
        </w:tc>
        <w:tc>
          <w:tcPr>
            <w:tcW w:w="850" w:type="dxa"/>
            <w:shd w:val="clear" w:color="auto" w:fill="auto"/>
            <w:hideMark/>
          </w:tcPr>
          <w:p w14:paraId="58F8BDE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w:t>
            </w:r>
          </w:p>
        </w:tc>
        <w:tc>
          <w:tcPr>
            <w:tcW w:w="851" w:type="dxa"/>
            <w:shd w:val="clear" w:color="auto" w:fill="auto"/>
            <w:hideMark/>
          </w:tcPr>
          <w:p w14:paraId="599A149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4,6</w:t>
            </w:r>
          </w:p>
        </w:tc>
        <w:tc>
          <w:tcPr>
            <w:tcW w:w="709" w:type="dxa"/>
            <w:shd w:val="clear" w:color="auto" w:fill="auto"/>
            <w:hideMark/>
          </w:tcPr>
          <w:p w14:paraId="0715D91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5,2</w:t>
            </w:r>
          </w:p>
        </w:tc>
        <w:tc>
          <w:tcPr>
            <w:tcW w:w="708" w:type="dxa"/>
            <w:shd w:val="clear" w:color="auto" w:fill="auto"/>
            <w:hideMark/>
          </w:tcPr>
          <w:p w14:paraId="6C367CE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949</w:t>
            </w:r>
          </w:p>
        </w:tc>
        <w:tc>
          <w:tcPr>
            <w:tcW w:w="851" w:type="dxa"/>
            <w:shd w:val="clear" w:color="auto" w:fill="auto"/>
            <w:hideMark/>
          </w:tcPr>
          <w:p w14:paraId="0162AE8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2,8</w:t>
            </w:r>
          </w:p>
        </w:tc>
        <w:tc>
          <w:tcPr>
            <w:tcW w:w="850" w:type="dxa"/>
            <w:shd w:val="clear" w:color="auto" w:fill="auto"/>
            <w:hideMark/>
          </w:tcPr>
          <w:p w14:paraId="41CED17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15,8</w:t>
            </w:r>
          </w:p>
        </w:tc>
        <w:tc>
          <w:tcPr>
            <w:tcW w:w="709" w:type="dxa"/>
            <w:shd w:val="clear" w:color="auto" w:fill="auto"/>
            <w:hideMark/>
          </w:tcPr>
          <w:p w14:paraId="3646298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684" w:type="dxa"/>
            <w:shd w:val="clear" w:color="auto" w:fill="auto"/>
            <w:hideMark/>
          </w:tcPr>
          <w:p w14:paraId="3CB3216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953</w:t>
            </w:r>
          </w:p>
        </w:tc>
      </w:tr>
      <w:tr w:rsidR="00046F46" w:rsidRPr="00EE4C2A" w14:paraId="1AB5109C" w14:textId="77777777" w:rsidTr="004C1F7B">
        <w:tc>
          <w:tcPr>
            <w:tcW w:w="1138" w:type="dxa"/>
            <w:shd w:val="clear" w:color="auto" w:fill="auto"/>
            <w:hideMark/>
          </w:tcPr>
          <w:p w14:paraId="3F9C9B32" w14:textId="105D6156"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24</w:t>
            </w:r>
            <w:r w:rsidR="0083586C">
              <w:rPr>
                <w:sz w:val="18"/>
                <w:szCs w:val="18"/>
                <w:lang w:val="fr-FR"/>
              </w:rPr>
              <w:t>-</w:t>
            </w:r>
            <w:r w:rsidRPr="00EE4C2A">
              <w:rPr>
                <w:sz w:val="18"/>
                <w:szCs w:val="18"/>
                <w:lang w:val="fr-FR"/>
              </w:rPr>
              <w:t xml:space="preserve">35 </w:t>
            </w:r>
          </w:p>
        </w:tc>
        <w:tc>
          <w:tcPr>
            <w:tcW w:w="760" w:type="dxa"/>
            <w:shd w:val="clear" w:color="auto" w:fill="auto"/>
            <w:hideMark/>
          </w:tcPr>
          <w:p w14:paraId="75FA933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14,6</w:t>
            </w:r>
          </w:p>
        </w:tc>
        <w:tc>
          <w:tcPr>
            <w:tcW w:w="820" w:type="dxa"/>
            <w:shd w:val="clear" w:color="auto" w:fill="auto"/>
            <w:hideMark/>
          </w:tcPr>
          <w:p w14:paraId="28EEC52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42,7</w:t>
            </w:r>
          </w:p>
        </w:tc>
        <w:tc>
          <w:tcPr>
            <w:tcW w:w="709" w:type="dxa"/>
            <w:shd w:val="clear" w:color="auto" w:fill="auto"/>
            <w:hideMark/>
          </w:tcPr>
          <w:p w14:paraId="6B0F36A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1 959</w:t>
            </w:r>
          </w:p>
        </w:tc>
        <w:tc>
          <w:tcPr>
            <w:tcW w:w="850" w:type="dxa"/>
            <w:shd w:val="clear" w:color="auto" w:fill="auto"/>
            <w:hideMark/>
          </w:tcPr>
          <w:p w14:paraId="41B150D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1,7</w:t>
            </w:r>
          </w:p>
        </w:tc>
        <w:tc>
          <w:tcPr>
            <w:tcW w:w="851" w:type="dxa"/>
            <w:shd w:val="clear" w:color="auto" w:fill="auto"/>
            <w:hideMark/>
          </w:tcPr>
          <w:p w14:paraId="4A76C80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4,2</w:t>
            </w:r>
          </w:p>
        </w:tc>
        <w:tc>
          <w:tcPr>
            <w:tcW w:w="709" w:type="dxa"/>
            <w:shd w:val="clear" w:color="auto" w:fill="auto"/>
            <w:hideMark/>
          </w:tcPr>
          <w:p w14:paraId="49E4ADC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4,3</w:t>
            </w:r>
          </w:p>
        </w:tc>
        <w:tc>
          <w:tcPr>
            <w:tcW w:w="708" w:type="dxa"/>
            <w:shd w:val="clear" w:color="auto" w:fill="auto"/>
            <w:hideMark/>
          </w:tcPr>
          <w:p w14:paraId="64EB811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1 959</w:t>
            </w:r>
          </w:p>
        </w:tc>
        <w:tc>
          <w:tcPr>
            <w:tcW w:w="851" w:type="dxa"/>
            <w:shd w:val="clear" w:color="auto" w:fill="auto"/>
            <w:hideMark/>
          </w:tcPr>
          <w:p w14:paraId="39C4020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2,4</w:t>
            </w:r>
          </w:p>
        </w:tc>
        <w:tc>
          <w:tcPr>
            <w:tcW w:w="850" w:type="dxa"/>
            <w:shd w:val="clear" w:color="auto" w:fill="auto"/>
            <w:hideMark/>
          </w:tcPr>
          <w:p w14:paraId="2F8DD87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12,1</w:t>
            </w:r>
          </w:p>
        </w:tc>
        <w:tc>
          <w:tcPr>
            <w:tcW w:w="709" w:type="dxa"/>
            <w:shd w:val="clear" w:color="auto" w:fill="auto"/>
            <w:hideMark/>
          </w:tcPr>
          <w:p w14:paraId="6FB67A5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0,5</w:t>
            </w:r>
          </w:p>
        </w:tc>
        <w:tc>
          <w:tcPr>
            <w:tcW w:w="684" w:type="dxa"/>
            <w:shd w:val="clear" w:color="auto" w:fill="auto"/>
            <w:hideMark/>
          </w:tcPr>
          <w:p w14:paraId="467F3F8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1 980</w:t>
            </w:r>
          </w:p>
        </w:tc>
      </w:tr>
      <w:tr w:rsidR="00046F46" w:rsidRPr="00EE4C2A" w14:paraId="7EECF3F0" w14:textId="77777777" w:rsidTr="004C1F7B">
        <w:tc>
          <w:tcPr>
            <w:tcW w:w="1138" w:type="dxa"/>
            <w:tcBorders>
              <w:bottom w:val="nil"/>
            </w:tcBorders>
            <w:shd w:val="clear" w:color="auto" w:fill="auto"/>
            <w:hideMark/>
          </w:tcPr>
          <w:p w14:paraId="2F4B0019" w14:textId="6807F2A0"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36</w:t>
            </w:r>
            <w:r w:rsidR="0083586C">
              <w:rPr>
                <w:sz w:val="18"/>
                <w:szCs w:val="18"/>
                <w:lang w:val="fr-FR"/>
              </w:rPr>
              <w:t>-</w:t>
            </w:r>
            <w:r w:rsidRPr="00EE4C2A">
              <w:rPr>
                <w:sz w:val="18"/>
                <w:szCs w:val="18"/>
                <w:lang w:val="fr-FR"/>
              </w:rPr>
              <w:t xml:space="preserve">47 </w:t>
            </w:r>
          </w:p>
        </w:tc>
        <w:tc>
          <w:tcPr>
            <w:tcW w:w="760" w:type="dxa"/>
            <w:tcBorders>
              <w:bottom w:val="nil"/>
            </w:tcBorders>
            <w:shd w:val="clear" w:color="auto" w:fill="auto"/>
            <w:hideMark/>
          </w:tcPr>
          <w:p w14:paraId="6B4F873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11,6</w:t>
            </w:r>
          </w:p>
        </w:tc>
        <w:tc>
          <w:tcPr>
            <w:tcW w:w="820" w:type="dxa"/>
            <w:tcBorders>
              <w:bottom w:val="nil"/>
            </w:tcBorders>
            <w:shd w:val="clear" w:color="auto" w:fill="auto"/>
            <w:hideMark/>
          </w:tcPr>
          <w:p w14:paraId="650405E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38</w:t>
            </w:r>
          </w:p>
        </w:tc>
        <w:tc>
          <w:tcPr>
            <w:tcW w:w="709" w:type="dxa"/>
            <w:tcBorders>
              <w:bottom w:val="nil"/>
            </w:tcBorders>
            <w:shd w:val="clear" w:color="auto" w:fill="auto"/>
            <w:hideMark/>
          </w:tcPr>
          <w:p w14:paraId="66643C1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1 983</w:t>
            </w:r>
          </w:p>
        </w:tc>
        <w:tc>
          <w:tcPr>
            <w:tcW w:w="850" w:type="dxa"/>
            <w:tcBorders>
              <w:bottom w:val="nil"/>
            </w:tcBorders>
            <w:shd w:val="clear" w:color="auto" w:fill="auto"/>
            <w:hideMark/>
          </w:tcPr>
          <w:p w14:paraId="2E63681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1,1</w:t>
            </w:r>
          </w:p>
        </w:tc>
        <w:tc>
          <w:tcPr>
            <w:tcW w:w="851" w:type="dxa"/>
            <w:tcBorders>
              <w:bottom w:val="nil"/>
            </w:tcBorders>
            <w:shd w:val="clear" w:color="auto" w:fill="auto"/>
            <w:hideMark/>
          </w:tcPr>
          <w:p w14:paraId="369D641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2,8</w:t>
            </w:r>
          </w:p>
        </w:tc>
        <w:tc>
          <w:tcPr>
            <w:tcW w:w="709" w:type="dxa"/>
            <w:tcBorders>
              <w:bottom w:val="nil"/>
            </w:tcBorders>
            <w:shd w:val="clear" w:color="auto" w:fill="auto"/>
            <w:hideMark/>
          </w:tcPr>
          <w:p w14:paraId="4F14C9F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3,7</w:t>
            </w:r>
          </w:p>
        </w:tc>
        <w:tc>
          <w:tcPr>
            <w:tcW w:w="708" w:type="dxa"/>
            <w:tcBorders>
              <w:bottom w:val="nil"/>
            </w:tcBorders>
            <w:shd w:val="clear" w:color="auto" w:fill="auto"/>
            <w:hideMark/>
          </w:tcPr>
          <w:p w14:paraId="6B95419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1 988</w:t>
            </w:r>
          </w:p>
        </w:tc>
        <w:tc>
          <w:tcPr>
            <w:tcW w:w="851" w:type="dxa"/>
            <w:tcBorders>
              <w:bottom w:val="nil"/>
            </w:tcBorders>
            <w:shd w:val="clear" w:color="auto" w:fill="auto"/>
            <w:hideMark/>
          </w:tcPr>
          <w:p w14:paraId="5801A8B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2,7</w:t>
            </w:r>
          </w:p>
        </w:tc>
        <w:tc>
          <w:tcPr>
            <w:tcW w:w="850" w:type="dxa"/>
            <w:tcBorders>
              <w:bottom w:val="nil"/>
            </w:tcBorders>
            <w:shd w:val="clear" w:color="auto" w:fill="auto"/>
            <w:hideMark/>
          </w:tcPr>
          <w:p w14:paraId="52B2B90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12,4</w:t>
            </w:r>
          </w:p>
        </w:tc>
        <w:tc>
          <w:tcPr>
            <w:tcW w:w="709" w:type="dxa"/>
            <w:tcBorders>
              <w:bottom w:val="nil"/>
            </w:tcBorders>
            <w:shd w:val="clear" w:color="auto" w:fill="auto"/>
            <w:hideMark/>
          </w:tcPr>
          <w:p w14:paraId="2D70B94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0,4</w:t>
            </w:r>
          </w:p>
        </w:tc>
        <w:tc>
          <w:tcPr>
            <w:tcW w:w="684" w:type="dxa"/>
            <w:tcBorders>
              <w:bottom w:val="nil"/>
            </w:tcBorders>
            <w:shd w:val="clear" w:color="auto" w:fill="auto"/>
            <w:hideMark/>
          </w:tcPr>
          <w:p w14:paraId="5881998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1 991</w:t>
            </w:r>
          </w:p>
        </w:tc>
      </w:tr>
      <w:tr w:rsidR="00046F46" w:rsidRPr="00EE4C2A" w14:paraId="6B15E864" w14:textId="77777777" w:rsidTr="004C1F7B">
        <w:tc>
          <w:tcPr>
            <w:tcW w:w="1138" w:type="dxa"/>
            <w:tcBorders>
              <w:top w:val="nil"/>
              <w:bottom w:val="nil"/>
            </w:tcBorders>
            <w:shd w:val="clear" w:color="auto" w:fill="auto"/>
            <w:hideMark/>
          </w:tcPr>
          <w:p w14:paraId="63573B17" w14:textId="0DF2E30C"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48</w:t>
            </w:r>
            <w:r w:rsidR="0083586C">
              <w:rPr>
                <w:sz w:val="18"/>
                <w:szCs w:val="18"/>
                <w:lang w:val="fr-FR"/>
              </w:rPr>
              <w:t>-</w:t>
            </w:r>
            <w:r w:rsidRPr="00EE4C2A">
              <w:rPr>
                <w:sz w:val="18"/>
                <w:szCs w:val="18"/>
                <w:lang w:val="fr-FR"/>
              </w:rPr>
              <w:t xml:space="preserve">59 </w:t>
            </w:r>
          </w:p>
        </w:tc>
        <w:tc>
          <w:tcPr>
            <w:tcW w:w="760" w:type="dxa"/>
            <w:tcBorders>
              <w:top w:val="nil"/>
              <w:bottom w:val="nil"/>
            </w:tcBorders>
            <w:shd w:val="clear" w:color="auto" w:fill="auto"/>
            <w:hideMark/>
          </w:tcPr>
          <w:p w14:paraId="2482D9C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8,3</w:t>
            </w:r>
          </w:p>
        </w:tc>
        <w:tc>
          <w:tcPr>
            <w:tcW w:w="820" w:type="dxa"/>
            <w:tcBorders>
              <w:top w:val="nil"/>
              <w:bottom w:val="nil"/>
            </w:tcBorders>
            <w:shd w:val="clear" w:color="auto" w:fill="auto"/>
            <w:hideMark/>
          </w:tcPr>
          <w:p w14:paraId="4AE90A1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28,5</w:t>
            </w:r>
          </w:p>
        </w:tc>
        <w:tc>
          <w:tcPr>
            <w:tcW w:w="709" w:type="dxa"/>
            <w:tcBorders>
              <w:top w:val="nil"/>
              <w:bottom w:val="nil"/>
            </w:tcBorders>
            <w:shd w:val="clear" w:color="auto" w:fill="auto"/>
            <w:hideMark/>
          </w:tcPr>
          <w:p w14:paraId="6934348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1 827</w:t>
            </w:r>
          </w:p>
        </w:tc>
        <w:tc>
          <w:tcPr>
            <w:tcW w:w="850" w:type="dxa"/>
            <w:tcBorders>
              <w:top w:val="nil"/>
              <w:bottom w:val="nil"/>
            </w:tcBorders>
            <w:shd w:val="clear" w:color="auto" w:fill="auto"/>
            <w:hideMark/>
          </w:tcPr>
          <w:p w14:paraId="12CFC64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w:t>
            </w:r>
          </w:p>
        </w:tc>
        <w:tc>
          <w:tcPr>
            <w:tcW w:w="851" w:type="dxa"/>
            <w:tcBorders>
              <w:top w:val="nil"/>
              <w:bottom w:val="nil"/>
            </w:tcBorders>
            <w:shd w:val="clear" w:color="auto" w:fill="auto"/>
            <w:hideMark/>
          </w:tcPr>
          <w:p w14:paraId="47F77F1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3,7</w:t>
            </w:r>
          </w:p>
        </w:tc>
        <w:tc>
          <w:tcPr>
            <w:tcW w:w="709" w:type="dxa"/>
            <w:tcBorders>
              <w:top w:val="nil"/>
              <w:bottom w:val="nil"/>
            </w:tcBorders>
            <w:shd w:val="clear" w:color="auto" w:fill="auto"/>
            <w:hideMark/>
          </w:tcPr>
          <w:p w14:paraId="7CD29C1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2,5</w:t>
            </w:r>
          </w:p>
        </w:tc>
        <w:tc>
          <w:tcPr>
            <w:tcW w:w="708" w:type="dxa"/>
            <w:tcBorders>
              <w:top w:val="nil"/>
              <w:bottom w:val="nil"/>
            </w:tcBorders>
            <w:shd w:val="clear" w:color="auto" w:fill="auto"/>
            <w:hideMark/>
          </w:tcPr>
          <w:p w14:paraId="36BC2F2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1 835</w:t>
            </w:r>
          </w:p>
        </w:tc>
        <w:tc>
          <w:tcPr>
            <w:tcW w:w="851" w:type="dxa"/>
            <w:tcBorders>
              <w:top w:val="nil"/>
              <w:bottom w:val="nil"/>
            </w:tcBorders>
            <w:shd w:val="clear" w:color="auto" w:fill="auto"/>
            <w:hideMark/>
          </w:tcPr>
          <w:p w14:paraId="6C698F3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1,4</w:t>
            </w:r>
          </w:p>
        </w:tc>
        <w:tc>
          <w:tcPr>
            <w:tcW w:w="850" w:type="dxa"/>
            <w:tcBorders>
              <w:top w:val="nil"/>
              <w:bottom w:val="nil"/>
            </w:tcBorders>
            <w:shd w:val="clear" w:color="auto" w:fill="auto"/>
            <w:hideMark/>
          </w:tcPr>
          <w:p w14:paraId="28A7CC4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10,5</w:t>
            </w:r>
          </w:p>
        </w:tc>
        <w:tc>
          <w:tcPr>
            <w:tcW w:w="709" w:type="dxa"/>
            <w:tcBorders>
              <w:top w:val="nil"/>
              <w:bottom w:val="nil"/>
            </w:tcBorders>
            <w:shd w:val="clear" w:color="auto" w:fill="auto"/>
            <w:hideMark/>
          </w:tcPr>
          <w:p w14:paraId="4853B7F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0,1</w:t>
            </w:r>
          </w:p>
        </w:tc>
        <w:tc>
          <w:tcPr>
            <w:tcW w:w="684" w:type="dxa"/>
            <w:tcBorders>
              <w:top w:val="nil"/>
              <w:bottom w:val="nil"/>
            </w:tcBorders>
            <w:shd w:val="clear" w:color="auto" w:fill="auto"/>
            <w:hideMark/>
          </w:tcPr>
          <w:p w14:paraId="4EC4B30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1 832</w:t>
            </w:r>
          </w:p>
        </w:tc>
      </w:tr>
      <w:tr w:rsidR="00046F46" w:rsidRPr="00EE4C2A" w14:paraId="18A1115E" w14:textId="77777777" w:rsidTr="004C1F7B">
        <w:tc>
          <w:tcPr>
            <w:tcW w:w="1138" w:type="dxa"/>
            <w:tcBorders>
              <w:top w:val="nil"/>
            </w:tcBorders>
            <w:shd w:val="clear" w:color="auto" w:fill="auto"/>
            <w:hideMark/>
          </w:tcPr>
          <w:p w14:paraId="4281290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b/>
                <w:bCs/>
                <w:sz w:val="18"/>
                <w:szCs w:val="18"/>
                <w:lang w:val="fr-FR"/>
              </w:rPr>
            </w:pPr>
            <w:r w:rsidRPr="00EE4C2A">
              <w:rPr>
                <w:b/>
                <w:bCs/>
                <w:sz w:val="18"/>
                <w:szCs w:val="18"/>
                <w:lang w:val="fr-FR"/>
              </w:rPr>
              <w:t>Sexe</w:t>
            </w:r>
          </w:p>
        </w:tc>
        <w:tc>
          <w:tcPr>
            <w:tcW w:w="760" w:type="dxa"/>
            <w:tcBorders>
              <w:top w:val="nil"/>
            </w:tcBorders>
            <w:shd w:val="clear" w:color="auto" w:fill="auto"/>
            <w:hideMark/>
          </w:tcPr>
          <w:p w14:paraId="700FF68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b/>
                <w:bCs/>
                <w:sz w:val="18"/>
                <w:szCs w:val="18"/>
                <w:lang w:val="fr-FR"/>
              </w:rPr>
            </w:pPr>
          </w:p>
        </w:tc>
        <w:tc>
          <w:tcPr>
            <w:tcW w:w="820" w:type="dxa"/>
            <w:tcBorders>
              <w:top w:val="nil"/>
            </w:tcBorders>
            <w:shd w:val="clear" w:color="auto" w:fill="auto"/>
            <w:hideMark/>
          </w:tcPr>
          <w:p w14:paraId="2F71F5C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tcBorders>
              <w:top w:val="nil"/>
            </w:tcBorders>
            <w:shd w:val="clear" w:color="auto" w:fill="auto"/>
            <w:hideMark/>
          </w:tcPr>
          <w:p w14:paraId="41EED7F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tcBorders>
              <w:top w:val="nil"/>
            </w:tcBorders>
            <w:shd w:val="clear" w:color="auto" w:fill="auto"/>
            <w:hideMark/>
          </w:tcPr>
          <w:p w14:paraId="02E0F90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tcBorders>
              <w:top w:val="nil"/>
            </w:tcBorders>
            <w:shd w:val="clear" w:color="auto" w:fill="auto"/>
            <w:hideMark/>
          </w:tcPr>
          <w:p w14:paraId="0BBF300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tcBorders>
              <w:top w:val="nil"/>
            </w:tcBorders>
            <w:shd w:val="clear" w:color="auto" w:fill="auto"/>
            <w:hideMark/>
          </w:tcPr>
          <w:p w14:paraId="40A2614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8" w:type="dxa"/>
            <w:tcBorders>
              <w:top w:val="nil"/>
            </w:tcBorders>
            <w:shd w:val="clear" w:color="auto" w:fill="auto"/>
            <w:hideMark/>
          </w:tcPr>
          <w:p w14:paraId="3079A38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tcBorders>
              <w:top w:val="nil"/>
            </w:tcBorders>
            <w:shd w:val="clear" w:color="auto" w:fill="auto"/>
            <w:hideMark/>
          </w:tcPr>
          <w:p w14:paraId="4582D04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tcBorders>
              <w:top w:val="nil"/>
            </w:tcBorders>
            <w:shd w:val="clear" w:color="auto" w:fill="auto"/>
            <w:hideMark/>
          </w:tcPr>
          <w:p w14:paraId="467C042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tcBorders>
              <w:top w:val="nil"/>
            </w:tcBorders>
            <w:shd w:val="clear" w:color="auto" w:fill="auto"/>
            <w:hideMark/>
          </w:tcPr>
          <w:p w14:paraId="1EB87BB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684" w:type="dxa"/>
            <w:tcBorders>
              <w:top w:val="nil"/>
            </w:tcBorders>
            <w:shd w:val="clear" w:color="auto" w:fill="auto"/>
            <w:hideMark/>
          </w:tcPr>
          <w:p w14:paraId="266F587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r>
      <w:tr w:rsidR="00046F46" w:rsidRPr="00EE4C2A" w14:paraId="3AAFE992" w14:textId="77777777" w:rsidTr="004C1F7B">
        <w:tc>
          <w:tcPr>
            <w:tcW w:w="1138" w:type="dxa"/>
            <w:shd w:val="clear" w:color="auto" w:fill="auto"/>
            <w:hideMark/>
          </w:tcPr>
          <w:p w14:paraId="7623F19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Garçons </w:t>
            </w:r>
          </w:p>
        </w:tc>
        <w:tc>
          <w:tcPr>
            <w:tcW w:w="760" w:type="dxa"/>
            <w:shd w:val="clear" w:color="auto" w:fill="auto"/>
            <w:hideMark/>
          </w:tcPr>
          <w:p w14:paraId="5BF8927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13,6</w:t>
            </w:r>
          </w:p>
        </w:tc>
        <w:tc>
          <w:tcPr>
            <w:tcW w:w="820" w:type="dxa"/>
            <w:shd w:val="clear" w:color="auto" w:fill="auto"/>
            <w:hideMark/>
          </w:tcPr>
          <w:p w14:paraId="6A1799E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38,3</w:t>
            </w:r>
          </w:p>
        </w:tc>
        <w:tc>
          <w:tcPr>
            <w:tcW w:w="709" w:type="dxa"/>
            <w:shd w:val="clear" w:color="auto" w:fill="auto"/>
            <w:hideMark/>
          </w:tcPr>
          <w:p w14:paraId="2677EF0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4 750</w:t>
            </w:r>
          </w:p>
        </w:tc>
        <w:tc>
          <w:tcPr>
            <w:tcW w:w="850" w:type="dxa"/>
            <w:shd w:val="clear" w:color="auto" w:fill="auto"/>
            <w:hideMark/>
          </w:tcPr>
          <w:p w14:paraId="6219137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1,6</w:t>
            </w:r>
          </w:p>
        </w:tc>
        <w:tc>
          <w:tcPr>
            <w:tcW w:w="851" w:type="dxa"/>
            <w:shd w:val="clear" w:color="auto" w:fill="auto"/>
            <w:hideMark/>
          </w:tcPr>
          <w:p w14:paraId="770D949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4,8</w:t>
            </w:r>
          </w:p>
        </w:tc>
        <w:tc>
          <w:tcPr>
            <w:tcW w:w="709" w:type="dxa"/>
            <w:shd w:val="clear" w:color="auto" w:fill="auto"/>
            <w:hideMark/>
          </w:tcPr>
          <w:p w14:paraId="5F0AAAE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5,4</w:t>
            </w:r>
          </w:p>
        </w:tc>
        <w:tc>
          <w:tcPr>
            <w:tcW w:w="708" w:type="dxa"/>
            <w:shd w:val="clear" w:color="auto" w:fill="auto"/>
            <w:hideMark/>
          </w:tcPr>
          <w:p w14:paraId="374AC9A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4 743</w:t>
            </w:r>
          </w:p>
        </w:tc>
        <w:tc>
          <w:tcPr>
            <w:tcW w:w="851" w:type="dxa"/>
            <w:shd w:val="clear" w:color="auto" w:fill="auto"/>
            <w:hideMark/>
          </w:tcPr>
          <w:p w14:paraId="4B275A9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2,7</w:t>
            </w:r>
          </w:p>
        </w:tc>
        <w:tc>
          <w:tcPr>
            <w:tcW w:w="850" w:type="dxa"/>
            <w:shd w:val="clear" w:color="auto" w:fill="auto"/>
            <w:hideMark/>
          </w:tcPr>
          <w:p w14:paraId="3FCC53C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13,5</w:t>
            </w:r>
          </w:p>
        </w:tc>
        <w:tc>
          <w:tcPr>
            <w:tcW w:w="709" w:type="dxa"/>
            <w:shd w:val="clear" w:color="auto" w:fill="auto"/>
            <w:hideMark/>
          </w:tcPr>
          <w:p w14:paraId="1CB63D0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684" w:type="dxa"/>
            <w:shd w:val="clear" w:color="auto" w:fill="auto"/>
            <w:hideMark/>
          </w:tcPr>
          <w:p w14:paraId="1650F41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4 801</w:t>
            </w:r>
          </w:p>
        </w:tc>
      </w:tr>
      <w:tr w:rsidR="00046F46" w:rsidRPr="00EE4C2A" w14:paraId="3DB8F7A6" w14:textId="77777777" w:rsidTr="004C1F7B">
        <w:tc>
          <w:tcPr>
            <w:tcW w:w="1138" w:type="dxa"/>
            <w:shd w:val="clear" w:color="auto" w:fill="auto"/>
            <w:hideMark/>
          </w:tcPr>
          <w:p w14:paraId="09A0652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Filles </w:t>
            </w:r>
          </w:p>
        </w:tc>
        <w:tc>
          <w:tcPr>
            <w:tcW w:w="760" w:type="dxa"/>
            <w:shd w:val="clear" w:color="auto" w:fill="auto"/>
            <w:hideMark/>
          </w:tcPr>
          <w:p w14:paraId="6954435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10,1</w:t>
            </w:r>
          </w:p>
        </w:tc>
        <w:tc>
          <w:tcPr>
            <w:tcW w:w="820" w:type="dxa"/>
            <w:shd w:val="clear" w:color="auto" w:fill="auto"/>
            <w:hideMark/>
          </w:tcPr>
          <w:p w14:paraId="60A8E5E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31</w:t>
            </w:r>
          </w:p>
        </w:tc>
        <w:tc>
          <w:tcPr>
            <w:tcW w:w="709" w:type="dxa"/>
            <w:shd w:val="clear" w:color="auto" w:fill="auto"/>
            <w:hideMark/>
          </w:tcPr>
          <w:p w14:paraId="4A87D13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4 860</w:t>
            </w:r>
          </w:p>
        </w:tc>
        <w:tc>
          <w:tcPr>
            <w:tcW w:w="850" w:type="dxa"/>
            <w:shd w:val="clear" w:color="auto" w:fill="auto"/>
            <w:hideMark/>
          </w:tcPr>
          <w:p w14:paraId="5771003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1,4</w:t>
            </w:r>
          </w:p>
        </w:tc>
        <w:tc>
          <w:tcPr>
            <w:tcW w:w="851" w:type="dxa"/>
            <w:shd w:val="clear" w:color="auto" w:fill="auto"/>
            <w:hideMark/>
          </w:tcPr>
          <w:p w14:paraId="25223FC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3,7</w:t>
            </w:r>
          </w:p>
        </w:tc>
        <w:tc>
          <w:tcPr>
            <w:tcW w:w="709" w:type="dxa"/>
            <w:shd w:val="clear" w:color="auto" w:fill="auto"/>
            <w:hideMark/>
          </w:tcPr>
          <w:p w14:paraId="2DF4C00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w:t>
            </w:r>
          </w:p>
        </w:tc>
        <w:tc>
          <w:tcPr>
            <w:tcW w:w="708" w:type="dxa"/>
            <w:shd w:val="clear" w:color="auto" w:fill="auto"/>
            <w:hideMark/>
          </w:tcPr>
          <w:p w14:paraId="2177C27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4 850</w:t>
            </w:r>
          </w:p>
        </w:tc>
        <w:tc>
          <w:tcPr>
            <w:tcW w:w="851" w:type="dxa"/>
            <w:shd w:val="clear" w:color="auto" w:fill="auto"/>
            <w:hideMark/>
          </w:tcPr>
          <w:p w14:paraId="0A6CBEC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w:t>
            </w:r>
          </w:p>
        </w:tc>
        <w:tc>
          <w:tcPr>
            <w:tcW w:w="850" w:type="dxa"/>
            <w:shd w:val="clear" w:color="auto" w:fill="auto"/>
            <w:hideMark/>
          </w:tcPr>
          <w:p w14:paraId="08DFA6D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10,2</w:t>
            </w:r>
          </w:p>
        </w:tc>
        <w:tc>
          <w:tcPr>
            <w:tcW w:w="709" w:type="dxa"/>
            <w:shd w:val="clear" w:color="auto" w:fill="auto"/>
            <w:hideMark/>
          </w:tcPr>
          <w:p w14:paraId="070F878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684" w:type="dxa"/>
            <w:shd w:val="clear" w:color="auto" w:fill="auto"/>
            <w:hideMark/>
          </w:tcPr>
          <w:p w14:paraId="79D00E1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4 889</w:t>
            </w:r>
          </w:p>
        </w:tc>
      </w:tr>
      <w:tr w:rsidR="00046F46" w:rsidRPr="00EE4C2A" w14:paraId="14C27DDE" w14:textId="77777777" w:rsidTr="004C1F7B">
        <w:tc>
          <w:tcPr>
            <w:tcW w:w="1138" w:type="dxa"/>
            <w:shd w:val="clear" w:color="auto" w:fill="auto"/>
            <w:hideMark/>
          </w:tcPr>
          <w:p w14:paraId="7C0161C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b/>
                <w:bCs/>
                <w:sz w:val="18"/>
                <w:szCs w:val="18"/>
                <w:lang w:val="fr-FR"/>
              </w:rPr>
            </w:pPr>
            <w:r w:rsidRPr="00EE4C2A">
              <w:rPr>
                <w:b/>
                <w:bCs/>
                <w:sz w:val="18"/>
                <w:szCs w:val="18"/>
                <w:lang w:val="fr-FR"/>
              </w:rPr>
              <w:t>Résidence</w:t>
            </w:r>
          </w:p>
        </w:tc>
        <w:tc>
          <w:tcPr>
            <w:tcW w:w="760" w:type="dxa"/>
            <w:shd w:val="clear" w:color="auto" w:fill="auto"/>
            <w:hideMark/>
          </w:tcPr>
          <w:p w14:paraId="5C123F7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b/>
                <w:bCs/>
                <w:sz w:val="18"/>
                <w:szCs w:val="18"/>
                <w:lang w:val="fr-FR"/>
              </w:rPr>
            </w:pPr>
          </w:p>
        </w:tc>
        <w:tc>
          <w:tcPr>
            <w:tcW w:w="820" w:type="dxa"/>
            <w:shd w:val="clear" w:color="auto" w:fill="auto"/>
            <w:hideMark/>
          </w:tcPr>
          <w:p w14:paraId="431A202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5C4F990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74ADC7B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49D3266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4474E10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8" w:type="dxa"/>
            <w:shd w:val="clear" w:color="auto" w:fill="auto"/>
            <w:hideMark/>
          </w:tcPr>
          <w:p w14:paraId="52E8EE4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4D0A10D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16356D1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1AA6C26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684" w:type="dxa"/>
            <w:shd w:val="clear" w:color="auto" w:fill="auto"/>
            <w:hideMark/>
          </w:tcPr>
          <w:p w14:paraId="0A7DBCD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r>
      <w:tr w:rsidR="00046F46" w:rsidRPr="00EE4C2A" w14:paraId="2C99B0CC" w14:textId="77777777" w:rsidTr="004C1F7B">
        <w:tc>
          <w:tcPr>
            <w:tcW w:w="1138" w:type="dxa"/>
            <w:shd w:val="clear" w:color="auto" w:fill="auto"/>
            <w:hideMark/>
          </w:tcPr>
          <w:p w14:paraId="0463677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Zones urbaines </w:t>
            </w:r>
          </w:p>
        </w:tc>
        <w:tc>
          <w:tcPr>
            <w:tcW w:w="760" w:type="dxa"/>
            <w:shd w:val="clear" w:color="auto" w:fill="auto"/>
            <w:hideMark/>
          </w:tcPr>
          <w:p w14:paraId="74862F4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10,3</w:t>
            </w:r>
          </w:p>
        </w:tc>
        <w:tc>
          <w:tcPr>
            <w:tcW w:w="820" w:type="dxa"/>
            <w:shd w:val="clear" w:color="auto" w:fill="auto"/>
            <w:hideMark/>
          </w:tcPr>
          <w:p w14:paraId="5AD197B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32,1</w:t>
            </w:r>
          </w:p>
        </w:tc>
        <w:tc>
          <w:tcPr>
            <w:tcW w:w="709" w:type="dxa"/>
            <w:shd w:val="clear" w:color="auto" w:fill="auto"/>
            <w:hideMark/>
          </w:tcPr>
          <w:p w14:paraId="35B5C29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3 320</w:t>
            </w:r>
          </w:p>
        </w:tc>
        <w:tc>
          <w:tcPr>
            <w:tcW w:w="850" w:type="dxa"/>
            <w:shd w:val="clear" w:color="auto" w:fill="auto"/>
            <w:hideMark/>
          </w:tcPr>
          <w:p w14:paraId="18F7BBE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2,1</w:t>
            </w:r>
          </w:p>
        </w:tc>
        <w:tc>
          <w:tcPr>
            <w:tcW w:w="851" w:type="dxa"/>
            <w:shd w:val="clear" w:color="auto" w:fill="auto"/>
            <w:hideMark/>
          </w:tcPr>
          <w:p w14:paraId="72F16A7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w:t>
            </w:r>
          </w:p>
        </w:tc>
        <w:tc>
          <w:tcPr>
            <w:tcW w:w="709" w:type="dxa"/>
            <w:shd w:val="clear" w:color="auto" w:fill="auto"/>
            <w:hideMark/>
          </w:tcPr>
          <w:p w14:paraId="328DF1E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5,7</w:t>
            </w:r>
          </w:p>
        </w:tc>
        <w:tc>
          <w:tcPr>
            <w:tcW w:w="708" w:type="dxa"/>
            <w:shd w:val="clear" w:color="auto" w:fill="auto"/>
            <w:hideMark/>
          </w:tcPr>
          <w:p w14:paraId="0A861E3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3 307</w:t>
            </w:r>
          </w:p>
        </w:tc>
        <w:tc>
          <w:tcPr>
            <w:tcW w:w="851" w:type="dxa"/>
            <w:shd w:val="clear" w:color="auto" w:fill="auto"/>
            <w:hideMark/>
          </w:tcPr>
          <w:p w14:paraId="5642AC2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2,2</w:t>
            </w:r>
          </w:p>
        </w:tc>
        <w:tc>
          <w:tcPr>
            <w:tcW w:w="850" w:type="dxa"/>
            <w:shd w:val="clear" w:color="auto" w:fill="auto"/>
            <w:hideMark/>
          </w:tcPr>
          <w:p w14:paraId="56D4260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10,8</w:t>
            </w:r>
          </w:p>
        </w:tc>
        <w:tc>
          <w:tcPr>
            <w:tcW w:w="709" w:type="dxa"/>
            <w:shd w:val="clear" w:color="auto" w:fill="auto"/>
            <w:hideMark/>
          </w:tcPr>
          <w:p w14:paraId="23C3685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0,7</w:t>
            </w:r>
          </w:p>
        </w:tc>
        <w:tc>
          <w:tcPr>
            <w:tcW w:w="684" w:type="dxa"/>
            <w:shd w:val="clear" w:color="auto" w:fill="auto"/>
            <w:hideMark/>
          </w:tcPr>
          <w:p w14:paraId="1A86488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3 341</w:t>
            </w:r>
          </w:p>
        </w:tc>
      </w:tr>
      <w:tr w:rsidR="00046F46" w:rsidRPr="00EE4C2A" w14:paraId="176ADC31" w14:textId="77777777" w:rsidTr="004C1F7B">
        <w:tc>
          <w:tcPr>
            <w:tcW w:w="1138" w:type="dxa"/>
            <w:shd w:val="clear" w:color="auto" w:fill="auto"/>
            <w:hideMark/>
          </w:tcPr>
          <w:p w14:paraId="1F2053B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Zones rurales </w:t>
            </w:r>
          </w:p>
        </w:tc>
        <w:tc>
          <w:tcPr>
            <w:tcW w:w="760" w:type="dxa"/>
            <w:shd w:val="clear" w:color="auto" w:fill="auto"/>
            <w:hideMark/>
          </w:tcPr>
          <w:p w14:paraId="3638192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12,6</w:t>
            </w:r>
          </w:p>
        </w:tc>
        <w:tc>
          <w:tcPr>
            <w:tcW w:w="820" w:type="dxa"/>
            <w:shd w:val="clear" w:color="auto" w:fill="auto"/>
            <w:hideMark/>
          </w:tcPr>
          <w:p w14:paraId="212AA5B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35,9</w:t>
            </w:r>
          </w:p>
        </w:tc>
        <w:tc>
          <w:tcPr>
            <w:tcW w:w="709" w:type="dxa"/>
            <w:shd w:val="clear" w:color="auto" w:fill="auto"/>
            <w:hideMark/>
          </w:tcPr>
          <w:p w14:paraId="7C23690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6 289</w:t>
            </w:r>
          </w:p>
        </w:tc>
        <w:tc>
          <w:tcPr>
            <w:tcW w:w="850" w:type="dxa"/>
            <w:shd w:val="clear" w:color="auto" w:fill="auto"/>
            <w:hideMark/>
          </w:tcPr>
          <w:p w14:paraId="75819A7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w:t>
            </w:r>
          </w:p>
        </w:tc>
        <w:tc>
          <w:tcPr>
            <w:tcW w:w="851" w:type="dxa"/>
            <w:shd w:val="clear" w:color="auto" w:fill="auto"/>
            <w:hideMark/>
          </w:tcPr>
          <w:p w14:paraId="0810C95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3,8</w:t>
            </w:r>
          </w:p>
        </w:tc>
        <w:tc>
          <w:tcPr>
            <w:tcW w:w="709" w:type="dxa"/>
            <w:shd w:val="clear" w:color="auto" w:fill="auto"/>
            <w:hideMark/>
          </w:tcPr>
          <w:p w14:paraId="0708C1E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w:t>
            </w:r>
          </w:p>
        </w:tc>
        <w:tc>
          <w:tcPr>
            <w:tcW w:w="708" w:type="dxa"/>
            <w:shd w:val="clear" w:color="auto" w:fill="auto"/>
            <w:hideMark/>
          </w:tcPr>
          <w:p w14:paraId="7604B18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6 287</w:t>
            </w:r>
          </w:p>
        </w:tc>
        <w:tc>
          <w:tcPr>
            <w:tcW w:w="851" w:type="dxa"/>
            <w:shd w:val="clear" w:color="auto" w:fill="auto"/>
            <w:hideMark/>
          </w:tcPr>
          <w:p w14:paraId="2D1C9C9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2,4</w:t>
            </w:r>
          </w:p>
        </w:tc>
        <w:tc>
          <w:tcPr>
            <w:tcW w:w="850" w:type="dxa"/>
            <w:shd w:val="clear" w:color="auto" w:fill="auto"/>
            <w:hideMark/>
          </w:tcPr>
          <w:p w14:paraId="3DAFCDA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12,4</w:t>
            </w:r>
          </w:p>
        </w:tc>
        <w:tc>
          <w:tcPr>
            <w:tcW w:w="709" w:type="dxa"/>
            <w:shd w:val="clear" w:color="auto" w:fill="auto"/>
            <w:hideMark/>
          </w:tcPr>
          <w:p w14:paraId="1C7265F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0,9</w:t>
            </w:r>
          </w:p>
        </w:tc>
        <w:tc>
          <w:tcPr>
            <w:tcW w:w="684" w:type="dxa"/>
            <w:shd w:val="clear" w:color="auto" w:fill="auto"/>
            <w:hideMark/>
          </w:tcPr>
          <w:p w14:paraId="6BBEF28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6 348</w:t>
            </w:r>
          </w:p>
        </w:tc>
      </w:tr>
      <w:tr w:rsidR="00046F46" w:rsidRPr="00EE4C2A" w14:paraId="3CCEF56B" w14:textId="77777777" w:rsidTr="004C1F7B">
        <w:tc>
          <w:tcPr>
            <w:tcW w:w="1138" w:type="dxa"/>
            <w:shd w:val="clear" w:color="auto" w:fill="auto"/>
            <w:hideMark/>
          </w:tcPr>
          <w:p w14:paraId="798E11A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b/>
                <w:bCs/>
                <w:sz w:val="18"/>
                <w:szCs w:val="18"/>
                <w:lang w:val="fr-FR"/>
              </w:rPr>
            </w:pPr>
            <w:r w:rsidRPr="00EE4C2A">
              <w:rPr>
                <w:b/>
                <w:bCs/>
                <w:sz w:val="18"/>
                <w:szCs w:val="18"/>
                <w:lang w:val="fr-FR"/>
              </w:rPr>
              <w:t>Province</w:t>
            </w:r>
          </w:p>
        </w:tc>
        <w:tc>
          <w:tcPr>
            <w:tcW w:w="760" w:type="dxa"/>
            <w:shd w:val="clear" w:color="auto" w:fill="auto"/>
            <w:hideMark/>
          </w:tcPr>
          <w:p w14:paraId="5A4802F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b/>
                <w:bCs/>
                <w:sz w:val="18"/>
                <w:szCs w:val="18"/>
                <w:lang w:val="fr-FR"/>
              </w:rPr>
            </w:pPr>
          </w:p>
        </w:tc>
        <w:tc>
          <w:tcPr>
            <w:tcW w:w="820" w:type="dxa"/>
            <w:shd w:val="clear" w:color="auto" w:fill="auto"/>
            <w:hideMark/>
          </w:tcPr>
          <w:p w14:paraId="17A5B84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4B9B8F1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29CDB65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53D8A53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3946C34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8" w:type="dxa"/>
            <w:shd w:val="clear" w:color="auto" w:fill="auto"/>
            <w:hideMark/>
          </w:tcPr>
          <w:p w14:paraId="6ABEA9F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2F8BA93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1BE7BB8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241249B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684" w:type="dxa"/>
            <w:shd w:val="clear" w:color="auto" w:fill="auto"/>
            <w:hideMark/>
          </w:tcPr>
          <w:p w14:paraId="6CA2CE3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r>
      <w:tr w:rsidR="00046F46" w:rsidRPr="00EE4C2A" w14:paraId="19E53F27" w14:textId="77777777" w:rsidTr="004C1F7B">
        <w:tc>
          <w:tcPr>
            <w:tcW w:w="1138" w:type="dxa"/>
            <w:shd w:val="clear" w:color="auto" w:fill="auto"/>
            <w:hideMark/>
          </w:tcPr>
          <w:p w14:paraId="6AA9DC1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Centrale </w:t>
            </w:r>
          </w:p>
        </w:tc>
        <w:tc>
          <w:tcPr>
            <w:tcW w:w="760" w:type="dxa"/>
            <w:shd w:val="clear" w:color="auto" w:fill="auto"/>
            <w:hideMark/>
          </w:tcPr>
          <w:p w14:paraId="116C5BF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13,5</w:t>
            </w:r>
          </w:p>
        </w:tc>
        <w:tc>
          <w:tcPr>
            <w:tcW w:w="820" w:type="dxa"/>
            <w:shd w:val="clear" w:color="auto" w:fill="auto"/>
            <w:hideMark/>
          </w:tcPr>
          <w:p w14:paraId="051183E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33,4</w:t>
            </w:r>
          </w:p>
        </w:tc>
        <w:tc>
          <w:tcPr>
            <w:tcW w:w="709" w:type="dxa"/>
            <w:shd w:val="clear" w:color="auto" w:fill="auto"/>
            <w:hideMark/>
          </w:tcPr>
          <w:p w14:paraId="0BFEE97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866</w:t>
            </w:r>
          </w:p>
        </w:tc>
        <w:tc>
          <w:tcPr>
            <w:tcW w:w="850" w:type="dxa"/>
            <w:shd w:val="clear" w:color="auto" w:fill="auto"/>
            <w:hideMark/>
          </w:tcPr>
          <w:p w14:paraId="4D4FA0A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2,2</w:t>
            </w:r>
          </w:p>
        </w:tc>
        <w:tc>
          <w:tcPr>
            <w:tcW w:w="851" w:type="dxa"/>
            <w:shd w:val="clear" w:color="auto" w:fill="auto"/>
            <w:hideMark/>
          </w:tcPr>
          <w:p w14:paraId="02D2C40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4,6</w:t>
            </w:r>
          </w:p>
        </w:tc>
        <w:tc>
          <w:tcPr>
            <w:tcW w:w="709" w:type="dxa"/>
            <w:shd w:val="clear" w:color="auto" w:fill="auto"/>
            <w:hideMark/>
          </w:tcPr>
          <w:p w14:paraId="6AB7954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3,9</w:t>
            </w:r>
          </w:p>
        </w:tc>
        <w:tc>
          <w:tcPr>
            <w:tcW w:w="708" w:type="dxa"/>
            <w:shd w:val="clear" w:color="auto" w:fill="auto"/>
            <w:hideMark/>
          </w:tcPr>
          <w:p w14:paraId="1FE61F2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860</w:t>
            </w:r>
          </w:p>
        </w:tc>
        <w:tc>
          <w:tcPr>
            <w:tcW w:w="851" w:type="dxa"/>
            <w:shd w:val="clear" w:color="auto" w:fill="auto"/>
            <w:hideMark/>
          </w:tcPr>
          <w:p w14:paraId="5A47118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2,4</w:t>
            </w:r>
          </w:p>
        </w:tc>
        <w:tc>
          <w:tcPr>
            <w:tcW w:w="850" w:type="dxa"/>
            <w:shd w:val="clear" w:color="auto" w:fill="auto"/>
            <w:hideMark/>
          </w:tcPr>
          <w:p w14:paraId="7377945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11,4</w:t>
            </w:r>
          </w:p>
        </w:tc>
        <w:tc>
          <w:tcPr>
            <w:tcW w:w="709" w:type="dxa"/>
            <w:shd w:val="clear" w:color="auto" w:fill="auto"/>
            <w:hideMark/>
          </w:tcPr>
          <w:p w14:paraId="4D82F84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w:t>
            </w:r>
          </w:p>
        </w:tc>
        <w:tc>
          <w:tcPr>
            <w:tcW w:w="684" w:type="dxa"/>
            <w:shd w:val="clear" w:color="auto" w:fill="auto"/>
            <w:hideMark/>
          </w:tcPr>
          <w:p w14:paraId="347C26B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875</w:t>
            </w:r>
          </w:p>
        </w:tc>
      </w:tr>
      <w:tr w:rsidR="00046F46" w:rsidRPr="00EE4C2A" w14:paraId="073CAE9B" w14:textId="77777777" w:rsidTr="004C1F7B">
        <w:tc>
          <w:tcPr>
            <w:tcW w:w="1138" w:type="dxa"/>
            <w:shd w:val="clear" w:color="auto" w:fill="auto"/>
            <w:hideMark/>
          </w:tcPr>
          <w:p w14:paraId="0AB46F6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Copperbelt </w:t>
            </w:r>
          </w:p>
        </w:tc>
        <w:tc>
          <w:tcPr>
            <w:tcW w:w="760" w:type="dxa"/>
            <w:shd w:val="clear" w:color="auto" w:fill="auto"/>
            <w:hideMark/>
          </w:tcPr>
          <w:p w14:paraId="4722405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8,9</w:t>
            </w:r>
          </w:p>
        </w:tc>
        <w:tc>
          <w:tcPr>
            <w:tcW w:w="820" w:type="dxa"/>
            <w:shd w:val="clear" w:color="auto" w:fill="auto"/>
            <w:hideMark/>
          </w:tcPr>
          <w:p w14:paraId="080A605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29,7</w:t>
            </w:r>
          </w:p>
        </w:tc>
        <w:tc>
          <w:tcPr>
            <w:tcW w:w="709" w:type="dxa"/>
            <w:shd w:val="clear" w:color="auto" w:fill="auto"/>
            <w:hideMark/>
          </w:tcPr>
          <w:p w14:paraId="111E6ED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1 230</w:t>
            </w:r>
          </w:p>
        </w:tc>
        <w:tc>
          <w:tcPr>
            <w:tcW w:w="850" w:type="dxa"/>
            <w:shd w:val="clear" w:color="auto" w:fill="auto"/>
            <w:hideMark/>
          </w:tcPr>
          <w:p w14:paraId="578F701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2,3</w:t>
            </w:r>
          </w:p>
        </w:tc>
        <w:tc>
          <w:tcPr>
            <w:tcW w:w="851" w:type="dxa"/>
            <w:shd w:val="clear" w:color="auto" w:fill="auto"/>
            <w:hideMark/>
          </w:tcPr>
          <w:p w14:paraId="34CC2CD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5,4</w:t>
            </w:r>
          </w:p>
        </w:tc>
        <w:tc>
          <w:tcPr>
            <w:tcW w:w="709" w:type="dxa"/>
            <w:shd w:val="clear" w:color="auto" w:fill="auto"/>
            <w:hideMark/>
          </w:tcPr>
          <w:p w14:paraId="17E067E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w:t>
            </w:r>
          </w:p>
        </w:tc>
        <w:tc>
          <w:tcPr>
            <w:tcW w:w="708" w:type="dxa"/>
            <w:shd w:val="clear" w:color="auto" w:fill="auto"/>
            <w:hideMark/>
          </w:tcPr>
          <w:p w14:paraId="16FEED2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1 226</w:t>
            </w:r>
          </w:p>
        </w:tc>
        <w:tc>
          <w:tcPr>
            <w:tcW w:w="851" w:type="dxa"/>
            <w:shd w:val="clear" w:color="auto" w:fill="auto"/>
            <w:hideMark/>
          </w:tcPr>
          <w:p w14:paraId="4CDD8C2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w:t>
            </w:r>
          </w:p>
        </w:tc>
        <w:tc>
          <w:tcPr>
            <w:tcW w:w="850" w:type="dxa"/>
            <w:shd w:val="clear" w:color="auto" w:fill="auto"/>
            <w:hideMark/>
          </w:tcPr>
          <w:p w14:paraId="6A574FF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12,1</w:t>
            </w:r>
          </w:p>
        </w:tc>
        <w:tc>
          <w:tcPr>
            <w:tcW w:w="709" w:type="dxa"/>
            <w:shd w:val="clear" w:color="auto" w:fill="auto"/>
            <w:hideMark/>
          </w:tcPr>
          <w:p w14:paraId="32A4C59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0,5</w:t>
            </w:r>
          </w:p>
        </w:tc>
        <w:tc>
          <w:tcPr>
            <w:tcW w:w="684" w:type="dxa"/>
            <w:shd w:val="clear" w:color="auto" w:fill="auto"/>
            <w:hideMark/>
          </w:tcPr>
          <w:p w14:paraId="763C6D5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1 236</w:t>
            </w:r>
          </w:p>
        </w:tc>
      </w:tr>
      <w:tr w:rsidR="00046F46" w:rsidRPr="00EE4C2A" w14:paraId="4E0CE450" w14:textId="77777777" w:rsidTr="004C1F7B">
        <w:tc>
          <w:tcPr>
            <w:tcW w:w="1138" w:type="dxa"/>
            <w:shd w:val="clear" w:color="auto" w:fill="auto"/>
            <w:hideMark/>
          </w:tcPr>
          <w:p w14:paraId="3E0322B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Orientale </w:t>
            </w:r>
          </w:p>
        </w:tc>
        <w:tc>
          <w:tcPr>
            <w:tcW w:w="760" w:type="dxa"/>
            <w:shd w:val="clear" w:color="auto" w:fill="auto"/>
            <w:hideMark/>
          </w:tcPr>
          <w:p w14:paraId="1958698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11,1</w:t>
            </w:r>
          </w:p>
        </w:tc>
        <w:tc>
          <w:tcPr>
            <w:tcW w:w="820" w:type="dxa"/>
            <w:shd w:val="clear" w:color="auto" w:fill="auto"/>
            <w:hideMark/>
          </w:tcPr>
          <w:p w14:paraId="6FD4403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34,2</w:t>
            </w:r>
          </w:p>
        </w:tc>
        <w:tc>
          <w:tcPr>
            <w:tcW w:w="709" w:type="dxa"/>
            <w:shd w:val="clear" w:color="auto" w:fill="auto"/>
            <w:hideMark/>
          </w:tcPr>
          <w:p w14:paraId="3CB093B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1 266</w:t>
            </w:r>
          </w:p>
        </w:tc>
        <w:tc>
          <w:tcPr>
            <w:tcW w:w="850" w:type="dxa"/>
            <w:shd w:val="clear" w:color="auto" w:fill="auto"/>
            <w:hideMark/>
          </w:tcPr>
          <w:p w14:paraId="5D1E9DC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0,7</w:t>
            </w:r>
          </w:p>
        </w:tc>
        <w:tc>
          <w:tcPr>
            <w:tcW w:w="851" w:type="dxa"/>
            <w:shd w:val="clear" w:color="auto" w:fill="auto"/>
            <w:hideMark/>
          </w:tcPr>
          <w:p w14:paraId="7A97C92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2,2</w:t>
            </w:r>
          </w:p>
        </w:tc>
        <w:tc>
          <w:tcPr>
            <w:tcW w:w="709" w:type="dxa"/>
            <w:shd w:val="clear" w:color="auto" w:fill="auto"/>
            <w:hideMark/>
          </w:tcPr>
          <w:p w14:paraId="2C0C287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w:t>
            </w:r>
          </w:p>
        </w:tc>
        <w:tc>
          <w:tcPr>
            <w:tcW w:w="708" w:type="dxa"/>
            <w:shd w:val="clear" w:color="auto" w:fill="auto"/>
            <w:hideMark/>
          </w:tcPr>
          <w:p w14:paraId="697A4F7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1 262</w:t>
            </w:r>
          </w:p>
        </w:tc>
        <w:tc>
          <w:tcPr>
            <w:tcW w:w="851" w:type="dxa"/>
            <w:shd w:val="clear" w:color="auto" w:fill="auto"/>
            <w:hideMark/>
          </w:tcPr>
          <w:p w14:paraId="1446DB4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1,9</w:t>
            </w:r>
          </w:p>
        </w:tc>
        <w:tc>
          <w:tcPr>
            <w:tcW w:w="850" w:type="dxa"/>
            <w:shd w:val="clear" w:color="auto" w:fill="auto"/>
            <w:hideMark/>
          </w:tcPr>
          <w:p w14:paraId="7D56E6D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9,2</w:t>
            </w:r>
          </w:p>
        </w:tc>
        <w:tc>
          <w:tcPr>
            <w:tcW w:w="709" w:type="dxa"/>
            <w:shd w:val="clear" w:color="auto" w:fill="auto"/>
            <w:hideMark/>
          </w:tcPr>
          <w:p w14:paraId="09E3B5B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w:t>
            </w:r>
          </w:p>
        </w:tc>
        <w:tc>
          <w:tcPr>
            <w:tcW w:w="684" w:type="dxa"/>
            <w:shd w:val="clear" w:color="auto" w:fill="auto"/>
            <w:hideMark/>
          </w:tcPr>
          <w:p w14:paraId="7FBE995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1 269</w:t>
            </w:r>
          </w:p>
        </w:tc>
      </w:tr>
      <w:tr w:rsidR="00046F46" w:rsidRPr="00EE4C2A" w14:paraId="21CDB725" w14:textId="77777777" w:rsidTr="004C1F7B">
        <w:tc>
          <w:tcPr>
            <w:tcW w:w="1138" w:type="dxa"/>
            <w:shd w:val="clear" w:color="auto" w:fill="auto"/>
            <w:hideMark/>
          </w:tcPr>
          <w:p w14:paraId="5F9F9EE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Luapula </w:t>
            </w:r>
          </w:p>
        </w:tc>
        <w:tc>
          <w:tcPr>
            <w:tcW w:w="760" w:type="dxa"/>
            <w:shd w:val="clear" w:color="auto" w:fill="auto"/>
            <w:hideMark/>
          </w:tcPr>
          <w:p w14:paraId="09A0464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16,9</w:t>
            </w:r>
          </w:p>
        </w:tc>
        <w:tc>
          <w:tcPr>
            <w:tcW w:w="820" w:type="dxa"/>
            <w:shd w:val="clear" w:color="auto" w:fill="auto"/>
            <w:hideMark/>
          </w:tcPr>
          <w:p w14:paraId="64B518B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44,9</w:t>
            </w:r>
          </w:p>
        </w:tc>
        <w:tc>
          <w:tcPr>
            <w:tcW w:w="709" w:type="dxa"/>
            <w:shd w:val="clear" w:color="auto" w:fill="auto"/>
            <w:hideMark/>
          </w:tcPr>
          <w:p w14:paraId="1282E9A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892</w:t>
            </w:r>
          </w:p>
        </w:tc>
        <w:tc>
          <w:tcPr>
            <w:tcW w:w="850" w:type="dxa"/>
            <w:shd w:val="clear" w:color="auto" w:fill="auto"/>
            <w:hideMark/>
          </w:tcPr>
          <w:p w14:paraId="434B2B4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2,2</w:t>
            </w:r>
          </w:p>
        </w:tc>
        <w:tc>
          <w:tcPr>
            <w:tcW w:w="851" w:type="dxa"/>
            <w:shd w:val="clear" w:color="auto" w:fill="auto"/>
            <w:hideMark/>
          </w:tcPr>
          <w:p w14:paraId="35C6FFD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6,2</w:t>
            </w:r>
          </w:p>
        </w:tc>
        <w:tc>
          <w:tcPr>
            <w:tcW w:w="709" w:type="dxa"/>
            <w:shd w:val="clear" w:color="auto" w:fill="auto"/>
            <w:hideMark/>
          </w:tcPr>
          <w:p w14:paraId="2E51501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5,2</w:t>
            </w:r>
          </w:p>
        </w:tc>
        <w:tc>
          <w:tcPr>
            <w:tcW w:w="708" w:type="dxa"/>
            <w:shd w:val="clear" w:color="auto" w:fill="auto"/>
            <w:hideMark/>
          </w:tcPr>
          <w:p w14:paraId="007A67A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895</w:t>
            </w:r>
          </w:p>
        </w:tc>
        <w:tc>
          <w:tcPr>
            <w:tcW w:w="851" w:type="dxa"/>
            <w:shd w:val="clear" w:color="auto" w:fill="auto"/>
            <w:hideMark/>
          </w:tcPr>
          <w:p w14:paraId="72E7880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2,9</w:t>
            </w:r>
          </w:p>
        </w:tc>
        <w:tc>
          <w:tcPr>
            <w:tcW w:w="850" w:type="dxa"/>
            <w:shd w:val="clear" w:color="auto" w:fill="auto"/>
            <w:hideMark/>
          </w:tcPr>
          <w:p w14:paraId="375B236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15,2</w:t>
            </w:r>
          </w:p>
        </w:tc>
        <w:tc>
          <w:tcPr>
            <w:tcW w:w="709" w:type="dxa"/>
            <w:shd w:val="clear" w:color="auto" w:fill="auto"/>
            <w:hideMark/>
          </w:tcPr>
          <w:p w14:paraId="3E6A132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0,7</w:t>
            </w:r>
          </w:p>
        </w:tc>
        <w:tc>
          <w:tcPr>
            <w:tcW w:w="684" w:type="dxa"/>
            <w:shd w:val="clear" w:color="auto" w:fill="auto"/>
            <w:hideMark/>
          </w:tcPr>
          <w:p w14:paraId="066D151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904</w:t>
            </w:r>
          </w:p>
        </w:tc>
      </w:tr>
      <w:tr w:rsidR="00046F46" w:rsidRPr="00EE4C2A" w14:paraId="3877B4E3" w14:textId="77777777" w:rsidTr="004C1F7B">
        <w:tc>
          <w:tcPr>
            <w:tcW w:w="1138" w:type="dxa"/>
            <w:shd w:val="clear" w:color="auto" w:fill="auto"/>
            <w:hideMark/>
          </w:tcPr>
          <w:p w14:paraId="6BF7BFF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Lusaka </w:t>
            </w:r>
          </w:p>
        </w:tc>
        <w:tc>
          <w:tcPr>
            <w:tcW w:w="760" w:type="dxa"/>
            <w:shd w:val="clear" w:color="auto" w:fill="auto"/>
            <w:hideMark/>
          </w:tcPr>
          <w:p w14:paraId="1A8D139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12,3</w:t>
            </w:r>
          </w:p>
        </w:tc>
        <w:tc>
          <w:tcPr>
            <w:tcW w:w="820" w:type="dxa"/>
            <w:shd w:val="clear" w:color="auto" w:fill="auto"/>
            <w:hideMark/>
          </w:tcPr>
          <w:p w14:paraId="3134869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35,6</w:t>
            </w:r>
          </w:p>
        </w:tc>
        <w:tc>
          <w:tcPr>
            <w:tcW w:w="709" w:type="dxa"/>
            <w:shd w:val="clear" w:color="auto" w:fill="auto"/>
            <w:hideMark/>
          </w:tcPr>
          <w:p w14:paraId="471CB57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1 476</w:t>
            </w:r>
          </w:p>
        </w:tc>
        <w:tc>
          <w:tcPr>
            <w:tcW w:w="850" w:type="dxa"/>
            <w:shd w:val="clear" w:color="auto" w:fill="auto"/>
            <w:hideMark/>
          </w:tcPr>
          <w:p w14:paraId="336B335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2,2</w:t>
            </w:r>
          </w:p>
        </w:tc>
        <w:tc>
          <w:tcPr>
            <w:tcW w:w="851" w:type="dxa"/>
            <w:shd w:val="clear" w:color="auto" w:fill="auto"/>
            <w:hideMark/>
          </w:tcPr>
          <w:p w14:paraId="329D233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5,5</w:t>
            </w:r>
          </w:p>
        </w:tc>
        <w:tc>
          <w:tcPr>
            <w:tcW w:w="709" w:type="dxa"/>
            <w:shd w:val="clear" w:color="auto" w:fill="auto"/>
            <w:hideMark/>
          </w:tcPr>
          <w:p w14:paraId="515BC41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8,1</w:t>
            </w:r>
          </w:p>
        </w:tc>
        <w:tc>
          <w:tcPr>
            <w:tcW w:w="708" w:type="dxa"/>
            <w:shd w:val="clear" w:color="auto" w:fill="auto"/>
            <w:hideMark/>
          </w:tcPr>
          <w:p w14:paraId="487DEC5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1 463</w:t>
            </w:r>
          </w:p>
        </w:tc>
        <w:tc>
          <w:tcPr>
            <w:tcW w:w="851" w:type="dxa"/>
            <w:shd w:val="clear" w:color="auto" w:fill="auto"/>
            <w:hideMark/>
          </w:tcPr>
          <w:p w14:paraId="21E16EF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1,6</w:t>
            </w:r>
          </w:p>
        </w:tc>
        <w:tc>
          <w:tcPr>
            <w:tcW w:w="850" w:type="dxa"/>
            <w:shd w:val="clear" w:color="auto" w:fill="auto"/>
            <w:hideMark/>
          </w:tcPr>
          <w:p w14:paraId="606C03D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10,6</w:t>
            </w:r>
          </w:p>
        </w:tc>
        <w:tc>
          <w:tcPr>
            <w:tcW w:w="709" w:type="dxa"/>
            <w:shd w:val="clear" w:color="auto" w:fill="auto"/>
            <w:hideMark/>
          </w:tcPr>
          <w:p w14:paraId="2ADCAC8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w:t>
            </w:r>
          </w:p>
        </w:tc>
        <w:tc>
          <w:tcPr>
            <w:tcW w:w="684" w:type="dxa"/>
            <w:shd w:val="clear" w:color="auto" w:fill="auto"/>
            <w:hideMark/>
          </w:tcPr>
          <w:p w14:paraId="6ED33A7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1 485</w:t>
            </w:r>
          </w:p>
        </w:tc>
      </w:tr>
      <w:tr w:rsidR="00046F46" w:rsidRPr="00EE4C2A" w14:paraId="5F0A5CDA" w14:textId="77777777" w:rsidTr="004C1F7B">
        <w:tc>
          <w:tcPr>
            <w:tcW w:w="1138" w:type="dxa"/>
            <w:shd w:val="clear" w:color="auto" w:fill="auto"/>
            <w:hideMark/>
          </w:tcPr>
          <w:p w14:paraId="63633C7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Muchinga </w:t>
            </w:r>
          </w:p>
        </w:tc>
        <w:tc>
          <w:tcPr>
            <w:tcW w:w="760" w:type="dxa"/>
            <w:shd w:val="clear" w:color="auto" w:fill="auto"/>
            <w:hideMark/>
          </w:tcPr>
          <w:p w14:paraId="7113461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10,2</w:t>
            </w:r>
          </w:p>
        </w:tc>
        <w:tc>
          <w:tcPr>
            <w:tcW w:w="820" w:type="dxa"/>
            <w:shd w:val="clear" w:color="auto" w:fill="auto"/>
            <w:hideMark/>
          </w:tcPr>
          <w:p w14:paraId="0B74EEA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32,1</w:t>
            </w:r>
          </w:p>
        </w:tc>
        <w:tc>
          <w:tcPr>
            <w:tcW w:w="709" w:type="dxa"/>
            <w:shd w:val="clear" w:color="auto" w:fill="auto"/>
            <w:hideMark/>
          </w:tcPr>
          <w:p w14:paraId="1FF4076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595</w:t>
            </w:r>
          </w:p>
        </w:tc>
        <w:tc>
          <w:tcPr>
            <w:tcW w:w="850" w:type="dxa"/>
            <w:shd w:val="clear" w:color="auto" w:fill="auto"/>
            <w:hideMark/>
          </w:tcPr>
          <w:p w14:paraId="6FCC137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3,7</w:t>
            </w:r>
          </w:p>
        </w:tc>
        <w:tc>
          <w:tcPr>
            <w:tcW w:w="851" w:type="dxa"/>
            <w:shd w:val="clear" w:color="auto" w:fill="auto"/>
            <w:hideMark/>
          </w:tcPr>
          <w:p w14:paraId="0313A66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8,2</w:t>
            </w:r>
          </w:p>
        </w:tc>
        <w:tc>
          <w:tcPr>
            <w:tcW w:w="709" w:type="dxa"/>
            <w:shd w:val="clear" w:color="auto" w:fill="auto"/>
            <w:hideMark/>
          </w:tcPr>
          <w:p w14:paraId="23E3A61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3,5</w:t>
            </w:r>
          </w:p>
        </w:tc>
        <w:tc>
          <w:tcPr>
            <w:tcW w:w="708" w:type="dxa"/>
            <w:shd w:val="clear" w:color="auto" w:fill="auto"/>
            <w:hideMark/>
          </w:tcPr>
          <w:p w14:paraId="6F67B70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597</w:t>
            </w:r>
          </w:p>
        </w:tc>
        <w:tc>
          <w:tcPr>
            <w:tcW w:w="851" w:type="dxa"/>
            <w:shd w:val="clear" w:color="auto" w:fill="auto"/>
            <w:hideMark/>
          </w:tcPr>
          <w:p w14:paraId="78E6070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3,4</w:t>
            </w:r>
          </w:p>
        </w:tc>
        <w:tc>
          <w:tcPr>
            <w:tcW w:w="850" w:type="dxa"/>
            <w:shd w:val="clear" w:color="auto" w:fill="auto"/>
            <w:hideMark/>
          </w:tcPr>
          <w:p w14:paraId="2BA9407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15,3</w:t>
            </w:r>
          </w:p>
        </w:tc>
        <w:tc>
          <w:tcPr>
            <w:tcW w:w="709" w:type="dxa"/>
            <w:shd w:val="clear" w:color="auto" w:fill="auto"/>
            <w:hideMark/>
          </w:tcPr>
          <w:p w14:paraId="171BA8E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684" w:type="dxa"/>
            <w:shd w:val="clear" w:color="auto" w:fill="auto"/>
            <w:hideMark/>
          </w:tcPr>
          <w:p w14:paraId="1B2B167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604</w:t>
            </w:r>
          </w:p>
        </w:tc>
      </w:tr>
      <w:tr w:rsidR="00046F46" w:rsidRPr="00EE4C2A" w14:paraId="47F9668A" w14:textId="77777777" w:rsidTr="004C1F7B">
        <w:tc>
          <w:tcPr>
            <w:tcW w:w="1138" w:type="dxa"/>
            <w:shd w:val="clear" w:color="auto" w:fill="auto"/>
            <w:hideMark/>
          </w:tcPr>
          <w:p w14:paraId="2B98EDD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Nord </w:t>
            </w:r>
          </w:p>
        </w:tc>
        <w:tc>
          <w:tcPr>
            <w:tcW w:w="760" w:type="dxa"/>
            <w:shd w:val="clear" w:color="auto" w:fill="auto"/>
            <w:hideMark/>
          </w:tcPr>
          <w:p w14:paraId="24E81D8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19,4</w:t>
            </w:r>
          </w:p>
        </w:tc>
        <w:tc>
          <w:tcPr>
            <w:tcW w:w="820" w:type="dxa"/>
            <w:shd w:val="clear" w:color="auto" w:fill="auto"/>
            <w:hideMark/>
          </w:tcPr>
          <w:p w14:paraId="77C0A8A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45,8</w:t>
            </w:r>
          </w:p>
        </w:tc>
        <w:tc>
          <w:tcPr>
            <w:tcW w:w="709" w:type="dxa"/>
            <w:shd w:val="clear" w:color="auto" w:fill="auto"/>
            <w:hideMark/>
          </w:tcPr>
          <w:p w14:paraId="3512800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860</w:t>
            </w:r>
          </w:p>
        </w:tc>
        <w:tc>
          <w:tcPr>
            <w:tcW w:w="850" w:type="dxa"/>
            <w:shd w:val="clear" w:color="auto" w:fill="auto"/>
            <w:hideMark/>
          </w:tcPr>
          <w:p w14:paraId="21C7894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0,3</w:t>
            </w:r>
          </w:p>
        </w:tc>
        <w:tc>
          <w:tcPr>
            <w:tcW w:w="851" w:type="dxa"/>
            <w:shd w:val="clear" w:color="auto" w:fill="auto"/>
            <w:hideMark/>
          </w:tcPr>
          <w:p w14:paraId="7EE9593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3,1</w:t>
            </w:r>
          </w:p>
        </w:tc>
        <w:tc>
          <w:tcPr>
            <w:tcW w:w="709" w:type="dxa"/>
            <w:shd w:val="clear" w:color="auto" w:fill="auto"/>
            <w:hideMark/>
          </w:tcPr>
          <w:p w14:paraId="5911055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8,3</w:t>
            </w:r>
          </w:p>
        </w:tc>
        <w:tc>
          <w:tcPr>
            <w:tcW w:w="708" w:type="dxa"/>
            <w:shd w:val="clear" w:color="auto" w:fill="auto"/>
            <w:hideMark/>
          </w:tcPr>
          <w:p w14:paraId="7D07FEB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860</w:t>
            </w:r>
          </w:p>
        </w:tc>
        <w:tc>
          <w:tcPr>
            <w:tcW w:w="851" w:type="dxa"/>
            <w:shd w:val="clear" w:color="auto" w:fill="auto"/>
            <w:hideMark/>
          </w:tcPr>
          <w:p w14:paraId="36C4110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2,9</w:t>
            </w:r>
          </w:p>
        </w:tc>
        <w:tc>
          <w:tcPr>
            <w:tcW w:w="850" w:type="dxa"/>
            <w:shd w:val="clear" w:color="auto" w:fill="auto"/>
            <w:hideMark/>
          </w:tcPr>
          <w:p w14:paraId="1ACDB29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14,1</w:t>
            </w:r>
          </w:p>
        </w:tc>
        <w:tc>
          <w:tcPr>
            <w:tcW w:w="709" w:type="dxa"/>
            <w:shd w:val="clear" w:color="auto" w:fill="auto"/>
            <w:hideMark/>
          </w:tcPr>
          <w:p w14:paraId="60488F5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w:t>
            </w:r>
          </w:p>
        </w:tc>
        <w:tc>
          <w:tcPr>
            <w:tcW w:w="684" w:type="dxa"/>
            <w:shd w:val="clear" w:color="auto" w:fill="auto"/>
            <w:hideMark/>
          </w:tcPr>
          <w:p w14:paraId="5AB0B41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876</w:t>
            </w:r>
          </w:p>
        </w:tc>
      </w:tr>
      <w:tr w:rsidR="00046F46" w:rsidRPr="00EE4C2A" w14:paraId="502364E0" w14:textId="77777777" w:rsidTr="004C1F7B">
        <w:tc>
          <w:tcPr>
            <w:tcW w:w="1138" w:type="dxa"/>
            <w:shd w:val="clear" w:color="auto" w:fill="auto"/>
            <w:hideMark/>
          </w:tcPr>
          <w:p w14:paraId="45DF9EF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Nord-Occidentale </w:t>
            </w:r>
          </w:p>
        </w:tc>
        <w:tc>
          <w:tcPr>
            <w:tcW w:w="760" w:type="dxa"/>
            <w:shd w:val="clear" w:color="auto" w:fill="auto"/>
            <w:hideMark/>
          </w:tcPr>
          <w:p w14:paraId="2EE2339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10,5</w:t>
            </w:r>
          </w:p>
        </w:tc>
        <w:tc>
          <w:tcPr>
            <w:tcW w:w="820" w:type="dxa"/>
            <w:shd w:val="clear" w:color="auto" w:fill="auto"/>
            <w:hideMark/>
          </w:tcPr>
          <w:p w14:paraId="36E2C54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31,9</w:t>
            </w:r>
          </w:p>
        </w:tc>
        <w:tc>
          <w:tcPr>
            <w:tcW w:w="709" w:type="dxa"/>
            <w:shd w:val="clear" w:color="auto" w:fill="auto"/>
            <w:hideMark/>
          </w:tcPr>
          <w:p w14:paraId="34B649C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536</w:t>
            </w:r>
          </w:p>
        </w:tc>
        <w:tc>
          <w:tcPr>
            <w:tcW w:w="850" w:type="dxa"/>
            <w:shd w:val="clear" w:color="auto" w:fill="auto"/>
            <w:hideMark/>
          </w:tcPr>
          <w:p w14:paraId="5039E24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w:t>
            </w:r>
          </w:p>
        </w:tc>
        <w:tc>
          <w:tcPr>
            <w:tcW w:w="851" w:type="dxa"/>
            <w:shd w:val="clear" w:color="auto" w:fill="auto"/>
            <w:hideMark/>
          </w:tcPr>
          <w:p w14:paraId="57AA054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2,4</w:t>
            </w:r>
          </w:p>
        </w:tc>
        <w:tc>
          <w:tcPr>
            <w:tcW w:w="709" w:type="dxa"/>
            <w:shd w:val="clear" w:color="auto" w:fill="auto"/>
            <w:hideMark/>
          </w:tcPr>
          <w:p w14:paraId="309A101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3,3</w:t>
            </w:r>
          </w:p>
        </w:tc>
        <w:tc>
          <w:tcPr>
            <w:tcW w:w="708" w:type="dxa"/>
            <w:shd w:val="clear" w:color="auto" w:fill="auto"/>
            <w:hideMark/>
          </w:tcPr>
          <w:p w14:paraId="2168609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536</w:t>
            </w:r>
          </w:p>
        </w:tc>
        <w:tc>
          <w:tcPr>
            <w:tcW w:w="851" w:type="dxa"/>
            <w:shd w:val="clear" w:color="auto" w:fill="auto"/>
            <w:hideMark/>
          </w:tcPr>
          <w:p w14:paraId="3C4EE5C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2,5</w:t>
            </w:r>
          </w:p>
        </w:tc>
        <w:tc>
          <w:tcPr>
            <w:tcW w:w="850" w:type="dxa"/>
            <w:shd w:val="clear" w:color="auto" w:fill="auto"/>
            <w:hideMark/>
          </w:tcPr>
          <w:p w14:paraId="39D1404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10,4</w:t>
            </w:r>
          </w:p>
        </w:tc>
        <w:tc>
          <w:tcPr>
            <w:tcW w:w="709" w:type="dxa"/>
            <w:shd w:val="clear" w:color="auto" w:fill="auto"/>
            <w:hideMark/>
          </w:tcPr>
          <w:p w14:paraId="2B9CE1B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0,5</w:t>
            </w:r>
          </w:p>
        </w:tc>
        <w:tc>
          <w:tcPr>
            <w:tcW w:w="684" w:type="dxa"/>
            <w:shd w:val="clear" w:color="auto" w:fill="auto"/>
            <w:hideMark/>
          </w:tcPr>
          <w:p w14:paraId="3C8B896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545</w:t>
            </w:r>
          </w:p>
        </w:tc>
      </w:tr>
      <w:tr w:rsidR="00046F46" w:rsidRPr="00EE4C2A" w14:paraId="6EB7DEFB" w14:textId="77777777" w:rsidTr="004C1F7B">
        <w:tc>
          <w:tcPr>
            <w:tcW w:w="1138" w:type="dxa"/>
            <w:shd w:val="clear" w:color="auto" w:fill="auto"/>
            <w:hideMark/>
          </w:tcPr>
          <w:p w14:paraId="78E1B62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Méridionale </w:t>
            </w:r>
          </w:p>
        </w:tc>
        <w:tc>
          <w:tcPr>
            <w:tcW w:w="760" w:type="dxa"/>
            <w:shd w:val="clear" w:color="auto" w:fill="auto"/>
            <w:hideMark/>
          </w:tcPr>
          <w:p w14:paraId="0615A24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7,9</w:t>
            </w:r>
          </w:p>
        </w:tc>
        <w:tc>
          <w:tcPr>
            <w:tcW w:w="820" w:type="dxa"/>
            <w:shd w:val="clear" w:color="auto" w:fill="auto"/>
            <w:hideMark/>
          </w:tcPr>
          <w:p w14:paraId="07003D5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29,4</w:t>
            </w:r>
          </w:p>
        </w:tc>
        <w:tc>
          <w:tcPr>
            <w:tcW w:w="709" w:type="dxa"/>
            <w:shd w:val="clear" w:color="auto" w:fill="auto"/>
            <w:hideMark/>
          </w:tcPr>
          <w:p w14:paraId="2F3EE70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1 274</w:t>
            </w:r>
          </w:p>
        </w:tc>
        <w:tc>
          <w:tcPr>
            <w:tcW w:w="850" w:type="dxa"/>
            <w:shd w:val="clear" w:color="auto" w:fill="auto"/>
            <w:hideMark/>
          </w:tcPr>
          <w:p w14:paraId="1B3129D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0,3</w:t>
            </w:r>
          </w:p>
        </w:tc>
        <w:tc>
          <w:tcPr>
            <w:tcW w:w="851" w:type="dxa"/>
            <w:shd w:val="clear" w:color="auto" w:fill="auto"/>
            <w:hideMark/>
          </w:tcPr>
          <w:p w14:paraId="481F0F7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2,3</w:t>
            </w:r>
          </w:p>
        </w:tc>
        <w:tc>
          <w:tcPr>
            <w:tcW w:w="709" w:type="dxa"/>
            <w:shd w:val="clear" w:color="auto" w:fill="auto"/>
            <w:hideMark/>
          </w:tcPr>
          <w:p w14:paraId="6AA0694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3,8</w:t>
            </w:r>
          </w:p>
        </w:tc>
        <w:tc>
          <w:tcPr>
            <w:tcW w:w="708" w:type="dxa"/>
            <w:shd w:val="clear" w:color="auto" w:fill="auto"/>
            <w:hideMark/>
          </w:tcPr>
          <w:p w14:paraId="26F45D2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1 278</w:t>
            </w:r>
          </w:p>
        </w:tc>
        <w:tc>
          <w:tcPr>
            <w:tcW w:w="851" w:type="dxa"/>
            <w:shd w:val="clear" w:color="auto" w:fill="auto"/>
            <w:hideMark/>
          </w:tcPr>
          <w:p w14:paraId="07A590A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1,1</w:t>
            </w:r>
          </w:p>
        </w:tc>
        <w:tc>
          <w:tcPr>
            <w:tcW w:w="850" w:type="dxa"/>
            <w:shd w:val="clear" w:color="auto" w:fill="auto"/>
            <w:hideMark/>
          </w:tcPr>
          <w:p w14:paraId="75AA61E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9,7</w:t>
            </w:r>
          </w:p>
        </w:tc>
        <w:tc>
          <w:tcPr>
            <w:tcW w:w="709" w:type="dxa"/>
            <w:shd w:val="clear" w:color="auto" w:fill="auto"/>
            <w:hideMark/>
          </w:tcPr>
          <w:p w14:paraId="247BC17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0,6</w:t>
            </w:r>
          </w:p>
        </w:tc>
        <w:tc>
          <w:tcPr>
            <w:tcW w:w="684" w:type="dxa"/>
            <w:shd w:val="clear" w:color="auto" w:fill="auto"/>
            <w:hideMark/>
          </w:tcPr>
          <w:p w14:paraId="3AB9387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1 279</w:t>
            </w:r>
          </w:p>
        </w:tc>
      </w:tr>
      <w:tr w:rsidR="00046F46" w:rsidRPr="00EE4C2A" w14:paraId="2087E237" w14:textId="77777777" w:rsidTr="004C1F7B">
        <w:tc>
          <w:tcPr>
            <w:tcW w:w="1138" w:type="dxa"/>
            <w:shd w:val="clear" w:color="auto" w:fill="auto"/>
            <w:hideMark/>
          </w:tcPr>
          <w:p w14:paraId="1EF2346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Occidentale </w:t>
            </w:r>
          </w:p>
        </w:tc>
        <w:tc>
          <w:tcPr>
            <w:tcW w:w="760" w:type="dxa"/>
            <w:shd w:val="clear" w:color="auto" w:fill="auto"/>
            <w:hideMark/>
          </w:tcPr>
          <w:p w14:paraId="4CD1189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8,3</w:t>
            </w:r>
          </w:p>
        </w:tc>
        <w:tc>
          <w:tcPr>
            <w:tcW w:w="820" w:type="dxa"/>
            <w:shd w:val="clear" w:color="auto" w:fill="auto"/>
            <w:hideMark/>
          </w:tcPr>
          <w:p w14:paraId="0CA8B25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29</w:t>
            </w:r>
          </w:p>
        </w:tc>
        <w:tc>
          <w:tcPr>
            <w:tcW w:w="709" w:type="dxa"/>
            <w:shd w:val="clear" w:color="auto" w:fill="auto"/>
            <w:hideMark/>
          </w:tcPr>
          <w:p w14:paraId="3ECEA5D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615</w:t>
            </w:r>
          </w:p>
        </w:tc>
        <w:tc>
          <w:tcPr>
            <w:tcW w:w="850" w:type="dxa"/>
            <w:shd w:val="clear" w:color="auto" w:fill="auto"/>
            <w:hideMark/>
          </w:tcPr>
          <w:p w14:paraId="18BE35E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0,3</w:t>
            </w:r>
          </w:p>
        </w:tc>
        <w:tc>
          <w:tcPr>
            <w:tcW w:w="851" w:type="dxa"/>
            <w:shd w:val="clear" w:color="auto" w:fill="auto"/>
            <w:hideMark/>
          </w:tcPr>
          <w:p w14:paraId="54279DB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w:t>
            </w:r>
          </w:p>
        </w:tc>
        <w:tc>
          <w:tcPr>
            <w:tcW w:w="709" w:type="dxa"/>
            <w:shd w:val="clear" w:color="auto" w:fill="auto"/>
            <w:hideMark/>
          </w:tcPr>
          <w:p w14:paraId="0EDB30E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w:t>
            </w:r>
          </w:p>
        </w:tc>
        <w:tc>
          <w:tcPr>
            <w:tcW w:w="708" w:type="dxa"/>
            <w:shd w:val="clear" w:color="auto" w:fill="auto"/>
            <w:hideMark/>
          </w:tcPr>
          <w:p w14:paraId="09F0E91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615</w:t>
            </w:r>
          </w:p>
        </w:tc>
        <w:tc>
          <w:tcPr>
            <w:tcW w:w="851" w:type="dxa"/>
            <w:shd w:val="clear" w:color="auto" w:fill="auto"/>
            <w:hideMark/>
          </w:tcPr>
          <w:p w14:paraId="7A29D30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3,2</w:t>
            </w:r>
          </w:p>
        </w:tc>
        <w:tc>
          <w:tcPr>
            <w:tcW w:w="850" w:type="dxa"/>
            <w:shd w:val="clear" w:color="auto" w:fill="auto"/>
            <w:hideMark/>
          </w:tcPr>
          <w:p w14:paraId="31922AB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14,1</w:t>
            </w:r>
          </w:p>
        </w:tc>
        <w:tc>
          <w:tcPr>
            <w:tcW w:w="709" w:type="dxa"/>
            <w:shd w:val="clear" w:color="auto" w:fill="auto"/>
            <w:hideMark/>
          </w:tcPr>
          <w:p w14:paraId="4F7E2AC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684" w:type="dxa"/>
            <w:shd w:val="clear" w:color="auto" w:fill="auto"/>
            <w:hideMark/>
          </w:tcPr>
          <w:p w14:paraId="363B6B1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616</w:t>
            </w:r>
          </w:p>
        </w:tc>
      </w:tr>
      <w:tr w:rsidR="00046F46" w:rsidRPr="00EE4C2A" w14:paraId="01162330" w14:textId="77777777" w:rsidTr="004C1F7B">
        <w:tc>
          <w:tcPr>
            <w:tcW w:w="1898" w:type="dxa"/>
            <w:gridSpan w:val="2"/>
            <w:shd w:val="clear" w:color="auto" w:fill="auto"/>
            <w:hideMark/>
          </w:tcPr>
          <w:p w14:paraId="17FE2CC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b/>
                <w:bCs/>
                <w:sz w:val="18"/>
                <w:szCs w:val="18"/>
                <w:lang w:val="fr-FR"/>
              </w:rPr>
            </w:pPr>
            <w:r w:rsidRPr="00EE4C2A">
              <w:rPr>
                <w:b/>
                <w:bCs/>
                <w:sz w:val="18"/>
                <w:szCs w:val="18"/>
                <w:lang w:val="fr-FR"/>
              </w:rPr>
              <w:t>Éducation de la mère</w:t>
            </w:r>
          </w:p>
        </w:tc>
        <w:tc>
          <w:tcPr>
            <w:tcW w:w="820" w:type="dxa"/>
            <w:shd w:val="clear" w:color="auto" w:fill="auto"/>
            <w:hideMark/>
          </w:tcPr>
          <w:p w14:paraId="0D097FA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4071FE1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702D471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140E1B6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7C3EC9A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8" w:type="dxa"/>
            <w:shd w:val="clear" w:color="auto" w:fill="auto"/>
            <w:hideMark/>
          </w:tcPr>
          <w:p w14:paraId="0FCC3B6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290FCFF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5EA8E4C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105DA82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684" w:type="dxa"/>
            <w:shd w:val="clear" w:color="auto" w:fill="auto"/>
            <w:hideMark/>
          </w:tcPr>
          <w:p w14:paraId="740864F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r>
      <w:tr w:rsidR="00046F46" w:rsidRPr="00EE4C2A" w14:paraId="019B2FB0" w14:textId="77777777" w:rsidTr="004C1F7B">
        <w:tc>
          <w:tcPr>
            <w:tcW w:w="1138" w:type="dxa"/>
            <w:shd w:val="clear" w:color="auto" w:fill="auto"/>
            <w:hideMark/>
          </w:tcPr>
          <w:p w14:paraId="4950989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Sans instruction </w:t>
            </w:r>
          </w:p>
        </w:tc>
        <w:tc>
          <w:tcPr>
            <w:tcW w:w="760" w:type="dxa"/>
            <w:shd w:val="clear" w:color="auto" w:fill="auto"/>
            <w:hideMark/>
          </w:tcPr>
          <w:p w14:paraId="33FBB75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14,6</w:t>
            </w:r>
          </w:p>
        </w:tc>
        <w:tc>
          <w:tcPr>
            <w:tcW w:w="820" w:type="dxa"/>
            <w:shd w:val="clear" w:color="auto" w:fill="auto"/>
            <w:hideMark/>
          </w:tcPr>
          <w:p w14:paraId="5AB691E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38,2</w:t>
            </w:r>
          </w:p>
        </w:tc>
        <w:tc>
          <w:tcPr>
            <w:tcW w:w="709" w:type="dxa"/>
            <w:shd w:val="clear" w:color="auto" w:fill="auto"/>
            <w:hideMark/>
          </w:tcPr>
          <w:p w14:paraId="29071A7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907</w:t>
            </w:r>
          </w:p>
        </w:tc>
        <w:tc>
          <w:tcPr>
            <w:tcW w:w="850" w:type="dxa"/>
            <w:shd w:val="clear" w:color="auto" w:fill="auto"/>
            <w:hideMark/>
          </w:tcPr>
          <w:p w14:paraId="108F03C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w:t>
            </w:r>
          </w:p>
        </w:tc>
        <w:tc>
          <w:tcPr>
            <w:tcW w:w="851" w:type="dxa"/>
            <w:shd w:val="clear" w:color="auto" w:fill="auto"/>
            <w:hideMark/>
          </w:tcPr>
          <w:p w14:paraId="599093C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4,7</w:t>
            </w:r>
          </w:p>
        </w:tc>
        <w:tc>
          <w:tcPr>
            <w:tcW w:w="709" w:type="dxa"/>
            <w:shd w:val="clear" w:color="auto" w:fill="auto"/>
            <w:hideMark/>
          </w:tcPr>
          <w:p w14:paraId="1A8212C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5,3</w:t>
            </w:r>
          </w:p>
        </w:tc>
        <w:tc>
          <w:tcPr>
            <w:tcW w:w="708" w:type="dxa"/>
            <w:shd w:val="clear" w:color="auto" w:fill="auto"/>
            <w:hideMark/>
          </w:tcPr>
          <w:p w14:paraId="0B1671A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911</w:t>
            </w:r>
          </w:p>
        </w:tc>
        <w:tc>
          <w:tcPr>
            <w:tcW w:w="851" w:type="dxa"/>
            <w:shd w:val="clear" w:color="auto" w:fill="auto"/>
            <w:hideMark/>
          </w:tcPr>
          <w:p w14:paraId="77139B1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w:t>
            </w:r>
          </w:p>
        </w:tc>
        <w:tc>
          <w:tcPr>
            <w:tcW w:w="850" w:type="dxa"/>
            <w:shd w:val="clear" w:color="auto" w:fill="auto"/>
            <w:hideMark/>
          </w:tcPr>
          <w:p w14:paraId="46329A4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15,7</w:t>
            </w:r>
          </w:p>
        </w:tc>
        <w:tc>
          <w:tcPr>
            <w:tcW w:w="709" w:type="dxa"/>
            <w:shd w:val="clear" w:color="auto" w:fill="auto"/>
            <w:hideMark/>
          </w:tcPr>
          <w:p w14:paraId="1E5466B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0,8</w:t>
            </w:r>
          </w:p>
        </w:tc>
        <w:tc>
          <w:tcPr>
            <w:tcW w:w="684" w:type="dxa"/>
            <w:shd w:val="clear" w:color="auto" w:fill="auto"/>
            <w:hideMark/>
          </w:tcPr>
          <w:p w14:paraId="26F434D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921</w:t>
            </w:r>
          </w:p>
        </w:tc>
      </w:tr>
      <w:tr w:rsidR="00046F46" w:rsidRPr="00EE4C2A" w14:paraId="2C6A4DBA" w14:textId="77777777" w:rsidTr="004C1F7B">
        <w:tc>
          <w:tcPr>
            <w:tcW w:w="1138" w:type="dxa"/>
            <w:shd w:val="clear" w:color="auto" w:fill="auto"/>
            <w:hideMark/>
          </w:tcPr>
          <w:p w14:paraId="39812CC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Primaire </w:t>
            </w:r>
          </w:p>
        </w:tc>
        <w:tc>
          <w:tcPr>
            <w:tcW w:w="760" w:type="dxa"/>
            <w:shd w:val="clear" w:color="auto" w:fill="auto"/>
            <w:hideMark/>
          </w:tcPr>
          <w:p w14:paraId="2B9FD73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12,8</w:t>
            </w:r>
          </w:p>
        </w:tc>
        <w:tc>
          <w:tcPr>
            <w:tcW w:w="820" w:type="dxa"/>
            <w:shd w:val="clear" w:color="auto" w:fill="auto"/>
            <w:hideMark/>
          </w:tcPr>
          <w:p w14:paraId="2E0F2C4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37,6</w:t>
            </w:r>
          </w:p>
        </w:tc>
        <w:tc>
          <w:tcPr>
            <w:tcW w:w="709" w:type="dxa"/>
            <w:shd w:val="clear" w:color="auto" w:fill="auto"/>
            <w:hideMark/>
          </w:tcPr>
          <w:p w14:paraId="1722391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4 599</w:t>
            </w:r>
          </w:p>
        </w:tc>
        <w:tc>
          <w:tcPr>
            <w:tcW w:w="850" w:type="dxa"/>
            <w:shd w:val="clear" w:color="auto" w:fill="auto"/>
            <w:hideMark/>
          </w:tcPr>
          <w:p w14:paraId="16F61CE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w:t>
            </w:r>
          </w:p>
        </w:tc>
        <w:tc>
          <w:tcPr>
            <w:tcW w:w="851" w:type="dxa"/>
            <w:shd w:val="clear" w:color="auto" w:fill="auto"/>
            <w:hideMark/>
          </w:tcPr>
          <w:p w14:paraId="7ABE833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3,6</w:t>
            </w:r>
          </w:p>
        </w:tc>
        <w:tc>
          <w:tcPr>
            <w:tcW w:w="709" w:type="dxa"/>
            <w:shd w:val="clear" w:color="auto" w:fill="auto"/>
            <w:hideMark/>
          </w:tcPr>
          <w:p w14:paraId="79BC6D2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5,2</w:t>
            </w:r>
          </w:p>
        </w:tc>
        <w:tc>
          <w:tcPr>
            <w:tcW w:w="708" w:type="dxa"/>
            <w:shd w:val="clear" w:color="auto" w:fill="auto"/>
            <w:hideMark/>
          </w:tcPr>
          <w:p w14:paraId="4CB5715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4 572</w:t>
            </w:r>
          </w:p>
        </w:tc>
        <w:tc>
          <w:tcPr>
            <w:tcW w:w="851" w:type="dxa"/>
            <w:shd w:val="clear" w:color="auto" w:fill="auto"/>
            <w:hideMark/>
          </w:tcPr>
          <w:p w14:paraId="67C9617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2,4</w:t>
            </w:r>
          </w:p>
        </w:tc>
        <w:tc>
          <w:tcPr>
            <w:tcW w:w="850" w:type="dxa"/>
            <w:shd w:val="clear" w:color="auto" w:fill="auto"/>
            <w:hideMark/>
          </w:tcPr>
          <w:p w14:paraId="33AD8DD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12,5</w:t>
            </w:r>
          </w:p>
        </w:tc>
        <w:tc>
          <w:tcPr>
            <w:tcW w:w="709" w:type="dxa"/>
            <w:shd w:val="clear" w:color="auto" w:fill="auto"/>
            <w:hideMark/>
          </w:tcPr>
          <w:p w14:paraId="2427490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0,7</w:t>
            </w:r>
          </w:p>
        </w:tc>
        <w:tc>
          <w:tcPr>
            <w:tcW w:w="684" w:type="dxa"/>
            <w:shd w:val="clear" w:color="auto" w:fill="auto"/>
            <w:hideMark/>
          </w:tcPr>
          <w:p w14:paraId="12283AF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4 625</w:t>
            </w:r>
          </w:p>
        </w:tc>
      </w:tr>
      <w:tr w:rsidR="00046F46" w:rsidRPr="00EE4C2A" w14:paraId="052010EE" w14:textId="77777777" w:rsidTr="004C1F7B">
        <w:tc>
          <w:tcPr>
            <w:tcW w:w="1138" w:type="dxa"/>
            <w:shd w:val="clear" w:color="auto" w:fill="auto"/>
            <w:hideMark/>
          </w:tcPr>
          <w:p w14:paraId="05349D0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Secondaire </w:t>
            </w:r>
          </w:p>
        </w:tc>
        <w:tc>
          <w:tcPr>
            <w:tcW w:w="760" w:type="dxa"/>
            <w:shd w:val="clear" w:color="auto" w:fill="auto"/>
            <w:hideMark/>
          </w:tcPr>
          <w:p w14:paraId="4E79FCA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9,8</w:t>
            </w:r>
          </w:p>
        </w:tc>
        <w:tc>
          <w:tcPr>
            <w:tcW w:w="820" w:type="dxa"/>
            <w:shd w:val="clear" w:color="auto" w:fill="auto"/>
            <w:hideMark/>
          </w:tcPr>
          <w:p w14:paraId="38DF437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31,3</w:t>
            </w:r>
          </w:p>
        </w:tc>
        <w:tc>
          <w:tcPr>
            <w:tcW w:w="709" w:type="dxa"/>
            <w:shd w:val="clear" w:color="auto" w:fill="auto"/>
            <w:hideMark/>
          </w:tcPr>
          <w:p w14:paraId="682C75D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3 098</w:t>
            </w:r>
          </w:p>
        </w:tc>
        <w:tc>
          <w:tcPr>
            <w:tcW w:w="850" w:type="dxa"/>
            <w:shd w:val="clear" w:color="auto" w:fill="auto"/>
            <w:hideMark/>
          </w:tcPr>
          <w:p w14:paraId="0CB2714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1,8</w:t>
            </w:r>
          </w:p>
        </w:tc>
        <w:tc>
          <w:tcPr>
            <w:tcW w:w="851" w:type="dxa"/>
            <w:shd w:val="clear" w:color="auto" w:fill="auto"/>
            <w:hideMark/>
          </w:tcPr>
          <w:p w14:paraId="34AFBFE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4,9</w:t>
            </w:r>
          </w:p>
        </w:tc>
        <w:tc>
          <w:tcPr>
            <w:tcW w:w="709" w:type="dxa"/>
            <w:shd w:val="clear" w:color="auto" w:fill="auto"/>
            <w:hideMark/>
          </w:tcPr>
          <w:p w14:paraId="5560D87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5,3</w:t>
            </w:r>
          </w:p>
        </w:tc>
        <w:tc>
          <w:tcPr>
            <w:tcW w:w="708" w:type="dxa"/>
            <w:shd w:val="clear" w:color="auto" w:fill="auto"/>
            <w:hideMark/>
          </w:tcPr>
          <w:p w14:paraId="7F5DB3E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3 082</w:t>
            </w:r>
          </w:p>
        </w:tc>
        <w:tc>
          <w:tcPr>
            <w:tcW w:w="851" w:type="dxa"/>
            <w:shd w:val="clear" w:color="auto" w:fill="auto"/>
            <w:hideMark/>
          </w:tcPr>
          <w:p w14:paraId="48CCBC1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2,1</w:t>
            </w:r>
          </w:p>
        </w:tc>
        <w:tc>
          <w:tcPr>
            <w:tcW w:w="850" w:type="dxa"/>
            <w:shd w:val="clear" w:color="auto" w:fill="auto"/>
            <w:hideMark/>
          </w:tcPr>
          <w:p w14:paraId="7158269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10,3</w:t>
            </w:r>
          </w:p>
        </w:tc>
        <w:tc>
          <w:tcPr>
            <w:tcW w:w="709" w:type="dxa"/>
            <w:shd w:val="clear" w:color="auto" w:fill="auto"/>
            <w:hideMark/>
          </w:tcPr>
          <w:p w14:paraId="5DCDCBE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0,9</w:t>
            </w:r>
          </w:p>
        </w:tc>
        <w:tc>
          <w:tcPr>
            <w:tcW w:w="684" w:type="dxa"/>
            <w:shd w:val="clear" w:color="auto" w:fill="auto"/>
            <w:hideMark/>
          </w:tcPr>
          <w:p w14:paraId="3B13E40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3 125</w:t>
            </w:r>
          </w:p>
        </w:tc>
      </w:tr>
      <w:tr w:rsidR="00046F46" w:rsidRPr="00EE4C2A" w14:paraId="14037FEA" w14:textId="77777777" w:rsidTr="004C1F7B">
        <w:tc>
          <w:tcPr>
            <w:tcW w:w="1138" w:type="dxa"/>
            <w:shd w:val="clear" w:color="auto" w:fill="auto"/>
            <w:hideMark/>
          </w:tcPr>
          <w:p w14:paraId="3A361DE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Enseignement supérieur </w:t>
            </w:r>
          </w:p>
        </w:tc>
        <w:tc>
          <w:tcPr>
            <w:tcW w:w="760" w:type="dxa"/>
            <w:shd w:val="clear" w:color="auto" w:fill="auto"/>
            <w:hideMark/>
          </w:tcPr>
          <w:p w14:paraId="4925FD8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5,1</w:t>
            </w:r>
          </w:p>
        </w:tc>
        <w:tc>
          <w:tcPr>
            <w:tcW w:w="820" w:type="dxa"/>
            <w:shd w:val="clear" w:color="auto" w:fill="auto"/>
            <w:hideMark/>
          </w:tcPr>
          <w:p w14:paraId="517C49B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15,4</w:t>
            </w:r>
          </w:p>
        </w:tc>
        <w:tc>
          <w:tcPr>
            <w:tcW w:w="709" w:type="dxa"/>
            <w:shd w:val="clear" w:color="auto" w:fill="auto"/>
            <w:hideMark/>
          </w:tcPr>
          <w:p w14:paraId="282495E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359</w:t>
            </w:r>
          </w:p>
        </w:tc>
        <w:tc>
          <w:tcPr>
            <w:tcW w:w="850" w:type="dxa"/>
            <w:shd w:val="clear" w:color="auto" w:fill="auto"/>
            <w:hideMark/>
          </w:tcPr>
          <w:p w14:paraId="1E9756A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2,1</w:t>
            </w:r>
          </w:p>
        </w:tc>
        <w:tc>
          <w:tcPr>
            <w:tcW w:w="851" w:type="dxa"/>
            <w:shd w:val="clear" w:color="auto" w:fill="auto"/>
            <w:hideMark/>
          </w:tcPr>
          <w:p w14:paraId="2EE4CE3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w:t>
            </w:r>
          </w:p>
        </w:tc>
        <w:tc>
          <w:tcPr>
            <w:tcW w:w="709" w:type="dxa"/>
            <w:shd w:val="clear" w:color="auto" w:fill="auto"/>
            <w:hideMark/>
          </w:tcPr>
          <w:p w14:paraId="1AC7E3A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6,9</w:t>
            </w:r>
          </w:p>
        </w:tc>
        <w:tc>
          <w:tcPr>
            <w:tcW w:w="708" w:type="dxa"/>
            <w:shd w:val="clear" w:color="auto" w:fill="auto"/>
            <w:hideMark/>
          </w:tcPr>
          <w:p w14:paraId="0174748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360</w:t>
            </w:r>
          </w:p>
        </w:tc>
        <w:tc>
          <w:tcPr>
            <w:tcW w:w="851" w:type="dxa"/>
            <w:shd w:val="clear" w:color="auto" w:fill="auto"/>
            <w:hideMark/>
          </w:tcPr>
          <w:p w14:paraId="6BA80FA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w:t>
            </w:r>
          </w:p>
        </w:tc>
        <w:tc>
          <w:tcPr>
            <w:tcW w:w="850" w:type="dxa"/>
            <w:shd w:val="clear" w:color="auto" w:fill="auto"/>
            <w:hideMark/>
          </w:tcPr>
          <w:p w14:paraId="296C552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8,6</w:t>
            </w:r>
          </w:p>
        </w:tc>
        <w:tc>
          <w:tcPr>
            <w:tcW w:w="709" w:type="dxa"/>
            <w:shd w:val="clear" w:color="auto" w:fill="auto"/>
            <w:hideMark/>
          </w:tcPr>
          <w:p w14:paraId="3C0A968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1,9</w:t>
            </w:r>
          </w:p>
        </w:tc>
        <w:tc>
          <w:tcPr>
            <w:tcW w:w="684" w:type="dxa"/>
            <w:shd w:val="clear" w:color="auto" w:fill="auto"/>
            <w:hideMark/>
          </w:tcPr>
          <w:p w14:paraId="7D3C793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364</w:t>
            </w:r>
          </w:p>
        </w:tc>
      </w:tr>
      <w:tr w:rsidR="00046F46" w:rsidRPr="00EE4C2A" w14:paraId="09B6D444" w14:textId="77777777" w:rsidTr="004C1F7B">
        <w:tc>
          <w:tcPr>
            <w:tcW w:w="1138" w:type="dxa"/>
            <w:shd w:val="clear" w:color="auto" w:fill="auto"/>
            <w:hideMark/>
          </w:tcPr>
          <w:p w14:paraId="654EDF6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Pas de données </w:t>
            </w:r>
          </w:p>
        </w:tc>
        <w:tc>
          <w:tcPr>
            <w:tcW w:w="760" w:type="dxa"/>
            <w:shd w:val="clear" w:color="auto" w:fill="auto"/>
            <w:hideMark/>
          </w:tcPr>
          <w:p w14:paraId="1DDCDFB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820" w:type="dxa"/>
            <w:shd w:val="clear" w:color="auto" w:fill="auto"/>
            <w:hideMark/>
          </w:tcPr>
          <w:p w14:paraId="3D7E2D0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709" w:type="dxa"/>
            <w:shd w:val="clear" w:color="auto" w:fill="auto"/>
            <w:hideMark/>
          </w:tcPr>
          <w:p w14:paraId="2C92CB2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w:t>
            </w:r>
          </w:p>
        </w:tc>
        <w:tc>
          <w:tcPr>
            <w:tcW w:w="850" w:type="dxa"/>
            <w:shd w:val="clear" w:color="auto" w:fill="auto"/>
            <w:hideMark/>
          </w:tcPr>
          <w:p w14:paraId="1687531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851" w:type="dxa"/>
            <w:shd w:val="clear" w:color="auto" w:fill="auto"/>
            <w:hideMark/>
          </w:tcPr>
          <w:p w14:paraId="608B18E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709" w:type="dxa"/>
            <w:shd w:val="clear" w:color="auto" w:fill="auto"/>
            <w:hideMark/>
          </w:tcPr>
          <w:p w14:paraId="534752A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708" w:type="dxa"/>
            <w:shd w:val="clear" w:color="auto" w:fill="auto"/>
            <w:hideMark/>
          </w:tcPr>
          <w:p w14:paraId="723B7AE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w:t>
            </w:r>
          </w:p>
        </w:tc>
        <w:tc>
          <w:tcPr>
            <w:tcW w:w="851" w:type="dxa"/>
            <w:shd w:val="clear" w:color="auto" w:fill="auto"/>
            <w:hideMark/>
          </w:tcPr>
          <w:p w14:paraId="6EE6073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850" w:type="dxa"/>
            <w:shd w:val="clear" w:color="auto" w:fill="auto"/>
            <w:hideMark/>
          </w:tcPr>
          <w:p w14:paraId="09B0B8F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709" w:type="dxa"/>
            <w:shd w:val="clear" w:color="auto" w:fill="auto"/>
            <w:hideMark/>
          </w:tcPr>
          <w:p w14:paraId="5BB443F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w:t>
            </w:r>
          </w:p>
        </w:tc>
        <w:tc>
          <w:tcPr>
            <w:tcW w:w="684" w:type="dxa"/>
            <w:shd w:val="clear" w:color="auto" w:fill="auto"/>
            <w:hideMark/>
          </w:tcPr>
          <w:p w14:paraId="2DA0B7C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w:t>
            </w:r>
          </w:p>
        </w:tc>
      </w:tr>
      <w:tr w:rsidR="00046F46" w:rsidRPr="00EE4C2A" w14:paraId="5AB3B38C" w14:textId="77777777" w:rsidTr="004C1F7B">
        <w:tc>
          <w:tcPr>
            <w:tcW w:w="1898" w:type="dxa"/>
            <w:gridSpan w:val="2"/>
            <w:shd w:val="clear" w:color="auto" w:fill="auto"/>
            <w:hideMark/>
          </w:tcPr>
          <w:p w14:paraId="45F9E40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b/>
                <w:bCs/>
                <w:sz w:val="18"/>
                <w:szCs w:val="18"/>
                <w:lang w:val="fr-FR"/>
              </w:rPr>
            </w:pPr>
            <w:r w:rsidRPr="00EE4C2A">
              <w:rPr>
                <w:b/>
                <w:bCs/>
                <w:sz w:val="18"/>
                <w:szCs w:val="18"/>
                <w:lang w:val="fr-FR"/>
              </w:rPr>
              <w:t>Quintile de richesse</w:t>
            </w:r>
          </w:p>
        </w:tc>
        <w:tc>
          <w:tcPr>
            <w:tcW w:w="820" w:type="dxa"/>
            <w:shd w:val="clear" w:color="auto" w:fill="auto"/>
            <w:hideMark/>
          </w:tcPr>
          <w:p w14:paraId="1EAEE58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36A70F0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41F7795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4DF718F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1B854FB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8" w:type="dxa"/>
            <w:shd w:val="clear" w:color="auto" w:fill="auto"/>
            <w:hideMark/>
          </w:tcPr>
          <w:p w14:paraId="6450CC3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1" w:type="dxa"/>
            <w:shd w:val="clear" w:color="auto" w:fill="auto"/>
            <w:hideMark/>
          </w:tcPr>
          <w:p w14:paraId="0AB8446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850" w:type="dxa"/>
            <w:shd w:val="clear" w:color="auto" w:fill="auto"/>
            <w:hideMark/>
          </w:tcPr>
          <w:p w14:paraId="5A253A7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709" w:type="dxa"/>
            <w:shd w:val="clear" w:color="auto" w:fill="auto"/>
            <w:hideMark/>
          </w:tcPr>
          <w:p w14:paraId="614114F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c>
          <w:tcPr>
            <w:tcW w:w="684" w:type="dxa"/>
            <w:shd w:val="clear" w:color="auto" w:fill="auto"/>
            <w:hideMark/>
          </w:tcPr>
          <w:p w14:paraId="18CF105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p>
        </w:tc>
      </w:tr>
      <w:tr w:rsidR="00046F46" w:rsidRPr="00EE4C2A" w14:paraId="5B9D50A1" w14:textId="77777777" w:rsidTr="004C1F7B">
        <w:tc>
          <w:tcPr>
            <w:tcW w:w="1138" w:type="dxa"/>
            <w:shd w:val="clear" w:color="auto" w:fill="auto"/>
            <w:hideMark/>
          </w:tcPr>
          <w:p w14:paraId="3AFBF40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Le plus bas </w:t>
            </w:r>
          </w:p>
        </w:tc>
        <w:tc>
          <w:tcPr>
            <w:tcW w:w="760" w:type="dxa"/>
            <w:shd w:val="clear" w:color="auto" w:fill="auto"/>
            <w:hideMark/>
          </w:tcPr>
          <w:p w14:paraId="6ECE69A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15,2</w:t>
            </w:r>
          </w:p>
        </w:tc>
        <w:tc>
          <w:tcPr>
            <w:tcW w:w="820" w:type="dxa"/>
            <w:shd w:val="clear" w:color="auto" w:fill="auto"/>
            <w:hideMark/>
          </w:tcPr>
          <w:p w14:paraId="7FB8A1E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40,1</w:t>
            </w:r>
          </w:p>
        </w:tc>
        <w:tc>
          <w:tcPr>
            <w:tcW w:w="709" w:type="dxa"/>
            <w:shd w:val="clear" w:color="auto" w:fill="auto"/>
            <w:hideMark/>
          </w:tcPr>
          <w:p w14:paraId="69273025"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2 352</w:t>
            </w:r>
          </w:p>
        </w:tc>
        <w:tc>
          <w:tcPr>
            <w:tcW w:w="850" w:type="dxa"/>
            <w:shd w:val="clear" w:color="auto" w:fill="auto"/>
            <w:hideMark/>
          </w:tcPr>
          <w:p w14:paraId="1F6EDB9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w:t>
            </w:r>
          </w:p>
        </w:tc>
        <w:tc>
          <w:tcPr>
            <w:tcW w:w="851" w:type="dxa"/>
            <w:shd w:val="clear" w:color="auto" w:fill="auto"/>
            <w:hideMark/>
          </w:tcPr>
          <w:p w14:paraId="7AEA71F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4,3</w:t>
            </w:r>
          </w:p>
        </w:tc>
        <w:tc>
          <w:tcPr>
            <w:tcW w:w="709" w:type="dxa"/>
            <w:shd w:val="clear" w:color="auto" w:fill="auto"/>
            <w:hideMark/>
          </w:tcPr>
          <w:p w14:paraId="0F22E93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5,8</w:t>
            </w:r>
          </w:p>
        </w:tc>
        <w:tc>
          <w:tcPr>
            <w:tcW w:w="708" w:type="dxa"/>
            <w:shd w:val="clear" w:color="auto" w:fill="auto"/>
            <w:hideMark/>
          </w:tcPr>
          <w:p w14:paraId="4959F71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2 352</w:t>
            </w:r>
          </w:p>
        </w:tc>
        <w:tc>
          <w:tcPr>
            <w:tcW w:w="851" w:type="dxa"/>
            <w:shd w:val="clear" w:color="auto" w:fill="auto"/>
            <w:hideMark/>
          </w:tcPr>
          <w:p w14:paraId="1B69F15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3,3</w:t>
            </w:r>
          </w:p>
        </w:tc>
        <w:tc>
          <w:tcPr>
            <w:tcW w:w="850" w:type="dxa"/>
            <w:shd w:val="clear" w:color="auto" w:fill="auto"/>
            <w:hideMark/>
          </w:tcPr>
          <w:p w14:paraId="4A5CA6B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15</w:t>
            </w:r>
          </w:p>
        </w:tc>
        <w:tc>
          <w:tcPr>
            <w:tcW w:w="709" w:type="dxa"/>
            <w:shd w:val="clear" w:color="auto" w:fill="auto"/>
            <w:hideMark/>
          </w:tcPr>
          <w:p w14:paraId="5F73B97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0,7</w:t>
            </w:r>
          </w:p>
        </w:tc>
        <w:tc>
          <w:tcPr>
            <w:tcW w:w="684" w:type="dxa"/>
            <w:shd w:val="clear" w:color="auto" w:fill="auto"/>
            <w:hideMark/>
          </w:tcPr>
          <w:p w14:paraId="759E793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2 370</w:t>
            </w:r>
          </w:p>
        </w:tc>
      </w:tr>
      <w:tr w:rsidR="00046F46" w:rsidRPr="00EE4C2A" w14:paraId="1957BACA" w14:textId="77777777" w:rsidTr="004C1F7B">
        <w:tc>
          <w:tcPr>
            <w:tcW w:w="1138" w:type="dxa"/>
            <w:shd w:val="clear" w:color="auto" w:fill="auto"/>
            <w:hideMark/>
          </w:tcPr>
          <w:p w14:paraId="3D2B10E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Deuxième </w:t>
            </w:r>
          </w:p>
        </w:tc>
        <w:tc>
          <w:tcPr>
            <w:tcW w:w="760" w:type="dxa"/>
            <w:shd w:val="clear" w:color="auto" w:fill="auto"/>
            <w:hideMark/>
          </w:tcPr>
          <w:p w14:paraId="3834FEC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12,5</w:t>
            </w:r>
          </w:p>
        </w:tc>
        <w:tc>
          <w:tcPr>
            <w:tcW w:w="820" w:type="dxa"/>
            <w:shd w:val="clear" w:color="auto" w:fill="auto"/>
            <w:hideMark/>
          </w:tcPr>
          <w:p w14:paraId="64201334"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36,6</w:t>
            </w:r>
          </w:p>
        </w:tc>
        <w:tc>
          <w:tcPr>
            <w:tcW w:w="709" w:type="dxa"/>
            <w:shd w:val="clear" w:color="auto" w:fill="auto"/>
            <w:hideMark/>
          </w:tcPr>
          <w:p w14:paraId="3D8DA11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2 162</w:t>
            </w:r>
          </w:p>
        </w:tc>
        <w:tc>
          <w:tcPr>
            <w:tcW w:w="850" w:type="dxa"/>
            <w:shd w:val="clear" w:color="auto" w:fill="auto"/>
            <w:hideMark/>
          </w:tcPr>
          <w:p w14:paraId="7D6991B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w:t>
            </w:r>
          </w:p>
        </w:tc>
        <w:tc>
          <w:tcPr>
            <w:tcW w:w="851" w:type="dxa"/>
            <w:shd w:val="clear" w:color="auto" w:fill="auto"/>
            <w:hideMark/>
          </w:tcPr>
          <w:p w14:paraId="5609348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3,9</w:t>
            </w:r>
          </w:p>
        </w:tc>
        <w:tc>
          <w:tcPr>
            <w:tcW w:w="709" w:type="dxa"/>
            <w:shd w:val="clear" w:color="auto" w:fill="auto"/>
            <w:hideMark/>
          </w:tcPr>
          <w:p w14:paraId="3A31583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4,4</w:t>
            </w:r>
          </w:p>
        </w:tc>
        <w:tc>
          <w:tcPr>
            <w:tcW w:w="708" w:type="dxa"/>
            <w:shd w:val="clear" w:color="auto" w:fill="auto"/>
            <w:hideMark/>
          </w:tcPr>
          <w:p w14:paraId="1211234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2 156</w:t>
            </w:r>
          </w:p>
        </w:tc>
        <w:tc>
          <w:tcPr>
            <w:tcW w:w="851" w:type="dxa"/>
            <w:shd w:val="clear" w:color="auto" w:fill="auto"/>
            <w:hideMark/>
          </w:tcPr>
          <w:p w14:paraId="3682F53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2,8</w:t>
            </w:r>
          </w:p>
        </w:tc>
        <w:tc>
          <w:tcPr>
            <w:tcW w:w="850" w:type="dxa"/>
            <w:shd w:val="clear" w:color="auto" w:fill="auto"/>
            <w:hideMark/>
          </w:tcPr>
          <w:p w14:paraId="590729E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13,2</w:t>
            </w:r>
          </w:p>
        </w:tc>
        <w:tc>
          <w:tcPr>
            <w:tcW w:w="709" w:type="dxa"/>
            <w:shd w:val="clear" w:color="auto" w:fill="auto"/>
            <w:hideMark/>
          </w:tcPr>
          <w:p w14:paraId="02E08A9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0,9</w:t>
            </w:r>
          </w:p>
        </w:tc>
        <w:tc>
          <w:tcPr>
            <w:tcW w:w="684" w:type="dxa"/>
            <w:shd w:val="clear" w:color="auto" w:fill="auto"/>
            <w:hideMark/>
          </w:tcPr>
          <w:p w14:paraId="7B30C73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2 180</w:t>
            </w:r>
          </w:p>
        </w:tc>
      </w:tr>
      <w:tr w:rsidR="00046F46" w:rsidRPr="00EE4C2A" w14:paraId="656C797D" w14:textId="77777777" w:rsidTr="004C1F7B">
        <w:tc>
          <w:tcPr>
            <w:tcW w:w="1138" w:type="dxa"/>
            <w:shd w:val="clear" w:color="auto" w:fill="auto"/>
            <w:hideMark/>
          </w:tcPr>
          <w:p w14:paraId="55A5A32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Intermédiaire </w:t>
            </w:r>
          </w:p>
        </w:tc>
        <w:tc>
          <w:tcPr>
            <w:tcW w:w="760" w:type="dxa"/>
            <w:shd w:val="clear" w:color="auto" w:fill="auto"/>
            <w:hideMark/>
          </w:tcPr>
          <w:p w14:paraId="4E7041B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10,1</w:t>
            </w:r>
          </w:p>
        </w:tc>
        <w:tc>
          <w:tcPr>
            <w:tcW w:w="820" w:type="dxa"/>
            <w:shd w:val="clear" w:color="auto" w:fill="auto"/>
            <w:hideMark/>
          </w:tcPr>
          <w:p w14:paraId="4395042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32,9</w:t>
            </w:r>
          </w:p>
        </w:tc>
        <w:tc>
          <w:tcPr>
            <w:tcW w:w="709" w:type="dxa"/>
            <w:shd w:val="clear" w:color="auto" w:fill="auto"/>
            <w:hideMark/>
          </w:tcPr>
          <w:p w14:paraId="46CE539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1 831</w:t>
            </w:r>
          </w:p>
        </w:tc>
        <w:tc>
          <w:tcPr>
            <w:tcW w:w="850" w:type="dxa"/>
            <w:shd w:val="clear" w:color="auto" w:fill="auto"/>
            <w:hideMark/>
          </w:tcPr>
          <w:p w14:paraId="7469C3D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1,1</w:t>
            </w:r>
          </w:p>
        </w:tc>
        <w:tc>
          <w:tcPr>
            <w:tcW w:w="851" w:type="dxa"/>
            <w:shd w:val="clear" w:color="auto" w:fill="auto"/>
            <w:hideMark/>
          </w:tcPr>
          <w:p w14:paraId="188BC05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w:t>
            </w:r>
          </w:p>
        </w:tc>
        <w:tc>
          <w:tcPr>
            <w:tcW w:w="709" w:type="dxa"/>
            <w:shd w:val="clear" w:color="auto" w:fill="auto"/>
            <w:hideMark/>
          </w:tcPr>
          <w:p w14:paraId="445F89E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4,5</w:t>
            </w:r>
          </w:p>
        </w:tc>
        <w:tc>
          <w:tcPr>
            <w:tcW w:w="708" w:type="dxa"/>
            <w:shd w:val="clear" w:color="auto" w:fill="auto"/>
            <w:hideMark/>
          </w:tcPr>
          <w:p w14:paraId="203B1048"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1 831</w:t>
            </w:r>
          </w:p>
        </w:tc>
        <w:tc>
          <w:tcPr>
            <w:tcW w:w="851" w:type="dxa"/>
            <w:shd w:val="clear" w:color="auto" w:fill="auto"/>
            <w:hideMark/>
          </w:tcPr>
          <w:p w14:paraId="14EC631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1,4</w:t>
            </w:r>
          </w:p>
        </w:tc>
        <w:tc>
          <w:tcPr>
            <w:tcW w:w="850" w:type="dxa"/>
            <w:shd w:val="clear" w:color="auto" w:fill="auto"/>
            <w:hideMark/>
          </w:tcPr>
          <w:p w14:paraId="4BA12C8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9,3</w:t>
            </w:r>
          </w:p>
        </w:tc>
        <w:tc>
          <w:tcPr>
            <w:tcW w:w="709" w:type="dxa"/>
            <w:shd w:val="clear" w:color="auto" w:fill="auto"/>
            <w:hideMark/>
          </w:tcPr>
          <w:p w14:paraId="013667C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0,7</w:t>
            </w:r>
          </w:p>
        </w:tc>
        <w:tc>
          <w:tcPr>
            <w:tcW w:w="684" w:type="dxa"/>
            <w:shd w:val="clear" w:color="auto" w:fill="auto"/>
            <w:hideMark/>
          </w:tcPr>
          <w:p w14:paraId="1F38E9C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1 851</w:t>
            </w:r>
          </w:p>
        </w:tc>
      </w:tr>
      <w:tr w:rsidR="00046F46" w:rsidRPr="00EE4C2A" w14:paraId="14514311" w14:textId="77777777" w:rsidTr="004C1F7B">
        <w:tc>
          <w:tcPr>
            <w:tcW w:w="1138" w:type="dxa"/>
            <w:shd w:val="clear" w:color="auto" w:fill="auto"/>
            <w:hideMark/>
          </w:tcPr>
          <w:p w14:paraId="0D7D96B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Quatrième </w:t>
            </w:r>
          </w:p>
        </w:tc>
        <w:tc>
          <w:tcPr>
            <w:tcW w:w="760" w:type="dxa"/>
            <w:shd w:val="clear" w:color="auto" w:fill="auto"/>
            <w:hideMark/>
          </w:tcPr>
          <w:p w14:paraId="260C255B"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12</w:t>
            </w:r>
          </w:p>
        </w:tc>
        <w:tc>
          <w:tcPr>
            <w:tcW w:w="820" w:type="dxa"/>
            <w:shd w:val="clear" w:color="auto" w:fill="auto"/>
            <w:hideMark/>
          </w:tcPr>
          <w:p w14:paraId="3B01C7F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35,3</w:t>
            </w:r>
          </w:p>
        </w:tc>
        <w:tc>
          <w:tcPr>
            <w:tcW w:w="709" w:type="dxa"/>
            <w:shd w:val="clear" w:color="auto" w:fill="auto"/>
            <w:hideMark/>
          </w:tcPr>
          <w:p w14:paraId="4E61E3AA"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1 792</w:t>
            </w:r>
          </w:p>
        </w:tc>
        <w:tc>
          <w:tcPr>
            <w:tcW w:w="850" w:type="dxa"/>
            <w:shd w:val="clear" w:color="auto" w:fill="auto"/>
            <w:hideMark/>
          </w:tcPr>
          <w:p w14:paraId="1C67D7C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2,1</w:t>
            </w:r>
          </w:p>
        </w:tc>
        <w:tc>
          <w:tcPr>
            <w:tcW w:w="851" w:type="dxa"/>
            <w:shd w:val="clear" w:color="auto" w:fill="auto"/>
            <w:hideMark/>
          </w:tcPr>
          <w:p w14:paraId="56CE0A7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4,8</w:t>
            </w:r>
          </w:p>
        </w:tc>
        <w:tc>
          <w:tcPr>
            <w:tcW w:w="709" w:type="dxa"/>
            <w:shd w:val="clear" w:color="auto" w:fill="auto"/>
            <w:hideMark/>
          </w:tcPr>
          <w:p w14:paraId="397560C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5,6</w:t>
            </w:r>
          </w:p>
        </w:tc>
        <w:tc>
          <w:tcPr>
            <w:tcW w:w="708" w:type="dxa"/>
            <w:shd w:val="clear" w:color="auto" w:fill="auto"/>
            <w:hideMark/>
          </w:tcPr>
          <w:p w14:paraId="670DDC46"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1 788</w:t>
            </w:r>
          </w:p>
        </w:tc>
        <w:tc>
          <w:tcPr>
            <w:tcW w:w="851" w:type="dxa"/>
            <w:shd w:val="clear" w:color="auto" w:fill="auto"/>
            <w:hideMark/>
          </w:tcPr>
          <w:p w14:paraId="19C8558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2,1</w:t>
            </w:r>
          </w:p>
        </w:tc>
        <w:tc>
          <w:tcPr>
            <w:tcW w:w="850" w:type="dxa"/>
            <w:shd w:val="clear" w:color="auto" w:fill="auto"/>
            <w:hideMark/>
          </w:tcPr>
          <w:p w14:paraId="3586E02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10,8</w:t>
            </w:r>
          </w:p>
        </w:tc>
        <w:tc>
          <w:tcPr>
            <w:tcW w:w="709" w:type="dxa"/>
            <w:shd w:val="clear" w:color="auto" w:fill="auto"/>
            <w:hideMark/>
          </w:tcPr>
          <w:p w14:paraId="12533C60"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0,7</w:t>
            </w:r>
          </w:p>
        </w:tc>
        <w:tc>
          <w:tcPr>
            <w:tcW w:w="684" w:type="dxa"/>
            <w:shd w:val="clear" w:color="auto" w:fill="auto"/>
            <w:hideMark/>
          </w:tcPr>
          <w:p w14:paraId="1E3FE56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1 801</w:t>
            </w:r>
          </w:p>
        </w:tc>
      </w:tr>
      <w:tr w:rsidR="00046F46" w:rsidRPr="00EE4C2A" w14:paraId="3F632F0C" w14:textId="77777777" w:rsidTr="00CB5D24">
        <w:tc>
          <w:tcPr>
            <w:tcW w:w="1138" w:type="dxa"/>
            <w:tcBorders>
              <w:bottom w:val="single" w:sz="4" w:space="0" w:color="auto"/>
            </w:tcBorders>
            <w:shd w:val="clear" w:color="auto" w:fill="auto"/>
            <w:hideMark/>
          </w:tcPr>
          <w:p w14:paraId="0C86AD0F"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left"/>
              <w:rPr>
                <w:sz w:val="18"/>
                <w:szCs w:val="18"/>
                <w:lang w:val="fr-FR"/>
              </w:rPr>
            </w:pPr>
            <w:r w:rsidRPr="00EE4C2A">
              <w:rPr>
                <w:sz w:val="18"/>
                <w:szCs w:val="18"/>
                <w:lang w:val="fr-FR"/>
              </w:rPr>
              <w:t xml:space="preserve">Le plus haut </w:t>
            </w:r>
          </w:p>
        </w:tc>
        <w:tc>
          <w:tcPr>
            <w:tcW w:w="760" w:type="dxa"/>
            <w:tcBorders>
              <w:bottom w:val="single" w:sz="4" w:space="0" w:color="auto"/>
            </w:tcBorders>
            <w:shd w:val="clear" w:color="auto" w:fill="auto"/>
            <w:hideMark/>
          </w:tcPr>
          <w:p w14:paraId="25A9CFAC"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7,2</w:t>
            </w:r>
          </w:p>
        </w:tc>
        <w:tc>
          <w:tcPr>
            <w:tcW w:w="820" w:type="dxa"/>
            <w:tcBorders>
              <w:bottom w:val="single" w:sz="4" w:space="0" w:color="auto"/>
            </w:tcBorders>
            <w:shd w:val="clear" w:color="auto" w:fill="auto"/>
            <w:hideMark/>
          </w:tcPr>
          <w:p w14:paraId="7E90CE4D"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23,9</w:t>
            </w:r>
          </w:p>
        </w:tc>
        <w:tc>
          <w:tcPr>
            <w:tcW w:w="709" w:type="dxa"/>
            <w:tcBorders>
              <w:bottom w:val="single" w:sz="4" w:space="0" w:color="auto"/>
            </w:tcBorders>
            <w:shd w:val="clear" w:color="auto" w:fill="auto"/>
            <w:hideMark/>
          </w:tcPr>
          <w:p w14:paraId="1447517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1 472</w:t>
            </w:r>
          </w:p>
        </w:tc>
        <w:tc>
          <w:tcPr>
            <w:tcW w:w="850" w:type="dxa"/>
            <w:tcBorders>
              <w:bottom w:val="single" w:sz="4" w:space="0" w:color="auto"/>
            </w:tcBorders>
            <w:shd w:val="clear" w:color="auto" w:fill="auto"/>
            <w:hideMark/>
          </w:tcPr>
          <w:p w14:paraId="0F0E097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1,9</w:t>
            </w:r>
          </w:p>
        </w:tc>
        <w:tc>
          <w:tcPr>
            <w:tcW w:w="851" w:type="dxa"/>
            <w:tcBorders>
              <w:bottom w:val="single" w:sz="4" w:space="0" w:color="auto"/>
            </w:tcBorders>
            <w:shd w:val="clear" w:color="auto" w:fill="auto"/>
            <w:hideMark/>
          </w:tcPr>
          <w:p w14:paraId="288D1682"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5,6</w:t>
            </w:r>
          </w:p>
        </w:tc>
        <w:tc>
          <w:tcPr>
            <w:tcW w:w="709" w:type="dxa"/>
            <w:tcBorders>
              <w:bottom w:val="single" w:sz="4" w:space="0" w:color="auto"/>
            </w:tcBorders>
            <w:shd w:val="clear" w:color="auto" w:fill="auto"/>
            <w:hideMark/>
          </w:tcPr>
          <w:p w14:paraId="47A546A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6,1</w:t>
            </w:r>
          </w:p>
        </w:tc>
        <w:tc>
          <w:tcPr>
            <w:tcW w:w="708" w:type="dxa"/>
            <w:tcBorders>
              <w:bottom w:val="single" w:sz="4" w:space="0" w:color="auto"/>
            </w:tcBorders>
            <w:shd w:val="clear" w:color="auto" w:fill="auto"/>
            <w:hideMark/>
          </w:tcPr>
          <w:p w14:paraId="2A935A51"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1 466</w:t>
            </w:r>
          </w:p>
        </w:tc>
        <w:tc>
          <w:tcPr>
            <w:tcW w:w="851" w:type="dxa"/>
            <w:tcBorders>
              <w:bottom w:val="single" w:sz="4" w:space="0" w:color="auto"/>
            </w:tcBorders>
            <w:shd w:val="clear" w:color="auto" w:fill="auto"/>
            <w:hideMark/>
          </w:tcPr>
          <w:p w14:paraId="71FCA85E"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1,6</w:t>
            </w:r>
          </w:p>
        </w:tc>
        <w:tc>
          <w:tcPr>
            <w:tcW w:w="850" w:type="dxa"/>
            <w:tcBorders>
              <w:bottom w:val="single" w:sz="4" w:space="0" w:color="auto"/>
            </w:tcBorders>
            <w:shd w:val="clear" w:color="auto" w:fill="auto"/>
            <w:hideMark/>
          </w:tcPr>
          <w:p w14:paraId="04D42147"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9,1</w:t>
            </w:r>
          </w:p>
        </w:tc>
        <w:tc>
          <w:tcPr>
            <w:tcW w:w="709" w:type="dxa"/>
            <w:tcBorders>
              <w:bottom w:val="single" w:sz="4" w:space="0" w:color="auto"/>
            </w:tcBorders>
            <w:shd w:val="clear" w:color="auto" w:fill="auto"/>
            <w:hideMark/>
          </w:tcPr>
          <w:p w14:paraId="590D4F79"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1,3</w:t>
            </w:r>
          </w:p>
        </w:tc>
        <w:tc>
          <w:tcPr>
            <w:tcW w:w="684" w:type="dxa"/>
            <w:tcBorders>
              <w:bottom w:val="single" w:sz="4" w:space="0" w:color="auto"/>
            </w:tcBorders>
            <w:shd w:val="clear" w:color="auto" w:fill="auto"/>
            <w:hideMark/>
          </w:tcPr>
          <w:p w14:paraId="6EAEB503" w14:textId="77777777" w:rsidR="00046F46" w:rsidRPr="00EE4C2A" w:rsidRDefault="00046F46" w:rsidP="008279BF">
            <w:pPr>
              <w:pStyle w:val="SingleTxtG"/>
              <w:tabs>
                <w:tab w:val="clear" w:pos="1701"/>
                <w:tab w:val="clear" w:pos="2268"/>
              </w:tabs>
              <w:suppressAutoHyphens w:val="0"/>
              <w:spacing w:before="30" w:after="30" w:line="220" w:lineRule="exact"/>
              <w:ind w:left="0" w:right="0"/>
              <w:jc w:val="right"/>
              <w:rPr>
                <w:sz w:val="18"/>
                <w:szCs w:val="18"/>
                <w:lang w:val="fr-FR"/>
              </w:rPr>
            </w:pPr>
            <w:r w:rsidRPr="00EE4C2A">
              <w:rPr>
                <w:sz w:val="18"/>
                <w:szCs w:val="18"/>
                <w:lang w:val="fr-FR"/>
              </w:rPr>
              <w:t>1 487</w:t>
            </w:r>
          </w:p>
        </w:tc>
      </w:tr>
      <w:tr w:rsidR="00046F46" w:rsidRPr="00CB5D24" w14:paraId="09BF2C48" w14:textId="77777777" w:rsidTr="004C1F7B">
        <w:tc>
          <w:tcPr>
            <w:tcW w:w="1138" w:type="dxa"/>
            <w:tcBorders>
              <w:top w:val="single" w:sz="4" w:space="0" w:color="auto"/>
              <w:bottom w:val="single" w:sz="12" w:space="0" w:color="auto"/>
            </w:tcBorders>
            <w:shd w:val="clear" w:color="auto" w:fill="auto"/>
            <w:hideMark/>
          </w:tcPr>
          <w:p w14:paraId="5B10BC0B" w14:textId="77777777" w:rsidR="00046F46" w:rsidRPr="00CB5D24" w:rsidRDefault="00046F46" w:rsidP="00CB5D24">
            <w:pPr>
              <w:pStyle w:val="SingleTxtG"/>
              <w:tabs>
                <w:tab w:val="clear" w:pos="1701"/>
                <w:tab w:val="clear" w:pos="2268"/>
              </w:tabs>
              <w:suppressAutoHyphens w:val="0"/>
              <w:spacing w:before="80" w:after="80" w:line="220" w:lineRule="exact"/>
              <w:ind w:left="283" w:right="0"/>
              <w:jc w:val="left"/>
              <w:rPr>
                <w:b/>
                <w:sz w:val="18"/>
                <w:szCs w:val="18"/>
                <w:lang w:val="fr-FR"/>
              </w:rPr>
            </w:pPr>
            <w:r w:rsidRPr="00CB5D24">
              <w:rPr>
                <w:b/>
                <w:sz w:val="18"/>
                <w:szCs w:val="18"/>
                <w:lang w:val="fr-FR"/>
              </w:rPr>
              <w:t>Total</w:t>
            </w:r>
          </w:p>
        </w:tc>
        <w:tc>
          <w:tcPr>
            <w:tcW w:w="760" w:type="dxa"/>
            <w:tcBorders>
              <w:top w:val="single" w:sz="4" w:space="0" w:color="auto"/>
              <w:bottom w:val="single" w:sz="12" w:space="0" w:color="auto"/>
            </w:tcBorders>
            <w:shd w:val="clear" w:color="auto" w:fill="auto"/>
            <w:hideMark/>
          </w:tcPr>
          <w:p w14:paraId="2C0AE649"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11,8</w:t>
            </w:r>
          </w:p>
        </w:tc>
        <w:tc>
          <w:tcPr>
            <w:tcW w:w="820" w:type="dxa"/>
            <w:tcBorders>
              <w:top w:val="single" w:sz="4" w:space="0" w:color="auto"/>
              <w:bottom w:val="single" w:sz="12" w:space="0" w:color="auto"/>
            </w:tcBorders>
            <w:shd w:val="clear" w:color="auto" w:fill="auto"/>
            <w:hideMark/>
          </w:tcPr>
          <w:p w14:paraId="393154C3"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34,6</w:t>
            </w:r>
          </w:p>
        </w:tc>
        <w:tc>
          <w:tcPr>
            <w:tcW w:w="709" w:type="dxa"/>
            <w:tcBorders>
              <w:top w:val="single" w:sz="4" w:space="0" w:color="auto"/>
              <w:bottom w:val="single" w:sz="12" w:space="0" w:color="auto"/>
            </w:tcBorders>
            <w:shd w:val="clear" w:color="auto" w:fill="auto"/>
            <w:hideMark/>
          </w:tcPr>
          <w:p w14:paraId="348D994D"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9 609</w:t>
            </w:r>
          </w:p>
        </w:tc>
        <w:tc>
          <w:tcPr>
            <w:tcW w:w="850" w:type="dxa"/>
            <w:tcBorders>
              <w:top w:val="single" w:sz="4" w:space="0" w:color="auto"/>
              <w:bottom w:val="single" w:sz="12" w:space="0" w:color="auto"/>
            </w:tcBorders>
            <w:shd w:val="clear" w:color="auto" w:fill="auto"/>
            <w:hideMark/>
          </w:tcPr>
          <w:p w14:paraId="373EFE5B"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1,5</w:t>
            </w:r>
          </w:p>
        </w:tc>
        <w:tc>
          <w:tcPr>
            <w:tcW w:w="851" w:type="dxa"/>
            <w:tcBorders>
              <w:top w:val="single" w:sz="4" w:space="0" w:color="auto"/>
              <w:bottom w:val="single" w:sz="12" w:space="0" w:color="auto"/>
            </w:tcBorders>
            <w:shd w:val="clear" w:color="auto" w:fill="auto"/>
            <w:hideMark/>
          </w:tcPr>
          <w:p w14:paraId="06B0CBAB"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4,2</w:t>
            </w:r>
          </w:p>
        </w:tc>
        <w:tc>
          <w:tcPr>
            <w:tcW w:w="709" w:type="dxa"/>
            <w:tcBorders>
              <w:top w:val="single" w:sz="4" w:space="0" w:color="auto"/>
              <w:bottom w:val="single" w:sz="12" w:space="0" w:color="auto"/>
            </w:tcBorders>
            <w:shd w:val="clear" w:color="auto" w:fill="auto"/>
            <w:hideMark/>
          </w:tcPr>
          <w:p w14:paraId="47821418"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5,2</w:t>
            </w:r>
          </w:p>
        </w:tc>
        <w:tc>
          <w:tcPr>
            <w:tcW w:w="708" w:type="dxa"/>
            <w:tcBorders>
              <w:top w:val="single" w:sz="4" w:space="0" w:color="auto"/>
              <w:bottom w:val="single" w:sz="12" w:space="0" w:color="auto"/>
            </w:tcBorders>
            <w:shd w:val="clear" w:color="auto" w:fill="auto"/>
            <w:hideMark/>
          </w:tcPr>
          <w:p w14:paraId="6449C6AA"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9 593</w:t>
            </w:r>
          </w:p>
        </w:tc>
        <w:tc>
          <w:tcPr>
            <w:tcW w:w="851" w:type="dxa"/>
            <w:tcBorders>
              <w:top w:val="single" w:sz="4" w:space="0" w:color="auto"/>
              <w:bottom w:val="single" w:sz="12" w:space="0" w:color="auto"/>
            </w:tcBorders>
            <w:shd w:val="clear" w:color="auto" w:fill="auto"/>
            <w:hideMark/>
          </w:tcPr>
          <w:p w14:paraId="7D5761D0"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2,3</w:t>
            </w:r>
          </w:p>
        </w:tc>
        <w:tc>
          <w:tcPr>
            <w:tcW w:w="850" w:type="dxa"/>
            <w:tcBorders>
              <w:top w:val="single" w:sz="4" w:space="0" w:color="auto"/>
              <w:bottom w:val="single" w:sz="12" w:space="0" w:color="auto"/>
            </w:tcBorders>
            <w:shd w:val="clear" w:color="auto" w:fill="auto"/>
            <w:hideMark/>
          </w:tcPr>
          <w:p w14:paraId="1C5064A5"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11,8</w:t>
            </w:r>
          </w:p>
        </w:tc>
        <w:tc>
          <w:tcPr>
            <w:tcW w:w="709" w:type="dxa"/>
            <w:tcBorders>
              <w:top w:val="single" w:sz="4" w:space="0" w:color="auto"/>
              <w:bottom w:val="single" w:sz="12" w:space="0" w:color="auto"/>
            </w:tcBorders>
            <w:shd w:val="clear" w:color="auto" w:fill="auto"/>
            <w:hideMark/>
          </w:tcPr>
          <w:p w14:paraId="5331DFFD"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0,8</w:t>
            </w:r>
          </w:p>
        </w:tc>
        <w:tc>
          <w:tcPr>
            <w:tcW w:w="684" w:type="dxa"/>
            <w:tcBorders>
              <w:top w:val="single" w:sz="4" w:space="0" w:color="auto"/>
              <w:bottom w:val="single" w:sz="12" w:space="0" w:color="auto"/>
            </w:tcBorders>
            <w:shd w:val="clear" w:color="auto" w:fill="auto"/>
            <w:hideMark/>
          </w:tcPr>
          <w:p w14:paraId="3B6AC2C7" w14:textId="77777777" w:rsidR="00046F46" w:rsidRPr="00CB5D24" w:rsidRDefault="00046F46" w:rsidP="00CB5D24">
            <w:pPr>
              <w:pStyle w:val="SingleTxtG"/>
              <w:tabs>
                <w:tab w:val="clear" w:pos="1701"/>
                <w:tab w:val="clear" w:pos="2268"/>
              </w:tabs>
              <w:suppressAutoHyphens w:val="0"/>
              <w:spacing w:before="80" w:after="80" w:line="220" w:lineRule="exact"/>
              <w:ind w:left="0" w:right="0"/>
              <w:jc w:val="right"/>
              <w:rPr>
                <w:b/>
                <w:sz w:val="18"/>
                <w:szCs w:val="18"/>
                <w:lang w:val="fr-FR"/>
              </w:rPr>
            </w:pPr>
            <w:r w:rsidRPr="00CB5D24">
              <w:rPr>
                <w:b/>
                <w:sz w:val="18"/>
                <w:szCs w:val="18"/>
                <w:lang w:val="fr-FR"/>
              </w:rPr>
              <w:t>9 689</w:t>
            </w:r>
          </w:p>
        </w:tc>
      </w:tr>
    </w:tbl>
    <w:p w14:paraId="06126D6C"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43 c) de la liste de points établie </w:t>
      </w:r>
      <w:r>
        <w:rPr>
          <w:bCs/>
          <w:lang w:val="fr-FR"/>
        </w:rPr>
        <w:t>avant la soumission du rapport</w:t>
      </w:r>
    </w:p>
    <w:p w14:paraId="0BFC829B" w14:textId="4A37D1D1" w:rsidR="00046F46" w:rsidRPr="00EE4C2A" w:rsidRDefault="00046F46" w:rsidP="00046F46">
      <w:pPr>
        <w:pStyle w:val="SingleTxtG"/>
        <w:spacing w:after="240"/>
        <w:rPr>
          <w:iCs/>
          <w:lang w:val="fr-FR"/>
        </w:rPr>
      </w:pPr>
      <w:r w:rsidRPr="00EE4C2A">
        <w:rPr>
          <w:lang w:val="fr-FR"/>
        </w:rPr>
        <w:t>204.</w:t>
      </w:r>
      <w:r w:rsidRPr="00EE4C2A">
        <w:rPr>
          <w:lang w:val="fr-FR"/>
        </w:rPr>
        <w:tab/>
        <w:t>Le nombre de décès d</w:t>
      </w:r>
      <w:r w:rsidR="008279BF">
        <w:rPr>
          <w:lang w:val="fr-FR"/>
        </w:rPr>
        <w:t>’</w:t>
      </w:r>
      <w:r w:rsidRPr="00EE4C2A">
        <w:rPr>
          <w:lang w:val="fr-FR"/>
        </w:rPr>
        <w:t>enfants dus à des maladies évitables est présenté dans le tableau ci-après. En termes de charge de morbidité, le paludisme reste la principale cause de morbidité et de mortalité. Selon les dernières statistiques, l</w:t>
      </w:r>
      <w:r w:rsidR="008279BF">
        <w:rPr>
          <w:lang w:val="fr-FR"/>
        </w:rPr>
        <w:t>’</w:t>
      </w:r>
      <w:r w:rsidRPr="00EE4C2A">
        <w:rPr>
          <w:lang w:val="fr-FR"/>
        </w:rPr>
        <w:t>incidence du paludisme était de</w:t>
      </w:r>
      <w:r w:rsidR="008279BF">
        <w:rPr>
          <w:lang w:val="fr-FR"/>
        </w:rPr>
        <w:t xml:space="preserve"> </w:t>
      </w:r>
      <w:r w:rsidRPr="00EE4C2A">
        <w:rPr>
          <w:lang w:val="fr-FR"/>
        </w:rPr>
        <w:t>319/100 000 en 2018, en baisse par rapport à l</w:t>
      </w:r>
      <w:r w:rsidR="008279BF">
        <w:rPr>
          <w:lang w:val="fr-FR"/>
        </w:rPr>
        <w:t>’</w:t>
      </w:r>
      <w:r w:rsidRPr="00EE4C2A">
        <w:rPr>
          <w:lang w:val="fr-FR"/>
        </w:rPr>
        <w:t>incidence enregistrée en 2015, qui était de</w:t>
      </w:r>
      <w:r w:rsidR="008279BF">
        <w:rPr>
          <w:lang w:val="fr-FR"/>
        </w:rPr>
        <w:t xml:space="preserve"> </w:t>
      </w:r>
      <w:r w:rsidRPr="00EE4C2A">
        <w:rPr>
          <w:lang w:val="fr-FR"/>
        </w:rPr>
        <w:t>346/100 000. Le programme de lutte contre le paludisme a donné de bons résultats en ce qui concerne les indicateurs d</w:t>
      </w:r>
      <w:r w:rsidR="008279BF">
        <w:rPr>
          <w:lang w:val="fr-FR"/>
        </w:rPr>
        <w:t>’</w:t>
      </w:r>
      <w:r w:rsidRPr="00EE4C2A">
        <w:rPr>
          <w:lang w:val="fr-FR"/>
        </w:rPr>
        <w:t>intervention xiii, grâce à l</w:t>
      </w:r>
      <w:r w:rsidR="008279BF">
        <w:rPr>
          <w:lang w:val="fr-FR"/>
        </w:rPr>
        <w:t>’</w:t>
      </w:r>
      <w:r w:rsidRPr="00EE4C2A">
        <w:rPr>
          <w:lang w:val="fr-FR"/>
        </w:rPr>
        <w:t>utilisation de moustiquaires imprégnées d</w:t>
      </w:r>
      <w:r w:rsidR="008279BF">
        <w:rPr>
          <w:lang w:val="fr-FR"/>
        </w:rPr>
        <w:t>’</w:t>
      </w:r>
      <w:r w:rsidRPr="00EE4C2A">
        <w:rPr>
          <w:lang w:val="fr-FR"/>
        </w:rPr>
        <w:t>insecticides de longue durée, aux traitements préventifs intermittents, à la pulvérisation résiduelle en intérieur, aux tests de diagnostic par frottis sanguin ou aux tests rapides chez les enfants, et à la polythérapie à base d</w:t>
      </w:r>
      <w:r w:rsidR="008279BF">
        <w:rPr>
          <w:lang w:val="fr-FR"/>
        </w:rPr>
        <w:t>’</w:t>
      </w:r>
      <w:r w:rsidRPr="00EE4C2A">
        <w:rPr>
          <w:lang w:val="fr-FR"/>
        </w:rPr>
        <w:t>artémisinine pour le traitement du paludisme.</w:t>
      </w:r>
    </w:p>
    <w:p w14:paraId="712B3AE3" w14:textId="77777777" w:rsidR="00046F46" w:rsidRPr="00EE4C2A" w:rsidRDefault="00046F46" w:rsidP="00046F46">
      <w:pPr>
        <w:rPr>
          <w:rFonts w:ascii="Century Gothic" w:eastAsia="Calibri" w:hAnsi="Century Gothic"/>
          <w:sz w:val="24"/>
          <w:lang w:val="fr-FR"/>
        </w:rPr>
      </w:pPr>
      <w:r w:rsidRPr="00EE4C2A">
        <w:rPr>
          <w:rFonts w:eastAsia="Calibri"/>
          <w:noProof/>
          <w:lang w:val="fr-FR" w:eastAsia="fr-FR"/>
        </w:rPr>
        <w:drawing>
          <wp:inline distT="0" distB="0" distL="0" distR="0" wp14:anchorId="4DB60A50" wp14:editId="5BB68184">
            <wp:extent cx="6126480" cy="1089329"/>
            <wp:effectExtent l="0" t="0" r="7620" b="0"/>
            <wp:docPr id="1491220590" name="Picture 149122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1779" cy="1106274"/>
                    </a:xfrm>
                    <a:prstGeom prst="rect">
                      <a:avLst/>
                    </a:prstGeom>
                    <a:noFill/>
                    <a:ln>
                      <a:noFill/>
                    </a:ln>
                  </pic:spPr>
                </pic:pic>
              </a:graphicData>
            </a:graphic>
          </wp:inline>
        </w:drawing>
      </w:r>
    </w:p>
    <w:p w14:paraId="227F1AB7"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43 d) de la liste de points établie </w:t>
      </w:r>
      <w:r>
        <w:rPr>
          <w:bCs/>
          <w:lang w:val="fr-FR"/>
        </w:rPr>
        <w:t>avant la soumission du rapport</w:t>
      </w:r>
    </w:p>
    <w:p w14:paraId="0130A8E3" w14:textId="5A79152B" w:rsidR="00046F46" w:rsidRPr="00EE4C2A" w:rsidRDefault="00046F46" w:rsidP="00046F46">
      <w:pPr>
        <w:pStyle w:val="SingleTxtG"/>
        <w:rPr>
          <w:szCs w:val="22"/>
          <w:lang w:val="fr-FR"/>
        </w:rPr>
      </w:pPr>
      <w:r w:rsidRPr="00EE4C2A">
        <w:rPr>
          <w:lang w:val="fr-FR"/>
        </w:rPr>
        <w:t>205.</w:t>
      </w:r>
      <w:r w:rsidRPr="00EE4C2A">
        <w:rPr>
          <w:lang w:val="fr-FR"/>
        </w:rPr>
        <w:tab/>
        <w:t xml:space="preserve">Le nombre de services de santé mentale et de professionnels spécialisés dans la santé des jeunes enfants et des adolescents reste faible, en particulier dans les zones rurales : moins de 20, dont des pédiatres basés dans 10 hôpitaux </w:t>
      </w:r>
      <w:r>
        <w:rPr>
          <w:lang w:val="fr-FR"/>
        </w:rPr>
        <w:t xml:space="preserve">provinciaux </w:t>
      </w:r>
      <w:r w:rsidRPr="00EE4C2A">
        <w:rPr>
          <w:lang w:val="fr-FR"/>
        </w:rPr>
        <w:t>généraux/centraux et dans quelques unités médicales de district de niveaux 2 et 1.</w:t>
      </w:r>
    </w:p>
    <w:p w14:paraId="42CBCE1A" w14:textId="77777777" w:rsidR="00046F46" w:rsidRPr="00EE4C2A" w:rsidRDefault="00046F46" w:rsidP="00046F46">
      <w:pPr>
        <w:pStyle w:val="SingleTxtG"/>
        <w:rPr>
          <w:szCs w:val="22"/>
          <w:lang w:val="fr-FR"/>
        </w:rPr>
      </w:pPr>
      <w:r w:rsidRPr="00EE4C2A">
        <w:rPr>
          <w:lang w:val="fr-FR"/>
        </w:rPr>
        <w:t>206.</w:t>
      </w:r>
      <w:r w:rsidRPr="00EE4C2A">
        <w:rPr>
          <w:lang w:val="fr-FR"/>
        </w:rPr>
        <w:tab/>
        <w:t>Les services sont généralement classés selon quatre catégories, à savoir :</w:t>
      </w:r>
    </w:p>
    <w:p w14:paraId="1FAE99C9" w14:textId="77777777" w:rsidR="00046F46" w:rsidRPr="00EE4C2A" w:rsidRDefault="00046F46" w:rsidP="00046F46">
      <w:pPr>
        <w:pStyle w:val="Bullet1G"/>
        <w:numPr>
          <w:ilvl w:val="0"/>
          <w:numId w:val="0"/>
        </w:numPr>
        <w:tabs>
          <w:tab w:val="left" w:pos="1701"/>
        </w:tabs>
        <w:ind w:left="1701" w:hanging="170"/>
        <w:rPr>
          <w:lang w:val="fr-FR"/>
        </w:rPr>
      </w:pPr>
      <w:r w:rsidRPr="00EE4C2A">
        <w:rPr>
          <w:lang w:val="fr-FR"/>
        </w:rPr>
        <w:t>•</w:t>
      </w:r>
      <w:r w:rsidRPr="00EE4C2A">
        <w:rPr>
          <w:lang w:val="fr-FR"/>
        </w:rPr>
        <w:tab/>
        <w:t>Soins curatifs : diagnostic et prise en charge de tous les enfants malades présentant diverses maladies infantiles, en hospitalisation ou en consultation externe ;</w:t>
      </w:r>
    </w:p>
    <w:p w14:paraId="084E66E6" w14:textId="208EE64B" w:rsidR="00046F46" w:rsidRPr="00EE4C2A" w:rsidRDefault="00046F46" w:rsidP="00046F46">
      <w:pPr>
        <w:pStyle w:val="Bullet1G"/>
        <w:numPr>
          <w:ilvl w:val="0"/>
          <w:numId w:val="0"/>
        </w:numPr>
        <w:tabs>
          <w:tab w:val="left" w:pos="1701"/>
        </w:tabs>
        <w:ind w:left="1701" w:hanging="170"/>
        <w:rPr>
          <w:lang w:val="fr-FR"/>
        </w:rPr>
      </w:pPr>
      <w:r w:rsidRPr="00EE4C2A">
        <w:rPr>
          <w:lang w:val="fr-FR"/>
        </w:rPr>
        <w:t>•</w:t>
      </w:r>
      <w:r w:rsidRPr="00EE4C2A">
        <w:rPr>
          <w:lang w:val="fr-FR"/>
        </w:rPr>
        <w:tab/>
        <w:t>Soins préventifs : vaccinations, suppléments de vitamine A, vermifugation, diagnostic précoce du VIH chez le nourrisson et fourniture de moustiquaires imprégnées d</w:t>
      </w:r>
      <w:r w:rsidR="008279BF">
        <w:rPr>
          <w:lang w:val="fr-FR"/>
        </w:rPr>
        <w:t>’</w:t>
      </w:r>
      <w:r w:rsidRPr="00EE4C2A">
        <w:rPr>
          <w:lang w:val="fr-FR"/>
        </w:rPr>
        <w:t>insecticide, entre autres ;</w:t>
      </w:r>
    </w:p>
    <w:p w14:paraId="42CE45D8" w14:textId="2DABAC27" w:rsidR="00046F46" w:rsidRPr="00EE4C2A" w:rsidRDefault="00046F46" w:rsidP="00046F46">
      <w:pPr>
        <w:pStyle w:val="Bullet1G"/>
        <w:numPr>
          <w:ilvl w:val="0"/>
          <w:numId w:val="0"/>
        </w:numPr>
        <w:tabs>
          <w:tab w:val="left" w:pos="1701"/>
        </w:tabs>
        <w:ind w:left="1701" w:hanging="170"/>
        <w:rPr>
          <w:lang w:val="fr-FR"/>
        </w:rPr>
      </w:pPr>
      <w:r w:rsidRPr="00EE4C2A">
        <w:rPr>
          <w:lang w:val="fr-FR"/>
        </w:rPr>
        <w:t>•</w:t>
      </w:r>
      <w:r w:rsidRPr="00EE4C2A">
        <w:rPr>
          <w:lang w:val="fr-FR"/>
        </w:rPr>
        <w:tab/>
        <w:t>Promotion de la santé : communication et organisation d</w:t>
      </w:r>
      <w:r w:rsidR="008279BF">
        <w:rPr>
          <w:lang w:val="fr-FR"/>
        </w:rPr>
        <w:t>’</w:t>
      </w:r>
      <w:r w:rsidRPr="00EE4C2A">
        <w:rPr>
          <w:lang w:val="fr-FR"/>
        </w:rPr>
        <w:t xml:space="preserve">interventions visant à modifier les comportements sociaux, surveillance et promotion de la croissance des nourrissons, entre autres ; </w:t>
      </w:r>
    </w:p>
    <w:p w14:paraId="7E5A4376" w14:textId="220D36CD" w:rsidR="00046F46" w:rsidRPr="00EE4C2A" w:rsidRDefault="00046F46" w:rsidP="00046F46">
      <w:pPr>
        <w:pStyle w:val="Bullet1G"/>
        <w:numPr>
          <w:ilvl w:val="0"/>
          <w:numId w:val="0"/>
        </w:numPr>
        <w:tabs>
          <w:tab w:val="left" w:pos="1701"/>
        </w:tabs>
        <w:ind w:left="1701" w:hanging="170"/>
        <w:rPr>
          <w:lang w:val="fr-FR"/>
        </w:rPr>
      </w:pPr>
      <w:r w:rsidRPr="00EE4C2A">
        <w:rPr>
          <w:lang w:val="fr-FR"/>
        </w:rPr>
        <w:t>•</w:t>
      </w:r>
      <w:r w:rsidRPr="00EE4C2A">
        <w:rPr>
          <w:lang w:val="fr-FR"/>
        </w:rPr>
        <w:tab/>
        <w:t>Réadaptation : fourniture d</w:t>
      </w:r>
      <w:r w:rsidR="008279BF">
        <w:rPr>
          <w:lang w:val="fr-FR"/>
        </w:rPr>
        <w:t>’</w:t>
      </w:r>
      <w:r w:rsidRPr="00EE4C2A">
        <w:rPr>
          <w:lang w:val="fr-FR"/>
        </w:rPr>
        <w:t>espaces et de services de réadaptation pour tous les enfants, y compris ceux présentant des troubles mentaux ou neurologiques.</w:t>
      </w:r>
    </w:p>
    <w:p w14:paraId="67DAF77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44 a) de la liste de points établie </w:t>
      </w:r>
      <w:r>
        <w:rPr>
          <w:bCs/>
          <w:lang w:val="fr-FR"/>
        </w:rPr>
        <w:t>avant la soumission du rapport</w:t>
      </w:r>
    </w:p>
    <w:p w14:paraId="56542B6E" w14:textId="6739D803" w:rsidR="00046F46" w:rsidRPr="00EE4C2A" w:rsidRDefault="00046F46" w:rsidP="00046F46">
      <w:pPr>
        <w:pStyle w:val="SingleTxtG"/>
        <w:spacing w:after="240"/>
        <w:rPr>
          <w:szCs w:val="22"/>
          <w:lang w:val="fr-FR"/>
        </w:rPr>
      </w:pPr>
      <w:r w:rsidRPr="00EE4C2A">
        <w:rPr>
          <w:lang w:val="fr-FR"/>
        </w:rPr>
        <w:t>207.</w:t>
      </w:r>
      <w:r w:rsidRPr="00EE4C2A">
        <w:rPr>
          <w:lang w:val="fr-FR"/>
        </w:rPr>
        <w:tab/>
        <w:t>Le nombre de mères adolescentes est indiqué dans le tableau ci-après. Selon l</w:t>
      </w:r>
      <w:r w:rsidR="008279BF">
        <w:rPr>
          <w:lang w:val="fr-FR"/>
        </w:rPr>
        <w:t>’</w:t>
      </w:r>
      <w:r w:rsidRPr="00EE4C2A">
        <w:rPr>
          <w:lang w:val="fr-FR"/>
        </w:rPr>
        <w:t>Enquête nationale démographique et sanitaire réalisée en 2018, il était de 29 % pour les</w:t>
      </w:r>
      <w:r w:rsidR="008279BF">
        <w:rPr>
          <w:lang w:val="fr-FR"/>
        </w:rPr>
        <w:t xml:space="preserve"> </w:t>
      </w:r>
      <w:r w:rsidRPr="00EE4C2A">
        <w:rPr>
          <w:lang w:val="fr-FR"/>
        </w:rPr>
        <w:t>15-19 ans.</w:t>
      </w:r>
    </w:p>
    <w:p w14:paraId="7612F253" w14:textId="77777777" w:rsidR="00046F46" w:rsidRPr="00EE4C2A" w:rsidRDefault="00046F46" w:rsidP="00046F46">
      <w:pPr>
        <w:pStyle w:val="Titre1"/>
        <w:rPr>
          <w:lang w:val="fr-FR"/>
        </w:rPr>
      </w:pPr>
      <w:r w:rsidRPr="00EE4C2A">
        <w:rPr>
          <w:lang w:val="fr-FR"/>
        </w:rPr>
        <w:lastRenderedPageBreak/>
        <w:t>Tableau 5.11</w:t>
      </w:r>
    </w:p>
    <w:p w14:paraId="4FE75269" w14:textId="77777777" w:rsidR="00046F46" w:rsidRPr="00EE4C2A" w:rsidRDefault="00046F46" w:rsidP="008279BF">
      <w:pPr>
        <w:pStyle w:val="SingleTxtG"/>
        <w:keepNext/>
        <w:rPr>
          <w:b/>
          <w:bCs/>
          <w:szCs w:val="22"/>
          <w:lang w:val="fr-FR"/>
        </w:rPr>
      </w:pPr>
      <w:r w:rsidRPr="00EE4C2A">
        <w:rPr>
          <w:b/>
          <w:bCs/>
          <w:lang w:val="fr-FR"/>
        </w:rPr>
        <w:t>Grossesse et maternité chez les adolescentes</w:t>
      </w:r>
    </w:p>
    <w:tbl>
      <w:tblPr>
        <w:tblW w:w="7370"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34"/>
        <w:gridCol w:w="1560"/>
        <w:gridCol w:w="1576"/>
        <w:gridCol w:w="1685"/>
        <w:gridCol w:w="1415"/>
      </w:tblGrid>
      <w:tr w:rsidR="00046F46" w:rsidRPr="0019096A" w14:paraId="67EFB4C8" w14:textId="77777777" w:rsidTr="004C1F7B">
        <w:trPr>
          <w:tblHeader/>
        </w:trPr>
        <w:tc>
          <w:tcPr>
            <w:tcW w:w="7370" w:type="dxa"/>
            <w:gridSpan w:val="5"/>
            <w:tcBorders>
              <w:top w:val="single" w:sz="4" w:space="0" w:color="auto"/>
              <w:bottom w:val="single" w:sz="4" w:space="0" w:color="auto"/>
            </w:tcBorders>
            <w:shd w:val="clear" w:color="auto" w:fill="auto"/>
            <w:vAlign w:val="bottom"/>
          </w:tcPr>
          <w:p w14:paraId="78517483" w14:textId="5282E0DF" w:rsidR="00046F46" w:rsidRPr="00EE4C2A" w:rsidRDefault="00046F46" w:rsidP="008279BF">
            <w:pPr>
              <w:pStyle w:val="SingleTxtG"/>
              <w:keepNext/>
              <w:tabs>
                <w:tab w:val="clear" w:pos="1701"/>
                <w:tab w:val="clear" w:pos="2268"/>
              </w:tabs>
              <w:suppressAutoHyphens w:val="0"/>
              <w:spacing w:before="80" w:after="80" w:line="200" w:lineRule="exact"/>
              <w:ind w:left="0" w:right="0"/>
              <w:jc w:val="left"/>
              <w:rPr>
                <w:i/>
                <w:sz w:val="16"/>
                <w:szCs w:val="16"/>
                <w:lang w:val="fr-FR"/>
              </w:rPr>
            </w:pPr>
            <w:r w:rsidRPr="00EE4C2A">
              <w:rPr>
                <w:i/>
                <w:iCs/>
                <w:sz w:val="16"/>
                <w:szCs w:val="16"/>
                <w:lang w:val="fr-FR"/>
              </w:rPr>
              <w:t>Pourcentage de jeunes filles âgées de 15 à 19 ans ayant donné naissance à en enfant vivant ou étant enceintes de leur premier enfant, et pourcentage de celles qui ont commencé à avoir des enfants, selon les caractéristiques de base (Enquête nationale démographique et sanitaire de 2018)</w:t>
            </w:r>
          </w:p>
        </w:tc>
      </w:tr>
      <w:tr w:rsidR="00046F46" w:rsidRPr="0019096A" w14:paraId="5070A5F5" w14:textId="77777777" w:rsidTr="008279BF">
        <w:tc>
          <w:tcPr>
            <w:tcW w:w="1134" w:type="dxa"/>
            <w:tcBorders>
              <w:top w:val="single" w:sz="4" w:space="0" w:color="auto"/>
              <w:bottom w:val="nil"/>
            </w:tcBorders>
            <w:shd w:val="clear" w:color="auto" w:fill="auto"/>
          </w:tcPr>
          <w:p w14:paraId="71F74BC6" w14:textId="77777777" w:rsidR="00046F46" w:rsidRPr="00EE4C2A" w:rsidRDefault="00046F46" w:rsidP="008279BF">
            <w:pPr>
              <w:pStyle w:val="SingleTxtG"/>
              <w:keepNext/>
              <w:tabs>
                <w:tab w:val="clear" w:pos="1701"/>
                <w:tab w:val="clear" w:pos="2268"/>
              </w:tabs>
              <w:suppressAutoHyphens w:val="0"/>
              <w:spacing w:before="40" w:after="40" w:line="220" w:lineRule="exact"/>
              <w:ind w:left="0" w:right="0"/>
              <w:jc w:val="left"/>
              <w:rPr>
                <w:sz w:val="16"/>
                <w:szCs w:val="16"/>
                <w:lang w:val="fr-FR"/>
              </w:rPr>
            </w:pPr>
          </w:p>
        </w:tc>
        <w:tc>
          <w:tcPr>
            <w:tcW w:w="3136" w:type="dxa"/>
            <w:gridSpan w:val="2"/>
            <w:tcBorders>
              <w:top w:val="single" w:sz="4" w:space="0" w:color="auto"/>
              <w:bottom w:val="single" w:sz="4" w:space="0" w:color="auto"/>
            </w:tcBorders>
            <w:shd w:val="clear" w:color="auto" w:fill="auto"/>
          </w:tcPr>
          <w:p w14:paraId="3722D315" w14:textId="1AD568E8" w:rsidR="00046F46" w:rsidRPr="00EE4C2A" w:rsidRDefault="00046F46" w:rsidP="008279BF">
            <w:pPr>
              <w:pStyle w:val="SingleTxtG"/>
              <w:keepNext/>
              <w:tabs>
                <w:tab w:val="clear" w:pos="1701"/>
                <w:tab w:val="clear" w:pos="2268"/>
              </w:tabs>
              <w:suppressAutoHyphens w:val="0"/>
              <w:spacing w:before="80" w:after="80" w:line="200" w:lineRule="exact"/>
              <w:ind w:left="0" w:right="0"/>
              <w:jc w:val="center"/>
              <w:rPr>
                <w:i/>
                <w:sz w:val="16"/>
                <w:szCs w:val="16"/>
                <w:lang w:val="fr-FR"/>
              </w:rPr>
            </w:pPr>
            <w:r w:rsidRPr="00EE4C2A">
              <w:rPr>
                <w:i/>
                <w:iCs/>
                <w:sz w:val="16"/>
                <w:szCs w:val="16"/>
                <w:lang w:val="fr-FR"/>
              </w:rPr>
              <w:t xml:space="preserve">Pourcentage de jeunes filles âgées </w:t>
            </w:r>
            <w:r w:rsidR="008279BF">
              <w:rPr>
                <w:i/>
                <w:iCs/>
                <w:sz w:val="16"/>
                <w:szCs w:val="16"/>
                <w:lang w:val="fr-FR"/>
              </w:rPr>
              <w:br/>
            </w:r>
            <w:r w:rsidRPr="00EE4C2A">
              <w:rPr>
                <w:i/>
                <w:iCs/>
                <w:sz w:val="16"/>
                <w:szCs w:val="16"/>
                <w:lang w:val="fr-FR"/>
              </w:rPr>
              <w:t>de 15 à 19 ans :</w:t>
            </w:r>
          </w:p>
        </w:tc>
        <w:tc>
          <w:tcPr>
            <w:tcW w:w="1685" w:type="dxa"/>
            <w:tcBorders>
              <w:top w:val="single" w:sz="4" w:space="0" w:color="auto"/>
              <w:bottom w:val="nil"/>
            </w:tcBorders>
            <w:shd w:val="clear" w:color="auto" w:fill="auto"/>
          </w:tcPr>
          <w:p w14:paraId="4E0892B0" w14:textId="77777777" w:rsidR="00046F46" w:rsidRPr="00EE4C2A" w:rsidRDefault="00046F46" w:rsidP="008279BF">
            <w:pPr>
              <w:pStyle w:val="SingleTxtG"/>
              <w:keepNext/>
              <w:tabs>
                <w:tab w:val="clear" w:pos="1701"/>
                <w:tab w:val="clear" w:pos="2268"/>
              </w:tabs>
              <w:suppressAutoHyphens w:val="0"/>
              <w:spacing w:before="80" w:after="80" w:line="200" w:lineRule="exact"/>
              <w:ind w:left="0" w:right="0"/>
              <w:jc w:val="left"/>
              <w:rPr>
                <w:i/>
                <w:sz w:val="16"/>
                <w:szCs w:val="16"/>
                <w:lang w:val="fr-FR"/>
              </w:rPr>
            </w:pPr>
          </w:p>
        </w:tc>
        <w:tc>
          <w:tcPr>
            <w:tcW w:w="1415" w:type="dxa"/>
            <w:tcBorders>
              <w:top w:val="single" w:sz="4" w:space="0" w:color="auto"/>
              <w:bottom w:val="nil"/>
            </w:tcBorders>
            <w:shd w:val="clear" w:color="auto" w:fill="auto"/>
          </w:tcPr>
          <w:p w14:paraId="39F03D69" w14:textId="77777777" w:rsidR="00046F46" w:rsidRPr="00EE4C2A" w:rsidRDefault="00046F46" w:rsidP="008279BF">
            <w:pPr>
              <w:pStyle w:val="SingleTxtG"/>
              <w:keepNext/>
              <w:tabs>
                <w:tab w:val="clear" w:pos="1701"/>
                <w:tab w:val="clear" w:pos="2268"/>
              </w:tabs>
              <w:suppressAutoHyphens w:val="0"/>
              <w:spacing w:before="80" w:after="80" w:line="200" w:lineRule="exact"/>
              <w:ind w:left="0" w:right="0"/>
              <w:jc w:val="left"/>
              <w:rPr>
                <w:i/>
                <w:sz w:val="16"/>
                <w:szCs w:val="16"/>
                <w:lang w:val="fr-FR"/>
              </w:rPr>
            </w:pPr>
          </w:p>
        </w:tc>
      </w:tr>
      <w:tr w:rsidR="00046F46" w:rsidRPr="00EE4C2A" w14:paraId="15DBBB45" w14:textId="77777777" w:rsidTr="008279BF">
        <w:tc>
          <w:tcPr>
            <w:tcW w:w="1134" w:type="dxa"/>
            <w:tcBorders>
              <w:top w:val="nil"/>
              <w:bottom w:val="single" w:sz="4" w:space="0" w:color="auto"/>
            </w:tcBorders>
            <w:shd w:val="clear" w:color="auto" w:fill="auto"/>
            <w:vAlign w:val="bottom"/>
          </w:tcPr>
          <w:p w14:paraId="0C9B866B" w14:textId="77777777" w:rsidR="00046F46" w:rsidRPr="008279BF" w:rsidRDefault="00046F46" w:rsidP="008279BF">
            <w:pPr>
              <w:pStyle w:val="SingleTxtG"/>
              <w:keepNext/>
              <w:tabs>
                <w:tab w:val="clear" w:pos="1701"/>
                <w:tab w:val="clear" w:pos="2268"/>
              </w:tabs>
              <w:suppressAutoHyphens w:val="0"/>
              <w:spacing w:before="80" w:after="80" w:line="200" w:lineRule="exact"/>
              <w:ind w:left="0" w:right="0"/>
              <w:jc w:val="left"/>
              <w:rPr>
                <w:i/>
                <w:iCs/>
                <w:sz w:val="16"/>
                <w:szCs w:val="16"/>
                <w:lang w:val="fr-FR"/>
              </w:rPr>
            </w:pPr>
            <w:r w:rsidRPr="008279BF">
              <w:rPr>
                <w:i/>
                <w:iCs/>
                <w:sz w:val="16"/>
                <w:szCs w:val="16"/>
                <w:lang w:val="fr-FR"/>
              </w:rPr>
              <w:t>Caractéristique de base</w:t>
            </w:r>
          </w:p>
        </w:tc>
        <w:tc>
          <w:tcPr>
            <w:tcW w:w="1560" w:type="dxa"/>
            <w:tcBorders>
              <w:top w:val="nil"/>
              <w:bottom w:val="single" w:sz="4" w:space="0" w:color="auto"/>
            </w:tcBorders>
            <w:shd w:val="clear" w:color="auto" w:fill="auto"/>
            <w:vAlign w:val="bottom"/>
          </w:tcPr>
          <w:p w14:paraId="45806540" w14:textId="77777777" w:rsidR="00046F46" w:rsidRPr="008279BF" w:rsidRDefault="00046F46" w:rsidP="008279BF">
            <w:pPr>
              <w:pStyle w:val="SingleTxtG"/>
              <w:keepNext/>
              <w:tabs>
                <w:tab w:val="clear" w:pos="1701"/>
                <w:tab w:val="clear" w:pos="2268"/>
              </w:tabs>
              <w:suppressAutoHyphens w:val="0"/>
              <w:spacing w:before="80" w:after="80" w:line="200" w:lineRule="exact"/>
              <w:ind w:left="0" w:right="0"/>
              <w:jc w:val="right"/>
              <w:rPr>
                <w:i/>
                <w:iCs/>
                <w:sz w:val="16"/>
                <w:szCs w:val="16"/>
                <w:lang w:val="fr-FR"/>
              </w:rPr>
            </w:pPr>
            <w:r w:rsidRPr="008279BF">
              <w:rPr>
                <w:i/>
                <w:iCs/>
                <w:sz w:val="16"/>
                <w:szCs w:val="16"/>
                <w:lang w:val="fr-FR"/>
              </w:rPr>
              <w:t>Ayant donné naissance à un enfant vivant</w:t>
            </w:r>
          </w:p>
        </w:tc>
        <w:tc>
          <w:tcPr>
            <w:tcW w:w="1576" w:type="dxa"/>
            <w:tcBorders>
              <w:top w:val="nil"/>
              <w:bottom w:val="single" w:sz="4" w:space="0" w:color="auto"/>
            </w:tcBorders>
            <w:shd w:val="clear" w:color="auto" w:fill="auto"/>
            <w:vAlign w:val="bottom"/>
          </w:tcPr>
          <w:p w14:paraId="69B932CC" w14:textId="77777777" w:rsidR="00046F46" w:rsidRPr="008279BF" w:rsidRDefault="00046F46" w:rsidP="008279BF">
            <w:pPr>
              <w:pStyle w:val="SingleTxtG"/>
              <w:keepNext/>
              <w:tabs>
                <w:tab w:val="clear" w:pos="1701"/>
                <w:tab w:val="clear" w:pos="2268"/>
              </w:tabs>
              <w:suppressAutoHyphens w:val="0"/>
              <w:spacing w:before="80" w:after="80" w:line="200" w:lineRule="exact"/>
              <w:ind w:left="0" w:right="0"/>
              <w:jc w:val="right"/>
              <w:rPr>
                <w:i/>
                <w:iCs/>
                <w:sz w:val="16"/>
                <w:szCs w:val="16"/>
                <w:lang w:val="fr-FR"/>
              </w:rPr>
            </w:pPr>
            <w:r w:rsidRPr="008279BF">
              <w:rPr>
                <w:i/>
                <w:iCs/>
                <w:sz w:val="16"/>
                <w:szCs w:val="16"/>
                <w:lang w:val="fr-FR"/>
              </w:rPr>
              <w:t>Étant enceintes de leur premier enfant</w:t>
            </w:r>
          </w:p>
        </w:tc>
        <w:tc>
          <w:tcPr>
            <w:tcW w:w="1685" w:type="dxa"/>
            <w:tcBorders>
              <w:top w:val="nil"/>
              <w:bottom w:val="single" w:sz="4" w:space="0" w:color="auto"/>
            </w:tcBorders>
            <w:shd w:val="clear" w:color="auto" w:fill="auto"/>
            <w:vAlign w:val="bottom"/>
          </w:tcPr>
          <w:p w14:paraId="00DEA131" w14:textId="62917150" w:rsidR="00046F46" w:rsidRPr="008279BF" w:rsidRDefault="00046F46" w:rsidP="008279BF">
            <w:pPr>
              <w:pStyle w:val="SingleTxtG"/>
              <w:keepNext/>
              <w:tabs>
                <w:tab w:val="clear" w:pos="1701"/>
                <w:tab w:val="clear" w:pos="2268"/>
              </w:tabs>
              <w:suppressAutoHyphens w:val="0"/>
              <w:spacing w:before="80" w:after="80" w:line="200" w:lineRule="exact"/>
              <w:ind w:left="0" w:right="0"/>
              <w:jc w:val="right"/>
              <w:rPr>
                <w:i/>
                <w:iCs/>
                <w:sz w:val="16"/>
                <w:szCs w:val="16"/>
                <w:lang w:val="fr-FR"/>
              </w:rPr>
            </w:pPr>
            <w:r w:rsidRPr="008279BF">
              <w:rPr>
                <w:i/>
                <w:iCs/>
                <w:sz w:val="16"/>
                <w:szCs w:val="16"/>
                <w:lang w:val="fr-FR"/>
              </w:rPr>
              <w:t xml:space="preserve">Pourcentage de jeunes filles ayant commencé </w:t>
            </w:r>
            <w:r w:rsidR="008279BF">
              <w:rPr>
                <w:i/>
                <w:iCs/>
                <w:sz w:val="16"/>
                <w:szCs w:val="16"/>
                <w:lang w:val="fr-FR"/>
              </w:rPr>
              <w:br/>
            </w:r>
            <w:r w:rsidRPr="008279BF">
              <w:rPr>
                <w:i/>
                <w:iCs/>
                <w:sz w:val="16"/>
                <w:szCs w:val="16"/>
                <w:lang w:val="fr-FR"/>
              </w:rPr>
              <w:t>à avoir des enfants</w:t>
            </w:r>
          </w:p>
        </w:tc>
        <w:tc>
          <w:tcPr>
            <w:tcW w:w="1415" w:type="dxa"/>
            <w:tcBorders>
              <w:top w:val="nil"/>
              <w:bottom w:val="single" w:sz="4" w:space="0" w:color="auto"/>
            </w:tcBorders>
            <w:shd w:val="clear" w:color="auto" w:fill="auto"/>
            <w:vAlign w:val="bottom"/>
          </w:tcPr>
          <w:p w14:paraId="77DA898C" w14:textId="00B4EBFF" w:rsidR="00046F46" w:rsidRPr="008279BF" w:rsidRDefault="00046F46" w:rsidP="008279BF">
            <w:pPr>
              <w:pStyle w:val="SingleTxtG"/>
              <w:keepNext/>
              <w:tabs>
                <w:tab w:val="clear" w:pos="1701"/>
                <w:tab w:val="clear" w:pos="2268"/>
              </w:tabs>
              <w:suppressAutoHyphens w:val="0"/>
              <w:spacing w:before="80" w:after="80" w:line="200" w:lineRule="exact"/>
              <w:ind w:left="0" w:right="0"/>
              <w:jc w:val="right"/>
              <w:rPr>
                <w:i/>
                <w:iCs/>
                <w:sz w:val="16"/>
                <w:szCs w:val="16"/>
                <w:lang w:val="fr-FR"/>
              </w:rPr>
            </w:pPr>
            <w:r w:rsidRPr="008279BF">
              <w:rPr>
                <w:i/>
                <w:iCs/>
                <w:sz w:val="16"/>
                <w:szCs w:val="16"/>
                <w:lang w:val="fr-FR"/>
              </w:rPr>
              <w:t xml:space="preserve">Nombre de </w:t>
            </w:r>
            <w:r w:rsidR="008279BF">
              <w:rPr>
                <w:i/>
                <w:iCs/>
                <w:sz w:val="16"/>
                <w:szCs w:val="16"/>
                <w:lang w:val="fr-FR"/>
              </w:rPr>
              <w:br/>
            </w:r>
            <w:r w:rsidRPr="008279BF">
              <w:rPr>
                <w:i/>
                <w:iCs/>
                <w:sz w:val="16"/>
                <w:szCs w:val="16"/>
                <w:lang w:val="fr-FR"/>
              </w:rPr>
              <w:t>jeunes filles</w:t>
            </w:r>
          </w:p>
        </w:tc>
      </w:tr>
      <w:tr w:rsidR="00046F46" w:rsidRPr="00EE4C2A" w14:paraId="73660229" w14:textId="77777777" w:rsidTr="008279BF">
        <w:tc>
          <w:tcPr>
            <w:tcW w:w="1134" w:type="dxa"/>
            <w:tcBorders>
              <w:top w:val="single" w:sz="4" w:space="0" w:color="auto"/>
              <w:bottom w:val="single" w:sz="12" w:space="0" w:color="auto"/>
            </w:tcBorders>
            <w:shd w:val="clear" w:color="auto" w:fill="auto"/>
          </w:tcPr>
          <w:p w14:paraId="29AC0B60" w14:textId="77777777" w:rsidR="00046F46" w:rsidRPr="008279BF" w:rsidRDefault="00046F46" w:rsidP="008279BF">
            <w:pPr>
              <w:pStyle w:val="SingleTxtG"/>
              <w:tabs>
                <w:tab w:val="clear" w:pos="1701"/>
                <w:tab w:val="clear" w:pos="2268"/>
              </w:tabs>
              <w:suppressAutoHyphens w:val="0"/>
              <w:spacing w:before="80" w:after="80" w:line="200" w:lineRule="exact"/>
              <w:ind w:left="0" w:right="0"/>
              <w:jc w:val="left"/>
              <w:rPr>
                <w:i/>
                <w:iCs/>
                <w:sz w:val="16"/>
                <w:szCs w:val="16"/>
                <w:lang w:val="fr-FR"/>
              </w:rPr>
            </w:pPr>
            <w:r w:rsidRPr="008279BF">
              <w:rPr>
                <w:i/>
                <w:iCs/>
                <w:sz w:val="16"/>
                <w:szCs w:val="16"/>
                <w:lang w:val="fr-FR"/>
              </w:rPr>
              <w:t>Âge</w:t>
            </w:r>
          </w:p>
        </w:tc>
        <w:tc>
          <w:tcPr>
            <w:tcW w:w="1560" w:type="dxa"/>
            <w:tcBorders>
              <w:top w:val="single" w:sz="4" w:space="0" w:color="auto"/>
              <w:bottom w:val="single" w:sz="12" w:space="0" w:color="auto"/>
            </w:tcBorders>
            <w:shd w:val="clear" w:color="auto" w:fill="auto"/>
          </w:tcPr>
          <w:p w14:paraId="483D3C63" w14:textId="77777777" w:rsidR="00046F46" w:rsidRPr="008279BF" w:rsidRDefault="00046F46" w:rsidP="008279BF">
            <w:pPr>
              <w:pStyle w:val="SingleTxtG"/>
              <w:tabs>
                <w:tab w:val="clear" w:pos="1701"/>
                <w:tab w:val="clear" w:pos="2268"/>
              </w:tabs>
              <w:suppressAutoHyphens w:val="0"/>
              <w:spacing w:before="40" w:after="40" w:line="220" w:lineRule="exact"/>
              <w:ind w:left="0" w:right="0"/>
              <w:jc w:val="left"/>
              <w:rPr>
                <w:i/>
                <w:iCs/>
                <w:sz w:val="16"/>
                <w:szCs w:val="16"/>
                <w:lang w:val="fr-FR"/>
              </w:rPr>
            </w:pPr>
          </w:p>
        </w:tc>
        <w:tc>
          <w:tcPr>
            <w:tcW w:w="1576" w:type="dxa"/>
            <w:tcBorders>
              <w:top w:val="single" w:sz="4" w:space="0" w:color="auto"/>
              <w:bottom w:val="single" w:sz="12" w:space="0" w:color="auto"/>
            </w:tcBorders>
            <w:shd w:val="clear" w:color="auto" w:fill="auto"/>
          </w:tcPr>
          <w:p w14:paraId="70428BFC" w14:textId="77777777" w:rsidR="00046F46" w:rsidRPr="008279BF" w:rsidRDefault="00046F46" w:rsidP="008279BF">
            <w:pPr>
              <w:pStyle w:val="SingleTxtG"/>
              <w:tabs>
                <w:tab w:val="clear" w:pos="1701"/>
                <w:tab w:val="clear" w:pos="2268"/>
              </w:tabs>
              <w:suppressAutoHyphens w:val="0"/>
              <w:spacing w:before="40" w:after="40" w:line="220" w:lineRule="exact"/>
              <w:ind w:left="0" w:right="0"/>
              <w:jc w:val="left"/>
              <w:rPr>
                <w:i/>
                <w:iCs/>
                <w:sz w:val="16"/>
                <w:szCs w:val="16"/>
                <w:lang w:val="fr-FR"/>
              </w:rPr>
            </w:pPr>
          </w:p>
        </w:tc>
        <w:tc>
          <w:tcPr>
            <w:tcW w:w="1685" w:type="dxa"/>
            <w:tcBorders>
              <w:top w:val="single" w:sz="4" w:space="0" w:color="auto"/>
              <w:bottom w:val="single" w:sz="12" w:space="0" w:color="auto"/>
            </w:tcBorders>
            <w:shd w:val="clear" w:color="auto" w:fill="auto"/>
          </w:tcPr>
          <w:p w14:paraId="44014393" w14:textId="77777777" w:rsidR="00046F46" w:rsidRPr="008279BF" w:rsidRDefault="00046F46" w:rsidP="008279BF">
            <w:pPr>
              <w:pStyle w:val="SingleTxtG"/>
              <w:tabs>
                <w:tab w:val="clear" w:pos="1701"/>
                <w:tab w:val="clear" w:pos="2268"/>
              </w:tabs>
              <w:suppressAutoHyphens w:val="0"/>
              <w:spacing w:before="40" w:after="40" w:line="220" w:lineRule="exact"/>
              <w:ind w:left="0" w:right="0"/>
              <w:jc w:val="left"/>
              <w:rPr>
                <w:i/>
                <w:iCs/>
                <w:sz w:val="16"/>
                <w:szCs w:val="16"/>
                <w:lang w:val="fr-FR"/>
              </w:rPr>
            </w:pPr>
          </w:p>
        </w:tc>
        <w:tc>
          <w:tcPr>
            <w:tcW w:w="1415" w:type="dxa"/>
            <w:tcBorders>
              <w:top w:val="single" w:sz="4" w:space="0" w:color="auto"/>
              <w:bottom w:val="single" w:sz="12" w:space="0" w:color="auto"/>
            </w:tcBorders>
            <w:shd w:val="clear" w:color="auto" w:fill="auto"/>
          </w:tcPr>
          <w:p w14:paraId="7F8A3025" w14:textId="77777777" w:rsidR="00046F46" w:rsidRPr="008279BF" w:rsidRDefault="00046F46" w:rsidP="008279BF">
            <w:pPr>
              <w:pStyle w:val="SingleTxtG"/>
              <w:tabs>
                <w:tab w:val="clear" w:pos="1701"/>
                <w:tab w:val="clear" w:pos="2268"/>
              </w:tabs>
              <w:suppressAutoHyphens w:val="0"/>
              <w:spacing w:before="40" w:after="40" w:line="220" w:lineRule="exact"/>
              <w:ind w:left="0" w:right="0"/>
              <w:jc w:val="left"/>
              <w:rPr>
                <w:i/>
                <w:iCs/>
                <w:sz w:val="16"/>
                <w:szCs w:val="16"/>
                <w:lang w:val="fr-FR"/>
              </w:rPr>
            </w:pPr>
          </w:p>
        </w:tc>
      </w:tr>
      <w:tr w:rsidR="00046F46" w:rsidRPr="00EE4C2A" w14:paraId="717255FA" w14:textId="77777777" w:rsidTr="008279BF">
        <w:tc>
          <w:tcPr>
            <w:tcW w:w="1134" w:type="dxa"/>
            <w:tcBorders>
              <w:top w:val="single" w:sz="12" w:space="0" w:color="auto"/>
            </w:tcBorders>
            <w:shd w:val="clear" w:color="auto" w:fill="auto"/>
          </w:tcPr>
          <w:p w14:paraId="2B6DCF83" w14:textId="35FEE8BD" w:rsidR="00046F46" w:rsidRPr="00EE4C2A" w:rsidRDefault="00046F46" w:rsidP="008279BF">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15</w:t>
            </w:r>
            <w:r w:rsidR="008279BF">
              <w:rPr>
                <w:sz w:val="18"/>
                <w:szCs w:val="18"/>
                <w:lang w:val="fr-FR"/>
              </w:rPr>
              <w:t>-</w:t>
            </w:r>
            <w:r w:rsidRPr="00EE4C2A">
              <w:rPr>
                <w:sz w:val="18"/>
                <w:szCs w:val="18"/>
                <w:lang w:val="fr-FR"/>
              </w:rPr>
              <w:t xml:space="preserve">17 </w:t>
            </w:r>
          </w:p>
        </w:tc>
        <w:tc>
          <w:tcPr>
            <w:tcW w:w="1560" w:type="dxa"/>
            <w:tcBorders>
              <w:top w:val="single" w:sz="12" w:space="0" w:color="auto"/>
            </w:tcBorders>
            <w:shd w:val="clear" w:color="auto" w:fill="auto"/>
          </w:tcPr>
          <w:p w14:paraId="2EBEAEBB"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12,6</w:t>
            </w:r>
          </w:p>
        </w:tc>
        <w:tc>
          <w:tcPr>
            <w:tcW w:w="1576" w:type="dxa"/>
            <w:tcBorders>
              <w:top w:val="single" w:sz="12" w:space="0" w:color="auto"/>
            </w:tcBorders>
            <w:shd w:val="clear" w:color="auto" w:fill="auto"/>
          </w:tcPr>
          <w:p w14:paraId="6442031D"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3,9</w:t>
            </w:r>
          </w:p>
        </w:tc>
        <w:tc>
          <w:tcPr>
            <w:tcW w:w="1685" w:type="dxa"/>
            <w:tcBorders>
              <w:top w:val="single" w:sz="12" w:space="0" w:color="auto"/>
            </w:tcBorders>
            <w:shd w:val="clear" w:color="auto" w:fill="auto"/>
          </w:tcPr>
          <w:p w14:paraId="537E5ECE"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16,6</w:t>
            </w:r>
          </w:p>
        </w:tc>
        <w:tc>
          <w:tcPr>
            <w:tcW w:w="1415" w:type="dxa"/>
            <w:tcBorders>
              <w:top w:val="single" w:sz="12" w:space="0" w:color="auto"/>
            </w:tcBorders>
            <w:shd w:val="clear" w:color="auto" w:fill="auto"/>
          </w:tcPr>
          <w:p w14:paraId="3207D490"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1 735</w:t>
            </w:r>
          </w:p>
        </w:tc>
      </w:tr>
      <w:tr w:rsidR="00046F46" w:rsidRPr="00EE4C2A" w14:paraId="65CA52B7" w14:textId="77777777" w:rsidTr="008279BF">
        <w:tc>
          <w:tcPr>
            <w:tcW w:w="1134" w:type="dxa"/>
            <w:shd w:val="clear" w:color="auto" w:fill="auto"/>
          </w:tcPr>
          <w:p w14:paraId="4A594477"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 xml:space="preserve">15 </w:t>
            </w:r>
          </w:p>
        </w:tc>
        <w:tc>
          <w:tcPr>
            <w:tcW w:w="1560" w:type="dxa"/>
            <w:shd w:val="clear" w:color="auto" w:fill="auto"/>
          </w:tcPr>
          <w:p w14:paraId="5DA471C1"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4,0</w:t>
            </w:r>
          </w:p>
        </w:tc>
        <w:tc>
          <w:tcPr>
            <w:tcW w:w="1576" w:type="dxa"/>
            <w:shd w:val="clear" w:color="auto" w:fill="auto"/>
          </w:tcPr>
          <w:p w14:paraId="08ACE1DE"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2,3</w:t>
            </w:r>
          </w:p>
        </w:tc>
        <w:tc>
          <w:tcPr>
            <w:tcW w:w="1685" w:type="dxa"/>
            <w:shd w:val="clear" w:color="auto" w:fill="auto"/>
          </w:tcPr>
          <w:p w14:paraId="6B61B293"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6,4</w:t>
            </w:r>
          </w:p>
        </w:tc>
        <w:tc>
          <w:tcPr>
            <w:tcW w:w="1415" w:type="dxa"/>
            <w:shd w:val="clear" w:color="auto" w:fill="auto"/>
          </w:tcPr>
          <w:p w14:paraId="1E0CA2B2"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653</w:t>
            </w:r>
          </w:p>
        </w:tc>
      </w:tr>
      <w:tr w:rsidR="00046F46" w:rsidRPr="00EE4C2A" w14:paraId="031A286D" w14:textId="77777777" w:rsidTr="008279BF">
        <w:tc>
          <w:tcPr>
            <w:tcW w:w="1134" w:type="dxa"/>
            <w:shd w:val="clear" w:color="auto" w:fill="auto"/>
          </w:tcPr>
          <w:p w14:paraId="1DD41E55"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 xml:space="preserve">16 </w:t>
            </w:r>
          </w:p>
        </w:tc>
        <w:tc>
          <w:tcPr>
            <w:tcW w:w="1560" w:type="dxa"/>
            <w:shd w:val="clear" w:color="auto" w:fill="auto"/>
          </w:tcPr>
          <w:p w14:paraId="6D9C7346"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12,6</w:t>
            </w:r>
          </w:p>
        </w:tc>
        <w:tc>
          <w:tcPr>
            <w:tcW w:w="1576" w:type="dxa"/>
            <w:shd w:val="clear" w:color="auto" w:fill="auto"/>
          </w:tcPr>
          <w:p w14:paraId="25FF40D0"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2,6</w:t>
            </w:r>
          </w:p>
        </w:tc>
        <w:tc>
          <w:tcPr>
            <w:tcW w:w="1685" w:type="dxa"/>
            <w:shd w:val="clear" w:color="auto" w:fill="auto"/>
          </w:tcPr>
          <w:p w14:paraId="4C66331E"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15,1</w:t>
            </w:r>
          </w:p>
        </w:tc>
        <w:tc>
          <w:tcPr>
            <w:tcW w:w="1415" w:type="dxa"/>
            <w:shd w:val="clear" w:color="auto" w:fill="auto"/>
          </w:tcPr>
          <w:p w14:paraId="07C3F1A6"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530</w:t>
            </w:r>
          </w:p>
        </w:tc>
      </w:tr>
      <w:tr w:rsidR="00046F46" w:rsidRPr="00EE4C2A" w14:paraId="1AB379C9" w14:textId="77777777" w:rsidTr="008279BF">
        <w:tc>
          <w:tcPr>
            <w:tcW w:w="1134" w:type="dxa"/>
            <w:shd w:val="clear" w:color="auto" w:fill="auto"/>
          </w:tcPr>
          <w:p w14:paraId="1D8D9D24"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 xml:space="preserve">17 </w:t>
            </w:r>
          </w:p>
        </w:tc>
        <w:tc>
          <w:tcPr>
            <w:tcW w:w="1560" w:type="dxa"/>
            <w:shd w:val="clear" w:color="auto" w:fill="auto"/>
          </w:tcPr>
          <w:p w14:paraId="5CD222C1"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22,8</w:t>
            </w:r>
          </w:p>
        </w:tc>
        <w:tc>
          <w:tcPr>
            <w:tcW w:w="1576" w:type="dxa"/>
            <w:shd w:val="clear" w:color="auto" w:fill="auto"/>
          </w:tcPr>
          <w:p w14:paraId="048C2B32"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7,2</w:t>
            </w:r>
          </w:p>
        </w:tc>
        <w:tc>
          <w:tcPr>
            <w:tcW w:w="1685" w:type="dxa"/>
            <w:shd w:val="clear" w:color="auto" w:fill="auto"/>
          </w:tcPr>
          <w:p w14:paraId="1061D1EB"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30,0</w:t>
            </w:r>
          </w:p>
        </w:tc>
        <w:tc>
          <w:tcPr>
            <w:tcW w:w="1415" w:type="dxa"/>
            <w:shd w:val="clear" w:color="auto" w:fill="auto"/>
          </w:tcPr>
          <w:p w14:paraId="13BED30E"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552</w:t>
            </w:r>
          </w:p>
        </w:tc>
      </w:tr>
      <w:tr w:rsidR="00046F46" w:rsidRPr="00EE4C2A" w14:paraId="46C89E21" w14:textId="77777777" w:rsidTr="008279BF">
        <w:tc>
          <w:tcPr>
            <w:tcW w:w="1134" w:type="dxa"/>
            <w:shd w:val="clear" w:color="auto" w:fill="auto"/>
          </w:tcPr>
          <w:p w14:paraId="7253C23F"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 xml:space="preserve">18 </w:t>
            </w:r>
          </w:p>
        </w:tc>
        <w:tc>
          <w:tcPr>
            <w:tcW w:w="1560" w:type="dxa"/>
            <w:shd w:val="clear" w:color="auto" w:fill="auto"/>
          </w:tcPr>
          <w:p w14:paraId="124FEDDD"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35,2</w:t>
            </w:r>
          </w:p>
        </w:tc>
        <w:tc>
          <w:tcPr>
            <w:tcW w:w="1576" w:type="dxa"/>
            <w:shd w:val="clear" w:color="auto" w:fill="auto"/>
          </w:tcPr>
          <w:p w14:paraId="1F64FE3F"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6,7</w:t>
            </w:r>
          </w:p>
        </w:tc>
        <w:tc>
          <w:tcPr>
            <w:tcW w:w="1685" w:type="dxa"/>
            <w:shd w:val="clear" w:color="auto" w:fill="auto"/>
          </w:tcPr>
          <w:p w14:paraId="007A6AE4"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41,9</w:t>
            </w:r>
          </w:p>
        </w:tc>
        <w:tc>
          <w:tcPr>
            <w:tcW w:w="1415" w:type="dxa"/>
            <w:shd w:val="clear" w:color="auto" w:fill="auto"/>
          </w:tcPr>
          <w:p w14:paraId="7363628D"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722</w:t>
            </w:r>
          </w:p>
        </w:tc>
      </w:tr>
      <w:tr w:rsidR="00046F46" w:rsidRPr="00EE4C2A" w14:paraId="7A2F68D4" w14:textId="77777777" w:rsidTr="008279BF">
        <w:tc>
          <w:tcPr>
            <w:tcW w:w="1134" w:type="dxa"/>
            <w:tcBorders>
              <w:bottom w:val="single" w:sz="4" w:space="0" w:color="auto"/>
            </w:tcBorders>
            <w:shd w:val="clear" w:color="auto" w:fill="auto"/>
          </w:tcPr>
          <w:p w14:paraId="19673461"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left"/>
              <w:rPr>
                <w:sz w:val="18"/>
                <w:szCs w:val="18"/>
                <w:lang w:val="fr-FR"/>
              </w:rPr>
            </w:pPr>
            <w:r w:rsidRPr="00EE4C2A">
              <w:rPr>
                <w:sz w:val="18"/>
                <w:szCs w:val="18"/>
                <w:lang w:val="fr-FR"/>
              </w:rPr>
              <w:t xml:space="preserve">19 </w:t>
            </w:r>
          </w:p>
        </w:tc>
        <w:tc>
          <w:tcPr>
            <w:tcW w:w="1560" w:type="dxa"/>
            <w:tcBorders>
              <w:bottom w:val="single" w:sz="4" w:space="0" w:color="auto"/>
            </w:tcBorders>
            <w:shd w:val="clear" w:color="auto" w:fill="auto"/>
          </w:tcPr>
          <w:p w14:paraId="27511F4B"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46,2</w:t>
            </w:r>
          </w:p>
        </w:tc>
        <w:tc>
          <w:tcPr>
            <w:tcW w:w="1576" w:type="dxa"/>
            <w:tcBorders>
              <w:bottom w:val="single" w:sz="4" w:space="0" w:color="auto"/>
            </w:tcBorders>
            <w:shd w:val="clear" w:color="auto" w:fill="auto"/>
          </w:tcPr>
          <w:p w14:paraId="6E2A409B"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6,6</w:t>
            </w:r>
          </w:p>
        </w:tc>
        <w:tc>
          <w:tcPr>
            <w:tcW w:w="1685" w:type="dxa"/>
            <w:tcBorders>
              <w:bottom w:val="single" w:sz="4" w:space="0" w:color="auto"/>
            </w:tcBorders>
            <w:shd w:val="clear" w:color="auto" w:fill="auto"/>
          </w:tcPr>
          <w:p w14:paraId="65FD7BA2"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52,9</w:t>
            </w:r>
          </w:p>
        </w:tc>
        <w:tc>
          <w:tcPr>
            <w:tcW w:w="1415" w:type="dxa"/>
            <w:tcBorders>
              <w:bottom w:val="single" w:sz="4" w:space="0" w:color="auto"/>
            </w:tcBorders>
            <w:shd w:val="clear" w:color="auto" w:fill="auto"/>
          </w:tcPr>
          <w:p w14:paraId="487CE379" w14:textId="77777777" w:rsidR="00046F46" w:rsidRPr="00EE4C2A" w:rsidRDefault="00046F46" w:rsidP="008279BF">
            <w:pPr>
              <w:pStyle w:val="SingleTxtG"/>
              <w:tabs>
                <w:tab w:val="clear" w:pos="1701"/>
                <w:tab w:val="clear" w:pos="2268"/>
              </w:tabs>
              <w:suppressAutoHyphens w:val="0"/>
              <w:spacing w:before="40" w:after="40" w:line="220" w:lineRule="exact"/>
              <w:ind w:left="0" w:right="0"/>
              <w:jc w:val="right"/>
              <w:rPr>
                <w:sz w:val="18"/>
                <w:szCs w:val="18"/>
                <w:lang w:val="fr-FR"/>
              </w:rPr>
            </w:pPr>
            <w:r w:rsidRPr="00EE4C2A">
              <w:rPr>
                <w:sz w:val="18"/>
                <w:szCs w:val="18"/>
                <w:lang w:val="fr-FR"/>
              </w:rPr>
              <w:t>543</w:t>
            </w:r>
          </w:p>
        </w:tc>
      </w:tr>
      <w:tr w:rsidR="00046F46" w:rsidRPr="008279BF" w14:paraId="709000FE" w14:textId="77777777" w:rsidTr="008279BF">
        <w:tc>
          <w:tcPr>
            <w:tcW w:w="1134" w:type="dxa"/>
            <w:tcBorders>
              <w:top w:val="single" w:sz="4" w:space="0" w:color="auto"/>
              <w:bottom w:val="single" w:sz="12" w:space="0" w:color="auto"/>
            </w:tcBorders>
            <w:shd w:val="clear" w:color="auto" w:fill="auto"/>
          </w:tcPr>
          <w:p w14:paraId="07D57EFC" w14:textId="77777777" w:rsidR="00046F46" w:rsidRPr="008279BF" w:rsidRDefault="00046F46" w:rsidP="008279BF">
            <w:pPr>
              <w:pStyle w:val="SingleTxtG"/>
              <w:tabs>
                <w:tab w:val="clear" w:pos="1701"/>
                <w:tab w:val="clear" w:pos="2268"/>
              </w:tabs>
              <w:suppressAutoHyphens w:val="0"/>
              <w:spacing w:before="80" w:after="80" w:line="220" w:lineRule="exact"/>
              <w:ind w:left="283" w:right="0"/>
              <w:jc w:val="left"/>
              <w:rPr>
                <w:b/>
                <w:sz w:val="18"/>
                <w:szCs w:val="18"/>
                <w:lang w:val="fr-FR"/>
              </w:rPr>
            </w:pPr>
            <w:r w:rsidRPr="008279BF">
              <w:rPr>
                <w:b/>
                <w:sz w:val="18"/>
                <w:szCs w:val="18"/>
                <w:lang w:val="fr-FR"/>
              </w:rPr>
              <w:t>Total</w:t>
            </w:r>
          </w:p>
        </w:tc>
        <w:tc>
          <w:tcPr>
            <w:tcW w:w="1560" w:type="dxa"/>
            <w:tcBorders>
              <w:top w:val="single" w:sz="4" w:space="0" w:color="auto"/>
              <w:bottom w:val="single" w:sz="12" w:space="0" w:color="auto"/>
            </w:tcBorders>
            <w:shd w:val="clear" w:color="auto" w:fill="auto"/>
          </w:tcPr>
          <w:p w14:paraId="247547AA" w14:textId="77777777" w:rsidR="00046F46" w:rsidRPr="008279BF" w:rsidRDefault="00046F46" w:rsidP="008279BF">
            <w:pPr>
              <w:pStyle w:val="SingleTxtG"/>
              <w:tabs>
                <w:tab w:val="clear" w:pos="1701"/>
                <w:tab w:val="clear" w:pos="2268"/>
              </w:tabs>
              <w:suppressAutoHyphens w:val="0"/>
              <w:spacing w:before="80" w:after="80" w:line="220" w:lineRule="exact"/>
              <w:ind w:left="0" w:right="0"/>
              <w:jc w:val="right"/>
              <w:rPr>
                <w:b/>
                <w:sz w:val="18"/>
                <w:szCs w:val="18"/>
                <w:lang w:val="fr-FR"/>
              </w:rPr>
            </w:pPr>
            <w:r w:rsidRPr="008279BF">
              <w:rPr>
                <w:b/>
                <w:sz w:val="18"/>
                <w:szCs w:val="18"/>
                <w:lang w:val="fr-FR"/>
              </w:rPr>
              <w:t>24,1</w:t>
            </w:r>
          </w:p>
        </w:tc>
        <w:tc>
          <w:tcPr>
            <w:tcW w:w="1576" w:type="dxa"/>
            <w:tcBorders>
              <w:top w:val="single" w:sz="4" w:space="0" w:color="auto"/>
              <w:bottom w:val="single" w:sz="12" w:space="0" w:color="auto"/>
            </w:tcBorders>
            <w:shd w:val="clear" w:color="auto" w:fill="auto"/>
          </w:tcPr>
          <w:p w14:paraId="424B0E7D" w14:textId="77777777" w:rsidR="00046F46" w:rsidRPr="008279BF" w:rsidRDefault="00046F46" w:rsidP="008279BF">
            <w:pPr>
              <w:pStyle w:val="SingleTxtG"/>
              <w:tabs>
                <w:tab w:val="clear" w:pos="1701"/>
                <w:tab w:val="clear" w:pos="2268"/>
              </w:tabs>
              <w:suppressAutoHyphens w:val="0"/>
              <w:spacing w:before="80" w:after="80" w:line="220" w:lineRule="exact"/>
              <w:ind w:left="0" w:right="0"/>
              <w:jc w:val="right"/>
              <w:rPr>
                <w:b/>
                <w:sz w:val="18"/>
                <w:szCs w:val="18"/>
                <w:lang w:val="fr-FR"/>
              </w:rPr>
            </w:pPr>
            <w:r w:rsidRPr="008279BF">
              <w:rPr>
                <w:b/>
                <w:sz w:val="18"/>
                <w:szCs w:val="18"/>
                <w:lang w:val="fr-FR"/>
              </w:rPr>
              <w:t>5,1</w:t>
            </w:r>
          </w:p>
        </w:tc>
        <w:tc>
          <w:tcPr>
            <w:tcW w:w="1685" w:type="dxa"/>
            <w:tcBorders>
              <w:top w:val="single" w:sz="4" w:space="0" w:color="auto"/>
              <w:bottom w:val="single" w:sz="12" w:space="0" w:color="auto"/>
            </w:tcBorders>
            <w:shd w:val="clear" w:color="auto" w:fill="auto"/>
          </w:tcPr>
          <w:p w14:paraId="5477A10F" w14:textId="77777777" w:rsidR="00046F46" w:rsidRPr="008279BF" w:rsidRDefault="00046F46" w:rsidP="008279BF">
            <w:pPr>
              <w:pStyle w:val="SingleTxtG"/>
              <w:tabs>
                <w:tab w:val="clear" w:pos="1701"/>
                <w:tab w:val="clear" w:pos="2268"/>
              </w:tabs>
              <w:suppressAutoHyphens w:val="0"/>
              <w:spacing w:before="80" w:after="80" w:line="220" w:lineRule="exact"/>
              <w:ind w:left="0" w:right="0"/>
              <w:jc w:val="right"/>
              <w:rPr>
                <w:b/>
                <w:sz w:val="18"/>
                <w:szCs w:val="18"/>
                <w:lang w:val="fr-FR"/>
              </w:rPr>
            </w:pPr>
            <w:r w:rsidRPr="008279BF">
              <w:rPr>
                <w:b/>
                <w:sz w:val="18"/>
                <w:szCs w:val="18"/>
                <w:lang w:val="fr-FR"/>
              </w:rPr>
              <w:t>29,2</w:t>
            </w:r>
          </w:p>
        </w:tc>
        <w:tc>
          <w:tcPr>
            <w:tcW w:w="1415" w:type="dxa"/>
            <w:tcBorders>
              <w:top w:val="single" w:sz="4" w:space="0" w:color="auto"/>
              <w:bottom w:val="single" w:sz="12" w:space="0" w:color="auto"/>
            </w:tcBorders>
            <w:shd w:val="clear" w:color="auto" w:fill="auto"/>
          </w:tcPr>
          <w:p w14:paraId="0C6A9983" w14:textId="77777777" w:rsidR="00046F46" w:rsidRPr="008279BF" w:rsidRDefault="00046F46" w:rsidP="008279BF">
            <w:pPr>
              <w:pStyle w:val="SingleTxtG"/>
              <w:tabs>
                <w:tab w:val="clear" w:pos="1701"/>
                <w:tab w:val="clear" w:pos="2268"/>
              </w:tabs>
              <w:suppressAutoHyphens w:val="0"/>
              <w:spacing w:before="80" w:after="80" w:line="220" w:lineRule="exact"/>
              <w:ind w:left="0" w:right="0"/>
              <w:jc w:val="right"/>
              <w:rPr>
                <w:b/>
                <w:sz w:val="18"/>
                <w:szCs w:val="18"/>
                <w:lang w:val="fr-FR"/>
              </w:rPr>
            </w:pPr>
            <w:r w:rsidRPr="008279BF">
              <w:rPr>
                <w:b/>
                <w:sz w:val="18"/>
                <w:szCs w:val="18"/>
                <w:lang w:val="fr-FR"/>
              </w:rPr>
              <w:t>3 000</w:t>
            </w:r>
          </w:p>
        </w:tc>
      </w:tr>
    </w:tbl>
    <w:p w14:paraId="5F82F846"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44 b) de la liste de points établie </w:t>
      </w:r>
      <w:r>
        <w:rPr>
          <w:bCs/>
          <w:lang w:val="fr-FR"/>
        </w:rPr>
        <w:t>avant la soumission du rapport</w:t>
      </w:r>
    </w:p>
    <w:p w14:paraId="3E7B73C4" w14:textId="3B083F7C" w:rsidR="00046F46" w:rsidRPr="00EE4C2A" w:rsidRDefault="00046F46" w:rsidP="00046F46">
      <w:pPr>
        <w:pStyle w:val="SingleTxtG"/>
        <w:rPr>
          <w:szCs w:val="22"/>
          <w:lang w:val="fr-FR"/>
        </w:rPr>
      </w:pPr>
      <w:r w:rsidRPr="00EE4C2A">
        <w:rPr>
          <w:lang w:val="fr-FR"/>
        </w:rPr>
        <w:t>208.</w:t>
      </w:r>
      <w:r w:rsidRPr="00EE4C2A">
        <w:rPr>
          <w:lang w:val="fr-FR"/>
        </w:rPr>
        <w:tab/>
        <w:t>En 2020, 134 enfants présentaient des problèmes de consommation de drogues, d</w:t>
      </w:r>
      <w:r w:rsidR="008279BF">
        <w:rPr>
          <w:lang w:val="fr-FR"/>
        </w:rPr>
        <w:t>’</w:t>
      </w:r>
      <w:r w:rsidRPr="00EE4C2A">
        <w:rPr>
          <w:lang w:val="fr-FR"/>
        </w:rPr>
        <w:t>alcool ou de tabac.</w:t>
      </w:r>
    </w:p>
    <w:p w14:paraId="2114F3FB" w14:textId="77777777" w:rsidR="00046F46" w:rsidRPr="00EE4C2A" w:rsidRDefault="00046F46" w:rsidP="00046F46">
      <w:pPr>
        <w:pStyle w:val="H23G"/>
        <w:spacing w:line="220" w:lineRule="atLeast"/>
        <w:rPr>
          <w:lang w:val="fr-FR"/>
        </w:rPr>
      </w:pPr>
      <w:r w:rsidRPr="00EE4C2A">
        <w:rPr>
          <w:lang w:val="fr-FR"/>
        </w:rPr>
        <w:tab/>
      </w:r>
      <w:r w:rsidRPr="00EE4C2A">
        <w:rPr>
          <w:lang w:val="fr-FR"/>
        </w:rPr>
        <w:tab/>
      </w:r>
      <w:r w:rsidRPr="00EE4C2A">
        <w:rPr>
          <w:bCs/>
          <w:lang w:val="fr-FR"/>
        </w:rPr>
        <w:t xml:space="preserve">Réponse concernant les points soulevés au paragraphe 44 c) de la liste de points établie </w:t>
      </w:r>
      <w:r>
        <w:rPr>
          <w:bCs/>
          <w:lang w:val="fr-FR"/>
        </w:rPr>
        <w:t>avant la soumission du rapport</w:t>
      </w:r>
    </w:p>
    <w:p w14:paraId="3BE0AC7D" w14:textId="20F730E0" w:rsidR="00046F46" w:rsidRPr="00EE4C2A" w:rsidRDefault="00046F46" w:rsidP="00046F46">
      <w:pPr>
        <w:pStyle w:val="SingleTxtG"/>
        <w:spacing w:line="220" w:lineRule="atLeast"/>
        <w:rPr>
          <w:szCs w:val="22"/>
          <w:lang w:val="fr-FR"/>
        </w:rPr>
      </w:pPr>
      <w:r w:rsidRPr="00EE4C2A">
        <w:rPr>
          <w:lang w:val="fr-FR"/>
        </w:rPr>
        <w:t>209.</w:t>
      </w:r>
      <w:r w:rsidRPr="00EE4C2A">
        <w:rPr>
          <w:lang w:val="fr-FR"/>
        </w:rPr>
        <w:tab/>
        <w:t xml:space="preserve">Les adolescents peuvent bénéficier de 13 services de santé sexuelle et </w:t>
      </w:r>
      <w:r>
        <w:rPr>
          <w:lang w:val="fr-FR"/>
        </w:rPr>
        <w:t>procréative</w:t>
      </w:r>
      <w:r w:rsidRPr="00EE4C2A">
        <w:rPr>
          <w:lang w:val="fr-FR"/>
        </w:rPr>
        <w:t xml:space="preserve"> dans les domaines suivants : services prénatals, d</w:t>
      </w:r>
      <w:r w:rsidR="008279BF">
        <w:rPr>
          <w:lang w:val="fr-FR"/>
        </w:rPr>
        <w:t>’</w:t>
      </w:r>
      <w:r w:rsidRPr="00EE4C2A">
        <w:rPr>
          <w:lang w:val="fr-FR"/>
        </w:rPr>
        <w:t>accouchement et postnatals, soins obstétricaux d</w:t>
      </w:r>
      <w:r w:rsidR="008279BF">
        <w:rPr>
          <w:lang w:val="fr-FR"/>
        </w:rPr>
        <w:t>’</w:t>
      </w:r>
      <w:r w:rsidRPr="00EE4C2A">
        <w:rPr>
          <w:lang w:val="fr-FR"/>
        </w:rPr>
        <w:t>urgence et aux nouveau-nés, planification familiale, dépistage et consultations en matière de VIH, prévention de la transmission mère-enfant, dépistage des infections sexuellement transmissibles, consultations en matière de puberté, distribution de préservatifs adaptée aux jeunes, circoncision masculine médicale et services de traitement de l</w:t>
      </w:r>
      <w:r w:rsidR="008279BF">
        <w:rPr>
          <w:lang w:val="fr-FR"/>
        </w:rPr>
        <w:t>’</w:t>
      </w:r>
      <w:r w:rsidRPr="00EE4C2A">
        <w:rPr>
          <w:lang w:val="fr-FR"/>
        </w:rPr>
        <w:t>abus de stupéfiants et d</w:t>
      </w:r>
      <w:r w:rsidR="008279BF">
        <w:rPr>
          <w:lang w:val="fr-FR"/>
        </w:rPr>
        <w:t>’</w:t>
      </w:r>
      <w:r w:rsidRPr="00EE4C2A">
        <w:rPr>
          <w:lang w:val="fr-FR"/>
        </w:rPr>
        <w:t>alcool.</w:t>
      </w:r>
    </w:p>
    <w:p w14:paraId="35461C1D" w14:textId="77777777" w:rsidR="00046F46" w:rsidRPr="00EE4C2A" w:rsidRDefault="00046F46" w:rsidP="00046F46">
      <w:pPr>
        <w:pStyle w:val="H23G"/>
        <w:spacing w:line="220" w:lineRule="atLeast"/>
        <w:rPr>
          <w:lang w:val="fr-FR"/>
        </w:rPr>
      </w:pPr>
      <w:r w:rsidRPr="00EE4C2A">
        <w:rPr>
          <w:lang w:val="fr-FR"/>
        </w:rPr>
        <w:tab/>
      </w:r>
      <w:r w:rsidRPr="00EE4C2A">
        <w:rPr>
          <w:lang w:val="fr-FR"/>
        </w:rPr>
        <w:tab/>
      </w:r>
      <w:r w:rsidRPr="00EE4C2A">
        <w:rPr>
          <w:bCs/>
          <w:lang w:val="fr-FR"/>
        </w:rPr>
        <w:t xml:space="preserve">Réponse concernant les points soulevés au paragraphe 45 de la liste de points établie </w:t>
      </w:r>
      <w:r>
        <w:rPr>
          <w:bCs/>
          <w:lang w:val="fr-FR"/>
        </w:rPr>
        <w:t>avant la soumission du rapport</w:t>
      </w:r>
    </w:p>
    <w:p w14:paraId="5DB1632B" w14:textId="78B01231" w:rsidR="00046F46" w:rsidRPr="00EE4C2A" w:rsidRDefault="00046F46" w:rsidP="00046F46">
      <w:pPr>
        <w:pStyle w:val="SingleTxtG"/>
        <w:spacing w:line="220" w:lineRule="atLeast"/>
        <w:rPr>
          <w:szCs w:val="22"/>
          <w:lang w:val="fr-FR"/>
        </w:rPr>
      </w:pPr>
      <w:r w:rsidRPr="00EE4C2A">
        <w:rPr>
          <w:lang w:val="fr-FR"/>
        </w:rPr>
        <w:t>210.</w:t>
      </w:r>
      <w:r w:rsidRPr="00EE4C2A">
        <w:rPr>
          <w:lang w:val="fr-FR"/>
        </w:rPr>
        <w:tab/>
        <w:t>L</w:t>
      </w:r>
      <w:r w:rsidR="008279BF">
        <w:rPr>
          <w:lang w:val="fr-FR"/>
        </w:rPr>
        <w:t>’</w:t>
      </w:r>
      <w:r w:rsidRPr="00EE4C2A">
        <w:rPr>
          <w:lang w:val="fr-FR"/>
        </w:rPr>
        <w:t>État partie souhaite rapporter que 60 % de la population vit en dessous du seuil de pauvreté et que 42 % est considérée comme étant extrêmement pauvre. Les ménages dirigés par des femmes enregistrent les taux de pauvreté les plus élevés, l</w:t>
      </w:r>
      <w:r w:rsidR="008279BF">
        <w:rPr>
          <w:lang w:val="fr-FR"/>
        </w:rPr>
        <w:t>’</w:t>
      </w:r>
      <w:r w:rsidRPr="00EE4C2A">
        <w:rPr>
          <w:lang w:val="fr-FR"/>
        </w:rPr>
        <w:t>extrême pauvreté s</w:t>
      </w:r>
      <w:r w:rsidR="008279BF">
        <w:rPr>
          <w:lang w:val="fr-FR"/>
        </w:rPr>
        <w:t>’</w:t>
      </w:r>
      <w:r w:rsidRPr="00EE4C2A">
        <w:rPr>
          <w:lang w:val="fr-FR"/>
        </w:rPr>
        <w:t>élevant à plus de 60 % en zones rurales et à 15 % en zones urbaines.</w:t>
      </w:r>
    </w:p>
    <w:p w14:paraId="79365244" w14:textId="77777777" w:rsidR="00046F46" w:rsidRPr="00EE4C2A" w:rsidRDefault="00046F46" w:rsidP="00046F46">
      <w:pPr>
        <w:pStyle w:val="H1G"/>
        <w:spacing w:line="220" w:lineRule="atLeast"/>
        <w:rPr>
          <w:lang w:val="fr-FR"/>
        </w:rPr>
      </w:pPr>
      <w:bookmarkStart w:id="54" w:name="_Toc63938006"/>
      <w:r w:rsidRPr="00EE4C2A">
        <w:rPr>
          <w:bCs/>
          <w:lang w:val="fr-FR"/>
        </w:rPr>
        <w:tab/>
        <w:t>I.</w:t>
      </w:r>
      <w:r w:rsidRPr="00EE4C2A">
        <w:rPr>
          <w:lang w:val="fr-FR"/>
        </w:rPr>
        <w:tab/>
      </w:r>
      <w:r w:rsidRPr="00EE4C2A">
        <w:rPr>
          <w:bCs/>
          <w:lang w:val="fr-FR"/>
        </w:rPr>
        <w:t>Éducation, loisirs et activités culturelles (art. 28 à 31)</w:t>
      </w:r>
      <w:bookmarkEnd w:id="54"/>
    </w:p>
    <w:p w14:paraId="33FEFF41" w14:textId="77777777" w:rsidR="00046F46" w:rsidRPr="00EE4C2A" w:rsidRDefault="00046F46" w:rsidP="00046F46">
      <w:pPr>
        <w:pStyle w:val="H23G"/>
        <w:spacing w:line="220" w:lineRule="atLeast"/>
        <w:rPr>
          <w:lang w:val="fr-FR"/>
        </w:rPr>
      </w:pPr>
      <w:r w:rsidRPr="00EE4C2A">
        <w:rPr>
          <w:lang w:val="fr-FR"/>
        </w:rPr>
        <w:tab/>
      </w:r>
      <w:r w:rsidRPr="00EE4C2A">
        <w:rPr>
          <w:lang w:val="fr-FR"/>
        </w:rPr>
        <w:tab/>
      </w:r>
      <w:r w:rsidRPr="00EE4C2A">
        <w:rPr>
          <w:bCs/>
          <w:lang w:val="fr-FR"/>
        </w:rPr>
        <w:t xml:space="preserve">Réponse concernant les points soulevés au paragraphe 46 a) de la liste de points établie </w:t>
      </w:r>
      <w:r>
        <w:rPr>
          <w:bCs/>
          <w:lang w:val="fr-FR"/>
        </w:rPr>
        <w:t>avant la soumission du rapport</w:t>
      </w:r>
    </w:p>
    <w:p w14:paraId="58932087" w14:textId="640D3B91" w:rsidR="00046F46" w:rsidRPr="00EE4C2A" w:rsidRDefault="00046F46" w:rsidP="00046F46">
      <w:pPr>
        <w:pStyle w:val="SingleTxtG"/>
        <w:spacing w:line="220" w:lineRule="atLeast"/>
        <w:rPr>
          <w:szCs w:val="22"/>
          <w:lang w:val="fr-FR"/>
        </w:rPr>
      </w:pPr>
      <w:r w:rsidRPr="00EE4C2A">
        <w:rPr>
          <w:lang w:val="fr-FR"/>
        </w:rPr>
        <w:t>211.</w:t>
      </w:r>
      <w:r w:rsidRPr="00EE4C2A">
        <w:rPr>
          <w:lang w:val="fr-FR"/>
        </w:rPr>
        <w:tab/>
        <w:t>Les taux d</w:t>
      </w:r>
      <w:r w:rsidR="008279BF">
        <w:rPr>
          <w:lang w:val="fr-FR"/>
        </w:rPr>
        <w:t>’</w:t>
      </w:r>
      <w:r w:rsidRPr="00EE4C2A">
        <w:rPr>
          <w:lang w:val="fr-FR"/>
        </w:rPr>
        <w:t>abandon scolaire ont augmenté ces trois dernières années. Au niveau primaire, ce taux est passé de 1,5 % en 2016 à 1,7 % en 2019. Au niveau secondaire, il est resté stable : 1,2 % entre 2016 et 2019. En 2015, ce nombre avait fortement augmenté et concernait</w:t>
      </w:r>
      <w:r w:rsidR="00E11540">
        <w:rPr>
          <w:lang w:val="fr-FR"/>
        </w:rPr>
        <w:t xml:space="preserve"> </w:t>
      </w:r>
      <w:r w:rsidRPr="00EE4C2A">
        <w:rPr>
          <w:lang w:val="fr-FR"/>
        </w:rPr>
        <w:t>249 416 enfants. Il a toutefois diminué entre 2016 et 2018. Depuis 2012, le nombre de garçons non scolarisés dépasse le nombre de filles. En 2018, les enfants non scolarisés représentaient environ 5,3 % des effectifs de l</w:t>
      </w:r>
      <w:r w:rsidR="008279BF">
        <w:rPr>
          <w:lang w:val="fr-FR"/>
        </w:rPr>
        <w:t>’</w:t>
      </w:r>
      <w:r w:rsidRPr="00EE4C2A">
        <w:rPr>
          <w:lang w:val="fr-FR"/>
        </w:rPr>
        <w:t>enseignement primaire.</w:t>
      </w:r>
    </w:p>
    <w:p w14:paraId="1F53B290" w14:textId="38565932" w:rsidR="00046F46" w:rsidRPr="00EE4C2A" w:rsidRDefault="00046F46" w:rsidP="00046F46">
      <w:pPr>
        <w:pStyle w:val="SingleTxtG"/>
        <w:spacing w:after="240" w:line="220" w:lineRule="atLeast"/>
        <w:rPr>
          <w:szCs w:val="22"/>
          <w:lang w:val="fr-FR"/>
        </w:rPr>
      </w:pPr>
      <w:r w:rsidRPr="00EE4C2A">
        <w:rPr>
          <w:lang w:val="fr-FR"/>
        </w:rPr>
        <w:lastRenderedPageBreak/>
        <w:t>212.</w:t>
      </w:r>
      <w:r w:rsidRPr="00EE4C2A">
        <w:rPr>
          <w:lang w:val="fr-FR"/>
        </w:rPr>
        <w:tab/>
        <w:t>L</w:t>
      </w:r>
      <w:r w:rsidR="008279BF">
        <w:rPr>
          <w:lang w:val="fr-FR"/>
        </w:rPr>
        <w:t>’</w:t>
      </w:r>
      <w:r w:rsidRPr="00EE4C2A">
        <w:rPr>
          <w:lang w:val="fr-FR"/>
        </w:rPr>
        <w:t>État partie a élaboré une Stratégie en faveur des enfants non scolarisés, afin de guider ces jeunes dans l</w:t>
      </w:r>
      <w:r w:rsidR="008279BF">
        <w:rPr>
          <w:lang w:val="fr-FR"/>
        </w:rPr>
        <w:t>’</w:t>
      </w:r>
      <w:r w:rsidRPr="00EE4C2A">
        <w:rPr>
          <w:lang w:val="fr-FR"/>
        </w:rPr>
        <w:t>accès aux services d</w:t>
      </w:r>
      <w:r w:rsidR="008279BF">
        <w:rPr>
          <w:lang w:val="fr-FR"/>
        </w:rPr>
        <w:t>’</w:t>
      </w:r>
      <w:r w:rsidRPr="00EE4C2A">
        <w:rPr>
          <w:lang w:val="fr-FR"/>
        </w:rPr>
        <w:t>éducation. La stratégie a été approuvée, imprimée et diffusée dans certaines régions du pays.</w:t>
      </w:r>
    </w:p>
    <w:p w14:paraId="68F5F7C8" w14:textId="77777777" w:rsidR="00046F46" w:rsidRPr="00EE4C2A" w:rsidRDefault="00046F46" w:rsidP="00046F46">
      <w:pPr>
        <w:pStyle w:val="SingleTxtG"/>
        <w:rPr>
          <w:rFonts w:ascii="Bookman Old Style" w:eastAsia="Calibri" w:hAnsi="Bookman Old Style"/>
          <w:i/>
          <w:sz w:val="24"/>
          <w:szCs w:val="24"/>
          <w:lang w:val="fr-FR"/>
        </w:rPr>
      </w:pPr>
      <w:r w:rsidRPr="00EE4C2A">
        <w:rPr>
          <w:rFonts w:ascii="Bookman Old Style" w:eastAsia="Calibri" w:hAnsi="Bookman Old Style"/>
          <w:noProof/>
          <w:sz w:val="22"/>
          <w:szCs w:val="22"/>
          <w:lang w:val="fr-FR" w:eastAsia="fr-FR"/>
        </w:rPr>
        <w:drawing>
          <wp:inline distT="0" distB="0" distL="0" distR="0" wp14:anchorId="039398B9" wp14:editId="505696AC">
            <wp:extent cx="5366130" cy="1630018"/>
            <wp:effectExtent l="0" t="0" r="6350" b="0"/>
            <wp:docPr id="1491220589" name="Picture 14912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9481" cy="1646224"/>
                    </a:xfrm>
                    <a:prstGeom prst="rect">
                      <a:avLst/>
                    </a:prstGeom>
                    <a:noFill/>
                    <a:ln>
                      <a:noFill/>
                    </a:ln>
                  </pic:spPr>
                </pic:pic>
              </a:graphicData>
            </a:graphic>
          </wp:inline>
        </w:drawing>
      </w:r>
    </w:p>
    <w:p w14:paraId="3F2F99B5" w14:textId="77777777" w:rsidR="00046F46" w:rsidRPr="00EE4C2A" w:rsidRDefault="00046F46" w:rsidP="00046F46">
      <w:pPr>
        <w:pStyle w:val="SingleTxtG"/>
        <w:rPr>
          <w:lang w:val="fr-FR"/>
        </w:rPr>
      </w:pPr>
      <w:r w:rsidRPr="00EE4C2A">
        <w:rPr>
          <w:rFonts w:ascii="Bookman Old Style" w:hAnsi="Bookman Old Style"/>
          <w:i/>
          <w:noProof/>
          <w:sz w:val="32"/>
          <w:lang w:val="fr-FR" w:eastAsia="fr-FR"/>
        </w:rPr>
        <w:drawing>
          <wp:inline distT="0" distB="0" distL="0" distR="0" wp14:anchorId="24DF176F" wp14:editId="1D92B3B9">
            <wp:extent cx="5303586" cy="28863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2897" cy="2929487"/>
                    </a:xfrm>
                    <a:prstGeom prst="rect">
                      <a:avLst/>
                    </a:prstGeom>
                    <a:noFill/>
                    <a:ln>
                      <a:noFill/>
                    </a:ln>
                  </pic:spPr>
                </pic:pic>
              </a:graphicData>
            </a:graphic>
          </wp:inline>
        </w:drawing>
      </w:r>
    </w:p>
    <w:p w14:paraId="20289DBB"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46 b) de la liste de points établie </w:t>
      </w:r>
      <w:r>
        <w:rPr>
          <w:bCs/>
          <w:lang w:val="fr-FR"/>
        </w:rPr>
        <w:t>avant la soumission du rapport</w:t>
      </w:r>
    </w:p>
    <w:p w14:paraId="5137D4C4" w14:textId="5C2B4443" w:rsidR="00046F46" w:rsidRPr="00EE4C2A" w:rsidRDefault="00046F46" w:rsidP="00046F46">
      <w:pPr>
        <w:pStyle w:val="SingleTxtG"/>
        <w:spacing w:after="240"/>
        <w:rPr>
          <w:lang w:val="fr-FR"/>
        </w:rPr>
      </w:pPr>
      <w:r w:rsidRPr="00EE4C2A">
        <w:rPr>
          <w:lang w:val="fr-FR"/>
        </w:rPr>
        <w:t>213.</w:t>
      </w:r>
      <w:r w:rsidRPr="00EE4C2A">
        <w:rPr>
          <w:lang w:val="fr-FR"/>
        </w:rPr>
        <w:tab/>
        <w:t>Le tableau ci-après présente le nombre d</w:t>
      </w:r>
      <w:r w:rsidR="008279BF">
        <w:rPr>
          <w:lang w:val="fr-FR"/>
        </w:rPr>
        <w:t>’</w:t>
      </w:r>
      <w:r w:rsidRPr="00EE4C2A">
        <w:rPr>
          <w:lang w:val="fr-FR"/>
        </w:rPr>
        <w:t>enfants ne passant pas de l</w:t>
      </w:r>
      <w:r w:rsidR="008279BF">
        <w:rPr>
          <w:lang w:val="fr-FR"/>
        </w:rPr>
        <w:t>’</w:t>
      </w:r>
      <w:r w:rsidRPr="00EE4C2A">
        <w:rPr>
          <w:lang w:val="fr-FR"/>
        </w:rPr>
        <w:t>enseignement primaire à l</w:t>
      </w:r>
      <w:r w:rsidR="008279BF">
        <w:rPr>
          <w:lang w:val="fr-FR"/>
        </w:rPr>
        <w:t>’</w:t>
      </w:r>
      <w:r w:rsidRPr="00EE4C2A">
        <w:rPr>
          <w:lang w:val="fr-FR"/>
        </w:rPr>
        <w:t>enseignement secondaire.</w:t>
      </w:r>
    </w:p>
    <w:p w14:paraId="65EA4821" w14:textId="77777777" w:rsidR="00046F46" w:rsidRPr="00EE4C2A" w:rsidRDefault="00046F46" w:rsidP="00046F46">
      <w:pPr>
        <w:pStyle w:val="SingleTxtG"/>
        <w:rPr>
          <w:rFonts w:ascii="Bookman Old Style" w:eastAsia="Calibri" w:hAnsi="Bookman Old Style"/>
          <w:i/>
          <w:sz w:val="36"/>
          <w:szCs w:val="24"/>
          <w:lang w:val="fr-FR"/>
        </w:rPr>
      </w:pPr>
      <w:r w:rsidRPr="00EE4C2A">
        <w:rPr>
          <w:rFonts w:ascii="Bookman Old Style" w:eastAsia="Calibri" w:hAnsi="Bookman Old Style"/>
          <w:noProof/>
          <w:sz w:val="22"/>
          <w:szCs w:val="22"/>
          <w:lang w:val="fr-FR" w:eastAsia="fr-FR"/>
        </w:rPr>
        <w:lastRenderedPageBreak/>
        <w:drawing>
          <wp:inline distT="0" distB="0" distL="0" distR="0" wp14:anchorId="2005951A" wp14:editId="1135D892">
            <wp:extent cx="4952544" cy="4855210"/>
            <wp:effectExtent l="0" t="0" r="635" b="0"/>
            <wp:docPr id="1491220587" name="Picture 149122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987" cy="4918387"/>
                    </a:xfrm>
                    <a:prstGeom prst="rect">
                      <a:avLst/>
                    </a:prstGeom>
                    <a:noFill/>
                    <a:ln>
                      <a:noFill/>
                    </a:ln>
                  </pic:spPr>
                </pic:pic>
              </a:graphicData>
            </a:graphic>
          </wp:inline>
        </w:drawing>
      </w:r>
    </w:p>
    <w:p w14:paraId="67DE0D87"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46 c) de la liste de points établie </w:t>
      </w:r>
      <w:r>
        <w:rPr>
          <w:bCs/>
          <w:lang w:val="fr-FR"/>
        </w:rPr>
        <w:t>avant la soumission du rapport</w:t>
      </w:r>
    </w:p>
    <w:p w14:paraId="4CB9D154" w14:textId="1AB3478A" w:rsidR="00046F46" w:rsidRPr="00EE4C2A" w:rsidRDefault="00046F46" w:rsidP="00046F46">
      <w:pPr>
        <w:pStyle w:val="SingleTxtG"/>
        <w:rPr>
          <w:lang w:val="fr-FR"/>
        </w:rPr>
      </w:pPr>
      <w:r w:rsidRPr="00EE4C2A">
        <w:rPr>
          <w:lang w:val="fr-FR"/>
        </w:rPr>
        <w:t>214.</w:t>
      </w:r>
      <w:r w:rsidRPr="00EE4C2A">
        <w:rPr>
          <w:lang w:val="fr-FR"/>
        </w:rPr>
        <w:tab/>
        <w:t>Le tableau ci-avant (b) présente le nombre et la proportion d</w:t>
      </w:r>
      <w:r w:rsidR="008279BF">
        <w:rPr>
          <w:lang w:val="fr-FR"/>
        </w:rPr>
        <w:t>’</w:t>
      </w:r>
      <w:r w:rsidRPr="00EE4C2A">
        <w:rPr>
          <w:lang w:val="fr-FR"/>
        </w:rPr>
        <w:t>enfants, y compris d</w:t>
      </w:r>
      <w:r w:rsidR="008279BF">
        <w:rPr>
          <w:lang w:val="fr-FR"/>
        </w:rPr>
        <w:t>’</w:t>
      </w:r>
      <w:r w:rsidRPr="00EE4C2A">
        <w:rPr>
          <w:lang w:val="fr-FR"/>
        </w:rPr>
        <w:t>enfants handicapés et de filles, qui abandonnent l</w:t>
      </w:r>
      <w:r w:rsidR="008279BF">
        <w:rPr>
          <w:lang w:val="fr-FR"/>
        </w:rPr>
        <w:t>’</w:t>
      </w:r>
      <w:r w:rsidRPr="00EE4C2A">
        <w:rPr>
          <w:lang w:val="fr-FR"/>
        </w:rPr>
        <w:t>école.</w:t>
      </w:r>
    </w:p>
    <w:p w14:paraId="0FA062D4"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46 d) de la liste de points établie </w:t>
      </w:r>
      <w:r>
        <w:rPr>
          <w:bCs/>
          <w:lang w:val="fr-FR"/>
        </w:rPr>
        <w:t>avant la soumission du rapport</w:t>
      </w:r>
    </w:p>
    <w:p w14:paraId="16FC144B" w14:textId="57AE49FA" w:rsidR="00046F46" w:rsidRPr="00EE4C2A" w:rsidRDefault="00046F46" w:rsidP="00046F46">
      <w:pPr>
        <w:pStyle w:val="SingleTxtG"/>
        <w:rPr>
          <w:lang w:val="fr-FR"/>
        </w:rPr>
      </w:pPr>
      <w:r w:rsidRPr="00EE4C2A">
        <w:rPr>
          <w:lang w:val="fr-FR"/>
        </w:rPr>
        <w:t>215.</w:t>
      </w:r>
      <w:r w:rsidRPr="00EE4C2A">
        <w:rPr>
          <w:lang w:val="fr-FR"/>
        </w:rPr>
        <w:tab/>
        <w:t>En ce qui concerne le nombre de cas de violences sexuelles en milieu scolaire, il ressort de l</w:t>
      </w:r>
      <w:r w:rsidR="008279BF">
        <w:rPr>
          <w:lang w:val="fr-FR"/>
        </w:rPr>
        <w:t>’</w:t>
      </w:r>
      <w:r w:rsidRPr="00EE4C2A">
        <w:rPr>
          <w:lang w:val="fr-FR"/>
        </w:rPr>
        <w:t>Enquête sur les violences à l</w:t>
      </w:r>
      <w:r w:rsidR="008279BF">
        <w:rPr>
          <w:lang w:val="fr-FR"/>
        </w:rPr>
        <w:t>’</w:t>
      </w:r>
      <w:r w:rsidRPr="00EE4C2A">
        <w:rPr>
          <w:lang w:val="fr-FR"/>
        </w:rPr>
        <w:t>égard des enfants réalisée en</w:t>
      </w:r>
      <w:r w:rsidR="00E11540">
        <w:rPr>
          <w:lang w:val="fr-FR"/>
        </w:rPr>
        <w:t xml:space="preserve"> </w:t>
      </w:r>
      <w:r w:rsidRPr="00EE4C2A">
        <w:rPr>
          <w:lang w:val="fr-FR"/>
        </w:rPr>
        <w:t>2018 que 20,3 % des filles et</w:t>
      </w:r>
      <w:r w:rsidR="00E11540">
        <w:rPr>
          <w:lang w:val="fr-FR"/>
        </w:rPr>
        <w:t xml:space="preserve"> </w:t>
      </w:r>
      <w:r w:rsidRPr="00EE4C2A">
        <w:rPr>
          <w:lang w:val="fr-FR"/>
        </w:rPr>
        <w:t>10,0 % des garçons ont subi des atteintes sexuelles avant l</w:t>
      </w:r>
      <w:r w:rsidR="008279BF">
        <w:rPr>
          <w:lang w:val="fr-FR"/>
        </w:rPr>
        <w:t>’</w:t>
      </w:r>
      <w:r w:rsidRPr="00EE4C2A">
        <w:rPr>
          <w:lang w:val="fr-FR"/>
        </w:rPr>
        <w:t>âge de</w:t>
      </w:r>
      <w:r w:rsidR="00E11540">
        <w:rPr>
          <w:lang w:val="fr-FR"/>
        </w:rPr>
        <w:t xml:space="preserve"> </w:t>
      </w:r>
      <w:r w:rsidRPr="00EE4C2A">
        <w:rPr>
          <w:lang w:val="fr-FR"/>
        </w:rPr>
        <w:t>18 ans, et que</w:t>
      </w:r>
      <w:r w:rsidR="00E11540">
        <w:rPr>
          <w:lang w:val="fr-FR"/>
        </w:rPr>
        <w:t xml:space="preserve"> </w:t>
      </w:r>
      <w:r w:rsidRPr="00EE4C2A">
        <w:rPr>
          <w:lang w:val="fr-FR"/>
        </w:rPr>
        <w:t>26,2 % des filles et 5,6 % des garçons ont décrit leur premier rapport sexuel avant l</w:t>
      </w:r>
      <w:r w:rsidR="008279BF">
        <w:rPr>
          <w:lang w:val="fr-FR"/>
        </w:rPr>
        <w:t>’</w:t>
      </w:r>
      <w:r w:rsidRPr="00EE4C2A">
        <w:rPr>
          <w:lang w:val="fr-FR"/>
        </w:rPr>
        <w:t>âge de 18 ans comme étant non désiré. Par ailleurs, 18,0 % des filles et 7,2 % des garçons ont déclaré avoir bénéficié de services à la suite des atteintes sexuelles* subies avant l</w:t>
      </w:r>
      <w:r w:rsidR="008279BF">
        <w:rPr>
          <w:lang w:val="fr-FR"/>
        </w:rPr>
        <w:t>’</w:t>
      </w:r>
      <w:r w:rsidRPr="00EE4C2A">
        <w:rPr>
          <w:lang w:val="fr-FR"/>
        </w:rPr>
        <w:t>âge de 18 ans.</w:t>
      </w:r>
    </w:p>
    <w:p w14:paraId="5FA33A57" w14:textId="62A74C80" w:rsidR="00046F46" w:rsidRPr="00EE4C2A" w:rsidRDefault="00046F46" w:rsidP="00046F46">
      <w:pPr>
        <w:pStyle w:val="SingleTxtG"/>
        <w:spacing w:after="240"/>
        <w:rPr>
          <w:lang w:val="fr-FR"/>
        </w:rPr>
      </w:pPr>
      <w:r w:rsidRPr="00EE4C2A">
        <w:rPr>
          <w:lang w:val="fr-FR"/>
        </w:rPr>
        <w:t>216.</w:t>
      </w:r>
      <w:r w:rsidRPr="00EE4C2A">
        <w:rPr>
          <w:lang w:val="fr-FR"/>
        </w:rPr>
        <w:tab/>
        <w:t>En outre, une Étude sur l</w:t>
      </w:r>
      <w:r>
        <w:rPr>
          <w:lang w:val="fr-FR"/>
        </w:rPr>
        <w:t xml:space="preserve">es </w:t>
      </w:r>
      <w:r w:rsidRPr="00EE4C2A">
        <w:rPr>
          <w:lang w:val="fr-FR"/>
        </w:rPr>
        <w:t>violence</w:t>
      </w:r>
      <w:r>
        <w:rPr>
          <w:lang w:val="fr-FR"/>
        </w:rPr>
        <w:t>s</w:t>
      </w:r>
      <w:r w:rsidRPr="00EE4C2A">
        <w:rPr>
          <w:lang w:val="fr-FR"/>
        </w:rPr>
        <w:t xml:space="preserve"> </w:t>
      </w:r>
      <w:r>
        <w:rPr>
          <w:lang w:val="fr-FR"/>
        </w:rPr>
        <w:t xml:space="preserve">fondées sur le </w:t>
      </w:r>
      <w:r w:rsidRPr="00EE4C2A">
        <w:rPr>
          <w:lang w:val="fr-FR"/>
        </w:rPr>
        <w:t xml:space="preserve">genre en milieu scolaire </w:t>
      </w:r>
      <w:r>
        <w:rPr>
          <w:lang w:val="fr-FR"/>
        </w:rPr>
        <w:t xml:space="preserve">commises </w:t>
      </w:r>
      <w:r w:rsidRPr="00EE4C2A">
        <w:rPr>
          <w:lang w:val="fr-FR"/>
        </w:rPr>
        <w:t xml:space="preserve">dans </w:t>
      </w:r>
      <w:r>
        <w:rPr>
          <w:lang w:val="fr-FR"/>
        </w:rPr>
        <w:t xml:space="preserve">les </w:t>
      </w:r>
      <w:r w:rsidRPr="00EE4C2A">
        <w:rPr>
          <w:lang w:val="fr-FR"/>
        </w:rPr>
        <w:t xml:space="preserve">pensionnats zambiens </w:t>
      </w:r>
      <w:r>
        <w:rPr>
          <w:lang w:val="fr-FR"/>
        </w:rPr>
        <w:t xml:space="preserve">et à proximité de ces établissements </w:t>
      </w:r>
      <w:r w:rsidRPr="00EE4C2A">
        <w:rPr>
          <w:lang w:val="fr-FR"/>
        </w:rPr>
        <w:t xml:space="preserve">a été menée en 2019, afin de recueillir des données </w:t>
      </w:r>
      <w:r>
        <w:rPr>
          <w:lang w:val="fr-FR"/>
        </w:rPr>
        <w:t xml:space="preserve">concernant les élèves qui ont subi de telles violences </w:t>
      </w:r>
      <w:r w:rsidRPr="00EE4C2A">
        <w:rPr>
          <w:lang w:val="fr-FR"/>
        </w:rPr>
        <w:t xml:space="preserve">dans le contexte de leur vie hors du foyer familial, ainsi que sur les facteurs de risque et de protection associés. Il ressort de cette étude que la violence psychologique entre pairs est très présente. </w:t>
      </w:r>
      <w:r>
        <w:rPr>
          <w:lang w:val="fr-FR"/>
        </w:rPr>
        <w:t>Les cas d</w:t>
      </w:r>
      <w:r w:rsidR="008279BF">
        <w:rPr>
          <w:lang w:val="fr-FR"/>
        </w:rPr>
        <w:t>’</w:t>
      </w:r>
      <w:r w:rsidRPr="00EE4C2A">
        <w:rPr>
          <w:lang w:val="fr-FR"/>
        </w:rPr>
        <w:t xml:space="preserve">atteintes sexuelles </w:t>
      </w:r>
      <w:r>
        <w:rPr>
          <w:lang w:val="fr-FR"/>
        </w:rPr>
        <w:t xml:space="preserve">commises </w:t>
      </w:r>
      <w:r w:rsidRPr="00EE4C2A">
        <w:rPr>
          <w:lang w:val="fr-FR"/>
        </w:rPr>
        <w:t xml:space="preserve">dans </w:t>
      </w:r>
      <w:r>
        <w:rPr>
          <w:lang w:val="fr-FR"/>
        </w:rPr>
        <w:t>les</w:t>
      </w:r>
      <w:r w:rsidRPr="00EE4C2A">
        <w:rPr>
          <w:lang w:val="fr-FR"/>
        </w:rPr>
        <w:t xml:space="preserve"> internats </w:t>
      </w:r>
      <w:r>
        <w:rPr>
          <w:lang w:val="fr-FR"/>
        </w:rPr>
        <w:t xml:space="preserve">et à proximité de ces établissements </w:t>
      </w:r>
      <w:r w:rsidRPr="00EE4C2A">
        <w:rPr>
          <w:lang w:val="fr-FR"/>
        </w:rPr>
        <w:t>sont également nombreu</w:t>
      </w:r>
      <w:r>
        <w:rPr>
          <w:lang w:val="fr-FR"/>
        </w:rPr>
        <w:t>x</w:t>
      </w:r>
      <w:r w:rsidRPr="00EE4C2A">
        <w:rPr>
          <w:lang w:val="fr-FR"/>
        </w:rPr>
        <w:t>. Pour y remédier, l</w:t>
      </w:r>
      <w:r w:rsidR="008279BF">
        <w:rPr>
          <w:lang w:val="fr-FR"/>
        </w:rPr>
        <w:t>’</w:t>
      </w:r>
      <w:r w:rsidRPr="00EE4C2A">
        <w:rPr>
          <w:lang w:val="fr-FR"/>
        </w:rPr>
        <w:t>État partie a élaboré le Plan national de prévention et d</w:t>
      </w:r>
      <w:r w:rsidR="008279BF">
        <w:rPr>
          <w:lang w:val="fr-FR"/>
        </w:rPr>
        <w:t>’</w:t>
      </w:r>
      <w:r w:rsidRPr="00EE4C2A">
        <w:rPr>
          <w:lang w:val="fr-FR"/>
        </w:rPr>
        <w:t>intervention</w:t>
      </w:r>
      <w:r w:rsidR="00E11540">
        <w:rPr>
          <w:lang w:val="fr-FR"/>
        </w:rPr>
        <w:t xml:space="preserve"> </w:t>
      </w:r>
      <w:r w:rsidRPr="00EE4C2A">
        <w:rPr>
          <w:lang w:val="fr-FR"/>
        </w:rPr>
        <w:t>(2021-2025).</w:t>
      </w:r>
    </w:p>
    <w:p w14:paraId="1402052F" w14:textId="77777777" w:rsidR="00046F46" w:rsidRPr="00EE4C2A" w:rsidRDefault="00046F46" w:rsidP="00046F46">
      <w:pPr>
        <w:pStyle w:val="SingleTxtG"/>
        <w:rPr>
          <w:rFonts w:ascii="Bookman Old Style" w:eastAsia="Calibri" w:hAnsi="Bookman Old Style"/>
          <w:i/>
          <w:sz w:val="24"/>
          <w:szCs w:val="24"/>
          <w:lang w:val="fr-FR"/>
        </w:rPr>
      </w:pPr>
      <w:r w:rsidRPr="00EE4C2A">
        <w:rPr>
          <w:rFonts w:ascii="Bookman Old Style" w:eastAsia="Calibri" w:hAnsi="Bookman Old Style"/>
          <w:i/>
          <w:noProof/>
          <w:sz w:val="24"/>
          <w:szCs w:val="24"/>
          <w:lang w:val="fr-FR" w:eastAsia="fr-FR"/>
        </w:rPr>
        <w:lastRenderedPageBreak/>
        <w:drawing>
          <wp:inline distT="0" distB="0" distL="0" distR="0" wp14:anchorId="59C20F83" wp14:editId="04D9F075">
            <wp:extent cx="5127459" cy="2202512"/>
            <wp:effectExtent l="0" t="0" r="16510" b="7620"/>
            <wp:docPr id="1491220586" name="Chart 14912205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8D8CE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46 e) de la liste de points établie </w:t>
      </w:r>
      <w:r>
        <w:rPr>
          <w:bCs/>
          <w:lang w:val="fr-FR"/>
        </w:rPr>
        <w:t>avant la soumission du rapport</w:t>
      </w:r>
    </w:p>
    <w:p w14:paraId="4D644A6C" w14:textId="660D4E8F" w:rsidR="00046F46" w:rsidRPr="00EE4C2A" w:rsidRDefault="00046F46" w:rsidP="00046F46">
      <w:pPr>
        <w:pStyle w:val="SingleTxtG"/>
        <w:spacing w:after="240"/>
        <w:rPr>
          <w:lang w:val="fr-FR"/>
        </w:rPr>
      </w:pPr>
      <w:r w:rsidRPr="00EE4C2A">
        <w:rPr>
          <w:lang w:val="fr-FR"/>
        </w:rPr>
        <w:t>217.</w:t>
      </w:r>
      <w:r w:rsidRPr="00EE4C2A">
        <w:rPr>
          <w:lang w:val="fr-FR"/>
        </w:rPr>
        <w:tab/>
        <w:t>Le tableau ci-après fournit des statistiques sur le nombre d</w:t>
      </w:r>
      <w:r w:rsidR="008279BF">
        <w:rPr>
          <w:lang w:val="fr-FR"/>
        </w:rPr>
        <w:t>’</w:t>
      </w:r>
      <w:r w:rsidRPr="00EE4C2A">
        <w:rPr>
          <w:lang w:val="fr-FR"/>
        </w:rPr>
        <w:t>enfants ayant fréquenté un établissement d</w:t>
      </w:r>
      <w:r w:rsidR="008279BF">
        <w:rPr>
          <w:lang w:val="fr-FR"/>
        </w:rPr>
        <w:t>’</w:t>
      </w:r>
      <w:r w:rsidRPr="00EE4C2A">
        <w:rPr>
          <w:lang w:val="fr-FR"/>
        </w:rPr>
        <w:t>éducation préscolaire entre 2011 et 2019, pour chaque province. La fréquentation des établissements d</w:t>
      </w:r>
      <w:r w:rsidR="008279BF">
        <w:rPr>
          <w:lang w:val="fr-FR"/>
        </w:rPr>
        <w:t>’</w:t>
      </w:r>
      <w:r w:rsidRPr="00EE4C2A">
        <w:rPr>
          <w:lang w:val="fr-FR"/>
        </w:rPr>
        <w:t xml:space="preserve">éducation préscolaire a augmenté. </w:t>
      </w:r>
    </w:p>
    <w:tbl>
      <w:tblPr>
        <w:tblW w:w="769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53"/>
        <w:gridCol w:w="654"/>
        <w:gridCol w:w="655"/>
        <w:gridCol w:w="742"/>
        <w:gridCol w:w="742"/>
        <w:gridCol w:w="742"/>
        <w:gridCol w:w="742"/>
        <w:gridCol w:w="742"/>
        <w:gridCol w:w="422"/>
        <w:gridCol w:w="320"/>
      </w:tblGrid>
      <w:tr w:rsidR="00046F46" w:rsidRPr="0019096A" w14:paraId="46DF3A42" w14:textId="77777777" w:rsidTr="004C1F7B">
        <w:trPr>
          <w:gridAfter w:val="1"/>
          <w:wAfter w:w="320" w:type="dxa"/>
          <w:tblHeader/>
        </w:trPr>
        <w:tc>
          <w:tcPr>
            <w:tcW w:w="7370" w:type="dxa"/>
            <w:gridSpan w:val="10"/>
            <w:tcBorders>
              <w:top w:val="single" w:sz="4" w:space="0" w:color="auto"/>
              <w:bottom w:val="single" w:sz="4" w:space="0" w:color="auto"/>
            </w:tcBorders>
            <w:shd w:val="clear" w:color="auto" w:fill="auto"/>
            <w:vAlign w:val="bottom"/>
          </w:tcPr>
          <w:p w14:paraId="1B87E169" w14:textId="3456275B" w:rsidR="00046F46" w:rsidRPr="00EE4C2A" w:rsidRDefault="00046F46" w:rsidP="00E11540">
            <w:pPr>
              <w:pStyle w:val="SingleTxtG"/>
              <w:tabs>
                <w:tab w:val="clear" w:pos="1701"/>
                <w:tab w:val="clear" w:pos="2268"/>
              </w:tabs>
              <w:suppressAutoHyphens w:val="0"/>
              <w:spacing w:before="80" w:after="80" w:line="200" w:lineRule="exact"/>
              <w:ind w:left="0" w:right="0"/>
              <w:jc w:val="left"/>
              <w:rPr>
                <w:rFonts w:eastAsia="Calibri"/>
                <w:i/>
                <w:sz w:val="16"/>
                <w:szCs w:val="16"/>
                <w:lang w:val="fr-FR"/>
              </w:rPr>
            </w:pPr>
            <w:bookmarkStart w:id="55" w:name="_Toc63938007"/>
            <w:r w:rsidRPr="00EE4C2A">
              <w:rPr>
                <w:i/>
                <w:iCs/>
                <w:sz w:val="16"/>
                <w:szCs w:val="16"/>
                <w:lang w:val="fr-FR"/>
              </w:rPr>
              <w:t>Inscriptions en établissements d</w:t>
            </w:r>
            <w:r w:rsidR="008279BF">
              <w:rPr>
                <w:i/>
                <w:iCs/>
                <w:sz w:val="16"/>
                <w:szCs w:val="16"/>
                <w:lang w:val="fr-FR"/>
              </w:rPr>
              <w:t>’</w:t>
            </w:r>
            <w:r w:rsidRPr="00EE4C2A">
              <w:rPr>
                <w:i/>
                <w:iCs/>
                <w:sz w:val="16"/>
                <w:szCs w:val="16"/>
                <w:lang w:val="fr-FR"/>
              </w:rPr>
              <w:t>éducation préscolaire entre 2011 et 2019</w:t>
            </w:r>
          </w:p>
        </w:tc>
      </w:tr>
      <w:tr w:rsidR="00046F46" w:rsidRPr="00EE4C2A" w14:paraId="59B258DF" w14:textId="77777777" w:rsidTr="004C1F7B">
        <w:tc>
          <w:tcPr>
            <w:tcW w:w="1276" w:type="dxa"/>
            <w:tcBorders>
              <w:top w:val="single" w:sz="4" w:space="0" w:color="auto"/>
              <w:bottom w:val="single" w:sz="12" w:space="0" w:color="auto"/>
            </w:tcBorders>
            <w:shd w:val="clear" w:color="auto" w:fill="auto"/>
          </w:tcPr>
          <w:p w14:paraId="7CCAC9E5"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left"/>
              <w:rPr>
                <w:rFonts w:eastAsia="Calibri"/>
                <w:i/>
                <w:sz w:val="16"/>
                <w:szCs w:val="16"/>
                <w:lang w:val="fr-FR"/>
              </w:rPr>
            </w:pPr>
            <w:r w:rsidRPr="00EE4C2A">
              <w:rPr>
                <w:i/>
                <w:iCs/>
                <w:sz w:val="16"/>
                <w:szCs w:val="16"/>
                <w:lang w:val="fr-FR"/>
              </w:rPr>
              <w:t>Province</w:t>
            </w:r>
          </w:p>
        </w:tc>
        <w:tc>
          <w:tcPr>
            <w:tcW w:w="653" w:type="dxa"/>
            <w:tcBorders>
              <w:top w:val="single" w:sz="4" w:space="0" w:color="auto"/>
              <w:bottom w:val="single" w:sz="12" w:space="0" w:color="auto"/>
            </w:tcBorders>
            <w:shd w:val="clear" w:color="auto" w:fill="auto"/>
          </w:tcPr>
          <w:p w14:paraId="0AB040D1"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2011</w:t>
            </w:r>
          </w:p>
        </w:tc>
        <w:tc>
          <w:tcPr>
            <w:tcW w:w="654" w:type="dxa"/>
            <w:tcBorders>
              <w:top w:val="single" w:sz="4" w:space="0" w:color="auto"/>
              <w:bottom w:val="single" w:sz="12" w:space="0" w:color="auto"/>
            </w:tcBorders>
            <w:shd w:val="clear" w:color="auto" w:fill="auto"/>
          </w:tcPr>
          <w:p w14:paraId="26B357B0"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2012</w:t>
            </w:r>
          </w:p>
        </w:tc>
        <w:tc>
          <w:tcPr>
            <w:tcW w:w="655" w:type="dxa"/>
            <w:tcBorders>
              <w:top w:val="single" w:sz="4" w:space="0" w:color="auto"/>
              <w:bottom w:val="single" w:sz="12" w:space="0" w:color="auto"/>
            </w:tcBorders>
            <w:shd w:val="clear" w:color="auto" w:fill="auto"/>
          </w:tcPr>
          <w:p w14:paraId="4937B289"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2013</w:t>
            </w:r>
          </w:p>
        </w:tc>
        <w:tc>
          <w:tcPr>
            <w:tcW w:w="742" w:type="dxa"/>
            <w:tcBorders>
              <w:top w:val="single" w:sz="4" w:space="0" w:color="auto"/>
              <w:bottom w:val="single" w:sz="12" w:space="0" w:color="auto"/>
            </w:tcBorders>
            <w:shd w:val="clear" w:color="auto" w:fill="auto"/>
          </w:tcPr>
          <w:p w14:paraId="78C90310"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2014</w:t>
            </w:r>
          </w:p>
        </w:tc>
        <w:tc>
          <w:tcPr>
            <w:tcW w:w="742" w:type="dxa"/>
            <w:tcBorders>
              <w:top w:val="single" w:sz="4" w:space="0" w:color="auto"/>
              <w:bottom w:val="single" w:sz="12" w:space="0" w:color="auto"/>
            </w:tcBorders>
            <w:shd w:val="clear" w:color="auto" w:fill="auto"/>
          </w:tcPr>
          <w:p w14:paraId="52878016"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2015</w:t>
            </w:r>
          </w:p>
        </w:tc>
        <w:tc>
          <w:tcPr>
            <w:tcW w:w="742" w:type="dxa"/>
            <w:tcBorders>
              <w:top w:val="single" w:sz="4" w:space="0" w:color="auto"/>
              <w:bottom w:val="single" w:sz="12" w:space="0" w:color="auto"/>
            </w:tcBorders>
            <w:shd w:val="clear" w:color="auto" w:fill="auto"/>
          </w:tcPr>
          <w:p w14:paraId="3349AED3"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2016</w:t>
            </w:r>
          </w:p>
        </w:tc>
        <w:tc>
          <w:tcPr>
            <w:tcW w:w="742" w:type="dxa"/>
            <w:tcBorders>
              <w:top w:val="single" w:sz="4" w:space="0" w:color="auto"/>
              <w:bottom w:val="single" w:sz="12" w:space="0" w:color="auto"/>
            </w:tcBorders>
            <w:shd w:val="clear" w:color="auto" w:fill="auto"/>
          </w:tcPr>
          <w:p w14:paraId="2CC49E88"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2017</w:t>
            </w:r>
          </w:p>
        </w:tc>
        <w:tc>
          <w:tcPr>
            <w:tcW w:w="742" w:type="dxa"/>
            <w:tcBorders>
              <w:top w:val="single" w:sz="4" w:space="0" w:color="auto"/>
              <w:bottom w:val="single" w:sz="12" w:space="0" w:color="auto"/>
            </w:tcBorders>
            <w:shd w:val="clear" w:color="auto" w:fill="auto"/>
          </w:tcPr>
          <w:p w14:paraId="0E02A4FF"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2018</w:t>
            </w:r>
          </w:p>
        </w:tc>
        <w:tc>
          <w:tcPr>
            <w:tcW w:w="742" w:type="dxa"/>
            <w:gridSpan w:val="2"/>
            <w:tcBorders>
              <w:top w:val="single" w:sz="4" w:space="0" w:color="auto"/>
              <w:bottom w:val="single" w:sz="12" w:space="0" w:color="auto"/>
            </w:tcBorders>
            <w:shd w:val="clear" w:color="auto" w:fill="auto"/>
          </w:tcPr>
          <w:p w14:paraId="16807918"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2019</w:t>
            </w:r>
          </w:p>
        </w:tc>
      </w:tr>
      <w:tr w:rsidR="00046F46" w:rsidRPr="00EE4C2A" w14:paraId="670BB682" w14:textId="77777777" w:rsidTr="00E11540">
        <w:tc>
          <w:tcPr>
            <w:tcW w:w="1276" w:type="dxa"/>
            <w:tcBorders>
              <w:top w:val="single" w:sz="12" w:space="0" w:color="auto"/>
            </w:tcBorders>
            <w:shd w:val="clear" w:color="auto" w:fill="auto"/>
          </w:tcPr>
          <w:p w14:paraId="2A0843F8"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Centrale</w:t>
            </w:r>
          </w:p>
        </w:tc>
        <w:tc>
          <w:tcPr>
            <w:tcW w:w="653" w:type="dxa"/>
            <w:tcBorders>
              <w:top w:val="single" w:sz="12" w:space="0" w:color="auto"/>
            </w:tcBorders>
            <w:shd w:val="clear" w:color="auto" w:fill="auto"/>
            <w:vAlign w:val="bottom"/>
          </w:tcPr>
          <w:p w14:paraId="1A245C9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5 451</w:t>
            </w:r>
          </w:p>
        </w:tc>
        <w:tc>
          <w:tcPr>
            <w:tcW w:w="654" w:type="dxa"/>
            <w:tcBorders>
              <w:top w:val="single" w:sz="12" w:space="0" w:color="auto"/>
            </w:tcBorders>
            <w:shd w:val="clear" w:color="auto" w:fill="auto"/>
            <w:vAlign w:val="bottom"/>
          </w:tcPr>
          <w:p w14:paraId="000091A8"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5 883</w:t>
            </w:r>
          </w:p>
        </w:tc>
        <w:tc>
          <w:tcPr>
            <w:tcW w:w="655" w:type="dxa"/>
            <w:tcBorders>
              <w:top w:val="single" w:sz="12" w:space="0" w:color="auto"/>
            </w:tcBorders>
            <w:shd w:val="clear" w:color="auto" w:fill="auto"/>
            <w:vAlign w:val="bottom"/>
          </w:tcPr>
          <w:p w14:paraId="30E07F1F"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5 013</w:t>
            </w:r>
          </w:p>
        </w:tc>
        <w:tc>
          <w:tcPr>
            <w:tcW w:w="742" w:type="dxa"/>
            <w:tcBorders>
              <w:top w:val="single" w:sz="12" w:space="0" w:color="auto"/>
            </w:tcBorders>
            <w:shd w:val="clear" w:color="auto" w:fill="auto"/>
            <w:vAlign w:val="bottom"/>
          </w:tcPr>
          <w:p w14:paraId="2F799EBB"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10 079</w:t>
            </w:r>
          </w:p>
        </w:tc>
        <w:tc>
          <w:tcPr>
            <w:tcW w:w="742" w:type="dxa"/>
            <w:tcBorders>
              <w:top w:val="single" w:sz="12" w:space="0" w:color="auto"/>
            </w:tcBorders>
            <w:shd w:val="clear" w:color="auto" w:fill="auto"/>
            <w:vAlign w:val="bottom"/>
          </w:tcPr>
          <w:p w14:paraId="67CB44B9"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12 646</w:t>
            </w:r>
          </w:p>
        </w:tc>
        <w:tc>
          <w:tcPr>
            <w:tcW w:w="742" w:type="dxa"/>
            <w:tcBorders>
              <w:top w:val="single" w:sz="12" w:space="0" w:color="auto"/>
            </w:tcBorders>
            <w:shd w:val="clear" w:color="auto" w:fill="auto"/>
            <w:vAlign w:val="bottom"/>
          </w:tcPr>
          <w:p w14:paraId="7C185069"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15 713</w:t>
            </w:r>
          </w:p>
        </w:tc>
        <w:tc>
          <w:tcPr>
            <w:tcW w:w="742" w:type="dxa"/>
            <w:tcBorders>
              <w:top w:val="single" w:sz="12" w:space="0" w:color="auto"/>
            </w:tcBorders>
            <w:shd w:val="clear" w:color="auto" w:fill="auto"/>
            <w:vAlign w:val="bottom"/>
          </w:tcPr>
          <w:p w14:paraId="4BD1B8D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18 424</w:t>
            </w:r>
          </w:p>
        </w:tc>
        <w:tc>
          <w:tcPr>
            <w:tcW w:w="742" w:type="dxa"/>
            <w:tcBorders>
              <w:top w:val="single" w:sz="12" w:space="0" w:color="auto"/>
            </w:tcBorders>
            <w:shd w:val="clear" w:color="auto" w:fill="auto"/>
            <w:vAlign w:val="bottom"/>
          </w:tcPr>
          <w:p w14:paraId="47ADE5B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23 224</w:t>
            </w:r>
          </w:p>
        </w:tc>
        <w:tc>
          <w:tcPr>
            <w:tcW w:w="742" w:type="dxa"/>
            <w:gridSpan w:val="2"/>
            <w:tcBorders>
              <w:top w:val="single" w:sz="12" w:space="0" w:color="auto"/>
            </w:tcBorders>
            <w:shd w:val="clear" w:color="auto" w:fill="auto"/>
            <w:vAlign w:val="bottom"/>
          </w:tcPr>
          <w:p w14:paraId="7552080C"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25 271</w:t>
            </w:r>
          </w:p>
        </w:tc>
      </w:tr>
      <w:tr w:rsidR="00046F46" w:rsidRPr="00EE4C2A" w14:paraId="2877E251" w14:textId="77777777" w:rsidTr="00E11540">
        <w:tc>
          <w:tcPr>
            <w:tcW w:w="1276" w:type="dxa"/>
            <w:shd w:val="clear" w:color="auto" w:fill="auto"/>
          </w:tcPr>
          <w:p w14:paraId="476586B2"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rFonts w:eastAsia="Calibri"/>
                <w:sz w:val="18"/>
                <w:szCs w:val="18"/>
                <w:lang w:val="fr-FR"/>
              </w:rPr>
              <w:t>Copperbelt</w:t>
            </w:r>
          </w:p>
        </w:tc>
        <w:tc>
          <w:tcPr>
            <w:tcW w:w="653" w:type="dxa"/>
            <w:shd w:val="clear" w:color="auto" w:fill="auto"/>
            <w:vAlign w:val="bottom"/>
          </w:tcPr>
          <w:p w14:paraId="1CED42F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13 482</w:t>
            </w:r>
          </w:p>
        </w:tc>
        <w:tc>
          <w:tcPr>
            <w:tcW w:w="654" w:type="dxa"/>
            <w:shd w:val="clear" w:color="auto" w:fill="auto"/>
            <w:vAlign w:val="bottom"/>
          </w:tcPr>
          <w:p w14:paraId="552ED193"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16 316</w:t>
            </w:r>
          </w:p>
        </w:tc>
        <w:tc>
          <w:tcPr>
            <w:tcW w:w="655" w:type="dxa"/>
            <w:shd w:val="clear" w:color="auto" w:fill="auto"/>
            <w:vAlign w:val="bottom"/>
          </w:tcPr>
          <w:p w14:paraId="002AD810"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14 298</w:t>
            </w:r>
          </w:p>
        </w:tc>
        <w:tc>
          <w:tcPr>
            <w:tcW w:w="742" w:type="dxa"/>
            <w:shd w:val="clear" w:color="auto" w:fill="auto"/>
            <w:vAlign w:val="bottom"/>
          </w:tcPr>
          <w:p w14:paraId="06AF8142"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24 240</w:t>
            </w:r>
          </w:p>
        </w:tc>
        <w:tc>
          <w:tcPr>
            <w:tcW w:w="742" w:type="dxa"/>
            <w:shd w:val="clear" w:color="auto" w:fill="auto"/>
            <w:vAlign w:val="bottom"/>
          </w:tcPr>
          <w:p w14:paraId="15FE713C"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23 244</w:t>
            </w:r>
          </w:p>
        </w:tc>
        <w:tc>
          <w:tcPr>
            <w:tcW w:w="742" w:type="dxa"/>
            <w:shd w:val="clear" w:color="auto" w:fill="auto"/>
            <w:vAlign w:val="bottom"/>
          </w:tcPr>
          <w:p w14:paraId="5D4ACBC0"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29 394</w:t>
            </w:r>
          </w:p>
        </w:tc>
        <w:tc>
          <w:tcPr>
            <w:tcW w:w="742" w:type="dxa"/>
            <w:shd w:val="clear" w:color="auto" w:fill="auto"/>
            <w:vAlign w:val="bottom"/>
          </w:tcPr>
          <w:p w14:paraId="197761D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31 991</w:t>
            </w:r>
          </w:p>
        </w:tc>
        <w:tc>
          <w:tcPr>
            <w:tcW w:w="742" w:type="dxa"/>
            <w:shd w:val="clear" w:color="auto" w:fill="auto"/>
            <w:vAlign w:val="bottom"/>
          </w:tcPr>
          <w:p w14:paraId="13F1A2F1"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34 437</w:t>
            </w:r>
          </w:p>
        </w:tc>
        <w:tc>
          <w:tcPr>
            <w:tcW w:w="742" w:type="dxa"/>
            <w:gridSpan w:val="2"/>
            <w:shd w:val="clear" w:color="auto" w:fill="auto"/>
            <w:vAlign w:val="bottom"/>
          </w:tcPr>
          <w:p w14:paraId="3804BA9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37 187</w:t>
            </w:r>
          </w:p>
        </w:tc>
      </w:tr>
      <w:tr w:rsidR="00046F46" w:rsidRPr="00EE4C2A" w14:paraId="6C359DE3" w14:textId="77777777" w:rsidTr="00E11540">
        <w:tc>
          <w:tcPr>
            <w:tcW w:w="1276" w:type="dxa"/>
            <w:shd w:val="clear" w:color="auto" w:fill="auto"/>
          </w:tcPr>
          <w:p w14:paraId="1A3209A1"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Orientale</w:t>
            </w:r>
          </w:p>
        </w:tc>
        <w:tc>
          <w:tcPr>
            <w:tcW w:w="653" w:type="dxa"/>
            <w:shd w:val="clear" w:color="auto" w:fill="auto"/>
            <w:vAlign w:val="bottom"/>
          </w:tcPr>
          <w:p w14:paraId="0CA834E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3 420</w:t>
            </w:r>
          </w:p>
        </w:tc>
        <w:tc>
          <w:tcPr>
            <w:tcW w:w="654" w:type="dxa"/>
            <w:shd w:val="clear" w:color="auto" w:fill="auto"/>
            <w:vAlign w:val="bottom"/>
          </w:tcPr>
          <w:p w14:paraId="2C02BD2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1 978</w:t>
            </w:r>
          </w:p>
        </w:tc>
        <w:tc>
          <w:tcPr>
            <w:tcW w:w="655" w:type="dxa"/>
            <w:shd w:val="clear" w:color="auto" w:fill="auto"/>
            <w:vAlign w:val="bottom"/>
          </w:tcPr>
          <w:p w14:paraId="001FCB0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3 554</w:t>
            </w:r>
          </w:p>
        </w:tc>
        <w:tc>
          <w:tcPr>
            <w:tcW w:w="742" w:type="dxa"/>
            <w:shd w:val="clear" w:color="auto" w:fill="auto"/>
            <w:vAlign w:val="bottom"/>
          </w:tcPr>
          <w:p w14:paraId="5EBC8C0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11 436</w:t>
            </w:r>
          </w:p>
        </w:tc>
        <w:tc>
          <w:tcPr>
            <w:tcW w:w="742" w:type="dxa"/>
            <w:shd w:val="clear" w:color="auto" w:fill="auto"/>
            <w:vAlign w:val="bottom"/>
          </w:tcPr>
          <w:p w14:paraId="0255DDF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12 755</w:t>
            </w:r>
          </w:p>
        </w:tc>
        <w:tc>
          <w:tcPr>
            <w:tcW w:w="742" w:type="dxa"/>
            <w:shd w:val="clear" w:color="auto" w:fill="auto"/>
            <w:vAlign w:val="bottom"/>
          </w:tcPr>
          <w:p w14:paraId="3332002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13 180</w:t>
            </w:r>
          </w:p>
        </w:tc>
        <w:tc>
          <w:tcPr>
            <w:tcW w:w="742" w:type="dxa"/>
            <w:shd w:val="clear" w:color="auto" w:fill="auto"/>
            <w:vAlign w:val="bottom"/>
          </w:tcPr>
          <w:p w14:paraId="203D092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18 597</w:t>
            </w:r>
          </w:p>
        </w:tc>
        <w:tc>
          <w:tcPr>
            <w:tcW w:w="742" w:type="dxa"/>
            <w:shd w:val="clear" w:color="auto" w:fill="auto"/>
            <w:vAlign w:val="bottom"/>
          </w:tcPr>
          <w:p w14:paraId="6094E8F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30 841</w:t>
            </w:r>
          </w:p>
        </w:tc>
        <w:tc>
          <w:tcPr>
            <w:tcW w:w="742" w:type="dxa"/>
            <w:gridSpan w:val="2"/>
            <w:shd w:val="clear" w:color="auto" w:fill="auto"/>
            <w:vAlign w:val="bottom"/>
          </w:tcPr>
          <w:p w14:paraId="4BBB519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39 521</w:t>
            </w:r>
          </w:p>
        </w:tc>
      </w:tr>
      <w:tr w:rsidR="00046F46" w:rsidRPr="00EE4C2A" w14:paraId="1E18110C" w14:textId="77777777" w:rsidTr="00E11540">
        <w:tc>
          <w:tcPr>
            <w:tcW w:w="1276" w:type="dxa"/>
            <w:shd w:val="clear" w:color="auto" w:fill="auto"/>
          </w:tcPr>
          <w:p w14:paraId="5FF708B8"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rFonts w:eastAsia="Calibri"/>
                <w:sz w:val="18"/>
                <w:szCs w:val="18"/>
                <w:lang w:val="fr-FR"/>
              </w:rPr>
              <w:t>Luapula</w:t>
            </w:r>
          </w:p>
        </w:tc>
        <w:tc>
          <w:tcPr>
            <w:tcW w:w="653" w:type="dxa"/>
            <w:shd w:val="clear" w:color="auto" w:fill="auto"/>
            <w:vAlign w:val="bottom"/>
          </w:tcPr>
          <w:p w14:paraId="23167368"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1 580</w:t>
            </w:r>
          </w:p>
        </w:tc>
        <w:tc>
          <w:tcPr>
            <w:tcW w:w="654" w:type="dxa"/>
            <w:shd w:val="clear" w:color="auto" w:fill="auto"/>
            <w:vAlign w:val="bottom"/>
          </w:tcPr>
          <w:p w14:paraId="2F561A39"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3 139</w:t>
            </w:r>
          </w:p>
        </w:tc>
        <w:tc>
          <w:tcPr>
            <w:tcW w:w="655" w:type="dxa"/>
            <w:shd w:val="clear" w:color="auto" w:fill="auto"/>
            <w:vAlign w:val="bottom"/>
          </w:tcPr>
          <w:p w14:paraId="1538D473"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4 984</w:t>
            </w:r>
          </w:p>
        </w:tc>
        <w:tc>
          <w:tcPr>
            <w:tcW w:w="742" w:type="dxa"/>
            <w:shd w:val="clear" w:color="auto" w:fill="auto"/>
            <w:vAlign w:val="bottom"/>
          </w:tcPr>
          <w:p w14:paraId="403B0E2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9 107</w:t>
            </w:r>
          </w:p>
        </w:tc>
        <w:tc>
          <w:tcPr>
            <w:tcW w:w="742" w:type="dxa"/>
            <w:shd w:val="clear" w:color="auto" w:fill="auto"/>
            <w:vAlign w:val="bottom"/>
          </w:tcPr>
          <w:p w14:paraId="349AC7DC"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9 927</w:t>
            </w:r>
          </w:p>
        </w:tc>
        <w:tc>
          <w:tcPr>
            <w:tcW w:w="742" w:type="dxa"/>
            <w:shd w:val="clear" w:color="auto" w:fill="auto"/>
            <w:vAlign w:val="bottom"/>
          </w:tcPr>
          <w:p w14:paraId="30F206A9"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11 908</w:t>
            </w:r>
          </w:p>
        </w:tc>
        <w:tc>
          <w:tcPr>
            <w:tcW w:w="742" w:type="dxa"/>
            <w:shd w:val="clear" w:color="auto" w:fill="auto"/>
            <w:vAlign w:val="bottom"/>
          </w:tcPr>
          <w:p w14:paraId="4FF63CA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13 458</w:t>
            </w:r>
          </w:p>
        </w:tc>
        <w:tc>
          <w:tcPr>
            <w:tcW w:w="742" w:type="dxa"/>
            <w:shd w:val="clear" w:color="auto" w:fill="auto"/>
            <w:vAlign w:val="bottom"/>
          </w:tcPr>
          <w:p w14:paraId="3482133C"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16 969</w:t>
            </w:r>
          </w:p>
        </w:tc>
        <w:tc>
          <w:tcPr>
            <w:tcW w:w="742" w:type="dxa"/>
            <w:gridSpan w:val="2"/>
            <w:shd w:val="clear" w:color="auto" w:fill="auto"/>
            <w:vAlign w:val="bottom"/>
          </w:tcPr>
          <w:p w14:paraId="7D28B79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18 554</w:t>
            </w:r>
          </w:p>
        </w:tc>
      </w:tr>
      <w:tr w:rsidR="00046F46" w:rsidRPr="00EE4C2A" w14:paraId="4A7E9CE1" w14:textId="77777777" w:rsidTr="00E11540">
        <w:tc>
          <w:tcPr>
            <w:tcW w:w="1276" w:type="dxa"/>
            <w:shd w:val="clear" w:color="auto" w:fill="auto"/>
          </w:tcPr>
          <w:p w14:paraId="1C52B022"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Lusaka</w:t>
            </w:r>
          </w:p>
        </w:tc>
        <w:tc>
          <w:tcPr>
            <w:tcW w:w="653" w:type="dxa"/>
            <w:shd w:val="clear" w:color="auto" w:fill="auto"/>
            <w:vAlign w:val="bottom"/>
          </w:tcPr>
          <w:p w14:paraId="2B3BD9B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14 073</w:t>
            </w:r>
          </w:p>
        </w:tc>
        <w:tc>
          <w:tcPr>
            <w:tcW w:w="654" w:type="dxa"/>
            <w:shd w:val="clear" w:color="auto" w:fill="auto"/>
            <w:vAlign w:val="bottom"/>
          </w:tcPr>
          <w:p w14:paraId="321C7216"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14 377</w:t>
            </w:r>
          </w:p>
        </w:tc>
        <w:tc>
          <w:tcPr>
            <w:tcW w:w="655" w:type="dxa"/>
            <w:shd w:val="clear" w:color="auto" w:fill="auto"/>
            <w:vAlign w:val="bottom"/>
          </w:tcPr>
          <w:p w14:paraId="085194B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14 462</w:t>
            </w:r>
          </w:p>
        </w:tc>
        <w:tc>
          <w:tcPr>
            <w:tcW w:w="742" w:type="dxa"/>
            <w:shd w:val="clear" w:color="auto" w:fill="auto"/>
            <w:vAlign w:val="bottom"/>
          </w:tcPr>
          <w:p w14:paraId="3CC287A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21 885</w:t>
            </w:r>
          </w:p>
        </w:tc>
        <w:tc>
          <w:tcPr>
            <w:tcW w:w="742" w:type="dxa"/>
            <w:shd w:val="clear" w:color="auto" w:fill="auto"/>
            <w:vAlign w:val="bottom"/>
          </w:tcPr>
          <w:p w14:paraId="0DDA9F02"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23 830</w:t>
            </w:r>
          </w:p>
        </w:tc>
        <w:tc>
          <w:tcPr>
            <w:tcW w:w="742" w:type="dxa"/>
            <w:shd w:val="clear" w:color="auto" w:fill="auto"/>
            <w:vAlign w:val="bottom"/>
          </w:tcPr>
          <w:p w14:paraId="1712CFF1"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25 222</w:t>
            </w:r>
          </w:p>
        </w:tc>
        <w:tc>
          <w:tcPr>
            <w:tcW w:w="742" w:type="dxa"/>
            <w:shd w:val="clear" w:color="auto" w:fill="auto"/>
            <w:vAlign w:val="bottom"/>
          </w:tcPr>
          <w:p w14:paraId="47C01D9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26 876</w:t>
            </w:r>
          </w:p>
        </w:tc>
        <w:tc>
          <w:tcPr>
            <w:tcW w:w="742" w:type="dxa"/>
            <w:shd w:val="clear" w:color="auto" w:fill="auto"/>
            <w:vAlign w:val="bottom"/>
          </w:tcPr>
          <w:p w14:paraId="303B861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28 923</w:t>
            </w:r>
          </w:p>
        </w:tc>
        <w:tc>
          <w:tcPr>
            <w:tcW w:w="742" w:type="dxa"/>
            <w:gridSpan w:val="2"/>
            <w:shd w:val="clear" w:color="auto" w:fill="auto"/>
            <w:vAlign w:val="bottom"/>
          </w:tcPr>
          <w:p w14:paraId="7694EE1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28 457</w:t>
            </w:r>
          </w:p>
        </w:tc>
      </w:tr>
      <w:tr w:rsidR="00046F46" w:rsidRPr="00EE4C2A" w14:paraId="33062396" w14:textId="77777777" w:rsidTr="00E11540">
        <w:tc>
          <w:tcPr>
            <w:tcW w:w="1276" w:type="dxa"/>
            <w:shd w:val="clear" w:color="auto" w:fill="auto"/>
          </w:tcPr>
          <w:p w14:paraId="76554A50"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rFonts w:eastAsia="Calibri"/>
                <w:sz w:val="18"/>
                <w:szCs w:val="18"/>
                <w:lang w:val="fr-FR"/>
              </w:rPr>
              <w:t>Muchinga</w:t>
            </w:r>
          </w:p>
        </w:tc>
        <w:tc>
          <w:tcPr>
            <w:tcW w:w="653" w:type="dxa"/>
            <w:shd w:val="clear" w:color="auto" w:fill="auto"/>
            <w:vAlign w:val="bottom"/>
          </w:tcPr>
          <w:p w14:paraId="4110D27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rFonts w:eastAsia="Calibri"/>
                <w:sz w:val="18"/>
                <w:szCs w:val="18"/>
                <w:lang w:val="fr-FR"/>
              </w:rPr>
              <w:t>-</w:t>
            </w:r>
          </w:p>
        </w:tc>
        <w:tc>
          <w:tcPr>
            <w:tcW w:w="654" w:type="dxa"/>
            <w:shd w:val="clear" w:color="auto" w:fill="auto"/>
            <w:vAlign w:val="bottom"/>
          </w:tcPr>
          <w:p w14:paraId="3D667B7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rFonts w:eastAsia="Calibri"/>
                <w:sz w:val="18"/>
                <w:szCs w:val="18"/>
                <w:lang w:val="fr-FR"/>
              </w:rPr>
              <w:t>-</w:t>
            </w:r>
          </w:p>
        </w:tc>
        <w:tc>
          <w:tcPr>
            <w:tcW w:w="655" w:type="dxa"/>
            <w:shd w:val="clear" w:color="auto" w:fill="auto"/>
            <w:vAlign w:val="bottom"/>
          </w:tcPr>
          <w:p w14:paraId="1F9C51F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2 516</w:t>
            </w:r>
          </w:p>
        </w:tc>
        <w:tc>
          <w:tcPr>
            <w:tcW w:w="742" w:type="dxa"/>
            <w:shd w:val="clear" w:color="auto" w:fill="auto"/>
            <w:vAlign w:val="bottom"/>
          </w:tcPr>
          <w:p w14:paraId="4B012541"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5 735</w:t>
            </w:r>
          </w:p>
        </w:tc>
        <w:tc>
          <w:tcPr>
            <w:tcW w:w="742" w:type="dxa"/>
            <w:shd w:val="clear" w:color="auto" w:fill="auto"/>
            <w:vAlign w:val="bottom"/>
          </w:tcPr>
          <w:p w14:paraId="05FF151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6 535</w:t>
            </w:r>
          </w:p>
        </w:tc>
        <w:tc>
          <w:tcPr>
            <w:tcW w:w="742" w:type="dxa"/>
            <w:shd w:val="clear" w:color="auto" w:fill="auto"/>
            <w:vAlign w:val="bottom"/>
          </w:tcPr>
          <w:p w14:paraId="25D9E5F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7 578</w:t>
            </w:r>
          </w:p>
        </w:tc>
        <w:tc>
          <w:tcPr>
            <w:tcW w:w="742" w:type="dxa"/>
            <w:shd w:val="clear" w:color="auto" w:fill="auto"/>
            <w:vAlign w:val="bottom"/>
          </w:tcPr>
          <w:p w14:paraId="3357BB7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10 319</w:t>
            </w:r>
          </w:p>
        </w:tc>
        <w:tc>
          <w:tcPr>
            <w:tcW w:w="742" w:type="dxa"/>
            <w:shd w:val="clear" w:color="auto" w:fill="auto"/>
            <w:vAlign w:val="bottom"/>
          </w:tcPr>
          <w:p w14:paraId="47BFF822"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11 685</w:t>
            </w:r>
          </w:p>
        </w:tc>
        <w:tc>
          <w:tcPr>
            <w:tcW w:w="742" w:type="dxa"/>
            <w:gridSpan w:val="2"/>
            <w:shd w:val="clear" w:color="auto" w:fill="auto"/>
            <w:vAlign w:val="bottom"/>
          </w:tcPr>
          <w:p w14:paraId="2A9F0EC3"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12 602</w:t>
            </w:r>
          </w:p>
        </w:tc>
      </w:tr>
      <w:tr w:rsidR="00046F46" w:rsidRPr="00EE4C2A" w14:paraId="5F11C4F3" w14:textId="77777777" w:rsidTr="00E11540">
        <w:tc>
          <w:tcPr>
            <w:tcW w:w="1276" w:type="dxa"/>
            <w:shd w:val="clear" w:color="auto" w:fill="auto"/>
          </w:tcPr>
          <w:p w14:paraId="0D8FF5A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Nord-Occidentale</w:t>
            </w:r>
          </w:p>
        </w:tc>
        <w:tc>
          <w:tcPr>
            <w:tcW w:w="653" w:type="dxa"/>
            <w:shd w:val="clear" w:color="auto" w:fill="auto"/>
            <w:vAlign w:val="bottom"/>
          </w:tcPr>
          <w:p w14:paraId="66D0D2E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1 029</w:t>
            </w:r>
          </w:p>
        </w:tc>
        <w:tc>
          <w:tcPr>
            <w:tcW w:w="654" w:type="dxa"/>
            <w:shd w:val="clear" w:color="auto" w:fill="auto"/>
            <w:vAlign w:val="bottom"/>
          </w:tcPr>
          <w:p w14:paraId="7438A93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1 781</w:t>
            </w:r>
          </w:p>
        </w:tc>
        <w:tc>
          <w:tcPr>
            <w:tcW w:w="655" w:type="dxa"/>
            <w:shd w:val="clear" w:color="auto" w:fill="auto"/>
            <w:vAlign w:val="bottom"/>
          </w:tcPr>
          <w:p w14:paraId="3CC051A9"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1 438</w:t>
            </w:r>
          </w:p>
        </w:tc>
        <w:tc>
          <w:tcPr>
            <w:tcW w:w="742" w:type="dxa"/>
            <w:shd w:val="clear" w:color="auto" w:fill="auto"/>
            <w:vAlign w:val="bottom"/>
          </w:tcPr>
          <w:p w14:paraId="3909A08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5 313</w:t>
            </w:r>
          </w:p>
        </w:tc>
        <w:tc>
          <w:tcPr>
            <w:tcW w:w="742" w:type="dxa"/>
            <w:shd w:val="clear" w:color="auto" w:fill="auto"/>
            <w:vAlign w:val="bottom"/>
          </w:tcPr>
          <w:p w14:paraId="4160369B"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5 313</w:t>
            </w:r>
          </w:p>
        </w:tc>
        <w:tc>
          <w:tcPr>
            <w:tcW w:w="742" w:type="dxa"/>
            <w:shd w:val="clear" w:color="auto" w:fill="auto"/>
            <w:vAlign w:val="bottom"/>
          </w:tcPr>
          <w:p w14:paraId="231BB0C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5 599</w:t>
            </w:r>
          </w:p>
        </w:tc>
        <w:tc>
          <w:tcPr>
            <w:tcW w:w="742" w:type="dxa"/>
            <w:shd w:val="clear" w:color="auto" w:fill="auto"/>
            <w:vAlign w:val="bottom"/>
          </w:tcPr>
          <w:p w14:paraId="785A6FC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6 958</w:t>
            </w:r>
          </w:p>
        </w:tc>
        <w:tc>
          <w:tcPr>
            <w:tcW w:w="742" w:type="dxa"/>
            <w:shd w:val="clear" w:color="auto" w:fill="auto"/>
            <w:vAlign w:val="bottom"/>
          </w:tcPr>
          <w:p w14:paraId="408008A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9 493</w:t>
            </w:r>
          </w:p>
        </w:tc>
        <w:tc>
          <w:tcPr>
            <w:tcW w:w="742" w:type="dxa"/>
            <w:gridSpan w:val="2"/>
            <w:shd w:val="clear" w:color="auto" w:fill="auto"/>
            <w:vAlign w:val="bottom"/>
          </w:tcPr>
          <w:p w14:paraId="0AD9C2C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11 707</w:t>
            </w:r>
          </w:p>
        </w:tc>
      </w:tr>
      <w:tr w:rsidR="00046F46" w:rsidRPr="00EE4C2A" w14:paraId="53AA9A31" w14:textId="77777777" w:rsidTr="00E11540">
        <w:tc>
          <w:tcPr>
            <w:tcW w:w="1276" w:type="dxa"/>
            <w:shd w:val="clear" w:color="auto" w:fill="auto"/>
          </w:tcPr>
          <w:p w14:paraId="47BD7FC2"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Septentrionale</w:t>
            </w:r>
          </w:p>
        </w:tc>
        <w:tc>
          <w:tcPr>
            <w:tcW w:w="653" w:type="dxa"/>
            <w:shd w:val="clear" w:color="auto" w:fill="auto"/>
            <w:vAlign w:val="bottom"/>
          </w:tcPr>
          <w:p w14:paraId="4BDB1B61"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1 257</w:t>
            </w:r>
          </w:p>
        </w:tc>
        <w:tc>
          <w:tcPr>
            <w:tcW w:w="654" w:type="dxa"/>
            <w:shd w:val="clear" w:color="auto" w:fill="auto"/>
            <w:vAlign w:val="bottom"/>
          </w:tcPr>
          <w:p w14:paraId="2FB63347"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1 394</w:t>
            </w:r>
          </w:p>
        </w:tc>
        <w:tc>
          <w:tcPr>
            <w:tcW w:w="655" w:type="dxa"/>
            <w:shd w:val="clear" w:color="auto" w:fill="auto"/>
            <w:vAlign w:val="bottom"/>
          </w:tcPr>
          <w:p w14:paraId="7BD9F8D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3 045</w:t>
            </w:r>
          </w:p>
        </w:tc>
        <w:tc>
          <w:tcPr>
            <w:tcW w:w="742" w:type="dxa"/>
            <w:shd w:val="clear" w:color="auto" w:fill="auto"/>
            <w:vAlign w:val="bottom"/>
          </w:tcPr>
          <w:p w14:paraId="742D40D3"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7 465</w:t>
            </w:r>
          </w:p>
        </w:tc>
        <w:tc>
          <w:tcPr>
            <w:tcW w:w="742" w:type="dxa"/>
            <w:shd w:val="clear" w:color="auto" w:fill="auto"/>
            <w:vAlign w:val="bottom"/>
          </w:tcPr>
          <w:p w14:paraId="071CD950"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7 465</w:t>
            </w:r>
          </w:p>
        </w:tc>
        <w:tc>
          <w:tcPr>
            <w:tcW w:w="742" w:type="dxa"/>
            <w:shd w:val="clear" w:color="auto" w:fill="auto"/>
            <w:vAlign w:val="bottom"/>
          </w:tcPr>
          <w:p w14:paraId="78C992DF"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7 590</w:t>
            </w:r>
          </w:p>
        </w:tc>
        <w:tc>
          <w:tcPr>
            <w:tcW w:w="742" w:type="dxa"/>
            <w:shd w:val="clear" w:color="auto" w:fill="auto"/>
            <w:vAlign w:val="bottom"/>
          </w:tcPr>
          <w:p w14:paraId="681479C8"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10 684</w:t>
            </w:r>
          </w:p>
        </w:tc>
        <w:tc>
          <w:tcPr>
            <w:tcW w:w="742" w:type="dxa"/>
            <w:shd w:val="clear" w:color="auto" w:fill="auto"/>
            <w:vAlign w:val="bottom"/>
          </w:tcPr>
          <w:p w14:paraId="7490E8C3"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12 669</w:t>
            </w:r>
          </w:p>
        </w:tc>
        <w:tc>
          <w:tcPr>
            <w:tcW w:w="742" w:type="dxa"/>
            <w:gridSpan w:val="2"/>
            <w:shd w:val="clear" w:color="auto" w:fill="auto"/>
            <w:vAlign w:val="bottom"/>
          </w:tcPr>
          <w:p w14:paraId="763E6B63"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12 872</w:t>
            </w:r>
          </w:p>
        </w:tc>
      </w:tr>
      <w:tr w:rsidR="00046F46" w:rsidRPr="00EE4C2A" w14:paraId="06EFEF70" w14:textId="77777777" w:rsidTr="00E11540">
        <w:tc>
          <w:tcPr>
            <w:tcW w:w="1276" w:type="dxa"/>
            <w:shd w:val="clear" w:color="auto" w:fill="auto"/>
          </w:tcPr>
          <w:p w14:paraId="52EA32E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Méridionale</w:t>
            </w:r>
          </w:p>
        </w:tc>
        <w:tc>
          <w:tcPr>
            <w:tcW w:w="653" w:type="dxa"/>
            <w:shd w:val="clear" w:color="auto" w:fill="auto"/>
            <w:vAlign w:val="bottom"/>
          </w:tcPr>
          <w:p w14:paraId="7DB081D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6 139</w:t>
            </w:r>
          </w:p>
        </w:tc>
        <w:tc>
          <w:tcPr>
            <w:tcW w:w="654" w:type="dxa"/>
            <w:shd w:val="clear" w:color="auto" w:fill="auto"/>
            <w:vAlign w:val="bottom"/>
          </w:tcPr>
          <w:p w14:paraId="7772FE55"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6 226</w:t>
            </w:r>
          </w:p>
        </w:tc>
        <w:tc>
          <w:tcPr>
            <w:tcW w:w="655" w:type="dxa"/>
            <w:shd w:val="clear" w:color="auto" w:fill="auto"/>
            <w:vAlign w:val="bottom"/>
          </w:tcPr>
          <w:p w14:paraId="1193F73F"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8 756</w:t>
            </w:r>
          </w:p>
        </w:tc>
        <w:tc>
          <w:tcPr>
            <w:tcW w:w="742" w:type="dxa"/>
            <w:shd w:val="clear" w:color="auto" w:fill="auto"/>
            <w:vAlign w:val="bottom"/>
          </w:tcPr>
          <w:p w14:paraId="7480E2C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33 416</w:t>
            </w:r>
          </w:p>
        </w:tc>
        <w:tc>
          <w:tcPr>
            <w:tcW w:w="742" w:type="dxa"/>
            <w:shd w:val="clear" w:color="auto" w:fill="auto"/>
            <w:vAlign w:val="bottom"/>
          </w:tcPr>
          <w:p w14:paraId="0F89FE83"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33 416</w:t>
            </w:r>
          </w:p>
        </w:tc>
        <w:tc>
          <w:tcPr>
            <w:tcW w:w="742" w:type="dxa"/>
            <w:shd w:val="clear" w:color="auto" w:fill="auto"/>
            <w:vAlign w:val="bottom"/>
          </w:tcPr>
          <w:p w14:paraId="3BF59CD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34 529</w:t>
            </w:r>
          </w:p>
        </w:tc>
        <w:tc>
          <w:tcPr>
            <w:tcW w:w="742" w:type="dxa"/>
            <w:shd w:val="clear" w:color="auto" w:fill="auto"/>
            <w:vAlign w:val="bottom"/>
          </w:tcPr>
          <w:p w14:paraId="588FA9BE"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35 652</w:t>
            </w:r>
          </w:p>
        </w:tc>
        <w:tc>
          <w:tcPr>
            <w:tcW w:w="742" w:type="dxa"/>
            <w:shd w:val="clear" w:color="auto" w:fill="auto"/>
            <w:vAlign w:val="bottom"/>
          </w:tcPr>
          <w:p w14:paraId="1A6FC79A"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40 040</w:t>
            </w:r>
          </w:p>
        </w:tc>
        <w:tc>
          <w:tcPr>
            <w:tcW w:w="742" w:type="dxa"/>
            <w:gridSpan w:val="2"/>
            <w:shd w:val="clear" w:color="auto" w:fill="auto"/>
            <w:vAlign w:val="bottom"/>
          </w:tcPr>
          <w:p w14:paraId="4D490FCC"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44 857</w:t>
            </w:r>
          </w:p>
        </w:tc>
      </w:tr>
      <w:tr w:rsidR="00046F46" w:rsidRPr="00EE4C2A" w14:paraId="7521C745" w14:textId="77777777" w:rsidTr="00E11540">
        <w:tc>
          <w:tcPr>
            <w:tcW w:w="1276" w:type="dxa"/>
            <w:tcBorders>
              <w:bottom w:val="single" w:sz="4" w:space="0" w:color="auto"/>
            </w:tcBorders>
            <w:shd w:val="clear" w:color="auto" w:fill="auto"/>
          </w:tcPr>
          <w:p w14:paraId="3DC1457F"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Occidentale</w:t>
            </w:r>
          </w:p>
        </w:tc>
        <w:tc>
          <w:tcPr>
            <w:tcW w:w="653" w:type="dxa"/>
            <w:tcBorders>
              <w:bottom w:val="single" w:sz="4" w:space="0" w:color="auto"/>
            </w:tcBorders>
            <w:shd w:val="clear" w:color="auto" w:fill="auto"/>
            <w:vAlign w:val="bottom"/>
          </w:tcPr>
          <w:p w14:paraId="3A94009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886</w:t>
            </w:r>
          </w:p>
        </w:tc>
        <w:tc>
          <w:tcPr>
            <w:tcW w:w="654" w:type="dxa"/>
            <w:tcBorders>
              <w:bottom w:val="single" w:sz="4" w:space="0" w:color="auto"/>
            </w:tcBorders>
            <w:shd w:val="clear" w:color="auto" w:fill="auto"/>
            <w:vAlign w:val="bottom"/>
          </w:tcPr>
          <w:p w14:paraId="5AE85AF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1 546</w:t>
            </w:r>
          </w:p>
        </w:tc>
        <w:tc>
          <w:tcPr>
            <w:tcW w:w="655" w:type="dxa"/>
            <w:tcBorders>
              <w:bottom w:val="single" w:sz="4" w:space="0" w:color="auto"/>
            </w:tcBorders>
            <w:shd w:val="clear" w:color="auto" w:fill="auto"/>
            <w:vAlign w:val="bottom"/>
          </w:tcPr>
          <w:p w14:paraId="1EF62D4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2 654</w:t>
            </w:r>
          </w:p>
        </w:tc>
        <w:tc>
          <w:tcPr>
            <w:tcW w:w="742" w:type="dxa"/>
            <w:tcBorders>
              <w:bottom w:val="single" w:sz="4" w:space="0" w:color="auto"/>
            </w:tcBorders>
            <w:shd w:val="clear" w:color="auto" w:fill="auto"/>
            <w:vAlign w:val="bottom"/>
          </w:tcPr>
          <w:p w14:paraId="65334F62"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7 742</w:t>
            </w:r>
          </w:p>
        </w:tc>
        <w:tc>
          <w:tcPr>
            <w:tcW w:w="742" w:type="dxa"/>
            <w:tcBorders>
              <w:bottom w:val="single" w:sz="4" w:space="0" w:color="auto"/>
            </w:tcBorders>
            <w:shd w:val="clear" w:color="auto" w:fill="auto"/>
            <w:vAlign w:val="bottom"/>
          </w:tcPr>
          <w:p w14:paraId="7C795FF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7 742</w:t>
            </w:r>
          </w:p>
        </w:tc>
        <w:tc>
          <w:tcPr>
            <w:tcW w:w="742" w:type="dxa"/>
            <w:tcBorders>
              <w:bottom w:val="single" w:sz="4" w:space="0" w:color="auto"/>
            </w:tcBorders>
            <w:shd w:val="clear" w:color="auto" w:fill="auto"/>
            <w:vAlign w:val="bottom"/>
          </w:tcPr>
          <w:p w14:paraId="57630F6C"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9 582</w:t>
            </w:r>
          </w:p>
        </w:tc>
        <w:tc>
          <w:tcPr>
            <w:tcW w:w="742" w:type="dxa"/>
            <w:tcBorders>
              <w:bottom w:val="single" w:sz="4" w:space="0" w:color="auto"/>
            </w:tcBorders>
            <w:shd w:val="clear" w:color="auto" w:fill="auto"/>
            <w:vAlign w:val="bottom"/>
          </w:tcPr>
          <w:p w14:paraId="0E537EC6"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11 439</w:t>
            </w:r>
          </w:p>
        </w:tc>
        <w:tc>
          <w:tcPr>
            <w:tcW w:w="742" w:type="dxa"/>
            <w:tcBorders>
              <w:bottom w:val="single" w:sz="4" w:space="0" w:color="auto"/>
            </w:tcBorders>
            <w:shd w:val="clear" w:color="auto" w:fill="auto"/>
            <w:vAlign w:val="bottom"/>
          </w:tcPr>
          <w:p w14:paraId="343331EB"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13 784</w:t>
            </w:r>
          </w:p>
        </w:tc>
        <w:tc>
          <w:tcPr>
            <w:tcW w:w="742" w:type="dxa"/>
            <w:gridSpan w:val="2"/>
            <w:tcBorders>
              <w:bottom w:val="single" w:sz="4" w:space="0" w:color="auto"/>
            </w:tcBorders>
            <w:shd w:val="clear" w:color="auto" w:fill="auto"/>
            <w:vAlign w:val="bottom"/>
          </w:tcPr>
          <w:p w14:paraId="2B0EE2DB"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22 980</w:t>
            </w:r>
          </w:p>
        </w:tc>
      </w:tr>
      <w:tr w:rsidR="00046F46" w:rsidRPr="00E11540" w14:paraId="73B5EAB8" w14:textId="77777777" w:rsidTr="004C1F7B">
        <w:tc>
          <w:tcPr>
            <w:tcW w:w="1276" w:type="dxa"/>
            <w:tcBorders>
              <w:top w:val="single" w:sz="4" w:space="0" w:color="auto"/>
              <w:bottom w:val="single" w:sz="12" w:space="0" w:color="auto"/>
            </w:tcBorders>
            <w:shd w:val="clear" w:color="auto" w:fill="auto"/>
          </w:tcPr>
          <w:p w14:paraId="2BE6887F" w14:textId="77777777" w:rsidR="00046F46" w:rsidRPr="00E11540" w:rsidRDefault="00046F46" w:rsidP="00E11540">
            <w:pPr>
              <w:pStyle w:val="SingleTxtG"/>
              <w:tabs>
                <w:tab w:val="clear" w:pos="1701"/>
                <w:tab w:val="clear" w:pos="2268"/>
              </w:tabs>
              <w:suppressAutoHyphens w:val="0"/>
              <w:spacing w:before="80" w:after="80" w:line="220" w:lineRule="exact"/>
              <w:ind w:left="283" w:right="0"/>
              <w:jc w:val="left"/>
              <w:rPr>
                <w:rFonts w:eastAsia="Calibri"/>
                <w:b/>
                <w:sz w:val="18"/>
                <w:szCs w:val="18"/>
                <w:lang w:val="fr-FR"/>
              </w:rPr>
            </w:pPr>
            <w:r w:rsidRPr="00E11540">
              <w:rPr>
                <w:b/>
                <w:sz w:val="18"/>
                <w:szCs w:val="18"/>
                <w:lang w:val="fr-FR"/>
              </w:rPr>
              <w:t>Total</w:t>
            </w:r>
          </w:p>
        </w:tc>
        <w:tc>
          <w:tcPr>
            <w:tcW w:w="653" w:type="dxa"/>
            <w:tcBorders>
              <w:top w:val="single" w:sz="4" w:space="0" w:color="auto"/>
              <w:bottom w:val="single" w:sz="12" w:space="0" w:color="auto"/>
            </w:tcBorders>
            <w:shd w:val="clear" w:color="auto" w:fill="auto"/>
          </w:tcPr>
          <w:p w14:paraId="460F2F4D"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47 317</w:t>
            </w:r>
          </w:p>
        </w:tc>
        <w:tc>
          <w:tcPr>
            <w:tcW w:w="654" w:type="dxa"/>
            <w:tcBorders>
              <w:top w:val="single" w:sz="4" w:space="0" w:color="auto"/>
              <w:bottom w:val="single" w:sz="12" w:space="0" w:color="auto"/>
            </w:tcBorders>
            <w:shd w:val="clear" w:color="auto" w:fill="auto"/>
          </w:tcPr>
          <w:p w14:paraId="4F967B88"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52 640</w:t>
            </w:r>
          </w:p>
        </w:tc>
        <w:tc>
          <w:tcPr>
            <w:tcW w:w="655" w:type="dxa"/>
            <w:tcBorders>
              <w:top w:val="single" w:sz="4" w:space="0" w:color="auto"/>
              <w:bottom w:val="single" w:sz="12" w:space="0" w:color="auto"/>
            </w:tcBorders>
            <w:shd w:val="clear" w:color="auto" w:fill="auto"/>
          </w:tcPr>
          <w:p w14:paraId="5B0DF316"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60 720</w:t>
            </w:r>
          </w:p>
        </w:tc>
        <w:tc>
          <w:tcPr>
            <w:tcW w:w="742" w:type="dxa"/>
            <w:tcBorders>
              <w:top w:val="single" w:sz="4" w:space="0" w:color="auto"/>
              <w:bottom w:val="single" w:sz="12" w:space="0" w:color="auto"/>
            </w:tcBorders>
            <w:shd w:val="clear" w:color="auto" w:fill="auto"/>
          </w:tcPr>
          <w:p w14:paraId="4133754C"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131 394</w:t>
            </w:r>
          </w:p>
        </w:tc>
        <w:tc>
          <w:tcPr>
            <w:tcW w:w="742" w:type="dxa"/>
            <w:tcBorders>
              <w:top w:val="single" w:sz="4" w:space="0" w:color="auto"/>
              <w:bottom w:val="single" w:sz="12" w:space="0" w:color="auto"/>
            </w:tcBorders>
            <w:shd w:val="clear" w:color="auto" w:fill="auto"/>
          </w:tcPr>
          <w:p w14:paraId="6E27CA6F"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142 873</w:t>
            </w:r>
          </w:p>
        </w:tc>
        <w:tc>
          <w:tcPr>
            <w:tcW w:w="742" w:type="dxa"/>
            <w:tcBorders>
              <w:top w:val="single" w:sz="4" w:space="0" w:color="auto"/>
              <w:bottom w:val="single" w:sz="12" w:space="0" w:color="auto"/>
            </w:tcBorders>
            <w:shd w:val="clear" w:color="auto" w:fill="auto"/>
          </w:tcPr>
          <w:p w14:paraId="078DFEC3"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160 295</w:t>
            </w:r>
          </w:p>
        </w:tc>
        <w:tc>
          <w:tcPr>
            <w:tcW w:w="742" w:type="dxa"/>
            <w:tcBorders>
              <w:top w:val="single" w:sz="4" w:space="0" w:color="auto"/>
              <w:bottom w:val="single" w:sz="12" w:space="0" w:color="auto"/>
            </w:tcBorders>
            <w:shd w:val="clear" w:color="auto" w:fill="auto"/>
          </w:tcPr>
          <w:p w14:paraId="6D732AD2"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184 398</w:t>
            </w:r>
          </w:p>
        </w:tc>
        <w:tc>
          <w:tcPr>
            <w:tcW w:w="742" w:type="dxa"/>
            <w:tcBorders>
              <w:top w:val="single" w:sz="4" w:space="0" w:color="auto"/>
              <w:bottom w:val="single" w:sz="12" w:space="0" w:color="auto"/>
            </w:tcBorders>
            <w:shd w:val="clear" w:color="auto" w:fill="auto"/>
          </w:tcPr>
          <w:p w14:paraId="763EAC07"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222 065</w:t>
            </w:r>
          </w:p>
        </w:tc>
        <w:tc>
          <w:tcPr>
            <w:tcW w:w="742" w:type="dxa"/>
            <w:gridSpan w:val="2"/>
            <w:tcBorders>
              <w:top w:val="single" w:sz="4" w:space="0" w:color="auto"/>
              <w:bottom w:val="single" w:sz="12" w:space="0" w:color="auto"/>
            </w:tcBorders>
            <w:shd w:val="clear" w:color="auto" w:fill="auto"/>
          </w:tcPr>
          <w:p w14:paraId="5D5A7E8E" w14:textId="77777777" w:rsidR="00046F46" w:rsidRPr="00E11540" w:rsidRDefault="00046F46" w:rsidP="00E11540">
            <w:pPr>
              <w:pStyle w:val="SingleTxtG"/>
              <w:tabs>
                <w:tab w:val="clear" w:pos="1701"/>
                <w:tab w:val="clear" w:pos="2268"/>
              </w:tabs>
              <w:suppressAutoHyphens w:val="0"/>
              <w:spacing w:before="80" w:after="80" w:line="220" w:lineRule="exact"/>
              <w:ind w:left="0" w:right="0"/>
              <w:jc w:val="right"/>
              <w:rPr>
                <w:rFonts w:eastAsia="Calibri"/>
                <w:b/>
                <w:sz w:val="18"/>
                <w:szCs w:val="18"/>
                <w:lang w:val="fr-FR"/>
              </w:rPr>
            </w:pPr>
            <w:r w:rsidRPr="00E11540">
              <w:rPr>
                <w:b/>
                <w:sz w:val="18"/>
                <w:szCs w:val="18"/>
                <w:lang w:val="fr-FR"/>
              </w:rPr>
              <w:t>254 008</w:t>
            </w:r>
          </w:p>
        </w:tc>
      </w:tr>
    </w:tbl>
    <w:p w14:paraId="24FA8C95" w14:textId="77777777" w:rsidR="00046F46" w:rsidRPr="00EE4C2A" w:rsidRDefault="00046F46" w:rsidP="00046F46">
      <w:pPr>
        <w:pStyle w:val="H1G"/>
        <w:rPr>
          <w:lang w:val="fr-FR"/>
        </w:rPr>
      </w:pPr>
      <w:r w:rsidRPr="00EE4C2A">
        <w:rPr>
          <w:bCs/>
          <w:lang w:val="fr-FR"/>
        </w:rPr>
        <w:tab/>
        <w:t>J.</w:t>
      </w:r>
      <w:r w:rsidRPr="00EE4C2A">
        <w:rPr>
          <w:lang w:val="fr-FR"/>
        </w:rPr>
        <w:tab/>
      </w:r>
      <w:r w:rsidRPr="00EE4C2A">
        <w:rPr>
          <w:bCs/>
          <w:lang w:val="fr-FR"/>
        </w:rPr>
        <w:t>Mesures de protection spéciales (art. 22, 30, 32, 33, 35, 36, 37 (al. b) à d)) et 38 à 40)</w:t>
      </w:r>
      <w:bookmarkEnd w:id="55"/>
    </w:p>
    <w:p w14:paraId="3AEFEDCC"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47 a) de la liste de points établie </w:t>
      </w:r>
      <w:r>
        <w:rPr>
          <w:bCs/>
          <w:lang w:val="fr-FR"/>
        </w:rPr>
        <w:t>avant la soumission du rapport</w:t>
      </w:r>
    </w:p>
    <w:p w14:paraId="21827165" w14:textId="3D25DF43" w:rsidR="00046F46" w:rsidRPr="00EE4C2A" w:rsidRDefault="00046F46" w:rsidP="00046F46">
      <w:pPr>
        <w:pStyle w:val="SingleTxtG"/>
        <w:rPr>
          <w:rFonts w:eastAsia="Calibri"/>
          <w:i/>
          <w:lang w:val="fr-FR"/>
        </w:rPr>
      </w:pPr>
      <w:r w:rsidRPr="00EE4C2A">
        <w:rPr>
          <w:lang w:val="fr-FR"/>
        </w:rPr>
        <w:t>218.</w:t>
      </w:r>
      <w:r w:rsidRPr="00EE4C2A">
        <w:rPr>
          <w:lang w:val="fr-FR"/>
        </w:rPr>
        <w:tab/>
        <w:t>En ce qui concerne le nombre de demandeurs d</w:t>
      </w:r>
      <w:r w:rsidR="008279BF">
        <w:rPr>
          <w:lang w:val="fr-FR"/>
        </w:rPr>
        <w:t>’</w:t>
      </w:r>
      <w:r w:rsidRPr="00EE4C2A">
        <w:rPr>
          <w:lang w:val="fr-FR"/>
        </w:rPr>
        <w:t>asile, deux hommes de nationalité congolaise ont été enregistrés comme demandeurs d</w:t>
      </w:r>
      <w:r w:rsidR="008279BF">
        <w:rPr>
          <w:lang w:val="fr-FR"/>
        </w:rPr>
        <w:t>’</w:t>
      </w:r>
      <w:r w:rsidRPr="00EE4C2A">
        <w:rPr>
          <w:lang w:val="fr-FR"/>
        </w:rPr>
        <w:t>asile. Ils ont été réintégrés dans les camps de réfugiés.</w:t>
      </w:r>
    </w:p>
    <w:p w14:paraId="2444F1B5"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47 b) de la liste de points établie </w:t>
      </w:r>
      <w:r>
        <w:rPr>
          <w:bCs/>
          <w:lang w:val="fr-FR"/>
        </w:rPr>
        <w:t>avant la soumission du rapport</w:t>
      </w:r>
    </w:p>
    <w:p w14:paraId="03F96135" w14:textId="6D549377" w:rsidR="00046F46" w:rsidRPr="00EE4C2A" w:rsidRDefault="00046F46" w:rsidP="00046F46">
      <w:pPr>
        <w:pStyle w:val="SingleTxtG"/>
        <w:rPr>
          <w:rFonts w:eastAsia="Calibri"/>
          <w:lang w:val="fr-FR"/>
        </w:rPr>
      </w:pPr>
      <w:r w:rsidRPr="00EE4C2A">
        <w:rPr>
          <w:lang w:val="fr-FR"/>
        </w:rPr>
        <w:t>219.</w:t>
      </w:r>
      <w:r w:rsidRPr="00EE4C2A">
        <w:rPr>
          <w:lang w:val="fr-FR"/>
        </w:rPr>
        <w:tab/>
      </w:r>
      <w:r>
        <w:rPr>
          <w:lang w:val="fr-FR"/>
        </w:rPr>
        <w:t>L</w:t>
      </w:r>
      <w:r w:rsidRPr="00EE4C2A">
        <w:rPr>
          <w:lang w:val="fr-FR"/>
        </w:rPr>
        <w:t>e nombre d</w:t>
      </w:r>
      <w:r w:rsidR="008279BF">
        <w:rPr>
          <w:lang w:val="fr-FR"/>
        </w:rPr>
        <w:t>’</w:t>
      </w:r>
      <w:r w:rsidRPr="00EE4C2A">
        <w:rPr>
          <w:lang w:val="fr-FR"/>
        </w:rPr>
        <w:t>enfants migrants était</w:t>
      </w:r>
      <w:r>
        <w:rPr>
          <w:lang w:val="fr-FR"/>
        </w:rPr>
        <w:t xml:space="preserve"> de</w:t>
      </w:r>
      <w:r w:rsidRPr="00EE4C2A">
        <w:rPr>
          <w:lang w:val="fr-FR"/>
        </w:rPr>
        <w:t xml:space="preserve"> 229 : 185 garçons et 44 filles. On relève des divergences s</w:t>
      </w:r>
      <w:r w:rsidR="008279BF">
        <w:rPr>
          <w:lang w:val="fr-FR"/>
        </w:rPr>
        <w:t>’</w:t>
      </w:r>
      <w:r w:rsidRPr="00EE4C2A">
        <w:rPr>
          <w:lang w:val="fr-FR"/>
        </w:rPr>
        <w:t>agissant des âges, car il peut être difficile de déterminer l</w:t>
      </w:r>
      <w:r w:rsidR="008279BF">
        <w:rPr>
          <w:lang w:val="fr-FR"/>
        </w:rPr>
        <w:t>’</w:t>
      </w:r>
      <w:r w:rsidRPr="00EE4C2A">
        <w:rPr>
          <w:lang w:val="fr-FR"/>
        </w:rPr>
        <w:t>âge des jeunes migrants.</w:t>
      </w:r>
    </w:p>
    <w:p w14:paraId="1112E76D" w14:textId="77777777" w:rsidR="00046F46" w:rsidRPr="00EE4C2A" w:rsidRDefault="00046F46" w:rsidP="00046F46">
      <w:pPr>
        <w:pStyle w:val="H23G"/>
        <w:rPr>
          <w:lang w:val="fr-FR"/>
        </w:rPr>
      </w:pPr>
      <w:r w:rsidRPr="00EE4C2A">
        <w:rPr>
          <w:lang w:val="fr-FR"/>
        </w:rPr>
        <w:lastRenderedPageBreak/>
        <w:tab/>
      </w:r>
      <w:r w:rsidRPr="00EE4C2A">
        <w:rPr>
          <w:lang w:val="fr-FR"/>
        </w:rPr>
        <w:tab/>
      </w:r>
      <w:r w:rsidRPr="00EE4C2A">
        <w:rPr>
          <w:bCs/>
          <w:lang w:val="fr-FR"/>
        </w:rPr>
        <w:t xml:space="preserve">Réponse concernant les points soulevés au paragraphe 47 c) de la liste de points établie </w:t>
      </w:r>
      <w:r>
        <w:rPr>
          <w:bCs/>
          <w:lang w:val="fr-FR"/>
        </w:rPr>
        <w:t>avant la soumission du rapport</w:t>
      </w:r>
    </w:p>
    <w:p w14:paraId="1D450AC7" w14:textId="60AA231B" w:rsidR="00046F46" w:rsidRPr="00EE4C2A" w:rsidRDefault="00046F46" w:rsidP="00046F46">
      <w:pPr>
        <w:pStyle w:val="SingleTxtG"/>
        <w:rPr>
          <w:rFonts w:eastAsia="Calibri"/>
          <w:lang w:val="fr-FR"/>
        </w:rPr>
      </w:pPr>
      <w:r w:rsidRPr="00EE4C2A">
        <w:rPr>
          <w:lang w:val="fr-FR"/>
        </w:rPr>
        <w:t>220.</w:t>
      </w:r>
      <w:r w:rsidRPr="00EE4C2A">
        <w:rPr>
          <w:lang w:val="fr-FR"/>
        </w:rPr>
        <w:tab/>
        <w:t xml:space="preserve">Seuls 108 enfants migrants se trouvaient en centres de détention, </w:t>
      </w:r>
      <w:r>
        <w:rPr>
          <w:lang w:val="fr-FR"/>
        </w:rPr>
        <w:t>ce qui s</w:t>
      </w:r>
      <w:r w:rsidR="008279BF">
        <w:rPr>
          <w:lang w:val="fr-FR"/>
        </w:rPr>
        <w:t>’</w:t>
      </w:r>
      <w:r>
        <w:rPr>
          <w:lang w:val="fr-FR"/>
        </w:rPr>
        <w:t xml:space="preserve">explique par le fait que </w:t>
      </w:r>
      <w:r w:rsidRPr="00EE4C2A">
        <w:rPr>
          <w:lang w:val="fr-FR"/>
        </w:rPr>
        <w:t>certains d</w:t>
      </w:r>
      <w:r w:rsidR="008279BF">
        <w:rPr>
          <w:lang w:val="fr-FR"/>
        </w:rPr>
        <w:t>’</w:t>
      </w:r>
      <w:r w:rsidRPr="00EE4C2A">
        <w:rPr>
          <w:lang w:val="fr-FR"/>
        </w:rPr>
        <w:t>entre eux ont été attaqués dans un district, ce qui constituait une menace pour leur sécurité. Ils ont donc dû être placés en lieu sûr avant de retrouver une situation normale.</w:t>
      </w:r>
    </w:p>
    <w:p w14:paraId="7CBB4763"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47 d) de la liste de points établie </w:t>
      </w:r>
      <w:r>
        <w:rPr>
          <w:bCs/>
          <w:lang w:val="fr-FR"/>
        </w:rPr>
        <w:t>avant la soumission du rapport</w:t>
      </w:r>
    </w:p>
    <w:p w14:paraId="37AE8BAA" w14:textId="77777777" w:rsidR="00046F46" w:rsidRPr="00EE4C2A" w:rsidRDefault="00046F46" w:rsidP="00046F46">
      <w:pPr>
        <w:pStyle w:val="SingleTxtG"/>
        <w:rPr>
          <w:rFonts w:eastAsia="Calibri"/>
          <w:i/>
          <w:lang w:val="fr-FR"/>
        </w:rPr>
      </w:pPr>
      <w:r w:rsidRPr="00EE4C2A">
        <w:rPr>
          <w:lang w:val="fr-FR"/>
        </w:rPr>
        <w:t>221.</w:t>
      </w:r>
      <w:r w:rsidRPr="00EE4C2A">
        <w:rPr>
          <w:lang w:val="fr-FR"/>
        </w:rPr>
        <w:tab/>
        <w:t>Tous les enfants ont pu accéder aux services de santé, mais un enseignant a été chargé de dispenser un enseignement de base aux enfants migrants placés en lieux sûrs, en raison des diverses durées de leur placement et des différents programmes scolaires. Les enfants réintégrés dans le pays ont été inscrits dans les écoles de leur communauté, et les autres ont été rapatriés.</w:t>
      </w:r>
    </w:p>
    <w:p w14:paraId="3E30C56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48 de la liste de points établie </w:t>
      </w:r>
      <w:r>
        <w:rPr>
          <w:bCs/>
          <w:lang w:val="fr-FR"/>
        </w:rPr>
        <w:t>avant la soumission du rapport</w:t>
      </w:r>
    </w:p>
    <w:p w14:paraId="70122003" w14:textId="715378B9" w:rsidR="00046F46" w:rsidRPr="00EE4C2A" w:rsidRDefault="00046F46" w:rsidP="00046F46">
      <w:pPr>
        <w:pStyle w:val="SingleTxtG"/>
        <w:rPr>
          <w:rFonts w:eastAsia="Calibri"/>
          <w:lang w:val="fr-FR"/>
        </w:rPr>
      </w:pPr>
      <w:r w:rsidRPr="00EE4C2A">
        <w:rPr>
          <w:lang w:val="fr-FR"/>
        </w:rPr>
        <w:t>222.</w:t>
      </w:r>
      <w:r w:rsidRPr="00EE4C2A">
        <w:rPr>
          <w:lang w:val="fr-FR"/>
        </w:rPr>
        <w:tab/>
        <w:t>Aucun enfant sans papiers n</w:t>
      </w:r>
      <w:r w:rsidR="008279BF">
        <w:rPr>
          <w:lang w:val="fr-FR"/>
        </w:rPr>
        <w:t>’</w:t>
      </w:r>
      <w:r w:rsidRPr="00EE4C2A">
        <w:rPr>
          <w:lang w:val="fr-FR"/>
        </w:rPr>
        <w:t>a été enregistré. De même, selon les informations reçues sur les dossiers traités aux fins de protection, soins et assistance, 229 enfants migrants</w:t>
      </w:r>
      <w:r w:rsidR="00E11540">
        <w:rPr>
          <w:lang w:val="fr-FR"/>
        </w:rPr>
        <w:t xml:space="preserve"> </w:t>
      </w:r>
      <w:r w:rsidRPr="00EE4C2A">
        <w:rPr>
          <w:lang w:val="fr-FR"/>
        </w:rPr>
        <w:t>(185 garçons et 44 filles) ont eu accès à des soins de santé et aux services sociaux.</w:t>
      </w:r>
    </w:p>
    <w:p w14:paraId="02630F40"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49 a) de la liste de points établie </w:t>
      </w:r>
      <w:r>
        <w:rPr>
          <w:bCs/>
          <w:lang w:val="fr-FR"/>
        </w:rPr>
        <w:t>avant la soumission du rapport</w:t>
      </w:r>
    </w:p>
    <w:p w14:paraId="2D4CBCFA" w14:textId="7C624B5D" w:rsidR="00046F46" w:rsidRPr="00EE4C2A" w:rsidRDefault="00046F46" w:rsidP="00046F46">
      <w:pPr>
        <w:pStyle w:val="SingleTxtG"/>
        <w:rPr>
          <w:rFonts w:eastAsia="Calibri"/>
          <w:lang w:val="fr-FR"/>
        </w:rPr>
      </w:pPr>
      <w:r w:rsidRPr="00EE4C2A">
        <w:rPr>
          <w:lang w:val="fr-FR"/>
        </w:rPr>
        <w:t>223.</w:t>
      </w:r>
      <w:r w:rsidRPr="00EE4C2A">
        <w:rPr>
          <w:lang w:val="fr-FR"/>
        </w:rPr>
        <w:tab/>
        <w:t>Le tableau ci-après indique le nombre d</w:t>
      </w:r>
      <w:r w:rsidR="008279BF">
        <w:rPr>
          <w:lang w:val="fr-FR"/>
        </w:rPr>
        <w:t>’</w:t>
      </w:r>
      <w:r w:rsidRPr="00EE4C2A">
        <w:rPr>
          <w:lang w:val="fr-FR"/>
        </w:rPr>
        <w:t>enfants travaillant dans des conditions dangereuses. Parmi les enfants qui travaillaient, 3,5 % le faisaient dans des conditions dangereuses. Le tableau montre également que 96,5 % des enfants qui travaillaient n</w:t>
      </w:r>
      <w:r w:rsidR="008279BF">
        <w:rPr>
          <w:lang w:val="fr-FR"/>
        </w:rPr>
        <w:t>’</w:t>
      </w:r>
      <w:r w:rsidRPr="00EE4C2A">
        <w:rPr>
          <w:lang w:val="fr-FR"/>
        </w:rPr>
        <w:t xml:space="preserve">effectuaient pas </w:t>
      </w:r>
      <w:r>
        <w:rPr>
          <w:lang w:val="fr-FR"/>
        </w:rPr>
        <w:t xml:space="preserve">de </w:t>
      </w:r>
      <w:r w:rsidRPr="00EE4C2A">
        <w:rPr>
          <w:lang w:val="fr-FR"/>
        </w:rPr>
        <w:t>trava</w:t>
      </w:r>
      <w:r>
        <w:rPr>
          <w:lang w:val="fr-FR"/>
        </w:rPr>
        <w:t>ux</w:t>
      </w:r>
      <w:r w:rsidRPr="00EE4C2A">
        <w:rPr>
          <w:lang w:val="fr-FR"/>
        </w:rPr>
        <w:t xml:space="preserve"> dangereux.</w:t>
      </w:r>
    </w:p>
    <w:p w14:paraId="73FA9B89" w14:textId="7C5F92E1"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Nombre d</w:t>
      </w:r>
      <w:r w:rsidR="008279BF">
        <w:rPr>
          <w:bCs/>
          <w:lang w:val="fr-FR"/>
        </w:rPr>
        <w:t>’</w:t>
      </w:r>
      <w:r w:rsidRPr="00EE4C2A">
        <w:rPr>
          <w:bCs/>
          <w:lang w:val="fr-FR"/>
        </w:rPr>
        <w:t xml:space="preserve">enfants travaillant dans des conditions dangereuses, et répartition </w:t>
      </w:r>
      <w:r w:rsidR="00E11540">
        <w:rPr>
          <w:bCs/>
          <w:lang w:val="fr-FR"/>
        </w:rPr>
        <w:br/>
      </w:r>
      <w:r w:rsidRPr="00EE4C2A">
        <w:rPr>
          <w:bCs/>
          <w:lang w:val="fr-FR"/>
        </w:rPr>
        <w:t>en pourcentage de ces enfants,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0"/>
        <w:gridCol w:w="913"/>
        <w:gridCol w:w="1052"/>
        <w:gridCol w:w="1044"/>
        <w:gridCol w:w="1052"/>
        <w:gridCol w:w="1041"/>
      </w:tblGrid>
      <w:tr w:rsidR="00046F46" w:rsidRPr="00EE4C2A" w14:paraId="550C7E98" w14:textId="77777777" w:rsidTr="00E11540">
        <w:trPr>
          <w:tblHeader/>
        </w:trPr>
        <w:tc>
          <w:tcPr>
            <w:tcW w:w="1418" w:type="dxa"/>
            <w:vMerge w:val="restart"/>
            <w:tcBorders>
              <w:top w:val="single" w:sz="4" w:space="0" w:color="auto"/>
              <w:bottom w:val="single" w:sz="12" w:space="0" w:color="auto"/>
            </w:tcBorders>
            <w:shd w:val="clear" w:color="auto" w:fill="auto"/>
            <w:vAlign w:val="bottom"/>
          </w:tcPr>
          <w:p w14:paraId="702DCA02"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left"/>
              <w:rPr>
                <w:rFonts w:eastAsia="Calibri"/>
                <w:i/>
                <w:sz w:val="16"/>
                <w:szCs w:val="24"/>
                <w:lang w:val="fr-FR"/>
              </w:rPr>
            </w:pPr>
          </w:p>
        </w:tc>
        <w:tc>
          <w:tcPr>
            <w:tcW w:w="1763"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27AB96A7"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center"/>
              <w:rPr>
                <w:rFonts w:eastAsia="Calibri"/>
                <w:i/>
                <w:sz w:val="16"/>
                <w:szCs w:val="16"/>
                <w:lang w:val="fr-FR"/>
              </w:rPr>
            </w:pPr>
            <w:r w:rsidRPr="00EE4C2A">
              <w:rPr>
                <w:i/>
                <w:iCs/>
                <w:sz w:val="16"/>
                <w:szCs w:val="16"/>
                <w:lang w:val="fr-FR"/>
              </w:rPr>
              <w:t>Total</w:t>
            </w:r>
          </w:p>
        </w:tc>
        <w:tc>
          <w:tcPr>
            <w:tcW w:w="20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CBF5C1B"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center"/>
              <w:rPr>
                <w:rFonts w:eastAsia="Calibri"/>
                <w:i/>
                <w:sz w:val="16"/>
                <w:szCs w:val="16"/>
                <w:lang w:val="fr-FR"/>
              </w:rPr>
            </w:pPr>
            <w:r w:rsidRPr="00EE4C2A">
              <w:rPr>
                <w:i/>
                <w:iCs/>
                <w:sz w:val="16"/>
                <w:szCs w:val="16"/>
                <w:lang w:val="fr-FR"/>
              </w:rPr>
              <w:t>Travail dangereux</w:t>
            </w:r>
          </w:p>
        </w:tc>
        <w:tc>
          <w:tcPr>
            <w:tcW w:w="2093"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543D7709"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center"/>
              <w:rPr>
                <w:rFonts w:eastAsia="Calibri"/>
                <w:i/>
                <w:sz w:val="16"/>
                <w:szCs w:val="16"/>
                <w:lang w:val="fr-FR"/>
              </w:rPr>
            </w:pPr>
            <w:r w:rsidRPr="00EE4C2A">
              <w:rPr>
                <w:i/>
                <w:iCs/>
                <w:sz w:val="16"/>
                <w:szCs w:val="16"/>
                <w:lang w:val="fr-FR"/>
              </w:rPr>
              <w:t>Travail non dangereux</w:t>
            </w:r>
          </w:p>
        </w:tc>
      </w:tr>
      <w:tr w:rsidR="00046F46" w:rsidRPr="00EE4C2A" w14:paraId="03551F8F" w14:textId="77777777" w:rsidTr="00B15CE0">
        <w:trPr>
          <w:tblHeader/>
        </w:trPr>
        <w:tc>
          <w:tcPr>
            <w:tcW w:w="1418" w:type="dxa"/>
            <w:vMerge/>
            <w:tcBorders>
              <w:top w:val="single" w:sz="12" w:space="0" w:color="auto"/>
              <w:bottom w:val="single" w:sz="12" w:space="0" w:color="auto"/>
            </w:tcBorders>
            <w:shd w:val="clear" w:color="auto" w:fill="auto"/>
            <w:vAlign w:val="bottom"/>
          </w:tcPr>
          <w:p w14:paraId="5B615D6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24"/>
                <w:lang w:val="fr-FR"/>
              </w:rPr>
            </w:pPr>
          </w:p>
        </w:tc>
        <w:tc>
          <w:tcPr>
            <w:tcW w:w="850" w:type="dxa"/>
            <w:tcBorders>
              <w:top w:val="single" w:sz="4" w:space="0" w:color="auto"/>
              <w:bottom w:val="single" w:sz="12" w:space="0" w:color="auto"/>
            </w:tcBorders>
            <w:shd w:val="clear" w:color="auto" w:fill="auto"/>
            <w:noWrap/>
            <w:vAlign w:val="bottom"/>
            <w:hideMark/>
          </w:tcPr>
          <w:p w14:paraId="4148ACCE"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Nombre</w:t>
            </w:r>
          </w:p>
        </w:tc>
        <w:tc>
          <w:tcPr>
            <w:tcW w:w="913" w:type="dxa"/>
            <w:tcBorders>
              <w:top w:val="single" w:sz="4" w:space="0" w:color="auto"/>
              <w:bottom w:val="single" w:sz="12" w:space="0" w:color="auto"/>
              <w:right w:val="single" w:sz="24" w:space="0" w:color="FFFFFF" w:themeColor="background1"/>
            </w:tcBorders>
            <w:shd w:val="clear" w:color="auto" w:fill="auto"/>
            <w:noWrap/>
            <w:vAlign w:val="bottom"/>
            <w:hideMark/>
          </w:tcPr>
          <w:p w14:paraId="1C1A2EC2"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Pourcentage</w:t>
            </w:r>
          </w:p>
        </w:tc>
        <w:tc>
          <w:tcPr>
            <w:tcW w:w="1052" w:type="dxa"/>
            <w:tcBorders>
              <w:top w:val="single" w:sz="4" w:space="0" w:color="auto"/>
              <w:left w:val="single" w:sz="24" w:space="0" w:color="FFFFFF" w:themeColor="background1"/>
              <w:bottom w:val="single" w:sz="12" w:space="0" w:color="auto"/>
            </w:tcBorders>
            <w:shd w:val="clear" w:color="auto" w:fill="auto"/>
            <w:noWrap/>
            <w:vAlign w:val="bottom"/>
            <w:hideMark/>
          </w:tcPr>
          <w:p w14:paraId="33808CBD"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Nombre</w:t>
            </w:r>
          </w:p>
        </w:tc>
        <w:tc>
          <w:tcPr>
            <w:tcW w:w="1044" w:type="dxa"/>
            <w:tcBorders>
              <w:top w:val="single" w:sz="4" w:space="0" w:color="auto"/>
              <w:bottom w:val="single" w:sz="12" w:space="0" w:color="auto"/>
              <w:right w:val="single" w:sz="24" w:space="0" w:color="FFFFFF" w:themeColor="background1"/>
            </w:tcBorders>
            <w:shd w:val="clear" w:color="auto" w:fill="auto"/>
            <w:noWrap/>
            <w:vAlign w:val="bottom"/>
            <w:hideMark/>
          </w:tcPr>
          <w:p w14:paraId="65A3F457"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Pourcentage</w:t>
            </w:r>
          </w:p>
        </w:tc>
        <w:tc>
          <w:tcPr>
            <w:tcW w:w="1052" w:type="dxa"/>
            <w:tcBorders>
              <w:top w:val="single" w:sz="4" w:space="0" w:color="auto"/>
              <w:left w:val="single" w:sz="24" w:space="0" w:color="FFFFFF" w:themeColor="background1"/>
              <w:bottom w:val="single" w:sz="12" w:space="0" w:color="auto"/>
            </w:tcBorders>
            <w:shd w:val="clear" w:color="auto" w:fill="auto"/>
            <w:noWrap/>
            <w:vAlign w:val="bottom"/>
            <w:hideMark/>
          </w:tcPr>
          <w:p w14:paraId="5DE1AAF6"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Nombre</w:t>
            </w:r>
          </w:p>
        </w:tc>
        <w:tc>
          <w:tcPr>
            <w:tcW w:w="1041" w:type="dxa"/>
            <w:tcBorders>
              <w:top w:val="single" w:sz="4" w:space="0" w:color="auto"/>
              <w:bottom w:val="single" w:sz="12" w:space="0" w:color="auto"/>
            </w:tcBorders>
            <w:shd w:val="clear" w:color="auto" w:fill="auto"/>
            <w:noWrap/>
            <w:vAlign w:val="bottom"/>
            <w:hideMark/>
          </w:tcPr>
          <w:p w14:paraId="356874C9" w14:textId="77777777" w:rsidR="00046F46" w:rsidRPr="00EE4C2A" w:rsidRDefault="00046F46" w:rsidP="00E11540">
            <w:pPr>
              <w:pStyle w:val="SingleTxtG"/>
              <w:tabs>
                <w:tab w:val="clear" w:pos="1701"/>
                <w:tab w:val="clear" w:pos="2268"/>
              </w:tabs>
              <w:suppressAutoHyphens w:val="0"/>
              <w:spacing w:before="80" w:after="80" w:line="200" w:lineRule="exact"/>
              <w:ind w:left="0" w:right="0"/>
              <w:jc w:val="right"/>
              <w:rPr>
                <w:rFonts w:eastAsia="Calibri"/>
                <w:i/>
                <w:sz w:val="16"/>
                <w:szCs w:val="16"/>
                <w:lang w:val="fr-FR"/>
              </w:rPr>
            </w:pPr>
            <w:r w:rsidRPr="00EE4C2A">
              <w:rPr>
                <w:i/>
                <w:iCs/>
                <w:sz w:val="16"/>
                <w:szCs w:val="16"/>
                <w:lang w:val="fr-FR"/>
              </w:rPr>
              <w:t>Pourcentage</w:t>
            </w:r>
          </w:p>
        </w:tc>
      </w:tr>
      <w:tr w:rsidR="00046F46" w:rsidRPr="00EE4C2A" w14:paraId="49B2B830" w14:textId="77777777" w:rsidTr="00B15CE0">
        <w:tc>
          <w:tcPr>
            <w:tcW w:w="1418" w:type="dxa"/>
            <w:tcBorders>
              <w:top w:val="single" w:sz="12" w:space="0" w:color="auto"/>
              <w:bottom w:val="single" w:sz="12" w:space="0" w:color="auto"/>
            </w:tcBorders>
            <w:shd w:val="clear" w:color="auto" w:fill="auto"/>
          </w:tcPr>
          <w:p w14:paraId="73A870EF"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left"/>
              <w:rPr>
                <w:rFonts w:eastAsia="Calibri"/>
                <w:sz w:val="18"/>
                <w:szCs w:val="18"/>
                <w:lang w:val="fr-FR"/>
              </w:rPr>
            </w:pPr>
            <w:r w:rsidRPr="00EE4C2A">
              <w:rPr>
                <w:sz w:val="18"/>
                <w:szCs w:val="18"/>
                <w:lang w:val="fr-FR"/>
              </w:rPr>
              <w:t>Travail des enfants</w:t>
            </w:r>
          </w:p>
        </w:tc>
        <w:tc>
          <w:tcPr>
            <w:tcW w:w="850" w:type="dxa"/>
            <w:tcBorders>
              <w:top w:val="single" w:sz="12" w:space="0" w:color="auto"/>
              <w:bottom w:val="single" w:sz="12" w:space="0" w:color="auto"/>
            </w:tcBorders>
            <w:shd w:val="clear" w:color="auto" w:fill="auto"/>
            <w:noWrap/>
            <w:vAlign w:val="bottom"/>
            <w:hideMark/>
          </w:tcPr>
          <w:p w14:paraId="200185AD"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 xml:space="preserve">955 301 </w:t>
            </w:r>
          </w:p>
        </w:tc>
        <w:tc>
          <w:tcPr>
            <w:tcW w:w="913" w:type="dxa"/>
            <w:tcBorders>
              <w:top w:val="single" w:sz="12" w:space="0" w:color="auto"/>
              <w:bottom w:val="single" w:sz="12" w:space="0" w:color="auto"/>
            </w:tcBorders>
            <w:shd w:val="clear" w:color="auto" w:fill="auto"/>
            <w:noWrap/>
            <w:vAlign w:val="bottom"/>
            <w:hideMark/>
          </w:tcPr>
          <w:p w14:paraId="75720A32" w14:textId="77777777" w:rsidR="00046F46" w:rsidRPr="00EE4C2A" w:rsidRDefault="00046F46" w:rsidP="00E11540">
            <w:pPr>
              <w:pStyle w:val="SingleTxtG"/>
              <w:tabs>
                <w:tab w:val="clear" w:pos="1701"/>
                <w:tab w:val="clear" w:pos="2268"/>
              </w:tabs>
              <w:suppressAutoHyphens w:val="0"/>
              <w:spacing w:before="40" w:after="40" w:line="220" w:lineRule="exact"/>
              <w:ind w:left="0" w:right="57"/>
              <w:jc w:val="right"/>
              <w:rPr>
                <w:rFonts w:eastAsia="Calibri"/>
                <w:sz w:val="18"/>
                <w:szCs w:val="18"/>
                <w:lang w:val="fr-FR"/>
              </w:rPr>
            </w:pPr>
            <w:r w:rsidRPr="00EE4C2A">
              <w:rPr>
                <w:sz w:val="18"/>
                <w:szCs w:val="18"/>
                <w:lang w:val="fr-FR"/>
              </w:rPr>
              <w:t>100</w:t>
            </w:r>
          </w:p>
        </w:tc>
        <w:tc>
          <w:tcPr>
            <w:tcW w:w="1052" w:type="dxa"/>
            <w:tcBorders>
              <w:top w:val="single" w:sz="12" w:space="0" w:color="auto"/>
              <w:bottom w:val="single" w:sz="12" w:space="0" w:color="auto"/>
            </w:tcBorders>
            <w:shd w:val="clear" w:color="auto" w:fill="auto"/>
            <w:noWrap/>
            <w:vAlign w:val="bottom"/>
            <w:hideMark/>
          </w:tcPr>
          <w:p w14:paraId="32FE23E4"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 xml:space="preserve">33 784 </w:t>
            </w:r>
          </w:p>
        </w:tc>
        <w:tc>
          <w:tcPr>
            <w:tcW w:w="1044" w:type="dxa"/>
            <w:tcBorders>
              <w:top w:val="single" w:sz="12" w:space="0" w:color="auto"/>
              <w:bottom w:val="single" w:sz="12" w:space="0" w:color="auto"/>
            </w:tcBorders>
            <w:shd w:val="clear" w:color="auto" w:fill="auto"/>
            <w:noWrap/>
            <w:vAlign w:val="bottom"/>
            <w:hideMark/>
          </w:tcPr>
          <w:p w14:paraId="5AB3A1E4" w14:textId="77777777" w:rsidR="00046F46" w:rsidRPr="00E11540" w:rsidRDefault="00046F46" w:rsidP="00E11540">
            <w:pPr>
              <w:pStyle w:val="SingleTxtG"/>
              <w:tabs>
                <w:tab w:val="clear" w:pos="1701"/>
                <w:tab w:val="clear" w:pos="2268"/>
              </w:tabs>
              <w:suppressAutoHyphens w:val="0"/>
              <w:spacing w:before="40" w:after="40" w:line="220" w:lineRule="exact"/>
              <w:ind w:left="0" w:right="57"/>
              <w:jc w:val="right"/>
              <w:rPr>
                <w:sz w:val="18"/>
                <w:szCs w:val="18"/>
                <w:lang w:val="fr-FR"/>
              </w:rPr>
            </w:pPr>
            <w:r w:rsidRPr="00EE4C2A">
              <w:rPr>
                <w:sz w:val="18"/>
                <w:szCs w:val="18"/>
                <w:lang w:val="fr-FR"/>
              </w:rPr>
              <w:t>3,5</w:t>
            </w:r>
          </w:p>
        </w:tc>
        <w:tc>
          <w:tcPr>
            <w:tcW w:w="1052" w:type="dxa"/>
            <w:tcBorders>
              <w:top w:val="single" w:sz="12" w:space="0" w:color="auto"/>
              <w:bottom w:val="single" w:sz="12" w:space="0" w:color="auto"/>
            </w:tcBorders>
            <w:shd w:val="clear" w:color="auto" w:fill="auto"/>
            <w:noWrap/>
            <w:vAlign w:val="bottom"/>
            <w:hideMark/>
          </w:tcPr>
          <w:p w14:paraId="38568D48"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 xml:space="preserve">921 517 </w:t>
            </w:r>
          </w:p>
        </w:tc>
        <w:tc>
          <w:tcPr>
            <w:tcW w:w="1041" w:type="dxa"/>
            <w:tcBorders>
              <w:top w:val="single" w:sz="12" w:space="0" w:color="auto"/>
              <w:bottom w:val="single" w:sz="12" w:space="0" w:color="auto"/>
            </w:tcBorders>
            <w:shd w:val="clear" w:color="auto" w:fill="auto"/>
            <w:noWrap/>
            <w:vAlign w:val="bottom"/>
            <w:hideMark/>
          </w:tcPr>
          <w:p w14:paraId="6B76DABF" w14:textId="77777777" w:rsidR="00046F46" w:rsidRPr="00EE4C2A" w:rsidRDefault="00046F46" w:rsidP="00E11540">
            <w:pPr>
              <w:pStyle w:val="SingleTxtG"/>
              <w:tabs>
                <w:tab w:val="clear" w:pos="1701"/>
                <w:tab w:val="clear" w:pos="2268"/>
              </w:tabs>
              <w:suppressAutoHyphens w:val="0"/>
              <w:spacing w:before="40" w:after="40" w:line="220" w:lineRule="exact"/>
              <w:ind w:left="0" w:right="0"/>
              <w:jc w:val="right"/>
              <w:rPr>
                <w:rFonts w:eastAsia="Calibri"/>
                <w:sz w:val="18"/>
                <w:szCs w:val="18"/>
                <w:lang w:val="fr-FR"/>
              </w:rPr>
            </w:pPr>
            <w:r w:rsidRPr="00EE4C2A">
              <w:rPr>
                <w:sz w:val="18"/>
                <w:szCs w:val="18"/>
                <w:lang w:val="fr-FR"/>
              </w:rPr>
              <w:t>96,5</w:t>
            </w:r>
          </w:p>
        </w:tc>
      </w:tr>
    </w:tbl>
    <w:p w14:paraId="6850EB5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49 b) de la liste de points établie </w:t>
      </w:r>
      <w:r>
        <w:rPr>
          <w:bCs/>
          <w:lang w:val="fr-FR"/>
        </w:rPr>
        <w:t>avant la soumission du rapport</w:t>
      </w:r>
    </w:p>
    <w:p w14:paraId="03625E80" w14:textId="49757DD0" w:rsidR="00046F46" w:rsidRPr="00EE4C2A" w:rsidRDefault="00046F46" w:rsidP="00046F46">
      <w:pPr>
        <w:pStyle w:val="SingleTxtG"/>
        <w:rPr>
          <w:lang w:val="fr-FR"/>
        </w:rPr>
      </w:pPr>
      <w:r w:rsidRPr="00EE4C2A">
        <w:rPr>
          <w:lang w:val="fr-FR"/>
        </w:rPr>
        <w:t>224.</w:t>
      </w:r>
      <w:r w:rsidRPr="00EE4C2A">
        <w:rPr>
          <w:lang w:val="fr-FR"/>
        </w:rPr>
        <w:tab/>
        <w:t>En 2020, 37 affaires relatives au travail des enfants ont fait l</w:t>
      </w:r>
      <w:r w:rsidR="008279BF">
        <w:rPr>
          <w:lang w:val="fr-FR"/>
        </w:rPr>
        <w:t>’</w:t>
      </w:r>
      <w:r w:rsidRPr="00EE4C2A">
        <w:rPr>
          <w:lang w:val="fr-FR"/>
        </w:rPr>
        <w:t>objet d</w:t>
      </w:r>
      <w:r w:rsidR="008279BF">
        <w:rPr>
          <w:lang w:val="fr-FR"/>
        </w:rPr>
        <w:t>’</w:t>
      </w:r>
      <w:r w:rsidRPr="00EE4C2A">
        <w:rPr>
          <w:lang w:val="fr-FR"/>
        </w:rPr>
        <w:t>enquêtes :</w:t>
      </w:r>
      <w:r w:rsidR="00B15CE0">
        <w:rPr>
          <w:lang w:val="fr-FR"/>
        </w:rPr>
        <w:t xml:space="preserve"> </w:t>
      </w:r>
      <w:r w:rsidRPr="00EE4C2A">
        <w:rPr>
          <w:lang w:val="fr-FR"/>
        </w:rPr>
        <w:t>11 concernaient des filles et 26 des garçons. En</w:t>
      </w:r>
      <w:r w:rsidR="00B15CE0">
        <w:rPr>
          <w:lang w:val="fr-FR"/>
        </w:rPr>
        <w:t xml:space="preserve"> </w:t>
      </w:r>
      <w:r w:rsidRPr="00EE4C2A">
        <w:rPr>
          <w:lang w:val="fr-FR"/>
        </w:rPr>
        <w:t>2018/19, 118 affaires</w:t>
      </w:r>
      <w:r w:rsidR="00B15CE0">
        <w:rPr>
          <w:lang w:val="fr-FR"/>
        </w:rPr>
        <w:t xml:space="preserve"> </w:t>
      </w:r>
      <w:r w:rsidRPr="00EE4C2A">
        <w:rPr>
          <w:lang w:val="fr-FR"/>
        </w:rPr>
        <w:t>ont fait l</w:t>
      </w:r>
      <w:r w:rsidR="008279BF">
        <w:rPr>
          <w:lang w:val="fr-FR"/>
        </w:rPr>
        <w:t>’</w:t>
      </w:r>
      <w:r w:rsidRPr="00EE4C2A">
        <w:rPr>
          <w:lang w:val="fr-FR"/>
        </w:rPr>
        <w:t>objet de poursuites et deux</w:t>
      </w:r>
      <w:r w:rsidR="00B15CE0">
        <w:rPr>
          <w:lang w:val="fr-FR"/>
        </w:rPr>
        <w:t xml:space="preserve"> </w:t>
      </w:r>
      <w:r w:rsidRPr="00EE4C2A">
        <w:rPr>
          <w:lang w:val="fr-FR"/>
        </w:rPr>
        <w:t>affaires, concernant deux garçons, étaient en attente de poursuites à la suite de signalements par le Département de la protection sociale.</w:t>
      </w:r>
    </w:p>
    <w:p w14:paraId="6FD016CF"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50 a) de la liste de points établie </w:t>
      </w:r>
      <w:r>
        <w:rPr>
          <w:bCs/>
          <w:lang w:val="fr-FR"/>
        </w:rPr>
        <w:t>avant la soumission du rapport</w:t>
      </w:r>
    </w:p>
    <w:p w14:paraId="1D07F9E3" w14:textId="2FC21E34" w:rsidR="00046F46" w:rsidRPr="00EE4C2A" w:rsidRDefault="00046F46" w:rsidP="00046F46">
      <w:pPr>
        <w:pStyle w:val="SingleTxtG"/>
        <w:rPr>
          <w:lang w:val="fr-FR"/>
        </w:rPr>
      </w:pPr>
      <w:r w:rsidRPr="00EE4C2A">
        <w:rPr>
          <w:lang w:val="fr-FR"/>
        </w:rPr>
        <w:t>225.</w:t>
      </w:r>
      <w:r w:rsidRPr="00EE4C2A">
        <w:rPr>
          <w:lang w:val="fr-FR"/>
        </w:rPr>
        <w:tab/>
        <w:t>L</w:t>
      </w:r>
      <w:r w:rsidR="008279BF">
        <w:rPr>
          <w:lang w:val="fr-FR"/>
        </w:rPr>
        <w:t>’</w:t>
      </w:r>
      <w:r w:rsidRPr="00EE4C2A">
        <w:rPr>
          <w:lang w:val="fr-FR"/>
        </w:rPr>
        <w:t>État partie a dénombré 229 enfants concernés par la traite</w:t>
      </w:r>
      <w:r w:rsidR="00B15CE0">
        <w:rPr>
          <w:lang w:val="fr-FR"/>
        </w:rPr>
        <w:t xml:space="preserve"> </w:t>
      </w:r>
      <w:r w:rsidRPr="00EE4C2A">
        <w:rPr>
          <w:lang w:val="fr-FR"/>
        </w:rPr>
        <w:t>(185 garçons et 44 filles).</w:t>
      </w:r>
    </w:p>
    <w:p w14:paraId="560A4883"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50 b) de la liste de points établie </w:t>
      </w:r>
      <w:r>
        <w:rPr>
          <w:bCs/>
          <w:lang w:val="fr-FR"/>
        </w:rPr>
        <w:t>avant la soumission du rapport</w:t>
      </w:r>
    </w:p>
    <w:p w14:paraId="638CBBA1" w14:textId="32F7A076" w:rsidR="00046F46" w:rsidRPr="00EE4C2A" w:rsidRDefault="00046F46" w:rsidP="00046F46">
      <w:pPr>
        <w:pStyle w:val="SingleTxtG"/>
        <w:rPr>
          <w:i/>
          <w:lang w:val="fr-FR"/>
        </w:rPr>
      </w:pPr>
      <w:r w:rsidRPr="00EE4C2A">
        <w:rPr>
          <w:lang w:val="fr-FR"/>
        </w:rPr>
        <w:t>226.</w:t>
      </w:r>
      <w:r w:rsidRPr="00EE4C2A">
        <w:rPr>
          <w:lang w:val="fr-FR"/>
        </w:rPr>
        <w:tab/>
        <w:t>L</w:t>
      </w:r>
      <w:r w:rsidR="008279BF">
        <w:rPr>
          <w:lang w:val="fr-FR"/>
        </w:rPr>
        <w:t>’</w:t>
      </w:r>
      <w:r w:rsidRPr="00EE4C2A">
        <w:rPr>
          <w:lang w:val="fr-FR"/>
        </w:rPr>
        <w:t>État partie a recensé 46 enfants</w:t>
      </w:r>
      <w:r w:rsidR="00B15CE0">
        <w:rPr>
          <w:lang w:val="fr-FR"/>
        </w:rPr>
        <w:t xml:space="preserve"> </w:t>
      </w:r>
      <w:r w:rsidRPr="00EE4C2A">
        <w:rPr>
          <w:lang w:val="fr-FR"/>
        </w:rPr>
        <w:t>(16 garçons et 30 filles) ayant bénéficié de programmes de réadaptation. Les enfants ont bénéficié de ces programmes dans des centres et, pour certains, dans leur communauté. Les programmes comprenaient une formation professionnelle ainsi que la fourniture d</w:t>
      </w:r>
      <w:r w:rsidR="008279BF">
        <w:rPr>
          <w:lang w:val="fr-FR"/>
        </w:rPr>
        <w:t>’</w:t>
      </w:r>
      <w:r w:rsidRPr="00EE4C2A">
        <w:rPr>
          <w:lang w:val="fr-FR"/>
        </w:rPr>
        <w:t>outils de jardinage et d</w:t>
      </w:r>
      <w:r w:rsidR="008279BF">
        <w:rPr>
          <w:lang w:val="fr-FR"/>
        </w:rPr>
        <w:t>’</w:t>
      </w:r>
      <w:r w:rsidRPr="00EE4C2A">
        <w:rPr>
          <w:lang w:val="fr-FR"/>
        </w:rPr>
        <w:t>animaux d</w:t>
      </w:r>
      <w:r w:rsidR="008279BF">
        <w:rPr>
          <w:lang w:val="fr-FR"/>
        </w:rPr>
        <w:t>’</w:t>
      </w:r>
      <w:r w:rsidRPr="00EE4C2A">
        <w:rPr>
          <w:lang w:val="fr-FR"/>
        </w:rPr>
        <w:t>élevage. Les formations ont été dispensées aux familles, et celles-ci ont été formées à l</w:t>
      </w:r>
      <w:r w:rsidR="008279BF">
        <w:rPr>
          <w:lang w:val="fr-FR"/>
        </w:rPr>
        <w:t>’</w:t>
      </w:r>
      <w:r w:rsidRPr="00EE4C2A">
        <w:rPr>
          <w:lang w:val="fr-FR"/>
        </w:rPr>
        <w:t xml:space="preserve">entreprenariat et </w:t>
      </w:r>
      <w:r w:rsidRPr="00EE4C2A">
        <w:rPr>
          <w:lang w:val="fr-FR"/>
        </w:rPr>
        <w:lastRenderedPageBreak/>
        <w:t xml:space="preserve">aux compétences financières, en particulier </w:t>
      </w:r>
      <w:r>
        <w:rPr>
          <w:lang w:val="fr-FR"/>
        </w:rPr>
        <w:t>lorsque</w:t>
      </w:r>
      <w:r w:rsidRPr="00EE4C2A">
        <w:rPr>
          <w:lang w:val="fr-FR"/>
        </w:rPr>
        <w:t xml:space="preserve"> les enfants étaient trop jeunes pour suivre les formations seuls.</w:t>
      </w:r>
    </w:p>
    <w:p w14:paraId="2906FADD"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50 c) de la liste de points établie </w:t>
      </w:r>
      <w:r>
        <w:rPr>
          <w:bCs/>
          <w:lang w:val="fr-FR"/>
        </w:rPr>
        <w:t>avant la soumission du rapport</w:t>
      </w:r>
    </w:p>
    <w:p w14:paraId="0BD2AEEE" w14:textId="3E141411" w:rsidR="00046F46" w:rsidRPr="00EE4C2A" w:rsidRDefault="00046F46" w:rsidP="00046F46">
      <w:pPr>
        <w:pStyle w:val="SingleTxtG"/>
        <w:rPr>
          <w:lang w:val="fr-FR"/>
        </w:rPr>
      </w:pPr>
      <w:r w:rsidRPr="00EE4C2A">
        <w:rPr>
          <w:lang w:val="fr-FR"/>
        </w:rPr>
        <w:t>227.</w:t>
      </w:r>
      <w:r w:rsidRPr="00EE4C2A">
        <w:rPr>
          <w:lang w:val="fr-FR"/>
        </w:rPr>
        <w:tab/>
        <w:t>Aucun des cas de traite susmentionnés n</w:t>
      </w:r>
      <w:r w:rsidR="008279BF">
        <w:rPr>
          <w:lang w:val="fr-FR"/>
        </w:rPr>
        <w:t>’</w:t>
      </w:r>
      <w:r w:rsidRPr="00EE4C2A">
        <w:rPr>
          <w:lang w:val="fr-FR"/>
        </w:rPr>
        <w:t>a débouché sur des sanctions.</w:t>
      </w:r>
    </w:p>
    <w:p w14:paraId="2C8D8E3E"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51 a) de la liste de points établie </w:t>
      </w:r>
      <w:r>
        <w:rPr>
          <w:bCs/>
          <w:lang w:val="fr-FR"/>
        </w:rPr>
        <w:t>avant la soumission du rapport</w:t>
      </w:r>
    </w:p>
    <w:p w14:paraId="4D96B9B0" w14:textId="0840CCF0" w:rsidR="00046F46" w:rsidRPr="00EE4C2A" w:rsidRDefault="00046F46" w:rsidP="00046F46">
      <w:pPr>
        <w:pStyle w:val="SingleTxtG"/>
        <w:rPr>
          <w:lang w:val="fr-FR"/>
        </w:rPr>
      </w:pPr>
      <w:r w:rsidRPr="00EE4C2A">
        <w:rPr>
          <w:lang w:val="fr-FR"/>
        </w:rPr>
        <w:t>228.</w:t>
      </w:r>
      <w:r w:rsidRPr="00EE4C2A">
        <w:rPr>
          <w:lang w:val="fr-FR"/>
        </w:rPr>
        <w:tab/>
        <w:t>Entre 2017 et 2020, 932 enfants ont été détenus dans les locaux de la police pour une durée moyenne de</w:t>
      </w:r>
      <w:r w:rsidR="00B15CE0">
        <w:rPr>
          <w:lang w:val="fr-FR"/>
        </w:rPr>
        <w:t xml:space="preserve"> un</w:t>
      </w:r>
      <w:r w:rsidRPr="00EE4C2A">
        <w:rPr>
          <w:lang w:val="fr-FR"/>
        </w:rPr>
        <w:t xml:space="preserve"> à </w:t>
      </w:r>
      <w:r w:rsidR="00B15CE0">
        <w:rPr>
          <w:lang w:val="fr-FR"/>
        </w:rPr>
        <w:t xml:space="preserve">quatre </w:t>
      </w:r>
      <w:r w:rsidRPr="00EE4C2A">
        <w:rPr>
          <w:lang w:val="fr-FR"/>
        </w:rPr>
        <w:t>jours.</w:t>
      </w:r>
    </w:p>
    <w:p w14:paraId="2A5E749F"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51 b) de la liste de points établie </w:t>
      </w:r>
      <w:r>
        <w:rPr>
          <w:bCs/>
          <w:lang w:val="fr-FR"/>
        </w:rPr>
        <w:t>avant la soumission du rapport</w:t>
      </w:r>
    </w:p>
    <w:p w14:paraId="04ACCFE2" w14:textId="1CA555F7" w:rsidR="00046F46" w:rsidRPr="00EE4C2A" w:rsidRDefault="00046F46" w:rsidP="00046F46">
      <w:pPr>
        <w:pStyle w:val="SingleTxtG"/>
        <w:rPr>
          <w:lang w:val="fr-FR"/>
        </w:rPr>
      </w:pPr>
      <w:r w:rsidRPr="00EE4C2A">
        <w:rPr>
          <w:lang w:val="fr-FR"/>
        </w:rPr>
        <w:t>229.</w:t>
      </w:r>
      <w:r w:rsidRPr="00EE4C2A">
        <w:rPr>
          <w:lang w:val="fr-FR"/>
        </w:rPr>
        <w:tab/>
        <w:t>En 2020, 134 enfants en conflit avec la loi dans des affaires de trafic et possession de drogues ont bénéficié de mesures de déjudiciarisation grâce à la Division de l</w:t>
      </w:r>
      <w:r w:rsidR="008279BF">
        <w:rPr>
          <w:lang w:val="fr-FR"/>
        </w:rPr>
        <w:t>’</w:t>
      </w:r>
      <w:r w:rsidRPr="00EE4C2A">
        <w:rPr>
          <w:lang w:val="fr-FR"/>
        </w:rPr>
        <w:t>éducation et de la campagne nationales</w:t>
      </w:r>
      <w:r w:rsidR="00B15CE0">
        <w:rPr>
          <w:lang w:val="fr-FR"/>
        </w:rPr>
        <w:t xml:space="preserve"> </w:t>
      </w:r>
      <w:r w:rsidRPr="00EE4C2A">
        <w:rPr>
          <w:lang w:val="fr-FR"/>
        </w:rPr>
        <w:t>(NECD) et à la Commission de lutte contre le trafic de drogue</w:t>
      </w:r>
      <w:r w:rsidR="00B15CE0">
        <w:rPr>
          <w:lang w:val="fr-FR"/>
        </w:rPr>
        <w:t>s</w:t>
      </w:r>
      <w:r w:rsidRPr="00EE4C2A">
        <w:rPr>
          <w:lang w:val="fr-FR"/>
        </w:rPr>
        <w:t>. Les enfants ont tous été orienté vers le service de soutien psychosocial géré par la Division de l</w:t>
      </w:r>
      <w:r w:rsidR="008279BF">
        <w:rPr>
          <w:lang w:val="fr-FR"/>
        </w:rPr>
        <w:t>’</w:t>
      </w:r>
      <w:r w:rsidRPr="00EE4C2A">
        <w:rPr>
          <w:lang w:val="fr-FR"/>
        </w:rPr>
        <w:t>éducation et de la campagne nationales. Entre 2017 et 2020, sur recommandation de l</w:t>
      </w:r>
      <w:r w:rsidR="008279BF">
        <w:rPr>
          <w:lang w:val="fr-FR"/>
        </w:rPr>
        <w:t>’</w:t>
      </w:r>
      <w:r w:rsidRPr="00EE4C2A">
        <w:rPr>
          <w:lang w:val="fr-FR"/>
        </w:rPr>
        <w:t>Unité de soutien aux victimes, 979 enfants qui avaient commis diverses infractions ont bénéficié de mesures de déjudiciarisation et 547 enfants ont reçu des sanctions non privatives de liberté.</w:t>
      </w:r>
    </w:p>
    <w:p w14:paraId="74AFB597"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51 c) de la liste de points établie </w:t>
      </w:r>
      <w:r>
        <w:rPr>
          <w:bCs/>
          <w:lang w:val="fr-FR"/>
        </w:rPr>
        <w:t>avant la soumission du rapport</w:t>
      </w:r>
    </w:p>
    <w:p w14:paraId="13D64D4E" w14:textId="3E42A813" w:rsidR="00046F46" w:rsidRPr="00EE4C2A" w:rsidRDefault="00046F46" w:rsidP="00046F46">
      <w:pPr>
        <w:pStyle w:val="SingleTxtG"/>
        <w:rPr>
          <w:lang w:val="fr-FR"/>
        </w:rPr>
      </w:pPr>
      <w:r w:rsidRPr="00EE4C2A">
        <w:rPr>
          <w:lang w:val="fr-FR"/>
        </w:rPr>
        <w:t>230.</w:t>
      </w:r>
      <w:r w:rsidRPr="00EE4C2A">
        <w:rPr>
          <w:lang w:val="fr-FR"/>
        </w:rPr>
        <w:tab/>
        <w:t>Entre 2017 et 2020, 162 enfants ont été détenus avec des adultes pour une durée moyenne de</w:t>
      </w:r>
      <w:r w:rsidR="00B15CE0">
        <w:rPr>
          <w:lang w:val="fr-FR"/>
        </w:rPr>
        <w:t xml:space="preserve"> un</w:t>
      </w:r>
      <w:r w:rsidRPr="00EE4C2A">
        <w:rPr>
          <w:lang w:val="fr-FR"/>
        </w:rPr>
        <w:t xml:space="preserve"> à </w:t>
      </w:r>
      <w:r w:rsidR="00B15CE0">
        <w:rPr>
          <w:lang w:val="fr-FR"/>
        </w:rPr>
        <w:t xml:space="preserve">quatre </w:t>
      </w:r>
      <w:r w:rsidRPr="00EE4C2A">
        <w:rPr>
          <w:lang w:val="fr-FR"/>
        </w:rPr>
        <w:t>jours.</w:t>
      </w:r>
    </w:p>
    <w:p w14:paraId="1F606F19" w14:textId="77777777" w:rsidR="00046F46" w:rsidRPr="00EE4C2A" w:rsidRDefault="00046F46" w:rsidP="00046F46">
      <w:pPr>
        <w:pStyle w:val="H23G"/>
        <w:rPr>
          <w:lang w:val="fr-FR"/>
        </w:rPr>
      </w:pPr>
      <w:r w:rsidRPr="00EE4C2A">
        <w:rPr>
          <w:lang w:val="fr-FR"/>
        </w:rPr>
        <w:tab/>
      </w:r>
      <w:r w:rsidRPr="00EE4C2A">
        <w:rPr>
          <w:lang w:val="fr-FR"/>
        </w:rPr>
        <w:tab/>
      </w:r>
      <w:r w:rsidRPr="00EE4C2A">
        <w:rPr>
          <w:bCs/>
          <w:lang w:val="fr-FR"/>
        </w:rPr>
        <w:t xml:space="preserve">Réponse concernant les points soulevés au paragraphe 51 d) de la liste de points établie </w:t>
      </w:r>
      <w:r>
        <w:rPr>
          <w:bCs/>
          <w:lang w:val="fr-FR"/>
        </w:rPr>
        <w:t>avant la soumission du rapport</w:t>
      </w:r>
    </w:p>
    <w:p w14:paraId="5192C9AE" w14:textId="1EA6AD45" w:rsidR="00046F46" w:rsidRPr="00EE4C2A" w:rsidRDefault="00046F46" w:rsidP="00046F46">
      <w:pPr>
        <w:pStyle w:val="SingleTxtG"/>
        <w:rPr>
          <w:iCs/>
          <w:lang w:val="fr-FR"/>
        </w:rPr>
      </w:pPr>
      <w:r w:rsidRPr="00EE4C2A">
        <w:rPr>
          <w:lang w:val="fr-FR"/>
        </w:rPr>
        <w:t>231.</w:t>
      </w:r>
      <w:r w:rsidRPr="00EE4C2A">
        <w:rPr>
          <w:lang w:val="fr-FR"/>
        </w:rPr>
        <w:tab/>
        <w:t>La proportion d</w:t>
      </w:r>
      <w:r w:rsidR="008279BF">
        <w:rPr>
          <w:lang w:val="fr-FR"/>
        </w:rPr>
        <w:t>’</w:t>
      </w:r>
      <w:r w:rsidRPr="00EE4C2A">
        <w:rPr>
          <w:lang w:val="fr-FR"/>
        </w:rPr>
        <w:t>enfants en conflit avec la loi ayant bénéficié d</w:t>
      </w:r>
      <w:r w:rsidR="008279BF">
        <w:rPr>
          <w:lang w:val="fr-FR"/>
        </w:rPr>
        <w:t>’</w:t>
      </w:r>
      <w:r w:rsidRPr="00EE4C2A">
        <w:rPr>
          <w:lang w:val="fr-FR"/>
        </w:rPr>
        <w:t>une aide juridictionnelle tout au long de la procédure judiciaire est très faible.</w:t>
      </w:r>
    </w:p>
    <w:p w14:paraId="074FE983" w14:textId="77777777" w:rsidR="00046F46" w:rsidRPr="00EE4C2A" w:rsidRDefault="00046F46" w:rsidP="00046F46">
      <w:pPr>
        <w:spacing w:before="240"/>
        <w:jc w:val="center"/>
        <w:rPr>
          <w:u w:val="single"/>
          <w:lang w:val="fr-FR"/>
        </w:rPr>
      </w:pPr>
      <w:r w:rsidRPr="00EE4C2A">
        <w:rPr>
          <w:u w:val="single"/>
          <w:lang w:val="fr-FR"/>
        </w:rPr>
        <w:tab/>
      </w:r>
      <w:r w:rsidRPr="00EE4C2A">
        <w:rPr>
          <w:u w:val="single"/>
          <w:lang w:val="fr-FR"/>
        </w:rPr>
        <w:tab/>
      </w:r>
      <w:r w:rsidRPr="00EE4C2A">
        <w:rPr>
          <w:u w:val="single"/>
          <w:lang w:val="fr-FR"/>
        </w:rPr>
        <w:tab/>
      </w:r>
    </w:p>
    <w:p w14:paraId="1B59CCD2" w14:textId="77777777" w:rsidR="007341B7" w:rsidRDefault="007341B7" w:rsidP="007341B7"/>
    <w:sectPr w:rsidR="007341B7" w:rsidSect="00046F46">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24DF" w14:textId="77777777" w:rsidR="002F7927" w:rsidRDefault="002F7927" w:rsidP="00F95C08">
      <w:pPr>
        <w:spacing w:line="240" w:lineRule="auto"/>
      </w:pPr>
    </w:p>
  </w:endnote>
  <w:endnote w:type="continuationSeparator" w:id="0">
    <w:p w14:paraId="0C4D294A" w14:textId="77777777" w:rsidR="002F7927" w:rsidRPr="00AC3823" w:rsidRDefault="002F7927" w:rsidP="00AC3823">
      <w:pPr>
        <w:pStyle w:val="Pieddepage"/>
      </w:pPr>
    </w:p>
  </w:endnote>
  <w:endnote w:type="continuationNotice" w:id="1">
    <w:p w14:paraId="305BDC31" w14:textId="77777777" w:rsidR="002F7927" w:rsidRDefault="002F79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94AC" w14:textId="22F8E8DD" w:rsidR="00046F46" w:rsidRPr="00046F46" w:rsidRDefault="00046F46" w:rsidP="00046F46">
    <w:pPr>
      <w:pStyle w:val="Pieddepage"/>
      <w:tabs>
        <w:tab w:val="right" w:pos="9638"/>
      </w:tabs>
    </w:pPr>
    <w:r w:rsidRPr="00046F46">
      <w:rPr>
        <w:b/>
        <w:sz w:val="18"/>
      </w:rPr>
      <w:fldChar w:fldCharType="begin"/>
    </w:r>
    <w:r w:rsidRPr="00046F46">
      <w:rPr>
        <w:b/>
        <w:sz w:val="18"/>
      </w:rPr>
      <w:instrText xml:space="preserve"> PAGE  \* MERGEFORMAT </w:instrText>
    </w:r>
    <w:r w:rsidRPr="00046F46">
      <w:rPr>
        <w:b/>
        <w:sz w:val="18"/>
      </w:rPr>
      <w:fldChar w:fldCharType="separate"/>
    </w:r>
    <w:r w:rsidRPr="00046F46">
      <w:rPr>
        <w:b/>
        <w:noProof/>
        <w:sz w:val="18"/>
      </w:rPr>
      <w:t>2</w:t>
    </w:r>
    <w:r w:rsidRPr="00046F46">
      <w:rPr>
        <w:b/>
        <w:sz w:val="18"/>
      </w:rPr>
      <w:fldChar w:fldCharType="end"/>
    </w:r>
    <w:r>
      <w:rPr>
        <w:b/>
        <w:sz w:val="18"/>
      </w:rPr>
      <w:tab/>
    </w:r>
    <w:r>
      <w:t>GE.21-16482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5ED4" w14:textId="78C6A05C" w:rsidR="00046F46" w:rsidRPr="00046F46" w:rsidRDefault="00046F46" w:rsidP="00046F46">
    <w:pPr>
      <w:pStyle w:val="Pieddepage"/>
      <w:tabs>
        <w:tab w:val="right" w:pos="9638"/>
      </w:tabs>
      <w:rPr>
        <w:b/>
        <w:sz w:val="18"/>
      </w:rPr>
    </w:pPr>
    <w:r>
      <w:t>GE.21-16482</w:t>
    </w:r>
    <w:r>
      <w:tab/>
    </w:r>
    <w:r w:rsidRPr="00046F46">
      <w:rPr>
        <w:b/>
        <w:sz w:val="18"/>
      </w:rPr>
      <w:fldChar w:fldCharType="begin"/>
    </w:r>
    <w:r w:rsidRPr="00046F46">
      <w:rPr>
        <w:b/>
        <w:sz w:val="18"/>
      </w:rPr>
      <w:instrText xml:space="preserve"> PAGE  \* MERGEFORMAT </w:instrText>
    </w:r>
    <w:r w:rsidRPr="00046F46">
      <w:rPr>
        <w:b/>
        <w:sz w:val="18"/>
      </w:rPr>
      <w:fldChar w:fldCharType="separate"/>
    </w:r>
    <w:r w:rsidRPr="00046F46">
      <w:rPr>
        <w:b/>
        <w:noProof/>
        <w:sz w:val="18"/>
      </w:rPr>
      <w:t>3</w:t>
    </w:r>
    <w:r w:rsidRPr="00046F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624B" w14:textId="79F043CC" w:rsidR="002D14A3" w:rsidRPr="00046F46" w:rsidRDefault="00046F46" w:rsidP="00046F46">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01821766" wp14:editId="63C671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21-16482  (F)</w:t>
    </w:r>
    <w:r>
      <w:rPr>
        <w:noProof/>
        <w:sz w:val="20"/>
      </w:rPr>
      <w:drawing>
        <wp:anchor distT="0" distB="0" distL="114300" distR="114300" simplePos="0" relativeHeight="251660288" behindDoc="0" locked="0" layoutInCell="1" allowOverlap="1" wp14:anchorId="41773C4E" wp14:editId="3169D9F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250322    2</w:t>
    </w:r>
    <w:r w:rsidR="002749C0">
      <w:rPr>
        <w:sz w:val="20"/>
      </w:rPr>
      <w:t>9</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029C" w14:textId="77777777" w:rsidR="002F7927" w:rsidRPr="00AC3823" w:rsidRDefault="002F7927" w:rsidP="00AC3823">
      <w:pPr>
        <w:pStyle w:val="Pieddepage"/>
        <w:tabs>
          <w:tab w:val="right" w:pos="2155"/>
        </w:tabs>
        <w:spacing w:after="80" w:line="240" w:lineRule="atLeast"/>
        <w:ind w:left="680"/>
        <w:rPr>
          <w:u w:val="single"/>
        </w:rPr>
      </w:pPr>
      <w:r>
        <w:rPr>
          <w:u w:val="single"/>
        </w:rPr>
        <w:tab/>
      </w:r>
    </w:p>
  </w:footnote>
  <w:footnote w:type="continuationSeparator" w:id="0">
    <w:p w14:paraId="6BA06A54" w14:textId="77777777" w:rsidR="002F7927" w:rsidRPr="00AC3823" w:rsidRDefault="002F7927" w:rsidP="00AC3823">
      <w:pPr>
        <w:pStyle w:val="Pieddepage"/>
        <w:tabs>
          <w:tab w:val="right" w:pos="2155"/>
        </w:tabs>
        <w:spacing w:after="80" w:line="240" w:lineRule="atLeast"/>
        <w:ind w:left="680"/>
        <w:rPr>
          <w:u w:val="single"/>
        </w:rPr>
      </w:pPr>
      <w:r>
        <w:rPr>
          <w:u w:val="single"/>
        </w:rPr>
        <w:tab/>
      </w:r>
    </w:p>
  </w:footnote>
  <w:footnote w:type="continuationNotice" w:id="1">
    <w:p w14:paraId="43B3CAC3" w14:textId="77777777" w:rsidR="002F7927" w:rsidRPr="00AC3823" w:rsidRDefault="002F7927">
      <w:pPr>
        <w:spacing w:line="240" w:lineRule="auto"/>
        <w:rPr>
          <w:sz w:val="2"/>
          <w:szCs w:val="2"/>
        </w:rPr>
      </w:pPr>
    </w:p>
  </w:footnote>
  <w:footnote w:id="2">
    <w:p w14:paraId="37EA6024" w14:textId="77777777" w:rsidR="00046F46" w:rsidRPr="0019096A" w:rsidRDefault="00046F46" w:rsidP="007620C3">
      <w:pPr>
        <w:pStyle w:val="Notedebasdepage"/>
      </w:pPr>
      <w:r>
        <w:rPr>
          <w:lang w:val="fr-FR"/>
        </w:rPr>
        <w:tab/>
      </w:r>
      <w:r w:rsidRPr="007620C3">
        <w:rPr>
          <w:sz w:val="20"/>
          <w:lang w:val="fr-FR"/>
        </w:rPr>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D598" w14:textId="77AEB285" w:rsidR="00046F46" w:rsidRPr="00046F46" w:rsidRDefault="000B1F92">
    <w:pPr>
      <w:pStyle w:val="En-tte"/>
    </w:pPr>
    <w:r>
      <w:fldChar w:fldCharType="begin"/>
    </w:r>
    <w:r>
      <w:instrText xml:space="preserve"> TITLE  \* MERGEFORMAT </w:instrText>
    </w:r>
    <w:r>
      <w:fldChar w:fldCharType="separate"/>
    </w:r>
    <w:r w:rsidR="00F64D9D">
      <w:t>CRC/C/ZMB/5-7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F35" w14:textId="181EC227" w:rsidR="00046F46" w:rsidRPr="00046F46" w:rsidRDefault="000B1F92" w:rsidP="00046F46">
    <w:pPr>
      <w:pStyle w:val="En-tte"/>
      <w:jc w:val="right"/>
    </w:pPr>
    <w:r>
      <w:fldChar w:fldCharType="begin"/>
    </w:r>
    <w:r>
      <w:instrText xml:space="preserve"> TITLE  \* MERGEFORMAT </w:instrText>
    </w:r>
    <w:r>
      <w:fldChar w:fldCharType="separate"/>
    </w:r>
    <w:r w:rsidR="00F64D9D">
      <w:t>CRC/C/ZMB/5-7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4475FB"/>
    <w:multiLevelType w:val="hybridMultilevel"/>
    <w:tmpl w:val="E83CDA6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C9544F"/>
    <w:multiLevelType w:val="hybridMultilevel"/>
    <w:tmpl w:val="167E6622"/>
    <w:lvl w:ilvl="0" w:tplc="1809000F">
      <w:start w:val="1"/>
      <w:numFmt w:val="decimal"/>
      <w:lvlText w:val="%1."/>
      <w:lvlJc w:val="left"/>
      <w:pPr>
        <w:ind w:left="720" w:hanging="360"/>
      </w:pPr>
      <w:rPr>
        <w:rFonts w:ascii="Times New Roman" w:hAnsi="Times New Roman" w:cs="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5438F6"/>
    <w:multiLevelType w:val="hybridMultilevel"/>
    <w:tmpl w:val="15BA01B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92E7ABB"/>
    <w:multiLevelType w:val="hybridMultilevel"/>
    <w:tmpl w:val="6F6E36C4"/>
    <w:lvl w:ilvl="0" w:tplc="2000001B">
      <w:start w:val="1"/>
      <w:numFmt w:val="lowerRoman"/>
      <w:lvlText w:val="%1."/>
      <w:lvlJc w:val="righ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3874C20"/>
    <w:multiLevelType w:val="hybridMultilevel"/>
    <w:tmpl w:val="34748F26"/>
    <w:lvl w:ilvl="0" w:tplc="F428250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1" w15:restartNumberingAfterBreak="0">
    <w:nsid w:val="489703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ED621A"/>
    <w:multiLevelType w:val="hybridMultilevel"/>
    <w:tmpl w:val="B0DA1CD6"/>
    <w:lvl w:ilvl="0" w:tplc="20000015">
      <w:start w:val="7"/>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95C0DCC"/>
    <w:multiLevelType w:val="hybridMultilevel"/>
    <w:tmpl w:val="1736BEE4"/>
    <w:lvl w:ilvl="0" w:tplc="B18AA8E2">
      <w:start w:val="1"/>
      <w:numFmt w:val="lowerRoman"/>
      <w:lvlText w:val="%1."/>
      <w:lvlJc w:val="right"/>
      <w:pPr>
        <w:ind w:left="501" w:hanging="360"/>
      </w:pPr>
      <w:rPr>
        <w:rFonts w:ascii="Bookman Old Style" w:eastAsia="Calibri" w:hAnsi="Bookman Old Style" w:cs="Times New Roman"/>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15:restartNumberingAfterBreak="0">
    <w:nsid w:val="586B3C44"/>
    <w:multiLevelType w:val="hybridMultilevel"/>
    <w:tmpl w:val="AC6405F4"/>
    <w:lvl w:ilvl="0" w:tplc="9C62D944">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CC0BC1"/>
    <w:multiLevelType w:val="hybridMultilevel"/>
    <w:tmpl w:val="4364C7C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BD202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9"/>
  </w:num>
  <w:num w:numId="16">
    <w:abstractNumId w:val="12"/>
  </w:num>
  <w:num w:numId="17">
    <w:abstractNumId w:val="27"/>
  </w:num>
  <w:num w:numId="18">
    <w:abstractNumId w:val="19"/>
  </w:num>
  <w:num w:numId="19">
    <w:abstractNumId w:val="12"/>
  </w:num>
  <w:num w:numId="20">
    <w:abstractNumId w:val="18"/>
  </w:num>
  <w:num w:numId="21">
    <w:abstractNumId w:val="15"/>
  </w:num>
  <w:num w:numId="22">
    <w:abstractNumId w:val="10"/>
  </w:num>
  <w:num w:numId="23">
    <w:abstractNumId w:val="25"/>
  </w:num>
  <w:num w:numId="24">
    <w:abstractNumId w:val="26"/>
  </w:num>
  <w:num w:numId="25">
    <w:abstractNumId w:val="28"/>
  </w:num>
  <w:num w:numId="26">
    <w:abstractNumId w:val="14"/>
  </w:num>
  <w:num w:numId="27">
    <w:abstractNumId w:val="21"/>
  </w:num>
  <w:num w:numId="28">
    <w:abstractNumId w:val="30"/>
  </w:num>
  <w:num w:numId="29">
    <w:abstractNumId w:val="24"/>
  </w:num>
  <w:num w:numId="30">
    <w:abstractNumId w:val="23"/>
  </w:num>
  <w:num w:numId="31">
    <w:abstractNumId w:val="16"/>
  </w:num>
  <w:num w:numId="32">
    <w:abstractNumId w:val="20"/>
  </w:num>
  <w:num w:numId="33">
    <w:abstractNumId w:val="22"/>
  </w:num>
  <w:num w:numId="34">
    <w:abstractNumId w:val="17"/>
  </w:num>
  <w:num w:numId="35">
    <w:abstractNumId w:val="29"/>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27"/>
    <w:rsid w:val="00017F94"/>
    <w:rsid w:val="00023842"/>
    <w:rsid w:val="000334F9"/>
    <w:rsid w:val="000354E9"/>
    <w:rsid w:val="00046F46"/>
    <w:rsid w:val="0007796D"/>
    <w:rsid w:val="000B1F92"/>
    <w:rsid w:val="000B7790"/>
    <w:rsid w:val="000D2B6D"/>
    <w:rsid w:val="00111F2F"/>
    <w:rsid w:val="0014365E"/>
    <w:rsid w:val="00176178"/>
    <w:rsid w:val="00191C1E"/>
    <w:rsid w:val="001F525A"/>
    <w:rsid w:val="00223272"/>
    <w:rsid w:val="0024779E"/>
    <w:rsid w:val="00260A30"/>
    <w:rsid w:val="002749C0"/>
    <w:rsid w:val="00281A97"/>
    <w:rsid w:val="00290B1B"/>
    <w:rsid w:val="002D14A3"/>
    <w:rsid w:val="002F7927"/>
    <w:rsid w:val="003016C3"/>
    <w:rsid w:val="00311E81"/>
    <w:rsid w:val="0032211B"/>
    <w:rsid w:val="00330C8D"/>
    <w:rsid w:val="00340ED0"/>
    <w:rsid w:val="003C1B2C"/>
    <w:rsid w:val="00411C8E"/>
    <w:rsid w:val="00446FE5"/>
    <w:rsid w:val="00452396"/>
    <w:rsid w:val="00485B35"/>
    <w:rsid w:val="0048667E"/>
    <w:rsid w:val="004D7A2C"/>
    <w:rsid w:val="004E2FEA"/>
    <w:rsid w:val="005505B7"/>
    <w:rsid w:val="00551E3D"/>
    <w:rsid w:val="00573BE5"/>
    <w:rsid w:val="00586ED3"/>
    <w:rsid w:val="00596AA9"/>
    <w:rsid w:val="00597FF6"/>
    <w:rsid w:val="00653997"/>
    <w:rsid w:val="006B41BA"/>
    <w:rsid w:val="0071601D"/>
    <w:rsid w:val="00720521"/>
    <w:rsid w:val="007341B7"/>
    <w:rsid w:val="00760CBC"/>
    <w:rsid w:val="007620C3"/>
    <w:rsid w:val="007647FF"/>
    <w:rsid w:val="007757CF"/>
    <w:rsid w:val="007A62E6"/>
    <w:rsid w:val="007C1FFB"/>
    <w:rsid w:val="007F61AD"/>
    <w:rsid w:val="0080668F"/>
    <w:rsid w:val="0080684C"/>
    <w:rsid w:val="008279BF"/>
    <w:rsid w:val="0083586C"/>
    <w:rsid w:val="00840413"/>
    <w:rsid w:val="00865896"/>
    <w:rsid w:val="00871C75"/>
    <w:rsid w:val="008776DC"/>
    <w:rsid w:val="008C54BD"/>
    <w:rsid w:val="008F3CA0"/>
    <w:rsid w:val="00905D5D"/>
    <w:rsid w:val="009705C8"/>
    <w:rsid w:val="00A30353"/>
    <w:rsid w:val="00A63B39"/>
    <w:rsid w:val="00A76CF1"/>
    <w:rsid w:val="00AC3823"/>
    <w:rsid w:val="00AE323C"/>
    <w:rsid w:val="00B00181"/>
    <w:rsid w:val="00B15CE0"/>
    <w:rsid w:val="00B22F5F"/>
    <w:rsid w:val="00B24A9B"/>
    <w:rsid w:val="00B45399"/>
    <w:rsid w:val="00B765F7"/>
    <w:rsid w:val="00BA0CA9"/>
    <w:rsid w:val="00BD6EE8"/>
    <w:rsid w:val="00C02897"/>
    <w:rsid w:val="00C614BF"/>
    <w:rsid w:val="00C674E1"/>
    <w:rsid w:val="00CB5D24"/>
    <w:rsid w:val="00D3439C"/>
    <w:rsid w:val="00DB1831"/>
    <w:rsid w:val="00DD3BFD"/>
    <w:rsid w:val="00DE7C87"/>
    <w:rsid w:val="00DF6678"/>
    <w:rsid w:val="00E11540"/>
    <w:rsid w:val="00E613C6"/>
    <w:rsid w:val="00EA04CE"/>
    <w:rsid w:val="00F565FF"/>
    <w:rsid w:val="00F64D9D"/>
    <w:rsid w:val="00F660DF"/>
    <w:rsid w:val="00F73AC6"/>
    <w:rsid w:val="00F7671A"/>
    <w:rsid w:val="00F92AA1"/>
    <w:rsid w:val="00F95C08"/>
    <w:rsid w:val="00FF1C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19051"/>
  <w15:docId w15:val="{E2D607FD-941C-4F25-B694-0C492B5A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046F46"/>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046F46"/>
    <w:pPr>
      <w:numPr>
        <w:numId w:val="24"/>
      </w:numPr>
    </w:pPr>
  </w:style>
  <w:style w:type="numbering" w:styleId="1ai">
    <w:name w:val="Outline List 1"/>
    <w:basedOn w:val="Aucuneliste"/>
    <w:semiHidden/>
    <w:rsid w:val="00046F46"/>
    <w:pPr>
      <w:numPr>
        <w:numId w:val="25"/>
      </w:numPr>
    </w:pPr>
  </w:style>
  <w:style w:type="character" w:styleId="Titredulivre">
    <w:name w:val="Book Title"/>
    <w:basedOn w:val="Policepardfaut"/>
    <w:uiPriority w:val="33"/>
    <w:semiHidden/>
    <w:rsid w:val="00046F46"/>
    <w:rPr>
      <w:b/>
      <w:bCs/>
      <w:smallCaps/>
      <w:spacing w:val="5"/>
    </w:rPr>
  </w:style>
  <w:style w:type="paragraph" w:styleId="Commentaire">
    <w:name w:val="annotation text"/>
    <w:basedOn w:val="Normal"/>
    <w:link w:val="CommentaireCar"/>
    <w:uiPriority w:val="99"/>
    <w:semiHidden/>
    <w:unhideWhenUsed/>
    <w:rsid w:val="00046F4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046F46"/>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046F46"/>
    <w:rPr>
      <w:sz w:val="16"/>
      <w:szCs w:val="16"/>
    </w:rPr>
  </w:style>
  <w:style w:type="paragraph" w:styleId="Objetducommentaire">
    <w:name w:val="annotation subject"/>
    <w:basedOn w:val="Commentaire"/>
    <w:next w:val="Commentaire"/>
    <w:link w:val="ObjetducommentaireCar"/>
    <w:uiPriority w:val="99"/>
    <w:semiHidden/>
    <w:unhideWhenUsed/>
    <w:rsid w:val="00046F46"/>
    <w:rPr>
      <w:b/>
      <w:bCs/>
    </w:rPr>
  </w:style>
  <w:style w:type="character" w:customStyle="1" w:styleId="ObjetducommentaireCar">
    <w:name w:val="Objet du commentaire Car"/>
    <w:basedOn w:val="CommentaireCar"/>
    <w:link w:val="Objetducommentaire"/>
    <w:uiPriority w:val="99"/>
    <w:semiHidden/>
    <w:rsid w:val="00046F46"/>
    <w:rPr>
      <w:rFonts w:ascii="Times New Roman" w:hAnsi="Times New Roman" w:cs="Times New Roman"/>
      <w:b/>
      <w:bCs/>
      <w:sz w:val="20"/>
      <w:szCs w:val="20"/>
      <w:lang w:val="en-GB" w:eastAsia="en-US"/>
    </w:rPr>
  </w:style>
  <w:style w:type="paragraph" w:styleId="Rvision">
    <w:name w:val="Revision"/>
    <w:hidden/>
    <w:uiPriority w:val="99"/>
    <w:semiHidden/>
    <w:rsid w:val="00046F46"/>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4" b="1" i="0" u="none" strike="noStrike" kern="1200" baseline="0">
                <a:solidFill>
                  <a:schemeClr val="tx2"/>
                </a:solidFill>
                <a:latin typeface="+mn-lt"/>
                <a:ea typeface="+mn-ea"/>
                <a:cs typeface="+mn-cs"/>
              </a:defRPr>
            </a:pPr>
            <a:r>
              <a:rPr lang="en-US"/>
              <a:t>VIOLENCE AGAINST CHILDREN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Defilement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2279</c:v>
                </c:pt>
                <c:pt idx="1">
                  <c:v>2578</c:v>
                </c:pt>
                <c:pt idx="2">
                  <c:v>2653</c:v>
                </c:pt>
              </c:numCache>
            </c:numRef>
          </c:val>
          <c:extLst>
            <c:ext xmlns:c16="http://schemas.microsoft.com/office/drawing/2014/chart" uri="{C3380CC4-5D6E-409C-BE32-E72D297353CC}">
              <c16:uniqueId val="{00000000-8E16-4A09-A06D-1087EAFB52F9}"/>
            </c:ext>
          </c:extLst>
        </c:ser>
        <c:ser>
          <c:idx val="1"/>
          <c:order val="1"/>
          <c:tx>
            <c:strRef>
              <c:f>Sheet1!$C$1</c:f>
              <c:strCache>
                <c:ptCount val="1"/>
                <c:pt idx="0">
                  <c:v>Assault on Child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Sheet1!$C$2:$C$4</c:f>
              <c:numCache>
                <c:formatCode>General</c:formatCode>
                <c:ptCount val="3"/>
                <c:pt idx="0">
                  <c:v>400</c:v>
                </c:pt>
                <c:pt idx="1">
                  <c:v>449</c:v>
                </c:pt>
                <c:pt idx="2">
                  <c:v>600</c:v>
                </c:pt>
              </c:numCache>
            </c:numRef>
          </c:val>
          <c:extLst>
            <c:ext xmlns:c16="http://schemas.microsoft.com/office/drawing/2014/chart" uri="{C3380CC4-5D6E-409C-BE32-E72D297353CC}">
              <c16:uniqueId val="{00000001-8E16-4A09-A06D-1087EAFB52F9}"/>
            </c:ext>
          </c:extLst>
        </c:ser>
        <c:ser>
          <c:idx val="2"/>
          <c:order val="2"/>
          <c:tx>
            <c:strRef>
              <c:f>Sheet1!$D$1</c:f>
              <c:strCache>
                <c:ptCount val="1"/>
                <c:pt idx="0">
                  <c:v>Attempted Rape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Sheet1!$D$2:$D$4</c:f>
              <c:numCache>
                <c:formatCode>General</c:formatCode>
                <c:ptCount val="3"/>
                <c:pt idx="0">
                  <c:v>9</c:v>
                </c:pt>
                <c:pt idx="1">
                  <c:v>9</c:v>
                </c:pt>
                <c:pt idx="2">
                  <c:v>5</c:v>
                </c:pt>
              </c:numCache>
            </c:numRef>
          </c:val>
          <c:extLst>
            <c:ext xmlns:c16="http://schemas.microsoft.com/office/drawing/2014/chart" uri="{C3380CC4-5D6E-409C-BE32-E72D297353CC}">
              <c16:uniqueId val="{00000002-8E16-4A09-A06D-1087EAFB52F9}"/>
            </c:ext>
          </c:extLst>
        </c:ser>
        <c:ser>
          <c:idx val="3"/>
          <c:order val="3"/>
          <c:tx>
            <c:strRef>
              <c:f>Sheet1!$E$1</c:f>
              <c:strCache>
                <c:ptCount val="1"/>
                <c:pt idx="0">
                  <c:v>Incest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Sheet1!$E$2:$E$4</c:f>
              <c:numCache>
                <c:formatCode>General</c:formatCode>
                <c:ptCount val="3"/>
                <c:pt idx="0">
                  <c:v>25</c:v>
                </c:pt>
                <c:pt idx="1">
                  <c:v>21</c:v>
                </c:pt>
                <c:pt idx="2">
                  <c:v>16</c:v>
                </c:pt>
              </c:numCache>
            </c:numRef>
          </c:val>
          <c:extLst>
            <c:ext xmlns:c16="http://schemas.microsoft.com/office/drawing/2014/chart" uri="{C3380CC4-5D6E-409C-BE32-E72D297353CC}">
              <c16:uniqueId val="{00000003-8E16-4A09-A06D-1087EAFB52F9}"/>
            </c:ext>
          </c:extLst>
        </c:ser>
        <c:ser>
          <c:idx val="4"/>
          <c:order val="4"/>
          <c:tx>
            <c:strRef>
              <c:f>Sheet1!$F$1</c:f>
              <c:strCache>
                <c:ptCount val="1"/>
                <c:pt idx="0">
                  <c:v>Indescent Assault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Sheet1!$F$2:$F$4</c:f>
              <c:numCache>
                <c:formatCode>General</c:formatCode>
                <c:ptCount val="3"/>
                <c:pt idx="0">
                  <c:v>32</c:v>
                </c:pt>
                <c:pt idx="1">
                  <c:v>36</c:v>
                </c:pt>
                <c:pt idx="2">
                  <c:v>35</c:v>
                </c:pt>
              </c:numCache>
            </c:numRef>
          </c:val>
          <c:extLst>
            <c:ext xmlns:c16="http://schemas.microsoft.com/office/drawing/2014/chart" uri="{C3380CC4-5D6E-409C-BE32-E72D297353CC}">
              <c16:uniqueId val="{00000004-8E16-4A09-A06D-1087EAFB52F9}"/>
            </c:ext>
          </c:extLst>
        </c:ser>
        <c:ser>
          <c:idx val="5"/>
          <c:order val="5"/>
          <c:tx>
            <c:strRef>
              <c:f>Sheet1!$G$1</c:f>
              <c:strCache>
                <c:ptCount val="1"/>
                <c:pt idx="0">
                  <c:v>Abortion</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Sheet1!$G$2:$G$4</c:f>
              <c:numCache>
                <c:formatCode>General</c:formatCode>
                <c:ptCount val="3"/>
                <c:pt idx="0">
                  <c:v>0</c:v>
                </c:pt>
                <c:pt idx="1">
                  <c:v>2</c:v>
                </c:pt>
                <c:pt idx="2">
                  <c:v>2</c:v>
                </c:pt>
              </c:numCache>
            </c:numRef>
          </c:val>
          <c:extLst>
            <c:ext xmlns:c16="http://schemas.microsoft.com/office/drawing/2014/chart" uri="{C3380CC4-5D6E-409C-BE32-E72D297353CC}">
              <c16:uniqueId val="{00000005-8E16-4A09-A06D-1087EAFB52F9}"/>
            </c:ext>
          </c:extLst>
        </c:ser>
        <c:ser>
          <c:idx val="6"/>
          <c:order val="6"/>
          <c:tx>
            <c:strRef>
              <c:f>Sheet1!$H$1</c:f>
              <c:strCache>
                <c:ptCount val="1"/>
                <c:pt idx="0">
                  <c:v>Murder</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Sheet1!$H$2:$H$4</c:f>
              <c:numCache>
                <c:formatCode>General</c:formatCode>
                <c:ptCount val="3"/>
                <c:pt idx="0">
                  <c:v>21</c:v>
                </c:pt>
                <c:pt idx="1">
                  <c:v>8</c:v>
                </c:pt>
                <c:pt idx="2">
                  <c:v>16</c:v>
                </c:pt>
              </c:numCache>
            </c:numRef>
          </c:val>
          <c:extLst>
            <c:ext xmlns:c16="http://schemas.microsoft.com/office/drawing/2014/chart" uri="{C3380CC4-5D6E-409C-BE32-E72D297353CC}">
              <c16:uniqueId val="{00000006-8E16-4A09-A06D-1087EAFB52F9}"/>
            </c:ext>
          </c:extLst>
        </c:ser>
        <c:ser>
          <c:idx val="7"/>
          <c:order val="7"/>
          <c:tx>
            <c:strRef>
              <c:f>Sheet1!$I$1</c:f>
              <c:strCache>
                <c:ptCount val="1"/>
                <c:pt idx="0">
                  <c:v>Attempted Murder</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Sheet1!$I$2:$I$4</c:f>
              <c:numCache>
                <c:formatCode>General</c:formatCode>
                <c:ptCount val="3"/>
                <c:pt idx="0">
                  <c:v>3</c:v>
                </c:pt>
                <c:pt idx="1">
                  <c:v>0</c:v>
                </c:pt>
                <c:pt idx="2">
                  <c:v>4</c:v>
                </c:pt>
              </c:numCache>
            </c:numRef>
          </c:val>
          <c:extLst>
            <c:ext xmlns:c16="http://schemas.microsoft.com/office/drawing/2014/chart" uri="{C3380CC4-5D6E-409C-BE32-E72D297353CC}">
              <c16:uniqueId val="{00000007-8E16-4A09-A06D-1087EAFB52F9}"/>
            </c:ext>
          </c:extLst>
        </c:ser>
        <c:ser>
          <c:idx val="8"/>
          <c:order val="8"/>
          <c:tx>
            <c:strRef>
              <c:f>Sheet1!$J$1</c:f>
              <c:strCache>
                <c:ptCount val="1"/>
                <c:pt idx="0">
                  <c:v>Infaticide</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Sheet1!$J$2:$J$4</c:f>
              <c:numCache>
                <c:formatCode>General</c:formatCode>
                <c:ptCount val="3"/>
                <c:pt idx="0">
                  <c:v>15</c:v>
                </c:pt>
                <c:pt idx="1">
                  <c:v>9</c:v>
                </c:pt>
                <c:pt idx="2">
                  <c:v>0</c:v>
                </c:pt>
              </c:numCache>
            </c:numRef>
          </c:val>
          <c:extLst>
            <c:ext xmlns:c16="http://schemas.microsoft.com/office/drawing/2014/chart" uri="{C3380CC4-5D6E-409C-BE32-E72D297353CC}">
              <c16:uniqueId val="{00000008-8E16-4A09-A06D-1087EAFB52F9}"/>
            </c:ext>
          </c:extLst>
        </c:ser>
        <c:ser>
          <c:idx val="9"/>
          <c:order val="9"/>
          <c:tx>
            <c:strRef>
              <c:f>Sheet1!$K$1</c:f>
              <c:strCache>
                <c:ptCount val="1"/>
                <c:pt idx="0">
                  <c:v>Threatening Violence</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2017</c:v>
                </c:pt>
                <c:pt idx="1">
                  <c:v>2018</c:v>
                </c:pt>
                <c:pt idx="2">
                  <c:v>2019</c:v>
                </c:pt>
              </c:numCache>
            </c:numRef>
          </c:cat>
          <c:val>
            <c:numRef>
              <c:f>Sheet1!$K$2:$K$4</c:f>
              <c:numCache>
                <c:formatCode>General</c:formatCode>
                <c:ptCount val="3"/>
                <c:pt idx="0">
                  <c:v>0</c:v>
                </c:pt>
                <c:pt idx="1">
                  <c:v>3</c:v>
                </c:pt>
                <c:pt idx="2">
                  <c:v>1</c:v>
                </c:pt>
              </c:numCache>
            </c:numRef>
          </c:val>
          <c:extLst>
            <c:ext xmlns:c16="http://schemas.microsoft.com/office/drawing/2014/chart" uri="{C3380CC4-5D6E-409C-BE32-E72D297353CC}">
              <c16:uniqueId val="{00000009-8E16-4A09-A06D-1087EAFB52F9}"/>
            </c:ext>
          </c:extLst>
        </c:ser>
        <c:dLbls>
          <c:showLegendKey val="0"/>
          <c:showVal val="0"/>
          <c:showCatName val="0"/>
          <c:showSerName val="0"/>
          <c:showPercent val="0"/>
          <c:showBubbleSize val="0"/>
        </c:dLbls>
        <c:gapWidth val="100"/>
        <c:overlap val="-24"/>
        <c:axId val="2080741944"/>
        <c:axId val="2084255320"/>
      </c:barChart>
      <c:catAx>
        <c:axId val="2080741944"/>
        <c:scaling>
          <c:orientation val="minMax"/>
        </c:scaling>
        <c:delete val="0"/>
        <c:axPos val="b"/>
        <c:numFmt formatCode="General" sourceLinked="1"/>
        <c:majorTickMark val="out"/>
        <c:minorTickMark val="none"/>
        <c:tickLblPos val="nextTo"/>
        <c:spPr>
          <a:noFill/>
          <a:ln w="9546" cap="flat" cmpd="sng" algn="ctr">
            <a:solidFill>
              <a:schemeClr val="tx2">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en-US"/>
          </a:p>
        </c:txPr>
        <c:crossAx val="2084255320"/>
        <c:crosses val="autoZero"/>
        <c:auto val="1"/>
        <c:lblAlgn val="ctr"/>
        <c:lblOffset val="100"/>
        <c:noMultiLvlLbl val="0"/>
      </c:catAx>
      <c:valAx>
        <c:axId val="2084255320"/>
        <c:scaling>
          <c:orientation val="minMax"/>
        </c:scaling>
        <c:delete val="0"/>
        <c:axPos val="l"/>
        <c:majorGridlines>
          <c:spPr>
            <a:ln w="9546"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en-US"/>
          </a:p>
        </c:txPr>
        <c:crossAx val="2080741944"/>
        <c:crosses val="autoZero"/>
        <c:crossBetween val="between"/>
      </c:valAx>
      <c:spPr>
        <a:noFill/>
        <a:ln w="25456">
          <a:noFill/>
        </a:ln>
      </c:spPr>
    </c:plotArea>
    <c:legend>
      <c:legendPos val="b"/>
      <c:overlay val="0"/>
      <c:spPr>
        <a:noFill/>
        <a:ln>
          <a:noFill/>
        </a:ln>
        <a:effectLst/>
      </c:spPr>
      <c:txPr>
        <a:bodyPr rot="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46"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534625088611298E-2"/>
          <c:y val="2.7060270602706001E-2"/>
          <c:w val="0.95746537671244003"/>
          <c:h val="0.58860239509618395"/>
        </c:manualLayout>
      </c:layout>
      <c:barChart>
        <c:barDir val="col"/>
        <c:grouping val="clustered"/>
        <c:varyColors val="0"/>
        <c:ser>
          <c:idx val="0"/>
          <c:order val="0"/>
          <c:tx>
            <c:strRef>
              <c:f>'[Charts_SRGBV 05.12.2019.xlsx]Sheet1'!$HD$2</c:f>
              <c:strCache>
                <c:ptCount val="1"/>
                <c:pt idx="0">
                  <c:v>Female</c:v>
                </c:pt>
              </c:strCache>
            </c:strRef>
          </c:tx>
          <c:spPr>
            <a:solidFill>
              <a:srgbClr val="B20E10"/>
            </a:solidFill>
            <a:ln>
              <a:noFill/>
            </a:ln>
            <a:effectLst/>
          </c:spPr>
          <c:invertIfNegative val="0"/>
          <c:dLbls>
            <c:dLbl>
              <c:idx val="3"/>
              <c:layout>
                <c:manualLayout>
                  <c:x val="-7.1744589262226497E-3"/>
                  <c:y val="1.488095238095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17-4A77-83B7-EF1CFA8B8C9C}"/>
                </c:ext>
              </c:extLst>
            </c:dLbl>
            <c:dLbl>
              <c:idx val="7"/>
              <c:layout>
                <c:manualLayout>
                  <c:x val="-7.1744589262226497E-3"/>
                  <c:y val="5.95238095238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17-4A77-83B7-EF1CFA8B8C9C}"/>
                </c:ext>
              </c:extLst>
            </c:dLbl>
            <c:dLbl>
              <c:idx val="10"/>
              <c:layout>
                <c:manualLayout>
                  <c:x val="-7.1744589262226497E-3"/>
                  <c:y val="1.19047619047619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17-4A77-83B7-EF1CFA8B8C9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'[Charts_SRGBV 05.12.2019.xlsx]Sheet1'!$HC$3:$HC$19</c:f>
              <c:strCache>
                <c:ptCount val="17"/>
                <c:pt idx="0">
                  <c:v>Boyfriend</c:v>
                </c:pt>
                <c:pt idx="1">
                  <c:v>Female friend/different school</c:v>
                </c:pt>
                <c:pt idx="2">
                  <c:v>Male friend/ different school </c:v>
                </c:pt>
                <c:pt idx="3">
                  <c:v>Female employer</c:v>
                </c:pt>
                <c:pt idx="4">
                  <c:v>Ex-boyfriend</c:v>
                </c:pt>
                <c:pt idx="5">
                  <c:v>Ex-girlfriend</c:v>
                </c:pt>
                <c:pt idx="6">
                  <c:v>Female adult/ from unofficial accommodation</c:v>
                </c:pt>
                <c:pt idx="7">
                  <c:v>Female I met online</c:v>
                </c:pt>
                <c:pt idx="8">
                  <c:v>Female pupil same school</c:v>
                </c:pt>
                <c:pt idx="9">
                  <c:v>Female stranger/not from school</c:v>
                </c:pt>
                <c:pt idx="10">
                  <c:v>Female teacher/ school staff</c:v>
                </c:pt>
                <c:pt idx="11">
                  <c:v>Girlfriend</c:v>
                </c:pt>
                <c:pt idx="12">
                  <c:v>Male adult/ from  unofficial accommodation</c:v>
                </c:pt>
                <c:pt idx="13">
                  <c:v>Male I met online</c:v>
                </c:pt>
                <c:pt idx="14">
                  <c:v>Male pupil same school</c:v>
                </c:pt>
                <c:pt idx="15">
                  <c:v>Male stranger/not from school</c:v>
                </c:pt>
                <c:pt idx="16">
                  <c:v>Male teacher/ school staff</c:v>
                </c:pt>
              </c:strCache>
            </c:strRef>
          </c:cat>
          <c:val>
            <c:numRef>
              <c:f>'[Charts_SRGBV 05.12.2019.xlsx]Sheet1'!$HD$3:$HD$19</c:f>
              <c:numCache>
                <c:formatCode>General</c:formatCode>
                <c:ptCount val="17"/>
                <c:pt idx="0">
                  <c:v>6.1099999999999994</c:v>
                </c:pt>
                <c:pt idx="1">
                  <c:v>0.87</c:v>
                </c:pt>
                <c:pt idx="2">
                  <c:v>12.66</c:v>
                </c:pt>
                <c:pt idx="3">
                  <c:v>0</c:v>
                </c:pt>
                <c:pt idx="4">
                  <c:v>4.37</c:v>
                </c:pt>
                <c:pt idx="5">
                  <c:v>0</c:v>
                </c:pt>
                <c:pt idx="6">
                  <c:v>0.44</c:v>
                </c:pt>
                <c:pt idx="7">
                  <c:v>0</c:v>
                </c:pt>
                <c:pt idx="8">
                  <c:v>2.1800000000000002</c:v>
                </c:pt>
                <c:pt idx="9">
                  <c:v>0.87</c:v>
                </c:pt>
                <c:pt idx="10">
                  <c:v>0.44</c:v>
                </c:pt>
                <c:pt idx="11">
                  <c:v>0</c:v>
                </c:pt>
                <c:pt idx="12">
                  <c:v>14.85</c:v>
                </c:pt>
                <c:pt idx="13">
                  <c:v>8.3000000000000007</c:v>
                </c:pt>
                <c:pt idx="14">
                  <c:v>28.38</c:v>
                </c:pt>
                <c:pt idx="15">
                  <c:v>14.41</c:v>
                </c:pt>
                <c:pt idx="16">
                  <c:v>6.1099999999999994</c:v>
                </c:pt>
              </c:numCache>
            </c:numRef>
          </c:val>
          <c:extLst>
            <c:ext xmlns:c16="http://schemas.microsoft.com/office/drawing/2014/chart" uri="{C3380CC4-5D6E-409C-BE32-E72D297353CC}">
              <c16:uniqueId val="{00000003-1A17-4A77-83B7-EF1CFA8B8C9C}"/>
            </c:ext>
          </c:extLst>
        </c:ser>
        <c:ser>
          <c:idx val="1"/>
          <c:order val="1"/>
          <c:tx>
            <c:strRef>
              <c:f>'[Charts_SRGBV 05.12.2019.xlsx]Sheet1'!$HE$2</c:f>
              <c:strCache>
                <c:ptCount val="1"/>
                <c:pt idx="0">
                  <c:v>Male</c:v>
                </c:pt>
              </c:strCache>
            </c:strRef>
          </c:tx>
          <c:spPr>
            <a:solidFill>
              <a:srgbClr val="87D0D8"/>
            </a:solidFill>
            <a:ln>
              <a:noFill/>
            </a:ln>
            <a:effectLst/>
          </c:spPr>
          <c:invertIfNegative val="0"/>
          <c:dLbls>
            <c:dLbl>
              <c:idx val="0"/>
              <c:layout>
                <c:manualLayout>
                  <c:x val="2.39148630874088E-3"/>
                  <c:y val="1.78571428571428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17-4A77-83B7-EF1CFA8B8C9C}"/>
                </c:ext>
              </c:extLst>
            </c:dLbl>
            <c:dLbl>
              <c:idx val="2"/>
              <c:layout>
                <c:manualLayout>
                  <c:x val="1.4348917852445299E-2"/>
                  <c:y val="1.488095238095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17-4A77-83B7-EF1CFA8B8C9C}"/>
                </c:ext>
              </c:extLst>
            </c:dLbl>
            <c:dLbl>
              <c:idx val="3"/>
              <c:layout>
                <c:manualLayout>
                  <c:x val="1.19574315437044E-2"/>
                  <c:y val="5.95238095238095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17-4A77-83B7-EF1CFA8B8C9C}"/>
                </c:ext>
              </c:extLst>
            </c:dLbl>
            <c:dLbl>
              <c:idx val="6"/>
              <c:layout>
                <c:manualLayout>
                  <c:x val="1.19574315437044E-2"/>
                  <c:y val="1.19047619047619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17-4A77-83B7-EF1CFA8B8C9C}"/>
                </c:ext>
              </c:extLst>
            </c:dLbl>
            <c:dLbl>
              <c:idx val="12"/>
              <c:layout>
                <c:manualLayout>
                  <c:x val="9.5659452349634404E-3"/>
                  <c:y val="1.19047619047619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17-4A77-83B7-EF1CFA8B8C9C}"/>
                </c:ext>
              </c:extLst>
            </c:dLbl>
            <c:dLbl>
              <c:idx val="13"/>
              <c:layout>
                <c:manualLayout>
                  <c:x val="1.19574315437044E-2"/>
                  <c:y val="8.9285714285714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17-4A77-83B7-EF1CFA8B8C9C}"/>
                </c:ext>
              </c:extLst>
            </c:dLbl>
            <c:dLbl>
              <c:idx val="14"/>
              <c:layout>
                <c:manualLayout>
                  <c:x val="1.19574315437044E-2"/>
                  <c:y val="1.48809523809523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17-4A77-83B7-EF1CFA8B8C9C}"/>
                </c:ext>
              </c:extLst>
            </c:dLbl>
            <c:dLbl>
              <c:idx val="15"/>
              <c:layout>
                <c:manualLayout>
                  <c:x val="9.5659452349635306E-3"/>
                  <c:y val="5.95238095238095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17-4A77-83B7-EF1CFA8B8C9C}"/>
                </c:ext>
              </c:extLst>
            </c:dLbl>
            <c:dLbl>
              <c:idx val="16"/>
              <c:layout>
                <c:manualLayout>
                  <c:x val="1.1957431543704201E-2"/>
                  <c:y val="-1.09125723497314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17-4A77-83B7-EF1CFA8B8C9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'[Charts_SRGBV 05.12.2019.xlsx]Sheet1'!$HC$3:$HC$19</c:f>
              <c:strCache>
                <c:ptCount val="17"/>
                <c:pt idx="0">
                  <c:v>Boyfriend</c:v>
                </c:pt>
                <c:pt idx="1">
                  <c:v>Female friend/different school</c:v>
                </c:pt>
                <c:pt idx="2">
                  <c:v>Male friend/ different school </c:v>
                </c:pt>
                <c:pt idx="3">
                  <c:v>Female employer</c:v>
                </c:pt>
                <c:pt idx="4">
                  <c:v>Ex-boyfriend</c:v>
                </c:pt>
                <c:pt idx="5">
                  <c:v>Ex-girlfriend</c:v>
                </c:pt>
                <c:pt idx="6">
                  <c:v>Female adult/ from unofficial accommodation</c:v>
                </c:pt>
                <c:pt idx="7">
                  <c:v>Female I met online</c:v>
                </c:pt>
                <c:pt idx="8">
                  <c:v>Female pupil same school</c:v>
                </c:pt>
                <c:pt idx="9">
                  <c:v>Female stranger/not from school</c:v>
                </c:pt>
                <c:pt idx="10">
                  <c:v>Female teacher/ school staff</c:v>
                </c:pt>
                <c:pt idx="11">
                  <c:v>Girlfriend</c:v>
                </c:pt>
                <c:pt idx="12">
                  <c:v>Male adult/ from  unofficial accommodation</c:v>
                </c:pt>
                <c:pt idx="13">
                  <c:v>Male I met online</c:v>
                </c:pt>
                <c:pt idx="14">
                  <c:v>Male pupil same school</c:v>
                </c:pt>
                <c:pt idx="15">
                  <c:v>Male stranger/not from school</c:v>
                </c:pt>
                <c:pt idx="16">
                  <c:v>Male teacher/ school staff</c:v>
                </c:pt>
              </c:strCache>
            </c:strRef>
          </c:cat>
          <c:val>
            <c:numRef>
              <c:f>'[Charts_SRGBV 05.12.2019.xlsx]Sheet1'!$HE$3:$HE$19</c:f>
              <c:numCache>
                <c:formatCode>General</c:formatCode>
                <c:ptCount val="17"/>
                <c:pt idx="0">
                  <c:v>0.82</c:v>
                </c:pt>
                <c:pt idx="1">
                  <c:v>19.670000000000009</c:v>
                </c:pt>
                <c:pt idx="2">
                  <c:v>4.92</c:v>
                </c:pt>
                <c:pt idx="3">
                  <c:v>0.82</c:v>
                </c:pt>
                <c:pt idx="4">
                  <c:v>0</c:v>
                </c:pt>
                <c:pt idx="5">
                  <c:v>5.74</c:v>
                </c:pt>
                <c:pt idx="6">
                  <c:v>6.56</c:v>
                </c:pt>
                <c:pt idx="7">
                  <c:v>1.64</c:v>
                </c:pt>
                <c:pt idx="8">
                  <c:v>27.05</c:v>
                </c:pt>
                <c:pt idx="9">
                  <c:v>5.74</c:v>
                </c:pt>
                <c:pt idx="10">
                  <c:v>1.64</c:v>
                </c:pt>
                <c:pt idx="11">
                  <c:v>5.74</c:v>
                </c:pt>
                <c:pt idx="12">
                  <c:v>2.46</c:v>
                </c:pt>
                <c:pt idx="13">
                  <c:v>0.82</c:v>
                </c:pt>
                <c:pt idx="14">
                  <c:v>11.48</c:v>
                </c:pt>
                <c:pt idx="15">
                  <c:v>4.0999999999999996</c:v>
                </c:pt>
                <c:pt idx="16">
                  <c:v>0.82</c:v>
                </c:pt>
              </c:numCache>
            </c:numRef>
          </c:val>
          <c:extLst>
            <c:ext xmlns:c16="http://schemas.microsoft.com/office/drawing/2014/chart" uri="{C3380CC4-5D6E-409C-BE32-E72D297353CC}">
              <c16:uniqueId val="{0000000D-1A17-4A77-83B7-EF1CFA8B8C9C}"/>
            </c:ext>
          </c:extLst>
        </c:ser>
        <c:dLbls>
          <c:dLblPos val="outEnd"/>
          <c:showLegendKey val="0"/>
          <c:showVal val="1"/>
          <c:showCatName val="0"/>
          <c:showSerName val="0"/>
          <c:showPercent val="0"/>
          <c:showBubbleSize val="0"/>
        </c:dLbls>
        <c:gapWidth val="219"/>
        <c:overlap val="-27"/>
        <c:axId val="2088129064"/>
        <c:axId val="2141451368"/>
      </c:barChart>
      <c:catAx>
        <c:axId val="2088129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141451368"/>
        <c:crosses val="autoZero"/>
        <c:auto val="1"/>
        <c:lblAlgn val="ctr"/>
        <c:lblOffset val="100"/>
        <c:noMultiLvlLbl val="0"/>
      </c:catAx>
      <c:valAx>
        <c:axId val="214145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088129064"/>
        <c:crosses val="autoZero"/>
        <c:crossBetween val="between"/>
      </c:valAx>
      <c:spPr>
        <a:noFill/>
        <a:ln>
          <a:noFill/>
        </a:ln>
        <a:effectLst/>
      </c:spPr>
    </c:plotArea>
    <c:legend>
      <c:legendPos val="b"/>
      <c:layout>
        <c:manualLayout>
          <c:xMode val="edge"/>
          <c:yMode val="edge"/>
          <c:x val="0.80780744956647499"/>
          <c:y val="0.91079514859600597"/>
          <c:w val="0.124376597528774"/>
          <c:h val="4.531788613677559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Calibri" panose="020F0502020204030204" pitchFamily="34" charset="0"/>
          <a:cs typeface="Calibri" panose="020F0502020204030204" pitchFamily="34"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0.02117</cdr:x>
      <cdr:y>0.17492</cdr:y>
    </cdr:from>
    <cdr:to>
      <cdr:x>0.06501</cdr:x>
      <cdr:y>0.39183</cdr:y>
    </cdr:to>
    <cdr:pic>
      <cdr:nvPicPr>
        <cdr:cNvPr id="2" name="chart">
          <a:extLst xmlns:a="http://schemas.openxmlformats.org/drawingml/2006/main">
            <a:ext uri="{FF2B5EF4-FFF2-40B4-BE49-F238E27FC236}">
              <a16:creationId xmlns:a16="http://schemas.microsoft.com/office/drawing/2014/main" id="{2E296AD0-753D-4558-A2A8-F2BC778C7DE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71440" y="1280212"/>
          <a:ext cx="1133954" cy="40237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259A-D025-47D1-B35A-28CB3421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48</Pages>
  <Words>25664</Words>
  <Characters>135747</Characters>
  <Application>Microsoft Office Word</Application>
  <DocSecurity>0</DocSecurity>
  <Lines>3036</Lines>
  <Paragraphs>1367</Paragraphs>
  <ScaleCrop>false</ScaleCrop>
  <HeadingPairs>
    <vt:vector size="2" baseType="variant">
      <vt:variant>
        <vt:lpstr>Titre</vt:lpstr>
      </vt:variant>
      <vt:variant>
        <vt:i4>1</vt:i4>
      </vt:variant>
    </vt:vector>
  </HeadingPairs>
  <TitlesOfParts>
    <vt:vector size="1" baseType="lpstr">
      <vt:lpstr>CRC/C/ZMB/5-7</vt:lpstr>
    </vt:vector>
  </TitlesOfParts>
  <Company>DCM</Company>
  <LinksUpToDate>false</LinksUpToDate>
  <CharactersWithSpaces>160538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CRC/C/ZMB/5-7</dc:title>
  <dc:subject/>
  <dc:creator>Sandrine CLERE</dc:creator>
  <cp:keywords/>
  <cp:lastModifiedBy>Sandrine Clere</cp:lastModifiedBy>
  <cp:revision>2</cp:revision>
  <cp:lastPrinted>2014-05-14T10:59:00Z</cp:lastPrinted>
  <dcterms:created xsi:type="dcterms:W3CDTF">2022-03-29T09:24:00Z</dcterms:created>
  <dcterms:modified xsi:type="dcterms:W3CDTF">2022-03-29T09:24:00Z</dcterms:modified>
</cp:coreProperties>
</file>