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577672F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5F16A9E" w14:textId="77777777" w:rsidR="002D5AAC" w:rsidRDefault="002D5AAC" w:rsidP="008D1E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993E292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967FD90" w14:textId="7F54C4E3" w:rsidR="002D5AAC" w:rsidRDefault="008D1E55" w:rsidP="008D1E55">
            <w:pPr>
              <w:jc w:val="right"/>
            </w:pPr>
            <w:r w:rsidRPr="00012447">
              <w:rPr>
                <w:sz w:val="40"/>
              </w:rPr>
              <w:t>CCPR</w:t>
            </w:r>
            <w:r w:rsidRPr="00012447">
              <w:t>/C/KHM/CO/3</w:t>
            </w:r>
          </w:p>
        </w:tc>
      </w:tr>
      <w:tr w:rsidR="002D5AAC" w:rsidRPr="00F67FA2" w14:paraId="15A72F81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BE692A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E5DC1C" wp14:editId="4239EA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D54A1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E93A86A" w14:textId="77777777" w:rsidR="002D5AAC" w:rsidRPr="008D1E55" w:rsidRDefault="008D1E55" w:rsidP="00BC3629">
            <w:pPr>
              <w:spacing w:before="240"/>
              <w:rPr>
                <w:lang w:val="en-US"/>
              </w:rPr>
            </w:pPr>
            <w:r w:rsidRPr="008D1E55">
              <w:rPr>
                <w:lang w:val="en-US"/>
              </w:rPr>
              <w:t>Distr.: General</w:t>
            </w:r>
          </w:p>
          <w:p w14:paraId="2DD7F1A3" w14:textId="44115AFB" w:rsidR="008D1E55" w:rsidRPr="008D1E55" w:rsidRDefault="008D1E55" w:rsidP="008D1E55">
            <w:pPr>
              <w:spacing w:line="240" w:lineRule="exact"/>
              <w:rPr>
                <w:lang w:val="en-US"/>
              </w:rPr>
            </w:pPr>
            <w:r w:rsidRPr="008D1E55">
              <w:rPr>
                <w:lang w:val="en-US"/>
              </w:rPr>
              <w:t>1</w:t>
            </w:r>
            <w:r w:rsidR="00931DB4">
              <w:rPr>
                <w:lang w:val="en-US"/>
              </w:rPr>
              <w:t>8</w:t>
            </w:r>
            <w:r w:rsidRPr="008D1E55">
              <w:rPr>
                <w:lang w:val="en-US"/>
              </w:rPr>
              <w:t xml:space="preserve"> May 2022</w:t>
            </w:r>
          </w:p>
          <w:p w14:paraId="4DD47242" w14:textId="77777777" w:rsidR="008D1E55" w:rsidRPr="008D1E55" w:rsidRDefault="008D1E55" w:rsidP="008D1E55">
            <w:pPr>
              <w:spacing w:line="240" w:lineRule="exact"/>
              <w:rPr>
                <w:lang w:val="en-US"/>
              </w:rPr>
            </w:pPr>
            <w:r w:rsidRPr="008D1E55">
              <w:rPr>
                <w:lang w:val="en-US"/>
              </w:rPr>
              <w:t>Russian</w:t>
            </w:r>
          </w:p>
          <w:p w14:paraId="288872C1" w14:textId="52EA8050" w:rsidR="008D1E55" w:rsidRPr="008D1E55" w:rsidRDefault="008D1E55" w:rsidP="008D1E55">
            <w:pPr>
              <w:spacing w:line="240" w:lineRule="exact"/>
              <w:rPr>
                <w:lang w:val="en-US"/>
              </w:rPr>
            </w:pPr>
            <w:r w:rsidRPr="008D1E55">
              <w:rPr>
                <w:lang w:val="en-US"/>
              </w:rPr>
              <w:t>Original: English</w:t>
            </w:r>
          </w:p>
        </w:tc>
      </w:tr>
    </w:tbl>
    <w:p w14:paraId="5773BBFA" w14:textId="77777777" w:rsidR="008D1E55" w:rsidRPr="00931DB4" w:rsidRDefault="008D1E55" w:rsidP="008D1E55">
      <w:pPr>
        <w:spacing w:before="120" w:line="240" w:lineRule="auto"/>
        <w:rPr>
          <w:b/>
          <w:sz w:val="24"/>
          <w:szCs w:val="24"/>
        </w:rPr>
      </w:pPr>
      <w:r w:rsidRPr="00931DB4">
        <w:rPr>
          <w:b/>
          <w:bCs/>
          <w:sz w:val="24"/>
          <w:szCs w:val="24"/>
        </w:rPr>
        <w:t>Комитет по правам человека</w:t>
      </w:r>
    </w:p>
    <w:p w14:paraId="0DFF4F53" w14:textId="138669D0" w:rsidR="008D1E55" w:rsidRPr="00757FCC" w:rsidRDefault="008D1E55" w:rsidP="008D1E55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третьему периодическому докладу Камбоджи</w:t>
      </w:r>
      <w:r w:rsidR="00DC55F1" w:rsidRPr="00DC55F1">
        <w:rPr>
          <w:b w:val="0"/>
          <w:sz w:val="20"/>
        </w:rPr>
        <w:t>*</w:t>
      </w:r>
    </w:p>
    <w:p w14:paraId="1692CD0A" w14:textId="511275E8" w:rsidR="008D1E55" w:rsidRPr="00757FCC" w:rsidRDefault="008D1E55" w:rsidP="008D1E55">
      <w:pPr>
        <w:pStyle w:val="SingleTxtG"/>
      </w:pPr>
      <w:r>
        <w:footnoteReference w:customMarkFollows="1" w:id="1"/>
        <w:t>1.</w:t>
      </w:r>
      <w:r>
        <w:tab/>
        <w:t>Комитет рассмотрел третий периодический доклад Камбоджи</w:t>
      </w:r>
      <w:r w:rsidR="00F05416" w:rsidRPr="00C739AD">
        <w:rPr>
          <w:rStyle w:val="aa"/>
        </w:rPr>
        <w:footnoteReference w:id="2"/>
      </w:r>
      <w:r>
        <w:t xml:space="preserve"> на своих 3850-м, 3852-м и 3854-м заседаниях</w:t>
      </w:r>
      <w:r w:rsidR="00A85097" w:rsidRPr="00C739AD">
        <w:rPr>
          <w:rStyle w:val="aa"/>
        </w:rPr>
        <w:footnoteReference w:id="3"/>
      </w:r>
      <w:r>
        <w:t>, состоявшихся 9, 10 и 11 марта 2022 года</w:t>
      </w:r>
      <w:r w:rsidRPr="008D1E55">
        <w:t>.</w:t>
      </w:r>
      <w:r>
        <w:t xml:space="preserve"> В связи с пандемией коронавирусной инфекции (COVID-19) заседания проходили в смешанном формате. На своих 3868-м и 3870-м заседаниях 22 и 23 марта 2022 года Комитет принял настоящие заключительные замечания. </w:t>
      </w:r>
    </w:p>
    <w:p w14:paraId="18D0C0B7" w14:textId="156816EF" w:rsidR="008D1E55" w:rsidRPr="00757FCC" w:rsidRDefault="00973F8F" w:rsidP="008D1E55">
      <w:pPr>
        <w:pStyle w:val="H1G"/>
      </w:pPr>
      <w:r>
        <w:rPr>
          <w:bCs/>
        </w:rPr>
        <w:tab/>
      </w:r>
      <w:r w:rsidR="008D1E55">
        <w:rPr>
          <w:bCs/>
        </w:rPr>
        <w:t>A.</w:t>
      </w:r>
      <w:r w:rsidR="008D1E55">
        <w:tab/>
      </w:r>
      <w:r w:rsidR="008D1E55">
        <w:rPr>
          <w:bCs/>
        </w:rPr>
        <w:t>Введение</w:t>
      </w:r>
    </w:p>
    <w:p w14:paraId="1B7DFC48" w14:textId="2CC6EF9A" w:rsidR="008D1E55" w:rsidRPr="00757FCC" w:rsidRDefault="008D1E55" w:rsidP="008D1E55">
      <w:pPr>
        <w:pStyle w:val="SingleTxtG"/>
      </w:pPr>
      <w:r>
        <w:t>2.</w:t>
      </w:r>
      <w:r>
        <w:tab/>
        <w:t>Комитет приветствует представление третьего периодического доклада Камбоджи и содержащуюся в нем информацию. Он высоко оценивает возможность начать конструктивный диалог с высокопоставленной делегацией государства-участника относительно мер, принятых в течение отчетного периода для осуществления положений Пакта. Комитет также выражает благодарность государству-участнику за его письменные ответы</w:t>
      </w:r>
      <w:r w:rsidR="00A85097" w:rsidRPr="00C739AD">
        <w:rPr>
          <w:rStyle w:val="aa"/>
        </w:rPr>
        <w:footnoteReference w:id="4"/>
      </w:r>
      <w:r>
        <w:t xml:space="preserve"> на перечень вопросов</w:t>
      </w:r>
      <w:r w:rsidR="00A85097" w:rsidRPr="00C739AD">
        <w:rPr>
          <w:rStyle w:val="aa"/>
        </w:rPr>
        <w:footnoteReference w:id="5"/>
      </w:r>
      <w:r>
        <w:t>, которые были дополнены устными ответами членов делегации, а также за представленную ему в письменном виде дополнительную информацию.</w:t>
      </w:r>
    </w:p>
    <w:p w14:paraId="4B441ACA" w14:textId="55448871" w:rsidR="008D1E55" w:rsidRPr="00757FCC" w:rsidRDefault="00973F8F" w:rsidP="008D1E55">
      <w:pPr>
        <w:pStyle w:val="H1G"/>
      </w:pPr>
      <w:r>
        <w:rPr>
          <w:bCs/>
        </w:rPr>
        <w:tab/>
      </w:r>
      <w:r w:rsidR="008D1E55">
        <w:rPr>
          <w:bCs/>
        </w:rPr>
        <w:t>B.</w:t>
      </w:r>
      <w:r w:rsidR="008D1E55">
        <w:tab/>
      </w:r>
      <w:r w:rsidR="008D1E55">
        <w:rPr>
          <w:bCs/>
        </w:rPr>
        <w:t>Позитивные аспекты</w:t>
      </w:r>
    </w:p>
    <w:p w14:paraId="0EC49FE9" w14:textId="77777777" w:rsidR="008D1E55" w:rsidRPr="00757FCC" w:rsidRDefault="008D1E55" w:rsidP="008D1E55">
      <w:pPr>
        <w:pStyle w:val="SingleTxtG"/>
      </w:pPr>
      <w:r>
        <w:t>3.</w:t>
      </w:r>
      <w:r>
        <w:tab/>
        <w:t xml:space="preserve">Комитет приветствует следующие законодательные, политические и институциональные меры, принятые государством-участником: </w:t>
      </w:r>
    </w:p>
    <w:p w14:paraId="28377008" w14:textId="16BD3D2D" w:rsidR="008D1E55" w:rsidRPr="00757FCC" w:rsidRDefault="00973F8F" w:rsidP="008D1E55">
      <w:pPr>
        <w:pStyle w:val="SingleTxtG"/>
      </w:pPr>
      <w:r>
        <w:tab/>
      </w:r>
      <w:r w:rsidR="008D1E55">
        <w:t>a)</w:t>
      </w:r>
      <w:r w:rsidR="008D1E55">
        <w:tab/>
        <w:t>Закон о ювенальной юстиции от 14 июля 2016 года и Стратегический и оперативный план ювенальной юстиции на 2018</w:t>
      </w:r>
      <w:r w:rsidR="00A85097">
        <w:t>–</w:t>
      </w:r>
      <w:r w:rsidR="008D1E55">
        <w:t xml:space="preserve">2020 годы; </w:t>
      </w:r>
    </w:p>
    <w:p w14:paraId="71D1BA32" w14:textId="0E4D5216" w:rsidR="008D1E55" w:rsidRPr="00757FCC" w:rsidRDefault="00973F8F" w:rsidP="008D1E55">
      <w:pPr>
        <w:pStyle w:val="SingleTxtG"/>
      </w:pPr>
      <w:r>
        <w:tab/>
      </w:r>
      <w:r w:rsidR="008D1E55">
        <w:t>b)</w:t>
      </w:r>
      <w:r w:rsidR="008D1E55">
        <w:tab/>
        <w:t xml:space="preserve">Распоряжение № 155 </w:t>
      </w:r>
      <w:r w:rsidR="00A147E5">
        <w:t>«</w:t>
      </w:r>
      <w:r w:rsidR="008D1E55">
        <w:t>Об организации и функционировании центров реабилитации молодежи</w:t>
      </w:r>
      <w:r w:rsidR="00A147E5">
        <w:t>»</w:t>
      </w:r>
      <w:r w:rsidR="008D1E55">
        <w:t xml:space="preserve"> от 29 сентября 2017 года, регулирующ</w:t>
      </w:r>
      <w:r w:rsidR="00A85097">
        <w:t>ее</w:t>
      </w:r>
      <w:r w:rsidR="008D1E55">
        <w:t xml:space="preserve"> содержание детей под стражей;</w:t>
      </w:r>
    </w:p>
    <w:p w14:paraId="15E10175" w14:textId="3B707E84" w:rsidR="008D1E55" w:rsidRPr="00757FCC" w:rsidRDefault="00973F8F" w:rsidP="008D1E55">
      <w:pPr>
        <w:pStyle w:val="SingleTxtG"/>
      </w:pPr>
      <w:r>
        <w:tab/>
      </w:r>
      <w:r w:rsidR="008D1E55">
        <w:t>c)</w:t>
      </w:r>
      <w:r w:rsidR="008D1E55">
        <w:tab/>
      </w:r>
      <w:r w:rsidR="00DC32FA">
        <w:t>т</w:t>
      </w:r>
      <w:r w:rsidR="008D1E55">
        <w:t xml:space="preserve">ретий Национальный план действий по предупреждению насилия в отношении женщин (на 2019–2023 годы); </w:t>
      </w:r>
    </w:p>
    <w:p w14:paraId="7401B18E" w14:textId="08C042DC" w:rsidR="008D1E55" w:rsidRPr="00757FCC" w:rsidRDefault="00973F8F" w:rsidP="008D1E55">
      <w:pPr>
        <w:pStyle w:val="SingleTxtG"/>
      </w:pPr>
      <w:r>
        <w:tab/>
      </w:r>
      <w:r w:rsidR="008D1E55">
        <w:t>d)</w:t>
      </w:r>
      <w:r w:rsidR="008D1E55">
        <w:tab/>
      </w:r>
      <w:r w:rsidR="00DC32FA">
        <w:t>с</w:t>
      </w:r>
      <w:r w:rsidR="008D1E55">
        <w:t>оздание Национального комитета против пыток и других жестоких, бесчеловечных или унижающих достоинство видов обращения и наказания Королевским указом 0817/619 от 22 августа 2017 года;</w:t>
      </w:r>
    </w:p>
    <w:p w14:paraId="00057C71" w14:textId="283A1929" w:rsidR="008D1E55" w:rsidRPr="00757FCC" w:rsidRDefault="00CD7270" w:rsidP="008D1E55">
      <w:pPr>
        <w:pStyle w:val="SingleTxtG"/>
      </w:pPr>
      <w:r>
        <w:lastRenderedPageBreak/>
        <w:tab/>
      </w:r>
      <w:r w:rsidR="008D1E55">
        <w:t>e)</w:t>
      </w:r>
      <w:r w:rsidR="008D1E55">
        <w:tab/>
        <w:t>Национальный стратегический план идентификации на 2017</w:t>
      </w:r>
      <w:r>
        <w:t>–</w:t>
      </w:r>
      <w:r w:rsidR="008D1E55">
        <w:t>2026 годы, направленный на обеспечение того, чтобы каждый человек имел правосубъектность.</w:t>
      </w:r>
    </w:p>
    <w:p w14:paraId="6D83A53C" w14:textId="020F6F6F" w:rsidR="008D1E55" w:rsidRPr="00757FCC" w:rsidRDefault="00973F8F" w:rsidP="008D1E55">
      <w:pPr>
        <w:pStyle w:val="H1G"/>
      </w:pPr>
      <w:r>
        <w:rPr>
          <w:bCs/>
        </w:rPr>
        <w:tab/>
      </w:r>
      <w:r w:rsidR="008D1E55">
        <w:rPr>
          <w:bCs/>
        </w:rPr>
        <w:t>C.</w:t>
      </w:r>
      <w:r w:rsidR="008D1E55">
        <w:tab/>
      </w:r>
      <w:r w:rsidR="008D1E55"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 w:rsidR="008D1E55">
        <w:rPr>
          <w:bCs/>
        </w:rPr>
        <w:t>рекомендации</w:t>
      </w:r>
    </w:p>
    <w:p w14:paraId="6E66D2C0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Применимость Пакта</w:t>
      </w:r>
      <w:r>
        <w:t xml:space="preserve"> </w:t>
      </w:r>
    </w:p>
    <w:p w14:paraId="79B0035C" w14:textId="77777777" w:rsidR="008D1E55" w:rsidRPr="00757FCC" w:rsidRDefault="008D1E55" w:rsidP="008D1E55">
      <w:pPr>
        <w:pStyle w:val="SingleTxtG"/>
      </w:pPr>
      <w:r>
        <w:t>4.</w:t>
      </w:r>
      <w:r>
        <w:tab/>
        <w:t xml:space="preserve">Отмечая, что государство-участник обеспечивает постоянную подготовку судей и адвокатов по вопросам международного права прав человека, включая Пакт, Комитет по-прежнему обеспокоен недостаточным применением закрепленных в нем прав национальными судами в своих решениях и вытекающими отсюда пробелами в защите. Комитет сожалеет, что государство-участник еще не ратифицировало первый Факультативный протокол к Пакту, который касается рассмотрения индивидуальных сообщений (статья 2). </w:t>
      </w:r>
    </w:p>
    <w:p w14:paraId="707DEB1D" w14:textId="77777777" w:rsidR="008D1E55" w:rsidRPr="00757FCC" w:rsidRDefault="008D1E55" w:rsidP="008D1E55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Государству-участнику следует активизировать усилия в целях повышения осведомленности судей, прокуроров, адвокатов и широкой общественности о положениях Пакта, с тем чтобы его положения учитывались национальными судами.</w:t>
      </w:r>
      <w:r>
        <w:t xml:space="preserve"> </w:t>
      </w:r>
      <w:r>
        <w:rPr>
          <w:b/>
          <w:bCs/>
        </w:rPr>
        <w:t>Государству-участнику следует ратифицировать первый Факультативный протокол к Пакту, который касается рассмотрения индивидуальных сообщений.</w:t>
      </w:r>
    </w:p>
    <w:p w14:paraId="29B199C5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Национальные правозащитные учреждения</w:t>
      </w:r>
      <w:r>
        <w:t xml:space="preserve"> </w:t>
      </w:r>
    </w:p>
    <w:p w14:paraId="1D64D324" w14:textId="77777777" w:rsidR="008D1E55" w:rsidRPr="00757FCC" w:rsidRDefault="008D1E55" w:rsidP="008D1E55">
      <w:pPr>
        <w:pStyle w:val="SingleTxtG"/>
      </w:pPr>
      <w:r>
        <w:t>6.</w:t>
      </w:r>
      <w:r>
        <w:tab/>
        <w:t xml:space="preserve">Комитет принимает к сведению успехи, достигнутые в создании национального правозащитного учреждения государством-участником, где в 2021 году был внесен на рассмотрение новый законопроект. Однако Комитет по-прежнему обеспокоен тем, что организации гражданского общества, правозащитники и профсоюзы с недоверием относятся к процессу создания заслуживающего доверия, эффективного и независимого национального правозащитного учреждения без проведения содержательного процесса консультаций (статья 2). </w:t>
      </w:r>
    </w:p>
    <w:p w14:paraId="4004C4E0" w14:textId="0015B630" w:rsidR="008D1E55" w:rsidRPr="00757FCC" w:rsidRDefault="008D1E55" w:rsidP="008D1E55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Учитывая предыдущие рекомендации Комитета</w:t>
      </w:r>
      <w:r w:rsidR="00FC2C18" w:rsidRPr="00C739AD">
        <w:rPr>
          <w:rStyle w:val="aa"/>
        </w:rPr>
        <w:footnoteReference w:id="6"/>
      </w:r>
      <w:r>
        <w:rPr>
          <w:b/>
          <w:bCs/>
        </w:rPr>
        <w:t>, государству-участнику следует добиваться дальнейшего прогресса в создании национального правозащитного учреждения в соответствии с принципами, касающимися статуса национальных учреждений по поощрению и защите прав человека (Парижские принципы).</w:t>
      </w:r>
      <w:r>
        <w:t xml:space="preserve"> </w:t>
      </w:r>
      <w:r>
        <w:rPr>
          <w:b/>
          <w:bCs/>
        </w:rPr>
        <w:t>Государству-участнику следует провести открытый, прозрачный и содержательный процесс консультаций по законопроекту, обеспечив участие широкого круга заинтересованных сторон, включая организации гражданского общества.</w:t>
      </w:r>
    </w:p>
    <w:p w14:paraId="12019314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Антикоррупционные меры</w:t>
      </w:r>
      <w:r>
        <w:t xml:space="preserve"> </w:t>
      </w:r>
    </w:p>
    <w:p w14:paraId="6174279A" w14:textId="77777777" w:rsidR="008D1E55" w:rsidRPr="00757FCC" w:rsidRDefault="008D1E55" w:rsidP="008D1E55">
      <w:pPr>
        <w:pStyle w:val="SingleTxtG"/>
      </w:pPr>
      <w:r>
        <w:t>8.</w:t>
      </w:r>
      <w:r>
        <w:tab/>
        <w:t xml:space="preserve">Отмечая меры, принимаемые для борьбы с коррупцией, Комитет обеспокоен отсутствием процессуальных гарантий в Законе о борьбе с коррупцией, а также его эффективного применения. Комитет также обеспокоен отсутствием независимых и эффективных расследований, которые должен проводить отдел по борьбе с коррупцией, и малым количеством случаев коррупции, о которых сообщается и за которые виновные несут наказание, отчасти из-за страха мести. Комитет также с озабоченностью отмечает сообщения о коррупции, связанной с захватом земель и посягательством на охраняемые леса, а также с незаконной вырубкой лесов и нарушениями при выдаче контрактов на осуществление проектов развития. </w:t>
      </w:r>
    </w:p>
    <w:p w14:paraId="402027C5" w14:textId="77777777" w:rsidR="008D1E55" w:rsidRPr="00757FCC" w:rsidRDefault="008D1E55" w:rsidP="008D1E55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Государству-участнику следует активизировать свои усилия для предотвращения и искоренения коррупции и безнаказанности на всех уровнях.</w:t>
      </w:r>
      <w:r>
        <w:t xml:space="preserve"> </w:t>
      </w:r>
      <w:r>
        <w:rPr>
          <w:b/>
          <w:bCs/>
        </w:rPr>
        <w:t xml:space="preserve">Оно должно обеспечить независимое и тщательное расследование всех случаев коррупции, в том числе связанных с земельными вопросами, незаконной вырубкой лесов и контрактами на проекты развития, надлежащее судебное </w:t>
      </w:r>
      <w:r>
        <w:rPr>
          <w:b/>
          <w:bCs/>
        </w:rPr>
        <w:lastRenderedPageBreak/>
        <w:t>разбирательство и адекватное наказание виновных, а также полное возмещение ущерба пострадавшим.</w:t>
      </w:r>
      <w:r>
        <w:t xml:space="preserve"> </w:t>
      </w:r>
      <w:r>
        <w:rPr>
          <w:b/>
          <w:bCs/>
        </w:rPr>
        <w:t>Государству-участнику следует обеспечить надлежащую защиту информаторов, свидетелей и жертв коррупции, в том числе путем принятия проекта закона об информаторах и проекта закона о свидетелях, экспертах и жертвах после открытых, прозрачных и содержательных консультаций с гражданским обществом и другими соответствующими заинтересованными сторонами.</w:t>
      </w:r>
      <w:r>
        <w:t xml:space="preserve"> </w:t>
      </w:r>
    </w:p>
    <w:p w14:paraId="2CA28ED4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Чрезвычайное положение</w:t>
      </w:r>
      <w:r>
        <w:t xml:space="preserve"> </w:t>
      </w:r>
    </w:p>
    <w:p w14:paraId="734E21D2" w14:textId="77777777" w:rsidR="008D1E55" w:rsidRPr="00757FCC" w:rsidRDefault="008D1E55" w:rsidP="008D1E55">
      <w:pPr>
        <w:pStyle w:val="SingleTxtG"/>
      </w:pPr>
      <w:r>
        <w:t>10.</w:t>
      </w:r>
      <w:r>
        <w:tab/>
        <w:t>Комитет обеспокоен полученной информацией о далеко идущих полномочиях, которыми наделяет правительство обнародованный в апреле 2020 года Закон об управлении страной в условиях чрезвычайного положения, позволяющий серьезно ограничивать осуществление целого ряда основных прав и свобод. Он также глубоко обеспокоен принятием и применением Закона о превентивных мерах против распространения COVID-19 и других тяжелых и опасных инфекционных заболеваний, обнародованного в марте 2021 года, который устанавливает жесткие санкции в случае несоблюдения, что приводит к несоразмерному ограничению основных прав и свобод, особенно когда закон используется для разгона мирных собраний. Комитет сожалеет об отсутствии дебатов и консультаций с организациями гражданского общества, предшествовавших принятию этих законов (статья 4).</w:t>
      </w:r>
    </w:p>
    <w:p w14:paraId="17746815" w14:textId="77777777" w:rsidR="008D1E55" w:rsidRPr="00757FCC" w:rsidRDefault="008D1E55" w:rsidP="008D1E55">
      <w:pPr>
        <w:pStyle w:val="SingleTxtG"/>
      </w:pPr>
      <w:r>
        <w:t>11.</w:t>
      </w:r>
      <w:r>
        <w:tab/>
        <w:t>Государству-участнику следует пересмотреть и изменить свои законы о чрезвычайном положении и COVID-19, чтобы обеспечить их полное соответствие требованиям статьи 4 Пакта, как они истолкованы в замечании общего порядка № 29 (2001) Комитета об отступлениях от положений Пакта в период чрезвычайного положения и заявлении Комитета об отступлениях от положений Пакта в связи с пандемией COVID-19</w:t>
      </w:r>
      <w:r w:rsidRPr="00C739AD">
        <w:rPr>
          <w:rStyle w:val="aa"/>
        </w:rPr>
        <w:footnoteReference w:id="7"/>
      </w:r>
      <w:r>
        <w:t xml:space="preserve">. Государство-участник должно гарантировать, что любые меры, принимаемые для защиты населения в контексте чрезвычайного положения, включая пандемию, были временными, соразмерными и строго необходимыми, и подлежали судебному надзору. Государству-участнику следует обеспечить, чтобы пересмотр и изменение такого законодательства включали открытый, прозрачный и содержательный процесс консультаций с широким кругом заинтересованных сторон, включая организации гражданского общества. </w:t>
      </w:r>
    </w:p>
    <w:p w14:paraId="67C9AB98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Борьба с безнаказанностью и ранее совершенными нарушениями прав человека</w:t>
      </w:r>
      <w:r>
        <w:t xml:space="preserve"> </w:t>
      </w:r>
    </w:p>
    <w:p w14:paraId="3EC8C860" w14:textId="1F346C4B" w:rsidR="008D1E55" w:rsidRPr="00757FCC" w:rsidRDefault="008D1E55" w:rsidP="008D1E55">
      <w:pPr>
        <w:pStyle w:val="SingleTxtG"/>
      </w:pPr>
      <w:r>
        <w:t>12.</w:t>
      </w:r>
      <w:r>
        <w:tab/>
        <w:t>Комитет вновь выражает свою озабоченность отсутствием прогресса в проведении расследований и привлечении к ответственности лиц, на которых лежит ответственн</w:t>
      </w:r>
      <w:r w:rsidR="00DF2386">
        <w:t>ость</w:t>
      </w:r>
      <w:r>
        <w:t xml:space="preserve"> за нарушения прав человека в прошлом, включая внесудебные казни и насильственные исчезновения, которые имели место после подписания Парижских мирных соглашений в 1991 году. Комитет также обеспокоен бездействием государства-участника, в том числе его национальных судов, в ответ на прекращение рассмотрения дел в чрезвычайных палатах камбоджийских судов без их анализа по существу, что может оставить безнаказанными прошлые нарушения прав человека (статьи 2, 6</w:t>
      </w:r>
      <w:r w:rsidR="004C2B5D">
        <w:t>–</w:t>
      </w:r>
      <w:r>
        <w:t>7 и 14).</w:t>
      </w:r>
    </w:p>
    <w:p w14:paraId="37BBE2C4" w14:textId="77777777" w:rsidR="008D1E55" w:rsidRPr="00757FCC" w:rsidRDefault="008D1E55" w:rsidP="008D1E55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вновь обратил внимание на свои ранее сформулированные рекомендации о необходимости положить конец безнаказанности за серьезные нарушения прав человека</w:t>
      </w:r>
      <w:r w:rsidRPr="00C739AD">
        <w:rPr>
          <w:rStyle w:val="aa"/>
        </w:rPr>
        <w:footnoteReference w:id="8"/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Государство-участник должно выполнить свое обязательство расследовать прошлые нарушения прав человека, имевшие место при режиме Пол Пота, а также после подписания Парижских мирных соглашений, привлечь виновных к ответственности, наказать их в соответствующих случаях соразмерно тяжести совершенных ими преступлений и предоставить полное возмещение, включая адекватную компенсацию, семьям жертв.</w:t>
      </w:r>
      <w:r>
        <w:t xml:space="preserve"> </w:t>
      </w:r>
    </w:p>
    <w:p w14:paraId="3DF75584" w14:textId="77777777" w:rsidR="008D1E55" w:rsidRPr="00757FCC" w:rsidRDefault="008D1E55" w:rsidP="008D1E55">
      <w:pPr>
        <w:pStyle w:val="H23G"/>
      </w:pPr>
      <w:r>
        <w:lastRenderedPageBreak/>
        <w:tab/>
      </w:r>
      <w:r>
        <w:tab/>
      </w:r>
      <w:r>
        <w:rPr>
          <w:bCs/>
        </w:rPr>
        <w:t>Запрет дискриминации</w:t>
      </w:r>
      <w:r>
        <w:t xml:space="preserve"> </w:t>
      </w:r>
    </w:p>
    <w:p w14:paraId="54987A66" w14:textId="2DC1E5E6" w:rsidR="008D1E55" w:rsidRPr="00757FCC" w:rsidRDefault="008D1E55" w:rsidP="008D1E55">
      <w:pPr>
        <w:pStyle w:val="SingleTxtG"/>
      </w:pPr>
      <w:r>
        <w:t>14.</w:t>
      </w:r>
      <w:r>
        <w:tab/>
        <w:t>Комитет по-прежнему обеспокоен дискриминацией и системным отчуждением, с которыми сталкиваются этнические меньшинства, в частности кхмер-кром и камбоджийцы вьетнамского происхождения, в том числе отказом в выдаче удостоверяющих личность документов, что ограничивает их возможность пользоваться другими правами. Комитет также обеспокоен дискриминацией, сегрегацией и стигматизацией, с которыми сталкиваются инвалиды, а также лесбиянки, геи, бисексуалы и трансгендеры, что часто влечет за собой насилие (статьи</w:t>
      </w:r>
      <w:r w:rsidR="00CD71BF">
        <w:t> </w:t>
      </w:r>
      <w:r>
        <w:t xml:space="preserve">2 и 26). </w:t>
      </w:r>
    </w:p>
    <w:p w14:paraId="789C85E6" w14:textId="77777777" w:rsidR="008D1E55" w:rsidRPr="00757FCC" w:rsidRDefault="008D1E55" w:rsidP="008D1E55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27C9C982" w14:textId="2532B996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 w:rsidR="008D1E55">
        <w:rPr>
          <w:b/>
          <w:bCs/>
        </w:rPr>
        <w:t>принять всеобъемлющее законодательство, запрещающее дискриминацию, в том числе множественную, прямую и косвенную, во всех сферах, как в государственном, так и в частном секторах, и по всем признакам, запрещенным Пактом, включая расу, цвет кожи, пол, политические или иные убеждения, национальное или социальное происхождение, сексуальную ориентацию и гендерную идентичность, инвалидность и другие признаки, и обеспечить жертвам дискриминации доступ к эффективным и адекватным средствам правовой защиты;</w:t>
      </w:r>
      <w:r w:rsidR="008D1E55">
        <w:t xml:space="preserve"> </w:t>
      </w:r>
    </w:p>
    <w:p w14:paraId="03444AEF" w14:textId="4F1BC58D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 w:rsidR="00D37FC0">
        <w:rPr>
          <w:b/>
          <w:bCs/>
        </w:rPr>
        <w:t>п</w:t>
      </w:r>
      <w:r w:rsidR="008D1E55">
        <w:rPr>
          <w:b/>
          <w:bCs/>
        </w:rPr>
        <w:t>ринять эффективные меры для борьбы с дискриминацией и отчуждением этнических меньшинств, в частности кхмер-кром и камбоджийцев вьетнамского происхождения, в том числе путем обеспечения им доступа к удостоверениям личности;</w:t>
      </w:r>
      <w:r w:rsidR="008D1E55">
        <w:t xml:space="preserve"> </w:t>
      </w:r>
    </w:p>
    <w:p w14:paraId="6DFB69F8" w14:textId="45C3266D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c)</w:t>
      </w:r>
      <w:r w:rsidR="008D1E55">
        <w:tab/>
      </w:r>
      <w:r w:rsidR="00303097">
        <w:rPr>
          <w:b/>
          <w:bCs/>
        </w:rPr>
        <w:t>п</w:t>
      </w:r>
      <w:r w:rsidR="008D1E55">
        <w:rPr>
          <w:b/>
          <w:bCs/>
        </w:rPr>
        <w:t>редотвращать дискриминацию и насилие в отношении лесбиянок, геев, бисексуалов и трансгендеров, а также в отношении людей с инвалидностью, в том числе путем проведения информационно-просветительских кампаний для борьбы с их социальной стигматизацией.</w:t>
      </w:r>
      <w:r w:rsidR="008D1E55">
        <w:t xml:space="preserve"> </w:t>
      </w:r>
    </w:p>
    <w:p w14:paraId="611D434F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Гендерное равенство</w:t>
      </w:r>
      <w:r>
        <w:t xml:space="preserve"> </w:t>
      </w:r>
    </w:p>
    <w:p w14:paraId="3AAC13FA" w14:textId="77777777" w:rsidR="008D1E55" w:rsidRPr="00757FCC" w:rsidRDefault="008D1E55" w:rsidP="008D1E55">
      <w:pPr>
        <w:pStyle w:val="SingleTxtG"/>
      </w:pPr>
      <w:r>
        <w:t>16.</w:t>
      </w:r>
      <w:r>
        <w:tab/>
        <w:t xml:space="preserve">Комитет по-прежнему обеспокоен сохранением дискриминационных норм и гендерных стереотипов, касающихся роли женщин в обществе. Он также с озабоченностью отмечает недопредставленность женщин на руководящих и директивных должностях на всех уровнях общественной жизни. Кроме того, Комитет обеспокоен тем, что Закон о труде 1997 года не включает принцип равной оплаты за труд равной ценности, а также тем, что он не защищает домашнюю прислугу, которая в основном состоит из женщин (статья 3). </w:t>
      </w:r>
    </w:p>
    <w:p w14:paraId="76873555" w14:textId="77777777" w:rsidR="008D1E55" w:rsidRPr="00757FCC" w:rsidRDefault="008D1E55" w:rsidP="008D1E55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Государству-участнику следует принять более решительные меры для обеспечения гендерного равенства, в том числе посредством:</w:t>
      </w:r>
    </w:p>
    <w:p w14:paraId="3C160413" w14:textId="1B8816C7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беспечения эффективного осуществления законодательства и политики по обеспечению гендерного равенства и пересмотра Закона о труде 1997</w:t>
      </w:r>
      <w:r w:rsidR="00141FAB">
        <w:rPr>
          <w:b/>
          <w:bCs/>
        </w:rPr>
        <w:t> </w:t>
      </w:r>
      <w:r w:rsidR="008D1E55">
        <w:rPr>
          <w:b/>
          <w:bCs/>
        </w:rPr>
        <w:t>года с целью обеспечения реализации принципа равной оплаты за труд равной ценности и полноценной защиты домашней прислуги;</w:t>
      </w:r>
      <w:r w:rsidR="008D1E55">
        <w:t xml:space="preserve"> </w:t>
      </w:r>
    </w:p>
    <w:p w14:paraId="33A73308" w14:textId="0BC64673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овышения осведомленности общества о принципе равенства между женщинами и мужчинами и необходимости искоренения гендерных стереотипов, а также обеспечения того, чтобы средства массовой информации пропагандировали позитивный образ женщин как активных участников общественной и политической жизни;</w:t>
      </w:r>
    </w:p>
    <w:p w14:paraId="305D837D" w14:textId="40B17973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c)</w:t>
      </w:r>
      <w:r w:rsidR="008D1E55">
        <w:tab/>
      </w:r>
      <w:r>
        <w:rPr>
          <w:b/>
          <w:bCs/>
        </w:rPr>
        <w:t>а</w:t>
      </w:r>
      <w:r w:rsidR="008D1E55">
        <w:rPr>
          <w:b/>
          <w:bCs/>
        </w:rPr>
        <w:t>ктивизации усилий по достижению в конкретные сроки полного и равного участия женщин в политической и общественной жизни, в том числе в Национальном собрании, на министерских должностях, в региональных и местных органах власти и в судебной системе, особенно на руководящих должностях.</w:t>
      </w:r>
      <w:r w:rsidR="008D1E55">
        <w:t xml:space="preserve"> </w:t>
      </w:r>
    </w:p>
    <w:p w14:paraId="0E8A1420" w14:textId="77777777" w:rsidR="008D1E55" w:rsidRPr="00757FCC" w:rsidRDefault="008D1E55" w:rsidP="008D1E55">
      <w:pPr>
        <w:pStyle w:val="H23G"/>
      </w:pPr>
      <w:r>
        <w:lastRenderedPageBreak/>
        <w:tab/>
      </w:r>
      <w:r>
        <w:tab/>
      </w:r>
      <w:r>
        <w:rPr>
          <w:bCs/>
        </w:rPr>
        <w:t>Насилие в отношении женщин</w:t>
      </w:r>
      <w:r>
        <w:t xml:space="preserve"> </w:t>
      </w:r>
    </w:p>
    <w:p w14:paraId="6232CE90" w14:textId="5D90D014" w:rsidR="008D1E55" w:rsidRPr="00757FCC" w:rsidRDefault="008D1E55" w:rsidP="008D1E55">
      <w:pPr>
        <w:pStyle w:val="SingleTxtG"/>
        <w:rPr>
          <w:rFonts w:eastAsia="Calibri"/>
        </w:rPr>
      </w:pPr>
      <w:r>
        <w:t>18.</w:t>
      </w:r>
      <w:r>
        <w:tab/>
        <w:t>Принимая к сведению усилия государства-участника по борьбе с насилием в отношении женщин, Комитет по-прежнему обеспокоен задержками в обсуждении и принятии поправок к Закону о предотвращении насилия в семье и защите жертв 2005</w:t>
      </w:r>
      <w:r w:rsidR="00141FAB">
        <w:t> </w:t>
      </w:r>
      <w:r>
        <w:t>года, который содержит ряд пробелов, что приводит к повторной виктимизации лиц, чьи права были нарушены, и ограничению их доступа к правосудию. Комитет также с озабоченностью отмечает распространенность в обществе терпимого отношения к насилию в отношении женщин и практики возлагать вину на жертв. Комитет выражает сожаление по поводу отсутствия надлежащей информации о количестве расследований, судебных процессов и вынесенных обвинительных приговоров по делам о насилии в отношении женщин (статьи 2</w:t>
      </w:r>
      <w:r w:rsidR="00DD2DA4">
        <w:t>–</w:t>
      </w:r>
      <w:r>
        <w:t>3, 6</w:t>
      </w:r>
      <w:r w:rsidR="00DD2DA4">
        <w:t>–</w:t>
      </w:r>
      <w:r>
        <w:t xml:space="preserve">7, 23 и 26). </w:t>
      </w:r>
    </w:p>
    <w:p w14:paraId="522B5A54" w14:textId="291A5F73" w:rsidR="008D1E55" w:rsidRPr="00757FCC" w:rsidRDefault="008D1E55" w:rsidP="008D1E55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Помня о предыдущей рекомендации Комитета по вопросу о гендерном насилии</w:t>
      </w:r>
      <w:r w:rsidR="00DD2DA4" w:rsidRPr="000C3B58">
        <w:rPr>
          <w:rStyle w:val="aa"/>
        </w:rPr>
        <w:footnoteReference w:id="9"/>
      </w:r>
      <w:r>
        <w:rPr>
          <w:b/>
          <w:bCs/>
        </w:rPr>
        <w:t>, государству-участнику следует принять меры для обеспечения пересмотра Закона о предотвращении насилия в семье и защите жертв 2005 года и внесения в него поправок с целью выработки всеобъемлющего определения и квалификации в качестве уголовного преступления насилия в семье и обеспечения эффективных расследований в соответствии с Пактом и другими международными стандартами.</w:t>
      </w:r>
      <w:r>
        <w:t xml:space="preserve"> </w:t>
      </w:r>
      <w:r>
        <w:rPr>
          <w:b/>
          <w:bCs/>
        </w:rPr>
        <w:t>Государству-участнику следует также обеспечить, чтобы случаи насилия в отношении женщин тщательно расследовались, чтобы виновные привлекались к ответственности и в случае осуждения назначались соразмерные наказания, а жертвы имели доступ к эффективным средствам правовой защиты, получали полное возмещение, включая адекватную компенсацию, и имели доступ к адекватной защите и помощи.</w:t>
      </w:r>
      <w:r>
        <w:t xml:space="preserve"> </w:t>
      </w:r>
      <w:r>
        <w:rPr>
          <w:b/>
          <w:bCs/>
        </w:rPr>
        <w:t>Ему следует продолжать проводить среди населения информационно-просветительские кампании по вопросам насилия в отношении женщин и обеспечить, чтобы представители правовой системы, включая судей, прокуроров и сотрудников правоохранительных органов, проходили в этом отношении соответствующую подготовку.</w:t>
      </w:r>
      <w:r>
        <w:t xml:space="preserve"> </w:t>
      </w:r>
    </w:p>
    <w:p w14:paraId="6435378F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Право на жизнь</w:t>
      </w:r>
    </w:p>
    <w:p w14:paraId="68A14A21" w14:textId="77777777" w:rsidR="008D1E55" w:rsidRPr="00757FCC" w:rsidRDefault="008D1E55" w:rsidP="008D1E55">
      <w:pPr>
        <w:pStyle w:val="SingleTxtG"/>
      </w:pPr>
      <w:r>
        <w:t>20.</w:t>
      </w:r>
      <w:r>
        <w:tab/>
        <w:t xml:space="preserve">Комитет глубоко обеспокоен многочисленными и серьезными утверждениями о внесудебных казнях лидеров оппозиции, правозащитников, журналистов и борцов за земельные права в государстве-участнике, в том числе убийством члена оппозиции Син Кхона в ноябре 2021 года. Комитет также обеспокоен отсутствием эффективных и беспристрастных расследований этих убийств, виновники которых остаются безнаказанными (статья 6). </w:t>
      </w:r>
    </w:p>
    <w:p w14:paraId="0EA5C462" w14:textId="77777777" w:rsidR="008D1E55" w:rsidRPr="00757FCC" w:rsidRDefault="008D1E55" w:rsidP="008D1E55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Государству-участнику следует в приоритетном порядке обеспечить, чтобы все сообщения о внесудебных казнях были быстро, беспристрастно и тщательно расследованы;</w:t>
      </w:r>
      <w:r>
        <w:t xml:space="preserve"> </w:t>
      </w:r>
      <w:r>
        <w:rPr>
          <w:b/>
          <w:bCs/>
        </w:rPr>
        <w:t>чтобы все виновные, независимо от их служебного положения или должности, были привлечены к ответственности;</w:t>
      </w:r>
      <w:r>
        <w:t xml:space="preserve"> </w:t>
      </w:r>
      <w:r>
        <w:rPr>
          <w:b/>
          <w:bCs/>
        </w:rPr>
        <w:t>и чтобы всем тем, кто был признан виновным, назначались наказания, соразмерные тяжести преступлений.</w:t>
      </w:r>
      <w:r>
        <w:t xml:space="preserve"> </w:t>
      </w:r>
      <w:r>
        <w:rPr>
          <w:b/>
          <w:bCs/>
        </w:rPr>
        <w:t>Государству-участнику следует принять все необходимые меры для предупреждения таких казней, установления фактов и предоставления полного возмещения семьям жертв.</w:t>
      </w:r>
    </w:p>
    <w:p w14:paraId="086BA8C4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Специальный докладчик по вопросу о пытках и других жестоких, бесчеловечных или унижающих достоинство видах обращения и наказания</w:t>
      </w:r>
      <w:r>
        <w:t xml:space="preserve"> </w:t>
      </w:r>
    </w:p>
    <w:p w14:paraId="25360D6B" w14:textId="114ECDDF" w:rsidR="008D1E55" w:rsidRPr="00757FCC" w:rsidRDefault="008D1E55" w:rsidP="008D1E55">
      <w:pPr>
        <w:pStyle w:val="SingleTxtG"/>
      </w:pPr>
      <w:r>
        <w:t>22.</w:t>
      </w:r>
      <w:r>
        <w:tab/>
        <w:t xml:space="preserve">Комитет с озабоченностью отмечает, что, хотя статья 210 Уголовного кодекса запрещает пытки и акты жестокости, в этом положении не содержится юридического определения пыток и жестокого обращения. Комитет также обеспокоен утверждениями об отсутствии независимости Национального комитета против пыток и других жестоких, бесчеловечных или унижающих достоинство видов обращения и наказания, а также об отсутствии у него возможностей проводить посещения тюрем и опрашивать заключенных. Кроме того, Комитет глубоко обеспокоен серьезными </w:t>
      </w:r>
      <w:r>
        <w:lastRenderedPageBreak/>
        <w:t>утверждениями о пытках и жестоком обращении в полицейских участках и других местах содержания под стражей, которые в некоторых случаях стали причиной смерти людей (статьи 6</w:t>
      </w:r>
      <w:r w:rsidR="00DD2DA4">
        <w:t>–</w:t>
      </w:r>
      <w:r>
        <w:t>7 и 9</w:t>
      </w:r>
      <w:r w:rsidR="00DD2DA4">
        <w:t>–</w:t>
      </w:r>
      <w:r>
        <w:t xml:space="preserve">10). </w:t>
      </w:r>
    </w:p>
    <w:p w14:paraId="25AD8DC6" w14:textId="77777777" w:rsidR="008D1E55" w:rsidRPr="00757FCC" w:rsidRDefault="008D1E55" w:rsidP="008D1E55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Государству-участнику следует принять решительные меры для искоренения пыток и жестокого обращения, в том числе:</w:t>
      </w:r>
      <w:r>
        <w:t xml:space="preserve"> </w:t>
      </w:r>
    </w:p>
    <w:p w14:paraId="0E24BED9" w14:textId="67BB3A77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0842E6">
        <w:rPr>
          <w:b/>
          <w:bCs/>
        </w:rPr>
        <w:t>a)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ересмотреть свое законодательство с целью обеспечения того, чтобы оно содержало определение пытки, полностью соответствующее статье</w:t>
      </w:r>
      <w:r w:rsidR="00850981">
        <w:rPr>
          <w:b/>
          <w:bCs/>
        </w:rPr>
        <w:t> </w:t>
      </w:r>
      <w:r w:rsidR="008D1E55">
        <w:rPr>
          <w:b/>
          <w:bCs/>
        </w:rPr>
        <w:t>1 Конвенции против пыток и других жестоких, бесчеловечных или унижающих достоинство видов обращения и наказания, а также статье 7 Пакта;</w:t>
      </w:r>
    </w:p>
    <w:p w14:paraId="32BA3D1C" w14:textId="385DDCBF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0842E6">
        <w:rPr>
          <w:b/>
          <w:bCs/>
        </w:rPr>
        <w:t>b)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редоставить Национальному комитету против пыток и других жестоких, бесчеловечных или унижающих достоинство видов обращения и наказания возможности независимо и эффективно выполнять свои функции, в том числе проводить регулярные и внезапные посещения всех мест содержания под стражей;</w:t>
      </w:r>
    </w:p>
    <w:p w14:paraId="2DC73071" w14:textId="51AD7115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0842E6">
        <w:rPr>
          <w:b/>
          <w:bCs/>
        </w:rPr>
        <w:t>c)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роводить оперативные, тщательные, эффективные, независимые и беспристрастные расследования в связи со всеми сообщениями о применении пыток и жестоком обращении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привлекать виновных к ответственности и в случае признания их виновными назначать им надлежащие меры наказания, и предоставлять полное возмещение жертвам;</w:t>
      </w:r>
    </w:p>
    <w:p w14:paraId="4D9A2DA6" w14:textId="75607CF1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0842E6">
        <w:rPr>
          <w:b/>
          <w:bCs/>
        </w:rPr>
        <w:t>d)</w:t>
      </w:r>
      <w:r w:rsidR="008D1E55">
        <w:tab/>
      </w:r>
      <w:r>
        <w:rPr>
          <w:b/>
          <w:bCs/>
        </w:rPr>
        <w:t>г</w:t>
      </w:r>
      <w:r w:rsidR="008D1E55">
        <w:rPr>
          <w:b/>
          <w:bCs/>
        </w:rPr>
        <w:t>арантировать защиту лицам, подавшим жалобы, от любых форм преследования, расследовать все случаи такого преследования, привлекать виновных к ответственности и в случае признания их виновными назначать им надлежащие меры наказания.</w:t>
      </w:r>
    </w:p>
    <w:p w14:paraId="2ED627E6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  <w:r>
        <w:t xml:space="preserve"> </w:t>
      </w:r>
    </w:p>
    <w:p w14:paraId="68C5804A" w14:textId="77777777" w:rsidR="008D1E55" w:rsidRPr="00757FCC" w:rsidRDefault="008D1E55" w:rsidP="008D1E55">
      <w:pPr>
        <w:pStyle w:val="SingleTxtG"/>
      </w:pPr>
      <w:r>
        <w:t>24.</w:t>
      </w:r>
      <w:r>
        <w:tab/>
        <w:t>Принимая к сведению усилия государства-участника по снижению переполненности и улучшению условий содержания в местах лишения свободы, Комитет по-прежнему обеспокоен сообщениями о значительном увеличении числа заключенных, в результате чего средняя заполняемость тюрем втрое превышает их номинальную вместимость. Комитет также с озабоченностью отмечает, что многие заключенные не имеют адекватного доступа к пище, чистой воде и медицинскому обслуживанию. Кроме того, он обеспокоен сообщениями о многочисленных вспышках COVID-19 в переполненных тюрьмах без надлежащего доступа заключенных к медицинскому лечению и тестированию (статьи 7 и 10).</w:t>
      </w:r>
    </w:p>
    <w:p w14:paraId="7BD779A3" w14:textId="77777777" w:rsidR="008D1E55" w:rsidRPr="00757FCC" w:rsidRDefault="008D1E55" w:rsidP="008D1E55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Государству-участнику следует активизировать усилия для обеспечения того, чтобы условия содержания под стражей полностью соответствовали применимым международным правозащитным нормам, включая Минимальные стандартные правила обращения с заключенными Организации Объединенных Наций (Правила Нельсона Манделы).</w:t>
      </w:r>
      <w:r>
        <w:t xml:space="preserve"> </w:t>
      </w:r>
      <w:r>
        <w:rPr>
          <w:b/>
          <w:bCs/>
        </w:rPr>
        <w:t>Ему, в частности, следует:</w:t>
      </w:r>
    </w:p>
    <w:p w14:paraId="14624B7E" w14:textId="2449B75A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>
        <w:rPr>
          <w:b/>
          <w:bCs/>
        </w:rPr>
        <w:t>з</w:t>
      </w:r>
      <w:r w:rsidR="008D1E55">
        <w:rPr>
          <w:b/>
          <w:bCs/>
        </w:rPr>
        <w:t>начительно снизить переполненность тюрем, в частности путем более широкого применения мер, не связанных с лишением свободы, в качестве альтернативы тюремному заключению;</w:t>
      </w:r>
      <w:r w:rsidR="008D1E55">
        <w:t xml:space="preserve"> </w:t>
      </w:r>
    </w:p>
    <w:p w14:paraId="19F6DC32" w14:textId="4CFFA2A2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>
        <w:rPr>
          <w:b/>
          <w:bCs/>
        </w:rPr>
        <w:t>а</w:t>
      </w:r>
      <w:r w:rsidR="008D1E55">
        <w:rPr>
          <w:b/>
          <w:bCs/>
        </w:rPr>
        <w:t>ктивизировать усилия по улучшению условий содержания и обеспечению адекватного доступа заключенных к пище, чистой воде и медицинскому обслуживанию во всех местах лишения свободы, особенно в местах заключения, где были выявлены вспышки COVID-19.</w:t>
      </w:r>
    </w:p>
    <w:p w14:paraId="2E6A1F37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</w:t>
      </w:r>
      <w:r>
        <w:t xml:space="preserve"> </w:t>
      </w:r>
    </w:p>
    <w:p w14:paraId="383C4B89" w14:textId="10718B16" w:rsidR="008D1E55" w:rsidRPr="00757FCC" w:rsidRDefault="008D1E55" w:rsidP="008D1E55">
      <w:pPr>
        <w:pStyle w:val="SingleTxtG"/>
      </w:pPr>
      <w:r>
        <w:t>26.</w:t>
      </w:r>
      <w:r>
        <w:tab/>
        <w:t xml:space="preserve">Комитет обеспокоен большим количеством лиц, содержащихся в предварительном заключении, включая женщин с маленькими детьми, которые часто содержатся вместе с осужденными заключенными. Он также обеспокоен </w:t>
      </w:r>
      <w:r>
        <w:lastRenderedPageBreak/>
        <w:t>сообщениями о том, что часто не соблюдаются основные правовые гарантии для лиц, лишенных свободы, включая право быть информированным о выдвинутых против них обвинениях, иметь незамедлительный доступ к адвокату и врачу по своему выбору, а также уведомлять лицо по своему выбору о своем задержании (статьи 9</w:t>
      </w:r>
      <w:r w:rsidR="00BF25B5">
        <w:t>–</w:t>
      </w:r>
      <w:r>
        <w:t>10 и 14).</w:t>
      </w:r>
    </w:p>
    <w:p w14:paraId="7C2A9657" w14:textId="77777777" w:rsidR="008D1E55" w:rsidRPr="00757FCC" w:rsidRDefault="008D1E55" w:rsidP="008D1E55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Государству-участнику следует принимать эффективные правовые и иные меры для обеспечения того, чтобы предварительное заключение использовалось только в качестве исключительной меры и в течение ограниченного периода времени, особенно в отношении матерей с маленькими детьми, и расширять использование мер, альтернативных предварительному заключению.</w:t>
      </w:r>
      <w:r>
        <w:t xml:space="preserve"> </w:t>
      </w:r>
      <w:r>
        <w:rPr>
          <w:b/>
          <w:bCs/>
        </w:rPr>
        <w:t>Государству-участнику следует обеспечить, чтобы все правовые гарантии предоставлялись на практике всем лицам, лишенным свободы, с самого начала их задержания, в том числе путем официального принятия проекта политики правовой помощи, с тем чтобы обеспечить доступность правовой помощи для всех лиц, обвиняемых в совершении преступлений.</w:t>
      </w:r>
    </w:p>
    <w:p w14:paraId="08D68411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Произвольное задержание и заключение под стражу</w:t>
      </w:r>
      <w:r>
        <w:t xml:space="preserve"> </w:t>
      </w:r>
    </w:p>
    <w:p w14:paraId="2895286A" w14:textId="5D5A2C08" w:rsidR="008D1E55" w:rsidRPr="00757FCC" w:rsidRDefault="008D1E55" w:rsidP="008D1E55">
      <w:pPr>
        <w:pStyle w:val="SingleTxtG"/>
      </w:pPr>
      <w:r>
        <w:t>28.</w:t>
      </w:r>
      <w:r>
        <w:tab/>
        <w:t>Принимая к сведению объяснение, представленное делегацией, Комитет заявляет, что он по-прежнему обеспокоен тем, что лица, страдающие наркотической зависимостью, могут быть лишены свободы и подвергнуты принудительной реабилитации в соответствии с Законом о контроле над наркотиками. Он также с озабоченностью отмечает, что лица, оказавшиеся бездомными, нищие, беспризорные дети и лица с психосоциальными нарушениями часто произвольно задерживаются и принудительно помещаются в центр социальной помощи и транзита (</w:t>
      </w:r>
      <w:r w:rsidR="00A147E5">
        <w:t>«</w:t>
      </w:r>
      <w:r>
        <w:t>Прей Спеу</w:t>
      </w:r>
      <w:r w:rsidR="00A147E5">
        <w:t>»</w:t>
      </w:r>
      <w:r>
        <w:t>) в</w:t>
      </w:r>
      <w:r w:rsidR="00924F1F">
        <w:t> </w:t>
      </w:r>
      <w:r>
        <w:t xml:space="preserve">Пномпене, который работает без четкой и прозрачной нормативной базы </w:t>
      </w:r>
      <w:r w:rsidR="00924F1F">
        <w:br/>
      </w:r>
      <w:r>
        <w:t>(статьи 9</w:t>
      </w:r>
      <w:r w:rsidR="00924F1F">
        <w:t>–</w:t>
      </w:r>
      <w:r>
        <w:t xml:space="preserve">10). </w:t>
      </w:r>
    </w:p>
    <w:p w14:paraId="7D3C32BC" w14:textId="77777777" w:rsidR="008D1E55" w:rsidRPr="00757FCC" w:rsidRDefault="008D1E55" w:rsidP="008D1E55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09735A66" w14:textId="42BB2CF4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ровести всесторонний пересмотр соответствующих законов, политики и практики в отношении наркозависимых лиц, особенно лиц, содержащихся в центрах принудительной реабилитации наркоманов, с целью приведения их в полное соответствие с Пактом;</w:t>
      </w:r>
    </w:p>
    <w:p w14:paraId="295FB786" w14:textId="39CA73A9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оложить конец недобровольному задержанию бездомных лиц, нищих и лиц с психосоциальными нарушениями, которые часто содержатся в транзитных или реабилитационных центрах, и принять необходимые меры для обеспечения альтернатив институционализации беспризорных детей, включая их помещение в семейные условия;</w:t>
      </w:r>
    </w:p>
    <w:p w14:paraId="5810598F" w14:textId="6C47E2FA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c)</w:t>
      </w:r>
      <w:r w:rsidR="008D1E55">
        <w:tab/>
      </w:r>
      <w:r>
        <w:rPr>
          <w:b/>
          <w:bCs/>
        </w:rPr>
        <w:t>с</w:t>
      </w:r>
      <w:r w:rsidR="008D1E55">
        <w:rPr>
          <w:b/>
          <w:bCs/>
        </w:rPr>
        <w:t xml:space="preserve">оздать четкую и прозрачную законодательную базу для обеспечения предоставления адекватной социальной поддержки нуждающимся, включая правила функционирования центра </w:t>
      </w:r>
      <w:r w:rsidR="00A147E5">
        <w:rPr>
          <w:b/>
          <w:bCs/>
        </w:rPr>
        <w:t>«</w:t>
      </w:r>
      <w:r w:rsidR="008D1E55">
        <w:rPr>
          <w:b/>
          <w:bCs/>
        </w:rPr>
        <w:t>Прей Спеу</w:t>
      </w:r>
      <w:r w:rsidR="00A147E5">
        <w:rPr>
          <w:b/>
          <w:bCs/>
        </w:rPr>
        <w:t>»</w:t>
      </w:r>
      <w:r w:rsidR="008D1E55">
        <w:rPr>
          <w:b/>
          <w:bCs/>
        </w:rPr>
        <w:t>.</w:t>
      </w:r>
    </w:p>
    <w:p w14:paraId="0648A08A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Торговля людьми</w:t>
      </w:r>
      <w:r>
        <w:t xml:space="preserve"> </w:t>
      </w:r>
    </w:p>
    <w:p w14:paraId="2B437C97" w14:textId="54512C6F" w:rsidR="008D1E55" w:rsidRPr="00757FCC" w:rsidRDefault="008D1E55" w:rsidP="008D1E55">
      <w:pPr>
        <w:pStyle w:val="SingleTxtG"/>
      </w:pPr>
      <w:r>
        <w:t>30.</w:t>
      </w:r>
      <w:r>
        <w:tab/>
        <w:t>Несмотря на серьезные усилия, предпринятые государством-участником для искоренения торговли людьми и эксплуатации детей, Комитет по-прежнему обеспокоен сообщениями об отсутствии надлежащей защиты жертв торговли людьми, в частности женщин и детей. Комитет также обеспокоен сообщениями о случаях долговой кабалы, жертвами которой оказываются дети, занятые, в частности</w:t>
      </w:r>
      <w:r w:rsidR="00045BCF">
        <w:t>,</w:t>
      </w:r>
      <w:r>
        <w:t xml:space="preserve"> в производстве кирпича (статьи 8 и 26). </w:t>
      </w:r>
    </w:p>
    <w:p w14:paraId="570F7802" w14:textId="77777777" w:rsidR="008D1E55" w:rsidRPr="00757FCC" w:rsidRDefault="008D1E55" w:rsidP="008D1E55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Государству-участнику следует обеспечить эффективное применение Закона о борьбе с торговлей людьми и сексуальной эксплуатацией.</w:t>
      </w:r>
      <w:r>
        <w:t xml:space="preserve"> </w:t>
      </w:r>
      <w:r>
        <w:rPr>
          <w:b/>
          <w:bCs/>
        </w:rPr>
        <w:t>Ему следует обеспечить тщательное расследование случаев торговли людьми и привлечение к ответственности виновных и, в случае признания их вины, вынесение им соответствующего приговора, а также предоставление жертвам полной компенсации и надлежащей защиты и помощи.</w:t>
      </w:r>
      <w:r>
        <w:t xml:space="preserve"> </w:t>
      </w:r>
      <w:r>
        <w:rPr>
          <w:b/>
          <w:bCs/>
        </w:rPr>
        <w:t xml:space="preserve">Государству следует также искоренить все формы принудительного труда и эксплуатации детей, особенно в отрасли по производству кирпича, в том числе путем укрепления потенциала </w:t>
      </w:r>
      <w:r>
        <w:rPr>
          <w:b/>
          <w:bCs/>
        </w:rPr>
        <w:lastRenderedPageBreak/>
        <w:t>трудовых инспекторов для эффективного выполнения ими своих обязанностей в секторах, где распространена такая практика.</w:t>
      </w:r>
    </w:p>
    <w:p w14:paraId="077BC5B0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Независимость судебных органов</w:t>
      </w:r>
      <w:r>
        <w:t xml:space="preserve"> </w:t>
      </w:r>
    </w:p>
    <w:p w14:paraId="325BA610" w14:textId="77777777" w:rsidR="008D1E55" w:rsidRPr="00757FCC" w:rsidRDefault="008D1E55" w:rsidP="008D1E55">
      <w:pPr>
        <w:pStyle w:val="SingleTxtG"/>
      </w:pPr>
      <w:r>
        <w:t>32.</w:t>
      </w:r>
      <w:r>
        <w:tab/>
        <w:t xml:space="preserve">Несмотря на меры, принятые государством-участником для укрепления независимости судебной системы, Комитет по-прежнему обеспокоен сохраняющимся отсутствием независимой и беспристрастной судебной системы и большим количеством сообщений о коррупции в судебной системе. Комитет также с озабоченностью отмечает, что некоторые судьи не скрывают своего членства в правящей партии, часто занимая руководящие должности, что серьезно подрывает их независимость (статья 14). </w:t>
      </w:r>
    </w:p>
    <w:p w14:paraId="00FE8557" w14:textId="77777777" w:rsidR="008D1E55" w:rsidRPr="00757FCC" w:rsidRDefault="008D1E55" w:rsidP="008D1E55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Государству-участнику следует принять все необходимые меры, чтобы гарантировать в законодательном порядке и на практике полную независимость, непредвзятость и безопасность судей и прокуроров.</w:t>
      </w:r>
      <w:r>
        <w:t xml:space="preserve"> </w:t>
      </w:r>
      <w:r>
        <w:rPr>
          <w:b/>
          <w:bCs/>
        </w:rPr>
        <w:t>Государству-участнику следует принять конкретные меры для предотвращения того, чтобы на судей при принятии ими решений оказывалось политическое давление в любой форме, в том числе путем обеспечения того, чтобы процедуры отбора, назначения, отстранения от рассмотрения дел, смещения судей и прокуроров и вынесения им дисциплинарных взысканий соответствовали положениям Пакта и соответствующим международным стандартам.</w:t>
      </w:r>
    </w:p>
    <w:p w14:paraId="3F4DFFB2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14:paraId="2E572622" w14:textId="49227803" w:rsidR="008D1E55" w:rsidRPr="00757FCC" w:rsidRDefault="008D1E55" w:rsidP="008D1E55">
      <w:pPr>
        <w:pStyle w:val="SingleTxtG"/>
      </w:pPr>
      <w:r>
        <w:t>34.</w:t>
      </w:r>
      <w:r>
        <w:tab/>
        <w:t>Комитет по-прежнему глубоко обеспокоен непрекращающимися нарушениями свободы выражения мнений в государстве-участнике. Он встревожен сообщениями о закрытии многочисленных национальных и международных СМИ; блокировании критически настроенных по отношению к правительству веб-сайтов; подаче уголовных и гражданских судебных исков против журналистов и правозащитников; и широко распространенных преследованиях и запугивании онлайн-активистов, в том числе во время выборов в 2018 году, а также за критику действий государства-участника в период пандемии COVID-19. Комитет с озабоченностью отмечает, что некоторые уголовные преступления, предусмотренные в Уголовном кодексе и в Законе о телекоммуникациях, включая диффамацию, подстрекательство, оскорбление, в том числе представителей власти, часто используются для несоразмерного и чрезмерного ограничения свободы выражения мнений. Кроме того, Комитет обеспокоен тем, что распоряжение о национальном интернет-шлюзе и новые законопроекты, в том числе о киберпреступности и доступе к информации, а также проект поправок к Закону о печати заставляют серьезно опасаться дальнейшего ограничения свободы слова и были сформулированы без проведения консультаций с гражданским обществом и соответствующими заинтересованными сторонами (статья</w:t>
      </w:r>
      <w:r w:rsidR="00973F8F">
        <w:t> </w:t>
      </w:r>
      <w:r>
        <w:t xml:space="preserve">19). </w:t>
      </w:r>
    </w:p>
    <w:p w14:paraId="605EBCD1" w14:textId="77777777" w:rsidR="008D1E55" w:rsidRPr="00757FCC" w:rsidRDefault="008D1E55" w:rsidP="008D1E55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повторяет свою предыдущую рекомендацию о свободе выражения мнений и обращается к государству-участнику с настоятельным призывом принять незамедлительные меры для обеспечения того, чтобы каждый мог свободно осуществлять право на свободу выражения мнений в соответствии со статьей 19 Пакта и замечанием общего порядка № 34 (2011) Комитета о свободе мнений и их выражения.</w:t>
      </w:r>
      <w:r>
        <w:t xml:space="preserve"> </w:t>
      </w:r>
      <w:r>
        <w:rPr>
          <w:b/>
          <w:bCs/>
        </w:rPr>
        <w:t>При этом государству-участнику следует:</w:t>
      </w:r>
    </w:p>
    <w:p w14:paraId="2D7E8F4B" w14:textId="396092C7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BF30CF">
        <w:rPr>
          <w:b/>
          <w:bCs/>
        </w:rPr>
        <w:t>a)</w:t>
      </w:r>
      <w:r w:rsidR="008D1E55">
        <w:tab/>
      </w:r>
      <w:r>
        <w:rPr>
          <w:b/>
          <w:bCs/>
        </w:rPr>
        <w:t>в</w:t>
      </w:r>
      <w:r w:rsidR="008D1E55">
        <w:rPr>
          <w:b/>
          <w:bCs/>
        </w:rPr>
        <w:t>оздерживаться от уголовного преследования и лишения свободы журналистов, правозащитников и других представителей гражданского общества в качестве средства сдерживания или воспрепятствования осуществлению ими права на свободное выражение мнений;</w:t>
      </w:r>
    </w:p>
    <w:p w14:paraId="6B4C0344" w14:textId="12AEEAF2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BF30CF">
        <w:rPr>
          <w:b/>
          <w:bCs/>
        </w:rPr>
        <w:t>b)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редотвращать акты преследования и запугивания, произвольные ограничения или аресты в отношении журналистов, активистов и правозащитников за простую критику государственных чиновников или политику правительства;</w:t>
      </w:r>
    </w:p>
    <w:p w14:paraId="5E262B6E" w14:textId="249BC385" w:rsidR="008D1E55" w:rsidRPr="00757FCC" w:rsidRDefault="00973F8F" w:rsidP="008D1E55">
      <w:pPr>
        <w:pStyle w:val="SingleTxtG"/>
        <w:rPr>
          <w:b/>
          <w:bCs/>
        </w:rPr>
      </w:pPr>
      <w:r>
        <w:lastRenderedPageBreak/>
        <w:tab/>
      </w:r>
      <w:r w:rsidR="008D1E55" w:rsidRPr="00BF30CF">
        <w:rPr>
          <w:b/>
          <w:bCs/>
        </w:rPr>
        <w:t>c)</w:t>
      </w:r>
      <w:r w:rsidR="008D1E55">
        <w:tab/>
      </w:r>
      <w:r>
        <w:rPr>
          <w:b/>
          <w:bCs/>
        </w:rPr>
        <w:t>д</w:t>
      </w:r>
      <w:r w:rsidR="008D1E55">
        <w:rPr>
          <w:b/>
          <w:bCs/>
        </w:rPr>
        <w:t>екриминализировать диффамацию и привести другие соответствующие положения Уголовного кодекса и Закона о телекоммуникациях в соответствие со статьей 19 Пакта;</w:t>
      </w:r>
    </w:p>
    <w:p w14:paraId="795D122B" w14:textId="6AF23AF4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d)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роанализировать и пересмотреть действующее и готовящееся к принятию законодательство, включая распоряжение о национальном интернет-шлюзе, проект поправок к Закону о печати и законопроекты о киберпреступлениях и о доступе к информации, с тем чтобы избежать использования расплывчатой терминологии и чрезмерно широких ограничений;</w:t>
      </w:r>
    </w:p>
    <w:p w14:paraId="028EFB74" w14:textId="6A7ECAFD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e)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беспечить, чтобы при разработке и применении законодательства, включая распоряжения министерств, любые ограничения на осуществление свободы выражения мнений и ассоциации соответствовали строгим требованиям пункта 3 статьи 19 и статье 22 Пакта.</w:t>
      </w:r>
    </w:p>
    <w:p w14:paraId="4251401F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Право на мирные собрания и свободу ассоциации</w:t>
      </w:r>
      <w:r>
        <w:t xml:space="preserve"> </w:t>
      </w:r>
    </w:p>
    <w:p w14:paraId="4215BAD5" w14:textId="2DFBFB3E" w:rsidR="008D1E55" w:rsidRPr="00757FCC" w:rsidRDefault="008D1E55" w:rsidP="008D1E55">
      <w:pPr>
        <w:pStyle w:val="SingleTxtG"/>
      </w:pPr>
      <w:r>
        <w:t>36.</w:t>
      </w:r>
      <w:r>
        <w:tab/>
        <w:t>Комитет серьезно обеспокоен сообщениями о произвольном отказе в разрешении на проведение мирных собраний и арестах организаторов на основании расплывчатых правовых положений, содержащихся в Законе о мирных собраниях. Он</w:t>
      </w:r>
      <w:r w:rsidR="00BF30CF">
        <w:t> </w:t>
      </w:r>
      <w:r>
        <w:t xml:space="preserve">глубоко обеспокоен полученной информацией о применении чрезмерной и несоразмерной силы для разгона мирных демонстраций, что приводит к широкомасштабным задержаниям и заключению под стражу участников протестов, включая правозащитников, экологических активистов, лидеров оппозиции и профсоюзных активистов (например, связанных с заповедником дикой природы </w:t>
      </w:r>
      <w:r w:rsidR="00A147E5">
        <w:t>«</w:t>
      </w:r>
      <w:r>
        <w:t>Прей Ланг</w:t>
      </w:r>
      <w:r w:rsidR="00A147E5">
        <w:t>»</w:t>
      </w:r>
      <w:r>
        <w:t xml:space="preserve">, организацией </w:t>
      </w:r>
      <w:r w:rsidR="00A147E5">
        <w:t>«</w:t>
      </w:r>
      <w:r>
        <w:t>Мать-природа Камбоджи</w:t>
      </w:r>
      <w:r w:rsidR="00A147E5">
        <w:t>»</w:t>
      </w:r>
      <w:r>
        <w:t xml:space="preserve"> и профсоюзом кхмерских работников </w:t>
      </w:r>
      <w:r w:rsidR="00A147E5">
        <w:t>«</w:t>
      </w:r>
      <w:r>
        <w:t>НагаУорлд</w:t>
      </w:r>
      <w:r w:rsidR="00A147E5">
        <w:t>»</w:t>
      </w:r>
      <w:r>
        <w:t>, поддерживающим трудовые права). Комитет также с озабоченностью отмечает, что принятые в январе 2020 года поправки к Закону о профсоюзах и проект закона об общественном порядке, направленный на регулирование доступа в общественные места и поведения в них, могут еще больше ограничить право на мирные собрания, поскольку оба содержат не имеющие четкого определения термины, что облегчает их неправильное толкование и применение властями. Кроме того, Комитет с озабоченностью отмечает, что Закон об ассоциациях и неправительственных организациях продолжает ограничивать право на свободу ассоциации, налагая на организации обременительные требования к отчетности, что используется как основание для отказа в регистрации и облегчает слежку за правозащитниками (статьи 21</w:t>
      </w:r>
      <w:r w:rsidR="00BF30CF">
        <w:t>–</w:t>
      </w:r>
      <w:r>
        <w:t xml:space="preserve">22). </w:t>
      </w:r>
    </w:p>
    <w:p w14:paraId="56AD587E" w14:textId="1D3E44FF" w:rsidR="008D1E55" w:rsidRPr="00757FCC" w:rsidRDefault="008D1E55" w:rsidP="008D1E55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 xml:space="preserve">В соответствии со статьей 21 Пакта и в свете замечания общего </w:t>
      </w:r>
      <w:r w:rsidR="00973F8F">
        <w:rPr>
          <w:b/>
          <w:bCs/>
        </w:rPr>
        <w:br/>
      </w:r>
      <w:r>
        <w:rPr>
          <w:b/>
          <w:bCs/>
        </w:rPr>
        <w:t>порядка № 37 (2020) Комитета о праве на мирные собрания государству-участнику следует:</w:t>
      </w:r>
      <w:r>
        <w:t xml:space="preserve"> </w:t>
      </w:r>
    </w:p>
    <w:p w14:paraId="5328AED1" w14:textId="50C06CF7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 w:rsidR="00DC55F1">
        <w:rPr>
          <w:b/>
          <w:bCs/>
        </w:rPr>
        <w:t>у</w:t>
      </w:r>
      <w:r w:rsidR="008D1E55">
        <w:rPr>
          <w:b/>
          <w:bCs/>
        </w:rPr>
        <w:t>скорить работу по пересмотру действующего и ожидающего принятия законодательства, включая поправки к Закону об ассоциациях и неправительственных организациях и проект закона об общественном порядке, а также своей практики, с тем чтобы обеспечить гражданам как в законодательстве, так и на практике возможность в полной мере пользоваться своим правом на мирные собрания и создать условия для проведения содержательных, открытых и прозрачных консультаций с организациями гражданского общества и любыми другими соответствующими заинтересованными сторонами при пересмотре любых таких норм;</w:t>
      </w:r>
      <w:r w:rsidR="008D1E55">
        <w:t xml:space="preserve"> </w:t>
      </w:r>
    </w:p>
    <w:p w14:paraId="5AC767FC" w14:textId="25BC188E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беспечить, чтобы любые ограничения права на мирные собрания, в том числе путем применения административных и уголовных санкций в отношении лиц, осуществляющих это право, соответствовали строгим требованиям статьи 21 Пакта;</w:t>
      </w:r>
    </w:p>
    <w:p w14:paraId="2EED0324" w14:textId="6871FA16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c)</w:t>
      </w:r>
      <w:r w:rsidR="008D1E55">
        <w:tab/>
      </w:r>
      <w:r>
        <w:rPr>
          <w:b/>
          <w:bCs/>
        </w:rPr>
        <w:t>э</w:t>
      </w:r>
      <w:r w:rsidR="008D1E55">
        <w:rPr>
          <w:b/>
          <w:bCs/>
        </w:rPr>
        <w:t>ффективно расследовать все случаи произвольного задержания и заключения под стражу мирных демонстрантов, а также акты насилия против них, и привлечь виновных к ответственности;</w:t>
      </w:r>
    </w:p>
    <w:p w14:paraId="559E58B0" w14:textId="0485E1D0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d)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 xml:space="preserve">редотвращать преследования и запугивания членов организаций гражданского общества, профсоюзов и политических партий в любых формах и </w:t>
      </w:r>
      <w:r w:rsidR="008D1E55">
        <w:rPr>
          <w:b/>
          <w:bCs/>
        </w:rPr>
        <w:lastRenderedPageBreak/>
        <w:t>обеспечить им возможность свободно осуществлять свое право на труд и связанную с ним деятельность.</w:t>
      </w:r>
      <w:r w:rsidR="008D1E55">
        <w:t xml:space="preserve"> </w:t>
      </w:r>
    </w:p>
    <w:p w14:paraId="36BD4542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Участие в ведении государственных дел</w:t>
      </w:r>
      <w:r>
        <w:t xml:space="preserve"> </w:t>
      </w:r>
    </w:p>
    <w:p w14:paraId="1616CF58" w14:textId="297B33C0" w:rsidR="008D1E55" w:rsidRPr="00757FCC" w:rsidRDefault="008D1E55" w:rsidP="008D1E55">
      <w:pPr>
        <w:pStyle w:val="SingleTxtG"/>
      </w:pPr>
      <w:r>
        <w:t>38.</w:t>
      </w:r>
      <w:r>
        <w:tab/>
        <w:t>Комитет обеспокоен роспуском в ноябре 2017 года основной оппозиционной политической партии, Партии национального спасения Камбоджи, и трех других оппозиционных партий в 2021 году, а также передачей всех мест Партии национального спасения Камбоджи в Национальном собрании правящей Народной партии Камбоджи, что лишает оппозицию прав</w:t>
      </w:r>
      <w:r w:rsidR="005721C0">
        <w:t>а</w:t>
      </w:r>
      <w:r>
        <w:t xml:space="preserve"> голоса и политического представительства. Он обеспокоен проблемой независимости и беспристрастности Национального избирательного комитета, а также трудностями, с которыми сталкиваются новые партии при проведении равноправной, свободной и прозрачной избирательной кампании. Комитет выражает серьезную обеспокоенность по поводу незаконных ограничений, налагаемых на членов оппозиции в плане их участия в общественных делах и выборах, которые проявляются в угрозах, преследованиях, произвольных арестах, массовых судебных процессах, отзыве паспортов и актах насилия, таких как убийство члена Камбоджийской партии национального спасения Син Кхона в ноябре 2021 года (статьи 2, 6 и 25). </w:t>
      </w:r>
    </w:p>
    <w:p w14:paraId="041D18B2" w14:textId="77777777" w:rsidR="008D1E55" w:rsidRPr="00757FCC" w:rsidRDefault="008D1E55" w:rsidP="008D1E55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Государству-участнику следует привести свое избирательное законодательство и практику в полное соответствие с Пактом, в том числе со статьей 25, и в частности:</w:t>
      </w:r>
      <w:r>
        <w:t xml:space="preserve"> </w:t>
      </w:r>
    </w:p>
    <w:p w14:paraId="6B492134" w14:textId="7B7EF52F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рекратить любые произвольные аресты и акты преследования, запугивания и насилия в отношении членов и сторонников оппозиционных партий;</w:t>
      </w:r>
    </w:p>
    <w:p w14:paraId="6F8BBF19" w14:textId="67153706" w:rsidR="008D1E55" w:rsidRPr="00757FCC" w:rsidRDefault="00973F8F" w:rsidP="008D1E55">
      <w:pPr>
        <w:pStyle w:val="SingleTxtG"/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ровести тщательные и независимые расследования всех сообщений о преследовании, запугивании и произвольных арестах, и актах насилия в отношении членов и сторонников оппозиционных партий, в частности убийства Син Кхона, и привлечь виновных к ответственности;</w:t>
      </w:r>
      <w:r w:rsidR="008D1E55">
        <w:t xml:space="preserve"> </w:t>
      </w:r>
    </w:p>
    <w:p w14:paraId="5F2F21FC" w14:textId="1F4D7845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c)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рекратить все массовые судебные процессы против представителей оппозиции и обеспечить, чтобы все судебные разбирательства, возбужденные против них, а также против правозащитников, соответствовали всем процессуальным гарантиям, изложенным в Пакте;</w:t>
      </w:r>
      <w:r w:rsidR="008D1E55">
        <w:t xml:space="preserve"> </w:t>
      </w:r>
    </w:p>
    <w:p w14:paraId="2E379CC9" w14:textId="2EBD39C2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d)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беспечить возможность полного и реального осуществления избирательных прав каждому человеку, включая оппозиционных политических кандидатов, и условия для равноправной, свободной и прозрачной избирательной кампании всем политическим партиям;</w:t>
      </w:r>
      <w:r w:rsidR="008D1E55">
        <w:t xml:space="preserve"> </w:t>
      </w:r>
    </w:p>
    <w:p w14:paraId="26869580" w14:textId="1F80EC69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e)</w:t>
      </w:r>
      <w:r w:rsidR="008D1E55">
        <w:tab/>
      </w:r>
      <w:r>
        <w:rPr>
          <w:b/>
          <w:bCs/>
        </w:rPr>
        <w:t>г</w:t>
      </w:r>
      <w:r w:rsidR="008D1E55">
        <w:rPr>
          <w:b/>
          <w:bCs/>
        </w:rPr>
        <w:t>арантировать свободу участия в плюралистических политических дебатах, в том числе путем создания благоприятных условий для проведения мирных демонстраций и собраний, и отказа от использования уголовного законодательства для подавления этой свободы или исключения кандидатов от оппозиции из электоральных процессов;</w:t>
      </w:r>
    </w:p>
    <w:p w14:paraId="1422181C" w14:textId="5A2348E0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f)</w:t>
      </w:r>
      <w:r w:rsidR="008D1E55">
        <w:tab/>
      </w:r>
      <w:r>
        <w:rPr>
          <w:b/>
          <w:bCs/>
        </w:rPr>
        <w:t>у</w:t>
      </w:r>
      <w:r w:rsidR="008D1E55">
        <w:rPr>
          <w:b/>
          <w:bCs/>
        </w:rPr>
        <w:t>крепить судебные и избирательные механизмы для обеспечения справедливого избирательного процесса, особенно в преддверии местных выборов в 2022 году и национальных выборов в 2023 году.</w:t>
      </w:r>
    </w:p>
    <w:p w14:paraId="7B039E05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Правосудие в отношении несовершеннолетних</w:t>
      </w:r>
      <w:r>
        <w:t xml:space="preserve"> </w:t>
      </w:r>
    </w:p>
    <w:p w14:paraId="54D21A54" w14:textId="39276D13" w:rsidR="008D1E55" w:rsidRPr="00757FCC" w:rsidRDefault="008D1E55" w:rsidP="008D1E55">
      <w:pPr>
        <w:pStyle w:val="SingleTxtG"/>
      </w:pPr>
      <w:r>
        <w:t>40.</w:t>
      </w:r>
      <w:r>
        <w:tab/>
        <w:t>Приветствуя принятие в 2016 году Закона о ювенальной юстиции, Комитет сожалеет, что его применение остается ограниченным и что на практике дети, находящиеся в конфликте с законом, продолжают подвергаться досудебному заключению под стражу. Комитет также обеспокоен переводом детей из отдаленных провинций, которые нуждаются в материальной и моральной поддержке своих семей, в новый молодежный реабилитационный центр в провинции Кандал для содержания под стражей (статьи 23</w:t>
      </w:r>
      <w:r w:rsidR="00E849F9">
        <w:t>–</w:t>
      </w:r>
      <w:r>
        <w:t xml:space="preserve">24). </w:t>
      </w:r>
    </w:p>
    <w:p w14:paraId="1B48F3BE" w14:textId="77777777" w:rsidR="008D1E55" w:rsidRPr="00757FCC" w:rsidRDefault="008D1E55" w:rsidP="008D1E55">
      <w:pPr>
        <w:pStyle w:val="SingleTxtG"/>
        <w:rPr>
          <w:b/>
          <w:bCs/>
        </w:rPr>
      </w:pPr>
      <w:r>
        <w:lastRenderedPageBreak/>
        <w:t>41.</w:t>
      </w:r>
      <w:r>
        <w:tab/>
      </w:r>
      <w:r>
        <w:rPr>
          <w:b/>
          <w:bCs/>
        </w:rPr>
        <w:t>Государству-участнику следует активизировать свои усилия для обеспечения эффективного применения Закона о ювенальной юстиции и того, чтобы с детьми, находящимися в конфликте с законом, обращались сообразно их возрасту.</w:t>
      </w:r>
      <w:r>
        <w:t xml:space="preserve"> </w:t>
      </w:r>
      <w:r>
        <w:rPr>
          <w:b/>
          <w:bCs/>
        </w:rPr>
        <w:t>Государству-участнику также следует обеспечить, чтобы досудебное содержание несовершеннолетних под стражей применялось строго в исключительных случаях и только в качестве крайней меры.</w:t>
      </w:r>
      <w:r>
        <w:t xml:space="preserve"> </w:t>
      </w:r>
      <w:r>
        <w:rPr>
          <w:b/>
          <w:bCs/>
        </w:rPr>
        <w:t>Государству-участнику следует рассмотреть возможность внимательного изучения дел детей, находящихся в конфликте с законом, которые будут переведены в новый молодежный реабилитационный центр, с тем чтобы оценить альтернативы их содержанию под стражей.</w:t>
      </w:r>
    </w:p>
    <w:p w14:paraId="58BB70BA" w14:textId="77777777" w:rsidR="008D1E55" w:rsidRPr="00757FCC" w:rsidRDefault="008D1E55" w:rsidP="008D1E55">
      <w:pPr>
        <w:pStyle w:val="H23G"/>
      </w:pPr>
      <w:r>
        <w:tab/>
      </w:r>
      <w:r>
        <w:tab/>
      </w:r>
      <w:r>
        <w:rPr>
          <w:bCs/>
        </w:rPr>
        <w:t>Коренные народы</w:t>
      </w:r>
      <w:r>
        <w:t xml:space="preserve"> </w:t>
      </w:r>
    </w:p>
    <w:p w14:paraId="29E06BF5" w14:textId="0D60410C" w:rsidR="008D1E55" w:rsidRPr="00757FCC" w:rsidRDefault="008D1E55" w:rsidP="008D1E55">
      <w:pPr>
        <w:pStyle w:val="SingleTxtG"/>
      </w:pPr>
      <w:r>
        <w:t>42.</w:t>
      </w:r>
      <w:r>
        <w:tab/>
        <w:t>Комитет приветствует усилия, прилагаемые государством-участником для укрепления механизмов защиты прав коренных народов. Однако Комитет по</w:t>
      </w:r>
      <w:r w:rsidR="00BB1DBE">
        <w:noBreakHyphen/>
      </w:r>
      <w:r>
        <w:t>прежнему обеспокоен недостатками в правовой базе и гарантиях защиты права коренных народов использовать свои земли и территории и занимать их. Он</w:t>
      </w:r>
      <w:r w:rsidR="00BB1DBE">
        <w:t> </w:t>
      </w:r>
      <w:r>
        <w:t>обеспокоен тем, что право коренных народов на свободное, предварительное и осознанное согласие в процессах принятия решений, затрагивающих их интересы, и особенно при утверждении проектов развития на их землях, систематически не соблюдается. Комитет также выражает свою озабоченность недостаточной эффективностью защиты коренных общин в контексте пандемии COVID-19 (статьи 2 и 26</w:t>
      </w:r>
      <w:r w:rsidR="00BB1DBE">
        <w:t>–</w:t>
      </w:r>
      <w:r>
        <w:t xml:space="preserve">27). </w:t>
      </w:r>
    </w:p>
    <w:p w14:paraId="219A6E6C" w14:textId="77777777" w:rsidR="008D1E55" w:rsidRPr="00757FCC" w:rsidRDefault="008D1E55" w:rsidP="008D1E55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14:paraId="3C8AE599" w14:textId="15EFB2E1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a)</w:t>
      </w:r>
      <w:r w:rsidR="008D1E55">
        <w:tab/>
      </w:r>
      <w:r>
        <w:rPr>
          <w:b/>
          <w:bCs/>
        </w:rPr>
        <w:t>р</w:t>
      </w:r>
      <w:r w:rsidR="008D1E55">
        <w:rPr>
          <w:b/>
          <w:bCs/>
        </w:rPr>
        <w:t>азработать и утвердить законодательную базу для признания и защиты прав коренных народов, включая упрощенную процедуру получения правовых титулов на общинные земли;</w:t>
      </w:r>
    </w:p>
    <w:p w14:paraId="3796F98C" w14:textId="0D2B3876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b)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беспечить проведение полноценных и содержательных консультаций с коренными народами по вопросам, касающимся их прав, в частности их права на свободное, предварительное и осознанное согласие, в том числе при выдаче разрешений на осуществление проектов развития, которые могут отразиться на их земельных правах;</w:t>
      </w:r>
    </w:p>
    <w:p w14:paraId="35F036F8" w14:textId="1524FC71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c)</w:t>
      </w:r>
      <w:r w:rsidR="008D1E55">
        <w:tab/>
      </w:r>
      <w:r>
        <w:rPr>
          <w:b/>
          <w:bCs/>
        </w:rPr>
        <w:t>п</w:t>
      </w:r>
      <w:r w:rsidR="008D1E55">
        <w:rPr>
          <w:b/>
          <w:bCs/>
        </w:rPr>
        <w:t>родолжать усилия для предотвращения конфликтов по вопросам землепользования, в том числе путем предоставления гарантий в отношении земель, традиционно принадлежащих коренным народам и или занимаемых ими;</w:t>
      </w:r>
      <w:r w:rsidR="008D1E55">
        <w:t xml:space="preserve"> </w:t>
      </w:r>
    </w:p>
    <w:p w14:paraId="5B798A08" w14:textId="4987C5E0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d)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беспечить, чтобы коренные народы не переселялись без соблюдения всех правовых и процедурных гарантий, включая предоставление сопоставимых альтернатив и адекватной компенсации;</w:t>
      </w:r>
      <w:r w:rsidR="008D1E55">
        <w:t xml:space="preserve"> </w:t>
      </w:r>
    </w:p>
    <w:p w14:paraId="60B128C0" w14:textId="520F7974" w:rsidR="008D1E55" w:rsidRPr="00757FCC" w:rsidRDefault="00973F8F" w:rsidP="008D1E55">
      <w:pPr>
        <w:pStyle w:val="SingleTxtG"/>
        <w:rPr>
          <w:b/>
          <w:bCs/>
        </w:rPr>
      </w:pPr>
      <w:r>
        <w:tab/>
      </w:r>
      <w:r w:rsidR="008D1E55" w:rsidRPr="00973F8F">
        <w:rPr>
          <w:b/>
          <w:bCs/>
        </w:rPr>
        <w:t>e)</w:t>
      </w:r>
      <w:r w:rsidR="008D1E55">
        <w:tab/>
      </w:r>
      <w:r>
        <w:rPr>
          <w:b/>
          <w:bCs/>
        </w:rPr>
        <w:t>о</w:t>
      </w:r>
      <w:r w:rsidR="008D1E55">
        <w:rPr>
          <w:b/>
          <w:bCs/>
        </w:rPr>
        <w:t>беспечить, чтобы в контексте пандемии COVID-19 коренные народы имели доступ к информации и медицинским услугам, в том числе возможность сдать анализы, получить лечение и пройти вакцинацию.</w:t>
      </w:r>
      <w:r w:rsidR="008D1E55">
        <w:t xml:space="preserve"> </w:t>
      </w:r>
    </w:p>
    <w:p w14:paraId="07753169" w14:textId="36B33746" w:rsidR="008D1E55" w:rsidRPr="00757FCC" w:rsidRDefault="00973F8F" w:rsidP="008D1E55">
      <w:pPr>
        <w:pStyle w:val="H1G"/>
      </w:pPr>
      <w:r>
        <w:rPr>
          <w:bCs/>
        </w:rPr>
        <w:tab/>
      </w:r>
      <w:r w:rsidR="008D1E55">
        <w:rPr>
          <w:bCs/>
        </w:rPr>
        <w:t>D.</w:t>
      </w:r>
      <w:r w:rsidR="008D1E55">
        <w:tab/>
      </w:r>
      <w:r w:rsidR="008D1E55">
        <w:rPr>
          <w:bCs/>
        </w:rPr>
        <w:t>Распространение информации и последующая деятельность</w:t>
      </w:r>
    </w:p>
    <w:p w14:paraId="35F52C96" w14:textId="77777777" w:rsidR="008D1E55" w:rsidRPr="00757FCC" w:rsidRDefault="008D1E55" w:rsidP="008D1E55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Пакта, своего третьего периодического доклада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</w:t>
      </w:r>
      <w:r>
        <w:t xml:space="preserve"> </w:t>
      </w:r>
      <w:r>
        <w:rPr>
          <w:b/>
          <w:bCs/>
        </w:rPr>
        <w:t>Государству-участнику следует обеспечить перевод периодического доклада и настоящих заключительных замечаний на официальные языки государства-участника.</w:t>
      </w:r>
    </w:p>
    <w:p w14:paraId="19BC4D1D" w14:textId="220F7891" w:rsidR="008D1E55" w:rsidRPr="00757FCC" w:rsidRDefault="008D1E55" w:rsidP="008D1E55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 xml:space="preserve">В соответствии с пунктом 1 правила 75 правил процедуры Комитета государству-участнику предлагается представить до 25 марта 2025 года </w:t>
      </w:r>
      <w:r>
        <w:rPr>
          <w:b/>
          <w:bCs/>
        </w:rPr>
        <w:lastRenderedPageBreak/>
        <w:t>информацию об осуществлении рекомендаций, сформулированных Комитетом в пунктах 9 (коррупция), 35 (свобода выражения мнений) и 39 (участие в политической жизни) выше.</w:t>
      </w:r>
    </w:p>
    <w:p w14:paraId="67E7041C" w14:textId="4C947AAE" w:rsidR="008D1E55" w:rsidRPr="00757FCC" w:rsidRDefault="008D1E55" w:rsidP="008D1E55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В соответствии с прогнозируемым циклом обзора Комитета государство-участник получит в 2028 году перечень вопросов Комитета до представления доклада и должно будет представить в течение одного года свои ответы на перечень вопросов, которые и будут представлять собой его четвертый периодический доклад.</w:t>
      </w:r>
      <w:r>
        <w:t xml:space="preserve"> </w:t>
      </w:r>
      <w:r>
        <w:rPr>
          <w:b/>
          <w:bCs/>
        </w:rPr>
        <w:t>Комитет также обращается к государству-участнику с просьбой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</w:t>
      </w:r>
      <w:r w:rsidR="00E810E9">
        <w:rPr>
          <w:b/>
          <w:bCs/>
        </w:rPr>
        <w:t> </w:t>
      </w:r>
      <w:r>
        <w:rPr>
          <w:b/>
          <w:bCs/>
        </w:rPr>
        <w:t>68/268 Генеральной Ассамблеи объем доклада не должен превышать 21</w:t>
      </w:r>
      <w:r w:rsidR="00E810E9">
        <w:rPr>
          <w:b/>
          <w:bCs/>
        </w:rPr>
        <w:t> </w:t>
      </w:r>
      <w:r>
        <w:rPr>
          <w:b/>
          <w:bCs/>
        </w:rPr>
        <w:t>200 слов.</w:t>
      </w:r>
      <w:r>
        <w:t xml:space="preserve"> </w:t>
      </w:r>
      <w:r>
        <w:rPr>
          <w:b/>
          <w:bCs/>
        </w:rPr>
        <w:t>Следующий конструктивный диалог с государством-участником состоится в 2030 году в Женеве.</w:t>
      </w:r>
    </w:p>
    <w:p w14:paraId="1F810FE0" w14:textId="03E02077" w:rsidR="00381C24" w:rsidRPr="00BC18B2" w:rsidRDefault="008D1E55" w:rsidP="008D1E55">
      <w:pPr>
        <w:spacing w:before="240"/>
        <w:jc w:val="center"/>
      </w:pPr>
      <w:r w:rsidRPr="00757FCC">
        <w:rPr>
          <w:u w:val="single"/>
        </w:rPr>
        <w:tab/>
      </w:r>
      <w:r w:rsidRPr="00757FCC">
        <w:rPr>
          <w:u w:val="single"/>
        </w:rPr>
        <w:tab/>
      </w:r>
      <w:r w:rsidRPr="00757FCC">
        <w:rPr>
          <w:u w:val="single"/>
        </w:rPr>
        <w:tab/>
      </w:r>
    </w:p>
    <w:sectPr w:rsidR="00381C24" w:rsidRPr="00BC18B2" w:rsidSect="008D1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6A17" w14:textId="77777777" w:rsidR="00F949F2" w:rsidRPr="00A312BC" w:rsidRDefault="00F949F2" w:rsidP="00A312BC"/>
  </w:endnote>
  <w:endnote w:type="continuationSeparator" w:id="0">
    <w:p w14:paraId="6A667BE0" w14:textId="77777777" w:rsidR="00F949F2" w:rsidRPr="00A312BC" w:rsidRDefault="00F949F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CD23" w14:textId="710F1099" w:rsidR="008D1E55" w:rsidRPr="008D1E55" w:rsidRDefault="008D1E55">
    <w:pPr>
      <w:pStyle w:val="a8"/>
    </w:pPr>
    <w:r w:rsidRPr="008D1E55">
      <w:rPr>
        <w:b/>
        <w:sz w:val="18"/>
      </w:rPr>
      <w:fldChar w:fldCharType="begin"/>
    </w:r>
    <w:r w:rsidRPr="008D1E55">
      <w:rPr>
        <w:b/>
        <w:sz w:val="18"/>
      </w:rPr>
      <w:instrText xml:space="preserve"> PAGE  \* MERGEFORMAT </w:instrText>
    </w:r>
    <w:r w:rsidRPr="008D1E55">
      <w:rPr>
        <w:b/>
        <w:sz w:val="18"/>
      </w:rPr>
      <w:fldChar w:fldCharType="separate"/>
    </w:r>
    <w:r w:rsidRPr="008D1E55">
      <w:rPr>
        <w:b/>
        <w:noProof/>
        <w:sz w:val="18"/>
      </w:rPr>
      <w:t>2</w:t>
    </w:r>
    <w:r w:rsidRPr="008D1E55">
      <w:rPr>
        <w:b/>
        <w:sz w:val="18"/>
      </w:rPr>
      <w:fldChar w:fldCharType="end"/>
    </w:r>
    <w:r>
      <w:rPr>
        <w:b/>
        <w:sz w:val="18"/>
      </w:rPr>
      <w:tab/>
    </w:r>
    <w:r>
      <w:t>GE.22-07521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0C6" w14:textId="58C86EDC" w:rsidR="008D1E55" w:rsidRPr="008D1E55" w:rsidRDefault="008D1E55" w:rsidP="008D1E55">
    <w:pPr>
      <w:pStyle w:val="a8"/>
      <w:tabs>
        <w:tab w:val="clear" w:pos="9639"/>
        <w:tab w:val="right" w:pos="9638"/>
      </w:tabs>
      <w:rPr>
        <w:b/>
        <w:sz w:val="18"/>
      </w:rPr>
    </w:pPr>
    <w:r>
      <w:t>GE.22-07521</w:t>
    </w:r>
    <w:r>
      <w:tab/>
    </w:r>
    <w:r w:rsidRPr="008D1E55">
      <w:rPr>
        <w:b/>
        <w:sz w:val="18"/>
      </w:rPr>
      <w:fldChar w:fldCharType="begin"/>
    </w:r>
    <w:r w:rsidRPr="008D1E55">
      <w:rPr>
        <w:b/>
        <w:sz w:val="18"/>
      </w:rPr>
      <w:instrText xml:space="preserve"> PAGE  \* MERGEFORMAT </w:instrText>
    </w:r>
    <w:r w:rsidRPr="008D1E55">
      <w:rPr>
        <w:b/>
        <w:sz w:val="18"/>
      </w:rPr>
      <w:fldChar w:fldCharType="separate"/>
    </w:r>
    <w:r w:rsidRPr="008D1E55">
      <w:rPr>
        <w:b/>
        <w:noProof/>
        <w:sz w:val="18"/>
      </w:rPr>
      <w:t>3</w:t>
    </w:r>
    <w:r w:rsidRPr="008D1E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7230" w14:textId="12630B63" w:rsidR="00042B72" w:rsidRPr="008D1E55" w:rsidRDefault="008D1E55" w:rsidP="008D1E5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CC00E9" wp14:editId="6F231A1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22-07521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97F33B" wp14:editId="7326798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300522  080722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94B0" w14:textId="77777777" w:rsidR="00F949F2" w:rsidRPr="001075E9" w:rsidRDefault="00F949F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647626" w14:textId="77777777" w:rsidR="00F949F2" w:rsidRDefault="00F949F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DABC8B" w14:textId="65133705" w:rsidR="008D1E55" w:rsidRPr="00757FCC" w:rsidRDefault="00DC55F1" w:rsidP="00DC55F1">
      <w:pPr>
        <w:pStyle w:val="ad"/>
      </w:pPr>
      <w:r w:rsidRPr="00DC55F1">
        <w:tab/>
      </w:r>
      <w:r>
        <w:t>*</w:t>
      </w:r>
      <w:r>
        <w:tab/>
      </w:r>
      <w:r>
        <w:tab/>
        <w:t xml:space="preserve">Приняты Комитетом на </w:t>
      </w:r>
      <w:r w:rsidR="00012447">
        <w:t>сто тридцать четвертой</w:t>
      </w:r>
      <w:r>
        <w:t xml:space="preserve"> сессии (28 февраля</w:t>
      </w:r>
      <w:r w:rsidRPr="00973F8F">
        <w:t xml:space="preserve"> —</w:t>
      </w:r>
      <w:r>
        <w:t xml:space="preserve"> 25 марта 2022 года).</w:t>
      </w:r>
    </w:p>
  </w:footnote>
  <w:footnote w:id="2">
    <w:p w14:paraId="141C1EDC" w14:textId="6E861428" w:rsidR="00F05416" w:rsidRPr="00757FCC" w:rsidRDefault="00F05416" w:rsidP="00F05416">
      <w:pPr>
        <w:pStyle w:val="ad"/>
      </w:pPr>
      <w:r>
        <w:tab/>
      </w:r>
      <w:r w:rsidRPr="00FD166D">
        <w:rPr>
          <w:rStyle w:val="aa"/>
        </w:rPr>
        <w:footnoteRef/>
      </w:r>
      <w:r>
        <w:tab/>
      </w:r>
      <w:hyperlink r:id="rId1" w:history="1">
        <w:r w:rsidRPr="00012447">
          <w:rPr>
            <w:rStyle w:val="af1"/>
          </w:rPr>
          <w:t>CCPR/C/KHM/3</w:t>
        </w:r>
      </w:hyperlink>
      <w:r>
        <w:t>.</w:t>
      </w:r>
    </w:p>
  </w:footnote>
  <w:footnote w:id="3">
    <w:p w14:paraId="4C422869" w14:textId="5D8B93DE" w:rsidR="00A85097" w:rsidRPr="00757FCC" w:rsidRDefault="00A85097" w:rsidP="00A85097">
      <w:pPr>
        <w:pStyle w:val="ad"/>
      </w:pPr>
      <w:r w:rsidRPr="007B0858">
        <w:tab/>
      </w:r>
      <w:r w:rsidRPr="007B0858">
        <w:rPr>
          <w:rStyle w:val="aa"/>
        </w:rPr>
        <w:footnoteRef/>
      </w:r>
      <w:r>
        <w:t xml:space="preserve"> </w:t>
      </w:r>
      <w:r>
        <w:tab/>
      </w:r>
      <w:hyperlink r:id="rId2" w:history="1">
        <w:r w:rsidRPr="00012447">
          <w:rPr>
            <w:rStyle w:val="af1"/>
          </w:rPr>
          <w:t>CCPR/C/SR.3850</w:t>
        </w:r>
      </w:hyperlink>
      <w:r>
        <w:t xml:space="preserve">, </w:t>
      </w:r>
      <w:hyperlink r:id="rId3" w:history="1">
        <w:r w:rsidRPr="00012447">
          <w:rPr>
            <w:rStyle w:val="af1"/>
          </w:rPr>
          <w:t>CCPR/C/SR.3852</w:t>
        </w:r>
      </w:hyperlink>
      <w:r>
        <w:t xml:space="preserve"> и </w:t>
      </w:r>
      <w:hyperlink r:id="rId4" w:history="1">
        <w:r w:rsidRPr="00012447">
          <w:rPr>
            <w:rStyle w:val="af1"/>
          </w:rPr>
          <w:t>CCPR/C/SR.3854</w:t>
        </w:r>
      </w:hyperlink>
      <w:r>
        <w:t>.</w:t>
      </w:r>
    </w:p>
  </w:footnote>
  <w:footnote w:id="4">
    <w:p w14:paraId="6420DC83" w14:textId="02C7B206" w:rsidR="00A85097" w:rsidRPr="007B0858" w:rsidRDefault="00A85097" w:rsidP="00A85097">
      <w:pPr>
        <w:pStyle w:val="ad"/>
      </w:pPr>
      <w:r w:rsidRPr="007B0858">
        <w:tab/>
      </w:r>
      <w:r w:rsidRPr="007B0858">
        <w:rPr>
          <w:rStyle w:val="aa"/>
        </w:rPr>
        <w:footnoteRef/>
      </w:r>
      <w:r w:rsidRPr="008D1E55">
        <w:t xml:space="preserve"> </w:t>
      </w:r>
      <w:r w:rsidRPr="008D1E55">
        <w:tab/>
      </w:r>
      <w:hyperlink r:id="rId5" w:history="1">
        <w:r w:rsidRPr="00012447">
          <w:rPr>
            <w:rStyle w:val="af1"/>
            <w:lang w:val="en-US"/>
          </w:rPr>
          <w:t>CCPR</w:t>
        </w:r>
        <w:r w:rsidRPr="00012447">
          <w:rPr>
            <w:rStyle w:val="af1"/>
          </w:rPr>
          <w:t>/</w:t>
        </w:r>
        <w:r w:rsidRPr="00012447">
          <w:rPr>
            <w:rStyle w:val="af1"/>
            <w:lang w:val="en-US"/>
          </w:rPr>
          <w:t>C</w:t>
        </w:r>
        <w:r w:rsidRPr="00012447">
          <w:rPr>
            <w:rStyle w:val="af1"/>
          </w:rPr>
          <w:t>/</w:t>
        </w:r>
        <w:r w:rsidRPr="00012447">
          <w:rPr>
            <w:rStyle w:val="af1"/>
            <w:lang w:val="en-US"/>
          </w:rPr>
          <w:t>KHM</w:t>
        </w:r>
        <w:r w:rsidRPr="00012447">
          <w:rPr>
            <w:rStyle w:val="af1"/>
          </w:rPr>
          <w:t>/</w:t>
        </w:r>
        <w:r w:rsidRPr="00012447">
          <w:rPr>
            <w:rStyle w:val="af1"/>
            <w:lang w:val="en-US"/>
          </w:rPr>
          <w:t>RQ</w:t>
        </w:r>
        <w:r w:rsidRPr="00012447">
          <w:rPr>
            <w:rStyle w:val="af1"/>
          </w:rPr>
          <w:t>/3</w:t>
        </w:r>
      </w:hyperlink>
      <w:r w:rsidRPr="008D1E55">
        <w:t>.</w:t>
      </w:r>
    </w:p>
  </w:footnote>
  <w:footnote w:id="5">
    <w:p w14:paraId="66E2A19D" w14:textId="15A84C01" w:rsidR="00A85097" w:rsidRPr="007B0858" w:rsidRDefault="00A85097" w:rsidP="00A85097">
      <w:pPr>
        <w:pStyle w:val="ad"/>
      </w:pPr>
      <w:r w:rsidRPr="008D1E55">
        <w:tab/>
      </w:r>
      <w:r w:rsidRPr="007B0858">
        <w:rPr>
          <w:rStyle w:val="aa"/>
        </w:rPr>
        <w:footnoteRef/>
      </w:r>
      <w:r w:rsidRPr="008D1E55">
        <w:t xml:space="preserve"> </w:t>
      </w:r>
      <w:r w:rsidRPr="008D1E55">
        <w:tab/>
      </w:r>
      <w:hyperlink r:id="rId6" w:history="1">
        <w:r w:rsidRPr="00012447">
          <w:rPr>
            <w:rStyle w:val="af1"/>
            <w:lang w:val="en-US"/>
          </w:rPr>
          <w:t>CCPR</w:t>
        </w:r>
        <w:r w:rsidRPr="00012447">
          <w:rPr>
            <w:rStyle w:val="af1"/>
          </w:rPr>
          <w:t>/</w:t>
        </w:r>
        <w:r w:rsidRPr="00012447">
          <w:rPr>
            <w:rStyle w:val="af1"/>
            <w:lang w:val="en-US"/>
          </w:rPr>
          <w:t>C</w:t>
        </w:r>
        <w:r w:rsidRPr="00012447">
          <w:rPr>
            <w:rStyle w:val="af1"/>
          </w:rPr>
          <w:t>/</w:t>
        </w:r>
        <w:r w:rsidRPr="00012447">
          <w:rPr>
            <w:rStyle w:val="af1"/>
            <w:lang w:val="en-US"/>
          </w:rPr>
          <w:t>KHM</w:t>
        </w:r>
        <w:r w:rsidRPr="00012447">
          <w:rPr>
            <w:rStyle w:val="af1"/>
          </w:rPr>
          <w:t>/</w:t>
        </w:r>
        <w:r w:rsidRPr="00012447">
          <w:rPr>
            <w:rStyle w:val="af1"/>
            <w:lang w:val="en-US"/>
          </w:rPr>
          <w:t>Q</w:t>
        </w:r>
        <w:r w:rsidRPr="00012447">
          <w:rPr>
            <w:rStyle w:val="af1"/>
          </w:rPr>
          <w:t>/3</w:t>
        </w:r>
      </w:hyperlink>
      <w:r w:rsidRPr="008D1E55">
        <w:t>.</w:t>
      </w:r>
    </w:p>
  </w:footnote>
  <w:footnote w:id="6">
    <w:p w14:paraId="5BFB0695" w14:textId="646C04DF" w:rsidR="00FC2C18" w:rsidRPr="008D1E55" w:rsidRDefault="00FC2C18" w:rsidP="00FC2C18">
      <w:pPr>
        <w:pStyle w:val="ad"/>
        <w:rPr>
          <w:lang w:val="en-US"/>
        </w:rPr>
      </w:pPr>
      <w:r w:rsidRPr="008D1E55">
        <w:tab/>
      </w:r>
      <w:r w:rsidRPr="00FD166D">
        <w:rPr>
          <w:rStyle w:val="aa"/>
        </w:rPr>
        <w:footnoteRef/>
      </w:r>
      <w:r w:rsidRPr="00757FCC">
        <w:rPr>
          <w:lang w:val="en-US"/>
        </w:rPr>
        <w:t xml:space="preserve"> </w:t>
      </w:r>
      <w:r w:rsidRPr="00757FCC">
        <w:rPr>
          <w:lang w:val="en-US"/>
        </w:rPr>
        <w:tab/>
      </w:r>
      <w:r w:rsidR="00F67FA2">
        <w:fldChar w:fldCharType="begin"/>
      </w:r>
      <w:r w:rsidR="00F67FA2" w:rsidRPr="00F67FA2">
        <w:rPr>
          <w:lang w:val="en-US"/>
        </w:rPr>
        <w:instrText xml:space="preserve"> HYPERLINK "http://undocs.org/ru/CCPR/C/KHM/CO/2" </w:instrText>
      </w:r>
      <w:r w:rsidR="00F67FA2">
        <w:fldChar w:fldCharType="separate"/>
      </w:r>
      <w:r w:rsidRPr="00012447">
        <w:rPr>
          <w:rStyle w:val="af1"/>
          <w:lang w:val="en-US"/>
        </w:rPr>
        <w:t>CCPR/C/KHM/CO/2</w:t>
      </w:r>
      <w:r w:rsidR="00F67FA2">
        <w:rPr>
          <w:rStyle w:val="af1"/>
          <w:lang w:val="en-US"/>
        </w:rPr>
        <w:fldChar w:fldCharType="end"/>
      </w:r>
      <w:r w:rsidRPr="00757FCC">
        <w:rPr>
          <w:lang w:val="en-US"/>
        </w:rPr>
        <w:t xml:space="preserve">, </w:t>
      </w:r>
      <w:r>
        <w:t>п</w:t>
      </w:r>
      <w:r w:rsidR="00B26B44" w:rsidRPr="00B26B44">
        <w:rPr>
          <w:lang w:val="en-US"/>
        </w:rPr>
        <w:t>.</w:t>
      </w:r>
      <w:r w:rsidRPr="00757FCC">
        <w:rPr>
          <w:lang w:val="en-US"/>
        </w:rPr>
        <w:t xml:space="preserve"> 6.</w:t>
      </w:r>
    </w:p>
  </w:footnote>
  <w:footnote w:id="7">
    <w:p w14:paraId="2E46AA06" w14:textId="49413212" w:rsidR="008D1E55" w:rsidRPr="008D1E55" w:rsidRDefault="008D1E55" w:rsidP="008D1E55">
      <w:pPr>
        <w:pStyle w:val="ad"/>
        <w:rPr>
          <w:lang w:val="en-US"/>
        </w:rPr>
      </w:pPr>
      <w:r w:rsidRPr="00757FCC">
        <w:rPr>
          <w:lang w:val="en-US"/>
        </w:rPr>
        <w:tab/>
      </w:r>
      <w:r w:rsidRPr="00FD166D">
        <w:rPr>
          <w:rStyle w:val="aa"/>
        </w:rPr>
        <w:footnoteRef/>
      </w:r>
      <w:r w:rsidRPr="00757FCC">
        <w:rPr>
          <w:lang w:val="en-US"/>
        </w:rPr>
        <w:tab/>
      </w:r>
      <w:r w:rsidR="00F67FA2">
        <w:fldChar w:fldCharType="begin"/>
      </w:r>
      <w:r w:rsidR="00F67FA2" w:rsidRPr="00F67FA2">
        <w:rPr>
          <w:lang w:val="en-US"/>
        </w:rPr>
        <w:instrText xml:space="preserve"> HYPERLINK "http://undocs.org/ru/CCPR/C/128/2" </w:instrText>
      </w:r>
      <w:r w:rsidR="00F67FA2">
        <w:fldChar w:fldCharType="separate"/>
      </w:r>
      <w:r w:rsidRPr="00012447">
        <w:rPr>
          <w:rStyle w:val="af1"/>
          <w:lang w:val="en-US"/>
        </w:rPr>
        <w:t>CCPR/C/128/2</w:t>
      </w:r>
      <w:r w:rsidR="00F67FA2">
        <w:rPr>
          <w:rStyle w:val="af1"/>
          <w:lang w:val="en-US"/>
        </w:rPr>
        <w:fldChar w:fldCharType="end"/>
      </w:r>
      <w:r w:rsidRPr="00757FCC">
        <w:rPr>
          <w:lang w:val="en-US"/>
        </w:rPr>
        <w:t>.</w:t>
      </w:r>
    </w:p>
  </w:footnote>
  <w:footnote w:id="8">
    <w:p w14:paraId="67F583F7" w14:textId="50971FE7" w:rsidR="008D1E55" w:rsidRPr="008D1E55" w:rsidRDefault="008D1E55" w:rsidP="008D1E55">
      <w:pPr>
        <w:pStyle w:val="ad"/>
        <w:rPr>
          <w:lang w:val="en-US"/>
        </w:rPr>
      </w:pPr>
      <w:r w:rsidRPr="00757FCC">
        <w:rPr>
          <w:lang w:val="en-US"/>
        </w:rPr>
        <w:tab/>
      </w:r>
      <w:r w:rsidRPr="00B720E0">
        <w:rPr>
          <w:rStyle w:val="aa"/>
        </w:rPr>
        <w:footnoteRef/>
      </w:r>
      <w:r w:rsidRPr="00757FCC">
        <w:rPr>
          <w:lang w:val="en-US"/>
        </w:rPr>
        <w:t xml:space="preserve"> </w:t>
      </w:r>
      <w:r w:rsidRPr="00757FCC">
        <w:rPr>
          <w:lang w:val="en-US"/>
        </w:rPr>
        <w:tab/>
      </w:r>
      <w:r w:rsidRPr="00757FCC">
        <w:rPr>
          <w:lang w:val="en-US"/>
        </w:rPr>
        <w:tab/>
      </w:r>
      <w:r w:rsidR="00F67FA2">
        <w:fldChar w:fldCharType="begin"/>
      </w:r>
      <w:r w:rsidR="00F67FA2" w:rsidRPr="00F67FA2">
        <w:rPr>
          <w:lang w:val="en-US"/>
        </w:rPr>
        <w:instrText xml:space="preserve"> HYPERLINK "http://undocs.org/ru/CCPR/C/KHM/CO/2" </w:instrText>
      </w:r>
      <w:r w:rsidR="00F67FA2">
        <w:fldChar w:fldCharType="separate"/>
      </w:r>
      <w:r w:rsidRPr="00012447">
        <w:rPr>
          <w:rStyle w:val="af1"/>
          <w:lang w:val="en-US"/>
        </w:rPr>
        <w:t>CCPR/C/KHM/CO/2</w:t>
      </w:r>
      <w:r w:rsidR="00F67FA2">
        <w:rPr>
          <w:rStyle w:val="af1"/>
          <w:lang w:val="en-US"/>
        </w:rPr>
        <w:fldChar w:fldCharType="end"/>
      </w:r>
      <w:r w:rsidRPr="00757FCC">
        <w:rPr>
          <w:lang w:val="en-US"/>
        </w:rPr>
        <w:t xml:space="preserve">, </w:t>
      </w:r>
      <w:r>
        <w:t>п</w:t>
      </w:r>
      <w:r w:rsidR="00B26B44" w:rsidRPr="00B26B44">
        <w:rPr>
          <w:lang w:val="en-US"/>
        </w:rPr>
        <w:t>.</w:t>
      </w:r>
      <w:r w:rsidRPr="00757FCC">
        <w:rPr>
          <w:lang w:val="en-US"/>
        </w:rPr>
        <w:t xml:space="preserve"> 11.</w:t>
      </w:r>
    </w:p>
  </w:footnote>
  <w:footnote w:id="9">
    <w:p w14:paraId="73CC8C66" w14:textId="5CF79F53" w:rsidR="00DD2DA4" w:rsidRDefault="00DD2DA4" w:rsidP="00DD2DA4">
      <w:pPr>
        <w:pStyle w:val="ad"/>
      </w:pPr>
      <w:r w:rsidRPr="00757FCC">
        <w:rPr>
          <w:lang w:val="en-US"/>
        </w:rPr>
        <w:tab/>
      </w:r>
      <w:r w:rsidRPr="00FD166D">
        <w:rPr>
          <w:rStyle w:val="aa"/>
        </w:rPr>
        <w:footnoteRef/>
      </w:r>
      <w:r>
        <w:t xml:space="preserve"> </w:t>
      </w:r>
      <w:r>
        <w:tab/>
        <w:t>Там же, п</w:t>
      </w:r>
      <w:r w:rsidR="00B26B44">
        <w:t>.</w:t>
      </w:r>
      <w:r>
        <w:t xml:space="preserve">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DBFB" w14:textId="35034CC7" w:rsidR="008D1E55" w:rsidRPr="008D1E55" w:rsidRDefault="00F67FA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CCPR/C/KHM/CO/3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4BD8" w14:textId="0DB3E13B" w:rsidR="008D1E55" w:rsidRPr="008D1E55" w:rsidRDefault="00F67FA2" w:rsidP="008D1E5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CCPR/C/KHM/CO/3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693B" w14:textId="77777777" w:rsidR="008D1E55" w:rsidRDefault="008D1E55" w:rsidP="008D1E5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449DB"/>
    <w:multiLevelType w:val="hybridMultilevel"/>
    <w:tmpl w:val="366C1C0A"/>
    <w:lvl w:ilvl="0" w:tplc="D17AB182">
      <w:start w:val="1"/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F2"/>
    <w:rsid w:val="00012447"/>
    <w:rsid w:val="00033EE1"/>
    <w:rsid w:val="000358F2"/>
    <w:rsid w:val="00042B72"/>
    <w:rsid w:val="00045BCF"/>
    <w:rsid w:val="000558BD"/>
    <w:rsid w:val="000842E6"/>
    <w:rsid w:val="000B57E7"/>
    <w:rsid w:val="000B6373"/>
    <w:rsid w:val="000F09DF"/>
    <w:rsid w:val="000F61B2"/>
    <w:rsid w:val="001075E9"/>
    <w:rsid w:val="00141FAB"/>
    <w:rsid w:val="00180183"/>
    <w:rsid w:val="0018024D"/>
    <w:rsid w:val="0018649F"/>
    <w:rsid w:val="00196389"/>
    <w:rsid w:val="001B3EF6"/>
    <w:rsid w:val="001C7A89"/>
    <w:rsid w:val="002301A6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3097"/>
    <w:rsid w:val="00305C08"/>
    <w:rsid w:val="00307FB6"/>
    <w:rsid w:val="00316B73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4C2B5D"/>
    <w:rsid w:val="0050108D"/>
    <w:rsid w:val="00513081"/>
    <w:rsid w:val="005140FE"/>
    <w:rsid w:val="00517901"/>
    <w:rsid w:val="00526683"/>
    <w:rsid w:val="005709E0"/>
    <w:rsid w:val="005721C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6001C"/>
    <w:rsid w:val="00787D3A"/>
    <w:rsid w:val="00791B9D"/>
    <w:rsid w:val="0081036B"/>
    <w:rsid w:val="00825F8D"/>
    <w:rsid w:val="00834B71"/>
    <w:rsid w:val="00850981"/>
    <w:rsid w:val="0086445C"/>
    <w:rsid w:val="00894693"/>
    <w:rsid w:val="008A08D7"/>
    <w:rsid w:val="008B6909"/>
    <w:rsid w:val="008D1E55"/>
    <w:rsid w:val="00906890"/>
    <w:rsid w:val="00911BE4"/>
    <w:rsid w:val="00924F1F"/>
    <w:rsid w:val="00931A71"/>
    <w:rsid w:val="00931DB4"/>
    <w:rsid w:val="00951972"/>
    <w:rsid w:val="009608F3"/>
    <w:rsid w:val="00973F8F"/>
    <w:rsid w:val="009918E2"/>
    <w:rsid w:val="009A24AC"/>
    <w:rsid w:val="009C0D39"/>
    <w:rsid w:val="009D21FD"/>
    <w:rsid w:val="00A147E5"/>
    <w:rsid w:val="00A14DA8"/>
    <w:rsid w:val="00A312BC"/>
    <w:rsid w:val="00A34D07"/>
    <w:rsid w:val="00A84021"/>
    <w:rsid w:val="00A84D35"/>
    <w:rsid w:val="00A85097"/>
    <w:rsid w:val="00A917B3"/>
    <w:rsid w:val="00AB4B51"/>
    <w:rsid w:val="00AD6F87"/>
    <w:rsid w:val="00B10CC7"/>
    <w:rsid w:val="00B136DB"/>
    <w:rsid w:val="00B26B44"/>
    <w:rsid w:val="00B539E7"/>
    <w:rsid w:val="00B62458"/>
    <w:rsid w:val="00B7420F"/>
    <w:rsid w:val="00BB1DBE"/>
    <w:rsid w:val="00BC18B2"/>
    <w:rsid w:val="00BC3629"/>
    <w:rsid w:val="00BD33EE"/>
    <w:rsid w:val="00BF1A04"/>
    <w:rsid w:val="00BF25B5"/>
    <w:rsid w:val="00BF30CF"/>
    <w:rsid w:val="00C0177C"/>
    <w:rsid w:val="00C106D6"/>
    <w:rsid w:val="00C46D5A"/>
    <w:rsid w:val="00C60F0C"/>
    <w:rsid w:val="00C805C9"/>
    <w:rsid w:val="00C92939"/>
    <w:rsid w:val="00CA1679"/>
    <w:rsid w:val="00CB151C"/>
    <w:rsid w:val="00CD71BF"/>
    <w:rsid w:val="00CD7270"/>
    <w:rsid w:val="00CE5A1A"/>
    <w:rsid w:val="00CF55F6"/>
    <w:rsid w:val="00D33D63"/>
    <w:rsid w:val="00D37FC0"/>
    <w:rsid w:val="00D871EF"/>
    <w:rsid w:val="00D90028"/>
    <w:rsid w:val="00D90138"/>
    <w:rsid w:val="00D9090B"/>
    <w:rsid w:val="00DC32FA"/>
    <w:rsid w:val="00DC55F1"/>
    <w:rsid w:val="00DD2DA4"/>
    <w:rsid w:val="00DD78D1"/>
    <w:rsid w:val="00DE32CD"/>
    <w:rsid w:val="00DF2386"/>
    <w:rsid w:val="00DF71B9"/>
    <w:rsid w:val="00E005F7"/>
    <w:rsid w:val="00E06BEE"/>
    <w:rsid w:val="00E46656"/>
    <w:rsid w:val="00E73F76"/>
    <w:rsid w:val="00E810E9"/>
    <w:rsid w:val="00E849F9"/>
    <w:rsid w:val="00EA2C9F"/>
    <w:rsid w:val="00EA420E"/>
    <w:rsid w:val="00ED0BDA"/>
    <w:rsid w:val="00EF1360"/>
    <w:rsid w:val="00EF3220"/>
    <w:rsid w:val="00F05416"/>
    <w:rsid w:val="00F43903"/>
    <w:rsid w:val="00F67FA2"/>
    <w:rsid w:val="00F94155"/>
    <w:rsid w:val="00F949F2"/>
    <w:rsid w:val="00F9783F"/>
    <w:rsid w:val="00FC2C18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753658"/>
  <w15:docId w15:val="{C901C2A0-3FCA-4FC8-BFCB-759C443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D1E55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012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SR.3852" TargetMode="External"/><Relationship Id="rId2" Type="http://schemas.openxmlformats.org/officeDocument/2006/relationships/hyperlink" Target="http://undocs.org/en/CCPR/C/SR.3850" TargetMode="External"/><Relationship Id="rId1" Type="http://schemas.openxmlformats.org/officeDocument/2006/relationships/hyperlink" Target="http://undocs.org/en/CCPR/C/KHM/3" TargetMode="External"/><Relationship Id="rId6" Type="http://schemas.openxmlformats.org/officeDocument/2006/relationships/hyperlink" Target="http://undocs.org/en/CCPR/C/KHM/Q/3" TargetMode="External"/><Relationship Id="rId5" Type="http://schemas.openxmlformats.org/officeDocument/2006/relationships/hyperlink" Target="http://undocs.org/en/CCPR/C/KHM/RQ/3" TargetMode="External"/><Relationship Id="rId4" Type="http://schemas.openxmlformats.org/officeDocument/2006/relationships/hyperlink" Target="http://undocs.org/en/CCPR/C/SR.38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12</Pages>
  <Words>4509</Words>
  <Characters>31773</Characters>
  <Application>Microsoft Office Word</Application>
  <DocSecurity>0</DocSecurity>
  <Lines>3530</Lines>
  <Paragraphs>930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CCPR/C/KHM/CO/3</vt:lpstr>
      <vt:lpstr>A/</vt:lpstr>
      <vt:lpstr>A/</vt:lpstr>
    </vt:vector>
  </TitlesOfParts>
  <Company>DCM</Company>
  <LinksUpToDate>false</LinksUpToDate>
  <CharactersWithSpaces>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CCPR/C/KHM/CO/3</dc:title>
  <dc:subject/>
  <dc:creator>Olga OVTCHINNIKOVA</dc:creator>
  <cp:keywords/>
  <cp:lastModifiedBy>Olga Ovchinnikova</cp:lastModifiedBy>
  <cp:revision>3</cp:revision>
  <cp:lastPrinted>2022-07-08T12:35:00Z</cp:lastPrinted>
  <dcterms:created xsi:type="dcterms:W3CDTF">2022-07-08T12:35:00Z</dcterms:created>
  <dcterms:modified xsi:type="dcterms:W3CDTF">2022-07-08T12:40:00Z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