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A4062CB" w14:textId="77777777" w:rsidTr="008F3CA0">
        <w:trPr>
          <w:trHeight w:hRule="exact" w:val="851"/>
        </w:trPr>
        <w:tc>
          <w:tcPr>
            <w:tcW w:w="1276" w:type="dxa"/>
            <w:tcBorders>
              <w:bottom w:val="single" w:sz="4" w:space="0" w:color="auto"/>
            </w:tcBorders>
          </w:tcPr>
          <w:p w14:paraId="0E7DFF42" w14:textId="77777777" w:rsidR="000354E9" w:rsidRPr="00DB58B5" w:rsidRDefault="000354E9" w:rsidP="008F4945"/>
        </w:tc>
        <w:tc>
          <w:tcPr>
            <w:tcW w:w="2268" w:type="dxa"/>
            <w:tcBorders>
              <w:bottom w:val="single" w:sz="4" w:space="0" w:color="auto"/>
            </w:tcBorders>
            <w:vAlign w:val="bottom"/>
          </w:tcPr>
          <w:p w14:paraId="12B62EEB"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3299BA" w14:textId="77777777" w:rsidR="000354E9" w:rsidRPr="00DB58B5" w:rsidRDefault="008F4945" w:rsidP="008F4945">
            <w:pPr>
              <w:jc w:val="right"/>
            </w:pPr>
            <w:r w:rsidRPr="008F4945">
              <w:rPr>
                <w:sz w:val="40"/>
              </w:rPr>
              <w:t>CRC</w:t>
            </w:r>
            <w:r>
              <w:t>/C/MKD/3-6</w:t>
            </w:r>
          </w:p>
        </w:tc>
      </w:tr>
      <w:tr w:rsidR="000354E9" w:rsidRPr="00DB58B5" w14:paraId="59E98277" w14:textId="77777777" w:rsidTr="008F3CA0">
        <w:trPr>
          <w:trHeight w:hRule="exact" w:val="2835"/>
        </w:trPr>
        <w:tc>
          <w:tcPr>
            <w:tcW w:w="1276" w:type="dxa"/>
            <w:tcBorders>
              <w:top w:val="single" w:sz="4" w:space="0" w:color="auto"/>
              <w:bottom w:val="single" w:sz="12" w:space="0" w:color="auto"/>
            </w:tcBorders>
          </w:tcPr>
          <w:p w14:paraId="331AC0B7" w14:textId="77777777" w:rsidR="000354E9" w:rsidRPr="00DB58B5" w:rsidRDefault="000354E9" w:rsidP="008F3CA0">
            <w:pPr>
              <w:spacing w:before="120"/>
              <w:jc w:val="center"/>
            </w:pPr>
            <w:r>
              <w:rPr>
                <w:noProof/>
                <w:lang w:eastAsia="fr-CH"/>
              </w:rPr>
              <w:drawing>
                <wp:inline distT="0" distB="0" distL="0" distR="0" wp14:anchorId="0335D930" wp14:editId="43D9ABD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600473"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254912">
              <w:rPr>
                <w:b/>
                <w:sz w:val="40"/>
                <w:szCs w:val="40"/>
              </w:rPr>
              <w:t>’</w:t>
            </w:r>
            <w:r w:rsidRPr="00262665">
              <w:rPr>
                <w:b/>
                <w:sz w:val="40"/>
                <w:szCs w:val="40"/>
              </w:rPr>
              <w:t>enfant</w:t>
            </w:r>
          </w:p>
        </w:tc>
        <w:tc>
          <w:tcPr>
            <w:tcW w:w="2835" w:type="dxa"/>
            <w:tcBorders>
              <w:top w:val="single" w:sz="4" w:space="0" w:color="auto"/>
              <w:bottom w:val="single" w:sz="12" w:space="0" w:color="auto"/>
            </w:tcBorders>
          </w:tcPr>
          <w:p w14:paraId="12976CB2" w14:textId="77777777" w:rsidR="000354E9" w:rsidRDefault="008F4945" w:rsidP="008F3CA0">
            <w:pPr>
              <w:spacing w:before="240"/>
            </w:pPr>
            <w:proofErr w:type="spellStart"/>
            <w:r>
              <w:t>Distr</w:t>
            </w:r>
            <w:proofErr w:type="spellEnd"/>
            <w:r>
              <w:t>. générale</w:t>
            </w:r>
          </w:p>
          <w:p w14:paraId="5631B5FD" w14:textId="77777777" w:rsidR="008F4945" w:rsidRDefault="008F4945" w:rsidP="008F4945">
            <w:pPr>
              <w:spacing w:line="240" w:lineRule="exact"/>
            </w:pPr>
            <w:r>
              <w:t>23 novembre 2020</w:t>
            </w:r>
          </w:p>
          <w:p w14:paraId="4C1F9622" w14:textId="77777777" w:rsidR="008F4945" w:rsidRDefault="008F4945" w:rsidP="008F4945">
            <w:pPr>
              <w:spacing w:line="240" w:lineRule="exact"/>
            </w:pPr>
            <w:r>
              <w:t>Français</w:t>
            </w:r>
          </w:p>
          <w:p w14:paraId="72CF6D6A" w14:textId="77777777" w:rsidR="008F4945" w:rsidRDefault="008F4945" w:rsidP="008F4945">
            <w:pPr>
              <w:spacing w:line="240" w:lineRule="exact"/>
            </w:pPr>
            <w:r>
              <w:t>Original : anglais</w:t>
            </w:r>
          </w:p>
          <w:p w14:paraId="1AA57E43" w14:textId="77777777" w:rsidR="0060364C" w:rsidRPr="00DB58B5" w:rsidRDefault="0060364C" w:rsidP="008F4945">
            <w:pPr>
              <w:spacing w:line="240" w:lineRule="exact"/>
            </w:pPr>
            <w:r>
              <w:t>Anglais, espagnol et français seulement</w:t>
            </w:r>
          </w:p>
        </w:tc>
      </w:tr>
    </w:tbl>
    <w:p w14:paraId="6E3EFCEC" w14:textId="77777777" w:rsidR="002D14A3" w:rsidRDefault="002D14A3" w:rsidP="002D14A3">
      <w:pPr>
        <w:spacing w:before="120"/>
        <w:rPr>
          <w:b/>
          <w:sz w:val="24"/>
          <w:szCs w:val="24"/>
        </w:rPr>
      </w:pPr>
      <w:r w:rsidRPr="00DA3BE9">
        <w:rPr>
          <w:b/>
          <w:sz w:val="24"/>
          <w:szCs w:val="24"/>
        </w:rPr>
        <w:t>Comité des droits de l</w:t>
      </w:r>
      <w:r w:rsidR="00254912">
        <w:rPr>
          <w:b/>
          <w:sz w:val="24"/>
          <w:szCs w:val="24"/>
        </w:rPr>
        <w:t>’</w:t>
      </w:r>
      <w:r w:rsidRPr="00DA3BE9">
        <w:rPr>
          <w:b/>
          <w:sz w:val="24"/>
          <w:szCs w:val="24"/>
        </w:rPr>
        <w:t>enfant</w:t>
      </w:r>
    </w:p>
    <w:p w14:paraId="0179E6F2" w14:textId="77777777" w:rsidR="003C48D6" w:rsidRPr="00F720A6" w:rsidRDefault="0060364C" w:rsidP="0060364C">
      <w:pPr>
        <w:pStyle w:val="HMG"/>
        <w:rPr>
          <w:sz w:val="36"/>
          <w:szCs w:val="22"/>
          <w:lang w:val="fr-FR"/>
        </w:rPr>
      </w:pPr>
      <w:r>
        <w:rPr>
          <w:lang w:val="fr-FR"/>
        </w:rPr>
        <w:tab/>
      </w:r>
      <w:r>
        <w:rPr>
          <w:lang w:val="fr-FR"/>
        </w:rPr>
        <w:tab/>
      </w:r>
      <w:r w:rsidR="003C48D6" w:rsidRPr="00F720A6">
        <w:rPr>
          <w:lang w:val="fr-FR"/>
        </w:rPr>
        <w:t>Rapport valant troisième à sixième rapports périodiques soumis par la Macédoine du Nord en</w:t>
      </w:r>
      <w:r>
        <w:rPr>
          <w:lang w:val="fr-FR"/>
        </w:rPr>
        <w:t> </w:t>
      </w:r>
      <w:r w:rsidR="003C48D6" w:rsidRPr="00F720A6">
        <w:rPr>
          <w:lang w:val="fr-FR"/>
        </w:rPr>
        <w:t>application de l</w:t>
      </w:r>
      <w:r w:rsidR="00254912">
        <w:rPr>
          <w:lang w:val="fr-FR"/>
        </w:rPr>
        <w:t>’</w:t>
      </w:r>
      <w:r w:rsidR="003C48D6" w:rsidRPr="00F720A6">
        <w:rPr>
          <w:lang w:val="fr-FR"/>
        </w:rPr>
        <w:t>article 44 de la Convention, attendu en 2017</w:t>
      </w:r>
      <w:r w:rsidRPr="0060364C">
        <w:rPr>
          <w:rStyle w:val="Appelnotedebasdep"/>
          <w:b w:val="0"/>
          <w:bCs/>
          <w:sz w:val="20"/>
          <w:vertAlign w:val="baseline"/>
        </w:rPr>
        <w:footnoteReference w:customMarkFollows="1" w:id="2"/>
        <w:t>*</w:t>
      </w:r>
    </w:p>
    <w:p w14:paraId="3C9D731C" w14:textId="77777777" w:rsidR="007341B7" w:rsidRDefault="003C48D6" w:rsidP="0060364C">
      <w:pPr>
        <w:pStyle w:val="SingleTxtG"/>
        <w:jc w:val="right"/>
        <w:rPr>
          <w:lang w:val="fr-FR"/>
        </w:rPr>
      </w:pPr>
      <w:r w:rsidRPr="00F720A6">
        <w:rPr>
          <w:lang w:val="fr-FR"/>
        </w:rPr>
        <w:t>[Date de réception : 12 mars 2019]</w:t>
      </w:r>
    </w:p>
    <w:p w14:paraId="7F55BE8E" w14:textId="77777777" w:rsidR="003C48D6" w:rsidRDefault="003C48D6" w:rsidP="003C48D6">
      <w:pPr>
        <w:rPr>
          <w:lang w:val="fr-FR"/>
        </w:rPr>
      </w:pPr>
      <w:r>
        <w:rPr>
          <w:lang w:val="fr-FR"/>
        </w:rPr>
        <w:br w:type="page"/>
      </w:r>
    </w:p>
    <w:p w14:paraId="177C3A89" w14:textId="77777777" w:rsidR="003C48D6" w:rsidRPr="00F720A6" w:rsidRDefault="003C48D6" w:rsidP="0060364C">
      <w:pPr>
        <w:pStyle w:val="HChG"/>
        <w:rPr>
          <w:lang w:val="fr-FR"/>
        </w:rPr>
      </w:pPr>
      <w:r w:rsidRPr="00F720A6">
        <w:rPr>
          <w:lang w:val="fr-FR"/>
        </w:rPr>
        <w:lastRenderedPageBreak/>
        <w:tab/>
      </w:r>
      <w:r w:rsidRPr="00F720A6">
        <w:rPr>
          <w:lang w:val="fr-FR"/>
        </w:rPr>
        <w:tab/>
        <w:t>Abréviations</w:t>
      </w:r>
      <w:bookmarkStart w:id="0" w:name="_Toc56781403"/>
      <w:bookmarkEnd w:id="0"/>
    </w:p>
    <w:tbl>
      <w:tblPr>
        <w:tblStyle w:val="Grilledutableau"/>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2"/>
        <w:gridCol w:w="6076"/>
      </w:tblGrid>
      <w:tr w:rsidR="0060364C" w:rsidRPr="0060364C" w14:paraId="0ACEE038" w14:textId="77777777" w:rsidTr="0060364C">
        <w:tc>
          <w:tcPr>
            <w:tcW w:w="843" w:type="pct"/>
            <w:hideMark/>
          </w:tcPr>
          <w:p w14:paraId="13DE5172" w14:textId="77777777" w:rsidR="0060364C" w:rsidRDefault="0060364C" w:rsidP="00BC2033">
            <w:pPr>
              <w:spacing w:after="120"/>
            </w:pPr>
            <w:r w:rsidRPr="00F720A6">
              <w:rPr>
                <w:lang w:val="fr-FR"/>
              </w:rPr>
              <w:t>CE</w:t>
            </w:r>
          </w:p>
        </w:tc>
        <w:tc>
          <w:tcPr>
            <w:tcW w:w="4157" w:type="pct"/>
          </w:tcPr>
          <w:p w14:paraId="52E73451" w14:textId="77777777" w:rsidR="0060364C" w:rsidRPr="0060364C" w:rsidRDefault="0060364C" w:rsidP="00BC2033">
            <w:pPr>
              <w:pStyle w:val="SingleTxtG"/>
              <w:ind w:left="0"/>
              <w:jc w:val="left"/>
              <w:rPr>
                <w:lang w:val="es-ES"/>
              </w:rPr>
            </w:pPr>
            <w:r w:rsidRPr="00F720A6">
              <w:rPr>
                <w:lang w:val="fr-FR"/>
              </w:rPr>
              <w:t>Commission européenne</w:t>
            </w:r>
          </w:p>
        </w:tc>
      </w:tr>
      <w:tr w:rsidR="0060364C" w:rsidRPr="0060364C" w14:paraId="59145F17" w14:textId="77777777" w:rsidTr="0060364C">
        <w:tc>
          <w:tcPr>
            <w:tcW w:w="843" w:type="pct"/>
          </w:tcPr>
          <w:p w14:paraId="3D7C8130" w14:textId="77777777" w:rsidR="0060364C" w:rsidRDefault="0060364C" w:rsidP="00BC2033">
            <w:pPr>
              <w:spacing w:after="120"/>
            </w:pPr>
            <w:r w:rsidRPr="00F720A6">
              <w:rPr>
                <w:lang w:val="fr-FR"/>
              </w:rPr>
              <w:t>UE</w:t>
            </w:r>
          </w:p>
        </w:tc>
        <w:tc>
          <w:tcPr>
            <w:tcW w:w="4157" w:type="pct"/>
          </w:tcPr>
          <w:p w14:paraId="6C74D4CB" w14:textId="77777777" w:rsidR="0060364C" w:rsidRPr="0060364C" w:rsidRDefault="0060364C" w:rsidP="00BC2033">
            <w:pPr>
              <w:spacing w:after="120"/>
              <w:rPr>
                <w:lang w:val="es-ES"/>
              </w:rPr>
            </w:pPr>
            <w:r w:rsidRPr="00F720A6">
              <w:rPr>
                <w:lang w:val="fr-FR"/>
              </w:rPr>
              <w:t>Union européenne</w:t>
            </w:r>
          </w:p>
        </w:tc>
      </w:tr>
      <w:tr w:rsidR="0060364C" w14:paraId="2ACC99A8" w14:textId="77777777" w:rsidTr="0060364C">
        <w:tc>
          <w:tcPr>
            <w:tcW w:w="843" w:type="pct"/>
          </w:tcPr>
          <w:p w14:paraId="7D90CC32" w14:textId="77777777" w:rsidR="0060364C" w:rsidRDefault="0060364C" w:rsidP="00BC2033">
            <w:pPr>
              <w:spacing w:after="120"/>
            </w:pPr>
            <w:r w:rsidRPr="00F720A6">
              <w:rPr>
                <w:lang w:val="fr-FR"/>
              </w:rPr>
              <w:t>PAN</w:t>
            </w:r>
          </w:p>
        </w:tc>
        <w:tc>
          <w:tcPr>
            <w:tcW w:w="4157" w:type="pct"/>
          </w:tcPr>
          <w:p w14:paraId="36F68803" w14:textId="77777777" w:rsidR="0060364C" w:rsidRDefault="0060364C" w:rsidP="00BC2033">
            <w:pPr>
              <w:spacing w:after="120"/>
            </w:pPr>
            <w:r w:rsidRPr="00F720A6">
              <w:rPr>
                <w:lang w:val="fr-FR"/>
              </w:rPr>
              <w:t>Plan d</w:t>
            </w:r>
            <w:r w:rsidR="00254912">
              <w:rPr>
                <w:lang w:val="fr-FR"/>
              </w:rPr>
              <w:t>’</w:t>
            </w:r>
            <w:r w:rsidRPr="00F720A6">
              <w:rPr>
                <w:lang w:val="fr-FR"/>
              </w:rPr>
              <w:t>action national</w:t>
            </w:r>
          </w:p>
        </w:tc>
      </w:tr>
      <w:tr w:rsidR="0060364C" w:rsidRPr="0060364C" w14:paraId="312EAA71" w14:textId="77777777" w:rsidTr="00BC2033">
        <w:tc>
          <w:tcPr>
            <w:tcW w:w="843" w:type="pct"/>
          </w:tcPr>
          <w:p w14:paraId="062F8F36" w14:textId="77777777" w:rsidR="0060364C" w:rsidRPr="00B92948" w:rsidRDefault="0060364C" w:rsidP="00BC2033">
            <w:pPr>
              <w:spacing w:after="120"/>
            </w:pPr>
            <w:r w:rsidRPr="00F720A6">
              <w:rPr>
                <w:lang w:val="fr-FR"/>
              </w:rPr>
              <w:t>ONG</w:t>
            </w:r>
          </w:p>
        </w:tc>
        <w:tc>
          <w:tcPr>
            <w:tcW w:w="4157" w:type="pct"/>
          </w:tcPr>
          <w:p w14:paraId="6995C18A" w14:textId="77777777" w:rsidR="0060364C" w:rsidRPr="0060364C" w:rsidRDefault="0060364C" w:rsidP="00BC2033">
            <w:pPr>
              <w:spacing w:after="120"/>
              <w:rPr>
                <w:lang w:val="es-ES"/>
              </w:rPr>
            </w:pPr>
            <w:r w:rsidRPr="00F720A6">
              <w:rPr>
                <w:lang w:val="fr-FR"/>
              </w:rPr>
              <w:t>Organisation non gouvernementale</w:t>
            </w:r>
          </w:p>
        </w:tc>
      </w:tr>
      <w:tr w:rsidR="0060364C" w:rsidRPr="0060364C" w14:paraId="52F6DB44" w14:textId="77777777" w:rsidTr="00BC2033">
        <w:tc>
          <w:tcPr>
            <w:tcW w:w="843" w:type="pct"/>
          </w:tcPr>
          <w:p w14:paraId="664D8CB0" w14:textId="77777777" w:rsidR="0060364C" w:rsidRPr="00B92948" w:rsidRDefault="0060364C" w:rsidP="00BC2033">
            <w:pPr>
              <w:spacing w:after="120"/>
            </w:pPr>
            <w:r w:rsidRPr="00F720A6">
              <w:rPr>
                <w:lang w:val="fr-FR"/>
              </w:rPr>
              <w:t>OMS</w:t>
            </w:r>
          </w:p>
        </w:tc>
        <w:tc>
          <w:tcPr>
            <w:tcW w:w="4157" w:type="pct"/>
          </w:tcPr>
          <w:p w14:paraId="481B1B65" w14:textId="77777777" w:rsidR="0060364C" w:rsidRPr="0060364C" w:rsidRDefault="0060364C" w:rsidP="00BC2033">
            <w:pPr>
              <w:spacing w:after="120"/>
            </w:pPr>
            <w:r w:rsidRPr="00F720A6">
              <w:rPr>
                <w:lang w:val="fr-FR"/>
              </w:rPr>
              <w:t>Organisation mondiale de la Santé</w:t>
            </w:r>
          </w:p>
        </w:tc>
      </w:tr>
      <w:tr w:rsidR="0060364C" w:rsidRPr="0060364C" w14:paraId="19B33FD7" w14:textId="77777777" w:rsidTr="00BC2033">
        <w:tc>
          <w:tcPr>
            <w:tcW w:w="843" w:type="pct"/>
          </w:tcPr>
          <w:p w14:paraId="634696EB" w14:textId="77777777" w:rsidR="0060364C" w:rsidRPr="00B92948" w:rsidRDefault="0060364C" w:rsidP="00BC2033">
            <w:pPr>
              <w:spacing w:after="120"/>
            </w:pPr>
            <w:r w:rsidRPr="00F720A6">
              <w:rPr>
                <w:lang w:val="fr-FR"/>
              </w:rPr>
              <w:t>UNICEF</w:t>
            </w:r>
          </w:p>
        </w:tc>
        <w:tc>
          <w:tcPr>
            <w:tcW w:w="4157" w:type="pct"/>
          </w:tcPr>
          <w:p w14:paraId="26189FB2" w14:textId="77777777" w:rsidR="0060364C" w:rsidRPr="0060364C" w:rsidRDefault="0060364C" w:rsidP="00BC2033">
            <w:pPr>
              <w:spacing w:after="120"/>
            </w:pPr>
            <w:r w:rsidRPr="00F720A6">
              <w:rPr>
                <w:lang w:val="fr-FR"/>
              </w:rPr>
              <w:t>Fonds des Nations unies pour l</w:t>
            </w:r>
            <w:r w:rsidR="00254912">
              <w:rPr>
                <w:lang w:val="fr-FR"/>
              </w:rPr>
              <w:t>’</w:t>
            </w:r>
            <w:r w:rsidRPr="00F720A6">
              <w:rPr>
                <w:lang w:val="fr-FR"/>
              </w:rPr>
              <w:t>enfance</w:t>
            </w:r>
          </w:p>
        </w:tc>
      </w:tr>
      <w:tr w:rsidR="0060364C" w:rsidRPr="0060364C" w14:paraId="5FF908F6" w14:textId="77777777" w:rsidTr="00BC2033">
        <w:tc>
          <w:tcPr>
            <w:tcW w:w="843" w:type="pct"/>
          </w:tcPr>
          <w:p w14:paraId="0CA4DC39" w14:textId="77777777" w:rsidR="0060364C" w:rsidRPr="00B92948" w:rsidRDefault="0060364C" w:rsidP="00BC2033">
            <w:pPr>
              <w:spacing w:after="120"/>
            </w:pPr>
            <w:r w:rsidRPr="00F720A6">
              <w:rPr>
                <w:lang w:val="fr-FR"/>
              </w:rPr>
              <w:t>FNUAP</w:t>
            </w:r>
          </w:p>
        </w:tc>
        <w:tc>
          <w:tcPr>
            <w:tcW w:w="4157" w:type="pct"/>
          </w:tcPr>
          <w:p w14:paraId="2BA12444" w14:textId="77777777" w:rsidR="0060364C" w:rsidRPr="0060364C" w:rsidRDefault="0060364C" w:rsidP="00BC2033">
            <w:pPr>
              <w:spacing w:after="120"/>
            </w:pPr>
            <w:r w:rsidRPr="00F720A6">
              <w:rPr>
                <w:lang w:val="fr-FR"/>
              </w:rPr>
              <w:t>Fonds des Nations Unies pour la population</w:t>
            </w:r>
          </w:p>
        </w:tc>
      </w:tr>
      <w:tr w:rsidR="0060364C" w14:paraId="509E31FE" w14:textId="77777777" w:rsidTr="00BC2033">
        <w:tc>
          <w:tcPr>
            <w:tcW w:w="843" w:type="pct"/>
          </w:tcPr>
          <w:p w14:paraId="6FD9B169" w14:textId="77777777" w:rsidR="0060364C" w:rsidRPr="00B92948" w:rsidRDefault="0060364C" w:rsidP="00BC2033">
            <w:pPr>
              <w:spacing w:after="120"/>
            </w:pPr>
            <w:r w:rsidRPr="00F720A6">
              <w:rPr>
                <w:lang w:val="fr-FR"/>
              </w:rPr>
              <w:t>HCR</w:t>
            </w:r>
          </w:p>
        </w:tc>
        <w:tc>
          <w:tcPr>
            <w:tcW w:w="4157" w:type="pct"/>
          </w:tcPr>
          <w:p w14:paraId="0D780681" w14:textId="77777777" w:rsidR="0060364C" w:rsidRPr="00B92948" w:rsidRDefault="0060364C" w:rsidP="00BC2033">
            <w:pPr>
              <w:spacing w:after="120"/>
            </w:pPr>
            <w:r w:rsidRPr="00F720A6">
              <w:rPr>
                <w:lang w:val="fr-FR"/>
              </w:rPr>
              <w:t>Haut-Commissariat des Nations Unies pour les réfugiés</w:t>
            </w:r>
          </w:p>
        </w:tc>
      </w:tr>
      <w:tr w:rsidR="0060364C" w:rsidRPr="0060364C" w14:paraId="2223178B" w14:textId="77777777" w:rsidTr="00BC2033">
        <w:tc>
          <w:tcPr>
            <w:tcW w:w="843" w:type="pct"/>
          </w:tcPr>
          <w:p w14:paraId="5FF0C0C7" w14:textId="77777777" w:rsidR="0060364C" w:rsidRPr="00B92948" w:rsidRDefault="0060364C" w:rsidP="00BC2033">
            <w:pPr>
              <w:spacing w:after="120"/>
            </w:pPr>
            <w:r w:rsidRPr="00F720A6">
              <w:rPr>
                <w:lang w:val="fr-FR"/>
              </w:rPr>
              <w:t>JO</w:t>
            </w:r>
          </w:p>
        </w:tc>
        <w:tc>
          <w:tcPr>
            <w:tcW w:w="4157" w:type="pct"/>
          </w:tcPr>
          <w:p w14:paraId="32207486" w14:textId="77777777" w:rsidR="0060364C" w:rsidRPr="0060364C" w:rsidRDefault="0060364C" w:rsidP="00BC2033">
            <w:pPr>
              <w:spacing w:after="120"/>
            </w:pPr>
            <w:r w:rsidRPr="00F720A6">
              <w:rPr>
                <w:lang w:val="fr-FR"/>
              </w:rPr>
              <w:t>Journal officiel</w:t>
            </w:r>
          </w:p>
        </w:tc>
      </w:tr>
    </w:tbl>
    <w:p w14:paraId="374AE153" w14:textId="77777777" w:rsidR="003C48D6" w:rsidRPr="0060364C" w:rsidRDefault="003C48D6" w:rsidP="003C48D6"/>
    <w:p w14:paraId="4EB2FEF9" w14:textId="77777777" w:rsidR="003C48D6" w:rsidRDefault="003C48D6" w:rsidP="003C48D6">
      <w:pPr>
        <w:rPr>
          <w:lang w:val="fr-FR"/>
        </w:rPr>
      </w:pPr>
      <w:r>
        <w:rPr>
          <w:lang w:val="fr-FR"/>
        </w:rPr>
        <w:br w:type="page"/>
      </w:r>
    </w:p>
    <w:p w14:paraId="43EC7DC9" w14:textId="77777777" w:rsidR="003C48D6" w:rsidRPr="00F720A6" w:rsidRDefault="003C48D6" w:rsidP="00BC2033">
      <w:pPr>
        <w:pStyle w:val="HChG"/>
        <w:rPr>
          <w:lang w:val="fr-FR"/>
        </w:rPr>
      </w:pPr>
      <w:r w:rsidRPr="00F720A6">
        <w:rPr>
          <w:lang w:val="fr-FR"/>
        </w:rPr>
        <w:lastRenderedPageBreak/>
        <w:tab/>
      </w:r>
      <w:r w:rsidRPr="00F720A6">
        <w:rPr>
          <w:lang w:val="fr-FR"/>
        </w:rPr>
        <w:tab/>
        <w:t>Introduction</w:t>
      </w:r>
      <w:bookmarkStart w:id="1" w:name="_Toc56781404"/>
      <w:bookmarkEnd w:id="1"/>
    </w:p>
    <w:p w14:paraId="62A24E00" w14:textId="77777777" w:rsidR="003C48D6" w:rsidRPr="00F720A6" w:rsidRDefault="003C48D6" w:rsidP="00BC2033">
      <w:pPr>
        <w:pStyle w:val="SingleTxtG"/>
        <w:rPr>
          <w:lang w:val="fr-FR"/>
        </w:rPr>
      </w:pPr>
      <w:r w:rsidRPr="00F720A6">
        <w:rPr>
          <w:lang w:val="fr-FR"/>
        </w:rPr>
        <w:t>1.</w:t>
      </w:r>
      <w:r w:rsidRPr="00F720A6">
        <w:rPr>
          <w:lang w:val="fr-FR"/>
        </w:rPr>
        <w:tab/>
        <w:t>Comme suite à l</w:t>
      </w:r>
      <w:r w:rsidR="00254912">
        <w:rPr>
          <w:lang w:val="fr-FR"/>
        </w:rPr>
        <w:t>’</w:t>
      </w:r>
      <w:r w:rsidRPr="00F720A6">
        <w:rPr>
          <w:lang w:val="fr-FR"/>
        </w:rPr>
        <w:t>adhésion à la Convention relative aux droits de l</w:t>
      </w:r>
      <w:r w:rsidR="00254912">
        <w:rPr>
          <w:lang w:val="fr-FR"/>
        </w:rPr>
        <w:t>’</w:t>
      </w:r>
      <w:r w:rsidRPr="00F720A6">
        <w:rPr>
          <w:lang w:val="fr-FR"/>
        </w:rPr>
        <w:t>enfant (la</w:t>
      </w:r>
      <w:r w:rsidR="00C6644F">
        <w:rPr>
          <w:lang w:val="fr-FR"/>
        </w:rPr>
        <w:t> </w:t>
      </w:r>
      <w:r w:rsidRPr="00F720A6">
        <w:rPr>
          <w:lang w:val="fr-FR"/>
        </w:rPr>
        <w:t>Convention), par voie de succession à l</w:t>
      </w:r>
      <w:r w:rsidR="00254912">
        <w:rPr>
          <w:lang w:val="fr-FR"/>
        </w:rPr>
        <w:t>’</w:t>
      </w:r>
      <w:r w:rsidRPr="00F720A6">
        <w:rPr>
          <w:lang w:val="fr-FR"/>
        </w:rPr>
        <w:t>ex-République fédérative socialiste de Yougoslavie, conformément aux obligations en matière de rapports énoncées à l</w:t>
      </w:r>
      <w:r w:rsidR="00254912">
        <w:rPr>
          <w:lang w:val="fr-FR"/>
        </w:rPr>
        <w:t>’</w:t>
      </w:r>
      <w:r w:rsidRPr="00F720A6">
        <w:rPr>
          <w:lang w:val="fr-FR"/>
        </w:rPr>
        <w:t>article 44 de ladite Convention, et après avoir présenté son rapport initial en 1997 et son deuxième rapport périodique en 2010, la République de Macédoine du Nord a préparé et soumet au Comité son rapport valant troisième à sixième rapports périodiques, en application de ladite Convention.</w:t>
      </w:r>
    </w:p>
    <w:p w14:paraId="079748DE" w14:textId="77777777" w:rsidR="003C48D6" w:rsidRPr="00F720A6" w:rsidRDefault="003C48D6" w:rsidP="00BC2033">
      <w:pPr>
        <w:pStyle w:val="SingleTxtG"/>
        <w:rPr>
          <w:lang w:val="fr-FR"/>
        </w:rPr>
      </w:pPr>
      <w:r w:rsidRPr="00F720A6">
        <w:rPr>
          <w:lang w:val="fr-FR"/>
        </w:rPr>
        <w:t>2.</w:t>
      </w:r>
      <w:r w:rsidRPr="00F720A6">
        <w:rPr>
          <w:lang w:val="fr-FR"/>
        </w:rPr>
        <w:tab/>
        <w:t>Le rapport a été établi conformément aux directives spécifiques à l</w:t>
      </w:r>
      <w:r w:rsidR="00254912">
        <w:rPr>
          <w:lang w:val="fr-FR"/>
        </w:rPr>
        <w:t>’</w:t>
      </w:r>
      <w:r w:rsidRPr="00F720A6">
        <w:rPr>
          <w:lang w:val="fr-FR"/>
        </w:rPr>
        <w:t>instrument concernant la forme et le contenu des rapports périodiques que les États parties doivent soumettre en application de l</w:t>
      </w:r>
      <w:r w:rsidR="00254912">
        <w:rPr>
          <w:lang w:val="fr-FR"/>
        </w:rPr>
        <w:t>’</w:t>
      </w:r>
      <w:r w:rsidRPr="00F720A6">
        <w:rPr>
          <w:lang w:val="fr-FR"/>
        </w:rPr>
        <w:t>article 44 (par. 1 b)) de la Convention relative aux droits de l</w:t>
      </w:r>
      <w:r w:rsidR="00254912">
        <w:rPr>
          <w:lang w:val="fr-FR"/>
        </w:rPr>
        <w:t>’</w:t>
      </w:r>
      <w:r w:rsidRPr="00F720A6">
        <w:rPr>
          <w:lang w:val="fr-FR"/>
        </w:rPr>
        <w:t>enfant (CRC/C/5), adoptées par le Comité lors de sa 65</w:t>
      </w:r>
      <w:r w:rsidRPr="00F720A6">
        <w:rPr>
          <w:vertAlign w:val="superscript"/>
          <w:lang w:val="fr-FR"/>
        </w:rPr>
        <w:t>e</w:t>
      </w:r>
      <w:r w:rsidR="001C1645">
        <w:rPr>
          <w:lang w:val="fr-FR"/>
        </w:rPr>
        <w:t> </w:t>
      </w:r>
      <w:r w:rsidRPr="00F720A6">
        <w:rPr>
          <w:lang w:val="fr-FR"/>
        </w:rPr>
        <w:t>session (13-31 janvier 2014). Les</w:t>
      </w:r>
      <w:r w:rsidR="00BE313F">
        <w:rPr>
          <w:lang w:val="fr-FR"/>
        </w:rPr>
        <w:t> </w:t>
      </w:r>
      <w:r w:rsidRPr="00F720A6">
        <w:rPr>
          <w:lang w:val="fr-FR"/>
        </w:rPr>
        <w:t>recommandations figurant dans les observations finales du Comité des droits de l</w:t>
      </w:r>
      <w:r w:rsidR="00254912">
        <w:rPr>
          <w:lang w:val="fr-FR"/>
        </w:rPr>
        <w:t>’</w:t>
      </w:r>
      <w:r w:rsidRPr="00F720A6">
        <w:rPr>
          <w:lang w:val="fr-FR"/>
        </w:rPr>
        <w:t xml:space="preserve">enfant, adoptées le 11 juin 2010 (CRC/C/MKD/CO/2), ont également été prises en considération dans la préparation du présent rapport valant troisième à sixième rapports périodiques. </w:t>
      </w:r>
    </w:p>
    <w:p w14:paraId="51D33195" w14:textId="77777777" w:rsidR="003C48D6" w:rsidRPr="00F720A6" w:rsidRDefault="003C48D6" w:rsidP="00BC2033">
      <w:pPr>
        <w:pStyle w:val="SingleTxtG"/>
        <w:rPr>
          <w:lang w:val="fr-FR"/>
        </w:rPr>
      </w:pPr>
      <w:r w:rsidRPr="00F720A6">
        <w:rPr>
          <w:lang w:val="fr-FR"/>
        </w:rPr>
        <w:t>3.</w:t>
      </w:r>
      <w:r w:rsidRPr="00F720A6">
        <w:rPr>
          <w:lang w:val="fr-FR"/>
        </w:rPr>
        <w:tab/>
        <w:t>Les institutions suivantes ont participé à la préparation du rapport : Ministère du travail et de la politique sociale, Ministère de la justice, Ministère de l</w:t>
      </w:r>
      <w:r w:rsidR="00254912">
        <w:rPr>
          <w:lang w:val="fr-FR"/>
        </w:rPr>
        <w:t>’</w:t>
      </w:r>
      <w:r w:rsidRPr="00F720A6">
        <w:rPr>
          <w:lang w:val="fr-FR"/>
        </w:rPr>
        <w:t>intérieur, Ministère de l</w:t>
      </w:r>
      <w:r w:rsidR="00254912">
        <w:rPr>
          <w:lang w:val="fr-FR"/>
        </w:rPr>
        <w:t>’</w:t>
      </w:r>
      <w:r w:rsidRPr="00F720A6">
        <w:rPr>
          <w:lang w:val="fr-FR"/>
        </w:rPr>
        <w:t>éducation et des sciences, Ministère de la défense, Ministère de la santé et le Bureau national de statistique. Le rapport porte sur la période allant de 2010 à 2018.</w:t>
      </w:r>
    </w:p>
    <w:p w14:paraId="2E21FF2A" w14:textId="77777777" w:rsidR="003C48D6" w:rsidRPr="00F720A6" w:rsidRDefault="003C48D6" w:rsidP="00BC2033">
      <w:pPr>
        <w:pStyle w:val="SingleTxtG"/>
        <w:rPr>
          <w:bCs/>
          <w:lang w:val="fr-FR"/>
        </w:rPr>
      </w:pPr>
      <w:r w:rsidRPr="00F720A6">
        <w:rPr>
          <w:lang w:val="fr-FR"/>
        </w:rPr>
        <w:t>4.</w:t>
      </w:r>
      <w:r w:rsidRPr="00F720A6">
        <w:rPr>
          <w:lang w:val="fr-FR"/>
        </w:rPr>
        <w:tab/>
        <w:t>Avant que le projet de rapport ne soit soumis à l</w:t>
      </w:r>
      <w:r w:rsidR="00254912">
        <w:rPr>
          <w:lang w:val="fr-FR"/>
        </w:rPr>
        <w:t>’</w:t>
      </w:r>
      <w:r w:rsidRPr="00F720A6">
        <w:rPr>
          <w:lang w:val="fr-FR"/>
        </w:rPr>
        <w:t>approbation du Gouvernement, il a été distribué, pour commentaires, aux organisations de la société civile, et a été soumis également au bureau de l</w:t>
      </w:r>
      <w:r w:rsidR="00254912">
        <w:rPr>
          <w:lang w:val="fr-FR"/>
        </w:rPr>
        <w:t>’</w:t>
      </w:r>
      <w:r w:rsidRPr="00F720A6">
        <w:rPr>
          <w:lang w:val="fr-FR"/>
        </w:rPr>
        <w:t>UNICEF en République de Macédoine du Nord.</w:t>
      </w:r>
    </w:p>
    <w:p w14:paraId="6946C685" w14:textId="77777777" w:rsidR="003C48D6" w:rsidRPr="00F720A6" w:rsidRDefault="003C48D6" w:rsidP="009B0759">
      <w:pPr>
        <w:pStyle w:val="H1G"/>
        <w:rPr>
          <w:lang w:val="fr-FR"/>
        </w:rPr>
      </w:pPr>
      <w:r w:rsidRPr="00F720A6">
        <w:rPr>
          <w:lang w:val="fr-FR"/>
        </w:rPr>
        <w:tab/>
        <w:t>1.</w:t>
      </w:r>
      <w:r w:rsidRPr="00F720A6">
        <w:rPr>
          <w:lang w:val="fr-FR"/>
        </w:rPr>
        <w:tab/>
        <w:t>Mesures d</w:t>
      </w:r>
      <w:r w:rsidR="00254912">
        <w:rPr>
          <w:lang w:val="fr-FR"/>
        </w:rPr>
        <w:t>’</w:t>
      </w:r>
      <w:r w:rsidRPr="00F720A6">
        <w:rPr>
          <w:lang w:val="fr-FR"/>
        </w:rPr>
        <w:t xml:space="preserve">application générales </w:t>
      </w:r>
      <w:r w:rsidR="009B0759">
        <w:rPr>
          <w:lang w:val="fr-FR"/>
        </w:rPr>
        <w:br/>
      </w:r>
      <w:r w:rsidRPr="00F720A6">
        <w:rPr>
          <w:lang w:val="fr-FR"/>
        </w:rPr>
        <w:t>(art.</w:t>
      </w:r>
      <w:r w:rsidR="00BE313F">
        <w:rPr>
          <w:lang w:val="fr-FR"/>
        </w:rPr>
        <w:t> </w:t>
      </w:r>
      <w:r w:rsidRPr="00F720A6">
        <w:rPr>
          <w:lang w:val="fr-FR"/>
        </w:rPr>
        <w:t>4, 42 et 44 (par. 6) de la Convention)</w:t>
      </w:r>
      <w:bookmarkStart w:id="2" w:name="_Toc56781405"/>
      <w:bookmarkEnd w:id="2"/>
    </w:p>
    <w:p w14:paraId="5B3ADB78" w14:textId="77777777" w:rsidR="003C48D6" w:rsidRPr="00F720A6" w:rsidRDefault="003C48D6" w:rsidP="00BC2033">
      <w:pPr>
        <w:pStyle w:val="SingleTxtG"/>
        <w:rPr>
          <w:lang w:val="fr-FR"/>
        </w:rPr>
      </w:pPr>
      <w:r w:rsidRPr="00F720A6">
        <w:rPr>
          <w:lang w:val="fr-FR"/>
        </w:rPr>
        <w:t>5.</w:t>
      </w:r>
      <w:r w:rsidRPr="00F720A6">
        <w:rPr>
          <w:lang w:val="fr-FR"/>
        </w:rPr>
        <w:tab/>
        <w:t>Conformément à la loi sur le Médiateur, une unité spéciale du Bureau du Médiateur suit la situation et travaille à la protection des droits de l</w:t>
      </w:r>
      <w:r w:rsidR="00254912">
        <w:rPr>
          <w:lang w:val="fr-FR"/>
        </w:rPr>
        <w:t>’</w:t>
      </w:r>
      <w:r w:rsidRPr="00F720A6">
        <w:rPr>
          <w:lang w:val="fr-FR"/>
        </w:rPr>
        <w:t>enfant. Cette unité a pour mandat de recevoir et traiter les demandes déposées par les enfants ou leurs représentants. Pour</w:t>
      </w:r>
      <w:r w:rsidR="00BE313F">
        <w:rPr>
          <w:lang w:val="fr-FR"/>
        </w:rPr>
        <w:t> </w:t>
      </w:r>
      <w:r w:rsidRPr="00F720A6">
        <w:rPr>
          <w:lang w:val="fr-FR"/>
        </w:rPr>
        <w:t>mettre le Bureau du Médiateur en conformité avec les critères relatifs aux institutions nationales des droits de l</w:t>
      </w:r>
      <w:r w:rsidR="00254912">
        <w:rPr>
          <w:lang w:val="fr-FR"/>
        </w:rPr>
        <w:t>’</w:t>
      </w:r>
      <w:r w:rsidRPr="00F720A6">
        <w:rPr>
          <w:lang w:val="fr-FR"/>
        </w:rPr>
        <w:t>homme de statut « A », la République de Macédoine du Nord a modifié et complété la loi sur le Médiateur en 2016. Ces modifications et compléments garantissent ce qui suit :</w:t>
      </w:r>
    </w:p>
    <w:p w14:paraId="7C026DCC" w14:textId="77777777" w:rsidR="003C48D6" w:rsidRPr="00F720A6" w:rsidRDefault="003C48D6" w:rsidP="009B0759">
      <w:pPr>
        <w:pStyle w:val="Bullet1G"/>
        <w:rPr>
          <w:lang w:val="fr-FR"/>
        </w:rPr>
      </w:pPr>
      <w:r w:rsidRPr="00F720A6">
        <w:rPr>
          <w:lang w:val="fr-FR"/>
        </w:rPr>
        <w:t>L</w:t>
      </w:r>
      <w:r w:rsidR="00254912">
        <w:rPr>
          <w:lang w:val="fr-FR"/>
        </w:rPr>
        <w:t>’</w:t>
      </w:r>
      <w:r w:rsidRPr="00F720A6">
        <w:rPr>
          <w:lang w:val="fr-FR"/>
        </w:rPr>
        <w:t>harmonisation de la loi avec les Principes concernant le statut des institutions nationales pour la promotion et la protection des droits de l</w:t>
      </w:r>
      <w:r w:rsidR="00254912">
        <w:rPr>
          <w:lang w:val="fr-FR"/>
        </w:rPr>
        <w:t>’</w:t>
      </w:r>
      <w:r w:rsidRPr="00F720A6">
        <w:rPr>
          <w:lang w:val="fr-FR"/>
        </w:rPr>
        <w:t>homme (Principes de Paris) grâce à l</w:t>
      </w:r>
      <w:r w:rsidR="00254912">
        <w:rPr>
          <w:lang w:val="fr-FR"/>
        </w:rPr>
        <w:t>’</w:t>
      </w:r>
      <w:r w:rsidRPr="00F720A6">
        <w:rPr>
          <w:lang w:val="fr-FR"/>
        </w:rPr>
        <w:t>introduction d</w:t>
      </w:r>
      <w:r w:rsidR="00254912">
        <w:rPr>
          <w:lang w:val="fr-FR"/>
        </w:rPr>
        <w:t>’</w:t>
      </w:r>
      <w:r w:rsidRPr="00F720A6">
        <w:rPr>
          <w:lang w:val="fr-FR"/>
        </w:rPr>
        <w:t>un volet de promotion des droits de l</w:t>
      </w:r>
      <w:r w:rsidR="00254912">
        <w:rPr>
          <w:lang w:val="fr-FR"/>
        </w:rPr>
        <w:t>’</w:t>
      </w:r>
      <w:r w:rsidRPr="00F720A6">
        <w:rPr>
          <w:lang w:val="fr-FR"/>
        </w:rPr>
        <w:t>homme et d</w:t>
      </w:r>
      <w:r w:rsidR="00254912">
        <w:rPr>
          <w:lang w:val="fr-FR"/>
        </w:rPr>
        <w:t>’</w:t>
      </w:r>
      <w:r w:rsidRPr="00F720A6">
        <w:rPr>
          <w:lang w:val="fr-FR"/>
        </w:rPr>
        <w:t>une approche pluraliste dans la sélection des cadres de l</w:t>
      </w:r>
      <w:r w:rsidR="00254912">
        <w:rPr>
          <w:lang w:val="fr-FR"/>
        </w:rPr>
        <w:t>’</w:t>
      </w:r>
      <w:r w:rsidRPr="00F720A6">
        <w:rPr>
          <w:lang w:val="fr-FR"/>
        </w:rPr>
        <w:t>institution et à la garantie de l</w:t>
      </w:r>
      <w:r w:rsidR="00254912">
        <w:rPr>
          <w:lang w:val="fr-FR"/>
        </w:rPr>
        <w:t>’</w:t>
      </w:r>
      <w:r w:rsidRPr="00F720A6">
        <w:rPr>
          <w:lang w:val="fr-FR"/>
        </w:rPr>
        <w:t>indépendance financière de celle-ci</w:t>
      </w:r>
      <w:r w:rsidR="00A60007">
        <w:rPr>
          <w:lang w:val="fr-FR"/>
        </w:rPr>
        <w:t> </w:t>
      </w:r>
      <w:r w:rsidRPr="00F720A6">
        <w:rPr>
          <w:lang w:val="fr-FR"/>
        </w:rPr>
        <w:t>;</w:t>
      </w:r>
    </w:p>
    <w:p w14:paraId="043B17D6" w14:textId="77777777" w:rsidR="003C48D6" w:rsidRPr="00F720A6" w:rsidRDefault="003C48D6" w:rsidP="009B0759">
      <w:pPr>
        <w:pStyle w:val="Bullet1G"/>
        <w:rPr>
          <w:lang w:val="fr-FR"/>
        </w:rPr>
      </w:pPr>
      <w:r w:rsidRPr="00F720A6">
        <w:rPr>
          <w:lang w:val="fr-FR"/>
        </w:rPr>
        <w:t>L</w:t>
      </w:r>
      <w:r w:rsidR="00254912">
        <w:rPr>
          <w:lang w:val="fr-FR"/>
        </w:rPr>
        <w:t>’</w:t>
      </w:r>
      <w:r w:rsidRPr="00F720A6">
        <w:rPr>
          <w:lang w:val="fr-FR"/>
        </w:rPr>
        <w:t>introduction du volet de prévention, l</w:t>
      </w:r>
      <w:r w:rsidR="00254912">
        <w:rPr>
          <w:lang w:val="fr-FR"/>
        </w:rPr>
        <w:t>’</w:t>
      </w:r>
      <w:r w:rsidRPr="00F720A6">
        <w:rPr>
          <w:lang w:val="fr-FR"/>
        </w:rPr>
        <w:t>accent étant mis sur la protection toute particulière des droits de l</w:t>
      </w:r>
      <w:r w:rsidR="00254912">
        <w:rPr>
          <w:lang w:val="fr-FR"/>
        </w:rPr>
        <w:t>’</w:t>
      </w:r>
      <w:r w:rsidRPr="00F720A6">
        <w:rPr>
          <w:lang w:val="fr-FR"/>
        </w:rPr>
        <w:t>enfant ;</w:t>
      </w:r>
    </w:p>
    <w:p w14:paraId="6A0E0F6F" w14:textId="77777777" w:rsidR="003C48D6" w:rsidRPr="00F720A6" w:rsidRDefault="003C48D6" w:rsidP="009B0759">
      <w:pPr>
        <w:pStyle w:val="Bullet1G"/>
        <w:rPr>
          <w:lang w:val="fr-FR"/>
        </w:rPr>
      </w:pPr>
      <w:r w:rsidRPr="00F720A6">
        <w:rPr>
          <w:lang w:val="fr-FR"/>
        </w:rPr>
        <w:t>L</w:t>
      </w:r>
      <w:r w:rsidR="00254912">
        <w:rPr>
          <w:lang w:val="fr-FR"/>
        </w:rPr>
        <w:t>’</w:t>
      </w:r>
      <w:r w:rsidRPr="00F720A6">
        <w:rPr>
          <w:lang w:val="fr-FR"/>
        </w:rPr>
        <w:t>harmonisation avec les dispositions du Protocole facultatif se rapportant à la Convention contre la torture et autres peines ou traitements cruels, inhumains ou dégradants qui, de son côté, facilite le renforcement du mandat du Médiateur en tant que mécanisme national de prévention dans ce domaine ;</w:t>
      </w:r>
    </w:p>
    <w:p w14:paraId="3872F2FC" w14:textId="77777777" w:rsidR="003C48D6" w:rsidRPr="00F720A6" w:rsidRDefault="003C48D6" w:rsidP="009B0759">
      <w:pPr>
        <w:pStyle w:val="Bullet1G"/>
        <w:rPr>
          <w:lang w:val="fr-FR"/>
        </w:rPr>
      </w:pPr>
      <w:r w:rsidRPr="00F720A6">
        <w:rPr>
          <w:lang w:val="fr-FR"/>
        </w:rPr>
        <w:t>L</w:t>
      </w:r>
      <w:r w:rsidR="00254912">
        <w:rPr>
          <w:lang w:val="fr-FR"/>
        </w:rPr>
        <w:t>’</w:t>
      </w:r>
      <w:r w:rsidRPr="00F720A6">
        <w:rPr>
          <w:lang w:val="fr-FR"/>
        </w:rPr>
        <w:t>introduction de l</w:t>
      </w:r>
      <w:r w:rsidR="00254912">
        <w:rPr>
          <w:lang w:val="fr-FR"/>
        </w:rPr>
        <w:t>’</w:t>
      </w:r>
      <w:r w:rsidRPr="00F720A6">
        <w:rPr>
          <w:lang w:val="fr-FR"/>
        </w:rPr>
        <w:t>obligation, pour le Médiateur, de faire figurer dans son rapport annuel des recommandations visant à surmonter les lacunes constatées, ainsi que pour le Parlement et le Gouvernement celle d</w:t>
      </w:r>
      <w:r w:rsidR="00254912">
        <w:rPr>
          <w:lang w:val="fr-FR"/>
        </w:rPr>
        <w:t>’</w:t>
      </w:r>
      <w:r w:rsidRPr="00F720A6">
        <w:rPr>
          <w:lang w:val="fr-FR"/>
        </w:rPr>
        <w:t>en assumer la responsabilité, d</w:t>
      </w:r>
      <w:r w:rsidR="00254912">
        <w:rPr>
          <w:lang w:val="fr-FR"/>
        </w:rPr>
        <w:t>’</w:t>
      </w:r>
      <w:r w:rsidRPr="00F720A6">
        <w:rPr>
          <w:lang w:val="fr-FR"/>
        </w:rPr>
        <w:t>agir sur la base des recommandations du Médiateur et d</w:t>
      </w:r>
      <w:r w:rsidR="00254912">
        <w:rPr>
          <w:lang w:val="fr-FR"/>
        </w:rPr>
        <w:t>’</w:t>
      </w:r>
      <w:r w:rsidRPr="00F720A6">
        <w:rPr>
          <w:lang w:val="fr-FR"/>
        </w:rPr>
        <w:t>assurer un retour d</w:t>
      </w:r>
      <w:r w:rsidR="00254912">
        <w:rPr>
          <w:lang w:val="fr-FR"/>
        </w:rPr>
        <w:t>’</w:t>
      </w:r>
      <w:r w:rsidRPr="00F720A6">
        <w:rPr>
          <w:lang w:val="fr-FR"/>
        </w:rPr>
        <w:t xml:space="preserve">information sur les mesures spécifiquement prises à cet égard ; </w:t>
      </w:r>
    </w:p>
    <w:p w14:paraId="2CE08956" w14:textId="77777777" w:rsidR="003C48D6" w:rsidRPr="00F720A6" w:rsidRDefault="003C48D6" w:rsidP="009B0759">
      <w:pPr>
        <w:pStyle w:val="Bullet1G"/>
        <w:rPr>
          <w:lang w:val="fr-FR"/>
        </w:rPr>
      </w:pPr>
      <w:r w:rsidRPr="00F720A6">
        <w:rPr>
          <w:lang w:val="fr-FR"/>
        </w:rPr>
        <w:t>L</w:t>
      </w:r>
      <w:r w:rsidR="00254912">
        <w:rPr>
          <w:lang w:val="fr-FR"/>
        </w:rPr>
        <w:t>’</w:t>
      </w:r>
      <w:r w:rsidRPr="00F720A6">
        <w:rPr>
          <w:lang w:val="fr-FR"/>
        </w:rPr>
        <w:t>habilitation du Médiateur à déposer une demande auprès du Comité d</w:t>
      </w:r>
      <w:r w:rsidR="00254912">
        <w:rPr>
          <w:lang w:val="fr-FR"/>
        </w:rPr>
        <w:t>’</w:t>
      </w:r>
      <w:r w:rsidRPr="00F720A6">
        <w:rPr>
          <w:lang w:val="fr-FR"/>
        </w:rPr>
        <w:t>enquête permanent du Parlement pour la protection des droits humains et des libertés, aux fins d</w:t>
      </w:r>
      <w:r w:rsidR="00254912">
        <w:rPr>
          <w:lang w:val="fr-FR"/>
        </w:rPr>
        <w:t>’</w:t>
      </w:r>
      <w:r w:rsidRPr="00F720A6">
        <w:rPr>
          <w:lang w:val="fr-FR"/>
        </w:rPr>
        <w:t xml:space="preserve">examiner les cas de violation des droits constitutionnels et juridiques et de prendre les mesures nécessaires ; </w:t>
      </w:r>
    </w:p>
    <w:p w14:paraId="3D016F46" w14:textId="77777777" w:rsidR="003C48D6" w:rsidRPr="00F720A6" w:rsidRDefault="003C48D6" w:rsidP="009B0759">
      <w:pPr>
        <w:pStyle w:val="Bullet1G"/>
        <w:rPr>
          <w:lang w:val="fr-FR"/>
        </w:rPr>
      </w:pPr>
      <w:r w:rsidRPr="00F720A6">
        <w:rPr>
          <w:lang w:val="fr-FR"/>
        </w:rPr>
        <w:lastRenderedPageBreak/>
        <w:t>La création d</w:t>
      </w:r>
      <w:r w:rsidR="00254912">
        <w:rPr>
          <w:lang w:val="fr-FR"/>
        </w:rPr>
        <w:t>’</w:t>
      </w:r>
      <w:r w:rsidRPr="00F720A6">
        <w:rPr>
          <w:lang w:val="fr-FR"/>
        </w:rPr>
        <w:t>un dispositif supplémentaire aux fins de la mise en œuvre des mesures avancées par les rapports spéciaux sur les obstacles qui entravent le travail du Médiateur et la non prise en compte des demandes, propositions, opinions, recommandations ou réflexions de cette institution, et le refus d</w:t>
      </w:r>
      <w:r w:rsidR="00254912">
        <w:rPr>
          <w:lang w:val="fr-FR"/>
        </w:rPr>
        <w:t>’</w:t>
      </w:r>
      <w:r w:rsidRPr="00F720A6">
        <w:rPr>
          <w:lang w:val="fr-FR"/>
        </w:rPr>
        <w:t>agir en conséquence.</w:t>
      </w:r>
    </w:p>
    <w:p w14:paraId="7B16B1C2" w14:textId="77777777" w:rsidR="003C48D6" w:rsidRPr="00F720A6" w:rsidRDefault="003C48D6" w:rsidP="009B0759">
      <w:pPr>
        <w:pStyle w:val="SingleTxtG"/>
        <w:rPr>
          <w:lang w:val="fr-FR"/>
        </w:rPr>
      </w:pPr>
      <w:r w:rsidRPr="00F720A6">
        <w:rPr>
          <w:lang w:val="fr-FR"/>
        </w:rPr>
        <w:t>6.</w:t>
      </w:r>
      <w:r w:rsidRPr="00F720A6">
        <w:rPr>
          <w:lang w:val="fr-FR"/>
        </w:rPr>
        <w:tab/>
        <w:t xml:space="preserve">Les formations suivantes ont été organisées pour les professionnels travaillant avec et pour les enfants dans le cadre de la Convention : </w:t>
      </w:r>
    </w:p>
    <w:p w14:paraId="30AE5DCF" w14:textId="77777777" w:rsidR="003C48D6" w:rsidRPr="00F720A6" w:rsidRDefault="003C48D6" w:rsidP="009B0759">
      <w:pPr>
        <w:pStyle w:val="Bullet1G"/>
        <w:rPr>
          <w:lang w:val="fr-FR"/>
        </w:rPr>
      </w:pPr>
      <w:r w:rsidRPr="00F720A6">
        <w:rPr>
          <w:lang w:val="fr-FR"/>
        </w:rPr>
        <w:t>Formation de formateurs visant les inspecteurs du travail : mise en pratique des indicateurs pour l</w:t>
      </w:r>
      <w:r w:rsidR="00254912">
        <w:rPr>
          <w:lang w:val="fr-FR"/>
        </w:rPr>
        <w:t>’</w:t>
      </w:r>
      <w:r w:rsidRPr="00F720A6">
        <w:rPr>
          <w:lang w:val="fr-FR"/>
        </w:rPr>
        <w:t>identification des enfants victimes de la traite des êtres humains à des fins d</w:t>
      </w:r>
      <w:r w:rsidR="00254912">
        <w:rPr>
          <w:lang w:val="fr-FR"/>
        </w:rPr>
        <w:t>’</w:t>
      </w:r>
      <w:r w:rsidRPr="00F720A6">
        <w:rPr>
          <w:lang w:val="fr-FR"/>
        </w:rPr>
        <w:t>exploitation par le travail ;</w:t>
      </w:r>
    </w:p>
    <w:p w14:paraId="2C518B44" w14:textId="77777777" w:rsidR="003C48D6" w:rsidRPr="00F720A6" w:rsidRDefault="003C48D6" w:rsidP="009B0759">
      <w:pPr>
        <w:pStyle w:val="Bullet1G"/>
        <w:rPr>
          <w:lang w:val="fr-FR"/>
        </w:rPr>
      </w:pPr>
      <w:r w:rsidRPr="00F720A6">
        <w:rPr>
          <w:lang w:val="fr-FR"/>
        </w:rPr>
        <w:t xml:space="preserve">Formations spécialisées visant 75 policiers (principalement des inspecteurs de la délinquance juvénile) : reconnaître/identifier et orienter les enfants potentiellement victimes de la traite des êtres humains ; </w:t>
      </w:r>
    </w:p>
    <w:p w14:paraId="4F588AF7" w14:textId="77777777" w:rsidR="003C48D6" w:rsidRPr="00F720A6" w:rsidRDefault="003C48D6" w:rsidP="009B0759">
      <w:pPr>
        <w:pStyle w:val="Bullet1G"/>
        <w:rPr>
          <w:lang w:val="fr-FR"/>
        </w:rPr>
      </w:pPr>
      <w:r w:rsidRPr="00F720A6">
        <w:rPr>
          <w:lang w:val="fr-FR"/>
        </w:rPr>
        <w:t xml:space="preserve">Formations sur la dimension de genre dans la traite des êtres humains ; ces formations ont été organisées pour les policiers, les travailleurs sociaux et les ONG ; </w:t>
      </w:r>
    </w:p>
    <w:p w14:paraId="12D808B7" w14:textId="77777777" w:rsidR="003C48D6" w:rsidRPr="00F720A6" w:rsidRDefault="003C48D6" w:rsidP="009B0759">
      <w:pPr>
        <w:pStyle w:val="Bullet1G"/>
        <w:rPr>
          <w:lang w:val="fr-FR"/>
        </w:rPr>
      </w:pPr>
      <w:r w:rsidRPr="00F720A6">
        <w:rPr>
          <w:lang w:val="fr-FR"/>
        </w:rPr>
        <w:t>Formation des travailleurs sociaux sur les indicateurs d</w:t>
      </w:r>
      <w:r w:rsidR="00254912">
        <w:rPr>
          <w:lang w:val="fr-FR"/>
        </w:rPr>
        <w:t>’</w:t>
      </w:r>
      <w:r w:rsidRPr="00F720A6">
        <w:rPr>
          <w:lang w:val="fr-FR"/>
        </w:rPr>
        <w:t xml:space="preserve">identification des enfants victimes de la traite des êtres humains ; les travailleurs sociaux formés continueront de servir de référents dans leurs institutions pour les questions liées à la traite des êtres humains. </w:t>
      </w:r>
    </w:p>
    <w:p w14:paraId="04D305F0" w14:textId="77777777" w:rsidR="003C48D6" w:rsidRPr="009B0759" w:rsidRDefault="003C48D6" w:rsidP="009B0759">
      <w:pPr>
        <w:pStyle w:val="SingleTxtG"/>
        <w:rPr>
          <w:lang w:val="fr-FR"/>
        </w:rPr>
      </w:pPr>
      <w:r w:rsidRPr="009B0759">
        <w:rPr>
          <w:lang w:val="fr-FR"/>
        </w:rPr>
        <w:t>7.</w:t>
      </w:r>
      <w:r w:rsidRPr="009B0759">
        <w:rPr>
          <w:lang w:val="fr-FR"/>
        </w:rPr>
        <w:tab/>
        <w:t>Conformément à la Convention, le thème des droits de l</w:t>
      </w:r>
      <w:r w:rsidR="00254912">
        <w:rPr>
          <w:lang w:val="fr-FR"/>
        </w:rPr>
        <w:t>’</w:t>
      </w:r>
      <w:r w:rsidRPr="009B0759">
        <w:rPr>
          <w:lang w:val="fr-FR"/>
        </w:rPr>
        <w:t>enfant a été introduit dans les programmes de l</w:t>
      </w:r>
      <w:r w:rsidR="00254912">
        <w:rPr>
          <w:lang w:val="fr-FR"/>
        </w:rPr>
        <w:t>’</w:t>
      </w:r>
      <w:r w:rsidRPr="009B0759">
        <w:rPr>
          <w:lang w:val="fr-FR"/>
        </w:rPr>
        <w:t>enseignement primaire. L</w:t>
      </w:r>
      <w:r w:rsidR="00254912">
        <w:rPr>
          <w:lang w:val="fr-FR"/>
        </w:rPr>
        <w:t>’</w:t>
      </w:r>
      <w:r w:rsidRPr="009B0759">
        <w:rPr>
          <w:lang w:val="fr-FR"/>
        </w:rPr>
        <w:t>objectif est de permettre aux enfants de connaître et comprendre la Convention et son application et de les sensibiliser à l</w:t>
      </w:r>
      <w:r w:rsidR="00254912">
        <w:rPr>
          <w:lang w:val="fr-FR"/>
        </w:rPr>
        <w:t>’</w:t>
      </w:r>
      <w:r w:rsidRPr="009B0759">
        <w:rPr>
          <w:lang w:val="fr-FR"/>
        </w:rPr>
        <w:t>importance des droits qu</w:t>
      </w:r>
      <w:r w:rsidR="00254912">
        <w:rPr>
          <w:lang w:val="fr-FR"/>
        </w:rPr>
        <w:t>’</w:t>
      </w:r>
      <w:r w:rsidRPr="009B0759">
        <w:rPr>
          <w:lang w:val="fr-FR"/>
        </w:rPr>
        <w:t>ils détiennent en tant qu</w:t>
      </w:r>
      <w:r w:rsidR="00254912">
        <w:rPr>
          <w:lang w:val="fr-FR"/>
        </w:rPr>
        <w:t>’</w:t>
      </w:r>
      <w:r w:rsidRPr="009B0759">
        <w:rPr>
          <w:lang w:val="fr-FR"/>
        </w:rPr>
        <w:t>individus. Cette question est enseignée dans le cadre des programmes de sciences sociales et d</w:t>
      </w:r>
      <w:r w:rsidR="00254912">
        <w:rPr>
          <w:lang w:val="fr-FR"/>
        </w:rPr>
        <w:t>’</w:t>
      </w:r>
      <w:r w:rsidRPr="009B0759">
        <w:rPr>
          <w:lang w:val="fr-FR"/>
        </w:rPr>
        <w:t>éducation civique de l</w:t>
      </w:r>
      <w:r w:rsidR="00254912">
        <w:rPr>
          <w:lang w:val="fr-FR"/>
        </w:rPr>
        <w:t>’</w:t>
      </w:r>
      <w:r w:rsidRPr="009B0759">
        <w:rPr>
          <w:lang w:val="fr-FR"/>
        </w:rPr>
        <w:t xml:space="preserve">enseignement primaire. </w:t>
      </w:r>
    </w:p>
    <w:p w14:paraId="2E97772B" w14:textId="77777777" w:rsidR="003C48D6" w:rsidRPr="009B0759" w:rsidRDefault="003C48D6" w:rsidP="009B0759">
      <w:pPr>
        <w:pStyle w:val="SingleTxtG"/>
        <w:rPr>
          <w:lang w:val="fr-FR"/>
        </w:rPr>
      </w:pPr>
      <w:r w:rsidRPr="009B0759">
        <w:rPr>
          <w:lang w:val="fr-FR"/>
        </w:rPr>
        <w:t>8.</w:t>
      </w:r>
      <w:r w:rsidRPr="009B0759">
        <w:rPr>
          <w:lang w:val="fr-FR"/>
        </w:rPr>
        <w:tab/>
        <w:t>On trouvera ci-après, pour les différents articles de la Convention, des informations sur l</w:t>
      </w:r>
      <w:r w:rsidR="00254912">
        <w:rPr>
          <w:lang w:val="fr-FR"/>
        </w:rPr>
        <w:t>’</w:t>
      </w:r>
      <w:r w:rsidRPr="009B0759">
        <w:rPr>
          <w:lang w:val="fr-FR"/>
        </w:rPr>
        <w:t>harmonisation de la législation et des pratiques internes avec les dispositions de la Convention et des Protocoles.</w:t>
      </w:r>
    </w:p>
    <w:p w14:paraId="03C38231" w14:textId="77777777" w:rsidR="003C48D6" w:rsidRPr="009B0759" w:rsidRDefault="003C48D6" w:rsidP="009B0759">
      <w:pPr>
        <w:pStyle w:val="H1G"/>
      </w:pPr>
      <w:r w:rsidRPr="009B0759">
        <w:tab/>
        <w:t>2.</w:t>
      </w:r>
      <w:r w:rsidRPr="009B0759">
        <w:tab/>
        <w:t>Définition de l</w:t>
      </w:r>
      <w:r w:rsidR="00254912">
        <w:t>’</w:t>
      </w:r>
      <w:r w:rsidRPr="009B0759">
        <w:t>enfant (art.</w:t>
      </w:r>
      <w:r w:rsidR="000F4004">
        <w:t> </w:t>
      </w:r>
      <w:r w:rsidRPr="009B0759">
        <w:t>1</w:t>
      </w:r>
      <w:r w:rsidRPr="000F4004">
        <w:rPr>
          <w:vertAlign w:val="superscript"/>
        </w:rPr>
        <w:t>er</w:t>
      </w:r>
      <w:r w:rsidRPr="009B0759">
        <w:t>)</w:t>
      </w:r>
      <w:bookmarkStart w:id="3" w:name="_Toc56781406"/>
      <w:bookmarkEnd w:id="3"/>
    </w:p>
    <w:p w14:paraId="7E6655E8" w14:textId="77777777" w:rsidR="003C48D6" w:rsidRPr="009B0759" w:rsidRDefault="003C48D6" w:rsidP="009B0759">
      <w:pPr>
        <w:pStyle w:val="SingleTxtG"/>
        <w:rPr>
          <w:lang w:val="fr-FR"/>
        </w:rPr>
      </w:pPr>
      <w:r w:rsidRPr="009B0759">
        <w:rPr>
          <w:lang w:val="fr-FR"/>
        </w:rPr>
        <w:t>9.</w:t>
      </w:r>
      <w:r w:rsidRPr="009B0759">
        <w:rPr>
          <w:lang w:val="fr-FR"/>
        </w:rPr>
        <w:tab/>
        <w:t>L</w:t>
      </w:r>
      <w:r w:rsidR="00254912">
        <w:rPr>
          <w:lang w:val="fr-FR"/>
        </w:rPr>
        <w:t>’</w:t>
      </w:r>
      <w:r w:rsidRPr="009B0759">
        <w:rPr>
          <w:lang w:val="fr-FR"/>
        </w:rPr>
        <w:t>article 19 de la loi sur la justice pour mineurs</w:t>
      </w:r>
      <w:r w:rsidR="00E54ED8">
        <w:rPr>
          <w:rStyle w:val="Appelnotedebasdep"/>
        </w:rPr>
        <w:footnoteReference w:id="3"/>
      </w:r>
      <w:r w:rsidRPr="009B0759">
        <w:rPr>
          <w:lang w:val="fr-FR"/>
        </w:rPr>
        <w:t xml:space="preserve"> définit l</w:t>
      </w:r>
      <w:r w:rsidR="00254912">
        <w:rPr>
          <w:lang w:val="fr-FR"/>
        </w:rPr>
        <w:t>’</w:t>
      </w:r>
      <w:r w:rsidRPr="009B0759">
        <w:rPr>
          <w:lang w:val="fr-FR"/>
        </w:rPr>
        <w:t xml:space="preserve">enfant comme toute personne âgée de moins de 18 ans. </w:t>
      </w:r>
    </w:p>
    <w:p w14:paraId="36FAA9C1" w14:textId="77777777" w:rsidR="003C48D6" w:rsidRPr="009B0759" w:rsidRDefault="003C48D6" w:rsidP="009B0759">
      <w:pPr>
        <w:pStyle w:val="SingleTxtG"/>
        <w:rPr>
          <w:lang w:val="fr-FR"/>
        </w:rPr>
      </w:pPr>
      <w:r w:rsidRPr="009B0759">
        <w:rPr>
          <w:lang w:val="fr-FR"/>
        </w:rPr>
        <w:t>10.</w:t>
      </w:r>
      <w:r w:rsidRPr="009B0759">
        <w:rPr>
          <w:lang w:val="fr-FR"/>
        </w:rPr>
        <w:tab/>
        <w:t>En ce qui concerne l</w:t>
      </w:r>
      <w:r w:rsidR="00254912">
        <w:rPr>
          <w:lang w:val="fr-FR"/>
        </w:rPr>
        <w:t>’</w:t>
      </w:r>
      <w:r w:rsidRPr="009B0759">
        <w:rPr>
          <w:lang w:val="fr-FR"/>
        </w:rPr>
        <w:t>âge minimum des filles comme des garçons pour contracter mariage, la loi sur la famille</w:t>
      </w:r>
      <w:r w:rsidRPr="00E54ED8">
        <w:rPr>
          <w:sz w:val="18"/>
          <w:szCs w:val="18"/>
          <w:vertAlign w:val="superscript"/>
          <w:lang w:val="fr-FR"/>
        </w:rPr>
        <w:footnoteReference w:id="4"/>
      </w:r>
      <w:r w:rsidRPr="009B0759">
        <w:rPr>
          <w:lang w:val="fr-FR"/>
        </w:rPr>
        <w:t xml:space="preserve"> dispose qu</w:t>
      </w:r>
      <w:r w:rsidR="00254912">
        <w:rPr>
          <w:lang w:val="fr-FR"/>
        </w:rPr>
        <w:t>’</w:t>
      </w:r>
      <w:r w:rsidRPr="009B0759">
        <w:rPr>
          <w:lang w:val="fr-FR"/>
        </w:rPr>
        <w:t>une personne qui n</w:t>
      </w:r>
      <w:r w:rsidR="00254912">
        <w:rPr>
          <w:lang w:val="fr-FR"/>
        </w:rPr>
        <w:t>’</w:t>
      </w:r>
      <w:r w:rsidRPr="009B0759">
        <w:rPr>
          <w:lang w:val="fr-FR"/>
        </w:rPr>
        <w:t>a pas atteint l</w:t>
      </w:r>
      <w:r w:rsidR="00254912">
        <w:rPr>
          <w:lang w:val="fr-FR"/>
        </w:rPr>
        <w:t>’</w:t>
      </w:r>
      <w:r w:rsidRPr="009B0759">
        <w:rPr>
          <w:lang w:val="fr-FR"/>
        </w:rPr>
        <w:t xml:space="preserve">âge de 18 ans ne peut se marier. Une personne </w:t>
      </w:r>
      <w:r w:rsidR="0076014B" w:rsidRPr="009B0759">
        <w:rPr>
          <w:lang w:val="fr-FR"/>
        </w:rPr>
        <w:t>peut être</w:t>
      </w:r>
      <w:r w:rsidRPr="009B0759">
        <w:rPr>
          <w:lang w:val="fr-FR"/>
        </w:rPr>
        <w:t xml:space="preserve"> autorisée à se marier dès son 16</w:t>
      </w:r>
      <w:r w:rsidRPr="00E54ED8">
        <w:rPr>
          <w:vertAlign w:val="superscript"/>
          <w:lang w:val="fr-FR"/>
        </w:rPr>
        <w:t>e</w:t>
      </w:r>
      <w:r w:rsidR="00E54ED8">
        <w:rPr>
          <w:lang w:val="fr-FR"/>
        </w:rPr>
        <w:t> </w:t>
      </w:r>
      <w:r w:rsidRPr="009B0759">
        <w:rPr>
          <w:lang w:val="fr-FR"/>
        </w:rPr>
        <w:t>anniversaire sur décision d</w:t>
      </w:r>
      <w:r w:rsidR="00254912">
        <w:rPr>
          <w:lang w:val="fr-FR"/>
        </w:rPr>
        <w:t>’</w:t>
      </w:r>
      <w:r w:rsidRPr="009B0759">
        <w:rPr>
          <w:lang w:val="fr-FR"/>
        </w:rPr>
        <w:t>un tribunal compétent rendue dans le cadre d</w:t>
      </w:r>
      <w:r w:rsidR="00254912">
        <w:rPr>
          <w:lang w:val="fr-FR"/>
        </w:rPr>
        <w:t>’</w:t>
      </w:r>
      <w:r w:rsidRPr="009B0759">
        <w:rPr>
          <w:lang w:val="fr-FR"/>
        </w:rPr>
        <w:t>une procédure non contentieuse, s</w:t>
      </w:r>
      <w:r w:rsidR="00254912">
        <w:rPr>
          <w:lang w:val="fr-FR"/>
        </w:rPr>
        <w:t>’</w:t>
      </w:r>
      <w:r w:rsidRPr="009B0759">
        <w:rPr>
          <w:lang w:val="fr-FR"/>
        </w:rPr>
        <w:t>il a été établi qu</w:t>
      </w:r>
      <w:r w:rsidR="00254912">
        <w:rPr>
          <w:lang w:val="fr-FR"/>
        </w:rPr>
        <w:t>’</w:t>
      </w:r>
      <w:r w:rsidRPr="009B0759">
        <w:rPr>
          <w:lang w:val="fr-FR"/>
        </w:rPr>
        <w:t>elle a la maturité physique et mentale requise pour l</w:t>
      </w:r>
      <w:r w:rsidR="00254912">
        <w:rPr>
          <w:lang w:val="fr-FR"/>
        </w:rPr>
        <w:t>’</w:t>
      </w:r>
      <w:r w:rsidRPr="009B0759">
        <w:rPr>
          <w:lang w:val="fr-FR"/>
        </w:rPr>
        <w:t xml:space="preserve">accomplissement des droits et des devoirs découlant du mariage. </w:t>
      </w:r>
    </w:p>
    <w:p w14:paraId="494F3059" w14:textId="77777777" w:rsidR="003C48D6" w:rsidRPr="009B0759" w:rsidRDefault="003C48D6" w:rsidP="009B0759">
      <w:pPr>
        <w:pStyle w:val="H1G"/>
        <w:rPr>
          <w:lang w:val="fr-FR"/>
        </w:rPr>
      </w:pPr>
      <w:r w:rsidRPr="009B0759">
        <w:rPr>
          <w:lang w:val="fr-FR"/>
        </w:rPr>
        <w:tab/>
        <w:t>3.</w:t>
      </w:r>
      <w:r w:rsidRPr="009B0759">
        <w:rPr>
          <w:lang w:val="fr-FR"/>
        </w:rPr>
        <w:tab/>
        <w:t>Principes généraux (art.</w:t>
      </w:r>
      <w:r w:rsidR="00E54ED8">
        <w:rPr>
          <w:lang w:val="fr-FR"/>
        </w:rPr>
        <w:t> </w:t>
      </w:r>
      <w:r w:rsidRPr="009B0759">
        <w:rPr>
          <w:lang w:val="fr-FR"/>
        </w:rPr>
        <w:t>2, 3, 6 et 12)</w:t>
      </w:r>
      <w:bookmarkStart w:id="4" w:name="_Toc56781407"/>
      <w:bookmarkEnd w:id="4"/>
    </w:p>
    <w:p w14:paraId="7DFE9AFF" w14:textId="77777777" w:rsidR="003C48D6" w:rsidRPr="009B0759" w:rsidRDefault="003C48D6" w:rsidP="009B0759">
      <w:pPr>
        <w:pStyle w:val="H23G"/>
        <w:rPr>
          <w:lang w:val="fr-FR"/>
        </w:rPr>
      </w:pPr>
      <w:r w:rsidRPr="009B0759">
        <w:rPr>
          <w:lang w:val="fr-FR"/>
        </w:rPr>
        <w:tab/>
        <w:t>a)</w:t>
      </w:r>
      <w:r w:rsidRPr="009B0759">
        <w:rPr>
          <w:lang w:val="fr-FR"/>
        </w:rPr>
        <w:tab/>
        <w:t>Non-discrimination (art.</w:t>
      </w:r>
      <w:r w:rsidR="00E54ED8">
        <w:rPr>
          <w:lang w:val="fr-FR"/>
        </w:rPr>
        <w:t> </w:t>
      </w:r>
      <w:r w:rsidRPr="009B0759">
        <w:rPr>
          <w:lang w:val="fr-FR"/>
        </w:rPr>
        <w:t>2)</w:t>
      </w:r>
      <w:bookmarkStart w:id="5" w:name="_Toc56781408"/>
      <w:bookmarkEnd w:id="5"/>
    </w:p>
    <w:p w14:paraId="2B8D3295" w14:textId="77777777" w:rsidR="003C48D6" w:rsidRPr="009B0759" w:rsidRDefault="003C48D6" w:rsidP="009B0759">
      <w:pPr>
        <w:pStyle w:val="SingleTxtG"/>
        <w:rPr>
          <w:lang w:val="fr-FR"/>
        </w:rPr>
      </w:pPr>
      <w:r w:rsidRPr="009B0759">
        <w:rPr>
          <w:lang w:val="fr-FR"/>
        </w:rPr>
        <w:t>11.</w:t>
      </w:r>
      <w:r w:rsidRPr="009B0759">
        <w:rPr>
          <w:lang w:val="fr-FR"/>
        </w:rPr>
        <w:tab/>
        <w:t>L</w:t>
      </w:r>
      <w:r w:rsidR="00254912">
        <w:rPr>
          <w:lang w:val="fr-FR"/>
        </w:rPr>
        <w:t>’</w:t>
      </w:r>
      <w:r w:rsidRPr="009B0759">
        <w:rPr>
          <w:lang w:val="fr-FR"/>
        </w:rPr>
        <w:t>article 8 de la nouvelle loi sur la justice pour mineurs</w:t>
      </w:r>
      <w:r w:rsidRPr="00E54ED8">
        <w:rPr>
          <w:sz w:val="18"/>
          <w:szCs w:val="18"/>
          <w:vertAlign w:val="superscript"/>
          <w:lang w:val="fr-FR"/>
        </w:rPr>
        <w:footnoteReference w:id="5"/>
      </w:r>
      <w:r w:rsidRPr="009B0759">
        <w:rPr>
          <w:lang w:val="fr-FR"/>
        </w:rPr>
        <w:t xml:space="preserve"> intègre le principe de non</w:t>
      </w:r>
      <w:r w:rsidR="00E54ED8">
        <w:rPr>
          <w:lang w:val="fr-FR"/>
        </w:rPr>
        <w:noBreakHyphen/>
      </w:r>
      <w:r w:rsidRPr="009B0759">
        <w:rPr>
          <w:lang w:val="fr-FR"/>
        </w:rPr>
        <w:t>discrimination. Aux termes de cet article, les tribunaux et autres institutions doivent respecter et garantir les droits de l</w:t>
      </w:r>
      <w:r w:rsidR="00254912">
        <w:rPr>
          <w:lang w:val="fr-FR"/>
        </w:rPr>
        <w:t>’</w:t>
      </w:r>
      <w:r w:rsidRPr="009B0759">
        <w:rPr>
          <w:lang w:val="fr-FR"/>
        </w:rPr>
        <w:t>enfant sans aucune discrimination fondée sur le sexe, la</w:t>
      </w:r>
      <w:r w:rsidR="00E54ED8">
        <w:rPr>
          <w:lang w:val="fr-FR"/>
        </w:rPr>
        <w:t> </w:t>
      </w:r>
      <w:r w:rsidRPr="009B0759">
        <w:rPr>
          <w:lang w:val="fr-FR"/>
        </w:rPr>
        <w:t>race, la couleur de la peau, le genre, l</w:t>
      </w:r>
      <w:r w:rsidR="00254912">
        <w:rPr>
          <w:lang w:val="fr-FR"/>
        </w:rPr>
        <w:t>’</w:t>
      </w:r>
      <w:r w:rsidRPr="009B0759">
        <w:rPr>
          <w:lang w:val="fr-FR"/>
        </w:rPr>
        <w:t>appartenance à un groupe marginalisé, l</w:t>
      </w:r>
      <w:r w:rsidR="00254912">
        <w:rPr>
          <w:lang w:val="fr-FR"/>
        </w:rPr>
        <w:t>’</w:t>
      </w:r>
      <w:r w:rsidRPr="009B0759">
        <w:rPr>
          <w:lang w:val="fr-FR"/>
        </w:rPr>
        <w:t>appartenance ethnique, la langue, la nationalité, l</w:t>
      </w:r>
      <w:r w:rsidR="00254912">
        <w:rPr>
          <w:lang w:val="fr-FR"/>
        </w:rPr>
        <w:t>’</w:t>
      </w:r>
      <w:r w:rsidRPr="009B0759">
        <w:rPr>
          <w:lang w:val="fr-FR"/>
        </w:rPr>
        <w:t xml:space="preserve">origine sociale, la religion ou les convictions religieuses, ou sur tout autre motif énoncé dans la loi ou dans un traité international ratifié. </w:t>
      </w:r>
    </w:p>
    <w:p w14:paraId="62DA410A" w14:textId="77777777" w:rsidR="003C48D6" w:rsidRPr="009B0759" w:rsidRDefault="003C48D6" w:rsidP="009B0759">
      <w:pPr>
        <w:pStyle w:val="SingleTxtG"/>
        <w:rPr>
          <w:lang w:val="fr-FR"/>
        </w:rPr>
      </w:pPr>
      <w:r w:rsidRPr="009B0759">
        <w:rPr>
          <w:lang w:val="fr-FR"/>
        </w:rPr>
        <w:lastRenderedPageBreak/>
        <w:t>12.</w:t>
      </w:r>
      <w:r w:rsidRPr="009B0759">
        <w:rPr>
          <w:lang w:val="fr-FR"/>
        </w:rPr>
        <w:tab/>
        <w:t>La loi contre la discrimination (prévention et protection) interdit la discrimination à l</w:t>
      </w:r>
      <w:r w:rsidR="00254912">
        <w:rPr>
          <w:lang w:val="fr-FR"/>
        </w:rPr>
        <w:t>’</w:t>
      </w:r>
      <w:r w:rsidRPr="009B0759">
        <w:rPr>
          <w:lang w:val="fr-FR"/>
        </w:rPr>
        <w:t>égard de toute personne physique ou morale dans l</w:t>
      </w:r>
      <w:r w:rsidR="00254912">
        <w:rPr>
          <w:lang w:val="fr-FR"/>
        </w:rPr>
        <w:t>’</w:t>
      </w:r>
      <w:r w:rsidRPr="009B0759">
        <w:rPr>
          <w:lang w:val="fr-FR"/>
        </w:rPr>
        <w:t>exercice des droits et libertés garantis par la Constitution et la législation (art. 2). L</w:t>
      </w:r>
      <w:r w:rsidR="00254912">
        <w:rPr>
          <w:lang w:val="fr-FR"/>
        </w:rPr>
        <w:t>’</w:t>
      </w:r>
      <w:r w:rsidRPr="009B0759">
        <w:rPr>
          <w:lang w:val="fr-FR"/>
        </w:rPr>
        <w:t>interdiction de la discrimination fondée sur l</w:t>
      </w:r>
      <w:r w:rsidR="00254912">
        <w:rPr>
          <w:lang w:val="fr-FR"/>
        </w:rPr>
        <w:t>’</w:t>
      </w:r>
      <w:r w:rsidRPr="009B0759">
        <w:rPr>
          <w:lang w:val="fr-FR"/>
        </w:rPr>
        <w:t>âge, reconnu comme motif de discrimination à l</w:t>
      </w:r>
      <w:r w:rsidR="00254912">
        <w:rPr>
          <w:lang w:val="fr-FR"/>
        </w:rPr>
        <w:t>’</w:t>
      </w:r>
      <w:r w:rsidRPr="009B0759">
        <w:rPr>
          <w:lang w:val="fr-FR"/>
        </w:rPr>
        <w:t>article 3 de cette même loi, doit être respectée par tous les organes de l</w:t>
      </w:r>
      <w:r w:rsidR="00254912">
        <w:rPr>
          <w:lang w:val="fr-FR"/>
        </w:rPr>
        <w:t>’</w:t>
      </w:r>
      <w:r w:rsidRPr="009B0759">
        <w:rPr>
          <w:lang w:val="fr-FR"/>
        </w:rPr>
        <w:t>État, toutes les administrations locales, les entités juridiques investies d</w:t>
      </w:r>
      <w:r w:rsidR="00254912">
        <w:rPr>
          <w:lang w:val="fr-FR"/>
        </w:rPr>
        <w:t>’</w:t>
      </w:r>
      <w:r w:rsidRPr="009B0759">
        <w:rPr>
          <w:lang w:val="fr-FR"/>
        </w:rPr>
        <w:t>un mandat public et d</w:t>
      </w:r>
      <w:r w:rsidR="00254912">
        <w:rPr>
          <w:lang w:val="fr-FR"/>
        </w:rPr>
        <w:t>’</w:t>
      </w:r>
      <w:r w:rsidRPr="009B0759">
        <w:rPr>
          <w:lang w:val="fr-FR"/>
        </w:rPr>
        <w:t xml:space="preserve">autres personnes morales et physiques. </w:t>
      </w:r>
    </w:p>
    <w:p w14:paraId="69FDFE56" w14:textId="77777777" w:rsidR="003C48D6" w:rsidRPr="00F720A6" w:rsidRDefault="003C48D6" w:rsidP="009B0759">
      <w:pPr>
        <w:pStyle w:val="SingleTxtG"/>
        <w:rPr>
          <w:lang w:val="fr-FR"/>
        </w:rPr>
      </w:pPr>
      <w:r w:rsidRPr="009B0759">
        <w:rPr>
          <w:lang w:val="fr-FR"/>
        </w:rPr>
        <w:t>13.</w:t>
      </w:r>
      <w:r w:rsidRPr="009B0759">
        <w:rPr>
          <w:lang w:val="fr-FR"/>
        </w:rPr>
        <w:tab/>
        <w:t>Conformément à la Stratégie 2016-2020 pour l</w:t>
      </w:r>
      <w:r w:rsidR="00254912">
        <w:rPr>
          <w:lang w:val="fr-FR"/>
        </w:rPr>
        <w:t>’</w:t>
      </w:r>
      <w:r w:rsidRPr="009B0759">
        <w:rPr>
          <w:lang w:val="fr-FR"/>
        </w:rPr>
        <w:t>égalité et la non-discrimination et aux rapports de la Commission européenne contenant des recommandations pour faire évoluer la législation de manière à mieux prévenir la discrimination et à mieux protéger les personnes contre la discrimination, le Ministère du travail et de la politique sociale a élaboré en 2016 des propositions de modification de la loi contre la discrimination (prévention et protection). La nouvelle loi, actuellement en cours d</w:t>
      </w:r>
      <w:r w:rsidR="00254912">
        <w:rPr>
          <w:lang w:val="fr-FR"/>
        </w:rPr>
        <w:t>’</w:t>
      </w:r>
      <w:r w:rsidRPr="009B0759">
        <w:rPr>
          <w:lang w:val="fr-FR"/>
        </w:rPr>
        <w:t>examen au Parlement, vise à assurer une protection plus efficace contre la discrimination et à mettre en place des procédures pour l</w:t>
      </w:r>
      <w:r w:rsidR="00254912">
        <w:rPr>
          <w:lang w:val="fr-FR"/>
        </w:rPr>
        <w:t>’</w:t>
      </w:r>
      <w:r w:rsidRPr="009B0759">
        <w:rPr>
          <w:lang w:val="fr-FR"/>
        </w:rPr>
        <w:t>examen de tous les cas de discrimination, quel qu</w:t>
      </w:r>
      <w:r w:rsidR="00254912">
        <w:rPr>
          <w:lang w:val="fr-FR"/>
        </w:rPr>
        <w:t>’</w:t>
      </w:r>
      <w:r w:rsidRPr="009B0759">
        <w:rPr>
          <w:lang w:val="fr-FR"/>
        </w:rPr>
        <w:t>en soit le motif.</w:t>
      </w:r>
      <w:r w:rsidRPr="00F720A6">
        <w:rPr>
          <w:lang w:val="fr-FR"/>
        </w:rPr>
        <w:t xml:space="preserve"> </w:t>
      </w:r>
    </w:p>
    <w:p w14:paraId="5013240D" w14:textId="77777777" w:rsidR="003C48D6" w:rsidRPr="00F720A6" w:rsidRDefault="003C48D6" w:rsidP="009B0759">
      <w:pPr>
        <w:pStyle w:val="H23G"/>
        <w:rPr>
          <w:lang w:val="fr-FR"/>
        </w:rPr>
      </w:pPr>
      <w:r w:rsidRPr="00F720A6">
        <w:rPr>
          <w:lang w:val="fr-FR"/>
        </w:rPr>
        <w:tab/>
        <w:t>b)</w:t>
      </w:r>
      <w:r w:rsidRPr="00F720A6">
        <w:rPr>
          <w:lang w:val="fr-FR"/>
        </w:rPr>
        <w:tab/>
        <w:t>Intérêt supérieur de l</w:t>
      </w:r>
      <w:r w:rsidR="00254912">
        <w:rPr>
          <w:lang w:val="fr-FR"/>
        </w:rPr>
        <w:t>’</w:t>
      </w:r>
      <w:r w:rsidRPr="00F720A6">
        <w:rPr>
          <w:lang w:val="fr-FR"/>
        </w:rPr>
        <w:t>enfant (art.</w:t>
      </w:r>
      <w:r w:rsidR="00E54ED8">
        <w:rPr>
          <w:lang w:val="fr-FR"/>
        </w:rPr>
        <w:t> </w:t>
      </w:r>
      <w:r w:rsidRPr="00F720A6">
        <w:rPr>
          <w:lang w:val="fr-FR"/>
        </w:rPr>
        <w:t>3)</w:t>
      </w:r>
      <w:bookmarkStart w:id="6" w:name="_Toc56781409"/>
      <w:bookmarkEnd w:id="6"/>
    </w:p>
    <w:p w14:paraId="095AD567" w14:textId="77777777" w:rsidR="003C48D6" w:rsidRPr="00F720A6" w:rsidRDefault="003C48D6" w:rsidP="009B0759">
      <w:pPr>
        <w:pStyle w:val="SingleTxtG"/>
        <w:rPr>
          <w:lang w:val="fr-FR"/>
        </w:rPr>
      </w:pPr>
      <w:r w:rsidRPr="00F720A6">
        <w:rPr>
          <w:lang w:val="fr-FR"/>
        </w:rPr>
        <w:t>14.</w:t>
      </w:r>
      <w:r w:rsidRPr="00F720A6">
        <w:rPr>
          <w:lang w:val="fr-FR"/>
        </w:rPr>
        <w:tab/>
        <w:t>L</w:t>
      </w:r>
      <w:r w:rsidR="00254912">
        <w:rPr>
          <w:lang w:val="fr-FR"/>
        </w:rPr>
        <w:t>’</w:t>
      </w:r>
      <w:r w:rsidRPr="00F720A6">
        <w:rPr>
          <w:lang w:val="fr-FR"/>
        </w:rPr>
        <w:t>article 3 de la loi sur la protection des enfants</w:t>
      </w:r>
      <w:r w:rsidRPr="002A465A">
        <w:rPr>
          <w:rStyle w:val="Appelnotedebasdep"/>
        </w:rPr>
        <w:footnoteReference w:id="6"/>
      </w:r>
      <w:r w:rsidRPr="00F720A6">
        <w:rPr>
          <w:lang w:val="fr-FR"/>
        </w:rPr>
        <w:t xml:space="preserve"> dispose que les enfants sont protégés par la garantie de l</w:t>
      </w:r>
      <w:r w:rsidR="00254912">
        <w:rPr>
          <w:lang w:val="fr-FR"/>
        </w:rPr>
        <w:t>’</w:t>
      </w:r>
      <w:r w:rsidRPr="00F720A6">
        <w:rPr>
          <w:lang w:val="fr-FR"/>
        </w:rPr>
        <w:t>exercice de leurs droits et l</w:t>
      </w:r>
      <w:r w:rsidR="00254912">
        <w:rPr>
          <w:lang w:val="fr-FR"/>
        </w:rPr>
        <w:t>’</w:t>
      </w:r>
      <w:r w:rsidRPr="00F720A6">
        <w:rPr>
          <w:lang w:val="fr-FR"/>
        </w:rPr>
        <w:t>application de diverses formes et divers moyens de protection.</w:t>
      </w:r>
    </w:p>
    <w:p w14:paraId="7CB97940" w14:textId="77777777" w:rsidR="003C48D6" w:rsidRPr="00F720A6" w:rsidRDefault="003C48D6" w:rsidP="009B0759">
      <w:pPr>
        <w:pStyle w:val="SingleTxtG"/>
        <w:rPr>
          <w:lang w:val="fr-FR"/>
        </w:rPr>
      </w:pPr>
      <w:r w:rsidRPr="00F720A6">
        <w:rPr>
          <w:lang w:val="fr-FR"/>
        </w:rPr>
        <w:t>15.</w:t>
      </w:r>
      <w:r w:rsidRPr="00F720A6">
        <w:rPr>
          <w:lang w:val="fr-FR"/>
        </w:rPr>
        <w:tab/>
        <w:t>Selon l</w:t>
      </w:r>
      <w:r w:rsidR="00254912">
        <w:rPr>
          <w:lang w:val="fr-FR"/>
        </w:rPr>
        <w:t>’</w:t>
      </w:r>
      <w:r w:rsidRPr="00F720A6">
        <w:rPr>
          <w:lang w:val="fr-FR"/>
        </w:rPr>
        <w:t>article 9 de cette loi, la protection doit être assurée par les parents, la famille, les tuteurs et les familles d</w:t>
      </w:r>
      <w:r w:rsidR="00254912">
        <w:rPr>
          <w:lang w:val="fr-FR"/>
        </w:rPr>
        <w:t>’</w:t>
      </w:r>
      <w:r w:rsidRPr="00F720A6">
        <w:rPr>
          <w:lang w:val="fr-FR"/>
        </w:rPr>
        <w:t xml:space="preserve">accueil, ainsi que par les institutions pour enfants, par les établissements éducatifs, sociaux, de santé et culturels ainsi </w:t>
      </w:r>
      <w:r w:rsidR="00882C6B">
        <w:rPr>
          <w:lang w:val="fr-FR"/>
        </w:rPr>
        <w:t xml:space="preserve">que par </w:t>
      </w:r>
      <w:r w:rsidRPr="00F720A6">
        <w:rPr>
          <w:lang w:val="fr-FR"/>
        </w:rPr>
        <w:t>les professionnels de ces secteurs, par les institutions centrales de l</w:t>
      </w:r>
      <w:r w:rsidR="00254912">
        <w:rPr>
          <w:lang w:val="fr-FR"/>
        </w:rPr>
        <w:t>’</w:t>
      </w:r>
      <w:r w:rsidRPr="00F720A6">
        <w:rPr>
          <w:lang w:val="fr-FR"/>
        </w:rPr>
        <w:t>État et les autorités locales, par les organisations et autres personnes physiques et morales dont les activités se rapportent à l</w:t>
      </w:r>
      <w:r w:rsidR="00254912">
        <w:rPr>
          <w:lang w:val="fr-FR"/>
        </w:rPr>
        <w:t>’</w:t>
      </w:r>
      <w:r w:rsidRPr="00F720A6">
        <w:rPr>
          <w:lang w:val="fr-FR"/>
        </w:rPr>
        <w:t>aide et au soutien aux enfants.</w:t>
      </w:r>
    </w:p>
    <w:p w14:paraId="726D8C3A" w14:textId="77777777" w:rsidR="003C48D6" w:rsidRPr="00F720A6" w:rsidRDefault="003C48D6" w:rsidP="009B0759">
      <w:pPr>
        <w:pStyle w:val="SingleTxtG"/>
        <w:rPr>
          <w:lang w:val="fr-FR"/>
        </w:rPr>
      </w:pPr>
      <w:r w:rsidRPr="00F720A6">
        <w:rPr>
          <w:lang w:val="fr-FR"/>
        </w:rPr>
        <w:t>16.</w:t>
      </w:r>
      <w:r w:rsidRPr="00F720A6">
        <w:rPr>
          <w:lang w:val="fr-FR"/>
        </w:rPr>
        <w:tab/>
        <w:t>Le principe de l</w:t>
      </w:r>
      <w:r w:rsidR="00254912">
        <w:rPr>
          <w:lang w:val="fr-FR"/>
        </w:rPr>
        <w:t>’</w:t>
      </w:r>
      <w:r w:rsidRPr="00F720A6">
        <w:rPr>
          <w:lang w:val="fr-FR"/>
        </w:rPr>
        <w:t>intérêt supérieur de l</w:t>
      </w:r>
      <w:r w:rsidR="00254912">
        <w:rPr>
          <w:lang w:val="fr-FR"/>
        </w:rPr>
        <w:t>’</w:t>
      </w:r>
      <w:r w:rsidRPr="00F720A6">
        <w:rPr>
          <w:lang w:val="fr-FR"/>
        </w:rPr>
        <w:t xml:space="preserve">enfant a été intégré dans tous les documents législatifs, stratégiques et administratifs et toutes les procédures concernant les enfants. </w:t>
      </w:r>
    </w:p>
    <w:p w14:paraId="6FA97033" w14:textId="77777777" w:rsidR="003C48D6" w:rsidRPr="00F720A6" w:rsidRDefault="003C48D6" w:rsidP="009B0759">
      <w:pPr>
        <w:pStyle w:val="SingleTxtG"/>
        <w:rPr>
          <w:lang w:val="fr-FR"/>
        </w:rPr>
      </w:pPr>
      <w:r w:rsidRPr="00F720A6">
        <w:rPr>
          <w:lang w:val="fr-FR"/>
        </w:rPr>
        <w:t>17.</w:t>
      </w:r>
      <w:r w:rsidRPr="00F720A6">
        <w:rPr>
          <w:lang w:val="fr-FR"/>
        </w:rPr>
        <w:tab/>
        <w:t>La loi sur la justice pour mineurs, adoptée en 2009, établit un système de justice pour les enfants fondé sur des normes internationales</w:t>
      </w:r>
      <w:r w:rsidRPr="002A465A">
        <w:rPr>
          <w:rStyle w:val="Appelnotedebasdep"/>
        </w:rPr>
        <w:footnoteReference w:id="7"/>
      </w:r>
      <w:r w:rsidRPr="00F720A6">
        <w:rPr>
          <w:lang w:val="fr-FR"/>
        </w:rPr>
        <w:t>. La nouvelle loi sur la justice pour mineurs, adoptée en 2013, fait progresser encore les droits de ces derniers, conformément aux dispositions de la Convention relative aux droits de l</w:t>
      </w:r>
      <w:r w:rsidR="00254912">
        <w:rPr>
          <w:lang w:val="fr-FR"/>
        </w:rPr>
        <w:t>’</w:t>
      </w:r>
      <w:r w:rsidRPr="00F720A6">
        <w:rPr>
          <w:lang w:val="fr-FR"/>
        </w:rPr>
        <w:t xml:space="preserve">enfant. </w:t>
      </w:r>
    </w:p>
    <w:p w14:paraId="52423A5B" w14:textId="77777777" w:rsidR="003C48D6" w:rsidRPr="00F720A6" w:rsidRDefault="003C48D6" w:rsidP="009B0759">
      <w:pPr>
        <w:pStyle w:val="H23G"/>
        <w:rPr>
          <w:lang w:val="fr-FR"/>
        </w:rPr>
      </w:pPr>
      <w:r w:rsidRPr="00F720A6">
        <w:rPr>
          <w:lang w:val="fr-FR"/>
        </w:rPr>
        <w:tab/>
        <w:t>c)</w:t>
      </w:r>
      <w:r w:rsidRPr="00F720A6">
        <w:rPr>
          <w:lang w:val="fr-FR"/>
        </w:rPr>
        <w:tab/>
        <w:t>Droit à la vie, à la survie et au développement (art. 6)</w:t>
      </w:r>
      <w:bookmarkStart w:id="7" w:name="_Toc56781410"/>
      <w:bookmarkEnd w:id="7"/>
    </w:p>
    <w:p w14:paraId="51C58934" w14:textId="77777777" w:rsidR="003C48D6" w:rsidRPr="00F720A6" w:rsidRDefault="003C48D6" w:rsidP="009B0759">
      <w:pPr>
        <w:pStyle w:val="SingleTxtG"/>
        <w:rPr>
          <w:lang w:val="fr-FR"/>
        </w:rPr>
      </w:pPr>
      <w:r w:rsidRPr="00F720A6">
        <w:rPr>
          <w:lang w:val="fr-FR"/>
        </w:rPr>
        <w:t>18.</w:t>
      </w:r>
      <w:r w:rsidRPr="00F720A6">
        <w:rPr>
          <w:lang w:val="fr-FR"/>
        </w:rPr>
        <w:tab/>
        <w:t>L</w:t>
      </w:r>
      <w:r w:rsidR="00254912">
        <w:rPr>
          <w:lang w:val="fr-FR"/>
        </w:rPr>
        <w:t>’</w:t>
      </w:r>
      <w:r w:rsidRPr="00F720A6">
        <w:rPr>
          <w:lang w:val="fr-FR"/>
        </w:rPr>
        <w:t xml:space="preserve">article 10 de la Constitution interdit de prononcer la peine de mort, pour quelque motif que ce soit. </w:t>
      </w:r>
    </w:p>
    <w:p w14:paraId="222D690F" w14:textId="77777777" w:rsidR="003C48D6" w:rsidRPr="00F720A6" w:rsidRDefault="003C48D6" w:rsidP="009B0759">
      <w:pPr>
        <w:pStyle w:val="SingleTxtG"/>
        <w:rPr>
          <w:lang w:val="fr-FR"/>
        </w:rPr>
      </w:pPr>
      <w:r w:rsidRPr="00F720A6">
        <w:rPr>
          <w:lang w:val="fr-FR"/>
        </w:rPr>
        <w:t>19.</w:t>
      </w:r>
      <w:r w:rsidRPr="00F720A6">
        <w:rPr>
          <w:lang w:val="fr-FR"/>
        </w:rPr>
        <w:tab/>
        <w:t>Afin de garantir, dans toute la mesure du possible, la survie et le bon développement des enfants, l</w:t>
      </w:r>
      <w:r w:rsidR="00254912">
        <w:rPr>
          <w:lang w:val="fr-FR"/>
        </w:rPr>
        <w:t>’</w:t>
      </w:r>
      <w:r w:rsidRPr="00F720A6">
        <w:rPr>
          <w:lang w:val="fr-FR"/>
        </w:rPr>
        <w:t>État assure une prise en charge et une protection particulières de la famille, de</w:t>
      </w:r>
      <w:r w:rsidR="00882C6B">
        <w:rPr>
          <w:lang w:val="fr-FR"/>
        </w:rPr>
        <w:t> </w:t>
      </w:r>
      <w:r w:rsidRPr="00F720A6">
        <w:rPr>
          <w:lang w:val="fr-FR"/>
        </w:rPr>
        <w:t>la maternité, des enfants, des enfants sans parents ou privés de protection parentale. La</w:t>
      </w:r>
      <w:r w:rsidR="00882C6B">
        <w:rPr>
          <w:lang w:val="fr-FR"/>
        </w:rPr>
        <w:t> </w:t>
      </w:r>
      <w:r w:rsidRPr="00F720A6">
        <w:rPr>
          <w:lang w:val="fr-FR"/>
        </w:rPr>
        <w:t>Constitution énonce les droits et les devoirs des parents en matière de soins et d</w:t>
      </w:r>
      <w:r w:rsidR="00254912">
        <w:rPr>
          <w:lang w:val="fr-FR"/>
        </w:rPr>
        <w:t>’</w:t>
      </w:r>
      <w:r w:rsidRPr="00F720A6">
        <w:rPr>
          <w:lang w:val="fr-FR"/>
        </w:rPr>
        <w:t>éducation des enfants, ainsi que le droit aux soins de santé, à la sécurité sociale et à l</w:t>
      </w:r>
      <w:r w:rsidR="00254912">
        <w:rPr>
          <w:lang w:val="fr-FR"/>
        </w:rPr>
        <w:t>’</w:t>
      </w:r>
      <w:r w:rsidRPr="00F720A6">
        <w:rPr>
          <w:lang w:val="fr-FR"/>
        </w:rPr>
        <w:t>assurance sociale</w:t>
      </w:r>
      <w:r w:rsidRPr="002A465A">
        <w:rPr>
          <w:rStyle w:val="Appelnotedebasdep"/>
        </w:rPr>
        <w:footnoteReference w:id="8"/>
      </w:r>
      <w:r w:rsidRPr="00F720A6">
        <w:rPr>
          <w:lang w:val="fr-FR"/>
        </w:rPr>
        <w:t>.</w:t>
      </w:r>
    </w:p>
    <w:p w14:paraId="43241DC5" w14:textId="77777777" w:rsidR="003C48D6" w:rsidRPr="00F720A6" w:rsidRDefault="003C48D6" w:rsidP="009B0759">
      <w:pPr>
        <w:pStyle w:val="H23G"/>
        <w:rPr>
          <w:lang w:val="fr-FR"/>
        </w:rPr>
      </w:pPr>
      <w:r w:rsidRPr="00F720A6">
        <w:rPr>
          <w:lang w:val="fr-FR"/>
        </w:rPr>
        <w:tab/>
        <w:t>d)</w:t>
      </w:r>
      <w:r w:rsidRPr="00F720A6">
        <w:rPr>
          <w:lang w:val="fr-FR"/>
        </w:rPr>
        <w:tab/>
        <w:t>Respect de l</w:t>
      </w:r>
      <w:r w:rsidR="00254912">
        <w:rPr>
          <w:lang w:val="fr-FR"/>
        </w:rPr>
        <w:t>’</w:t>
      </w:r>
      <w:r w:rsidRPr="00F720A6">
        <w:rPr>
          <w:lang w:val="fr-FR"/>
        </w:rPr>
        <w:t>opinion de l</w:t>
      </w:r>
      <w:r w:rsidR="00254912">
        <w:rPr>
          <w:lang w:val="fr-FR"/>
        </w:rPr>
        <w:t>’</w:t>
      </w:r>
      <w:r w:rsidRPr="00F720A6">
        <w:rPr>
          <w:lang w:val="fr-FR"/>
        </w:rPr>
        <w:t>enfant (art.</w:t>
      </w:r>
      <w:r w:rsidR="00882C6B">
        <w:rPr>
          <w:lang w:val="fr-FR"/>
        </w:rPr>
        <w:t> </w:t>
      </w:r>
      <w:r w:rsidRPr="00F720A6">
        <w:rPr>
          <w:lang w:val="fr-FR"/>
        </w:rPr>
        <w:t>12)</w:t>
      </w:r>
      <w:bookmarkStart w:id="8" w:name="_Toc56781411"/>
      <w:bookmarkEnd w:id="8"/>
    </w:p>
    <w:p w14:paraId="5B96E6AE" w14:textId="77777777" w:rsidR="003C48D6" w:rsidRPr="00F720A6" w:rsidRDefault="003C48D6" w:rsidP="009B0759">
      <w:pPr>
        <w:pStyle w:val="SingleTxtG"/>
        <w:rPr>
          <w:lang w:val="fr-FR"/>
        </w:rPr>
      </w:pPr>
      <w:r w:rsidRPr="00F720A6">
        <w:rPr>
          <w:lang w:val="fr-FR"/>
        </w:rPr>
        <w:t>20.</w:t>
      </w:r>
      <w:r w:rsidRPr="00F720A6">
        <w:rPr>
          <w:lang w:val="fr-FR"/>
        </w:rPr>
        <w:tab/>
        <w:t>L</w:t>
      </w:r>
      <w:r w:rsidR="00254912">
        <w:rPr>
          <w:lang w:val="fr-FR"/>
        </w:rPr>
        <w:t>’</w:t>
      </w:r>
      <w:r w:rsidRPr="00F720A6">
        <w:rPr>
          <w:lang w:val="fr-FR"/>
        </w:rPr>
        <w:t>article 4 de la loi sur la justice pour les enfants</w:t>
      </w:r>
      <w:r w:rsidRPr="002A465A">
        <w:rPr>
          <w:rStyle w:val="Appelnotedebasdep"/>
        </w:rPr>
        <w:footnoteReference w:id="9"/>
      </w:r>
      <w:r w:rsidRPr="00F720A6">
        <w:rPr>
          <w:lang w:val="fr-FR"/>
        </w:rPr>
        <w:t xml:space="preserve"> dispose que toute institution qui entre en contact avec un enfant doit l</w:t>
      </w:r>
      <w:r w:rsidR="00254912">
        <w:rPr>
          <w:lang w:val="fr-FR"/>
        </w:rPr>
        <w:t>’</w:t>
      </w:r>
      <w:r w:rsidRPr="00F720A6">
        <w:rPr>
          <w:lang w:val="fr-FR"/>
        </w:rPr>
        <w:t>informer des droits de l</w:t>
      </w:r>
      <w:r w:rsidR="00254912">
        <w:rPr>
          <w:lang w:val="fr-FR"/>
        </w:rPr>
        <w:t>’</w:t>
      </w:r>
      <w:r w:rsidRPr="00F720A6">
        <w:rPr>
          <w:lang w:val="fr-FR"/>
        </w:rPr>
        <w:t>enfant, ainsi que des devoirs et des responsabilités découlant de la Convention relative aux droits de l</w:t>
      </w:r>
      <w:r w:rsidR="00254912">
        <w:rPr>
          <w:lang w:val="fr-FR"/>
        </w:rPr>
        <w:t>’</w:t>
      </w:r>
      <w:r w:rsidRPr="00F720A6">
        <w:rPr>
          <w:lang w:val="fr-FR"/>
        </w:rPr>
        <w:t>enfant et d</w:t>
      </w:r>
      <w:r w:rsidR="00254912">
        <w:rPr>
          <w:lang w:val="fr-FR"/>
        </w:rPr>
        <w:t>’</w:t>
      </w:r>
      <w:r w:rsidRPr="00F720A6">
        <w:rPr>
          <w:lang w:val="fr-FR"/>
        </w:rPr>
        <w:t>autres instruments internationaux relatifs aux droits de l</w:t>
      </w:r>
      <w:r w:rsidR="00254912">
        <w:rPr>
          <w:lang w:val="fr-FR"/>
        </w:rPr>
        <w:t>’</w:t>
      </w:r>
      <w:r w:rsidRPr="00F720A6">
        <w:rPr>
          <w:lang w:val="fr-FR"/>
        </w:rPr>
        <w:t>enfant, et des droits et devoirs découlant de ladite loi et d</w:t>
      </w:r>
      <w:r w:rsidR="00254912">
        <w:rPr>
          <w:lang w:val="fr-FR"/>
        </w:rPr>
        <w:t>’</w:t>
      </w:r>
      <w:r w:rsidRPr="00F720A6">
        <w:rPr>
          <w:lang w:val="fr-FR"/>
        </w:rPr>
        <w:t>autres lois encore.</w:t>
      </w:r>
    </w:p>
    <w:p w14:paraId="471C926D" w14:textId="77777777" w:rsidR="003C48D6" w:rsidRPr="00F720A6" w:rsidRDefault="003C48D6" w:rsidP="00882C6B">
      <w:pPr>
        <w:pStyle w:val="SingleTxtG"/>
        <w:keepNext/>
        <w:keepLines/>
        <w:rPr>
          <w:lang w:val="fr-FR"/>
        </w:rPr>
      </w:pPr>
      <w:r w:rsidRPr="00F720A6">
        <w:rPr>
          <w:lang w:val="fr-FR"/>
        </w:rPr>
        <w:lastRenderedPageBreak/>
        <w:t>21.</w:t>
      </w:r>
      <w:r w:rsidRPr="00F720A6">
        <w:rPr>
          <w:lang w:val="fr-FR"/>
        </w:rPr>
        <w:tab/>
        <w:t>L</w:t>
      </w:r>
      <w:r w:rsidR="00254912">
        <w:rPr>
          <w:lang w:val="fr-FR"/>
        </w:rPr>
        <w:t>’</w:t>
      </w:r>
      <w:r w:rsidRPr="00F720A6">
        <w:rPr>
          <w:lang w:val="fr-FR"/>
        </w:rPr>
        <w:t>article 5 de la loi sur la protection des enfants</w:t>
      </w:r>
      <w:r w:rsidRPr="002A465A">
        <w:rPr>
          <w:rStyle w:val="Appelnotedebasdep"/>
        </w:rPr>
        <w:footnoteReference w:id="10"/>
      </w:r>
      <w:r w:rsidRPr="00F720A6">
        <w:rPr>
          <w:lang w:val="fr-FR"/>
        </w:rPr>
        <w:t>dispose clairement que « l</w:t>
      </w:r>
      <w:r w:rsidR="00254912">
        <w:rPr>
          <w:lang w:val="fr-FR"/>
        </w:rPr>
        <w:t>’</w:t>
      </w:r>
      <w:r w:rsidRPr="00F720A6">
        <w:rPr>
          <w:lang w:val="fr-FR"/>
        </w:rPr>
        <w:t>État garantit le droit de l</w:t>
      </w:r>
      <w:r w:rsidR="00254912">
        <w:rPr>
          <w:lang w:val="fr-FR"/>
        </w:rPr>
        <w:t>’</w:t>
      </w:r>
      <w:r w:rsidRPr="00F720A6">
        <w:rPr>
          <w:lang w:val="fr-FR"/>
        </w:rPr>
        <w:t>enfant à exprimer son opinion sur les questions qui le/la concernent et qu</w:t>
      </w:r>
      <w:r w:rsidR="00254912">
        <w:rPr>
          <w:lang w:val="fr-FR"/>
        </w:rPr>
        <w:t>’</w:t>
      </w:r>
      <w:r w:rsidRPr="00F720A6">
        <w:rPr>
          <w:lang w:val="fr-FR"/>
        </w:rPr>
        <w:t>une attention particulière est accordée auxdites opinions en fonction de la maturité et de l</w:t>
      </w:r>
      <w:r w:rsidR="00254912">
        <w:rPr>
          <w:lang w:val="fr-FR"/>
        </w:rPr>
        <w:t>’</w:t>
      </w:r>
      <w:r w:rsidRPr="00F720A6">
        <w:rPr>
          <w:lang w:val="fr-FR"/>
        </w:rPr>
        <w:t>âge de l</w:t>
      </w:r>
      <w:r w:rsidR="00254912">
        <w:rPr>
          <w:lang w:val="fr-FR"/>
        </w:rPr>
        <w:t>’</w:t>
      </w:r>
      <w:r w:rsidRPr="00F720A6">
        <w:rPr>
          <w:lang w:val="fr-FR"/>
        </w:rPr>
        <w:t>enfant ».</w:t>
      </w:r>
    </w:p>
    <w:p w14:paraId="2E2A4B0C" w14:textId="77777777" w:rsidR="003C48D6" w:rsidRPr="00F720A6" w:rsidRDefault="003C48D6" w:rsidP="009B0759">
      <w:pPr>
        <w:pStyle w:val="SingleTxtG"/>
        <w:rPr>
          <w:lang w:val="fr-FR"/>
        </w:rPr>
      </w:pPr>
      <w:r w:rsidRPr="00F720A6">
        <w:rPr>
          <w:lang w:val="fr-FR"/>
        </w:rPr>
        <w:t>22.</w:t>
      </w:r>
      <w:r w:rsidRPr="00F720A6">
        <w:rPr>
          <w:lang w:val="fr-FR"/>
        </w:rPr>
        <w:tab/>
        <w:t>Les professionnels qui travaillent dans les institutions de l</w:t>
      </w:r>
      <w:r w:rsidR="00254912">
        <w:rPr>
          <w:lang w:val="fr-FR"/>
        </w:rPr>
        <w:t>’</w:t>
      </w:r>
      <w:r w:rsidRPr="00F720A6">
        <w:rPr>
          <w:lang w:val="fr-FR"/>
        </w:rPr>
        <w:t>État et dans le secteur de la société civile agissent conformément aux lois pertinentes applicables, ainsi qu</w:t>
      </w:r>
      <w:r w:rsidR="00254912">
        <w:rPr>
          <w:lang w:val="fr-FR"/>
        </w:rPr>
        <w:t>’</w:t>
      </w:r>
      <w:r w:rsidRPr="00F720A6">
        <w:rPr>
          <w:lang w:val="fr-FR"/>
        </w:rPr>
        <w:t>en vertu des traités internationaux ratifiés qui font partie intégrante de l</w:t>
      </w:r>
      <w:r w:rsidR="00254912">
        <w:rPr>
          <w:lang w:val="fr-FR"/>
        </w:rPr>
        <w:t>’</w:t>
      </w:r>
      <w:r w:rsidRPr="00F720A6">
        <w:rPr>
          <w:lang w:val="fr-FR"/>
        </w:rPr>
        <w:t>ordre juridique interne. Les</w:t>
      </w:r>
      <w:r w:rsidR="004D6250">
        <w:rPr>
          <w:lang w:val="fr-FR"/>
        </w:rPr>
        <w:t> </w:t>
      </w:r>
      <w:r w:rsidRPr="00F720A6">
        <w:rPr>
          <w:lang w:val="fr-FR"/>
        </w:rPr>
        <w:t xml:space="preserve">enfants sont prioritaires et leurs droits humains fondamentaux sont respectés, quelle que soit leur appartenance ethnique ou à un groupe quelconque. </w:t>
      </w:r>
    </w:p>
    <w:p w14:paraId="278DD0F8" w14:textId="77777777" w:rsidR="003C48D6" w:rsidRPr="00F720A6" w:rsidRDefault="003C48D6" w:rsidP="009B0759">
      <w:pPr>
        <w:pStyle w:val="H1G"/>
        <w:rPr>
          <w:lang w:val="fr-FR"/>
        </w:rPr>
      </w:pPr>
      <w:r w:rsidRPr="00F720A6">
        <w:rPr>
          <w:lang w:val="fr-FR"/>
        </w:rPr>
        <w:tab/>
        <w:t>4.</w:t>
      </w:r>
      <w:r w:rsidRPr="00F720A6">
        <w:rPr>
          <w:lang w:val="fr-FR"/>
        </w:rPr>
        <w:tab/>
        <w:t>Libertés et droits civils (art.</w:t>
      </w:r>
      <w:r w:rsidR="004D6250">
        <w:rPr>
          <w:lang w:val="fr-FR"/>
        </w:rPr>
        <w:t> </w:t>
      </w:r>
      <w:r w:rsidRPr="00F720A6">
        <w:rPr>
          <w:lang w:val="fr-FR"/>
        </w:rPr>
        <w:t>7, 8 et 13 à 17)</w:t>
      </w:r>
      <w:bookmarkStart w:id="9" w:name="_Toc56781412"/>
      <w:bookmarkEnd w:id="9"/>
    </w:p>
    <w:p w14:paraId="06968A1F" w14:textId="77777777" w:rsidR="003C48D6" w:rsidRPr="00F720A6" w:rsidRDefault="003C48D6" w:rsidP="009B0759">
      <w:pPr>
        <w:pStyle w:val="H23G"/>
        <w:rPr>
          <w:lang w:val="fr-FR"/>
        </w:rPr>
      </w:pPr>
      <w:r w:rsidRPr="00F720A6">
        <w:rPr>
          <w:lang w:val="fr-FR"/>
        </w:rPr>
        <w:tab/>
        <w:t>a)</w:t>
      </w:r>
      <w:r w:rsidRPr="00F720A6">
        <w:rPr>
          <w:lang w:val="fr-FR"/>
        </w:rPr>
        <w:tab/>
        <w:t>Enregistrement à la naissance, nom et nationalité (art.</w:t>
      </w:r>
      <w:r w:rsidR="004D6250">
        <w:rPr>
          <w:lang w:val="fr-FR"/>
        </w:rPr>
        <w:t> </w:t>
      </w:r>
      <w:r w:rsidRPr="00F720A6">
        <w:rPr>
          <w:lang w:val="fr-FR"/>
        </w:rPr>
        <w:t xml:space="preserve">7) </w:t>
      </w:r>
      <w:bookmarkStart w:id="10" w:name="_Toc56781413"/>
      <w:bookmarkEnd w:id="10"/>
    </w:p>
    <w:p w14:paraId="583D7A70" w14:textId="77777777" w:rsidR="003C48D6" w:rsidRPr="00F720A6" w:rsidRDefault="003C48D6" w:rsidP="009B0759">
      <w:pPr>
        <w:pStyle w:val="SingleTxtG"/>
        <w:rPr>
          <w:lang w:val="fr-FR"/>
        </w:rPr>
      </w:pPr>
      <w:r w:rsidRPr="00F720A6">
        <w:rPr>
          <w:lang w:val="fr-FR"/>
        </w:rPr>
        <w:t>23.</w:t>
      </w:r>
      <w:r w:rsidRPr="00F720A6">
        <w:rPr>
          <w:lang w:val="fr-FR"/>
        </w:rPr>
        <w:tab/>
        <w:t>Il n</w:t>
      </w:r>
      <w:r w:rsidR="00254912">
        <w:rPr>
          <w:lang w:val="fr-FR"/>
        </w:rPr>
        <w:t>’</w:t>
      </w:r>
      <w:r w:rsidRPr="00F720A6">
        <w:rPr>
          <w:lang w:val="fr-FR"/>
        </w:rPr>
        <w:t>y a eu aucun changement au cours de la période suivant le deuxième rapport périodique.</w:t>
      </w:r>
    </w:p>
    <w:p w14:paraId="498EF6D9" w14:textId="77777777" w:rsidR="003C48D6" w:rsidRPr="00F720A6" w:rsidRDefault="003C48D6" w:rsidP="009B0759">
      <w:pPr>
        <w:pStyle w:val="H23G"/>
        <w:rPr>
          <w:lang w:val="fr-FR"/>
        </w:rPr>
      </w:pPr>
      <w:r w:rsidRPr="00F720A6">
        <w:rPr>
          <w:lang w:val="fr-FR"/>
        </w:rPr>
        <w:tab/>
        <w:t>b)</w:t>
      </w:r>
      <w:r w:rsidRPr="00F720A6">
        <w:rPr>
          <w:lang w:val="fr-FR"/>
        </w:rPr>
        <w:tab/>
      </w:r>
      <w:r w:rsidRPr="009B0759">
        <w:rPr>
          <w:lang w:val="fr-FR"/>
        </w:rPr>
        <w:t>Préservation</w:t>
      </w:r>
      <w:r w:rsidRPr="00F720A6">
        <w:rPr>
          <w:bCs/>
          <w:lang w:val="fr-FR"/>
        </w:rPr>
        <w:t xml:space="preserve"> de l</w:t>
      </w:r>
      <w:r w:rsidR="00254912">
        <w:rPr>
          <w:bCs/>
          <w:lang w:val="fr-FR"/>
        </w:rPr>
        <w:t>’</w:t>
      </w:r>
      <w:r w:rsidRPr="00F720A6">
        <w:rPr>
          <w:bCs/>
          <w:lang w:val="fr-FR"/>
        </w:rPr>
        <w:t>identité (art. 8)</w:t>
      </w:r>
      <w:bookmarkStart w:id="11" w:name="_Toc56781414"/>
      <w:bookmarkEnd w:id="11"/>
    </w:p>
    <w:p w14:paraId="0CA0CCB6" w14:textId="77777777" w:rsidR="003C48D6" w:rsidRPr="00F720A6" w:rsidRDefault="003C48D6" w:rsidP="009B0759">
      <w:pPr>
        <w:pStyle w:val="SingleTxtG"/>
        <w:rPr>
          <w:lang w:val="fr-FR"/>
        </w:rPr>
      </w:pPr>
      <w:r w:rsidRPr="00F720A6">
        <w:rPr>
          <w:lang w:val="fr-FR"/>
        </w:rPr>
        <w:t>24.</w:t>
      </w:r>
      <w:r w:rsidRPr="00F720A6">
        <w:rPr>
          <w:lang w:val="fr-FR"/>
        </w:rPr>
        <w:tab/>
        <w:t>Il n</w:t>
      </w:r>
      <w:r w:rsidR="00254912">
        <w:rPr>
          <w:lang w:val="fr-FR"/>
        </w:rPr>
        <w:t>’</w:t>
      </w:r>
      <w:r w:rsidRPr="00F720A6">
        <w:rPr>
          <w:lang w:val="fr-FR"/>
        </w:rPr>
        <w:t>y a eu aucun changement au cours de la période suivant le rapport initial.</w:t>
      </w:r>
    </w:p>
    <w:p w14:paraId="0FDA087C" w14:textId="77777777" w:rsidR="003C48D6" w:rsidRPr="00F720A6" w:rsidRDefault="003C48D6" w:rsidP="009B0759">
      <w:pPr>
        <w:pStyle w:val="H23G"/>
        <w:rPr>
          <w:lang w:val="fr-FR"/>
        </w:rPr>
      </w:pPr>
      <w:r w:rsidRPr="00F720A6">
        <w:rPr>
          <w:lang w:val="fr-FR"/>
        </w:rPr>
        <w:tab/>
        <w:t>c)</w:t>
      </w:r>
      <w:r w:rsidRPr="00F720A6">
        <w:rPr>
          <w:lang w:val="fr-FR"/>
        </w:rPr>
        <w:tab/>
      </w:r>
      <w:r w:rsidRPr="00F720A6">
        <w:rPr>
          <w:bCs/>
          <w:lang w:val="fr-FR"/>
        </w:rPr>
        <w:t xml:space="preserve">Liberté </w:t>
      </w:r>
      <w:r w:rsidRPr="009B0759">
        <w:rPr>
          <w:lang w:val="fr-FR"/>
        </w:rPr>
        <w:t>d</w:t>
      </w:r>
      <w:r w:rsidR="00254912">
        <w:rPr>
          <w:lang w:val="fr-FR"/>
        </w:rPr>
        <w:t>’</w:t>
      </w:r>
      <w:r w:rsidRPr="009B0759">
        <w:rPr>
          <w:lang w:val="fr-FR"/>
        </w:rPr>
        <w:t>expression</w:t>
      </w:r>
      <w:r w:rsidRPr="00F720A6">
        <w:rPr>
          <w:bCs/>
          <w:lang w:val="fr-FR"/>
        </w:rPr>
        <w:t xml:space="preserve"> (art. 13)</w:t>
      </w:r>
      <w:bookmarkStart w:id="12" w:name="_Toc56781415"/>
      <w:bookmarkEnd w:id="12"/>
    </w:p>
    <w:p w14:paraId="3A843086" w14:textId="77777777" w:rsidR="003C48D6" w:rsidRPr="00F720A6" w:rsidRDefault="003C48D6" w:rsidP="009B0759">
      <w:pPr>
        <w:pStyle w:val="SingleTxtG"/>
        <w:rPr>
          <w:lang w:val="fr-FR"/>
        </w:rPr>
      </w:pPr>
      <w:r w:rsidRPr="00F720A6">
        <w:rPr>
          <w:lang w:val="fr-FR"/>
        </w:rPr>
        <w:t>25.</w:t>
      </w:r>
      <w:r w:rsidRPr="00F720A6">
        <w:rPr>
          <w:lang w:val="fr-FR"/>
        </w:rPr>
        <w:tab/>
        <w:t>Il n</w:t>
      </w:r>
      <w:r w:rsidR="00254912">
        <w:rPr>
          <w:lang w:val="fr-FR"/>
        </w:rPr>
        <w:t>’</w:t>
      </w:r>
      <w:r w:rsidRPr="00F720A6">
        <w:rPr>
          <w:lang w:val="fr-FR"/>
        </w:rPr>
        <w:t>y a eu aucun changement au cours de la période suivant le rapport initial.</w:t>
      </w:r>
    </w:p>
    <w:p w14:paraId="7C465659" w14:textId="77777777" w:rsidR="003C48D6" w:rsidRPr="00F720A6" w:rsidRDefault="003C48D6" w:rsidP="009B0759">
      <w:pPr>
        <w:pStyle w:val="H23G"/>
        <w:rPr>
          <w:lang w:val="fr-FR"/>
        </w:rPr>
      </w:pPr>
      <w:r w:rsidRPr="00F720A6">
        <w:rPr>
          <w:lang w:val="fr-FR"/>
        </w:rPr>
        <w:tab/>
        <w:t>d)</w:t>
      </w:r>
      <w:r w:rsidRPr="00F720A6">
        <w:rPr>
          <w:lang w:val="fr-FR"/>
        </w:rPr>
        <w:tab/>
      </w:r>
      <w:r w:rsidRPr="00F720A6">
        <w:rPr>
          <w:bCs/>
          <w:lang w:val="fr-FR"/>
        </w:rPr>
        <w:t xml:space="preserve">Liberté de </w:t>
      </w:r>
      <w:r w:rsidRPr="009B0759">
        <w:rPr>
          <w:lang w:val="fr-FR"/>
        </w:rPr>
        <w:t>pensée</w:t>
      </w:r>
      <w:r w:rsidRPr="00F720A6">
        <w:rPr>
          <w:bCs/>
          <w:lang w:val="fr-FR"/>
        </w:rPr>
        <w:t>, de conscience et de religion (art. 14)</w:t>
      </w:r>
      <w:r w:rsidRPr="00F720A6">
        <w:rPr>
          <w:lang w:val="fr-FR"/>
        </w:rPr>
        <w:t xml:space="preserve"> </w:t>
      </w:r>
      <w:bookmarkStart w:id="13" w:name="_Toc56781416"/>
      <w:bookmarkEnd w:id="13"/>
    </w:p>
    <w:p w14:paraId="316B9416" w14:textId="77777777" w:rsidR="003C48D6" w:rsidRPr="00F720A6" w:rsidRDefault="003C48D6" w:rsidP="009B0759">
      <w:pPr>
        <w:pStyle w:val="SingleTxtG"/>
        <w:rPr>
          <w:lang w:val="fr-FR"/>
        </w:rPr>
      </w:pPr>
      <w:r w:rsidRPr="00F720A6">
        <w:rPr>
          <w:lang w:val="fr-FR"/>
        </w:rPr>
        <w:t>26.</w:t>
      </w:r>
      <w:r w:rsidRPr="00F720A6">
        <w:rPr>
          <w:lang w:val="fr-FR"/>
        </w:rPr>
        <w:tab/>
        <w:t>Il n</w:t>
      </w:r>
      <w:r w:rsidR="00254912">
        <w:rPr>
          <w:lang w:val="fr-FR"/>
        </w:rPr>
        <w:t>’</w:t>
      </w:r>
      <w:r w:rsidRPr="00F720A6">
        <w:rPr>
          <w:lang w:val="fr-FR"/>
        </w:rPr>
        <w:t>y a eu aucun changement au cours de la période suivant le deuxième rapport périodique.</w:t>
      </w:r>
    </w:p>
    <w:p w14:paraId="071CDE4C" w14:textId="77777777" w:rsidR="003C48D6" w:rsidRPr="00F720A6" w:rsidRDefault="003C48D6" w:rsidP="009B0759">
      <w:pPr>
        <w:pStyle w:val="H23G"/>
        <w:rPr>
          <w:lang w:val="fr-FR"/>
        </w:rPr>
      </w:pPr>
      <w:r w:rsidRPr="00F720A6">
        <w:rPr>
          <w:lang w:val="fr-FR"/>
        </w:rPr>
        <w:tab/>
        <w:t>e)</w:t>
      </w:r>
      <w:r w:rsidRPr="00F720A6">
        <w:rPr>
          <w:lang w:val="fr-FR"/>
        </w:rPr>
        <w:tab/>
      </w:r>
      <w:r w:rsidRPr="00F720A6">
        <w:rPr>
          <w:bCs/>
          <w:lang w:val="fr-FR"/>
        </w:rPr>
        <w:t xml:space="preserve">Liberté </w:t>
      </w:r>
      <w:r w:rsidRPr="009B0759">
        <w:rPr>
          <w:lang w:val="fr-FR"/>
        </w:rPr>
        <w:t>d</w:t>
      </w:r>
      <w:r w:rsidR="00254912">
        <w:rPr>
          <w:lang w:val="fr-FR"/>
        </w:rPr>
        <w:t>’</w:t>
      </w:r>
      <w:r w:rsidRPr="009B0759">
        <w:rPr>
          <w:lang w:val="fr-FR"/>
        </w:rPr>
        <w:t>association</w:t>
      </w:r>
      <w:r w:rsidRPr="00F720A6">
        <w:rPr>
          <w:bCs/>
          <w:lang w:val="fr-FR"/>
        </w:rPr>
        <w:t xml:space="preserve"> (art. 15)</w:t>
      </w:r>
      <w:bookmarkStart w:id="14" w:name="_Toc56781417"/>
      <w:bookmarkEnd w:id="14"/>
    </w:p>
    <w:p w14:paraId="7988B5F7" w14:textId="77777777" w:rsidR="003C48D6" w:rsidRPr="00F720A6" w:rsidRDefault="003C48D6" w:rsidP="009B0759">
      <w:pPr>
        <w:pStyle w:val="SingleTxtG"/>
        <w:rPr>
          <w:lang w:val="fr-FR"/>
        </w:rPr>
      </w:pPr>
      <w:r w:rsidRPr="00F720A6">
        <w:rPr>
          <w:lang w:val="fr-FR"/>
        </w:rPr>
        <w:t>27.</w:t>
      </w:r>
      <w:r w:rsidRPr="00F720A6">
        <w:rPr>
          <w:lang w:val="fr-FR"/>
        </w:rPr>
        <w:tab/>
        <w:t>Le cadre juridique régissant l</w:t>
      </w:r>
      <w:r w:rsidR="00254912">
        <w:rPr>
          <w:lang w:val="fr-FR"/>
        </w:rPr>
        <w:t>’</w:t>
      </w:r>
      <w:r w:rsidRPr="00F720A6">
        <w:rPr>
          <w:lang w:val="fr-FR"/>
        </w:rPr>
        <w:t>exercice du droit d</w:t>
      </w:r>
      <w:r w:rsidR="00254912">
        <w:rPr>
          <w:lang w:val="fr-FR"/>
        </w:rPr>
        <w:t>’</w:t>
      </w:r>
      <w:r w:rsidRPr="00F720A6">
        <w:rPr>
          <w:lang w:val="fr-FR"/>
        </w:rPr>
        <w:t xml:space="preserve">association, constitutionnellement garanti, est fixé par la loi sur les associations de citoyens et les fondations ainsi que par la loi sur les partis politiques. </w:t>
      </w:r>
    </w:p>
    <w:p w14:paraId="0CB9B2F4" w14:textId="77777777" w:rsidR="003C48D6" w:rsidRPr="00F720A6" w:rsidRDefault="003C48D6" w:rsidP="009B0759">
      <w:pPr>
        <w:pStyle w:val="SingleTxtG"/>
        <w:rPr>
          <w:lang w:val="fr-FR"/>
        </w:rPr>
      </w:pPr>
      <w:r w:rsidRPr="00F720A6">
        <w:rPr>
          <w:lang w:val="fr-FR"/>
        </w:rPr>
        <w:t>28.</w:t>
      </w:r>
      <w:r w:rsidRPr="00F720A6">
        <w:rPr>
          <w:lang w:val="fr-FR"/>
        </w:rPr>
        <w:tab/>
        <w:t>L</w:t>
      </w:r>
      <w:r w:rsidR="00254912">
        <w:rPr>
          <w:lang w:val="fr-FR"/>
        </w:rPr>
        <w:t>’</w:t>
      </w:r>
      <w:r w:rsidRPr="00F720A6">
        <w:rPr>
          <w:lang w:val="fr-FR"/>
        </w:rPr>
        <w:t>article 4 de la loi sur les associations et les fondations dispose que les citoyens exercent ce droit en créant des associations, des fondations, des alliances et des branches d</w:t>
      </w:r>
      <w:r w:rsidR="00254912">
        <w:rPr>
          <w:lang w:val="fr-FR"/>
        </w:rPr>
        <w:t>’</w:t>
      </w:r>
      <w:r w:rsidRPr="00F720A6">
        <w:rPr>
          <w:lang w:val="fr-FR"/>
        </w:rPr>
        <w:t>organisations étrangères qui travaillent à la réalisation de leurs objectifs, poursuivent des activités et protègent leurs droits, intérêts et convictions conformément à la Constitution et à la loi.</w:t>
      </w:r>
    </w:p>
    <w:p w14:paraId="4B12F59C" w14:textId="77777777" w:rsidR="003C48D6" w:rsidRPr="00F720A6" w:rsidRDefault="003C48D6" w:rsidP="009B0759">
      <w:pPr>
        <w:pStyle w:val="SingleTxtG"/>
        <w:rPr>
          <w:lang w:val="fr-FR"/>
        </w:rPr>
      </w:pPr>
      <w:r w:rsidRPr="00F720A6">
        <w:rPr>
          <w:lang w:val="fr-FR"/>
        </w:rPr>
        <w:t>29.</w:t>
      </w:r>
      <w:r w:rsidRPr="00F720A6">
        <w:rPr>
          <w:lang w:val="fr-FR"/>
        </w:rPr>
        <w:tab/>
        <w:t>Les organisations acquièrent le statut de personne morale dès lors qu</w:t>
      </w:r>
      <w:r w:rsidR="00254912">
        <w:rPr>
          <w:lang w:val="fr-FR"/>
        </w:rPr>
        <w:t>’</w:t>
      </w:r>
      <w:r w:rsidRPr="00F720A6">
        <w:rPr>
          <w:lang w:val="fr-FR"/>
        </w:rPr>
        <w:t>elles sont inscrites au Registre central.</w:t>
      </w:r>
    </w:p>
    <w:p w14:paraId="316539A4" w14:textId="77777777" w:rsidR="003C48D6" w:rsidRPr="00F720A6" w:rsidRDefault="003C48D6" w:rsidP="009B0759">
      <w:pPr>
        <w:pStyle w:val="SingleTxtG"/>
        <w:rPr>
          <w:lang w:val="fr-FR"/>
        </w:rPr>
      </w:pPr>
      <w:r w:rsidRPr="00F720A6">
        <w:rPr>
          <w:lang w:val="fr-FR"/>
        </w:rPr>
        <w:t>30.</w:t>
      </w:r>
      <w:r w:rsidRPr="00F720A6">
        <w:rPr>
          <w:lang w:val="fr-FR"/>
        </w:rPr>
        <w:tab/>
        <w:t>Les personnes physiques et morales peuvent créer une association, lorsque cinq membres fondateurs au moins sont réunis, dont trois sont détenteurs d</w:t>
      </w:r>
      <w:r w:rsidR="00254912">
        <w:rPr>
          <w:lang w:val="fr-FR"/>
        </w:rPr>
        <w:t>’</w:t>
      </w:r>
      <w:r w:rsidRPr="00F720A6">
        <w:rPr>
          <w:lang w:val="fr-FR"/>
        </w:rPr>
        <w:t>un permis de séjour permanent sont résidents, c</w:t>
      </w:r>
      <w:r w:rsidR="00254912">
        <w:rPr>
          <w:lang w:val="fr-FR"/>
        </w:rPr>
        <w:t>’</w:t>
      </w:r>
      <w:r w:rsidRPr="00F720A6">
        <w:rPr>
          <w:lang w:val="fr-FR"/>
        </w:rPr>
        <w:t>est-à-dire installés de façon permanente sur le territoire du pays. Les mineurs qui ont atteint l</w:t>
      </w:r>
      <w:r w:rsidR="00254912">
        <w:rPr>
          <w:lang w:val="fr-FR"/>
        </w:rPr>
        <w:t>’</w:t>
      </w:r>
      <w:r w:rsidRPr="00F720A6">
        <w:rPr>
          <w:lang w:val="fr-FR"/>
        </w:rPr>
        <w:t>âge de 15 ans peuvent fonder une association, à condition de disposer d</w:t>
      </w:r>
      <w:r w:rsidR="00254912">
        <w:rPr>
          <w:lang w:val="fr-FR"/>
        </w:rPr>
        <w:t>’</w:t>
      </w:r>
      <w:r w:rsidRPr="00F720A6">
        <w:rPr>
          <w:lang w:val="fr-FR"/>
        </w:rPr>
        <w:t>une déclaration notariée par laquelle leurs représentants légaux ont donné leur accord pour ce faire.</w:t>
      </w:r>
    </w:p>
    <w:p w14:paraId="1361057F" w14:textId="77777777" w:rsidR="003C48D6" w:rsidRPr="00F720A6" w:rsidRDefault="003C48D6" w:rsidP="009B0759">
      <w:pPr>
        <w:pStyle w:val="SingleTxtG"/>
        <w:rPr>
          <w:lang w:val="fr-FR"/>
        </w:rPr>
      </w:pPr>
      <w:r w:rsidRPr="00F720A6">
        <w:rPr>
          <w:lang w:val="fr-FR"/>
        </w:rPr>
        <w:t>31.</w:t>
      </w:r>
      <w:r w:rsidRPr="00F720A6">
        <w:rPr>
          <w:lang w:val="fr-FR"/>
        </w:rPr>
        <w:tab/>
        <w:t>L</w:t>
      </w:r>
      <w:r w:rsidR="00254912">
        <w:rPr>
          <w:lang w:val="fr-FR"/>
        </w:rPr>
        <w:t>’</w:t>
      </w:r>
      <w:r w:rsidRPr="00F720A6">
        <w:rPr>
          <w:lang w:val="fr-FR"/>
        </w:rPr>
        <w:t>association créée peut être inscrite au Registre sous réserve d</w:t>
      </w:r>
      <w:r w:rsidR="00254912">
        <w:rPr>
          <w:lang w:val="fr-FR"/>
        </w:rPr>
        <w:t>’</w:t>
      </w:r>
      <w:r w:rsidRPr="00F720A6">
        <w:rPr>
          <w:lang w:val="fr-FR"/>
        </w:rPr>
        <w:t xml:space="preserve">en déposer la demande dans les </w:t>
      </w:r>
      <w:r w:rsidR="00340DA6">
        <w:rPr>
          <w:lang w:val="fr-FR"/>
        </w:rPr>
        <w:t xml:space="preserve">trente </w:t>
      </w:r>
      <w:r w:rsidRPr="00F720A6">
        <w:rPr>
          <w:lang w:val="fr-FR"/>
        </w:rPr>
        <w:t>jours suivant la date d</w:t>
      </w:r>
      <w:r w:rsidR="00254912">
        <w:rPr>
          <w:lang w:val="fr-FR"/>
        </w:rPr>
        <w:t>’</w:t>
      </w:r>
      <w:r w:rsidRPr="00F720A6">
        <w:rPr>
          <w:lang w:val="fr-FR"/>
        </w:rPr>
        <w:t>adoption des statuts fondateurs, c</w:t>
      </w:r>
      <w:r w:rsidR="00254912">
        <w:rPr>
          <w:lang w:val="fr-FR"/>
        </w:rPr>
        <w:t>’</w:t>
      </w:r>
      <w:r w:rsidRPr="00F720A6">
        <w:rPr>
          <w:lang w:val="fr-FR"/>
        </w:rPr>
        <w:t>est-à-dire à partir de la date de la décision de l</w:t>
      </w:r>
      <w:r w:rsidR="00254912">
        <w:rPr>
          <w:lang w:val="fr-FR"/>
        </w:rPr>
        <w:t>’</w:t>
      </w:r>
      <w:r w:rsidRPr="00F720A6">
        <w:rPr>
          <w:lang w:val="fr-FR"/>
        </w:rPr>
        <w:t>organisation étrangère de mettre en place une branche dans le pays.</w:t>
      </w:r>
    </w:p>
    <w:p w14:paraId="0C1CA677" w14:textId="77777777" w:rsidR="003C48D6" w:rsidRPr="00F720A6" w:rsidRDefault="003C48D6" w:rsidP="009B0759">
      <w:pPr>
        <w:pStyle w:val="H23G"/>
        <w:rPr>
          <w:lang w:val="fr-FR"/>
        </w:rPr>
      </w:pPr>
      <w:r w:rsidRPr="00F720A6">
        <w:rPr>
          <w:lang w:val="fr-FR"/>
        </w:rPr>
        <w:lastRenderedPageBreak/>
        <w:tab/>
        <w:t>f)</w:t>
      </w:r>
      <w:r w:rsidRPr="00F720A6">
        <w:rPr>
          <w:lang w:val="fr-FR"/>
        </w:rPr>
        <w:tab/>
      </w:r>
      <w:r w:rsidRPr="00F720A6">
        <w:rPr>
          <w:bCs/>
          <w:lang w:val="fr-FR"/>
        </w:rPr>
        <w:t>Protection de la vie privée (art. 16)</w:t>
      </w:r>
      <w:bookmarkStart w:id="15" w:name="_Toc56781418"/>
      <w:bookmarkEnd w:id="15"/>
    </w:p>
    <w:p w14:paraId="422AE817" w14:textId="77777777" w:rsidR="003C48D6" w:rsidRPr="00F720A6" w:rsidRDefault="003C48D6" w:rsidP="00340DA6">
      <w:pPr>
        <w:pStyle w:val="SingleTxtG"/>
        <w:keepNext/>
        <w:keepLines/>
        <w:rPr>
          <w:lang w:val="fr-FR"/>
        </w:rPr>
      </w:pPr>
      <w:r w:rsidRPr="00F720A6">
        <w:rPr>
          <w:lang w:val="fr-FR"/>
        </w:rPr>
        <w:t>32.</w:t>
      </w:r>
      <w:r w:rsidRPr="00F720A6">
        <w:rPr>
          <w:lang w:val="fr-FR"/>
        </w:rPr>
        <w:tab/>
        <w:t>L</w:t>
      </w:r>
      <w:r w:rsidR="00254912">
        <w:rPr>
          <w:lang w:val="fr-FR"/>
        </w:rPr>
        <w:t>’</w:t>
      </w:r>
      <w:r w:rsidRPr="00F720A6">
        <w:rPr>
          <w:lang w:val="fr-FR"/>
        </w:rPr>
        <w:t>article 91 de la loi sur la justice pour les enfants dispose en son paragraphe 1 que les tribunaux et les autres organes participant aux procédures judiciaires ont le devoir d</w:t>
      </w:r>
      <w:r w:rsidR="00254912">
        <w:rPr>
          <w:lang w:val="fr-FR"/>
        </w:rPr>
        <w:t>’</w:t>
      </w:r>
      <w:r w:rsidRPr="00F720A6">
        <w:rPr>
          <w:lang w:val="fr-FR"/>
        </w:rPr>
        <w:t>assurer la protection de la vie privée de l</w:t>
      </w:r>
      <w:r w:rsidR="00254912">
        <w:rPr>
          <w:lang w:val="fr-FR"/>
        </w:rPr>
        <w:t>’</w:t>
      </w:r>
      <w:r w:rsidRPr="00F720A6">
        <w:rPr>
          <w:lang w:val="fr-FR"/>
        </w:rPr>
        <w:t>enfant et de celle de sa famille, tandis que le paragraphe 2 du même article précise que lorsqu</w:t>
      </w:r>
      <w:r w:rsidR="00254912">
        <w:rPr>
          <w:lang w:val="fr-FR"/>
        </w:rPr>
        <w:t>’</w:t>
      </w:r>
      <w:r w:rsidRPr="00F720A6">
        <w:rPr>
          <w:lang w:val="fr-FR"/>
        </w:rPr>
        <w:t xml:space="preserve">un enfant est jugé au tribunal, les audiences se déroulent toujours à huis clos, sans la présence du public. </w:t>
      </w:r>
    </w:p>
    <w:p w14:paraId="0316916D" w14:textId="77777777" w:rsidR="003C48D6" w:rsidRPr="00F720A6" w:rsidRDefault="003C48D6" w:rsidP="009B0759">
      <w:pPr>
        <w:pStyle w:val="SingleTxtG"/>
        <w:rPr>
          <w:lang w:val="fr-FR"/>
        </w:rPr>
      </w:pPr>
      <w:r w:rsidRPr="00F720A6">
        <w:rPr>
          <w:lang w:val="fr-FR"/>
        </w:rPr>
        <w:t>33.</w:t>
      </w:r>
      <w:r w:rsidRPr="00F720A6">
        <w:rPr>
          <w:lang w:val="fr-FR"/>
        </w:rPr>
        <w:tab/>
        <w:t>L</w:t>
      </w:r>
      <w:r w:rsidR="00254912">
        <w:rPr>
          <w:lang w:val="fr-FR"/>
        </w:rPr>
        <w:t>’</w:t>
      </w:r>
      <w:r w:rsidRPr="00F720A6">
        <w:rPr>
          <w:lang w:val="fr-FR"/>
        </w:rPr>
        <w:t>alinéa 3 du paragraphe 1 de l</w:t>
      </w:r>
      <w:r w:rsidR="00254912">
        <w:rPr>
          <w:lang w:val="fr-FR"/>
        </w:rPr>
        <w:t>’</w:t>
      </w:r>
      <w:r w:rsidRPr="00F720A6">
        <w:rPr>
          <w:lang w:val="fr-FR"/>
        </w:rPr>
        <w:t>article 145 dispose que l</w:t>
      </w:r>
      <w:r w:rsidR="00254912">
        <w:rPr>
          <w:lang w:val="fr-FR"/>
        </w:rPr>
        <w:t>’</w:t>
      </w:r>
      <w:r w:rsidRPr="00F720A6">
        <w:rPr>
          <w:lang w:val="fr-FR"/>
        </w:rPr>
        <w:t>enfant a le droit d</w:t>
      </w:r>
      <w:r w:rsidR="00254912">
        <w:rPr>
          <w:lang w:val="fr-FR"/>
        </w:rPr>
        <w:t>’</w:t>
      </w:r>
      <w:r w:rsidRPr="00F720A6">
        <w:rPr>
          <w:lang w:val="fr-FR"/>
        </w:rPr>
        <w:t xml:space="preserve">être informé de ses droits dans une langue compréhensible et adaptée à son âge. </w:t>
      </w:r>
    </w:p>
    <w:p w14:paraId="13D5B8A0" w14:textId="77777777" w:rsidR="003C48D6" w:rsidRPr="00F720A6" w:rsidRDefault="003C48D6" w:rsidP="009B0759">
      <w:pPr>
        <w:pStyle w:val="SingleTxtG"/>
        <w:rPr>
          <w:lang w:val="fr-FR"/>
        </w:rPr>
      </w:pPr>
      <w:r w:rsidRPr="00F720A6">
        <w:rPr>
          <w:lang w:val="fr-FR"/>
        </w:rPr>
        <w:t>34.</w:t>
      </w:r>
      <w:r w:rsidRPr="00F720A6">
        <w:rPr>
          <w:lang w:val="fr-FR"/>
        </w:rPr>
        <w:tab/>
        <w:t>L</w:t>
      </w:r>
      <w:r w:rsidR="00254912">
        <w:rPr>
          <w:lang w:val="fr-FR"/>
        </w:rPr>
        <w:t>’</w:t>
      </w:r>
      <w:r w:rsidRPr="00F720A6">
        <w:rPr>
          <w:lang w:val="fr-FR"/>
        </w:rPr>
        <w:t>alinéa 10 du paragraphe 1 de l</w:t>
      </w:r>
      <w:r w:rsidR="00254912">
        <w:rPr>
          <w:lang w:val="fr-FR"/>
        </w:rPr>
        <w:t>’</w:t>
      </w:r>
      <w:r w:rsidRPr="00F720A6">
        <w:rPr>
          <w:lang w:val="fr-FR"/>
        </w:rPr>
        <w:t>article 147 dispose que le tribunal peut ordonner une protection procédurale spéciale, c</w:t>
      </w:r>
      <w:r w:rsidR="00254912">
        <w:rPr>
          <w:lang w:val="fr-FR"/>
        </w:rPr>
        <w:t>’</w:t>
      </w:r>
      <w:r w:rsidRPr="00F720A6">
        <w:rPr>
          <w:lang w:val="fr-FR"/>
        </w:rPr>
        <w:t>est-à-dire la protection de la vie privée de l</w:t>
      </w:r>
      <w:r w:rsidR="00254912">
        <w:rPr>
          <w:lang w:val="fr-FR"/>
        </w:rPr>
        <w:t>’</w:t>
      </w:r>
      <w:r w:rsidRPr="00F720A6">
        <w:rPr>
          <w:lang w:val="fr-FR"/>
        </w:rPr>
        <w:t>enfant et celle de sa famille.</w:t>
      </w:r>
    </w:p>
    <w:p w14:paraId="0918842F" w14:textId="77777777" w:rsidR="003C48D6" w:rsidRPr="00F720A6" w:rsidRDefault="003C48D6" w:rsidP="009B0759">
      <w:pPr>
        <w:pStyle w:val="H23G"/>
        <w:rPr>
          <w:lang w:val="fr-FR"/>
        </w:rPr>
      </w:pPr>
      <w:r w:rsidRPr="00F720A6">
        <w:rPr>
          <w:lang w:val="fr-FR"/>
        </w:rPr>
        <w:tab/>
        <w:t>g)</w:t>
      </w:r>
      <w:r w:rsidRPr="00F720A6">
        <w:rPr>
          <w:lang w:val="fr-FR"/>
        </w:rPr>
        <w:tab/>
        <w:t xml:space="preserve">Le rôle des </w:t>
      </w:r>
      <w:proofErr w:type="spellStart"/>
      <w:r w:rsidRPr="00F720A6">
        <w:rPr>
          <w:lang w:val="fr-FR"/>
        </w:rPr>
        <w:t>médias</w:t>
      </w:r>
      <w:proofErr w:type="spellEnd"/>
      <w:r w:rsidRPr="00F720A6">
        <w:rPr>
          <w:lang w:val="fr-FR"/>
        </w:rPr>
        <w:t xml:space="preserve"> et l</w:t>
      </w:r>
      <w:r w:rsidR="00254912">
        <w:rPr>
          <w:lang w:val="fr-FR"/>
        </w:rPr>
        <w:t>’</w:t>
      </w:r>
      <w:r w:rsidRPr="00F720A6">
        <w:rPr>
          <w:lang w:val="fr-FR"/>
        </w:rPr>
        <w:t>accès de l</w:t>
      </w:r>
      <w:r w:rsidR="00254912">
        <w:rPr>
          <w:lang w:val="fr-FR"/>
        </w:rPr>
        <w:t>’</w:t>
      </w:r>
      <w:r w:rsidRPr="00F720A6">
        <w:rPr>
          <w:lang w:val="fr-FR"/>
        </w:rPr>
        <w:t>enfant à l</w:t>
      </w:r>
      <w:r w:rsidR="00254912">
        <w:rPr>
          <w:lang w:val="fr-FR"/>
        </w:rPr>
        <w:t>’</w:t>
      </w:r>
      <w:r w:rsidRPr="00F720A6">
        <w:rPr>
          <w:lang w:val="fr-FR"/>
        </w:rPr>
        <w:t>information (art. 17)</w:t>
      </w:r>
      <w:bookmarkStart w:id="16" w:name="_Toc56781419"/>
      <w:bookmarkEnd w:id="16"/>
    </w:p>
    <w:p w14:paraId="0C93B015" w14:textId="77777777" w:rsidR="003C48D6" w:rsidRPr="00F720A6" w:rsidRDefault="003C48D6" w:rsidP="009B0759">
      <w:pPr>
        <w:pStyle w:val="SingleTxtG"/>
        <w:rPr>
          <w:lang w:val="fr-FR"/>
        </w:rPr>
      </w:pPr>
      <w:r w:rsidRPr="00F720A6">
        <w:rPr>
          <w:lang w:val="fr-FR"/>
        </w:rPr>
        <w:t>35.</w:t>
      </w:r>
      <w:r w:rsidRPr="00F720A6">
        <w:rPr>
          <w:lang w:val="fr-FR"/>
        </w:rPr>
        <w:tab/>
        <w:t>Il n</w:t>
      </w:r>
      <w:r w:rsidR="00254912">
        <w:rPr>
          <w:lang w:val="fr-FR"/>
        </w:rPr>
        <w:t>’</w:t>
      </w:r>
      <w:r w:rsidRPr="00F720A6">
        <w:rPr>
          <w:lang w:val="fr-FR"/>
        </w:rPr>
        <w:t>y a eu aucun changement au cours de la période suivant le deuxième rapport périodique.</w:t>
      </w:r>
    </w:p>
    <w:p w14:paraId="18D6C12A" w14:textId="77777777" w:rsidR="003C48D6" w:rsidRPr="00FE012F" w:rsidRDefault="003C48D6" w:rsidP="00FE012F">
      <w:pPr>
        <w:pStyle w:val="H1G"/>
        <w:rPr>
          <w:lang w:val="fr-FR"/>
        </w:rPr>
      </w:pPr>
      <w:r w:rsidRPr="00F720A6">
        <w:rPr>
          <w:lang w:val="fr-FR"/>
        </w:rPr>
        <w:tab/>
      </w:r>
      <w:r w:rsidRPr="00FE012F">
        <w:rPr>
          <w:lang w:val="fr-FR"/>
        </w:rPr>
        <w:t>5.</w:t>
      </w:r>
      <w:r w:rsidRPr="00FE012F">
        <w:rPr>
          <w:lang w:val="fr-FR"/>
        </w:rPr>
        <w:tab/>
        <w:t>Violence à l</w:t>
      </w:r>
      <w:r w:rsidR="00254912">
        <w:rPr>
          <w:lang w:val="fr-FR"/>
        </w:rPr>
        <w:t>’</w:t>
      </w:r>
      <w:r w:rsidRPr="00FE012F">
        <w:rPr>
          <w:lang w:val="fr-FR"/>
        </w:rPr>
        <w:t xml:space="preserve">égard des enfants </w:t>
      </w:r>
      <w:r w:rsidR="00FE012F">
        <w:rPr>
          <w:lang w:val="fr-FR"/>
        </w:rPr>
        <w:br/>
      </w:r>
      <w:r w:rsidRPr="00FE012F">
        <w:rPr>
          <w:lang w:val="fr-FR"/>
        </w:rPr>
        <w:t>(art. 19, 24 (par. 3), 28 (par. 2), 34, 37 a) et 39)</w:t>
      </w:r>
      <w:bookmarkStart w:id="17" w:name="_Toc56781420"/>
      <w:bookmarkEnd w:id="17"/>
    </w:p>
    <w:p w14:paraId="01BD3031" w14:textId="77777777" w:rsidR="003C48D6" w:rsidRPr="00FE012F" w:rsidRDefault="003C48D6" w:rsidP="00FE012F">
      <w:pPr>
        <w:pStyle w:val="H23G"/>
        <w:rPr>
          <w:lang w:val="fr-FR"/>
        </w:rPr>
      </w:pPr>
      <w:r w:rsidRPr="00FE012F">
        <w:rPr>
          <w:lang w:val="fr-FR"/>
        </w:rPr>
        <w:tab/>
        <w:t>a)</w:t>
      </w:r>
      <w:r w:rsidRPr="00FE012F">
        <w:rPr>
          <w:lang w:val="fr-FR"/>
        </w:rPr>
        <w:tab/>
        <w:t>Maltraitance et négligence (art. 19)</w:t>
      </w:r>
      <w:bookmarkStart w:id="18" w:name="_Toc56781421"/>
      <w:bookmarkEnd w:id="18"/>
    </w:p>
    <w:p w14:paraId="51EE89A9" w14:textId="77777777" w:rsidR="003C48D6" w:rsidRPr="001C1645" w:rsidRDefault="003C48D6" w:rsidP="00FE012F">
      <w:pPr>
        <w:pStyle w:val="SingleTxtG"/>
        <w:rPr>
          <w:lang w:val="fr-FR"/>
        </w:rPr>
      </w:pPr>
      <w:r w:rsidRPr="00FE012F">
        <w:rPr>
          <w:lang w:val="fr-FR"/>
        </w:rPr>
        <w:t>36.</w:t>
      </w:r>
      <w:r w:rsidRPr="00FE012F">
        <w:rPr>
          <w:lang w:val="fr-FR"/>
        </w:rPr>
        <w:tab/>
        <w:t>Conscient de la nécessité d</w:t>
      </w:r>
      <w:r w:rsidR="00254912">
        <w:rPr>
          <w:lang w:val="fr-FR"/>
        </w:rPr>
        <w:t>’</w:t>
      </w:r>
      <w:r w:rsidRPr="00FE012F">
        <w:rPr>
          <w:lang w:val="fr-FR"/>
        </w:rPr>
        <w:t>appliquer une approche plurisectorielle, le Gouvernement a adopté une décision portant création d</w:t>
      </w:r>
      <w:r w:rsidR="00254912">
        <w:rPr>
          <w:lang w:val="fr-FR"/>
        </w:rPr>
        <w:t>’</w:t>
      </w:r>
      <w:r w:rsidRPr="00FE012F">
        <w:rPr>
          <w:lang w:val="fr-FR"/>
        </w:rPr>
        <w:t>un organe national de coordination pour la protection des enfants contre la maltraitance et la négligence, chargé de surveiller et de coordonner les activités correspondantes</w:t>
      </w:r>
      <w:r w:rsidRPr="002A465A">
        <w:rPr>
          <w:rStyle w:val="Appelnotedebasdep"/>
        </w:rPr>
        <w:footnoteReference w:id="11"/>
      </w:r>
      <w:r w:rsidRPr="00FE012F">
        <w:rPr>
          <w:lang w:val="fr-FR"/>
        </w:rPr>
        <w:t>.</w:t>
      </w:r>
    </w:p>
    <w:p w14:paraId="47240BA3" w14:textId="77777777" w:rsidR="003C48D6" w:rsidRPr="00FE012F" w:rsidRDefault="003C48D6" w:rsidP="00FE012F">
      <w:pPr>
        <w:pStyle w:val="SingleTxtG"/>
        <w:rPr>
          <w:lang w:val="fr-FR"/>
        </w:rPr>
      </w:pPr>
      <w:r w:rsidRPr="00FE012F">
        <w:rPr>
          <w:lang w:val="fr-FR"/>
        </w:rPr>
        <w:t>37.</w:t>
      </w:r>
      <w:r w:rsidRPr="00FE012F">
        <w:rPr>
          <w:lang w:val="fr-FR"/>
        </w:rPr>
        <w:tab/>
        <w:t>Le Plan d</w:t>
      </w:r>
      <w:r w:rsidR="00254912">
        <w:rPr>
          <w:lang w:val="fr-FR"/>
        </w:rPr>
        <w:t>’</w:t>
      </w:r>
      <w:r w:rsidRPr="00FE012F">
        <w:rPr>
          <w:lang w:val="fr-FR"/>
        </w:rPr>
        <w:t>action national 2013-2015 visant à prévenir et combattre la maltraitance et la négligence envers les enfants a été adopté en 2013, conjointement à des plans opérationnels pour la mise en œuvre des activités prévues en 2013 et 2014. Afin de garantir la coordination de l</w:t>
      </w:r>
      <w:r w:rsidR="00254912">
        <w:rPr>
          <w:lang w:val="fr-FR"/>
        </w:rPr>
        <w:t>’</w:t>
      </w:r>
      <w:r w:rsidRPr="00FE012F">
        <w:rPr>
          <w:lang w:val="fr-FR"/>
        </w:rPr>
        <w:t>action et la protection de l</w:t>
      </w:r>
      <w:r w:rsidR="00254912">
        <w:rPr>
          <w:lang w:val="fr-FR"/>
        </w:rPr>
        <w:t>’</w:t>
      </w:r>
      <w:r w:rsidRPr="00FE012F">
        <w:rPr>
          <w:lang w:val="fr-FR"/>
        </w:rPr>
        <w:t>intérêt supérieur des enfants, un protocole commun a été adopté pour réglementer les procédures applicables par les institutions qui détectent des cas de maltraitance ou de négligence et pour définir les modalités de la prise en charge des enfants victimes de maltraitance ou de négligence.</w:t>
      </w:r>
    </w:p>
    <w:p w14:paraId="4CDF44A1" w14:textId="77777777" w:rsidR="003C48D6" w:rsidRPr="00FE012F" w:rsidRDefault="003C48D6" w:rsidP="00FE012F">
      <w:pPr>
        <w:pStyle w:val="SingleTxtG"/>
        <w:rPr>
          <w:lang w:val="fr-FR"/>
        </w:rPr>
      </w:pPr>
      <w:r w:rsidRPr="00FE012F">
        <w:rPr>
          <w:lang w:val="fr-FR"/>
        </w:rPr>
        <w:t>38.</w:t>
      </w:r>
      <w:r w:rsidRPr="00FE012F">
        <w:rPr>
          <w:lang w:val="fr-FR"/>
        </w:rPr>
        <w:tab/>
        <w:t>Avec le soutien de l</w:t>
      </w:r>
      <w:r w:rsidR="00254912">
        <w:rPr>
          <w:lang w:val="fr-FR"/>
        </w:rPr>
        <w:t>’</w:t>
      </w:r>
      <w:r w:rsidRPr="00FE012F">
        <w:rPr>
          <w:lang w:val="fr-FR"/>
        </w:rPr>
        <w:t>UNICEF et de la Communauté européenne, et avec la participation d</w:t>
      </w:r>
      <w:r w:rsidR="00254912">
        <w:rPr>
          <w:lang w:val="fr-FR"/>
        </w:rPr>
        <w:t>’</w:t>
      </w:r>
      <w:r w:rsidRPr="00FE012F">
        <w:rPr>
          <w:lang w:val="fr-FR"/>
        </w:rPr>
        <w:t>organisations de la société civile, le Ministère du travail et de la politique sociale a mis en œuvre un certain nombre d</w:t>
      </w:r>
      <w:r w:rsidR="00254912">
        <w:rPr>
          <w:lang w:val="fr-FR"/>
        </w:rPr>
        <w:t>’</w:t>
      </w:r>
      <w:r w:rsidRPr="00FE012F">
        <w:rPr>
          <w:lang w:val="fr-FR"/>
        </w:rPr>
        <w:t xml:space="preserve">actions de protection des enfants contre la violence et la maltraitance. </w:t>
      </w:r>
    </w:p>
    <w:p w14:paraId="2C58BB37" w14:textId="77777777" w:rsidR="003C48D6" w:rsidRPr="00FE012F" w:rsidRDefault="003C48D6" w:rsidP="00FE012F">
      <w:pPr>
        <w:pStyle w:val="SingleTxtG"/>
        <w:rPr>
          <w:lang w:val="fr-FR"/>
        </w:rPr>
      </w:pPr>
      <w:r w:rsidRPr="00FE012F">
        <w:rPr>
          <w:lang w:val="fr-FR"/>
        </w:rPr>
        <w:t>39.</w:t>
      </w:r>
      <w:r w:rsidRPr="00FE012F">
        <w:rPr>
          <w:lang w:val="fr-FR"/>
        </w:rPr>
        <w:tab/>
        <w:t>Un système de collecte de données a été créé pour recueillir des informations sur les cas de violence contre les enfants, ce qui a contribué à renforcer la capacité des institutions concernées de suivre la situation.</w:t>
      </w:r>
      <w:r w:rsidR="00FE012F">
        <w:rPr>
          <w:lang w:val="fr-FR"/>
        </w:rPr>
        <w:t xml:space="preserve"> </w:t>
      </w:r>
      <w:r w:rsidRPr="00FE012F">
        <w:rPr>
          <w:lang w:val="fr-FR"/>
        </w:rPr>
        <w:t>Des indicateurs permettant de suivre la situation des enfants victimes ont été élaborés en 2017 pour les besoins de l</w:t>
      </w:r>
      <w:r w:rsidR="00254912">
        <w:rPr>
          <w:lang w:val="fr-FR"/>
        </w:rPr>
        <w:t>’</w:t>
      </w:r>
      <w:r w:rsidRPr="00FE012F">
        <w:rPr>
          <w:lang w:val="fr-FR"/>
        </w:rPr>
        <w:t>Organe national de coordination. Le</w:t>
      </w:r>
      <w:r w:rsidR="00340DA6">
        <w:rPr>
          <w:lang w:val="fr-FR"/>
        </w:rPr>
        <w:t> </w:t>
      </w:r>
      <w:r w:rsidRPr="00FE012F">
        <w:rPr>
          <w:lang w:val="fr-FR"/>
        </w:rPr>
        <w:t>rapport de situation final est élaboré sur la base des données collectées auprès de toutes les institutions concernées (Centre d</w:t>
      </w:r>
      <w:r w:rsidR="00254912">
        <w:rPr>
          <w:lang w:val="fr-FR"/>
        </w:rPr>
        <w:t>’</w:t>
      </w:r>
      <w:r w:rsidRPr="00FE012F">
        <w:rPr>
          <w:lang w:val="fr-FR"/>
        </w:rPr>
        <w:t>aide sociale, Ministère de l</w:t>
      </w:r>
      <w:r w:rsidR="00254912">
        <w:rPr>
          <w:lang w:val="fr-FR"/>
        </w:rPr>
        <w:t>’</w:t>
      </w:r>
      <w:r w:rsidRPr="00FE012F">
        <w:rPr>
          <w:lang w:val="fr-FR"/>
        </w:rPr>
        <w:t>éducation et des sciences, ONG, Ministère de la santé, Ministère de l</w:t>
      </w:r>
      <w:r w:rsidR="00254912">
        <w:rPr>
          <w:lang w:val="fr-FR"/>
        </w:rPr>
        <w:t>’</w:t>
      </w:r>
      <w:r w:rsidRPr="00FE012F">
        <w:rPr>
          <w:lang w:val="fr-FR"/>
        </w:rPr>
        <w:t>intérieur).</w:t>
      </w:r>
    </w:p>
    <w:p w14:paraId="631307F1" w14:textId="77777777" w:rsidR="003C48D6" w:rsidRPr="00FE012F" w:rsidRDefault="003C48D6" w:rsidP="00FE012F">
      <w:pPr>
        <w:pStyle w:val="SingleTxtG"/>
        <w:rPr>
          <w:lang w:val="fr-FR"/>
        </w:rPr>
      </w:pPr>
      <w:r w:rsidRPr="00FE012F">
        <w:rPr>
          <w:lang w:val="fr-FR"/>
        </w:rPr>
        <w:t>40.</w:t>
      </w:r>
      <w:r w:rsidRPr="00FE012F">
        <w:rPr>
          <w:lang w:val="fr-FR"/>
        </w:rPr>
        <w:tab/>
        <w:t>En novembre et décembre 2017, quatre formations de deux jours ont réuni 13 participants issus des centres d</w:t>
      </w:r>
      <w:r w:rsidR="00254912">
        <w:rPr>
          <w:lang w:val="fr-FR"/>
        </w:rPr>
        <w:t>’</w:t>
      </w:r>
      <w:r w:rsidRPr="00FE012F">
        <w:rPr>
          <w:lang w:val="fr-FR"/>
        </w:rPr>
        <w:t>aide sociale.</w:t>
      </w:r>
    </w:p>
    <w:p w14:paraId="6C249605" w14:textId="77777777" w:rsidR="003C48D6" w:rsidRPr="001C1645" w:rsidRDefault="003C48D6" w:rsidP="00340DA6">
      <w:pPr>
        <w:pStyle w:val="SingleTxtG"/>
        <w:keepNext/>
        <w:keepLines/>
        <w:rPr>
          <w:lang w:val="fr-FR"/>
        </w:rPr>
      </w:pPr>
      <w:r w:rsidRPr="00FE012F">
        <w:rPr>
          <w:lang w:val="fr-FR"/>
        </w:rPr>
        <w:lastRenderedPageBreak/>
        <w:t>41.</w:t>
      </w:r>
      <w:r w:rsidRPr="00FE012F">
        <w:rPr>
          <w:lang w:val="fr-FR"/>
        </w:rPr>
        <w:tab/>
        <w:t>En 2017 et en 2018, des formations ont été organisées pour les professionnels travaillant dans les secteurs de la protection sociale, des soins de santé, de l</w:t>
      </w:r>
      <w:r w:rsidR="00254912">
        <w:rPr>
          <w:lang w:val="fr-FR"/>
        </w:rPr>
        <w:t>’</w:t>
      </w:r>
      <w:r w:rsidRPr="00FE012F">
        <w:rPr>
          <w:lang w:val="fr-FR"/>
        </w:rPr>
        <w:t>éducation, de la justice et de la police sur les procédures intersectorielles à suivre pour protéger les enfants contre la maltraitance et la négligence</w:t>
      </w:r>
      <w:r w:rsidRPr="002A465A">
        <w:rPr>
          <w:rStyle w:val="Appelnotedebasdep"/>
        </w:rPr>
        <w:footnoteReference w:id="12"/>
      </w:r>
      <w:r w:rsidRPr="00FE012F">
        <w:rPr>
          <w:lang w:val="fr-FR"/>
        </w:rPr>
        <w:t>.</w:t>
      </w:r>
    </w:p>
    <w:p w14:paraId="529C261E" w14:textId="77777777" w:rsidR="003C48D6" w:rsidRPr="00FE012F" w:rsidRDefault="003C48D6" w:rsidP="00FE012F">
      <w:pPr>
        <w:pStyle w:val="SingleTxtG"/>
        <w:rPr>
          <w:lang w:val="fr-FR"/>
        </w:rPr>
      </w:pPr>
      <w:r w:rsidRPr="00FE012F">
        <w:rPr>
          <w:lang w:val="fr-FR"/>
        </w:rPr>
        <w:t>42.</w:t>
      </w:r>
      <w:r w:rsidRPr="00FE012F">
        <w:rPr>
          <w:lang w:val="fr-FR"/>
        </w:rPr>
        <w:tab/>
        <w:t>Une campagne d</w:t>
      </w:r>
      <w:r w:rsidR="00254912">
        <w:rPr>
          <w:lang w:val="fr-FR"/>
        </w:rPr>
        <w:t>’</w:t>
      </w:r>
      <w:r w:rsidRPr="00FE012F">
        <w:rPr>
          <w:lang w:val="fr-FR"/>
        </w:rPr>
        <w:t xml:space="preserve">encouragement à une parentalité responsable a été lancée en vue de renforcer les capacités des parents à élever leurs enfants. </w:t>
      </w:r>
    </w:p>
    <w:p w14:paraId="4B6F20BE" w14:textId="77777777" w:rsidR="003C48D6" w:rsidRPr="00FE012F" w:rsidRDefault="003C48D6" w:rsidP="00FE012F">
      <w:pPr>
        <w:pStyle w:val="SingleTxtG"/>
        <w:rPr>
          <w:lang w:val="fr-FR"/>
        </w:rPr>
      </w:pPr>
      <w:r w:rsidRPr="00FE012F">
        <w:rPr>
          <w:lang w:val="fr-FR"/>
        </w:rPr>
        <w:t>43.</w:t>
      </w:r>
      <w:r w:rsidRPr="00FE012F">
        <w:rPr>
          <w:lang w:val="fr-FR"/>
        </w:rPr>
        <w:tab/>
        <w:t>Dans les cas de maltraitance ou de négligence des enfants, et compte dûment tenu de l</w:t>
      </w:r>
      <w:r w:rsidR="00254912">
        <w:rPr>
          <w:lang w:val="fr-FR"/>
        </w:rPr>
        <w:t>’</w:t>
      </w:r>
      <w:r w:rsidRPr="00FE012F">
        <w:rPr>
          <w:lang w:val="fr-FR"/>
        </w:rPr>
        <w:t>intérêt de l</w:t>
      </w:r>
      <w:r w:rsidR="00254912">
        <w:rPr>
          <w:lang w:val="fr-FR"/>
        </w:rPr>
        <w:t>’</w:t>
      </w:r>
      <w:r w:rsidRPr="00FE012F">
        <w:rPr>
          <w:lang w:val="fr-FR"/>
        </w:rPr>
        <w:t>enfant, les centres d</w:t>
      </w:r>
      <w:r w:rsidR="00254912">
        <w:rPr>
          <w:lang w:val="fr-FR"/>
        </w:rPr>
        <w:t>’</w:t>
      </w:r>
      <w:r w:rsidRPr="00FE012F">
        <w:rPr>
          <w:lang w:val="fr-FR"/>
        </w:rPr>
        <w:t>aide sociale prennent des mesures de placement et de prise en charge des enfants concernés, ainsi que des mesures pour leur réadaptation et leur réinsertion sociale. La plupart de ces enfants victimes sont placés dans des familles d</w:t>
      </w:r>
      <w:r w:rsidR="00254912">
        <w:rPr>
          <w:lang w:val="fr-FR"/>
        </w:rPr>
        <w:t>’</w:t>
      </w:r>
      <w:r w:rsidRPr="00FE012F">
        <w:rPr>
          <w:lang w:val="fr-FR"/>
        </w:rPr>
        <w:t>accueil ou bénéficient d</w:t>
      </w:r>
      <w:r w:rsidR="00254912">
        <w:rPr>
          <w:lang w:val="fr-FR"/>
        </w:rPr>
        <w:t>’</w:t>
      </w:r>
      <w:r w:rsidRPr="00FE012F">
        <w:rPr>
          <w:lang w:val="fr-FR"/>
        </w:rPr>
        <w:t>autres formes de prise en charge assurant les conditions de leur rétablissement et de leur réinsertion sociale.</w:t>
      </w:r>
    </w:p>
    <w:p w14:paraId="0147FCAF" w14:textId="77777777" w:rsidR="003C48D6" w:rsidRPr="00FE012F" w:rsidRDefault="003C48D6" w:rsidP="00FE012F">
      <w:pPr>
        <w:pStyle w:val="SingleTxtG"/>
        <w:rPr>
          <w:lang w:val="fr-FR"/>
        </w:rPr>
      </w:pPr>
      <w:r w:rsidRPr="00FE012F">
        <w:rPr>
          <w:lang w:val="fr-FR"/>
        </w:rPr>
        <w:t>44.</w:t>
      </w:r>
      <w:r w:rsidRPr="00FE012F">
        <w:rPr>
          <w:lang w:val="fr-FR"/>
        </w:rPr>
        <w:tab/>
        <w:t>Des procédures pour la protection des enfants victimes ont été élaborées et adoptées en 2014 avec le soutien de l</w:t>
      </w:r>
      <w:r w:rsidR="00254912">
        <w:rPr>
          <w:lang w:val="fr-FR"/>
        </w:rPr>
        <w:t>’</w:t>
      </w:r>
      <w:r w:rsidRPr="00FE012F">
        <w:rPr>
          <w:lang w:val="fr-FR"/>
        </w:rPr>
        <w:t xml:space="preserve">UNICEF. </w:t>
      </w:r>
    </w:p>
    <w:p w14:paraId="41B56904" w14:textId="77777777" w:rsidR="003C48D6" w:rsidRPr="002A465A" w:rsidRDefault="003C48D6" w:rsidP="00FE012F">
      <w:pPr>
        <w:pStyle w:val="SingleTxtG"/>
        <w:rPr>
          <w:lang w:val="fr-FR"/>
        </w:rPr>
      </w:pPr>
      <w:r w:rsidRPr="002A465A">
        <w:rPr>
          <w:lang w:val="fr-FR"/>
        </w:rPr>
        <w:t>45.</w:t>
      </w:r>
      <w:r w:rsidRPr="002A465A">
        <w:rPr>
          <w:lang w:val="fr-FR"/>
        </w:rPr>
        <w:tab/>
        <w:t>Afin d</w:t>
      </w:r>
      <w:r w:rsidR="00254912">
        <w:rPr>
          <w:lang w:val="fr-FR"/>
        </w:rPr>
        <w:t>’</w:t>
      </w:r>
      <w:r w:rsidRPr="002A465A">
        <w:rPr>
          <w:lang w:val="fr-FR"/>
        </w:rPr>
        <w:t>assurer une formation adéquate sur les programmes de prévention, les</w:t>
      </w:r>
      <w:r w:rsidR="00C12845">
        <w:rPr>
          <w:lang w:val="fr-FR"/>
        </w:rPr>
        <w:t> </w:t>
      </w:r>
      <w:r w:rsidRPr="002A465A">
        <w:rPr>
          <w:lang w:val="fr-FR"/>
        </w:rPr>
        <w:t>professionnels qui travaillent dans toutes les institutions offrant une protection sociale bénéficient d</w:t>
      </w:r>
      <w:r w:rsidR="00254912">
        <w:rPr>
          <w:lang w:val="fr-FR"/>
        </w:rPr>
        <w:t>’</w:t>
      </w:r>
      <w:r w:rsidRPr="002A465A">
        <w:rPr>
          <w:lang w:val="fr-FR"/>
        </w:rPr>
        <w:t>une formation continue dans le cadre du cursus les menant à obtenir leur qualification. Un module sur la protection des enfants contre la violence a été élaboré pour cette formation.</w:t>
      </w:r>
    </w:p>
    <w:p w14:paraId="678A9512" w14:textId="77777777" w:rsidR="003C48D6" w:rsidRPr="002A465A" w:rsidRDefault="003C48D6" w:rsidP="00553C2A">
      <w:pPr>
        <w:pStyle w:val="H23G"/>
        <w:rPr>
          <w:rStyle w:val="Appelnotedebasdep"/>
          <w:b w:val="0"/>
          <w:bCs/>
          <w:lang w:val="fr-FR"/>
        </w:rPr>
      </w:pPr>
      <w:r w:rsidRPr="002A465A">
        <w:rPr>
          <w:lang w:val="fr-FR"/>
        </w:rPr>
        <w:tab/>
      </w:r>
      <w:r w:rsidRPr="002A465A">
        <w:rPr>
          <w:lang w:val="fr-FR"/>
        </w:rPr>
        <w:tab/>
        <w:t>Statistiques 2017 relatives aux enfants victimes pris en charge dans les centres d</w:t>
      </w:r>
      <w:r w:rsidR="00254912">
        <w:rPr>
          <w:lang w:val="fr-FR"/>
        </w:rPr>
        <w:t>’</w:t>
      </w:r>
      <w:r w:rsidRPr="002A465A">
        <w:rPr>
          <w:lang w:val="fr-FR"/>
        </w:rPr>
        <w:t>aide sociale, ventilées par types de violence, de maltraitance ou de négligence</w:t>
      </w:r>
      <w:r w:rsidRPr="00553C2A">
        <w:rPr>
          <w:rStyle w:val="Appelnotedebasdep"/>
          <w:b w:val="0"/>
          <w:bCs/>
        </w:rPr>
        <w:footnoteReference w:id="13"/>
      </w:r>
      <w:bookmarkStart w:id="19" w:name="_Toc56781422"/>
      <w:bookmarkEnd w:id="19"/>
    </w:p>
    <w:tbl>
      <w:tblPr>
        <w:tblW w:w="7370" w:type="dxa"/>
        <w:tblInd w:w="1134" w:type="dxa"/>
        <w:tblLayout w:type="fixed"/>
        <w:tblCellMar>
          <w:left w:w="0" w:type="dxa"/>
          <w:right w:w="0" w:type="dxa"/>
        </w:tblCellMar>
        <w:tblLook w:val="00A0" w:firstRow="1" w:lastRow="0" w:firstColumn="1" w:lastColumn="0" w:noHBand="0" w:noVBand="0"/>
      </w:tblPr>
      <w:tblGrid>
        <w:gridCol w:w="4136"/>
        <w:gridCol w:w="3234"/>
      </w:tblGrid>
      <w:tr w:rsidR="003C48D6" w:rsidRPr="00553C2A" w14:paraId="06F19D9F" w14:textId="77777777" w:rsidTr="00553C2A">
        <w:trPr>
          <w:tblHeader/>
        </w:trPr>
        <w:tc>
          <w:tcPr>
            <w:tcW w:w="4136" w:type="dxa"/>
            <w:tcBorders>
              <w:top w:val="single" w:sz="4" w:space="0" w:color="auto"/>
              <w:bottom w:val="single" w:sz="12" w:space="0" w:color="auto"/>
            </w:tcBorders>
            <w:shd w:val="clear" w:color="auto" w:fill="auto"/>
            <w:vAlign w:val="bottom"/>
          </w:tcPr>
          <w:p w14:paraId="4A85B7F1" w14:textId="77777777" w:rsidR="003C48D6" w:rsidRPr="00553C2A" w:rsidRDefault="003C48D6" w:rsidP="00553C2A">
            <w:pPr>
              <w:suppressAutoHyphens w:val="0"/>
              <w:spacing w:before="80" w:after="80" w:line="200" w:lineRule="exact"/>
              <w:rPr>
                <w:i/>
                <w:sz w:val="16"/>
                <w:lang w:val="fr-FR"/>
              </w:rPr>
            </w:pPr>
            <w:r w:rsidRPr="00553C2A">
              <w:rPr>
                <w:i/>
                <w:sz w:val="16"/>
                <w:lang w:val="fr-FR"/>
              </w:rPr>
              <w:t xml:space="preserve">Type de violence (négligence et maltraitance) </w:t>
            </w:r>
          </w:p>
        </w:tc>
        <w:tc>
          <w:tcPr>
            <w:tcW w:w="3234" w:type="dxa"/>
            <w:tcBorders>
              <w:top w:val="single" w:sz="4" w:space="0" w:color="auto"/>
              <w:bottom w:val="single" w:sz="12" w:space="0" w:color="auto"/>
            </w:tcBorders>
            <w:shd w:val="clear" w:color="auto" w:fill="auto"/>
            <w:vAlign w:val="bottom"/>
          </w:tcPr>
          <w:p w14:paraId="06EE81AE" w14:textId="77777777" w:rsidR="003C48D6" w:rsidRPr="00553C2A" w:rsidRDefault="003C48D6" w:rsidP="00553C2A">
            <w:pPr>
              <w:suppressAutoHyphens w:val="0"/>
              <w:spacing w:before="80" w:after="80" w:line="200" w:lineRule="exact"/>
              <w:jc w:val="right"/>
              <w:rPr>
                <w:i/>
                <w:sz w:val="16"/>
                <w:lang w:val="fr-FR"/>
              </w:rPr>
            </w:pPr>
            <w:r w:rsidRPr="00553C2A">
              <w:rPr>
                <w:i/>
                <w:sz w:val="16"/>
                <w:lang w:val="fr-FR"/>
              </w:rPr>
              <w:t>Nombre d</w:t>
            </w:r>
            <w:r w:rsidR="00254912">
              <w:rPr>
                <w:i/>
                <w:sz w:val="16"/>
                <w:lang w:val="fr-FR"/>
              </w:rPr>
              <w:t>’</w:t>
            </w:r>
            <w:r w:rsidRPr="00553C2A">
              <w:rPr>
                <w:i/>
                <w:sz w:val="16"/>
                <w:lang w:val="fr-FR"/>
              </w:rPr>
              <w:t>enfants victimes</w:t>
            </w:r>
          </w:p>
        </w:tc>
      </w:tr>
      <w:tr w:rsidR="003C48D6" w:rsidRPr="00553C2A" w14:paraId="5FB18D9D" w14:textId="77777777" w:rsidTr="00553C2A">
        <w:tc>
          <w:tcPr>
            <w:tcW w:w="4136" w:type="dxa"/>
            <w:tcBorders>
              <w:top w:val="single" w:sz="12" w:space="0" w:color="auto"/>
            </w:tcBorders>
            <w:shd w:val="clear" w:color="auto" w:fill="auto"/>
          </w:tcPr>
          <w:p w14:paraId="7E389315" w14:textId="77777777" w:rsidR="003C48D6" w:rsidRPr="00553C2A" w:rsidRDefault="003C48D6" w:rsidP="00553C2A">
            <w:pPr>
              <w:suppressAutoHyphens w:val="0"/>
              <w:spacing w:before="40" w:after="40" w:line="220" w:lineRule="exact"/>
              <w:rPr>
                <w:sz w:val="18"/>
                <w:szCs w:val="18"/>
                <w:lang w:val="fr-FR"/>
              </w:rPr>
            </w:pPr>
            <w:r w:rsidRPr="00553C2A">
              <w:rPr>
                <w:sz w:val="18"/>
                <w:szCs w:val="18"/>
                <w:lang w:val="fr-FR"/>
              </w:rPr>
              <w:t xml:space="preserve">Négligence </w:t>
            </w:r>
          </w:p>
        </w:tc>
        <w:tc>
          <w:tcPr>
            <w:tcW w:w="3234" w:type="dxa"/>
            <w:tcBorders>
              <w:top w:val="single" w:sz="12" w:space="0" w:color="auto"/>
            </w:tcBorders>
            <w:shd w:val="clear" w:color="auto" w:fill="auto"/>
            <w:vAlign w:val="bottom"/>
          </w:tcPr>
          <w:p w14:paraId="5B6F80EB" w14:textId="77777777" w:rsidR="003C48D6" w:rsidRPr="00553C2A" w:rsidRDefault="003C48D6" w:rsidP="00553C2A">
            <w:pPr>
              <w:suppressAutoHyphens w:val="0"/>
              <w:spacing w:before="40" w:after="40" w:line="220" w:lineRule="exact"/>
              <w:jc w:val="right"/>
              <w:rPr>
                <w:sz w:val="18"/>
                <w:szCs w:val="18"/>
                <w:lang w:val="fr-FR"/>
              </w:rPr>
            </w:pPr>
            <w:r w:rsidRPr="00553C2A">
              <w:rPr>
                <w:sz w:val="18"/>
                <w:szCs w:val="18"/>
                <w:lang w:val="fr-FR"/>
              </w:rPr>
              <w:t>70</w:t>
            </w:r>
          </w:p>
        </w:tc>
      </w:tr>
      <w:tr w:rsidR="003C48D6" w:rsidRPr="00553C2A" w14:paraId="074A37ED" w14:textId="77777777" w:rsidTr="00553C2A">
        <w:tc>
          <w:tcPr>
            <w:tcW w:w="4136" w:type="dxa"/>
            <w:shd w:val="clear" w:color="auto" w:fill="auto"/>
          </w:tcPr>
          <w:p w14:paraId="39929C7F" w14:textId="77777777" w:rsidR="003C48D6" w:rsidRPr="00553C2A" w:rsidRDefault="003C48D6" w:rsidP="00553C2A">
            <w:pPr>
              <w:suppressAutoHyphens w:val="0"/>
              <w:spacing w:before="40" w:after="40" w:line="220" w:lineRule="exact"/>
              <w:rPr>
                <w:sz w:val="18"/>
                <w:szCs w:val="18"/>
                <w:lang w:val="fr-FR"/>
              </w:rPr>
            </w:pPr>
            <w:r w:rsidRPr="00553C2A">
              <w:rPr>
                <w:sz w:val="18"/>
                <w:szCs w:val="18"/>
                <w:lang w:val="fr-FR"/>
              </w:rPr>
              <w:t xml:space="preserve">Maltraitances physiques </w:t>
            </w:r>
          </w:p>
        </w:tc>
        <w:tc>
          <w:tcPr>
            <w:tcW w:w="3234" w:type="dxa"/>
            <w:shd w:val="clear" w:color="auto" w:fill="auto"/>
            <w:vAlign w:val="bottom"/>
          </w:tcPr>
          <w:p w14:paraId="488A9385" w14:textId="77777777" w:rsidR="003C48D6" w:rsidRPr="00553C2A" w:rsidRDefault="003C48D6" w:rsidP="00553C2A">
            <w:pPr>
              <w:suppressAutoHyphens w:val="0"/>
              <w:spacing w:before="40" w:after="40" w:line="220" w:lineRule="exact"/>
              <w:jc w:val="right"/>
              <w:rPr>
                <w:sz w:val="18"/>
                <w:szCs w:val="18"/>
                <w:lang w:val="fr-FR"/>
              </w:rPr>
            </w:pPr>
            <w:r w:rsidRPr="00553C2A">
              <w:rPr>
                <w:sz w:val="18"/>
                <w:szCs w:val="18"/>
                <w:lang w:val="fr-FR"/>
              </w:rPr>
              <w:t>71</w:t>
            </w:r>
          </w:p>
        </w:tc>
      </w:tr>
      <w:tr w:rsidR="003C48D6" w:rsidRPr="00553C2A" w14:paraId="2F500F1B" w14:textId="77777777" w:rsidTr="00553C2A">
        <w:tc>
          <w:tcPr>
            <w:tcW w:w="4136" w:type="dxa"/>
            <w:shd w:val="clear" w:color="auto" w:fill="auto"/>
          </w:tcPr>
          <w:p w14:paraId="45503412" w14:textId="77777777" w:rsidR="003C48D6" w:rsidRPr="00553C2A" w:rsidRDefault="003C48D6" w:rsidP="00553C2A">
            <w:pPr>
              <w:suppressAutoHyphens w:val="0"/>
              <w:spacing w:before="40" w:after="40" w:line="220" w:lineRule="exact"/>
              <w:rPr>
                <w:sz w:val="18"/>
                <w:szCs w:val="18"/>
                <w:lang w:val="fr-FR"/>
              </w:rPr>
            </w:pPr>
            <w:r w:rsidRPr="00553C2A">
              <w:rPr>
                <w:sz w:val="18"/>
                <w:szCs w:val="18"/>
                <w:lang w:val="fr-FR"/>
              </w:rPr>
              <w:t xml:space="preserve">Maltraitances psychologiques </w:t>
            </w:r>
          </w:p>
        </w:tc>
        <w:tc>
          <w:tcPr>
            <w:tcW w:w="3234" w:type="dxa"/>
            <w:shd w:val="clear" w:color="auto" w:fill="auto"/>
            <w:vAlign w:val="bottom"/>
          </w:tcPr>
          <w:p w14:paraId="30EA807D" w14:textId="77777777" w:rsidR="003C48D6" w:rsidRPr="00553C2A" w:rsidRDefault="003C48D6" w:rsidP="00553C2A">
            <w:pPr>
              <w:suppressAutoHyphens w:val="0"/>
              <w:spacing w:before="40" w:after="40" w:line="220" w:lineRule="exact"/>
              <w:jc w:val="right"/>
              <w:rPr>
                <w:sz w:val="18"/>
                <w:szCs w:val="18"/>
                <w:lang w:val="fr-FR"/>
              </w:rPr>
            </w:pPr>
            <w:r w:rsidRPr="00553C2A">
              <w:rPr>
                <w:sz w:val="18"/>
                <w:szCs w:val="18"/>
                <w:lang w:val="fr-FR"/>
              </w:rPr>
              <w:t>143</w:t>
            </w:r>
          </w:p>
        </w:tc>
      </w:tr>
      <w:tr w:rsidR="003C48D6" w:rsidRPr="00553C2A" w14:paraId="48A5F539" w14:textId="77777777" w:rsidTr="00553C2A">
        <w:tc>
          <w:tcPr>
            <w:tcW w:w="4136" w:type="dxa"/>
            <w:shd w:val="clear" w:color="auto" w:fill="auto"/>
          </w:tcPr>
          <w:p w14:paraId="2D605487" w14:textId="77777777" w:rsidR="003C48D6" w:rsidRPr="00553C2A" w:rsidRDefault="003C48D6" w:rsidP="00553C2A">
            <w:pPr>
              <w:suppressAutoHyphens w:val="0"/>
              <w:spacing w:before="40" w:after="40" w:line="220" w:lineRule="exact"/>
              <w:rPr>
                <w:sz w:val="18"/>
                <w:szCs w:val="18"/>
                <w:lang w:val="fr-FR"/>
              </w:rPr>
            </w:pPr>
            <w:r w:rsidRPr="00553C2A">
              <w:rPr>
                <w:sz w:val="18"/>
                <w:szCs w:val="18"/>
                <w:lang w:val="fr-FR"/>
              </w:rPr>
              <w:t xml:space="preserve">Atteintes sexuelles </w:t>
            </w:r>
          </w:p>
        </w:tc>
        <w:tc>
          <w:tcPr>
            <w:tcW w:w="3234" w:type="dxa"/>
            <w:shd w:val="clear" w:color="auto" w:fill="auto"/>
            <w:vAlign w:val="bottom"/>
          </w:tcPr>
          <w:p w14:paraId="63979116" w14:textId="77777777" w:rsidR="003C48D6" w:rsidRPr="00553C2A" w:rsidRDefault="003C48D6" w:rsidP="00553C2A">
            <w:pPr>
              <w:suppressAutoHyphens w:val="0"/>
              <w:spacing w:before="40" w:after="40" w:line="220" w:lineRule="exact"/>
              <w:jc w:val="right"/>
              <w:rPr>
                <w:sz w:val="18"/>
                <w:szCs w:val="18"/>
                <w:lang w:val="fr-FR"/>
              </w:rPr>
            </w:pPr>
            <w:r w:rsidRPr="00553C2A">
              <w:rPr>
                <w:sz w:val="18"/>
                <w:szCs w:val="18"/>
                <w:lang w:val="fr-FR"/>
              </w:rPr>
              <w:t>26</w:t>
            </w:r>
          </w:p>
        </w:tc>
      </w:tr>
      <w:tr w:rsidR="003C48D6" w:rsidRPr="00553C2A" w14:paraId="79838ED4" w14:textId="77777777" w:rsidTr="00553C2A">
        <w:tc>
          <w:tcPr>
            <w:tcW w:w="4136" w:type="dxa"/>
            <w:tcBorders>
              <w:bottom w:val="single" w:sz="12" w:space="0" w:color="auto"/>
            </w:tcBorders>
            <w:shd w:val="clear" w:color="auto" w:fill="auto"/>
          </w:tcPr>
          <w:p w14:paraId="21BD6BB1" w14:textId="77777777" w:rsidR="003C48D6" w:rsidRPr="00553C2A" w:rsidRDefault="003C48D6" w:rsidP="00553C2A">
            <w:pPr>
              <w:suppressAutoHyphens w:val="0"/>
              <w:spacing w:before="40" w:after="40" w:line="220" w:lineRule="exact"/>
              <w:rPr>
                <w:sz w:val="18"/>
                <w:szCs w:val="18"/>
                <w:lang w:val="fr-FR"/>
              </w:rPr>
            </w:pPr>
            <w:r w:rsidRPr="00553C2A">
              <w:rPr>
                <w:sz w:val="18"/>
                <w:szCs w:val="18"/>
                <w:lang w:val="fr-FR"/>
              </w:rPr>
              <w:t>Autres types de violences</w:t>
            </w:r>
          </w:p>
        </w:tc>
        <w:tc>
          <w:tcPr>
            <w:tcW w:w="3234" w:type="dxa"/>
            <w:tcBorders>
              <w:bottom w:val="single" w:sz="12" w:space="0" w:color="auto"/>
            </w:tcBorders>
            <w:shd w:val="clear" w:color="auto" w:fill="auto"/>
            <w:vAlign w:val="bottom"/>
          </w:tcPr>
          <w:p w14:paraId="7AD932EC" w14:textId="77777777" w:rsidR="003C48D6" w:rsidRPr="00553C2A" w:rsidRDefault="003C48D6" w:rsidP="00553C2A">
            <w:pPr>
              <w:suppressAutoHyphens w:val="0"/>
              <w:spacing w:before="40" w:after="40" w:line="220" w:lineRule="exact"/>
              <w:jc w:val="right"/>
              <w:rPr>
                <w:sz w:val="18"/>
                <w:szCs w:val="18"/>
                <w:lang w:val="fr-FR"/>
              </w:rPr>
            </w:pPr>
            <w:r w:rsidRPr="00553C2A">
              <w:rPr>
                <w:sz w:val="18"/>
                <w:szCs w:val="18"/>
                <w:lang w:val="fr-FR"/>
              </w:rPr>
              <w:t>17</w:t>
            </w:r>
          </w:p>
        </w:tc>
      </w:tr>
    </w:tbl>
    <w:p w14:paraId="470B4809" w14:textId="77777777" w:rsidR="003C48D6" w:rsidRPr="002A465A" w:rsidRDefault="003C48D6" w:rsidP="00771C9B">
      <w:pPr>
        <w:pStyle w:val="SingleTxtG"/>
        <w:spacing w:before="240"/>
        <w:rPr>
          <w:lang w:val="fr-FR"/>
        </w:rPr>
      </w:pPr>
      <w:r w:rsidRPr="002A465A">
        <w:rPr>
          <w:lang w:val="fr-FR"/>
        </w:rPr>
        <w:t>46.</w:t>
      </w:r>
      <w:r w:rsidRPr="002A465A">
        <w:rPr>
          <w:lang w:val="fr-FR"/>
        </w:rPr>
        <w:tab/>
        <w:t>S</w:t>
      </w:r>
      <w:r w:rsidR="00254912">
        <w:rPr>
          <w:lang w:val="fr-FR"/>
        </w:rPr>
        <w:t>’</w:t>
      </w:r>
      <w:r w:rsidRPr="002A465A">
        <w:rPr>
          <w:lang w:val="fr-FR"/>
        </w:rPr>
        <w:t>agissant des cas de châtiments corporels, quel que soit l</w:t>
      </w:r>
      <w:r w:rsidR="00254912">
        <w:rPr>
          <w:lang w:val="fr-FR"/>
        </w:rPr>
        <w:t>’</w:t>
      </w:r>
      <w:r w:rsidRPr="002A465A">
        <w:rPr>
          <w:lang w:val="fr-FR"/>
        </w:rPr>
        <w:t>environnement (institutions de protection de l</w:t>
      </w:r>
      <w:r w:rsidR="00254912">
        <w:rPr>
          <w:lang w:val="fr-FR"/>
        </w:rPr>
        <w:t>’</w:t>
      </w:r>
      <w:r w:rsidRPr="002A465A">
        <w:rPr>
          <w:lang w:val="fr-FR"/>
        </w:rPr>
        <w:t>enfance, familles, familles d</w:t>
      </w:r>
      <w:r w:rsidR="00254912">
        <w:rPr>
          <w:lang w:val="fr-FR"/>
        </w:rPr>
        <w:t>’</w:t>
      </w:r>
      <w:r w:rsidRPr="002A465A">
        <w:rPr>
          <w:lang w:val="fr-FR"/>
        </w:rPr>
        <w:t>accueil, institutions et autres entités fournissant des services à l</w:t>
      </w:r>
      <w:r w:rsidR="00254912">
        <w:rPr>
          <w:lang w:val="fr-FR"/>
        </w:rPr>
        <w:t>’</w:t>
      </w:r>
      <w:r w:rsidRPr="002A465A">
        <w:rPr>
          <w:lang w:val="fr-FR"/>
        </w:rPr>
        <w:t>enfance), ainsi que du nombre de cas d</w:t>
      </w:r>
      <w:r w:rsidR="00254912">
        <w:rPr>
          <w:lang w:val="fr-FR"/>
        </w:rPr>
        <w:t>’</w:t>
      </w:r>
      <w:r w:rsidRPr="002A465A">
        <w:rPr>
          <w:lang w:val="fr-FR"/>
        </w:rPr>
        <w:t>intimidation et de mauvais traitements, pour 2017, les centres d</w:t>
      </w:r>
      <w:r w:rsidR="00254912">
        <w:rPr>
          <w:lang w:val="fr-FR"/>
        </w:rPr>
        <w:t>’</w:t>
      </w:r>
      <w:r w:rsidRPr="002A465A">
        <w:rPr>
          <w:lang w:val="fr-FR"/>
        </w:rPr>
        <w:t>aide sociale ont pris connaissance des situations de 72 enfants subissant ces types de violence. La plupart des incidents de violences physiques contre les enfants ont été répertoriés dans la catégorie des risques sociaux de violence familiale. Les auteurs de violences physiques contre les enfants sont majoritairement les parents, et ces situations de maltraitance ont été signalées par le Ministère de l</w:t>
      </w:r>
      <w:r w:rsidR="00254912">
        <w:rPr>
          <w:lang w:val="fr-FR"/>
        </w:rPr>
        <w:t>’</w:t>
      </w:r>
      <w:r w:rsidRPr="002A465A">
        <w:rPr>
          <w:lang w:val="fr-FR"/>
        </w:rPr>
        <w:t>intérieur, au travers des centres d</w:t>
      </w:r>
      <w:r w:rsidR="00254912">
        <w:rPr>
          <w:lang w:val="fr-FR"/>
        </w:rPr>
        <w:t>’</w:t>
      </w:r>
      <w:r w:rsidRPr="002A465A">
        <w:rPr>
          <w:lang w:val="fr-FR"/>
        </w:rPr>
        <w:t>aide sociale. Près de 22 % du nombre total des enfants concernés par ces signalements étaient soumis à des violences au sein de la famille, par des personnes censées prendre soin d</w:t>
      </w:r>
      <w:r w:rsidR="00254912">
        <w:rPr>
          <w:lang w:val="fr-FR"/>
        </w:rPr>
        <w:t>’</w:t>
      </w:r>
      <w:r w:rsidRPr="002A465A">
        <w:rPr>
          <w:lang w:val="fr-FR"/>
        </w:rPr>
        <w:t>eux.</w:t>
      </w:r>
    </w:p>
    <w:p w14:paraId="16D76633" w14:textId="77777777" w:rsidR="003C48D6" w:rsidRPr="002A465A" w:rsidRDefault="003C48D6" w:rsidP="00553C2A">
      <w:pPr>
        <w:pStyle w:val="H23G"/>
        <w:rPr>
          <w:lang w:val="fr-FR"/>
        </w:rPr>
      </w:pPr>
      <w:r w:rsidRPr="002A465A">
        <w:rPr>
          <w:lang w:val="fr-FR"/>
        </w:rPr>
        <w:tab/>
        <w:t>b)</w:t>
      </w:r>
      <w:r w:rsidRPr="002A465A">
        <w:rPr>
          <w:lang w:val="fr-FR"/>
        </w:rPr>
        <w:tab/>
      </w:r>
      <w:r w:rsidRPr="002A465A">
        <w:rPr>
          <w:bCs/>
          <w:lang w:val="fr-FR"/>
        </w:rPr>
        <w:t xml:space="preserve">Mesures prises </w:t>
      </w:r>
      <w:r w:rsidRPr="00553C2A">
        <w:rPr>
          <w:lang w:val="fr-FR"/>
        </w:rPr>
        <w:t>pour</w:t>
      </w:r>
      <w:r w:rsidRPr="002A465A">
        <w:rPr>
          <w:bCs/>
          <w:lang w:val="fr-FR"/>
        </w:rPr>
        <w:t xml:space="preserve"> interdire et éliminer toutes les pratiques préjudiciables, y</w:t>
      </w:r>
      <w:r w:rsidR="00553C2A">
        <w:rPr>
          <w:bCs/>
          <w:lang w:val="fr-FR"/>
        </w:rPr>
        <w:t> </w:t>
      </w:r>
      <w:r w:rsidRPr="002A465A">
        <w:rPr>
          <w:bCs/>
          <w:lang w:val="fr-FR"/>
        </w:rPr>
        <w:t xml:space="preserve">compris, mais pas uniquement, les mutilations génitales féminines, </w:t>
      </w:r>
      <w:r w:rsidR="00553C2A">
        <w:rPr>
          <w:bCs/>
          <w:lang w:val="fr-FR"/>
        </w:rPr>
        <w:br/>
      </w:r>
      <w:r w:rsidRPr="002A465A">
        <w:rPr>
          <w:bCs/>
          <w:lang w:val="fr-FR"/>
        </w:rPr>
        <w:t>les mariages précoces et les mariages forcés (art.</w:t>
      </w:r>
      <w:r w:rsidR="00C12845">
        <w:rPr>
          <w:bCs/>
          <w:lang w:val="fr-FR"/>
        </w:rPr>
        <w:t> </w:t>
      </w:r>
      <w:r w:rsidRPr="002A465A">
        <w:rPr>
          <w:bCs/>
          <w:lang w:val="fr-FR"/>
        </w:rPr>
        <w:t>24 (par.</w:t>
      </w:r>
      <w:r w:rsidR="00C12845">
        <w:rPr>
          <w:bCs/>
          <w:lang w:val="fr-FR"/>
        </w:rPr>
        <w:t> </w:t>
      </w:r>
      <w:r w:rsidRPr="002A465A">
        <w:rPr>
          <w:bCs/>
          <w:lang w:val="fr-FR"/>
        </w:rPr>
        <w:t>3)</w:t>
      </w:r>
      <w:bookmarkStart w:id="20" w:name="_Toc56781423"/>
      <w:bookmarkEnd w:id="20"/>
      <w:r w:rsidRPr="002A465A">
        <w:rPr>
          <w:bCs/>
          <w:lang w:val="fr-FR"/>
        </w:rPr>
        <w:t>)</w:t>
      </w:r>
    </w:p>
    <w:p w14:paraId="60787FB4" w14:textId="77777777" w:rsidR="003C48D6" w:rsidRPr="002A465A" w:rsidRDefault="003C48D6" w:rsidP="00553C2A">
      <w:pPr>
        <w:pStyle w:val="SingleTxtG"/>
        <w:rPr>
          <w:lang w:val="fr-FR"/>
        </w:rPr>
      </w:pPr>
      <w:r w:rsidRPr="002A465A">
        <w:rPr>
          <w:lang w:val="fr-FR"/>
        </w:rPr>
        <w:t>47.</w:t>
      </w:r>
      <w:r w:rsidRPr="002A465A">
        <w:rPr>
          <w:lang w:val="fr-FR"/>
        </w:rPr>
        <w:tab/>
        <w:t>Le 30 décembre 2017, la République de Macédoine du Nord a ratifié la Convention sur la prévention et la lutte contre la violence à l</w:t>
      </w:r>
      <w:r w:rsidR="00254912">
        <w:rPr>
          <w:lang w:val="fr-FR"/>
        </w:rPr>
        <w:t>’</w:t>
      </w:r>
      <w:r w:rsidRPr="002A465A">
        <w:rPr>
          <w:lang w:val="fr-FR"/>
        </w:rPr>
        <w:t>égard des femmes et la violence domestique (Convention d</w:t>
      </w:r>
      <w:r w:rsidR="00254912">
        <w:rPr>
          <w:lang w:val="fr-FR"/>
        </w:rPr>
        <w:t>’</w:t>
      </w:r>
      <w:r w:rsidRPr="002A465A">
        <w:rPr>
          <w:lang w:val="fr-FR"/>
        </w:rPr>
        <w:t>Istanbul). Un plan d</w:t>
      </w:r>
      <w:r w:rsidR="00254912">
        <w:rPr>
          <w:lang w:val="fr-FR"/>
        </w:rPr>
        <w:t>’</w:t>
      </w:r>
      <w:r w:rsidRPr="002A465A">
        <w:rPr>
          <w:lang w:val="fr-FR"/>
        </w:rPr>
        <w:t>action pour la mise en œuvre de cette Convention a aussi été élaboré.</w:t>
      </w:r>
    </w:p>
    <w:p w14:paraId="09C7F9AE" w14:textId="77777777" w:rsidR="003C48D6" w:rsidRPr="002A465A" w:rsidRDefault="003C48D6" w:rsidP="00C12845">
      <w:pPr>
        <w:pStyle w:val="SingleTxtG"/>
        <w:keepNext/>
        <w:keepLines/>
        <w:rPr>
          <w:lang w:val="fr-FR"/>
        </w:rPr>
      </w:pPr>
      <w:r w:rsidRPr="002A465A">
        <w:rPr>
          <w:lang w:val="fr-FR"/>
        </w:rPr>
        <w:lastRenderedPageBreak/>
        <w:t>48.</w:t>
      </w:r>
      <w:r w:rsidRPr="002A465A">
        <w:rPr>
          <w:lang w:val="fr-FR"/>
        </w:rPr>
        <w:tab/>
        <w:t>Aucun cas ni aucune pratique de mutilation génitale n</w:t>
      </w:r>
      <w:r w:rsidR="00254912">
        <w:rPr>
          <w:lang w:val="fr-FR"/>
        </w:rPr>
        <w:t>’</w:t>
      </w:r>
      <w:r w:rsidRPr="002A465A">
        <w:rPr>
          <w:lang w:val="fr-FR"/>
        </w:rPr>
        <w:t>ont été enregistrés. Toutefois, à la lumière de la crise des migrants, lorsqu</w:t>
      </w:r>
      <w:r w:rsidR="00254912">
        <w:rPr>
          <w:lang w:val="fr-FR"/>
        </w:rPr>
        <w:t>’</w:t>
      </w:r>
      <w:r w:rsidRPr="002A465A">
        <w:rPr>
          <w:lang w:val="fr-FR"/>
        </w:rPr>
        <w:t>ils ont transité en grands nombres dans le pays, des procédures opérationnelles normalisées relatives à la violence fondée sur le genre en temps de crise ont été élaborées. Les personnes travaillant au Centre d</w:t>
      </w:r>
      <w:r w:rsidR="00254912">
        <w:rPr>
          <w:lang w:val="fr-FR"/>
        </w:rPr>
        <w:t>’</w:t>
      </w:r>
      <w:r w:rsidRPr="002A465A">
        <w:rPr>
          <w:lang w:val="fr-FR"/>
        </w:rPr>
        <w:t>accueil des étrangers, au Centre d</w:t>
      </w:r>
      <w:r w:rsidR="00254912">
        <w:rPr>
          <w:lang w:val="fr-FR"/>
        </w:rPr>
        <w:t>’</w:t>
      </w:r>
      <w:r w:rsidRPr="002A465A">
        <w:rPr>
          <w:lang w:val="fr-FR"/>
        </w:rPr>
        <w:t>accueil des demandeurs d</w:t>
      </w:r>
      <w:r w:rsidR="00254912">
        <w:rPr>
          <w:lang w:val="fr-FR"/>
        </w:rPr>
        <w:t>’</w:t>
      </w:r>
      <w:r w:rsidRPr="002A465A">
        <w:rPr>
          <w:lang w:val="fr-FR"/>
        </w:rPr>
        <w:t>asile et au Centre d</w:t>
      </w:r>
      <w:r w:rsidR="00254912">
        <w:rPr>
          <w:lang w:val="fr-FR"/>
        </w:rPr>
        <w:t>’</w:t>
      </w:r>
      <w:r w:rsidRPr="002A465A">
        <w:rPr>
          <w:lang w:val="fr-FR"/>
        </w:rPr>
        <w:t>accueil et de transit, ont reçu une formation sur la question des violences fondées sur le genre et des mutilations génitales</w:t>
      </w:r>
      <w:r w:rsidR="00C12845">
        <w:rPr>
          <w:lang w:val="fr-FR"/>
        </w:rPr>
        <w:t>,</w:t>
      </w:r>
      <w:r w:rsidRPr="002A465A">
        <w:rPr>
          <w:lang w:val="fr-FR"/>
        </w:rPr>
        <w:t xml:space="preserve"> en</w:t>
      </w:r>
      <w:r w:rsidR="00C12845">
        <w:rPr>
          <w:lang w:val="fr-FR"/>
        </w:rPr>
        <w:t> </w:t>
      </w:r>
      <w:r w:rsidRPr="002A465A">
        <w:rPr>
          <w:lang w:val="fr-FR"/>
        </w:rPr>
        <w:t>tant que forme de violence fondée sur le genre.</w:t>
      </w:r>
    </w:p>
    <w:p w14:paraId="57C24128" w14:textId="77777777" w:rsidR="003C48D6" w:rsidRPr="002A465A" w:rsidRDefault="003C48D6" w:rsidP="00553C2A">
      <w:pPr>
        <w:pStyle w:val="H23G"/>
        <w:rPr>
          <w:lang w:val="fr-FR"/>
        </w:rPr>
      </w:pPr>
      <w:r w:rsidRPr="002A465A">
        <w:rPr>
          <w:lang w:val="fr-FR"/>
        </w:rPr>
        <w:tab/>
        <w:t>c)</w:t>
      </w:r>
      <w:r w:rsidRPr="002A465A">
        <w:rPr>
          <w:lang w:val="fr-FR"/>
        </w:rPr>
        <w:tab/>
      </w:r>
      <w:r w:rsidRPr="002A465A">
        <w:rPr>
          <w:bCs/>
          <w:lang w:val="fr-FR"/>
        </w:rPr>
        <w:t xml:space="preserve">Exploitation </w:t>
      </w:r>
      <w:r w:rsidRPr="00553C2A">
        <w:rPr>
          <w:lang w:val="fr-FR"/>
        </w:rPr>
        <w:t>sexuelle</w:t>
      </w:r>
      <w:r w:rsidRPr="002A465A">
        <w:rPr>
          <w:bCs/>
          <w:lang w:val="fr-FR"/>
        </w:rPr>
        <w:t xml:space="preserve"> et abus sexuels (art. 34)</w:t>
      </w:r>
      <w:bookmarkStart w:id="21" w:name="_Toc56781424"/>
      <w:bookmarkEnd w:id="21"/>
    </w:p>
    <w:p w14:paraId="524A772B" w14:textId="77777777" w:rsidR="003C48D6" w:rsidRPr="002A465A" w:rsidRDefault="003C48D6" w:rsidP="00553C2A">
      <w:pPr>
        <w:pStyle w:val="SingleTxtG"/>
        <w:rPr>
          <w:lang w:val="fr-FR"/>
        </w:rPr>
      </w:pPr>
      <w:r w:rsidRPr="002A465A">
        <w:rPr>
          <w:lang w:val="fr-FR"/>
        </w:rPr>
        <w:t>49.</w:t>
      </w:r>
      <w:r w:rsidRPr="002A465A">
        <w:rPr>
          <w:lang w:val="fr-FR"/>
        </w:rPr>
        <w:tab/>
        <w:t>Face au problème des atteintes sexuelles sur les enfants et de la pédophilie, des réponses collectives, visibles et de grande envergure, ont été conduites à plusieurs niveaux, et ont visé tant les victimes que les auteurs. Il s</w:t>
      </w:r>
      <w:r w:rsidR="00254912">
        <w:rPr>
          <w:lang w:val="fr-FR"/>
        </w:rPr>
        <w:t>’</w:t>
      </w:r>
      <w:r w:rsidRPr="002A465A">
        <w:rPr>
          <w:lang w:val="fr-FR"/>
        </w:rPr>
        <w:t>agissait dans ce domaine de travailler à l</w:t>
      </w:r>
      <w:r w:rsidR="00254912">
        <w:rPr>
          <w:lang w:val="fr-FR"/>
        </w:rPr>
        <w:t>’</w:t>
      </w:r>
      <w:r w:rsidRPr="002A465A">
        <w:rPr>
          <w:lang w:val="fr-FR"/>
        </w:rPr>
        <w:t>identification des lacunes et des secteurs à améliorer. Des modifications législatives ont permis l</w:t>
      </w:r>
      <w:r w:rsidR="00254912">
        <w:rPr>
          <w:lang w:val="fr-FR"/>
        </w:rPr>
        <w:t>’</w:t>
      </w:r>
      <w:r w:rsidRPr="002A465A">
        <w:rPr>
          <w:lang w:val="fr-FR"/>
        </w:rPr>
        <w:t>introduction d</w:t>
      </w:r>
      <w:r w:rsidR="00254912">
        <w:rPr>
          <w:lang w:val="fr-FR"/>
        </w:rPr>
        <w:t>’</w:t>
      </w:r>
      <w:r w:rsidRPr="002A465A">
        <w:rPr>
          <w:lang w:val="fr-FR"/>
        </w:rPr>
        <w:t>un registre, de peines de prison plus longues, c</w:t>
      </w:r>
      <w:r w:rsidR="00254912">
        <w:rPr>
          <w:lang w:val="fr-FR"/>
        </w:rPr>
        <w:t>’</w:t>
      </w:r>
      <w:r w:rsidRPr="002A465A">
        <w:rPr>
          <w:lang w:val="fr-FR"/>
        </w:rPr>
        <w:t>est-à-dire plus sévères, ainsi que de traitements psychiatriques, médicaux et pharmacologiques pour les auteurs.</w:t>
      </w:r>
    </w:p>
    <w:p w14:paraId="0DCA8C15" w14:textId="77777777" w:rsidR="003C48D6" w:rsidRPr="002A465A" w:rsidRDefault="003C48D6" w:rsidP="00553C2A">
      <w:pPr>
        <w:pStyle w:val="SingleTxtG"/>
        <w:rPr>
          <w:lang w:val="fr-FR"/>
        </w:rPr>
      </w:pPr>
      <w:r w:rsidRPr="002A465A">
        <w:rPr>
          <w:lang w:val="fr-FR"/>
        </w:rPr>
        <w:t>50.</w:t>
      </w:r>
      <w:r w:rsidRPr="002A465A">
        <w:rPr>
          <w:lang w:val="fr-FR"/>
        </w:rPr>
        <w:tab/>
        <w:t>En octobre 2010, le Parlement a adopté la loi de ratification de la Convention du Conseil de l</w:t>
      </w:r>
      <w:r w:rsidR="00254912">
        <w:rPr>
          <w:lang w:val="fr-FR"/>
        </w:rPr>
        <w:t>’</w:t>
      </w:r>
      <w:r w:rsidRPr="002A465A">
        <w:rPr>
          <w:lang w:val="fr-FR"/>
        </w:rPr>
        <w:t>Europe sur la protection des enfants contre l</w:t>
      </w:r>
      <w:r w:rsidR="00254912">
        <w:rPr>
          <w:lang w:val="fr-FR"/>
        </w:rPr>
        <w:t>’</w:t>
      </w:r>
      <w:r w:rsidRPr="002A465A">
        <w:rPr>
          <w:lang w:val="fr-FR"/>
        </w:rPr>
        <w:t>exploitation et les abus sexuels</w:t>
      </w:r>
      <w:r w:rsidRPr="002A465A">
        <w:rPr>
          <w:rStyle w:val="Appelnotedebasdep"/>
        </w:rPr>
        <w:footnoteReference w:id="14"/>
      </w:r>
      <w:r w:rsidRPr="002A465A">
        <w:rPr>
          <w:lang w:val="fr-FR"/>
        </w:rPr>
        <w:t>. Avant et après la ratification de ladite Convention, des modifications législatives ont été apportées au Code pénal en vue de l</w:t>
      </w:r>
      <w:r w:rsidR="00254912">
        <w:rPr>
          <w:lang w:val="fr-FR"/>
        </w:rPr>
        <w:t>’</w:t>
      </w:r>
      <w:r w:rsidRPr="002A465A">
        <w:rPr>
          <w:lang w:val="fr-FR"/>
        </w:rPr>
        <w:t>harmoniser davantage à ladite Convention. Ces</w:t>
      </w:r>
      <w:r w:rsidR="00C12845">
        <w:rPr>
          <w:lang w:val="fr-FR"/>
        </w:rPr>
        <w:t> </w:t>
      </w:r>
      <w:r w:rsidRPr="002A465A">
        <w:rPr>
          <w:lang w:val="fr-FR"/>
        </w:rPr>
        <w:t>modifications ont introduit des sanctions plus sévères.</w:t>
      </w:r>
    </w:p>
    <w:p w14:paraId="2E6CC4D7" w14:textId="77777777" w:rsidR="003C48D6" w:rsidRPr="002A465A" w:rsidRDefault="003C48D6" w:rsidP="00553C2A">
      <w:pPr>
        <w:pStyle w:val="SingleTxtG"/>
        <w:rPr>
          <w:lang w:val="fr-FR"/>
        </w:rPr>
      </w:pPr>
      <w:r w:rsidRPr="002A465A">
        <w:rPr>
          <w:lang w:val="fr-FR"/>
        </w:rPr>
        <w:t>51.</w:t>
      </w:r>
      <w:r w:rsidRPr="002A465A">
        <w:rPr>
          <w:lang w:val="fr-FR"/>
        </w:rPr>
        <w:tab/>
        <w:t>Les infractions d</w:t>
      </w:r>
      <w:r w:rsidR="00254912">
        <w:rPr>
          <w:lang w:val="fr-FR"/>
        </w:rPr>
        <w:t>’</w:t>
      </w:r>
      <w:r w:rsidRPr="002A465A">
        <w:rPr>
          <w:lang w:val="fr-FR"/>
        </w:rPr>
        <w:t>abus sexuels sur enfants sont sanctionnées par le Code pénal en son chapitre 19 : Infractions contre la liberté sexuelle et la morale sexuelle, et son chapitre 34 :</w:t>
      </w:r>
      <w:r w:rsidR="009C6341">
        <w:rPr>
          <w:lang w:val="fr-FR"/>
        </w:rPr>
        <w:t xml:space="preserve"> </w:t>
      </w:r>
      <w:r w:rsidRPr="002A465A">
        <w:rPr>
          <w:lang w:val="fr-FR"/>
        </w:rPr>
        <w:t>Crimes contre l</w:t>
      </w:r>
      <w:r w:rsidR="00254912">
        <w:rPr>
          <w:lang w:val="fr-FR"/>
        </w:rPr>
        <w:t>’</w:t>
      </w:r>
      <w:r w:rsidRPr="002A465A">
        <w:rPr>
          <w:lang w:val="fr-FR"/>
        </w:rPr>
        <w:t xml:space="preserve">humanité et droit international. </w:t>
      </w:r>
    </w:p>
    <w:p w14:paraId="1DC84353" w14:textId="77777777" w:rsidR="003C48D6" w:rsidRPr="002A465A" w:rsidRDefault="003C48D6" w:rsidP="00553C2A">
      <w:pPr>
        <w:pStyle w:val="SingleTxtG"/>
        <w:rPr>
          <w:lang w:val="fr-FR"/>
        </w:rPr>
      </w:pPr>
      <w:r w:rsidRPr="002A465A">
        <w:rPr>
          <w:lang w:val="fr-FR"/>
        </w:rPr>
        <w:t>52.</w:t>
      </w:r>
      <w:r w:rsidRPr="002A465A">
        <w:rPr>
          <w:lang w:val="fr-FR"/>
        </w:rPr>
        <w:tab/>
        <w:t>L</w:t>
      </w:r>
      <w:r w:rsidR="00254912">
        <w:rPr>
          <w:lang w:val="fr-FR"/>
        </w:rPr>
        <w:t>’</w:t>
      </w:r>
      <w:r w:rsidRPr="002A465A">
        <w:rPr>
          <w:lang w:val="fr-FR"/>
        </w:rPr>
        <w:t>article 18 de ladite Convention érige les atteintes sexuelles en infractions pénales d</w:t>
      </w:r>
      <w:r w:rsidR="00254912">
        <w:rPr>
          <w:lang w:val="fr-FR"/>
        </w:rPr>
        <w:t>’</w:t>
      </w:r>
      <w:r w:rsidRPr="002A465A">
        <w:rPr>
          <w:lang w:val="fr-FR"/>
        </w:rPr>
        <w:t>agressions sexuelles lorsque l</w:t>
      </w:r>
      <w:r w:rsidR="00254912">
        <w:rPr>
          <w:lang w:val="fr-FR"/>
        </w:rPr>
        <w:t>’</w:t>
      </w:r>
      <w:r w:rsidRPr="002A465A">
        <w:rPr>
          <w:lang w:val="fr-FR"/>
        </w:rPr>
        <w:t>enfant n</w:t>
      </w:r>
      <w:r w:rsidR="00254912">
        <w:rPr>
          <w:lang w:val="fr-FR"/>
        </w:rPr>
        <w:t>’</w:t>
      </w:r>
      <w:r w:rsidRPr="002A465A">
        <w:rPr>
          <w:lang w:val="fr-FR"/>
        </w:rPr>
        <w:t>a pas atteint l</w:t>
      </w:r>
      <w:r w:rsidR="00254912">
        <w:rPr>
          <w:lang w:val="fr-FR"/>
        </w:rPr>
        <w:t>’</w:t>
      </w:r>
      <w:r w:rsidRPr="002A465A">
        <w:rPr>
          <w:lang w:val="fr-FR"/>
        </w:rPr>
        <w:t>âge de 14 ans (art. 188) et en agressions sexuelles avec abus d</w:t>
      </w:r>
      <w:r w:rsidR="00254912">
        <w:rPr>
          <w:lang w:val="fr-FR"/>
        </w:rPr>
        <w:t>’</w:t>
      </w:r>
      <w:r w:rsidRPr="002A465A">
        <w:rPr>
          <w:lang w:val="fr-FR"/>
        </w:rPr>
        <w:t>autorité (art. 189).</w:t>
      </w:r>
    </w:p>
    <w:p w14:paraId="26CB8B1D" w14:textId="77777777" w:rsidR="003C48D6" w:rsidRPr="002A465A" w:rsidRDefault="003C48D6" w:rsidP="00553C2A">
      <w:pPr>
        <w:pStyle w:val="SingleTxtG"/>
        <w:rPr>
          <w:lang w:val="fr-FR"/>
        </w:rPr>
      </w:pPr>
      <w:r w:rsidRPr="002A465A">
        <w:rPr>
          <w:lang w:val="fr-FR"/>
        </w:rPr>
        <w:t>53.</w:t>
      </w:r>
      <w:r w:rsidRPr="002A465A">
        <w:rPr>
          <w:lang w:val="fr-FR"/>
        </w:rPr>
        <w:tab/>
        <w:t>L</w:t>
      </w:r>
      <w:r w:rsidR="00254912">
        <w:rPr>
          <w:lang w:val="fr-FR"/>
        </w:rPr>
        <w:t>’</w:t>
      </w:r>
      <w:r w:rsidRPr="002A465A">
        <w:rPr>
          <w:lang w:val="fr-FR"/>
        </w:rPr>
        <w:t>article 188 incrimine les actes suivants :</w:t>
      </w:r>
    </w:p>
    <w:p w14:paraId="69A4A7B5" w14:textId="77777777" w:rsidR="003C48D6" w:rsidRPr="002A465A" w:rsidRDefault="003C48D6" w:rsidP="00553C2A">
      <w:pPr>
        <w:pStyle w:val="SingleTxtG"/>
        <w:ind w:firstLine="567"/>
        <w:rPr>
          <w:lang w:val="fr-FR"/>
        </w:rPr>
      </w:pPr>
      <w:r w:rsidRPr="002A465A">
        <w:rPr>
          <w:lang w:val="fr-FR"/>
        </w:rPr>
        <w:t>a)</w:t>
      </w:r>
      <w:r w:rsidRPr="002A465A">
        <w:rPr>
          <w:lang w:val="fr-FR"/>
        </w:rPr>
        <w:tab/>
        <w:t>Quiconque a un rapport sexuel ou commet tout autre acte sexuel avec un enfant de moins de 14 ans est passible d</w:t>
      </w:r>
      <w:r w:rsidR="00254912">
        <w:rPr>
          <w:lang w:val="fr-FR"/>
        </w:rPr>
        <w:t>’</w:t>
      </w:r>
      <w:r w:rsidRPr="002A465A">
        <w:rPr>
          <w:lang w:val="fr-FR"/>
        </w:rPr>
        <w:t>une peine d</w:t>
      </w:r>
      <w:r w:rsidR="00254912">
        <w:rPr>
          <w:lang w:val="fr-FR"/>
        </w:rPr>
        <w:t>’</w:t>
      </w:r>
      <w:r w:rsidRPr="002A465A">
        <w:rPr>
          <w:lang w:val="fr-FR"/>
        </w:rPr>
        <w:t>emprisonnement d</w:t>
      </w:r>
      <w:r w:rsidR="00254912">
        <w:rPr>
          <w:lang w:val="fr-FR"/>
        </w:rPr>
        <w:t>’</w:t>
      </w:r>
      <w:r w:rsidRPr="002A465A">
        <w:rPr>
          <w:lang w:val="fr-FR"/>
        </w:rPr>
        <w:t xml:space="preserve">au moins </w:t>
      </w:r>
      <w:r w:rsidR="009C6341">
        <w:rPr>
          <w:lang w:val="fr-FR"/>
        </w:rPr>
        <w:t xml:space="preserve">vingt </w:t>
      </w:r>
      <w:r w:rsidRPr="002A465A">
        <w:rPr>
          <w:lang w:val="fr-FR"/>
        </w:rPr>
        <w:t>ans ;</w:t>
      </w:r>
    </w:p>
    <w:p w14:paraId="6CC2B23A" w14:textId="77777777" w:rsidR="003C48D6" w:rsidRPr="002A465A" w:rsidRDefault="003C48D6" w:rsidP="00553C2A">
      <w:pPr>
        <w:pStyle w:val="SingleTxtG"/>
        <w:ind w:firstLine="567"/>
        <w:rPr>
          <w:lang w:val="fr-FR"/>
        </w:rPr>
      </w:pPr>
      <w:r w:rsidRPr="002A465A">
        <w:rPr>
          <w:lang w:val="fr-FR"/>
        </w:rPr>
        <w:t>b)</w:t>
      </w:r>
      <w:r w:rsidRPr="002A465A">
        <w:rPr>
          <w:lang w:val="fr-FR"/>
        </w:rPr>
        <w:tab/>
        <w:t>Si une lésion corporelle grave, la mort ou d</w:t>
      </w:r>
      <w:r w:rsidR="00254912">
        <w:rPr>
          <w:lang w:val="fr-FR"/>
        </w:rPr>
        <w:t>’</w:t>
      </w:r>
      <w:r w:rsidRPr="002A465A">
        <w:rPr>
          <w:lang w:val="fr-FR"/>
        </w:rPr>
        <w:t>autres conséquences graves découlent de l</w:t>
      </w:r>
      <w:r w:rsidR="00254912">
        <w:rPr>
          <w:lang w:val="fr-FR"/>
        </w:rPr>
        <w:t>’</w:t>
      </w:r>
      <w:r w:rsidRPr="002A465A">
        <w:rPr>
          <w:lang w:val="fr-FR"/>
        </w:rPr>
        <w:t>infraction visée au paragraphe 1, ou si l</w:t>
      </w:r>
      <w:r w:rsidR="00254912">
        <w:rPr>
          <w:lang w:val="fr-FR"/>
        </w:rPr>
        <w:t>’</w:t>
      </w:r>
      <w:r w:rsidRPr="002A465A">
        <w:rPr>
          <w:lang w:val="fr-FR"/>
        </w:rPr>
        <w:t>infraction a été commise par plusieurs personnes, ou d</w:t>
      </w:r>
      <w:r w:rsidR="00254912">
        <w:rPr>
          <w:lang w:val="fr-FR"/>
        </w:rPr>
        <w:t>’</w:t>
      </w:r>
      <w:r w:rsidRPr="002A465A">
        <w:rPr>
          <w:lang w:val="fr-FR"/>
        </w:rPr>
        <w:t>une manière particulièrement cruelle et dégradante, l</w:t>
      </w:r>
      <w:r w:rsidR="00254912">
        <w:rPr>
          <w:lang w:val="fr-FR"/>
        </w:rPr>
        <w:t>’</w:t>
      </w:r>
      <w:r w:rsidRPr="002A465A">
        <w:rPr>
          <w:lang w:val="fr-FR"/>
        </w:rPr>
        <w:t>auteur est passible d</w:t>
      </w:r>
      <w:r w:rsidR="00254912">
        <w:rPr>
          <w:lang w:val="fr-FR"/>
        </w:rPr>
        <w:t>’</w:t>
      </w:r>
      <w:r w:rsidRPr="002A465A">
        <w:rPr>
          <w:lang w:val="fr-FR"/>
        </w:rPr>
        <w:t>une peine d</w:t>
      </w:r>
      <w:r w:rsidR="00254912">
        <w:rPr>
          <w:lang w:val="fr-FR"/>
        </w:rPr>
        <w:t>’</w:t>
      </w:r>
      <w:r w:rsidRPr="002A465A">
        <w:rPr>
          <w:lang w:val="fr-FR"/>
        </w:rPr>
        <w:t>emprisonnement d</w:t>
      </w:r>
      <w:r w:rsidR="00254912">
        <w:rPr>
          <w:lang w:val="fr-FR"/>
        </w:rPr>
        <w:t>’</w:t>
      </w:r>
      <w:r w:rsidRPr="002A465A">
        <w:rPr>
          <w:lang w:val="fr-FR"/>
        </w:rPr>
        <w:t xml:space="preserve">au moins </w:t>
      </w:r>
      <w:r w:rsidR="009C6341">
        <w:rPr>
          <w:lang w:val="fr-FR"/>
        </w:rPr>
        <w:t xml:space="preserve">quinze </w:t>
      </w:r>
      <w:r w:rsidRPr="002A465A">
        <w:rPr>
          <w:lang w:val="fr-FR"/>
        </w:rPr>
        <w:t>ans ;</w:t>
      </w:r>
    </w:p>
    <w:p w14:paraId="043C555B" w14:textId="77777777" w:rsidR="003C48D6" w:rsidRPr="002A465A" w:rsidRDefault="003C48D6" w:rsidP="00553C2A">
      <w:pPr>
        <w:pStyle w:val="SingleTxtG"/>
        <w:ind w:firstLine="567"/>
        <w:rPr>
          <w:lang w:val="fr-FR"/>
        </w:rPr>
      </w:pPr>
      <w:r w:rsidRPr="002A465A">
        <w:rPr>
          <w:lang w:val="fr-FR"/>
        </w:rPr>
        <w:t>c)</w:t>
      </w:r>
      <w:r w:rsidRPr="002A465A">
        <w:rPr>
          <w:lang w:val="fr-FR"/>
        </w:rPr>
        <w:tab/>
        <w:t>L</w:t>
      </w:r>
      <w:r w:rsidR="00254912">
        <w:rPr>
          <w:lang w:val="fr-FR"/>
        </w:rPr>
        <w:t>’</w:t>
      </w:r>
      <w:r w:rsidRPr="002A465A">
        <w:rPr>
          <w:lang w:val="fr-FR"/>
        </w:rPr>
        <w:t>auteur de l</w:t>
      </w:r>
      <w:r w:rsidR="00254912">
        <w:rPr>
          <w:lang w:val="fr-FR"/>
        </w:rPr>
        <w:t>’</w:t>
      </w:r>
      <w:r w:rsidRPr="002A465A">
        <w:rPr>
          <w:lang w:val="fr-FR"/>
        </w:rPr>
        <w:t>infraction visée au paragraphe 2 de cet article fera l</w:t>
      </w:r>
      <w:r w:rsidR="00254912">
        <w:rPr>
          <w:lang w:val="fr-FR"/>
        </w:rPr>
        <w:t>’</w:t>
      </w:r>
      <w:r w:rsidRPr="002A465A">
        <w:rPr>
          <w:lang w:val="fr-FR"/>
        </w:rPr>
        <w:t>objet d</w:t>
      </w:r>
      <w:r w:rsidR="00254912">
        <w:rPr>
          <w:lang w:val="fr-FR"/>
        </w:rPr>
        <w:t>’</w:t>
      </w:r>
      <w:r w:rsidRPr="002A465A">
        <w:rPr>
          <w:lang w:val="fr-FR"/>
        </w:rPr>
        <w:t>une ordonnance judiciaire lui interdisant d</w:t>
      </w:r>
      <w:r w:rsidR="00254912">
        <w:rPr>
          <w:lang w:val="fr-FR"/>
        </w:rPr>
        <w:t>’</w:t>
      </w:r>
      <w:r w:rsidRPr="002A465A">
        <w:rPr>
          <w:lang w:val="fr-FR"/>
        </w:rPr>
        <w:t>exercer une profession, une activité économique ou une fonction, dans les conditions prévues à l</w:t>
      </w:r>
      <w:r w:rsidR="00254912">
        <w:rPr>
          <w:lang w:val="fr-FR"/>
        </w:rPr>
        <w:t>’</w:t>
      </w:r>
      <w:r w:rsidRPr="002A465A">
        <w:rPr>
          <w:lang w:val="fr-FR"/>
        </w:rPr>
        <w:t xml:space="preserve">article 38-b dudit Code. </w:t>
      </w:r>
    </w:p>
    <w:p w14:paraId="19A34852" w14:textId="77777777" w:rsidR="003C48D6" w:rsidRPr="002A465A" w:rsidRDefault="003C48D6" w:rsidP="00553C2A">
      <w:pPr>
        <w:pStyle w:val="SingleTxtG"/>
        <w:rPr>
          <w:lang w:val="fr-FR"/>
        </w:rPr>
      </w:pPr>
      <w:r w:rsidRPr="002A465A">
        <w:rPr>
          <w:lang w:val="fr-FR"/>
        </w:rPr>
        <w:t>54.</w:t>
      </w:r>
      <w:r w:rsidRPr="002A465A">
        <w:rPr>
          <w:lang w:val="fr-FR"/>
        </w:rPr>
        <w:tab/>
        <w:t>L</w:t>
      </w:r>
      <w:r w:rsidR="00254912">
        <w:rPr>
          <w:lang w:val="fr-FR"/>
        </w:rPr>
        <w:t>’</w:t>
      </w:r>
      <w:r w:rsidRPr="002A465A">
        <w:rPr>
          <w:lang w:val="fr-FR"/>
        </w:rPr>
        <w:t xml:space="preserve">article 189 incrimine les actes suivants : </w:t>
      </w:r>
    </w:p>
    <w:p w14:paraId="281A3779" w14:textId="77777777" w:rsidR="003C48D6" w:rsidRPr="002A465A" w:rsidRDefault="003C48D6" w:rsidP="00553C2A">
      <w:pPr>
        <w:pStyle w:val="SingleTxtG"/>
        <w:ind w:firstLine="567"/>
        <w:rPr>
          <w:lang w:val="fr-FR"/>
        </w:rPr>
      </w:pPr>
      <w:r w:rsidRPr="002A465A">
        <w:rPr>
          <w:lang w:val="fr-FR"/>
        </w:rPr>
        <w:t>a)</w:t>
      </w:r>
      <w:r w:rsidRPr="002A465A">
        <w:rPr>
          <w:lang w:val="fr-FR"/>
        </w:rPr>
        <w:tab/>
        <w:t>Toute personne qui, en abusant de son statut, incite une autre, qui lui est subordonnée ou se trouve sous sa dépendance, à avoir des relations sexuelles ou à se livrer à quelque autre acte sexuel, ou qui maltraite, intimide ou se comporte envers une autre personne de manière à en dénigrer la dignité humaine et la personnalité dans la même intention d</w:t>
      </w:r>
      <w:r w:rsidR="00254912">
        <w:rPr>
          <w:lang w:val="fr-FR"/>
        </w:rPr>
        <w:t>’</w:t>
      </w:r>
      <w:r w:rsidRPr="002A465A">
        <w:rPr>
          <w:lang w:val="fr-FR"/>
        </w:rPr>
        <w:t>inciter ladite personne à avoir des relations sexuelles ou à se livrer à quelque autre acte sexuel, est passible d</w:t>
      </w:r>
      <w:r w:rsidR="00254912">
        <w:rPr>
          <w:lang w:val="fr-FR"/>
        </w:rPr>
        <w:t>’</w:t>
      </w:r>
      <w:r w:rsidRPr="002A465A">
        <w:rPr>
          <w:lang w:val="fr-FR"/>
        </w:rPr>
        <w:t>une peine d</w:t>
      </w:r>
      <w:r w:rsidR="00254912">
        <w:rPr>
          <w:lang w:val="fr-FR"/>
        </w:rPr>
        <w:t>’</w:t>
      </w:r>
      <w:r w:rsidRPr="002A465A">
        <w:rPr>
          <w:lang w:val="fr-FR"/>
        </w:rPr>
        <w:t>emprisonnement de cinq ans au moins ;</w:t>
      </w:r>
    </w:p>
    <w:p w14:paraId="10CEF3F4" w14:textId="77777777" w:rsidR="003C48D6" w:rsidRPr="002A465A" w:rsidRDefault="003C48D6" w:rsidP="00553C2A">
      <w:pPr>
        <w:pStyle w:val="SingleTxtG"/>
        <w:ind w:firstLine="567"/>
        <w:rPr>
          <w:lang w:val="fr-FR"/>
        </w:rPr>
      </w:pPr>
      <w:r w:rsidRPr="002A465A">
        <w:rPr>
          <w:lang w:val="fr-FR"/>
        </w:rPr>
        <w:t>b)</w:t>
      </w:r>
      <w:r w:rsidRPr="002A465A">
        <w:rPr>
          <w:lang w:val="fr-FR"/>
        </w:rPr>
        <w:tab/>
        <w:t>Si l</w:t>
      </w:r>
      <w:r w:rsidR="00254912">
        <w:rPr>
          <w:lang w:val="fr-FR"/>
        </w:rPr>
        <w:t>’</w:t>
      </w:r>
      <w:r w:rsidRPr="002A465A">
        <w:rPr>
          <w:lang w:val="fr-FR"/>
        </w:rPr>
        <w:t>infraction visée au paragraphe 1 est perpétrée par un parent au premier degré ou par un frère, une sœur, un enseignant, un éducateur, un parent adoptif, un tuteur, un</w:t>
      </w:r>
      <w:r w:rsidR="009C6341">
        <w:rPr>
          <w:lang w:val="fr-FR"/>
        </w:rPr>
        <w:t> </w:t>
      </w:r>
      <w:r w:rsidRPr="002A465A">
        <w:rPr>
          <w:lang w:val="fr-FR"/>
        </w:rPr>
        <w:t>beau-père, une belle-mère, un médecin ou une autre personne, par abus de pouvoir ou dans le cadre de la perpétration de violences domestiques, et si cette personne obtient ainsi des relations sexuelles ou un autre acte sexuel d</w:t>
      </w:r>
      <w:r w:rsidR="00254912">
        <w:rPr>
          <w:lang w:val="fr-FR"/>
        </w:rPr>
        <w:t>’</w:t>
      </w:r>
      <w:r w:rsidRPr="002A465A">
        <w:rPr>
          <w:lang w:val="fr-FR"/>
        </w:rPr>
        <w:t>un enfant qui n</w:t>
      </w:r>
      <w:r w:rsidR="00254912">
        <w:rPr>
          <w:lang w:val="fr-FR"/>
        </w:rPr>
        <w:t>’</w:t>
      </w:r>
      <w:r w:rsidRPr="002A465A">
        <w:rPr>
          <w:lang w:val="fr-FR"/>
        </w:rPr>
        <w:t>a pas atteint l</w:t>
      </w:r>
      <w:r w:rsidR="00254912">
        <w:rPr>
          <w:lang w:val="fr-FR"/>
        </w:rPr>
        <w:t>’</w:t>
      </w:r>
      <w:r w:rsidRPr="002A465A">
        <w:rPr>
          <w:lang w:val="fr-FR"/>
        </w:rPr>
        <w:t>âge de 14 ans et qui lui a été confié pour étude, éducation, garde ou soins, elle est alors passible d</w:t>
      </w:r>
      <w:r w:rsidR="00254912">
        <w:rPr>
          <w:lang w:val="fr-FR"/>
        </w:rPr>
        <w:t>’</w:t>
      </w:r>
      <w:r w:rsidRPr="002A465A">
        <w:rPr>
          <w:lang w:val="fr-FR"/>
        </w:rPr>
        <w:t>une peine d</w:t>
      </w:r>
      <w:r w:rsidR="00254912">
        <w:rPr>
          <w:lang w:val="fr-FR"/>
        </w:rPr>
        <w:t>’</w:t>
      </w:r>
      <w:r w:rsidRPr="002A465A">
        <w:rPr>
          <w:lang w:val="fr-FR"/>
        </w:rPr>
        <w:t>emprisonnement de dix ans au moins ;</w:t>
      </w:r>
    </w:p>
    <w:p w14:paraId="6E7186B1" w14:textId="77777777" w:rsidR="003C48D6" w:rsidRPr="002A465A" w:rsidRDefault="003C48D6" w:rsidP="00553C2A">
      <w:pPr>
        <w:pStyle w:val="SingleTxtG"/>
        <w:ind w:firstLine="567"/>
        <w:rPr>
          <w:lang w:val="fr-FR"/>
        </w:rPr>
      </w:pPr>
      <w:r w:rsidRPr="002A465A">
        <w:rPr>
          <w:lang w:val="fr-FR"/>
        </w:rPr>
        <w:lastRenderedPageBreak/>
        <w:t>c)</w:t>
      </w:r>
      <w:r w:rsidRPr="002A465A">
        <w:rPr>
          <w:lang w:val="fr-FR"/>
        </w:rPr>
        <w:tab/>
        <w:t>L</w:t>
      </w:r>
      <w:r w:rsidR="00254912">
        <w:rPr>
          <w:lang w:val="fr-FR"/>
        </w:rPr>
        <w:t>’</w:t>
      </w:r>
      <w:r w:rsidRPr="002A465A">
        <w:rPr>
          <w:lang w:val="fr-FR"/>
        </w:rPr>
        <w:t>auteur de l</w:t>
      </w:r>
      <w:r w:rsidR="00254912">
        <w:rPr>
          <w:lang w:val="fr-FR"/>
        </w:rPr>
        <w:t>’</w:t>
      </w:r>
      <w:r w:rsidRPr="002A465A">
        <w:rPr>
          <w:lang w:val="fr-FR"/>
        </w:rPr>
        <w:t>infraction visée au paragraphe 2 se voit interdire par le tribunal d</w:t>
      </w:r>
      <w:r w:rsidR="00254912">
        <w:rPr>
          <w:lang w:val="fr-FR"/>
        </w:rPr>
        <w:t>’</w:t>
      </w:r>
      <w:r w:rsidRPr="002A465A">
        <w:rPr>
          <w:lang w:val="fr-FR"/>
        </w:rPr>
        <w:t>exercer une profession, une activité économique ou de remplir telle fonction dans les conditions prévues à l</w:t>
      </w:r>
      <w:r w:rsidR="00254912">
        <w:rPr>
          <w:lang w:val="fr-FR"/>
        </w:rPr>
        <w:t>’</w:t>
      </w:r>
      <w:r w:rsidRPr="002A465A">
        <w:rPr>
          <w:lang w:val="fr-FR"/>
        </w:rPr>
        <w:t>article 38-b de ce Code.</w:t>
      </w:r>
    </w:p>
    <w:p w14:paraId="14493734" w14:textId="77777777" w:rsidR="003C48D6" w:rsidRPr="002A465A" w:rsidRDefault="003C48D6" w:rsidP="00553C2A">
      <w:pPr>
        <w:pStyle w:val="SingleTxtG"/>
        <w:rPr>
          <w:lang w:val="fr-FR"/>
        </w:rPr>
      </w:pPr>
      <w:r w:rsidRPr="002A465A">
        <w:rPr>
          <w:lang w:val="fr-FR"/>
        </w:rPr>
        <w:t>55.</w:t>
      </w:r>
      <w:r w:rsidRPr="002A465A">
        <w:rPr>
          <w:lang w:val="fr-FR"/>
        </w:rPr>
        <w:tab/>
        <w:t>L</w:t>
      </w:r>
      <w:r w:rsidR="00254912">
        <w:rPr>
          <w:lang w:val="fr-FR"/>
        </w:rPr>
        <w:t>’</w:t>
      </w:r>
      <w:r w:rsidRPr="002A465A">
        <w:rPr>
          <w:lang w:val="fr-FR"/>
        </w:rPr>
        <w:t>article 193-b : incitation d</w:t>
      </w:r>
      <w:r w:rsidR="00254912">
        <w:rPr>
          <w:lang w:val="fr-FR"/>
        </w:rPr>
        <w:t>’</w:t>
      </w:r>
      <w:r w:rsidRPr="002A465A">
        <w:rPr>
          <w:lang w:val="fr-FR"/>
        </w:rPr>
        <w:t>un enfant de moins de 14 ans à des rapports sexuels ou à d</w:t>
      </w:r>
      <w:r w:rsidR="00254912">
        <w:rPr>
          <w:lang w:val="fr-FR"/>
        </w:rPr>
        <w:t>’</w:t>
      </w:r>
      <w:r w:rsidRPr="002A465A">
        <w:rPr>
          <w:lang w:val="fr-FR"/>
        </w:rPr>
        <w:t>autres actes sexuels, érige en infraction pénale le fait de proposer des enfants à des fins sexuelles (« médiation pour la prostitution</w:t>
      </w:r>
      <w:r w:rsidR="00984998">
        <w:rPr>
          <w:lang w:val="fr-FR"/>
        </w:rPr>
        <w:t> »</w:t>
      </w:r>
      <w:r w:rsidRPr="002A465A">
        <w:rPr>
          <w:lang w:val="fr-FR"/>
        </w:rPr>
        <w:t>). Ainsi, quiconque utilise des moyens de communication informatique, planifie une rencontre ou, de toute autre manière, incite un enfant qui n</w:t>
      </w:r>
      <w:r w:rsidR="00254912">
        <w:rPr>
          <w:lang w:val="fr-FR"/>
        </w:rPr>
        <w:t>’</w:t>
      </w:r>
      <w:r w:rsidRPr="002A465A">
        <w:rPr>
          <w:lang w:val="fr-FR"/>
        </w:rPr>
        <w:t>a pas atteint l</w:t>
      </w:r>
      <w:r w:rsidR="00254912">
        <w:rPr>
          <w:lang w:val="fr-FR"/>
        </w:rPr>
        <w:t>’</w:t>
      </w:r>
      <w:r w:rsidRPr="002A465A">
        <w:rPr>
          <w:lang w:val="fr-FR"/>
        </w:rPr>
        <w:t>âge de 14 ans à des relations sexuelles ou à un autre acte sexuel, ou à participer à la production de matériel pédopornographique et, dans cette intention, rencontre directement le mineur en question, est passible d</w:t>
      </w:r>
      <w:r w:rsidR="00254912">
        <w:rPr>
          <w:lang w:val="fr-FR"/>
        </w:rPr>
        <w:t>’</w:t>
      </w:r>
      <w:r w:rsidRPr="002A465A">
        <w:rPr>
          <w:lang w:val="fr-FR"/>
        </w:rPr>
        <w:t>une peine d</w:t>
      </w:r>
      <w:r w:rsidR="00254912">
        <w:rPr>
          <w:lang w:val="fr-FR"/>
        </w:rPr>
        <w:t>’</w:t>
      </w:r>
      <w:r w:rsidRPr="002A465A">
        <w:rPr>
          <w:lang w:val="fr-FR"/>
        </w:rPr>
        <w:t>emprisonnement d</w:t>
      </w:r>
      <w:r w:rsidR="00254912">
        <w:rPr>
          <w:lang w:val="fr-FR"/>
        </w:rPr>
        <w:t>’</w:t>
      </w:r>
      <w:r w:rsidRPr="002A465A">
        <w:rPr>
          <w:lang w:val="fr-FR"/>
        </w:rPr>
        <w:t xml:space="preserve">un à cinq ans. </w:t>
      </w:r>
    </w:p>
    <w:p w14:paraId="57D785F4" w14:textId="77777777" w:rsidR="003C48D6" w:rsidRPr="002A465A" w:rsidRDefault="003C48D6" w:rsidP="00553C2A">
      <w:pPr>
        <w:pStyle w:val="SingleTxtG"/>
        <w:keepNext/>
        <w:keepLines/>
        <w:rPr>
          <w:lang w:val="fr-FR"/>
        </w:rPr>
      </w:pPr>
      <w:r w:rsidRPr="002A465A">
        <w:rPr>
          <w:lang w:val="fr-FR"/>
        </w:rPr>
        <w:t>56.</w:t>
      </w:r>
      <w:r w:rsidRPr="002A465A">
        <w:rPr>
          <w:lang w:val="fr-FR"/>
        </w:rPr>
        <w:tab/>
        <w:t>L</w:t>
      </w:r>
      <w:r w:rsidR="00254912">
        <w:rPr>
          <w:lang w:val="fr-FR"/>
        </w:rPr>
        <w:t>’</w:t>
      </w:r>
      <w:r w:rsidRPr="002A465A">
        <w:rPr>
          <w:lang w:val="fr-FR"/>
        </w:rPr>
        <w:t>article 418-d : Traite d</w:t>
      </w:r>
      <w:r w:rsidR="00254912">
        <w:rPr>
          <w:lang w:val="fr-FR"/>
        </w:rPr>
        <w:t>’</w:t>
      </w:r>
      <w:r w:rsidRPr="002A465A">
        <w:rPr>
          <w:lang w:val="fr-FR"/>
        </w:rPr>
        <w:t>enfants, érige l</w:t>
      </w:r>
      <w:r w:rsidR="00254912">
        <w:rPr>
          <w:lang w:val="fr-FR"/>
        </w:rPr>
        <w:t>’</w:t>
      </w:r>
      <w:r w:rsidRPr="002A465A">
        <w:rPr>
          <w:lang w:val="fr-FR"/>
        </w:rPr>
        <w:t>exploitation sexuelle d</w:t>
      </w:r>
      <w:r w:rsidR="00254912">
        <w:rPr>
          <w:lang w:val="fr-FR"/>
        </w:rPr>
        <w:t>’</w:t>
      </w:r>
      <w:r w:rsidRPr="002A465A">
        <w:rPr>
          <w:lang w:val="fr-FR"/>
        </w:rPr>
        <w:t>un enfant en infraction pénale. Par conséquent :</w:t>
      </w:r>
    </w:p>
    <w:p w14:paraId="023AC719" w14:textId="77777777" w:rsidR="003C48D6" w:rsidRPr="002A465A" w:rsidRDefault="003C48D6" w:rsidP="00553C2A">
      <w:pPr>
        <w:pStyle w:val="SingleTxtG"/>
        <w:keepNext/>
        <w:keepLines/>
        <w:ind w:firstLine="567"/>
        <w:rPr>
          <w:lang w:val="fr-FR"/>
        </w:rPr>
      </w:pPr>
      <w:r w:rsidRPr="002A465A">
        <w:rPr>
          <w:lang w:val="fr-FR"/>
        </w:rPr>
        <w:t>a)</w:t>
      </w:r>
      <w:r w:rsidRPr="002A465A">
        <w:rPr>
          <w:lang w:val="fr-FR"/>
        </w:rPr>
        <w:tab/>
        <w:t>Quiconque incite un enfant à des activités sexuelles ou rend possibles des actes sexuels avec un enfant ou persuade, transporte, transfère, achète, vend ou offre à la vente, obtient, fournit, héberge ou accepte un enfant dans le but de l</w:t>
      </w:r>
      <w:r w:rsidR="00254912">
        <w:rPr>
          <w:lang w:val="fr-FR"/>
        </w:rPr>
        <w:t>’</w:t>
      </w:r>
      <w:r w:rsidRPr="002A465A">
        <w:rPr>
          <w:lang w:val="fr-FR"/>
        </w:rPr>
        <w:t>exploiter dans des actes sexuels contre de l</w:t>
      </w:r>
      <w:r w:rsidR="00254912">
        <w:rPr>
          <w:lang w:val="fr-FR"/>
        </w:rPr>
        <w:t>’</w:t>
      </w:r>
      <w:r w:rsidRPr="002A465A">
        <w:rPr>
          <w:lang w:val="fr-FR"/>
        </w:rPr>
        <w:t>argent ou d</w:t>
      </w:r>
      <w:r w:rsidR="00254912">
        <w:rPr>
          <w:lang w:val="fr-FR"/>
        </w:rPr>
        <w:t>’</w:t>
      </w:r>
      <w:r w:rsidRPr="002A465A">
        <w:rPr>
          <w:lang w:val="fr-FR"/>
        </w:rPr>
        <w:t>autres formes de compensation ou dans d</w:t>
      </w:r>
      <w:r w:rsidR="00254912">
        <w:rPr>
          <w:lang w:val="fr-FR"/>
        </w:rPr>
        <w:t>’</w:t>
      </w:r>
      <w:r w:rsidRPr="002A465A">
        <w:rPr>
          <w:lang w:val="fr-FR"/>
        </w:rPr>
        <w:t>autres formes d</w:t>
      </w:r>
      <w:r w:rsidR="00254912">
        <w:rPr>
          <w:lang w:val="fr-FR"/>
        </w:rPr>
        <w:t>’</w:t>
      </w:r>
      <w:r w:rsidRPr="002A465A">
        <w:rPr>
          <w:lang w:val="fr-FR"/>
        </w:rPr>
        <w:t>exploitation sexuelle, de pornographie, de travail ou de services forcés, de mendicité ou d</w:t>
      </w:r>
      <w:r w:rsidR="00254912">
        <w:rPr>
          <w:lang w:val="fr-FR"/>
        </w:rPr>
        <w:t>’</w:t>
      </w:r>
      <w:r w:rsidRPr="002A465A">
        <w:rPr>
          <w:lang w:val="fr-FR"/>
        </w:rPr>
        <w:t>exploitation pour l</w:t>
      </w:r>
      <w:r w:rsidR="00254912">
        <w:rPr>
          <w:lang w:val="fr-FR"/>
        </w:rPr>
        <w:t>’</w:t>
      </w:r>
      <w:r w:rsidRPr="002A465A">
        <w:rPr>
          <w:lang w:val="fr-FR"/>
        </w:rPr>
        <w:t>exercice d</w:t>
      </w:r>
      <w:r w:rsidR="00254912">
        <w:rPr>
          <w:lang w:val="fr-FR"/>
        </w:rPr>
        <w:t>’</w:t>
      </w:r>
      <w:r w:rsidRPr="002A465A">
        <w:rPr>
          <w:lang w:val="fr-FR"/>
        </w:rPr>
        <w:t>une activité interdite par la loi, d</w:t>
      </w:r>
      <w:r w:rsidR="00254912">
        <w:rPr>
          <w:lang w:val="fr-FR"/>
        </w:rPr>
        <w:t>’</w:t>
      </w:r>
      <w:r w:rsidRPr="002A465A">
        <w:rPr>
          <w:lang w:val="fr-FR"/>
        </w:rPr>
        <w:t>esclavage, de mariage forcé, de</w:t>
      </w:r>
      <w:r w:rsidR="00984998">
        <w:rPr>
          <w:lang w:val="fr-FR"/>
        </w:rPr>
        <w:t> </w:t>
      </w:r>
      <w:r w:rsidRPr="002A465A">
        <w:rPr>
          <w:lang w:val="fr-FR"/>
        </w:rPr>
        <w:t>fécondation forcée, d</w:t>
      </w:r>
      <w:r w:rsidR="00254912">
        <w:rPr>
          <w:lang w:val="fr-FR"/>
        </w:rPr>
        <w:t>’</w:t>
      </w:r>
      <w:r w:rsidRPr="002A465A">
        <w:rPr>
          <w:lang w:val="fr-FR"/>
        </w:rPr>
        <w:t>adoption illégale, ou bien encore contraint au consentement en tant que médiateur pour l</w:t>
      </w:r>
      <w:r w:rsidR="00254912">
        <w:rPr>
          <w:lang w:val="fr-FR"/>
        </w:rPr>
        <w:t>’</w:t>
      </w:r>
      <w:r w:rsidRPr="002A465A">
        <w:rPr>
          <w:lang w:val="fr-FR"/>
        </w:rPr>
        <w:t>adoption d</w:t>
      </w:r>
      <w:r w:rsidR="00254912">
        <w:rPr>
          <w:lang w:val="fr-FR"/>
        </w:rPr>
        <w:t>’</w:t>
      </w:r>
      <w:r w:rsidRPr="002A465A">
        <w:rPr>
          <w:lang w:val="fr-FR"/>
        </w:rPr>
        <w:t>un enfant ou transplante illégalement des organes humains, est passible d</w:t>
      </w:r>
      <w:r w:rsidR="00254912">
        <w:rPr>
          <w:lang w:val="fr-FR"/>
        </w:rPr>
        <w:t>’</w:t>
      </w:r>
      <w:r w:rsidRPr="002A465A">
        <w:rPr>
          <w:lang w:val="fr-FR"/>
        </w:rPr>
        <w:t>une peine d</w:t>
      </w:r>
      <w:r w:rsidR="00254912">
        <w:rPr>
          <w:lang w:val="fr-FR"/>
        </w:rPr>
        <w:t>’</w:t>
      </w:r>
      <w:r w:rsidRPr="002A465A">
        <w:rPr>
          <w:lang w:val="fr-FR"/>
        </w:rPr>
        <w:t>au moins huit ans d</w:t>
      </w:r>
      <w:r w:rsidR="00254912">
        <w:rPr>
          <w:lang w:val="fr-FR"/>
        </w:rPr>
        <w:t>’</w:t>
      </w:r>
      <w:r w:rsidRPr="002A465A">
        <w:rPr>
          <w:lang w:val="fr-FR"/>
        </w:rPr>
        <w:t>emprisonnement ;</w:t>
      </w:r>
    </w:p>
    <w:p w14:paraId="23F4BB50" w14:textId="77777777" w:rsidR="003C48D6" w:rsidRPr="002A465A" w:rsidRDefault="003C48D6" w:rsidP="00553C2A">
      <w:pPr>
        <w:pStyle w:val="SingleTxtG"/>
        <w:ind w:firstLine="567"/>
        <w:rPr>
          <w:lang w:val="fr-FR"/>
        </w:rPr>
      </w:pPr>
      <w:r w:rsidRPr="002A465A">
        <w:rPr>
          <w:lang w:val="fr-FR"/>
        </w:rPr>
        <w:t>b)</w:t>
      </w:r>
      <w:r w:rsidRPr="002A465A">
        <w:rPr>
          <w:lang w:val="fr-FR"/>
        </w:rPr>
        <w:tab/>
        <w:t>Quiconque commet le crime visé au paragraphe 1 en recourant à la force, à des menaces graves, à l</w:t>
      </w:r>
      <w:r w:rsidR="00254912">
        <w:rPr>
          <w:lang w:val="fr-FR"/>
        </w:rPr>
        <w:t>’</w:t>
      </w:r>
      <w:r w:rsidRPr="002A465A">
        <w:rPr>
          <w:lang w:val="fr-FR"/>
        </w:rPr>
        <w:t>illusion ou à toute autre forme de contrainte, à l</w:t>
      </w:r>
      <w:r w:rsidR="00254912">
        <w:rPr>
          <w:lang w:val="fr-FR"/>
        </w:rPr>
        <w:t>’</w:t>
      </w:r>
      <w:r w:rsidRPr="002A465A">
        <w:rPr>
          <w:lang w:val="fr-FR"/>
        </w:rPr>
        <w:t>enlèvement, à la fraude, à l</w:t>
      </w:r>
      <w:r w:rsidR="00254912">
        <w:rPr>
          <w:lang w:val="fr-FR"/>
        </w:rPr>
        <w:t>’</w:t>
      </w:r>
      <w:r w:rsidRPr="002A465A">
        <w:rPr>
          <w:lang w:val="fr-FR"/>
        </w:rPr>
        <w:t>abus de pouvoir ou à la grossesse, en profitant de l</w:t>
      </w:r>
      <w:r w:rsidR="00254912">
        <w:rPr>
          <w:lang w:val="fr-FR"/>
        </w:rPr>
        <w:t>’</w:t>
      </w:r>
      <w:r w:rsidRPr="002A465A">
        <w:rPr>
          <w:lang w:val="fr-FR"/>
        </w:rPr>
        <w:t>impuissance ou de l</w:t>
      </w:r>
      <w:r w:rsidR="00254912">
        <w:rPr>
          <w:lang w:val="fr-FR"/>
        </w:rPr>
        <w:t>’</w:t>
      </w:r>
      <w:r w:rsidRPr="002A465A">
        <w:rPr>
          <w:lang w:val="fr-FR"/>
        </w:rPr>
        <w:t>incapacité physique ou mentale d</w:t>
      </w:r>
      <w:r w:rsidR="00254912">
        <w:rPr>
          <w:lang w:val="fr-FR"/>
        </w:rPr>
        <w:t>’</w:t>
      </w:r>
      <w:r w:rsidRPr="002A465A">
        <w:rPr>
          <w:lang w:val="fr-FR"/>
        </w:rPr>
        <w:t>une autre personne, ou en donnant ou recevant de l</w:t>
      </w:r>
      <w:r w:rsidR="00254912">
        <w:rPr>
          <w:lang w:val="fr-FR"/>
        </w:rPr>
        <w:t>’</w:t>
      </w:r>
      <w:r w:rsidRPr="002A465A">
        <w:rPr>
          <w:lang w:val="fr-FR"/>
        </w:rPr>
        <w:t>argent ou d</w:t>
      </w:r>
      <w:r w:rsidR="00254912">
        <w:rPr>
          <w:lang w:val="fr-FR"/>
        </w:rPr>
        <w:t>’</w:t>
      </w:r>
      <w:r w:rsidRPr="002A465A">
        <w:rPr>
          <w:lang w:val="fr-FR"/>
        </w:rPr>
        <w:t>autres avantages dans le but d</w:t>
      </w:r>
      <w:r w:rsidR="00254912">
        <w:rPr>
          <w:lang w:val="fr-FR"/>
        </w:rPr>
        <w:t>’</w:t>
      </w:r>
      <w:r w:rsidRPr="002A465A">
        <w:rPr>
          <w:lang w:val="fr-FR"/>
        </w:rPr>
        <w:t>obtenir le consentement d</w:t>
      </w:r>
      <w:r w:rsidR="00254912">
        <w:rPr>
          <w:lang w:val="fr-FR"/>
        </w:rPr>
        <w:t>’</w:t>
      </w:r>
      <w:r w:rsidRPr="002A465A">
        <w:rPr>
          <w:lang w:val="fr-FR"/>
        </w:rPr>
        <w:t>une personne contrôlant une autre personne, ou en commettant l</w:t>
      </w:r>
      <w:r w:rsidR="00254912">
        <w:rPr>
          <w:lang w:val="fr-FR"/>
        </w:rPr>
        <w:t>’</w:t>
      </w:r>
      <w:r w:rsidRPr="002A465A">
        <w:rPr>
          <w:lang w:val="fr-FR"/>
        </w:rPr>
        <w:t>acte sur un enfant de moins de 14 ans, est passible d</w:t>
      </w:r>
      <w:r w:rsidR="00254912">
        <w:rPr>
          <w:lang w:val="fr-FR"/>
        </w:rPr>
        <w:t>’</w:t>
      </w:r>
      <w:r w:rsidRPr="002A465A">
        <w:rPr>
          <w:lang w:val="fr-FR"/>
        </w:rPr>
        <w:t>une peine d</w:t>
      </w:r>
      <w:r w:rsidR="00254912">
        <w:rPr>
          <w:lang w:val="fr-FR"/>
        </w:rPr>
        <w:t>’</w:t>
      </w:r>
      <w:r w:rsidRPr="002A465A">
        <w:rPr>
          <w:lang w:val="fr-FR"/>
        </w:rPr>
        <w:t>emprisonnement d</w:t>
      </w:r>
      <w:r w:rsidR="00254912">
        <w:rPr>
          <w:lang w:val="fr-FR"/>
        </w:rPr>
        <w:t>’</w:t>
      </w:r>
      <w:r w:rsidRPr="002A465A">
        <w:rPr>
          <w:lang w:val="fr-FR"/>
        </w:rPr>
        <w:t>au moins dix ans ;</w:t>
      </w:r>
    </w:p>
    <w:p w14:paraId="7EC2AC80" w14:textId="77777777" w:rsidR="003C48D6" w:rsidRPr="002A465A" w:rsidRDefault="003C48D6" w:rsidP="00553C2A">
      <w:pPr>
        <w:pStyle w:val="SingleTxtG"/>
        <w:ind w:firstLine="567"/>
        <w:rPr>
          <w:lang w:val="fr-FR"/>
        </w:rPr>
      </w:pPr>
      <w:r w:rsidRPr="002A465A">
        <w:rPr>
          <w:lang w:val="fr-FR"/>
        </w:rPr>
        <w:t>c)</w:t>
      </w:r>
      <w:r w:rsidRPr="002A465A">
        <w:rPr>
          <w:lang w:val="fr-FR"/>
        </w:rPr>
        <w:tab/>
        <w:t>Quiconque utilise ou permet à une autre personne d</w:t>
      </w:r>
      <w:r w:rsidR="00254912">
        <w:rPr>
          <w:lang w:val="fr-FR"/>
        </w:rPr>
        <w:t>’</w:t>
      </w:r>
      <w:r w:rsidRPr="002A465A">
        <w:rPr>
          <w:lang w:val="fr-FR"/>
        </w:rPr>
        <w:t>utiliser les services sexuels ou tout autre type d</w:t>
      </w:r>
      <w:r w:rsidR="00254912">
        <w:rPr>
          <w:lang w:val="fr-FR"/>
        </w:rPr>
        <w:t>’</w:t>
      </w:r>
      <w:r w:rsidRPr="002A465A">
        <w:rPr>
          <w:lang w:val="fr-FR"/>
        </w:rPr>
        <w:t>exploitation d</w:t>
      </w:r>
      <w:r w:rsidR="00254912">
        <w:rPr>
          <w:lang w:val="fr-FR"/>
        </w:rPr>
        <w:t>’</w:t>
      </w:r>
      <w:r w:rsidRPr="002A465A">
        <w:rPr>
          <w:lang w:val="fr-FR"/>
        </w:rPr>
        <w:t>un enfant en sachant ou en ne pouvant ignorer que cet enfant est victime de la traite des êtres humains, est passible d</w:t>
      </w:r>
      <w:r w:rsidR="00254912">
        <w:rPr>
          <w:lang w:val="fr-FR"/>
        </w:rPr>
        <w:t>’</w:t>
      </w:r>
      <w:r w:rsidRPr="002A465A">
        <w:rPr>
          <w:lang w:val="fr-FR"/>
        </w:rPr>
        <w:t>une peine d</w:t>
      </w:r>
      <w:r w:rsidR="00254912">
        <w:rPr>
          <w:lang w:val="fr-FR"/>
        </w:rPr>
        <w:t>’</w:t>
      </w:r>
      <w:r w:rsidRPr="002A465A">
        <w:rPr>
          <w:lang w:val="fr-FR"/>
        </w:rPr>
        <w:t>emprisonnement d</w:t>
      </w:r>
      <w:r w:rsidR="00254912">
        <w:rPr>
          <w:lang w:val="fr-FR"/>
        </w:rPr>
        <w:t>’</w:t>
      </w:r>
      <w:r w:rsidRPr="002A465A">
        <w:rPr>
          <w:lang w:val="fr-FR"/>
        </w:rPr>
        <w:t>au moins huit ans ;</w:t>
      </w:r>
    </w:p>
    <w:p w14:paraId="0D60A370" w14:textId="77777777" w:rsidR="003C48D6" w:rsidRPr="002A465A" w:rsidRDefault="003C48D6" w:rsidP="00553C2A">
      <w:pPr>
        <w:pStyle w:val="SingleTxtG"/>
        <w:ind w:firstLine="567"/>
        <w:rPr>
          <w:lang w:val="fr-FR"/>
        </w:rPr>
      </w:pPr>
      <w:r w:rsidRPr="002A465A">
        <w:rPr>
          <w:lang w:val="fr-FR"/>
        </w:rPr>
        <w:t>d)</w:t>
      </w:r>
      <w:r w:rsidRPr="002A465A">
        <w:rPr>
          <w:lang w:val="fr-FR"/>
        </w:rPr>
        <w:tab/>
        <w:t>L</w:t>
      </w:r>
      <w:r w:rsidR="00254912">
        <w:rPr>
          <w:lang w:val="fr-FR"/>
        </w:rPr>
        <w:t>’</w:t>
      </w:r>
      <w:r w:rsidRPr="002A465A">
        <w:rPr>
          <w:lang w:val="fr-FR"/>
        </w:rPr>
        <w:t>utilisateur de services sexuels de la part d</w:t>
      </w:r>
      <w:r w:rsidR="00254912">
        <w:rPr>
          <w:lang w:val="fr-FR"/>
        </w:rPr>
        <w:t>’</w:t>
      </w:r>
      <w:r w:rsidRPr="002A465A">
        <w:rPr>
          <w:lang w:val="fr-FR"/>
        </w:rPr>
        <w:t>un enfant de moins de 14 ans est passible d</w:t>
      </w:r>
      <w:r w:rsidR="00254912">
        <w:rPr>
          <w:lang w:val="fr-FR"/>
        </w:rPr>
        <w:t>’</w:t>
      </w:r>
      <w:r w:rsidRPr="002A465A">
        <w:rPr>
          <w:lang w:val="fr-FR"/>
        </w:rPr>
        <w:t>une peine d</w:t>
      </w:r>
      <w:r w:rsidR="00254912">
        <w:rPr>
          <w:lang w:val="fr-FR"/>
        </w:rPr>
        <w:t>’</w:t>
      </w:r>
      <w:r w:rsidRPr="002A465A">
        <w:rPr>
          <w:lang w:val="fr-FR"/>
        </w:rPr>
        <w:t>emprisonnement d</w:t>
      </w:r>
      <w:r w:rsidR="00254912">
        <w:rPr>
          <w:lang w:val="fr-FR"/>
        </w:rPr>
        <w:t>’</w:t>
      </w:r>
      <w:r w:rsidRPr="002A465A">
        <w:rPr>
          <w:lang w:val="fr-FR"/>
        </w:rPr>
        <w:t xml:space="preserve">au moins </w:t>
      </w:r>
      <w:r w:rsidR="00984998">
        <w:rPr>
          <w:lang w:val="fr-FR"/>
        </w:rPr>
        <w:t xml:space="preserve">douze </w:t>
      </w:r>
      <w:r w:rsidRPr="002A465A">
        <w:rPr>
          <w:lang w:val="fr-FR"/>
        </w:rPr>
        <w:t>ans ;</w:t>
      </w:r>
    </w:p>
    <w:p w14:paraId="4F6AB9C2" w14:textId="77777777" w:rsidR="003C48D6" w:rsidRPr="002A465A" w:rsidRDefault="003C48D6" w:rsidP="00553C2A">
      <w:pPr>
        <w:pStyle w:val="SingleTxtG"/>
        <w:ind w:firstLine="567"/>
        <w:rPr>
          <w:lang w:val="fr-FR"/>
        </w:rPr>
      </w:pPr>
      <w:r w:rsidRPr="002A465A">
        <w:rPr>
          <w:lang w:val="fr-FR"/>
        </w:rPr>
        <w:t>e)</w:t>
      </w:r>
      <w:r w:rsidRPr="002A465A">
        <w:rPr>
          <w:lang w:val="fr-FR"/>
        </w:rPr>
        <w:tab/>
        <w:t>Quiconque s</w:t>
      </w:r>
      <w:r w:rsidR="00254912">
        <w:rPr>
          <w:lang w:val="fr-FR"/>
        </w:rPr>
        <w:t>’</w:t>
      </w:r>
      <w:r w:rsidRPr="002A465A">
        <w:rPr>
          <w:lang w:val="fr-FR"/>
        </w:rPr>
        <w:t>approprie ou détruit une carte d</w:t>
      </w:r>
      <w:r w:rsidR="00254912">
        <w:rPr>
          <w:lang w:val="fr-FR"/>
        </w:rPr>
        <w:t>’</w:t>
      </w:r>
      <w:r w:rsidRPr="002A465A">
        <w:rPr>
          <w:lang w:val="fr-FR"/>
        </w:rPr>
        <w:t>identité, un passeport ou un autre document d</w:t>
      </w:r>
      <w:r w:rsidR="00254912">
        <w:rPr>
          <w:lang w:val="fr-FR"/>
        </w:rPr>
        <w:t>’</w:t>
      </w:r>
      <w:r w:rsidRPr="002A465A">
        <w:rPr>
          <w:lang w:val="fr-FR"/>
        </w:rPr>
        <w:t>identité personnel, en vue de commettre les infractions visées aux paragraphes 1 et 2, est passible d</w:t>
      </w:r>
      <w:r w:rsidR="00254912">
        <w:rPr>
          <w:lang w:val="fr-FR"/>
        </w:rPr>
        <w:t>’</w:t>
      </w:r>
      <w:r w:rsidRPr="002A465A">
        <w:rPr>
          <w:lang w:val="fr-FR"/>
        </w:rPr>
        <w:t>une peine d</w:t>
      </w:r>
      <w:r w:rsidR="00254912">
        <w:rPr>
          <w:lang w:val="fr-FR"/>
        </w:rPr>
        <w:t>’</w:t>
      </w:r>
      <w:r w:rsidRPr="002A465A">
        <w:rPr>
          <w:lang w:val="fr-FR"/>
        </w:rPr>
        <w:t>emprisonnement d</w:t>
      </w:r>
      <w:r w:rsidR="00254912">
        <w:rPr>
          <w:lang w:val="fr-FR"/>
        </w:rPr>
        <w:t>’</w:t>
      </w:r>
      <w:r w:rsidRPr="002A465A">
        <w:rPr>
          <w:lang w:val="fr-FR"/>
        </w:rPr>
        <w:t xml:space="preserve">au moins quatre ans ; </w:t>
      </w:r>
    </w:p>
    <w:p w14:paraId="4C65188C" w14:textId="77777777" w:rsidR="003C48D6" w:rsidRPr="002A465A" w:rsidRDefault="003C48D6" w:rsidP="00553C2A">
      <w:pPr>
        <w:pStyle w:val="SingleTxtG"/>
        <w:ind w:firstLine="567"/>
        <w:rPr>
          <w:lang w:val="fr-FR"/>
        </w:rPr>
      </w:pPr>
      <w:r w:rsidRPr="002A465A">
        <w:rPr>
          <w:lang w:val="fr-FR"/>
        </w:rPr>
        <w:t>f)</w:t>
      </w:r>
      <w:r w:rsidRPr="002A465A">
        <w:rPr>
          <w:lang w:val="fr-FR"/>
        </w:rPr>
        <w:tab/>
        <w:t>Si les infractions visées aux paragraphes 1, 2, 3 et 4 de cet article sont commises par un fonctionnaire dans l</w:t>
      </w:r>
      <w:r w:rsidR="00254912">
        <w:rPr>
          <w:lang w:val="fr-FR"/>
        </w:rPr>
        <w:t>’</w:t>
      </w:r>
      <w:r w:rsidRPr="002A465A">
        <w:rPr>
          <w:lang w:val="fr-FR"/>
        </w:rPr>
        <w:t>exercice de ses fonctions, ce dernier est passible d</w:t>
      </w:r>
      <w:r w:rsidR="00254912">
        <w:rPr>
          <w:lang w:val="fr-FR"/>
        </w:rPr>
        <w:t>’</w:t>
      </w:r>
      <w:r w:rsidRPr="002A465A">
        <w:rPr>
          <w:lang w:val="fr-FR"/>
        </w:rPr>
        <w:t>une peine d</w:t>
      </w:r>
      <w:r w:rsidR="00254912">
        <w:rPr>
          <w:lang w:val="fr-FR"/>
        </w:rPr>
        <w:t>’</w:t>
      </w:r>
      <w:r w:rsidRPr="002A465A">
        <w:rPr>
          <w:lang w:val="fr-FR"/>
        </w:rPr>
        <w:t>emprisonnement d</w:t>
      </w:r>
      <w:r w:rsidR="00254912">
        <w:rPr>
          <w:lang w:val="fr-FR"/>
        </w:rPr>
        <w:t>’</w:t>
      </w:r>
      <w:r w:rsidRPr="002A465A">
        <w:rPr>
          <w:lang w:val="fr-FR"/>
        </w:rPr>
        <w:t>au moins dix ans ;</w:t>
      </w:r>
    </w:p>
    <w:p w14:paraId="5D6BA13A" w14:textId="77777777" w:rsidR="003C48D6" w:rsidRPr="002A465A" w:rsidRDefault="003C48D6" w:rsidP="00553C2A">
      <w:pPr>
        <w:pStyle w:val="SingleTxtG"/>
        <w:ind w:firstLine="567"/>
        <w:rPr>
          <w:lang w:val="fr-FR"/>
        </w:rPr>
      </w:pPr>
      <w:r w:rsidRPr="002A465A">
        <w:rPr>
          <w:lang w:val="fr-FR"/>
        </w:rPr>
        <w:t>g)</w:t>
      </w:r>
      <w:r w:rsidRPr="002A465A">
        <w:rPr>
          <w:lang w:val="fr-FR"/>
        </w:rPr>
        <w:tab/>
        <w:t>Le consentement de l</w:t>
      </w:r>
      <w:r w:rsidR="00254912">
        <w:rPr>
          <w:lang w:val="fr-FR"/>
        </w:rPr>
        <w:t>’</w:t>
      </w:r>
      <w:r w:rsidRPr="002A465A">
        <w:rPr>
          <w:lang w:val="fr-FR"/>
        </w:rPr>
        <w:t>enfant aux actes prévus au paragraphe 1 ne change rien à la commission de l</w:t>
      </w:r>
      <w:r w:rsidR="00254912">
        <w:rPr>
          <w:lang w:val="fr-FR"/>
        </w:rPr>
        <w:t>’</w:t>
      </w:r>
      <w:r w:rsidRPr="002A465A">
        <w:rPr>
          <w:lang w:val="fr-FR"/>
        </w:rPr>
        <w:t>infraction visée à ce paragraphe ;</w:t>
      </w:r>
    </w:p>
    <w:p w14:paraId="05151D45" w14:textId="77777777" w:rsidR="003C48D6" w:rsidRPr="002A465A" w:rsidRDefault="003C48D6" w:rsidP="00553C2A">
      <w:pPr>
        <w:pStyle w:val="SingleTxtG"/>
        <w:ind w:firstLine="567"/>
        <w:rPr>
          <w:lang w:val="fr-FR"/>
        </w:rPr>
      </w:pPr>
      <w:r w:rsidRPr="002A465A">
        <w:rPr>
          <w:lang w:val="fr-FR"/>
        </w:rPr>
        <w:t>h)</w:t>
      </w:r>
      <w:r w:rsidRPr="002A465A">
        <w:rPr>
          <w:lang w:val="fr-FR"/>
        </w:rPr>
        <w:tab/>
        <w:t>Si l</w:t>
      </w:r>
      <w:r w:rsidR="00254912">
        <w:rPr>
          <w:lang w:val="fr-FR"/>
        </w:rPr>
        <w:t>’</w:t>
      </w:r>
      <w:r w:rsidRPr="002A465A">
        <w:rPr>
          <w:lang w:val="fr-FR"/>
        </w:rPr>
        <w:t>infraction visée audit article est commise par une personne morale, cette dernière est sanctionnée par une amende ;</w:t>
      </w:r>
    </w:p>
    <w:p w14:paraId="16108276" w14:textId="77777777" w:rsidR="003C48D6" w:rsidRPr="002A465A" w:rsidRDefault="003C48D6" w:rsidP="00553C2A">
      <w:pPr>
        <w:pStyle w:val="SingleTxtG"/>
        <w:ind w:firstLine="567"/>
        <w:rPr>
          <w:lang w:val="fr-FR"/>
        </w:rPr>
      </w:pPr>
      <w:r w:rsidRPr="002A465A">
        <w:rPr>
          <w:lang w:val="fr-FR"/>
        </w:rPr>
        <w:t>i)</w:t>
      </w:r>
      <w:r w:rsidRPr="002A465A">
        <w:rPr>
          <w:lang w:val="fr-FR"/>
        </w:rPr>
        <w:tab/>
        <w:t>Les biens immobiliers, les objets et les moyens de transport utilisés pour la commission de l</w:t>
      </w:r>
      <w:r w:rsidR="00254912">
        <w:rPr>
          <w:lang w:val="fr-FR"/>
        </w:rPr>
        <w:t>’</w:t>
      </w:r>
      <w:r w:rsidRPr="002A465A">
        <w:rPr>
          <w:lang w:val="fr-FR"/>
        </w:rPr>
        <w:t>infraction sont saisis.</w:t>
      </w:r>
    </w:p>
    <w:p w14:paraId="1269AAA8" w14:textId="77777777" w:rsidR="003C48D6" w:rsidRPr="002A465A" w:rsidRDefault="003C48D6" w:rsidP="009F0050">
      <w:pPr>
        <w:pStyle w:val="SingleTxtG"/>
        <w:rPr>
          <w:lang w:val="fr-FR"/>
        </w:rPr>
      </w:pPr>
      <w:r w:rsidRPr="002A465A">
        <w:rPr>
          <w:lang w:val="fr-FR"/>
        </w:rPr>
        <w:t>57.</w:t>
      </w:r>
      <w:r w:rsidRPr="002A465A">
        <w:rPr>
          <w:lang w:val="fr-FR"/>
        </w:rPr>
        <w:tab/>
        <w:t>Selon le Code pénal, les infractions d</w:t>
      </w:r>
      <w:r w:rsidR="00254912">
        <w:rPr>
          <w:lang w:val="fr-FR"/>
        </w:rPr>
        <w:t>’</w:t>
      </w:r>
      <w:r w:rsidRPr="002A465A">
        <w:rPr>
          <w:lang w:val="fr-FR"/>
        </w:rPr>
        <w:t>atteintes sexuelles sur enfant sont passibles d</w:t>
      </w:r>
      <w:r w:rsidR="00254912">
        <w:rPr>
          <w:lang w:val="fr-FR"/>
        </w:rPr>
        <w:t>’</w:t>
      </w:r>
      <w:r w:rsidRPr="002A465A">
        <w:rPr>
          <w:lang w:val="fr-FR"/>
        </w:rPr>
        <w:t>une peine de prison et d</w:t>
      </w:r>
      <w:r w:rsidR="00254912">
        <w:rPr>
          <w:lang w:val="fr-FR"/>
        </w:rPr>
        <w:t>’</w:t>
      </w:r>
      <w:r w:rsidRPr="002A465A">
        <w:rPr>
          <w:lang w:val="fr-FR"/>
        </w:rPr>
        <w:t>une interdiction d</w:t>
      </w:r>
      <w:r w:rsidR="00254912">
        <w:rPr>
          <w:lang w:val="fr-FR"/>
        </w:rPr>
        <w:t>’</w:t>
      </w:r>
      <w:r w:rsidRPr="002A465A">
        <w:rPr>
          <w:lang w:val="fr-FR"/>
        </w:rPr>
        <w:t>exercer une profession, une activité économique ou une fonction. La peine de prison ne peut être prononcée qu</w:t>
      </w:r>
      <w:r w:rsidR="00254912">
        <w:rPr>
          <w:lang w:val="fr-FR"/>
        </w:rPr>
        <w:t>’</w:t>
      </w:r>
      <w:r w:rsidRPr="002A465A">
        <w:rPr>
          <w:lang w:val="fr-FR"/>
        </w:rPr>
        <w:t>à titre de peine principale, tandis que les interdictions d</w:t>
      </w:r>
      <w:r w:rsidR="00254912">
        <w:rPr>
          <w:lang w:val="fr-FR"/>
        </w:rPr>
        <w:t>’</w:t>
      </w:r>
      <w:r w:rsidRPr="002A465A">
        <w:rPr>
          <w:lang w:val="fr-FR"/>
        </w:rPr>
        <w:t xml:space="preserve">exercer une profession, une activité économique ou une fonction ne peuvent être que des peines accessoires, concomitantes à la peine de prison ou la condamnation avec sursis. </w:t>
      </w:r>
    </w:p>
    <w:p w14:paraId="7AC4B4F0" w14:textId="77777777" w:rsidR="003C48D6" w:rsidRPr="002A465A" w:rsidRDefault="003C48D6" w:rsidP="009F0050">
      <w:pPr>
        <w:pStyle w:val="SingleTxtG"/>
        <w:rPr>
          <w:lang w:val="fr-FR"/>
        </w:rPr>
      </w:pPr>
      <w:r w:rsidRPr="002A465A">
        <w:rPr>
          <w:lang w:val="fr-FR"/>
        </w:rPr>
        <w:lastRenderedPageBreak/>
        <w:t>58.</w:t>
      </w:r>
      <w:r w:rsidRPr="002A465A">
        <w:rPr>
          <w:lang w:val="fr-FR"/>
        </w:rPr>
        <w:tab/>
        <w:t xml:space="preserve">La peine de prison ne peut être inférieure à </w:t>
      </w:r>
      <w:r w:rsidR="00984998">
        <w:rPr>
          <w:lang w:val="fr-FR"/>
        </w:rPr>
        <w:t xml:space="preserve">trente </w:t>
      </w:r>
      <w:r w:rsidRPr="002A465A">
        <w:rPr>
          <w:lang w:val="fr-FR"/>
        </w:rPr>
        <w:t xml:space="preserve">jours ni supérieure à </w:t>
      </w:r>
      <w:r w:rsidR="00984998">
        <w:rPr>
          <w:lang w:val="fr-FR"/>
        </w:rPr>
        <w:t xml:space="preserve">vingt </w:t>
      </w:r>
      <w:r w:rsidRPr="002A465A">
        <w:rPr>
          <w:lang w:val="fr-FR"/>
        </w:rPr>
        <w:t>ans. La</w:t>
      </w:r>
      <w:r w:rsidR="00984998">
        <w:rPr>
          <w:lang w:val="fr-FR"/>
        </w:rPr>
        <w:t> </w:t>
      </w:r>
      <w:r w:rsidRPr="002A465A">
        <w:rPr>
          <w:lang w:val="fr-FR"/>
        </w:rPr>
        <w:t>commission d</w:t>
      </w:r>
      <w:r w:rsidR="00254912">
        <w:rPr>
          <w:lang w:val="fr-FR"/>
        </w:rPr>
        <w:t>’</w:t>
      </w:r>
      <w:r w:rsidRPr="002A465A">
        <w:rPr>
          <w:lang w:val="fr-FR"/>
        </w:rPr>
        <w:t>infractions pour lesquelles la peine éventuellement infligée est la prison à vie peut être punie d</w:t>
      </w:r>
      <w:r w:rsidR="00254912">
        <w:rPr>
          <w:lang w:val="fr-FR"/>
        </w:rPr>
        <w:t>’</w:t>
      </w:r>
      <w:r w:rsidRPr="002A465A">
        <w:rPr>
          <w:lang w:val="fr-FR"/>
        </w:rPr>
        <w:t xml:space="preserve">une longue peine de </w:t>
      </w:r>
      <w:r w:rsidR="00984998">
        <w:rPr>
          <w:lang w:val="fr-FR"/>
        </w:rPr>
        <w:t xml:space="preserve">quarante </w:t>
      </w:r>
      <w:r w:rsidRPr="002A465A">
        <w:rPr>
          <w:lang w:val="fr-FR"/>
        </w:rPr>
        <w:t xml:space="preserve">ans de prison. </w:t>
      </w:r>
    </w:p>
    <w:p w14:paraId="675E4715" w14:textId="77777777" w:rsidR="003C48D6" w:rsidRPr="00F720A6" w:rsidRDefault="003C48D6" w:rsidP="009F0050">
      <w:pPr>
        <w:pStyle w:val="SingleTxtG"/>
        <w:rPr>
          <w:lang w:val="fr-FR"/>
        </w:rPr>
      </w:pPr>
      <w:r w:rsidRPr="00311732">
        <w:rPr>
          <w:lang w:val="fr-FR"/>
        </w:rPr>
        <w:t>59.</w:t>
      </w:r>
      <w:r w:rsidRPr="002A465A">
        <w:rPr>
          <w:lang w:val="fr-FR"/>
        </w:rPr>
        <w:tab/>
        <w:t>Les auteurs de ces infractions pénales peuvent également faire l</w:t>
      </w:r>
      <w:r w:rsidR="00254912">
        <w:rPr>
          <w:lang w:val="fr-FR"/>
        </w:rPr>
        <w:t>’</w:t>
      </w:r>
      <w:r w:rsidRPr="002A465A">
        <w:rPr>
          <w:lang w:val="fr-FR"/>
        </w:rPr>
        <w:t>objet des mesures de précaution suivantes : traitement psychiatrique obligatoire et détention dans un établissement de santé, traitement obligatoire en liberté, traitement obligatoire des alcooliques et des toxicomanes et traitement médical et pharmacologique des auteurs d</w:t>
      </w:r>
      <w:r w:rsidR="00254912">
        <w:rPr>
          <w:lang w:val="fr-FR"/>
        </w:rPr>
        <w:t>’</w:t>
      </w:r>
      <w:r w:rsidRPr="002A465A">
        <w:rPr>
          <w:lang w:val="fr-FR"/>
        </w:rPr>
        <w:t>agressions sexuelles sur un enfant de moins de 14 ans (art. 65).</w:t>
      </w:r>
    </w:p>
    <w:p w14:paraId="26D9E00D" w14:textId="77777777" w:rsidR="003C48D6" w:rsidRPr="00F720A6" w:rsidRDefault="003C48D6" w:rsidP="009F0050">
      <w:pPr>
        <w:pStyle w:val="SingleTxtG"/>
        <w:rPr>
          <w:lang w:val="fr-FR"/>
        </w:rPr>
      </w:pPr>
      <w:r w:rsidRPr="00F720A6">
        <w:rPr>
          <w:lang w:val="fr-FR"/>
        </w:rPr>
        <w:t>60.</w:t>
      </w:r>
      <w:r w:rsidRPr="00F720A6">
        <w:rPr>
          <w:lang w:val="fr-FR"/>
        </w:rPr>
        <w:tab/>
        <w:t>Les infractions pénales d</w:t>
      </w:r>
      <w:r w:rsidR="00254912">
        <w:rPr>
          <w:lang w:val="fr-FR"/>
        </w:rPr>
        <w:t>’</w:t>
      </w:r>
      <w:r w:rsidRPr="00F720A6">
        <w:rPr>
          <w:lang w:val="fr-FR"/>
        </w:rPr>
        <w:t>atteinte sexuelle et d</w:t>
      </w:r>
      <w:r w:rsidR="00254912">
        <w:rPr>
          <w:lang w:val="fr-FR"/>
        </w:rPr>
        <w:t>’</w:t>
      </w:r>
      <w:r w:rsidRPr="00F720A6">
        <w:rPr>
          <w:lang w:val="fr-FR"/>
        </w:rPr>
        <w:t>exploitation sexuelle des enfants sont poursuivies d</w:t>
      </w:r>
      <w:r w:rsidR="00254912">
        <w:rPr>
          <w:lang w:val="fr-FR"/>
        </w:rPr>
        <w:t>’</w:t>
      </w:r>
      <w:r w:rsidRPr="00F720A6">
        <w:rPr>
          <w:lang w:val="fr-FR"/>
        </w:rPr>
        <w:t>office. En présence de preuves qu</w:t>
      </w:r>
      <w:r w:rsidR="00254912">
        <w:rPr>
          <w:lang w:val="fr-FR"/>
        </w:rPr>
        <w:t>’</w:t>
      </w:r>
      <w:r w:rsidRPr="00F720A6">
        <w:rPr>
          <w:lang w:val="fr-FR"/>
        </w:rPr>
        <w:t>une infraction poursuivie d</w:t>
      </w:r>
      <w:r w:rsidR="00254912">
        <w:rPr>
          <w:lang w:val="fr-FR"/>
        </w:rPr>
        <w:t>’</w:t>
      </w:r>
      <w:r w:rsidRPr="00F720A6">
        <w:rPr>
          <w:lang w:val="fr-FR"/>
        </w:rPr>
        <w:t>office a été commise, l</w:t>
      </w:r>
      <w:r w:rsidR="00254912">
        <w:rPr>
          <w:lang w:val="fr-FR"/>
        </w:rPr>
        <w:t>’</w:t>
      </w:r>
      <w:r w:rsidRPr="00F720A6">
        <w:rPr>
          <w:lang w:val="fr-FR"/>
        </w:rPr>
        <w:t>article 18 de la loi sur la procédure pénale impose au ministère public d</w:t>
      </w:r>
      <w:r w:rsidR="00254912">
        <w:rPr>
          <w:lang w:val="fr-FR"/>
        </w:rPr>
        <w:t>’</w:t>
      </w:r>
      <w:r w:rsidRPr="00F720A6">
        <w:rPr>
          <w:lang w:val="fr-FR"/>
        </w:rPr>
        <w:t xml:space="preserve">engager des poursuites pénales. </w:t>
      </w:r>
    </w:p>
    <w:p w14:paraId="0F750A06" w14:textId="77777777" w:rsidR="003C48D6" w:rsidRPr="00F720A6" w:rsidRDefault="003C48D6" w:rsidP="009F0050">
      <w:pPr>
        <w:pStyle w:val="SingleTxtG"/>
        <w:rPr>
          <w:lang w:val="fr-FR"/>
        </w:rPr>
      </w:pPr>
      <w:r w:rsidRPr="00F720A6">
        <w:rPr>
          <w:lang w:val="fr-FR"/>
        </w:rPr>
        <w:t>61.</w:t>
      </w:r>
      <w:r w:rsidRPr="00F720A6">
        <w:rPr>
          <w:lang w:val="fr-FR"/>
        </w:rPr>
        <w:tab/>
        <w:t>En outre, l</w:t>
      </w:r>
      <w:r w:rsidR="00254912">
        <w:rPr>
          <w:lang w:val="fr-FR"/>
        </w:rPr>
        <w:t>’</w:t>
      </w:r>
      <w:r w:rsidRPr="00F720A6">
        <w:rPr>
          <w:lang w:val="fr-FR"/>
        </w:rPr>
        <w:t>article 106-a du Code pénal contient des dispositions relatives à un registre spécial et précise que : « Le tribunal communique aux organes de l</w:t>
      </w:r>
      <w:r w:rsidR="00254912">
        <w:rPr>
          <w:lang w:val="fr-FR"/>
        </w:rPr>
        <w:t>’</w:t>
      </w:r>
      <w:r w:rsidRPr="00F720A6">
        <w:rPr>
          <w:lang w:val="fr-FR"/>
        </w:rPr>
        <w:t>administration publique responsables des questions de soins de santé, du travail et de la politique sociale les données relatives à une décision judiciaire définitive de mesure de sécurité, pour inscription dans les registres de la santé et les registres spéciaux</w:t>
      </w:r>
      <w:r w:rsidR="00311732">
        <w:rPr>
          <w:lang w:val="fr-FR"/>
        </w:rPr>
        <w:t>.</w:t>
      </w:r>
      <w:r w:rsidRPr="00F720A6">
        <w:rPr>
          <w:lang w:val="fr-FR"/>
        </w:rPr>
        <w:t xml:space="preserve"> ». </w:t>
      </w:r>
    </w:p>
    <w:p w14:paraId="180E3D9B" w14:textId="77777777" w:rsidR="003C48D6" w:rsidRPr="00F720A6" w:rsidRDefault="003C48D6" w:rsidP="009F0050">
      <w:pPr>
        <w:pStyle w:val="SingleTxtG"/>
        <w:rPr>
          <w:lang w:val="fr-FR"/>
        </w:rPr>
      </w:pPr>
      <w:r w:rsidRPr="00F720A6">
        <w:rPr>
          <w:lang w:val="fr-FR"/>
        </w:rPr>
        <w:t>62.</w:t>
      </w:r>
      <w:r w:rsidRPr="00F720A6">
        <w:rPr>
          <w:lang w:val="fr-FR"/>
        </w:rPr>
        <w:tab/>
        <w:t>Le paragraphe 2 précise que : « Le tribunal remet également à l</w:t>
      </w:r>
      <w:r w:rsidR="00254912">
        <w:rPr>
          <w:lang w:val="fr-FR"/>
        </w:rPr>
        <w:t>’</w:t>
      </w:r>
      <w:r w:rsidRPr="00F720A6">
        <w:rPr>
          <w:lang w:val="fr-FR"/>
        </w:rPr>
        <w:t>organe de l</w:t>
      </w:r>
      <w:r w:rsidR="00254912">
        <w:rPr>
          <w:lang w:val="fr-FR"/>
        </w:rPr>
        <w:t>’</w:t>
      </w:r>
      <w:r w:rsidRPr="00F720A6">
        <w:rPr>
          <w:lang w:val="fr-FR"/>
        </w:rPr>
        <w:t>administration publique chargé des questions de politique sociale et du travail les données concernant les personnes condamnées par un jugement définitif en raison d</w:t>
      </w:r>
      <w:r w:rsidR="00254912">
        <w:rPr>
          <w:lang w:val="fr-FR"/>
        </w:rPr>
        <w:t>’</w:t>
      </w:r>
      <w:r w:rsidRPr="00F720A6">
        <w:rPr>
          <w:lang w:val="fr-FR"/>
        </w:rPr>
        <w:t>infractions à la liberté sexuelle, la morale sexuelle, ou de l</w:t>
      </w:r>
      <w:r w:rsidR="00254912">
        <w:rPr>
          <w:lang w:val="fr-FR"/>
        </w:rPr>
        <w:t>’</w:t>
      </w:r>
      <w:r w:rsidRPr="00F720A6">
        <w:rPr>
          <w:lang w:val="fr-FR"/>
        </w:rPr>
        <w:t>infraction visée à l</w:t>
      </w:r>
      <w:r w:rsidR="00254912">
        <w:rPr>
          <w:lang w:val="fr-FR"/>
        </w:rPr>
        <w:t>’</w:t>
      </w:r>
      <w:r w:rsidRPr="00F720A6">
        <w:rPr>
          <w:lang w:val="fr-FR"/>
        </w:rPr>
        <w:t>article 418-d du Code pénal commise à l</w:t>
      </w:r>
      <w:r w:rsidR="00254912">
        <w:rPr>
          <w:lang w:val="fr-FR"/>
        </w:rPr>
        <w:t>’</w:t>
      </w:r>
      <w:r w:rsidRPr="00F720A6">
        <w:rPr>
          <w:lang w:val="fr-FR"/>
        </w:rPr>
        <w:t>encontre d</w:t>
      </w:r>
      <w:r w:rsidR="00254912">
        <w:rPr>
          <w:lang w:val="fr-FR"/>
        </w:rPr>
        <w:t>’</w:t>
      </w:r>
      <w:r w:rsidRPr="00F720A6">
        <w:rPr>
          <w:lang w:val="fr-FR"/>
        </w:rPr>
        <w:t>enfants, ces données relevant de la tenue d</w:t>
      </w:r>
      <w:r w:rsidR="00254912">
        <w:rPr>
          <w:lang w:val="fr-FR"/>
        </w:rPr>
        <w:t>’</w:t>
      </w:r>
      <w:r w:rsidRPr="00F720A6">
        <w:rPr>
          <w:lang w:val="fr-FR"/>
        </w:rPr>
        <w:t>un registre spécial</w:t>
      </w:r>
      <w:r w:rsidR="00311732">
        <w:rPr>
          <w:lang w:val="fr-FR"/>
        </w:rPr>
        <w:t>.</w:t>
      </w:r>
      <w:r w:rsidRPr="00F720A6">
        <w:rPr>
          <w:lang w:val="fr-FR"/>
        </w:rPr>
        <w:t> ».</w:t>
      </w:r>
    </w:p>
    <w:p w14:paraId="755E2A56" w14:textId="77777777" w:rsidR="003C48D6" w:rsidRPr="00F720A6" w:rsidRDefault="003C48D6" w:rsidP="009F0050">
      <w:pPr>
        <w:pStyle w:val="SingleTxtG"/>
        <w:rPr>
          <w:lang w:val="fr-FR"/>
        </w:rPr>
      </w:pPr>
      <w:r w:rsidRPr="00F720A6">
        <w:rPr>
          <w:lang w:val="fr-FR"/>
        </w:rPr>
        <w:t>63.</w:t>
      </w:r>
      <w:r w:rsidRPr="00F720A6">
        <w:rPr>
          <w:lang w:val="fr-FR"/>
        </w:rPr>
        <w:tab/>
        <w:t>Le paragraphe 3 dispose que : « Les données visées aux paragraphes 1 et 2 du présent article sont utilisées exclusivement dans le but de protéger la santé des personnes qui ont fait l</w:t>
      </w:r>
      <w:r w:rsidR="00254912">
        <w:rPr>
          <w:lang w:val="fr-FR"/>
        </w:rPr>
        <w:t>’</w:t>
      </w:r>
      <w:r w:rsidRPr="00F720A6">
        <w:rPr>
          <w:lang w:val="fr-FR"/>
        </w:rPr>
        <w:t>objet de mesures de sécurité ou dans le but de protéger les droits des enfants, dans les conditions et selon la procédure prévues par la loi</w:t>
      </w:r>
      <w:r w:rsidR="00311732">
        <w:rPr>
          <w:lang w:val="fr-FR"/>
        </w:rPr>
        <w:t>.</w:t>
      </w:r>
      <w:r w:rsidRPr="00F720A6">
        <w:rPr>
          <w:lang w:val="fr-FR"/>
        </w:rPr>
        <w:t xml:space="preserve"> ». </w:t>
      </w:r>
    </w:p>
    <w:p w14:paraId="388B2CF0" w14:textId="77777777" w:rsidR="003C48D6" w:rsidRPr="00F720A6" w:rsidRDefault="003C48D6" w:rsidP="009F0050">
      <w:pPr>
        <w:pStyle w:val="SingleTxtG"/>
        <w:rPr>
          <w:lang w:val="fr-FR"/>
        </w:rPr>
      </w:pPr>
      <w:r w:rsidRPr="00F720A6">
        <w:rPr>
          <w:lang w:val="fr-FR"/>
        </w:rPr>
        <w:t>64.</w:t>
      </w:r>
      <w:r w:rsidRPr="00F720A6">
        <w:rPr>
          <w:lang w:val="fr-FR"/>
        </w:rPr>
        <w:tab/>
        <w:t>Une loi sur le Registre spécial des personnes condamnées à titre définitif pour des délits sexuels sur enfants et des délits de pédophilie a été adoptée en tenant compte de ces dispositions. Ce Registre est tenu par l</w:t>
      </w:r>
      <w:r w:rsidR="00254912">
        <w:rPr>
          <w:lang w:val="fr-FR"/>
        </w:rPr>
        <w:t>’</w:t>
      </w:r>
      <w:r w:rsidRPr="00F720A6">
        <w:rPr>
          <w:lang w:val="fr-FR"/>
        </w:rPr>
        <w:t>Institut des établissements publics d</w:t>
      </w:r>
      <w:r w:rsidR="00254912">
        <w:rPr>
          <w:lang w:val="fr-FR"/>
        </w:rPr>
        <w:t>’</w:t>
      </w:r>
      <w:r w:rsidRPr="00F720A6">
        <w:rPr>
          <w:lang w:val="fr-FR"/>
        </w:rPr>
        <w:t>aide sociale, sous l</w:t>
      </w:r>
      <w:r w:rsidR="00254912">
        <w:rPr>
          <w:lang w:val="fr-FR"/>
        </w:rPr>
        <w:t>’</w:t>
      </w:r>
      <w:r w:rsidRPr="00F720A6">
        <w:rPr>
          <w:lang w:val="fr-FR"/>
        </w:rPr>
        <w:t>autorité du Ministère du travail et de la politique sociale. Les données relatives aux personnes condamnées inscrites dans le registre sont à la disposition du public. Depuis la création du registre, en juin 2012, jusqu</w:t>
      </w:r>
      <w:r w:rsidR="00254912">
        <w:rPr>
          <w:lang w:val="fr-FR"/>
        </w:rPr>
        <w:t>’</w:t>
      </w:r>
      <w:r w:rsidRPr="00F720A6">
        <w:rPr>
          <w:lang w:val="fr-FR"/>
        </w:rPr>
        <w:t xml:space="preserve">en 2018, les données concernant 236 personnes ont été publiées. </w:t>
      </w:r>
    </w:p>
    <w:p w14:paraId="4E47CB3A" w14:textId="77777777" w:rsidR="003C48D6" w:rsidRPr="00F720A6" w:rsidRDefault="003C48D6" w:rsidP="009F0050">
      <w:pPr>
        <w:pStyle w:val="H23G"/>
        <w:rPr>
          <w:lang w:val="fr-FR"/>
        </w:rPr>
      </w:pPr>
      <w:r w:rsidRPr="00F720A6">
        <w:rPr>
          <w:lang w:val="fr-FR"/>
        </w:rPr>
        <w:tab/>
        <w:t>d)</w:t>
      </w:r>
      <w:r w:rsidRPr="00F720A6">
        <w:rPr>
          <w:lang w:val="fr-FR"/>
        </w:rPr>
        <w:tab/>
        <w:t>Droit de ne pas être soumis à la torture ni à d</w:t>
      </w:r>
      <w:r w:rsidR="00254912">
        <w:rPr>
          <w:lang w:val="fr-FR"/>
        </w:rPr>
        <w:t>’</w:t>
      </w:r>
      <w:r w:rsidRPr="00F720A6">
        <w:rPr>
          <w:lang w:val="fr-FR"/>
        </w:rPr>
        <w:t>autres peines ou traitements cruels, inhumains ou dégradants, ni la peine capitale (art. 37</w:t>
      </w:r>
      <w:r w:rsidR="00311732">
        <w:rPr>
          <w:lang w:val="fr-FR"/>
        </w:rPr>
        <w:t> </w:t>
      </w:r>
      <w:r w:rsidRPr="00F720A6">
        <w:rPr>
          <w:lang w:val="fr-FR"/>
        </w:rPr>
        <w:t>a) et 28 (par. 2)</w:t>
      </w:r>
      <w:bookmarkStart w:id="22" w:name="_Toc56781425"/>
      <w:bookmarkEnd w:id="22"/>
      <w:r w:rsidRPr="00F720A6">
        <w:rPr>
          <w:lang w:val="fr-FR"/>
        </w:rPr>
        <w:t>)</w:t>
      </w:r>
    </w:p>
    <w:p w14:paraId="334C5A52" w14:textId="77777777" w:rsidR="003C48D6" w:rsidRPr="00F720A6" w:rsidRDefault="003C48D6" w:rsidP="009F0050">
      <w:pPr>
        <w:pStyle w:val="SingleTxtG"/>
        <w:rPr>
          <w:lang w:val="fr-FR"/>
        </w:rPr>
      </w:pPr>
      <w:r w:rsidRPr="00F720A6">
        <w:rPr>
          <w:lang w:val="fr-FR"/>
        </w:rPr>
        <w:t>65.</w:t>
      </w:r>
      <w:r w:rsidRPr="00F720A6">
        <w:rPr>
          <w:lang w:val="fr-FR"/>
        </w:rPr>
        <w:tab/>
        <w:t>Les articles 86 à 143 de la loi sur la justice pour mineurs</w:t>
      </w:r>
      <w:r w:rsidRPr="002A465A">
        <w:rPr>
          <w:rStyle w:val="Appelnotedebasdep"/>
        </w:rPr>
        <w:footnoteReference w:id="15"/>
      </w:r>
      <w:r w:rsidRPr="00F720A6">
        <w:rPr>
          <w:lang w:val="fr-FR"/>
        </w:rPr>
        <w:t xml:space="preserve"> établissent la procédure judiciaire pour les enfants présumés auteurs d</w:t>
      </w:r>
      <w:r w:rsidR="00254912">
        <w:rPr>
          <w:lang w:val="fr-FR"/>
        </w:rPr>
        <w:t>’</w:t>
      </w:r>
      <w:r w:rsidRPr="00F720A6">
        <w:rPr>
          <w:lang w:val="fr-FR"/>
        </w:rPr>
        <w:t>actes définis par la loi comme des infractions pénales.</w:t>
      </w:r>
    </w:p>
    <w:p w14:paraId="1331C4FF" w14:textId="77777777" w:rsidR="003C48D6" w:rsidRPr="00F720A6" w:rsidRDefault="003C48D6" w:rsidP="009F0050">
      <w:pPr>
        <w:pStyle w:val="SingleTxtG"/>
        <w:rPr>
          <w:lang w:val="fr-FR"/>
        </w:rPr>
      </w:pPr>
      <w:r w:rsidRPr="00F720A6">
        <w:rPr>
          <w:lang w:val="fr-FR"/>
        </w:rPr>
        <w:t>66.</w:t>
      </w:r>
      <w:r w:rsidRPr="00F720A6">
        <w:rPr>
          <w:lang w:val="fr-FR"/>
        </w:rPr>
        <w:tab/>
        <w:t>Les caractéristiques fondamentales de la procédure sont les suivantes : garde à vue de l</w:t>
      </w:r>
      <w:r w:rsidR="00254912">
        <w:rPr>
          <w:lang w:val="fr-FR"/>
        </w:rPr>
        <w:t>’</w:t>
      </w:r>
      <w:r w:rsidRPr="00F720A6">
        <w:rPr>
          <w:lang w:val="fr-FR"/>
        </w:rPr>
        <w:t xml:space="preserve">enfant dans un poste de police pendant </w:t>
      </w:r>
      <w:r w:rsidR="00367773">
        <w:rPr>
          <w:lang w:val="fr-FR"/>
        </w:rPr>
        <w:t xml:space="preserve">douze </w:t>
      </w:r>
      <w:r w:rsidRPr="00F720A6">
        <w:rPr>
          <w:lang w:val="fr-FR"/>
        </w:rPr>
        <w:t>heures au maximum ; interrogatoire par le Ministère de l</w:t>
      </w:r>
      <w:r w:rsidR="00254912">
        <w:rPr>
          <w:lang w:val="fr-FR"/>
        </w:rPr>
        <w:t>’</w:t>
      </w:r>
      <w:r w:rsidRPr="00F720A6">
        <w:rPr>
          <w:lang w:val="fr-FR"/>
        </w:rPr>
        <w:t>intérieur dans des locaux spéciaux adaptés à l</w:t>
      </w:r>
      <w:r w:rsidR="00254912">
        <w:rPr>
          <w:lang w:val="fr-FR"/>
        </w:rPr>
        <w:t>’</w:t>
      </w:r>
      <w:r w:rsidRPr="00F720A6">
        <w:rPr>
          <w:lang w:val="fr-FR"/>
        </w:rPr>
        <w:t>âge de l</w:t>
      </w:r>
      <w:r w:rsidR="00254912">
        <w:rPr>
          <w:lang w:val="fr-FR"/>
        </w:rPr>
        <w:t>’</w:t>
      </w:r>
      <w:r w:rsidRPr="00F720A6">
        <w:rPr>
          <w:lang w:val="fr-FR"/>
        </w:rPr>
        <w:t>enfant suspecté d</w:t>
      </w:r>
      <w:r w:rsidR="00254912">
        <w:rPr>
          <w:lang w:val="fr-FR"/>
        </w:rPr>
        <w:t>’</w:t>
      </w:r>
      <w:r w:rsidRPr="00F720A6">
        <w:rPr>
          <w:lang w:val="fr-FR"/>
        </w:rPr>
        <w:t xml:space="preserve">avoir commis une infraction pénale, pendant </w:t>
      </w:r>
      <w:r w:rsidR="00367773">
        <w:rPr>
          <w:lang w:val="fr-FR"/>
        </w:rPr>
        <w:t xml:space="preserve">quatre </w:t>
      </w:r>
      <w:r w:rsidRPr="00F720A6">
        <w:rPr>
          <w:lang w:val="fr-FR"/>
        </w:rPr>
        <w:t>heures au maximum ; droit à un procès équitable dans un délai raisonnable devant un tribunal indépendant et impartial ; le ministère public est habilité à engager des poursuites ; l</w:t>
      </w:r>
      <w:r w:rsidR="00254912">
        <w:rPr>
          <w:lang w:val="fr-FR"/>
        </w:rPr>
        <w:t>’</w:t>
      </w:r>
      <w:r w:rsidRPr="00F720A6">
        <w:rPr>
          <w:lang w:val="fr-FR"/>
        </w:rPr>
        <w:t>enfant ne peut être interrogé qu</w:t>
      </w:r>
      <w:r w:rsidR="00254912">
        <w:rPr>
          <w:lang w:val="fr-FR"/>
        </w:rPr>
        <w:t>’</w:t>
      </w:r>
      <w:r w:rsidRPr="00F720A6">
        <w:rPr>
          <w:lang w:val="fr-FR"/>
        </w:rPr>
        <w:t>en présence de son avocat ; droit du centre d</w:t>
      </w:r>
      <w:r w:rsidR="00254912">
        <w:rPr>
          <w:lang w:val="fr-FR"/>
        </w:rPr>
        <w:t>’</w:t>
      </w:r>
      <w:r w:rsidRPr="00F720A6">
        <w:rPr>
          <w:lang w:val="fr-FR"/>
        </w:rPr>
        <w:t>aide sociale d</w:t>
      </w:r>
      <w:r w:rsidR="00254912">
        <w:rPr>
          <w:lang w:val="fr-FR"/>
        </w:rPr>
        <w:t>’</w:t>
      </w:r>
      <w:r w:rsidRPr="00F720A6">
        <w:rPr>
          <w:lang w:val="fr-FR"/>
        </w:rPr>
        <w:t>être informé de la procédure, de soumettre des propositions et de signaler des faits concernant la personnalité et les conditions de vie de l</w:t>
      </w:r>
      <w:r w:rsidR="00254912">
        <w:rPr>
          <w:lang w:val="fr-FR"/>
        </w:rPr>
        <w:t>’</w:t>
      </w:r>
      <w:r w:rsidRPr="00F720A6">
        <w:rPr>
          <w:lang w:val="fr-FR"/>
        </w:rPr>
        <w:t>enfant ; droit à un recours juridique régulier et extraordinaire, à une procédure d</w:t>
      </w:r>
      <w:r w:rsidR="00254912">
        <w:rPr>
          <w:lang w:val="fr-FR"/>
        </w:rPr>
        <w:t>’</w:t>
      </w:r>
      <w:r w:rsidRPr="00F720A6">
        <w:rPr>
          <w:lang w:val="fr-FR"/>
        </w:rPr>
        <w:t>aveu de culpabilité et de négociation sur la portée de la peine avec consentement préalable de l</w:t>
      </w:r>
      <w:r w:rsidR="00254912">
        <w:rPr>
          <w:lang w:val="fr-FR"/>
        </w:rPr>
        <w:t>’</w:t>
      </w:r>
      <w:r w:rsidRPr="00F720A6">
        <w:rPr>
          <w:lang w:val="fr-FR"/>
        </w:rPr>
        <w:t>enfant, de la partie lésée, du ministère public, de l</w:t>
      </w:r>
      <w:r w:rsidR="00254912">
        <w:rPr>
          <w:lang w:val="fr-FR"/>
        </w:rPr>
        <w:t>’</w:t>
      </w:r>
      <w:r w:rsidRPr="00F720A6">
        <w:rPr>
          <w:lang w:val="fr-FR"/>
        </w:rPr>
        <w:t>avocat et du centre d</w:t>
      </w:r>
      <w:r w:rsidR="00254912">
        <w:rPr>
          <w:lang w:val="fr-FR"/>
        </w:rPr>
        <w:t>’</w:t>
      </w:r>
      <w:r w:rsidRPr="00F720A6">
        <w:rPr>
          <w:lang w:val="fr-FR"/>
        </w:rPr>
        <w:t>aide sociale ; détention provisoire imposée après avis préalable du centre d</w:t>
      </w:r>
      <w:r w:rsidR="00254912">
        <w:rPr>
          <w:lang w:val="fr-FR"/>
        </w:rPr>
        <w:t>’</w:t>
      </w:r>
      <w:r w:rsidRPr="00F720A6">
        <w:rPr>
          <w:lang w:val="fr-FR"/>
        </w:rPr>
        <w:t>aide sociale ; interrogatoire de l</w:t>
      </w:r>
      <w:r w:rsidR="00254912">
        <w:rPr>
          <w:lang w:val="fr-FR"/>
        </w:rPr>
        <w:t>’</w:t>
      </w:r>
      <w:r w:rsidRPr="00F720A6">
        <w:rPr>
          <w:lang w:val="fr-FR"/>
        </w:rPr>
        <w:t>enfant après évaluation du juge assisté d</w:t>
      </w:r>
      <w:r w:rsidR="00254912">
        <w:rPr>
          <w:lang w:val="fr-FR"/>
        </w:rPr>
        <w:t>’</w:t>
      </w:r>
      <w:r w:rsidRPr="00F720A6">
        <w:rPr>
          <w:lang w:val="fr-FR"/>
        </w:rPr>
        <w:t>un pédagogue, d</w:t>
      </w:r>
      <w:r w:rsidR="00254912">
        <w:rPr>
          <w:lang w:val="fr-FR"/>
        </w:rPr>
        <w:t>’</w:t>
      </w:r>
      <w:r w:rsidRPr="00F720A6">
        <w:rPr>
          <w:lang w:val="fr-FR"/>
        </w:rPr>
        <w:t>un psychologue ou autre spécialiste ; le</w:t>
      </w:r>
      <w:r w:rsidR="00367773">
        <w:rPr>
          <w:lang w:val="fr-FR"/>
        </w:rPr>
        <w:t> </w:t>
      </w:r>
      <w:r w:rsidRPr="00F720A6">
        <w:rPr>
          <w:lang w:val="fr-FR"/>
        </w:rPr>
        <w:t>juge met en place une procédure préparatoire pour les enfants, aux fins d</w:t>
      </w:r>
      <w:r w:rsidR="00254912">
        <w:rPr>
          <w:lang w:val="fr-FR"/>
        </w:rPr>
        <w:t>’</w:t>
      </w:r>
      <w:r w:rsidRPr="00F720A6">
        <w:rPr>
          <w:lang w:val="fr-FR"/>
        </w:rPr>
        <w:t xml:space="preserve">établir les </w:t>
      </w:r>
      <w:r w:rsidRPr="00F720A6">
        <w:rPr>
          <w:lang w:val="fr-FR"/>
        </w:rPr>
        <w:lastRenderedPageBreak/>
        <w:t>circonstances entourant l</w:t>
      </w:r>
      <w:r w:rsidR="00254912">
        <w:rPr>
          <w:lang w:val="fr-FR"/>
        </w:rPr>
        <w:t>’</w:t>
      </w:r>
      <w:r w:rsidRPr="00F720A6">
        <w:rPr>
          <w:lang w:val="fr-FR"/>
        </w:rPr>
        <w:t>infraction pénale, la personnalité de l</w:t>
      </w:r>
      <w:r w:rsidR="00254912">
        <w:rPr>
          <w:lang w:val="fr-FR"/>
        </w:rPr>
        <w:t>’</w:t>
      </w:r>
      <w:r w:rsidRPr="00F720A6">
        <w:rPr>
          <w:lang w:val="fr-FR"/>
        </w:rPr>
        <w:t xml:space="preserve">enfant, ainsi que la procédure à suivre devant un conseil pour enfants. </w:t>
      </w:r>
    </w:p>
    <w:p w14:paraId="775F2FDE" w14:textId="77777777" w:rsidR="003C48D6" w:rsidRPr="00F720A6" w:rsidRDefault="003C48D6" w:rsidP="009F0050">
      <w:pPr>
        <w:pStyle w:val="SingleTxtG"/>
        <w:rPr>
          <w:lang w:val="fr-FR"/>
        </w:rPr>
      </w:pPr>
      <w:r w:rsidRPr="00F720A6">
        <w:rPr>
          <w:lang w:val="fr-FR"/>
        </w:rPr>
        <w:t>67.</w:t>
      </w:r>
      <w:r w:rsidRPr="00F720A6">
        <w:rPr>
          <w:lang w:val="fr-FR"/>
        </w:rPr>
        <w:tab/>
        <w:t>L</w:t>
      </w:r>
      <w:r w:rsidR="00254912">
        <w:rPr>
          <w:lang w:val="fr-FR"/>
        </w:rPr>
        <w:t>’</w:t>
      </w:r>
      <w:r w:rsidRPr="00F720A6">
        <w:rPr>
          <w:lang w:val="fr-FR"/>
        </w:rPr>
        <w:t>établissement éducatif et correctionnel de Tetovo est la seule institution accueillant des enfants sur lesquels des mesures plus permanentes et renforcées d</w:t>
      </w:r>
      <w:r w:rsidR="00254912">
        <w:rPr>
          <w:lang w:val="fr-FR"/>
        </w:rPr>
        <w:t>’</w:t>
      </w:r>
      <w:r w:rsidRPr="00F720A6">
        <w:rPr>
          <w:lang w:val="fr-FR"/>
        </w:rPr>
        <w:t xml:space="preserve">éducation et de rééducation doivent être appliquées, en les coupant </w:t>
      </w:r>
      <w:proofErr w:type="spellStart"/>
      <w:r w:rsidRPr="00F720A6">
        <w:rPr>
          <w:lang w:val="fr-FR"/>
        </w:rPr>
        <w:t>complètement</w:t>
      </w:r>
      <w:proofErr w:type="spellEnd"/>
      <w:r w:rsidRPr="00F720A6">
        <w:rPr>
          <w:lang w:val="fr-FR"/>
        </w:rPr>
        <w:t xml:space="preserve"> de leur environnement précédent. Dans cet établissement, les enfants sont gardés au moins un an et jusqu</w:t>
      </w:r>
      <w:r w:rsidR="00254912">
        <w:rPr>
          <w:lang w:val="fr-FR"/>
        </w:rPr>
        <w:t>’</w:t>
      </w:r>
      <w:r w:rsidRPr="00F720A6">
        <w:rPr>
          <w:lang w:val="fr-FR"/>
        </w:rPr>
        <w:t>à cinq ans, ou jusqu</w:t>
      </w:r>
      <w:r w:rsidR="00254912">
        <w:rPr>
          <w:lang w:val="fr-FR"/>
        </w:rPr>
        <w:t>’</w:t>
      </w:r>
      <w:r w:rsidRPr="00F720A6">
        <w:rPr>
          <w:lang w:val="fr-FR"/>
        </w:rPr>
        <w:t>à l</w:t>
      </w:r>
      <w:r w:rsidR="00254912">
        <w:rPr>
          <w:lang w:val="fr-FR"/>
        </w:rPr>
        <w:t>’</w:t>
      </w:r>
      <w:r w:rsidRPr="00F720A6">
        <w:rPr>
          <w:lang w:val="fr-FR"/>
        </w:rPr>
        <w:t xml:space="preserve">âge de 23 ans. </w:t>
      </w:r>
    </w:p>
    <w:p w14:paraId="19BC518F" w14:textId="77777777" w:rsidR="003C48D6" w:rsidRPr="00F720A6" w:rsidRDefault="003C48D6" w:rsidP="009F0050">
      <w:pPr>
        <w:pStyle w:val="SingleTxtG"/>
        <w:rPr>
          <w:lang w:val="fr-FR"/>
        </w:rPr>
      </w:pPr>
      <w:r w:rsidRPr="00F720A6">
        <w:rPr>
          <w:lang w:val="fr-FR"/>
        </w:rPr>
        <w:t>68.</w:t>
      </w:r>
      <w:r w:rsidRPr="00F720A6">
        <w:rPr>
          <w:lang w:val="fr-FR"/>
        </w:rPr>
        <w:tab/>
        <w:t>L</w:t>
      </w:r>
      <w:r w:rsidR="00254912">
        <w:rPr>
          <w:lang w:val="fr-FR"/>
        </w:rPr>
        <w:t>’</w:t>
      </w:r>
      <w:r w:rsidRPr="00F720A6">
        <w:rPr>
          <w:lang w:val="fr-FR"/>
        </w:rPr>
        <w:t>établissement éducatif et correctionnel de Tetovo n</w:t>
      </w:r>
      <w:r w:rsidR="00254912">
        <w:rPr>
          <w:lang w:val="fr-FR"/>
        </w:rPr>
        <w:t>’</w:t>
      </w:r>
      <w:r w:rsidRPr="00F720A6">
        <w:rPr>
          <w:lang w:val="fr-FR"/>
        </w:rPr>
        <w:t>est plus utilisé depuis la crise de 2001 dans le pays. Actuellement, les enfants qui font l</w:t>
      </w:r>
      <w:r w:rsidR="00254912">
        <w:rPr>
          <w:lang w:val="fr-FR"/>
        </w:rPr>
        <w:t>’</w:t>
      </w:r>
      <w:r w:rsidRPr="00F720A6">
        <w:rPr>
          <w:lang w:val="fr-FR"/>
        </w:rPr>
        <w:t>objet de mesures d</w:t>
      </w:r>
      <w:r w:rsidR="00254912">
        <w:rPr>
          <w:lang w:val="fr-FR"/>
        </w:rPr>
        <w:t>’</w:t>
      </w:r>
      <w:r w:rsidRPr="00F720A6">
        <w:rPr>
          <w:lang w:val="fr-FR"/>
        </w:rPr>
        <w:t>orientation dans un établissement éducatif et correctionnel sont hébergés à la prison pour mineurs d</w:t>
      </w:r>
      <w:r w:rsidR="00254912">
        <w:rPr>
          <w:lang w:val="fr-FR"/>
        </w:rPr>
        <w:t>’</w:t>
      </w:r>
      <w:r w:rsidRPr="00F720A6">
        <w:rPr>
          <w:lang w:val="fr-FR"/>
        </w:rPr>
        <w:t>Ohrid. Toutes les mesures nécessaires ont été prises pour séparer physiquement les enfants placés dans un établissement éducatif et correctionnel de ceux qui purgent des peines de prison pour mineurs et des personnes détenues à l</w:t>
      </w:r>
      <w:r w:rsidR="00254912">
        <w:rPr>
          <w:lang w:val="fr-FR"/>
        </w:rPr>
        <w:t>’</w:t>
      </w:r>
      <w:r w:rsidRPr="00F720A6">
        <w:rPr>
          <w:lang w:val="fr-FR"/>
        </w:rPr>
        <w:t>unité de détention provisoire de la prison d</w:t>
      </w:r>
      <w:r w:rsidR="00254912">
        <w:rPr>
          <w:lang w:val="fr-FR"/>
        </w:rPr>
        <w:t>’</w:t>
      </w:r>
      <w:r w:rsidRPr="00F720A6">
        <w:rPr>
          <w:lang w:val="fr-FR"/>
        </w:rPr>
        <w:t>Ohrid.</w:t>
      </w:r>
    </w:p>
    <w:p w14:paraId="6891A2CE" w14:textId="77777777" w:rsidR="003C48D6" w:rsidRPr="00F720A6" w:rsidRDefault="003C48D6" w:rsidP="009F0050">
      <w:pPr>
        <w:pStyle w:val="SingleTxtG"/>
        <w:rPr>
          <w:lang w:val="fr-FR"/>
        </w:rPr>
      </w:pPr>
      <w:r w:rsidRPr="00F720A6">
        <w:rPr>
          <w:lang w:val="fr-FR"/>
        </w:rPr>
        <w:t>69.</w:t>
      </w:r>
      <w:r w:rsidRPr="00F720A6">
        <w:rPr>
          <w:lang w:val="fr-FR"/>
        </w:rPr>
        <w:tab/>
        <w:t>La construction d</w:t>
      </w:r>
      <w:r w:rsidR="00254912">
        <w:rPr>
          <w:lang w:val="fr-FR"/>
        </w:rPr>
        <w:t>’</w:t>
      </w:r>
      <w:r w:rsidRPr="00F720A6">
        <w:rPr>
          <w:lang w:val="fr-FR"/>
        </w:rPr>
        <w:t>un nouvel établissement conçu pour accueillir les enfants orientés vers un établissement éducatif et correctionnel a débuté en 2014. D</w:t>
      </w:r>
      <w:r w:rsidR="00254912">
        <w:rPr>
          <w:lang w:val="fr-FR"/>
        </w:rPr>
        <w:t>’</w:t>
      </w:r>
      <w:r w:rsidRPr="00F720A6">
        <w:rPr>
          <w:lang w:val="fr-FR"/>
        </w:rPr>
        <w:t xml:space="preserve">une capacité de 110 enfants, il est situé à </w:t>
      </w:r>
      <w:proofErr w:type="spellStart"/>
      <w:r w:rsidRPr="00F720A6">
        <w:rPr>
          <w:lang w:val="fr-FR"/>
        </w:rPr>
        <w:t>Volkovija</w:t>
      </w:r>
      <w:proofErr w:type="spellEnd"/>
      <w:r w:rsidRPr="00F720A6">
        <w:rPr>
          <w:lang w:val="fr-FR"/>
        </w:rPr>
        <w:t xml:space="preserve">, municipalité de </w:t>
      </w:r>
      <w:proofErr w:type="spellStart"/>
      <w:r w:rsidRPr="00F720A6">
        <w:rPr>
          <w:lang w:val="fr-FR"/>
        </w:rPr>
        <w:t>Brvenica</w:t>
      </w:r>
      <w:proofErr w:type="spellEnd"/>
      <w:r w:rsidRPr="00F720A6">
        <w:rPr>
          <w:lang w:val="fr-FR"/>
        </w:rPr>
        <w:t>, sur une superficie de 2 hectares. Il comprend plusieurs bâtiments destinés à l</w:t>
      </w:r>
      <w:r w:rsidR="00254912">
        <w:rPr>
          <w:lang w:val="fr-FR"/>
        </w:rPr>
        <w:t>’</w:t>
      </w:r>
      <w:r w:rsidRPr="00F720A6">
        <w:rPr>
          <w:lang w:val="fr-FR"/>
        </w:rPr>
        <w:t>hébergement, au séjour, à l</w:t>
      </w:r>
      <w:r w:rsidR="00254912">
        <w:rPr>
          <w:lang w:val="fr-FR"/>
        </w:rPr>
        <w:t>’</w:t>
      </w:r>
      <w:r w:rsidRPr="00F720A6">
        <w:rPr>
          <w:lang w:val="fr-FR"/>
        </w:rPr>
        <w:t>éducation et au travail, conformément aux normes et réglementations européennes. Un règlement intérieur et un programme préventif concis ont été élaborés afin de sensibiliser les enfants aux conséquences néfastes de la consommation de drogues et aux maladies transmissibles.</w:t>
      </w:r>
    </w:p>
    <w:p w14:paraId="361F9A18" w14:textId="77777777" w:rsidR="003C48D6" w:rsidRPr="00F720A6" w:rsidRDefault="003C48D6" w:rsidP="009F0050">
      <w:pPr>
        <w:pStyle w:val="SingleTxtG"/>
        <w:rPr>
          <w:lang w:val="fr-FR"/>
        </w:rPr>
      </w:pPr>
      <w:r w:rsidRPr="00D71125">
        <w:rPr>
          <w:lang w:val="fr-FR"/>
        </w:rPr>
        <w:t>70.</w:t>
      </w:r>
      <w:r w:rsidRPr="00F720A6">
        <w:rPr>
          <w:lang w:val="fr-FR"/>
        </w:rPr>
        <w:tab/>
        <w:t>Dans le cadre de la Stratégie nationale, une série d</w:t>
      </w:r>
      <w:r w:rsidR="00254912">
        <w:rPr>
          <w:lang w:val="fr-FR"/>
        </w:rPr>
        <w:t>’</w:t>
      </w:r>
      <w:r w:rsidRPr="00F720A6">
        <w:rPr>
          <w:lang w:val="fr-FR"/>
        </w:rPr>
        <w:t>autres actions sont également envisagées, telles que la mise en œuvre du programme YOU TURN/EQUIP pour la prise en charge des mineurs et l</w:t>
      </w:r>
      <w:r w:rsidR="00254912">
        <w:rPr>
          <w:lang w:val="fr-FR"/>
        </w:rPr>
        <w:t>’</w:t>
      </w:r>
      <w:r w:rsidRPr="00F720A6">
        <w:rPr>
          <w:lang w:val="fr-FR"/>
        </w:rPr>
        <w:t>introduction à l</w:t>
      </w:r>
      <w:r w:rsidR="00254912">
        <w:rPr>
          <w:lang w:val="fr-FR"/>
        </w:rPr>
        <w:t>’</w:t>
      </w:r>
      <w:r w:rsidRPr="00F720A6">
        <w:rPr>
          <w:lang w:val="fr-FR"/>
        </w:rPr>
        <w:t>enseignement technique par professions, etc.</w:t>
      </w:r>
    </w:p>
    <w:p w14:paraId="75675BB7" w14:textId="77777777" w:rsidR="003C48D6" w:rsidRPr="00F720A6" w:rsidRDefault="003C48D6" w:rsidP="009F0050">
      <w:pPr>
        <w:pStyle w:val="SingleTxtG"/>
        <w:rPr>
          <w:lang w:val="fr-FR"/>
        </w:rPr>
      </w:pPr>
      <w:r w:rsidRPr="00F720A6">
        <w:rPr>
          <w:lang w:val="fr-FR"/>
        </w:rPr>
        <w:t>71.</w:t>
      </w:r>
      <w:r w:rsidRPr="00F720A6">
        <w:rPr>
          <w:lang w:val="fr-FR"/>
        </w:rPr>
        <w:tab/>
        <w:t>En ce qui concerne le dépistage des drogues, il convient de noter qu</w:t>
      </w:r>
      <w:r w:rsidR="00254912">
        <w:rPr>
          <w:lang w:val="fr-FR"/>
        </w:rPr>
        <w:t>’</w:t>
      </w:r>
      <w:r w:rsidRPr="00F720A6">
        <w:rPr>
          <w:lang w:val="fr-FR"/>
        </w:rPr>
        <w:t>il n</w:t>
      </w:r>
      <w:r w:rsidR="00254912">
        <w:rPr>
          <w:lang w:val="fr-FR"/>
        </w:rPr>
        <w:t>’</w:t>
      </w:r>
      <w:r w:rsidRPr="00F720A6">
        <w:rPr>
          <w:lang w:val="fr-FR"/>
        </w:rPr>
        <w:t>est pas obligatoire et qu</w:t>
      </w:r>
      <w:r w:rsidR="00254912">
        <w:rPr>
          <w:lang w:val="fr-FR"/>
        </w:rPr>
        <w:t>’</w:t>
      </w:r>
      <w:r w:rsidRPr="00F720A6">
        <w:rPr>
          <w:lang w:val="fr-FR"/>
        </w:rPr>
        <w:t>il est mis en œuvre en présence d</w:t>
      </w:r>
      <w:r w:rsidR="00254912">
        <w:rPr>
          <w:lang w:val="fr-FR"/>
        </w:rPr>
        <w:t>’</w:t>
      </w:r>
      <w:r w:rsidRPr="00F720A6">
        <w:rPr>
          <w:lang w:val="fr-FR"/>
        </w:rPr>
        <w:t>indications menant à penser qu</w:t>
      </w:r>
      <w:r w:rsidR="00254912">
        <w:rPr>
          <w:lang w:val="fr-FR"/>
        </w:rPr>
        <w:t>’</w:t>
      </w:r>
      <w:r w:rsidRPr="00F720A6">
        <w:rPr>
          <w:lang w:val="fr-FR"/>
        </w:rPr>
        <w:t>un enfant a consommé des substances psychotropes illicites.</w:t>
      </w:r>
    </w:p>
    <w:p w14:paraId="193662E2" w14:textId="77777777" w:rsidR="003C48D6" w:rsidRPr="00F720A6" w:rsidRDefault="003C48D6" w:rsidP="009F0050">
      <w:pPr>
        <w:pStyle w:val="H23G"/>
        <w:rPr>
          <w:lang w:val="fr-FR"/>
        </w:rPr>
      </w:pPr>
      <w:r w:rsidRPr="00F720A6">
        <w:rPr>
          <w:lang w:val="fr-FR"/>
        </w:rPr>
        <w:tab/>
        <w:t>e)</w:t>
      </w:r>
      <w:r w:rsidRPr="00F720A6">
        <w:rPr>
          <w:lang w:val="fr-FR"/>
        </w:rPr>
        <w:tab/>
        <w:t xml:space="preserve">Mesures prises pour promouvoir la réadaptation physique et psychologique </w:t>
      </w:r>
      <w:r w:rsidR="009F0050">
        <w:rPr>
          <w:lang w:val="fr-FR"/>
        </w:rPr>
        <w:br/>
      </w:r>
      <w:r w:rsidRPr="00F720A6">
        <w:rPr>
          <w:lang w:val="fr-FR"/>
        </w:rPr>
        <w:t>et la réinsertion sociale des enfants victimes (art. 39)</w:t>
      </w:r>
      <w:bookmarkStart w:id="23" w:name="_Toc56781426"/>
      <w:bookmarkEnd w:id="23"/>
    </w:p>
    <w:p w14:paraId="567C450D" w14:textId="77777777" w:rsidR="003C48D6" w:rsidRPr="00F720A6" w:rsidRDefault="003C48D6" w:rsidP="009F0050">
      <w:pPr>
        <w:pStyle w:val="SingleTxtG"/>
        <w:rPr>
          <w:lang w:val="fr-FR"/>
        </w:rPr>
      </w:pPr>
      <w:r w:rsidRPr="00F720A6">
        <w:rPr>
          <w:lang w:val="fr-FR"/>
        </w:rPr>
        <w:t>72.</w:t>
      </w:r>
      <w:r w:rsidRPr="00F720A6">
        <w:rPr>
          <w:lang w:val="fr-FR"/>
        </w:rPr>
        <w:tab/>
        <w:t>Dans le cadre de ses obligations, le Ministère du travail et de la politique sociale accorde une attention particulière aux questions en lien avec l</w:t>
      </w:r>
      <w:r w:rsidR="00254912">
        <w:rPr>
          <w:lang w:val="fr-FR"/>
        </w:rPr>
        <w:t>’</w:t>
      </w:r>
      <w:r w:rsidRPr="00F720A6">
        <w:rPr>
          <w:lang w:val="fr-FR"/>
        </w:rPr>
        <w:t xml:space="preserve">assistance et le soutien à une réintégration des enfants victimes qui tienne compte des répercussions physiques, psychologiques et sociales particulières consécutives aux divers types de sévices subis. </w:t>
      </w:r>
    </w:p>
    <w:p w14:paraId="7871F277" w14:textId="77777777" w:rsidR="003C48D6" w:rsidRPr="00F720A6" w:rsidRDefault="003C48D6" w:rsidP="009F0050">
      <w:pPr>
        <w:pStyle w:val="SingleTxtG"/>
        <w:rPr>
          <w:lang w:val="fr-FR"/>
        </w:rPr>
      </w:pPr>
      <w:r w:rsidRPr="00F720A6">
        <w:rPr>
          <w:lang w:val="fr-FR"/>
        </w:rPr>
        <w:t>73.</w:t>
      </w:r>
      <w:r w:rsidRPr="00F720A6">
        <w:rPr>
          <w:lang w:val="fr-FR"/>
        </w:rPr>
        <w:tab/>
        <w:t>Les services sont fournis par le centre d</w:t>
      </w:r>
      <w:r w:rsidR="00254912">
        <w:rPr>
          <w:lang w:val="fr-FR"/>
        </w:rPr>
        <w:t>’</w:t>
      </w:r>
      <w:r w:rsidRPr="00F720A6">
        <w:rPr>
          <w:lang w:val="fr-FR"/>
        </w:rPr>
        <w:t>aide sociale, avec le soutien d</w:t>
      </w:r>
      <w:r w:rsidR="00254912">
        <w:rPr>
          <w:lang w:val="fr-FR"/>
        </w:rPr>
        <w:t>’</w:t>
      </w:r>
      <w:r w:rsidRPr="00F720A6">
        <w:rPr>
          <w:lang w:val="fr-FR"/>
        </w:rPr>
        <w:t>organisations partenaires qui travaillent avec les enfants victimes. La réinsertion est un processus long pluridimensionnel, qui se poursuit jusqu</w:t>
      </w:r>
      <w:r w:rsidR="00254912">
        <w:rPr>
          <w:lang w:val="fr-FR"/>
        </w:rPr>
        <w:t>’</w:t>
      </w:r>
      <w:r w:rsidRPr="00F720A6">
        <w:rPr>
          <w:lang w:val="fr-FR"/>
        </w:rPr>
        <w:t>à ce que l</w:t>
      </w:r>
      <w:r w:rsidR="00254912">
        <w:rPr>
          <w:lang w:val="fr-FR"/>
        </w:rPr>
        <w:t>’</w:t>
      </w:r>
      <w:r w:rsidRPr="00F720A6">
        <w:rPr>
          <w:lang w:val="fr-FR"/>
        </w:rPr>
        <w:t xml:space="preserve">enfant victime redevienne capable de participer à la société. </w:t>
      </w:r>
    </w:p>
    <w:p w14:paraId="466FAAE7" w14:textId="77777777" w:rsidR="003C48D6" w:rsidRPr="00F720A6" w:rsidRDefault="003C48D6" w:rsidP="009F0050">
      <w:pPr>
        <w:pStyle w:val="SingleTxtG"/>
        <w:rPr>
          <w:lang w:val="fr-FR"/>
        </w:rPr>
      </w:pPr>
      <w:r w:rsidRPr="00F720A6">
        <w:rPr>
          <w:lang w:val="fr-FR"/>
        </w:rPr>
        <w:t>74.</w:t>
      </w:r>
      <w:r w:rsidRPr="00F720A6">
        <w:rPr>
          <w:lang w:val="fr-FR"/>
        </w:rPr>
        <w:tab/>
        <w:t>Les enfants victimes et les enfants témoins ont accès à des services d</w:t>
      </w:r>
      <w:r w:rsidR="00254912">
        <w:rPr>
          <w:lang w:val="fr-FR"/>
        </w:rPr>
        <w:t>’</w:t>
      </w:r>
      <w:r w:rsidRPr="00F720A6">
        <w:rPr>
          <w:lang w:val="fr-FR"/>
        </w:rPr>
        <w:t>assistance et de soutien financiers, juridiques, de conseil, de soins de santé, sociaux et éducatifs, de réadaptation physique et physiologique et tous autres services nécessaires à la réinsertion des enfants, par l</w:t>
      </w:r>
      <w:r w:rsidR="00254912">
        <w:rPr>
          <w:lang w:val="fr-FR"/>
        </w:rPr>
        <w:t>’</w:t>
      </w:r>
      <w:r w:rsidRPr="00F720A6">
        <w:rPr>
          <w:lang w:val="fr-FR"/>
        </w:rPr>
        <w:t>intermédiaire d</w:t>
      </w:r>
      <w:r w:rsidR="00254912">
        <w:rPr>
          <w:lang w:val="fr-FR"/>
        </w:rPr>
        <w:t>’</w:t>
      </w:r>
      <w:r w:rsidRPr="00F720A6">
        <w:rPr>
          <w:lang w:val="fr-FR"/>
        </w:rPr>
        <w:t>organisations gouvernementales, bénévoles ou autres. En outre, ces enfants peuvent bénéficier d</w:t>
      </w:r>
      <w:r w:rsidR="00254912">
        <w:rPr>
          <w:lang w:val="fr-FR"/>
        </w:rPr>
        <w:t>’</w:t>
      </w:r>
      <w:r w:rsidRPr="00F720A6">
        <w:rPr>
          <w:lang w:val="fr-FR"/>
        </w:rPr>
        <w:t>un dédommagement du Fonds d</w:t>
      </w:r>
      <w:r w:rsidR="00254912">
        <w:rPr>
          <w:lang w:val="fr-FR"/>
        </w:rPr>
        <w:t>’</w:t>
      </w:r>
      <w:r w:rsidRPr="00F720A6">
        <w:rPr>
          <w:lang w:val="fr-FR"/>
        </w:rPr>
        <w:t>indemnisation pour les aider à réussir leur réinsertion et leur réadaptation.</w:t>
      </w:r>
    </w:p>
    <w:p w14:paraId="44FC3A82" w14:textId="77777777" w:rsidR="003C48D6" w:rsidRPr="00F720A6" w:rsidRDefault="003C48D6" w:rsidP="009F0050">
      <w:pPr>
        <w:pStyle w:val="H23G"/>
        <w:rPr>
          <w:lang w:val="fr-FR"/>
        </w:rPr>
      </w:pPr>
      <w:r w:rsidRPr="00F720A6">
        <w:rPr>
          <w:lang w:val="fr-FR"/>
        </w:rPr>
        <w:tab/>
        <w:t>f)</w:t>
      </w:r>
      <w:r w:rsidRPr="00F720A6">
        <w:rPr>
          <w:lang w:val="fr-FR"/>
        </w:rPr>
        <w:tab/>
      </w:r>
      <w:r w:rsidRPr="009F0050">
        <w:rPr>
          <w:lang w:val="fr-FR"/>
        </w:rPr>
        <w:t>Lignes téléphoniques d</w:t>
      </w:r>
      <w:r w:rsidR="00254912">
        <w:rPr>
          <w:lang w:val="fr-FR"/>
        </w:rPr>
        <w:t>’</w:t>
      </w:r>
      <w:r w:rsidRPr="009F0050">
        <w:rPr>
          <w:lang w:val="fr-FR"/>
        </w:rPr>
        <w:t>assistance destinées aux enfants</w:t>
      </w:r>
      <w:bookmarkStart w:id="24" w:name="_Toc56781427"/>
      <w:bookmarkEnd w:id="24"/>
    </w:p>
    <w:p w14:paraId="1B5D57DC" w14:textId="77777777" w:rsidR="003C48D6" w:rsidRPr="00F720A6" w:rsidRDefault="003C48D6" w:rsidP="009F0050">
      <w:pPr>
        <w:pStyle w:val="SingleTxtG"/>
        <w:rPr>
          <w:lang w:val="fr-FR"/>
        </w:rPr>
      </w:pPr>
      <w:r w:rsidRPr="00F720A6">
        <w:rPr>
          <w:lang w:val="fr-FR"/>
        </w:rPr>
        <w:t>75.</w:t>
      </w:r>
      <w:r w:rsidRPr="00F720A6">
        <w:rPr>
          <w:lang w:val="fr-FR"/>
        </w:rPr>
        <w:tab/>
        <w:t>Afin de signaler les cas de maltraitance d</w:t>
      </w:r>
      <w:r w:rsidR="00254912">
        <w:rPr>
          <w:lang w:val="fr-FR"/>
        </w:rPr>
        <w:t>’</w:t>
      </w:r>
      <w:r w:rsidRPr="00F720A6">
        <w:rPr>
          <w:lang w:val="fr-FR"/>
        </w:rPr>
        <w:t>enfants, le Ministère du travail et de la politique sociale a mis en place un numéro d</w:t>
      </w:r>
      <w:r w:rsidR="00254912">
        <w:rPr>
          <w:lang w:val="fr-FR"/>
        </w:rPr>
        <w:t>’</w:t>
      </w:r>
      <w:r w:rsidRPr="00F720A6">
        <w:rPr>
          <w:lang w:val="fr-FR"/>
        </w:rPr>
        <w:t>appel d</w:t>
      </w:r>
      <w:r w:rsidR="00254912">
        <w:rPr>
          <w:lang w:val="fr-FR"/>
        </w:rPr>
        <w:t>’</w:t>
      </w:r>
      <w:r w:rsidRPr="00F720A6">
        <w:rPr>
          <w:lang w:val="fr-FR"/>
        </w:rPr>
        <w:t>urgence, le 15 505. De plus, une autre ligne téléphonique d</w:t>
      </w:r>
      <w:r w:rsidR="00254912">
        <w:rPr>
          <w:lang w:val="fr-FR"/>
        </w:rPr>
        <w:t>’</w:t>
      </w:r>
      <w:r w:rsidRPr="00F720A6">
        <w:rPr>
          <w:lang w:val="fr-FR"/>
        </w:rPr>
        <w:t xml:space="preserve">urgence, le 0800 1 22 22 est gérée par la Première ambassade des enfants dans le monde, à </w:t>
      </w:r>
      <w:proofErr w:type="spellStart"/>
      <w:r w:rsidRPr="00F720A6">
        <w:rPr>
          <w:lang w:val="fr-FR"/>
        </w:rPr>
        <w:t>Megjashi</w:t>
      </w:r>
      <w:proofErr w:type="spellEnd"/>
      <w:r w:rsidRPr="00F720A6">
        <w:rPr>
          <w:lang w:val="fr-FR"/>
        </w:rPr>
        <w:t xml:space="preserve">. </w:t>
      </w:r>
    </w:p>
    <w:p w14:paraId="67004319" w14:textId="77777777" w:rsidR="003C48D6" w:rsidRPr="001C1645" w:rsidRDefault="003C48D6" w:rsidP="009F0050">
      <w:pPr>
        <w:pStyle w:val="H1G"/>
        <w:rPr>
          <w:lang w:val="fr-FR"/>
        </w:rPr>
      </w:pPr>
      <w:r w:rsidRPr="00F720A6">
        <w:rPr>
          <w:lang w:val="fr-FR"/>
        </w:rPr>
        <w:lastRenderedPageBreak/>
        <w:tab/>
      </w:r>
      <w:r w:rsidRPr="009F0050">
        <w:rPr>
          <w:lang w:val="fr-FR"/>
        </w:rPr>
        <w:t>6.</w:t>
      </w:r>
      <w:r w:rsidRPr="009F0050">
        <w:rPr>
          <w:lang w:val="fr-FR"/>
        </w:rPr>
        <w:tab/>
        <w:t xml:space="preserve">Milieu familial et protection de remplacement </w:t>
      </w:r>
      <w:r w:rsidR="009F0050">
        <w:rPr>
          <w:lang w:val="fr-FR"/>
        </w:rPr>
        <w:br/>
      </w:r>
      <w:r w:rsidRPr="009F0050">
        <w:rPr>
          <w:lang w:val="fr-FR"/>
        </w:rPr>
        <w:t>(art. 5, 9 à 11, 18 (par. 1 et 2), 20, 21, 25 et 27 (par. 4))</w:t>
      </w:r>
      <w:bookmarkStart w:id="25" w:name="_Toc56781428"/>
      <w:bookmarkEnd w:id="25"/>
    </w:p>
    <w:p w14:paraId="101B0E6C" w14:textId="77777777" w:rsidR="003C48D6" w:rsidRPr="001C1645" w:rsidRDefault="003C48D6" w:rsidP="00355E4F">
      <w:pPr>
        <w:pStyle w:val="H23G"/>
        <w:rPr>
          <w:lang w:val="fr-FR"/>
        </w:rPr>
      </w:pPr>
      <w:r w:rsidRPr="00355E4F">
        <w:rPr>
          <w:lang w:val="fr-FR"/>
        </w:rPr>
        <w:tab/>
        <w:t>a)</w:t>
      </w:r>
      <w:r w:rsidRPr="00355E4F">
        <w:rPr>
          <w:lang w:val="fr-FR"/>
        </w:rPr>
        <w:tab/>
        <w:t xml:space="preserve">Milieu familial et apport par les parents de conseils adaptés </w:t>
      </w:r>
      <w:r w:rsidR="00D71125">
        <w:rPr>
          <w:lang w:val="fr-FR"/>
        </w:rPr>
        <w:br/>
      </w:r>
      <w:r w:rsidRPr="00355E4F">
        <w:rPr>
          <w:lang w:val="fr-FR"/>
        </w:rPr>
        <w:t>au degré de développement des capacités de l</w:t>
      </w:r>
      <w:r w:rsidR="00254912">
        <w:rPr>
          <w:lang w:val="fr-FR"/>
        </w:rPr>
        <w:t>’</w:t>
      </w:r>
      <w:r w:rsidRPr="00355E4F">
        <w:rPr>
          <w:lang w:val="fr-FR"/>
        </w:rPr>
        <w:t>enfant (art. 5)</w:t>
      </w:r>
      <w:bookmarkStart w:id="26" w:name="_Toc56781429"/>
      <w:bookmarkEnd w:id="26"/>
    </w:p>
    <w:p w14:paraId="7904EDC4" w14:textId="77777777" w:rsidR="003C48D6" w:rsidRPr="00355E4F" w:rsidRDefault="003C48D6" w:rsidP="00355E4F">
      <w:pPr>
        <w:pStyle w:val="SingleTxtG"/>
        <w:rPr>
          <w:lang w:val="fr-FR"/>
        </w:rPr>
      </w:pPr>
      <w:r w:rsidRPr="00355E4F">
        <w:rPr>
          <w:lang w:val="fr-FR"/>
        </w:rPr>
        <w:t>76.</w:t>
      </w:r>
      <w:r w:rsidRPr="00355E4F">
        <w:rPr>
          <w:lang w:val="fr-FR"/>
        </w:rPr>
        <w:tab/>
        <w:t>La loi du 16 février 2015 portant modification de la loi sur la protection de l</w:t>
      </w:r>
      <w:r w:rsidR="00254912">
        <w:rPr>
          <w:lang w:val="fr-FR"/>
        </w:rPr>
        <w:t>’</w:t>
      </w:r>
      <w:r w:rsidRPr="00355E4F">
        <w:rPr>
          <w:lang w:val="fr-FR"/>
        </w:rPr>
        <w:t>enfance</w:t>
      </w:r>
      <w:r w:rsidRPr="002A465A">
        <w:rPr>
          <w:rStyle w:val="Appelnotedebasdep"/>
        </w:rPr>
        <w:footnoteReference w:id="16"/>
      </w:r>
      <w:r w:rsidRPr="001C1645">
        <w:rPr>
          <w:lang w:val="fr-FR"/>
        </w:rPr>
        <w:t xml:space="preserve"> </w:t>
      </w:r>
      <w:r w:rsidRPr="00355E4F">
        <w:rPr>
          <w:lang w:val="fr-FR"/>
        </w:rPr>
        <w:t>prévoit la possibilité d</w:t>
      </w:r>
      <w:r w:rsidR="00254912">
        <w:rPr>
          <w:lang w:val="fr-FR"/>
        </w:rPr>
        <w:t>’</w:t>
      </w:r>
      <w:r w:rsidRPr="00355E4F">
        <w:rPr>
          <w:lang w:val="fr-FR"/>
        </w:rPr>
        <w:t>accueillir les enfants dans un jardin d</w:t>
      </w:r>
      <w:r w:rsidR="00254912">
        <w:rPr>
          <w:lang w:val="fr-FR"/>
        </w:rPr>
        <w:t>’</w:t>
      </w:r>
      <w:r w:rsidRPr="00355E4F">
        <w:rPr>
          <w:lang w:val="fr-FR"/>
        </w:rPr>
        <w:t>enfants ou un centre de développement de la petite enfance, au sein de structures créées par la loi et répondant aux besoins des employés, ou dans un établissement d</w:t>
      </w:r>
      <w:r w:rsidR="00254912">
        <w:rPr>
          <w:lang w:val="fr-FR"/>
        </w:rPr>
        <w:t>’</w:t>
      </w:r>
      <w:r w:rsidRPr="00355E4F">
        <w:rPr>
          <w:lang w:val="fr-FR"/>
        </w:rPr>
        <w:t>enseignement pour la formation des professionnels de l</w:t>
      </w:r>
      <w:r w:rsidR="00254912">
        <w:rPr>
          <w:lang w:val="fr-FR"/>
        </w:rPr>
        <w:t>’</w:t>
      </w:r>
      <w:r w:rsidRPr="00355E4F">
        <w:rPr>
          <w:lang w:val="fr-FR"/>
        </w:rPr>
        <w:t>éducation préscolaire, ainsi que la possibilité de créer un centre de développement de la petite enfance dans le cadre d</w:t>
      </w:r>
      <w:r w:rsidR="00254912">
        <w:rPr>
          <w:lang w:val="fr-FR"/>
        </w:rPr>
        <w:t>’</w:t>
      </w:r>
      <w:r w:rsidRPr="00355E4F">
        <w:rPr>
          <w:lang w:val="fr-FR"/>
        </w:rPr>
        <w:t>un jardin d</w:t>
      </w:r>
      <w:r w:rsidR="00254912">
        <w:rPr>
          <w:lang w:val="fr-FR"/>
        </w:rPr>
        <w:t>’</w:t>
      </w:r>
      <w:r w:rsidRPr="00355E4F">
        <w:rPr>
          <w:lang w:val="fr-FR"/>
        </w:rPr>
        <w:t xml:space="preserve">enfants public ou privé. </w:t>
      </w:r>
    </w:p>
    <w:p w14:paraId="4D2282AC" w14:textId="77777777" w:rsidR="003C48D6" w:rsidRPr="00355E4F" w:rsidRDefault="003C48D6" w:rsidP="00355E4F">
      <w:pPr>
        <w:pStyle w:val="SingleTxtG"/>
        <w:rPr>
          <w:lang w:val="fr-FR"/>
        </w:rPr>
      </w:pPr>
      <w:r w:rsidRPr="00355E4F">
        <w:rPr>
          <w:lang w:val="fr-FR"/>
        </w:rPr>
        <w:t>77.</w:t>
      </w:r>
      <w:r w:rsidRPr="00355E4F">
        <w:rPr>
          <w:lang w:val="fr-FR"/>
        </w:rPr>
        <w:tab/>
        <w:t>Dans le souci de promouvoir une alimentation saine et d</w:t>
      </w:r>
      <w:r w:rsidR="00254912">
        <w:rPr>
          <w:lang w:val="fr-FR"/>
        </w:rPr>
        <w:t>’</w:t>
      </w:r>
      <w:r w:rsidRPr="00355E4F">
        <w:rPr>
          <w:lang w:val="fr-FR"/>
        </w:rPr>
        <w:t>améliorer le régime alimentaire des enfants dans les institutions qui les accueillent, des modifications ont été apportées au règlement sur les normes relatives aux activités des institutions pour enfants</w:t>
      </w:r>
      <w:r w:rsidRPr="002A465A">
        <w:rPr>
          <w:rStyle w:val="Appelnotedebasdep"/>
        </w:rPr>
        <w:footnoteReference w:id="17"/>
      </w:r>
      <w:r w:rsidRPr="001C1645">
        <w:rPr>
          <w:lang w:val="fr-FR"/>
        </w:rPr>
        <w:t xml:space="preserve"> </w:t>
      </w:r>
      <w:r w:rsidRPr="00355E4F">
        <w:rPr>
          <w:lang w:val="fr-FR"/>
        </w:rPr>
        <w:t>pour définir plus en détail les normes applicables au régime alimentaire et aux repas des enfants fréquentant les jardins d</w:t>
      </w:r>
      <w:r w:rsidR="00254912">
        <w:rPr>
          <w:lang w:val="fr-FR"/>
        </w:rPr>
        <w:t>’</w:t>
      </w:r>
      <w:r w:rsidRPr="00355E4F">
        <w:rPr>
          <w:lang w:val="fr-FR"/>
        </w:rPr>
        <w:t>enfants.</w:t>
      </w:r>
    </w:p>
    <w:p w14:paraId="3FFBCDBC" w14:textId="77777777" w:rsidR="003C48D6" w:rsidRPr="00355E4F" w:rsidRDefault="003C48D6" w:rsidP="00355E4F">
      <w:pPr>
        <w:pStyle w:val="SingleTxtG"/>
        <w:rPr>
          <w:lang w:val="fr-FR"/>
        </w:rPr>
      </w:pPr>
      <w:r w:rsidRPr="00355E4F">
        <w:rPr>
          <w:lang w:val="fr-FR"/>
        </w:rPr>
        <w:t>78.</w:t>
      </w:r>
      <w:r w:rsidRPr="00355E4F">
        <w:rPr>
          <w:lang w:val="fr-FR"/>
        </w:rPr>
        <w:tab/>
        <w:t>Des modifications législatives précisent les modalités de présentation par les institutions pour enfants des manuels et des magazines pour enfants aux fins de leur sélection par les parents. Lesdites institutions sont tenues de présenter aux parents les manuels et magazines enfantins approuvés par décision ministérielle, au plus tard en octobre de l</w:t>
      </w:r>
      <w:r w:rsidR="00254912">
        <w:rPr>
          <w:lang w:val="fr-FR"/>
        </w:rPr>
        <w:t>’</w:t>
      </w:r>
      <w:r w:rsidRPr="00355E4F">
        <w:rPr>
          <w:lang w:val="fr-FR"/>
        </w:rPr>
        <w:t>année en cours, lors des réunions de parents d</w:t>
      </w:r>
      <w:r w:rsidR="00254912">
        <w:rPr>
          <w:lang w:val="fr-FR"/>
        </w:rPr>
        <w:t>’</w:t>
      </w:r>
      <w:r w:rsidRPr="00355E4F">
        <w:rPr>
          <w:lang w:val="fr-FR"/>
        </w:rPr>
        <w:t>élèves, par voie d</w:t>
      </w:r>
      <w:r w:rsidR="00254912">
        <w:rPr>
          <w:lang w:val="fr-FR"/>
        </w:rPr>
        <w:t>’</w:t>
      </w:r>
      <w:r w:rsidRPr="00355E4F">
        <w:rPr>
          <w:lang w:val="fr-FR"/>
        </w:rPr>
        <w:t>affichage ou sur leur site web.</w:t>
      </w:r>
    </w:p>
    <w:p w14:paraId="3A10898D" w14:textId="77777777" w:rsidR="003C48D6" w:rsidRPr="00355E4F" w:rsidRDefault="003C48D6" w:rsidP="00355E4F">
      <w:pPr>
        <w:pStyle w:val="SingleTxtG"/>
        <w:rPr>
          <w:lang w:val="fr-FR"/>
        </w:rPr>
      </w:pPr>
      <w:r w:rsidRPr="00355E4F">
        <w:rPr>
          <w:lang w:val="fr-FR"/>
        </w:rPr>
        <w:t>79.</w:t>
      </w:r>
      <w:r w:rsidRPr="00355E4F">
        <w:rPr>
          <w:lang w:val="fr-FR"/>
        </w:rPr>
        <w:tab/>
        <w:t>Le règlement relatifs aux conditions, critères et modalités spécifiques d</w:t>
      </w:r>
      <w:r w:rsidR="00254912">
        <w:rPr>
          <w:lang w:val="fr-FR"/>
        </w:rPr>
        <w:t>’</w:t>
      </w:r>
      <w:r w:rsidRPr="00355E4F">
        <w:rPr>
          <w:lang w:val="fr-FR"/>
        </w:rPr>
        <w:t>exercice du droit de participation aux frais correspondant à la prise en charge, à l</w:t>
      </w:r>
      <w:r w:rsidR="00254912">
        <w:rPr>
          <w:lang w:val="fr-FR"/>
        </w:rPr>
        <w:t>’’</w:t>
      </w:r>
      <w:r w:rsidRPr="00355E4F">
        <w:rPr>
          <w:lang w:val="fr-FR"/>
        </w:rPr>
        <w:t>éducation, aux</w:t>
      </w:r>
      <w:r w:rsidR="00D71125">
        <w:rPr>
          <w:lang w:val="fr-FR"/>
        </w:rPr>
        <w:t> </w:t>
      </w:r>
      <w:r w:rsidRPr="00355E4F">
        <w:rPr>
          <w:lang w:val="fr-FR"/>
        </w:rPr>
        <w:t>vacances et aux loisirs des enfants accueillis dans les institutions publiques pour enfants</w:t>
      </w:r>
      <w:r w:rsidRPr="002A465A">
        <w:rPr>
          <w:rStyle w:val="Appelnotedebasdep"/>
        </w:rPr>
        <w:footnoteReference w:id="18"/>
      </w:r>
      <w:r w:rsidRPr="00355E4F">
        <w:rPr>
          <w:lang w:val="fr-FR"/>
        </w:rPr>
        <w:t xml:space="preserve"> garantit aux enfants issus de familles monoparentales dont le salaire et les autres revenus mensuels ne dépassent pas le salaire minimum défini par la loi le droit de bénéficier des services d</w:t>
      </w:r>
      <w:r w:rsidR="00254912">
        <w:rPr>
          <w:lang w:val="fr-FR"/>
        </w:rPr>
        <w:t>’</w:t>
      </w:r>
      <w:r w:rsidRPr="00355E4F">
        <w:rPr>
          <w:lang w:val="fr-FR"/>
        </w:rPr>
        <w:t>une institution publique pour enfants (jardin d</w:t>
      </w:r>
      <w:r w:rsidR="00254912">
        <w:rPr>
          <w:lang w:val="fr-FR"/>
        </w:rPr>
        <w:t>’</w:t>
      </w:r>
      <w:r w:rsidRPr="00355E4F">
        <w:rPr>
          <w:lang w:val="fr-FR"/>
        </w:rPr>
        <w:t>enfants).</w:t>
      </w:r>
    </w:p>
    <w:p w14:paraId="2779C16A" w14:textId="77777777" w:rsidR="003C48D6" w:rsidRPr="00355E4F" w:rsidRDefault="003C48D6" w:rsidP="00355E4F">
      <w:pPr>
        <w:pStyle w:val="SingleTxtG"/>
        <w:rPr>
          <w:lang w:val="fr-FR"/>
        </w:rPr>
      </w:pPr>
      <w:r w:rsidRPr="00355E4F">
        <w:rPr>
          <w:lang w:val="fr-FR"/>
        </w:rPr>
        <w:t>80.</w:t>
      </w:r>
      <w:r w:rsidRPr="00355E4F">
        <w:rPr>
          <w:lang w:val="fr-FR"/>
        </w:rPr>
        <w:tab/>
        <w:t>Pour qu</w:t>
      </w:r>
      <w:r w:rsidR="00254912">
        <w:rPr>
          <w:lang w:val="fr-FR"/>
        </w:rPr>
        <w:t>’</w:t>
      </w:r>
      <w:r w:rsidRPr="00355E4F">
        <w:rPr>
          <w:lang w:val="fr-FR"/>
        </w:rPr>
        <w:t>un plus grand nombre d</w:t>
      </w:r>
      <w:r w:rsidR="00254912">
        <w:rPr>
          <w:lang w:val="fr-FR"/>
        </w:rPr>
        <w:t>’</w:t>
      </w:r>
      <w:r w:rsidRPr="00355E4F">
        <w:rPr>
          <w:lang w:val="fr-FR"/>
        </w:rPr>
        <w:t>enfants présentant des troubles du développement puissent être accueillis dans des institutions, un programme pour l</w:t>
      </w:r>
      <w:r w:rsidR="00254912">
        <w:rPr>
          <w:lang w:val="fr-FR"/>
        </w:rPr>
        <w:t>’</w:t>
      </w:r>
      <w:r w:rsidRPr="00355E4F">
        <w:rPr>
          <w:lang w:val="fr-FR"/>
        </w:rPr>
        <w:t xml:space="preserve">éducation et le développement des jeunes enfants présentant des troubles du développement a été adopté en 2015. </w:t>
      </w:r>
    </w:p>
    <w:p w14:paraId="04FDB529" w14:textId="77777777" w:rsidR="003C48D6" w:rsidRPr="00355E4F" w:rsidRDefault="003C48D6" w:rsidP="00355E4F">
      <w:pPr>
        <w:pStyle w:val="SingleTxtG"/>
        <w:rPr>
          <w:lang w:val="fr-FR"/>
        </w:rPr>
      </w:pPr>
      <w:r w:rsidRPr="00355E4F">
        <w:rPr>
          <w:lang w:val="fr-FR"/>
        </w:rPr>
        <w:t>81.</w:t>
      </w:r>
      <w:r w:rsidRPr="00355E4F">
        <w:rPr>
          <w:lang w:val="fr-FR"/>
        </w:rPr>
        <w:tab/>
        <w:t>Les programmes suivants ont été adoptés : programme pour l</w:t>
      </w:r>
      <w:r w:rsidR="00254912">
        <w:rPr>
          <w:lang w:val="fr-FR"/>
        </w:rPr>
        <w:t>’</w:t>
      </w:r>
      <w:r w:rsidRPr="00355E4F">
        <w:rPr>
          <w:lang w:val="fr-FR"/>
        </w:rPr>
        <w:t>éducation et le développement de la petite enfance</w:t>
      </w:r>
      <w:r w:rsidRPr="002A465A">
        <w:rPr>
          <w:rStyle w:val="Appelnotedebasdep"/>
        </w:rPr>
        <w:footnoteReference w:id="19"/>
      </w:r>
      <w:r w:rsidRPr="00355E4F">
        <w:rPr>
          <w:lang w:val="fr-FR"/>
        </w:rPr>
        <w:t> ; programme d</w:t>
      </w:r>
      <w:r w:rsidR="00254912">
        <w:rPr>
          <w:lang w:val="fr-FR"/>
        </w:rPr>
        <w:t>’</w:t>
      </w:r>
      <w:r w:rsidRPr="00355E4F">
        <w:rPr>
          <w:lang w:val="fr-FR"/>
        </w:rPr>
        <w:t>éducation des enfants d</w:t>
      </w:r>
      <w:r w:rsidR="00254912">
        <w:rPr>
          <w:lang w:val="fr-FR"/>
        </w:rPr>
        <w:t>’</w:t>
      </w:r>
      <w:r w:rsidRPr="00355E4F">
        <w:rPr>
          <w:lang w:val="fr-FR"/>
        </w:rPr>
        <w:t>âge préscolaire accueillis dans des établissements d</w:t>
      </w:r>
      <w:r w:rsidR="00254912">
        <w:rPr>
          <w:lang w:val="fr-FR"/>
        </w:rPr>
        <w:t>’</w:t>
      </w:r>
      <w:r w:rsidRPr="00355E4F">
        <w:rPr>
          <w:lang w:val="fr-FR"/>
        </w:rPr>
        <w:t>enseignement à la culture et à la consommation d</w:t>
      </w:r>
      <w:r w:rsidR="00254912">
        <w:rPr>
          <w:lang w:val="fr-FR"/>
        </w:rPr>
        <w:t>’</w:t>
      </w:r>
      <w:r w:rsidRPr="00355E4F">
        <w:rPr>
          <w:lang w:val="fr-FR"/>
        </w:rPr>
        <w:t>aliments sains</w:t>
      </w:r>
      <w:r w:rsidRPr="002A465A">
        <w:rPr>
          <w:rStyle w:val="Appelnotedebasdep"/>
        </w:rPr>
        <w:footnoteReference w:id="20"/>
      </w:r>
      <w:r w:rsidRPr="00355E4F">
        <w:rPr>
          <w:lang w:val="fr-FR"/>
        </w:rPr>
        <w:t> ; lignes directrices pour la planification des activités dans le cadre du Programme d</w:t>
      </w:r>
      <w:r w:rsidR="00254912">
        <w:rPr>
          <w:lang w:val="fr-FR"/>
        </w:rPr>
        <w:t>’</w:t>
      </w:r>
      <w:r w:rsidRPr="00355E4F">
        <w:rPr>
          <w:lang w:val="fr-FR"/>
        </w:rPr>
        <w:t>éducation et de développement de la petite enfance pour l</w:t>
      </w:r>
      <w:r w:rsidR="00254912">
        <w:rPr>
          <w:lang w:val="fr-FR"/>
        </w:rPr>
        <w:t>’</w:t>
      </w:r>
      <w:r w:rsidRPr="00355E4F">
        <w:rPr>
          <w:lang w:val="fr-FR"/>
        </w:rPr>
        <w:t>acquisition d</w:t>
      </w:r>
      <w:r w:rsidR="00254912">
        <w:rPr>
          <w:lang w:val="fr-FR"/>
        </w:rPr>
        <w:t>’</w:t>
      </w:r>
      <w:r w:rsidRPr="00355E4F">
        <w:rPr>
          <w:lang w:val="fr-FR"/>
        </w:rPr>
        <w:t>habitudes de vie saines et de comportements sûrs chez les enfants d</w:t>
      </w:r>
      <w:r w:rsidR="00254912">
        <w:rPr>
          <w:lang w:val="fr-FR"/>
        </w:rPr>
        <w:t>’</w:t>
      </w:r>
      <w:r w:rsidRPr="00355E4F">
        <w:rPr>
          <w:lang w:val="fr-FR"/>
        </w:rPr>
        <w:t>âge préscolaire dans les établissements d</w:t>
      </w:r>
      <w:r w:rsidR="00254912">
        <w:rPr>
          <w:lang w:val="fr-FR"/>
        </w:rPr>
        <w:t>’</w:t>
      </w:r>
      <w:r w:rsidRPr="00355E4F">
        <w:rPr>
          <w:lang w:val="fr-FR"/>
        </w:rPr>
        <w:t xml:space="preserve">enseignement </w:t>
      </w:r>
      <w:r w:rsidR="00936A52">
        <w:rPr>
          <w:lang w:val="fr-FR"/>
        </w:rPr>
        <w:t>−</w:t>
      </w:r>
      <w:r w:rsidRPr="00355E4F">
        <w:rPr>
          <w:lang w:val="fr-FR"/>
        </w:rPr>
        <w:t xml:space="preserve"> adoptées le 5 juin 2015 ; lignes directrices pour la mise en œuvre du Programme d</w:t>
      </w:r>
      <w:r w:rsidR="00254912">
        <w:rPr>
          <w:lang w:val="fr-FR"/>
        </w:rPr>
        <w:t>’</w:t>
      </w:r>
      <w:r w:rsidRPr="00355E4F">
        <w:rPr>
          <w:lang w:val="fr-FR"/>
        </w:rPr>
        <w:t>éducation et de développement de la petite enfance.</w:t>
      </w:r>
    </w:p>
    <w:p w14:paraId="141B9B79" w14:textId="77777777" w:rsidR="003C48D6" w:rsidRPr="001C1645" w:rsidRDefault="003C48D6" w:rsidP="00355E4F">
      <w:pPr>
        <w:pStyle w:val="SingleTxtG"/>
        <w:rPr>
          <w:lang w:val="fr-FR"/>
        </w:rPr>
      </w:pPr>
      <w:r w:rsidRPr="00355E4F">
        <w:rPr>
          <w:lang w:val="fr-FR"/>
        </w:rPr>
        <w:t>82.</w:t>
      </w:r>
      <w:r w:rsidRPr="00355E4F">
        <w:rPr>
          <w:lang w:val="fr-FR"/>
        </w:rPr>
        <w:tab/>
        <w:t>Dans les jardins d</w:t>
      </w:r>
      <w:r w:rsidR="00254912">
        <w:rPr>
          <w:lang w:val="fr-FR"/>
        </w:rPr>
        <w:t>’</w:t>
      </w:r>
      <w:r w:rsidRPr="00355E4F">
        <w:rPr>
          <w:lang w:val="fr-FR"/>
        </w:rPr>
        <w:t>enfants publics et les centres de développement de la petite enfance, l</w:t>
      </w:r>
      <w:r w:rsidR="00254912">
        <w:rPr>
          <w:lang w:val="fr-FR"/>
        </w:rPr>
        <w:t>’</w:t>
      </w:r>
      <w:r w:rsidRPr="00355E4F">
        <w:rPr>
          <w:lang w:val="fr-FR"/>
        </w:rPr>
        <w:t>accent a été mis sur la création de bureaux de conseil aux enfants et aux parents. Un</w:t>
      </w:r>
      <w:r w:rsidR="00936A52">
        <w:rPr>
          <w:lang w:val="fr-FR"/>
        </w:rPr>
        <w:t> </w:t>
      </w:r>
      <w:r w:rsidRPr="00355E4F">
        <w:rPr>
          <w:lang w:val="fr-FR"/>
        </w:rPr>
        <w:t>règlement adopté par le Ministère définit les critères spécifiques relatifs à la création et au fonctionnement de ces bureaux</w:t>
      </w:r>
      <w:r w:rsidRPr="002A465A">
        <w:rPr>
          <w:rStyle w:val="Appelnotedebasdep"/>
        </w:rPr>
        <w:footnoteReference w:id="21"/>
      </w:r>
      <w:r w:rsidRPr="00355E4F">
        <w:rPr>
          <w:lang w:val="fr-FR"/>
        </w:rPr>
        <w:t>.</w:t>
      </w:r>
    </w:p>
    <w:p w14:paraId="02281F91" w14:textId="77777777" w:rsidR="003C48D6" w:rsidRPr="00355E4F" w:rsidRDefault="003C48D6" w:rsidP="00355E4F">
      <w:pPr>
        <w:pStyle w:val="SingleTxtG"/>
        <w:rPr>
          <w:lang w:val="fr-FR"/>
        </w:rPr>
      </w:pPr>
      <w:r w:rsidRPr="00355E4F">
        <w:rPr>
          <w:lang w:val="fr-FR"/>
        </w:rPr>
        <w:t>83.</w:t>
      </w:r>
      <w:r w:rsidRPr="00355E4F">
        <w:rPr>
          <w:lang w:val="fr-FR"/>
        </w:rPr>
        <w:tab/>
        <w:t>Entre 2014 et juillet 2018, les capacités de prise en charge et d</w:t>
      </w:r>
      <w:r w:rsidR="00254912">
        <w:rPr>
          <w:lang w:val="fr-FR"/>
        </w:rPr>
        <w:t>’</w:t>
      </w:r>
      <w:r w:rsidRPr="00355E4F">
        <w:rPr>
          <w:lang w:val="fr-FR"/>
        </w:rPr>
        <w:t>éducation des enfants de zéro à six ans ont été renforcées par l</w:t>
      </w:r>
      <w:r w:rsidR="00254912">
        <w:rPr>
          <w:lang w:val="fr-FR"/>
        </w:rPr>
        <w:t>’</w:t>
      </w:r>
      <w:r w:rsidRPr="00355E4F">
        <w:rPr>
          <w:lang w:val="fr-FR"/>
        </w:rPr>
        <w:t>ouverture de huit jardins d</w:t>
      </w:r>
      <w:r w:rsidR="00254912">
        <w:rPr>
          <w:lang w:val="fr-FR"/>
        </w:rPr>
        <w:t>’</w:t>
      </w:r>
      <w:r w:rsidRPr="00355E4F">
        <w:rPr>
          <w:lang w:val="fr-FR"/>
        </w:rPr>
        <w:t>enfants publics municipaux et de 21 jardins d</w:t>
      </w:r>
      <w:r w:rsidR="00254912">
        <w:rPr>
          <w:lang w:val="fr-FR"/>
        </w:rPr>
        <w:t>’</w:t>
      </w:r>
      <w:r w:rsidRPr="00355E4F">
        <w:rPr>
          <w:lang w:val="fr-FR"/>
        </w:rPr>
        <w:t>enfants privés et la création de 24 nouvelles structures au sein des jardins d</w:t>
      </w:r>
      <w:r w:rsidR="00254912">
        <w:rPr>
          <w:lang w:val="fr-FR"/>
        </w:rPr>
        <w:t>’</w:t>
      </w:r>
      <w:r w:rsidRPr="00355E4F">
        <w:rPr>
          <w:lang w:val="fr-FR"/>
        </w:rPr>
        <w:t xml:space="preserve">enfants, de 29 centres de développement de la petite enfance, dont quatre sont </w:t>
      </w:r>
      <w:r w:rsidRPr="00355E4F">
        <w:rPr>
          <w:lang w:val="fr-FR"/>
        </w:rPr>
        <w:lastRenderedPageBreak/>
        <w:t>publics et 25 font partie de jardins d</w:t>
      </w:r>
      <w:r w:rsidR="00254912">
        <w:rPr>
          <w:lang w:val="fr-FR"/>
        </w:rPr>
        <w:t>’</w:t>
      </w:r>
      <w:r w:rsidRPr="00355E4F">
        <w:rPr>
          <w:lang w:val="fr-FR"/>
        </w:rPr>
        <w:t>enfants publics, et de six unités administratives au sein d</w:t>
      </w:r>
      <w:r w:rsidR="00254912">
        <w:rPr>
          <w:lang w:val="fr-FR"/>
        </w:rPr>
        <w:t>’</w:t>
      </w:r>
      <w:r w:rsidRPr="00355E4F">
        <w:rPr>
          <w:lang w:val="fr-FR"/>
        </w:rPr>
        <w:t>entités juridiques.</w:t>
      </w:r>
    </w:p>
    <w:p w14:paraId="584FB067" w14:textId="77777777" w:rsidR="003C48D6" w:rsidRPr="00DB0E66" w:rsidRDefault="003C48D6" w:rsidP="00DB0E66">
      <w:pPr>
        <w:pStyle w:val="H23G"/>
        <w:rPr>
          <w:lang w:val="fr-FR"/>
        </w:rPr>
      </w:pPr>
      <w:r w:rsidRPr="00DB0E66">
        <w:rPr>
          <w:lang w:val="fr-FR"/>
        </w:rPr>
        <w:tab/>
        <w:t>b)</w:t>
      </w:r>
      <w:r w:rsidRPr="00DB0E66">
        <w:rPr>
          <w:lang w:val="fr-FR"/>
        </w:rPr>
        <w:tab/>
        <w:t xml:space="preserve">Responsabilités communes des deux parents, aide aux parents </w:t>
      </w:r>
      <w:r w:rsidR="00DB0E66">
        <w:rPr>
          <w:lang w:val="fr-FR"/>
        </w:rPr>
        <w:br/>
      </w:r>
      <w:r w:rsidRPr="00DB0E66">
        <w:rPr>
          <w:lang w:val="fr-FR"/>
        </w:rPr>
        <w:t>et fourniture de services de garde d</w:t>
      </w:r>
      <w:r w:rsidR="00254912">
        <w:rPr>
          <w:lang w:val="fr-FR"/>
        </w:rPr>
        <w:t>’</w:t>
      </w:r>
      <w:r w:rsidRPr="00DB0E66">
        <w:rPr>
          <w:lang w:val="fr-FR"/>
        </w:rPr>
        <w:t>enfants (art. 18)</w:t>
      </w:r>
      <w:bookmarkStart w:id="27" w:name="_Toc56781430"/>
      <w:bookmarkEnd w:id="27"/>
    </w:p>
    <w:p w14:paraId="042F3824" w14:textId="77777777" w:rsidR="003C48D6" w:rsidRPr="00DB0E66" w:rsidRDefault="003C48D6" w:rsidP="00DB0E66">
      <w:pPr>
        <w:pStyle w:val="SingleTxtG"/>
        <w:rPr>
          <w:lang w:val="fr-FR"/>
        </w:rPr>
      </w:pPr>
      <w:r w:rsidRPr="00DB0E66">
        <w:rPr>
          <w:lang w:val="fr-FR"/>
        </w:rPr>
        <w:t>84.</w:t>
      </w:r>
      <w:r w:rsidRPr="00DB0E66">
        <w:rPr>
          <w:lang w:val="fr-FR"/>
        </w:rPr>
        <w:tab/>
        <w:t>La loi portant modification de la loi sur la protection de l</w:t>
      </w:r>
      <w:r w:rsidR="00254912">
        <w:rPr>
          <w:lang w:val="fr-FR"/>
        </w:rPr>
        <w:t>’</w:t>
      </w:r>
      <w:r w:rsidRPr="00DB0E66">
        <w:rPr>
          <w:lang w:val="fr-FR"/>
        </w:rPr>
        <w:t>enfance</w:t>
      </w:r>
      <w:r w:rsidRPr="002A465A">
        <w:rPr>
          <w:rStyle w:val="Appelnotedebasdep"/>
        </w:rPr>
        <w:footnoteReference w:id="22"/>
      </w:r>
      <w:r w:rsidRPr="00DB0E66">
        <w:rPr>
          <w:lang w:val="fr-FR"/>
        </w:rPr>
        <w:t xml:space="preserve"> complète et modifie la loi de manière à améliorer la situation financière des parents isolés dont l</w:t>
      </w:r>
      <w:r w:rsidR="00254912">
        <w:rPr>
          <w:lang w:val="fr-FR"/>
        </w:rPr>
        <w:t>’</w:t>
      </w:r>
      <w:r w:rsidRPr="00DB0E66">
        <w:rPr>
          <w:lang w:val="fr-FR"/>
        </w:rPr>
        <w:t>enfant a des besoins particuliers ou présente des troubles du développement physique ou mental ou plusieurs handicaps et qui reçoivent une prestation spéciale jusqu</w:t>
      </w:r>
      <w:r w:rsidR="00254912">
        <w:rPr>
          <w:lang w:val="fr-FR"/>
        </w:rPr>
        <w:t>’</w:t>
      </w:r>
      <w:r w:rsidRPr="00DB0E66">
        <w:rPr>
          <w:lang w:val="fr-FR"/>
        </w:rPr>
        <w:t>aux 26 ans de l</w:t>
      </w:r>
      <w:r w:rsidR="00254912">
        <w:rPr>
          <w:lang w:val="fr-FR"/>
        </w:rPr>
        <w:t>’</w:t>
      </w:r>
      <w:r w:rsidRPr="00DB0E66">
        <w:rPr>
          <w:lang w:val="fr-FR"/>
        </w:rPr>
        <w:t>enfant. Cette prestation a été augmentée de 50 % et portée à 6 303 </w:t>
      </w:r>
      <w:proofErr w:type="spellStart"/>
      <w:r w:rsidRPr="00DB0E66">
        <w:rPr>
          <w:lang w:val="fr-FR"/>
        </w:rPr>
        <w:t>denar</w:t>
      </w:r>
      <w:proofErr w:type="spellEnd"/>
      <w:r w:rsidRPr="00DB0E66">
        <w:rPr>
          <w:lang w:val="fr-FR"/>
        </w:rPr>
        <w:t>. La loi définit les critères à remplir pour bénéficier de cette prestation spéciale majorée, qui sont applicables depuis le 1</w:t>
      </w:r>
      <w:r w:rsidRPr="00936A52">
        <w:rPr>
          <w:vertAlign w:val="superscript"/>
          <w:lang w:val="fr-FR"/>
        </w:rPr>
        <w:t>er</w:t>
      </w:r>
      <w:r w:rsidRPr="00DB0E66">
        <w:rPr>
          <w:lang w:val="fr-FR"/>
        </w:rPr>
        <w:t> janvier 2014.</w:t>
      </w:r>
    </w:p>
    <w:p w14:paraId="22896398" w14:textId="77777777" w:rsidR="003C48D6" w:rsidRPr="00DB0E66" w:rsidRDefault="003C48D6" w:rsidP="00DB0E66">
      <w:pPr>
        <w:pStyle w:val="SingleTxtG"/>
        <w:rPr>
          <w:lang w:val="fr-FR"/>
        </w:rPr>
      </w:pPr>
      <w:r w:rsidRPr="00DB0E66">
        <w:rPr>
          <w:lang w:val="fr-FR"/>
        </w:rPr>
        <w:t>85.</w:t>
      </w:r>
      <w:r w:rsidRPr="00DB0E66">
        <w:rPr>
          <w:lang w:val="fr-FR"/>
        </w:rPr>
        <w:tab/>
        <w:t>En 2014 et 2015, des mesures ont été prises pour créer, dans les centres d</w:t>
      </w:r>
      <w:r w:rsidR="00254912">
        <w:rPr>
          <w:lang w:val="fr-FR"/>
        </w:rPr>
        <w:t>’</w:t>
      </w:r>
      <w:r w:rsidRPr="00DB0E66">
        <w:rPr>
          <w:lang w:val="fr-FR"/>
        </w:rPr>
        <w:t>aide sociale, des consultations pour les personnes qui ont des problèmes conjugaux ou familiaux, sont victimes de violence familiale, souhaitent aborder des questions relatives aux mariages d</w:t>
      </w:r>
      <w:r w:rsidR="00254912">
        <w:rPr>
          <w:lang w:val="fr-FR"/>
        </w:rPr>
        <w:t>’</w:t>
      </w:r>
      <w:r w:rsidRPr="00DB0E66">
        <w:rPr>
          <w:lang w:val="fr-FR"/>
        </w:rPr>
        <w:t>enfants ou on</w:t>
      </w:r>
      <w:r w:rsidR="0076014B">
        <w:rPr>
          <w:lang w:val="fr-FR"/>
        </w:rPr>
        <w:t>t</w:t>
      </w:r>
      <w:r w:rsidRPr="00DB0E66">
        <w:rPr>
          <w:lang w:val="fr-FR"/>
        </w:rPr>
        <w:t xml:space="preserve"> besoin de services de renforcement des capacités parentales. Au total, 30 bureaux étaient ouverts à la fin de l</w:t>
      </w:r>
      <w:r w:rsidR="00254912">
        <w:rPr>
          <w:lang w:val="fr-FR"/>
        </w:rPr>
        <w:t>’</w:t>
      </w:r>
      <w:r w:rsidRPr="00DB0E66">
        <w:rPr>
          <w:lang w:val="fr-FR"/>
        </w:rPr>
        <w:t xml:space="preserve">année 2015. </w:t>
      </w:r>
    </w:p>
    <w:p w14:paraId="0BBE7FA2" w14:textId="77777777" w:rsidR="003C48D6" w:rsidRPr="002D695B" w:rsidRDefault="003C48D6" w:rsidP="00DB0E66">
      <w:pPr>
        <w:pStyle w:val="SingleTxtG"/>
        <w:rPr>
          <w:lang w:val="fr-FR"/>
        </w:rPr>
      </w:pPr>
      <w:r w:rsidRPr="001F7925">
        <w:rPr>
          <w:lang w:val="fr-FR"/>
        </w:rPr>
        <w:t>86.</w:t>
      </w:r>
      <w:r w:rsidRPr="001F7925">
        <w:rPr>
          <w:lang w:val="fr-FR"/>
        </w:rPr>
        <w:tab/>
      </w:r>
      <w:r w:rsidRPr="00DB0E66">
        <w:rPr>
          <w:lang w:val="fr-FR"/>
        </w:rPr>
        <w:t xml:space="preserve">Le bureau de conseil spécialisé dit « Premier centre de la famille » donne également de bons résultats. Géré par une association, il propose des services de soutien </w:t>
      </w:r>
      <w:proofErr w:type="spellStart"/>
      <w:r w:rsidRPr="00DB0E66">
        <w:rPr>
          <w:lang w:val="fr-FR"/>
        </w:rPr>
        <w:t>psychosocial</w:t>
      </w:r>
      <w:proofErr w:type="spellEnd"/>
      <w:r w:rsidRPr="00DB0E66">
        <w:rPr>
          <w:lang w:val="fr-FR"/>
        </w:rPr>
        <w:t xml:space="preserve"> d</w:t>
      </w:r>
      <w:r w:rsidR="00254912">
        <w:rPr>
          <w:lang w:val="fr-FR"/>
        </w:rPr>
        <w:t>’</w:t>
      </w:r>
      <w:r w:rsidRPr="00DB0E66">
        <w:rPr>
          <w:lang w:val="fr-FR"/>
        </w:rPr>
        <w:t>accompagnement aux familles dans lesquelles les relations sont conflictuelles, des actes de violence graves sont commis ou des violences conjugales ont eu lieu. Les services sont fournis par une équipe professionnelle de psychothérapeutes qui s</w:t>
      </w:r>
      <w:r w:rsidR="00254912">
        <w:rPr>
          <w:lang w:val="fr-FR"/>
        </w:rPr>
        <w:t>’</w:t>
      </w:r>
      <w:r w:rsidRPr="00DB0E66">
        <w:rPr>
          <w:lang w:val="fr-FR"/>
        </w:rPr>
        <w:t>occupent individuellement de tous les membres de la famille.</w:t>
      </w:r>
    </w:p>
    <w:p w14:paraId="26333348" w14:textId="77777777" w:rsidR="003C48D6" w:rsidRPr="00DB0E66" w:rsidRDefault="003C48D6" w:rsidP="00DB0E66">
      <w:pPr>
        <w:pStyle w:val="H23G"/>
        <w:rPr>
          <w:lang w:val="fr-FR"/>
        </w:rPr>
      </w:pPr>
      <w:r w:rsidRPr="00DB0E66">
        <w:rPr>
          <w:lang w:val="fr-FR"/>
        </w:rPr>
        <w:tab/>
        <w:t>c)</w:t>
      </w:r>
      <w:r w:rsidRPr="00DB0E66">
        <w:rPr>
          <w:lang w:val="fr-FR"/>
        </w:rPr>
        <w:tab/>
        <w:t>Enfants privés de protection parentale (art. 9 (par. 1 à 4), 21 et 25)</w:t>
      </w:r>
      <w:bookmarkStart w:id="28" w:name="_Toc56781431"/>
      <w:bookmarkEnd w:id="28"/>
    </w:p>
    <w:p w14:paraId="15432B4C" w14:textId="77777777" w:rsidR="003C48D6" w:rsidRPr="001C1645" w:rsidRDefault="003C48D6" w:rsidP="00AE6986">
      <w:pPr>
        <w:pStyle w:val="H23G"/>
        <w:rPr>
          <w:rStyle w:val="Appelnotedebasdep"/>
          <w:lang w:val="fr-FR"/>
        </w:rPr>
      </w:pPr>
      <w:r w:rsidRPr="00AE6986">
        <w:rPr>
          <w:b w:val="0"/>
          <w:lang w:val="fr-FR"/>
        </w:rPr>
        <w:tab/>
      </w:r>
      <w:r w:rsidRPr="00AE6986">
        <w:rPr>
          <w:b w:val="0"/>
          <w:lang w:val="fr-FR"/>
        </w:rPr>
        <w:tab/>
      </w:r>
      <w:r w:rsidRPr="00AE6986">
        <w:rPr>
          <w:bCs/>
          <w:lang w:val="fr-FR"/>
        </w:rPr>
        <w:t>Nombre d</w:t>
      </w:r>
      <w:r w:rsidR="00254912">
        <w:rPr>
          <w:bCs/>
          <w:lang w:val="fr-FR"/>
        </w:rPr>
        <w:t>’</w:t>
      </w:r>
      <w:r w:rsidRPr="00AE6986">
        <w:rPr>
          <w:bCs/>
          <w:lang w:val="fr-FR"/>
        </w:rPr>
        <w:t xml:space="preserve">enfants privés de protection parentale, ventilés par situations </w:t>
      </w:r>
      <w:r w:rsidR="00497FA6">
        <w:rPr>
          <w:bCs/>
          <w:lang w:val="fr-FR"/>
        </w:rPr>
        <w:br/>
      </w:r>
      <w:r w:rsidRPr="00AE6986">
        <w:rPr>
          <w:bCs/>
          <w:lang w:val="fr-FR"/>
        </w:rPr>
        <w:t>(c</w:t>
      </w:r>
      <w:r w:rsidR="00254912">
        <w:rPr>
          <w:bCs/>
          <w:lang w:val="fr-FR"/>
        </w:rPr>
        <w:t>’</w:t>
      </w:r>
      <w:r w:rsidRPr="00AE6986">
        <w:rPr>
          <w:bCs/>
          <w:lang w:val="fr-FR"/>
        </w:rPr>
        <w:t>est-à-dire conflit armé, pauvreté, abandon résultant d</w:t>
      </w:r>
      <w:r w:rsidR="00254912">
        <w:rPr>
          <w:bCs/>
          <w:lang w:val="fr-FR"/>
        </w:rPr>
        <w:t>’</w:t>
      </w:r>
      <w:r w:rsidRPr="00AE6986">
        <w:rPr>
          <w:bCs/>
          <w:lang w:val="fr-FR"/>
        </w:rPr>
        <w:t>une discrimination)</w:t>
      </w:r>
      <w:r w:rsidRPr="00AE6986">
        <w:rPr>
          <w:rStyle w:val="Appelnotedebasdep"/>
          <w:b w:val="0"/>
          <w:bCs/>
        </w:rPr>
        <w:footnoteReference w:id="23"/>
      </w:r>
      <w:bookmarkStart w:id="29" w:name="_Toc56781432"/>
      <w:bookmarkEnd w:id="29"/>
    </w:p>
    <w:tbl>
      <w:tblPr>
        <w:tblW w:w="7371" w:type="dxa"/>
        <w:tblInd w:w="1134" w:type="dxa"/>
        <w:tblLayout w:type="fixed"/>
        <w:tblCellMar>
          <w:left w:w="0" w:type="dxa"/>
          <w:right w:w="0" w:type="dxa"/>
        </w:tblCellMar>
        <w:tblLook w:val="00A0" w:firstRow="1" w:lastRow="0" w:firstColumn="1" w:lastColumn="0" w:noHBand="0" w:noVBand="0"/>
      </w:tblPr>
      <w:tblGrid>
        <w:gridCol w:w="1700"/>
        <w:gridCol w:w="994"/>
        <w:gridCol w:w="1134"/>
        <w:gridCol w:w="1079"/>
        <w:gridCol w:w="1048"/>
        <w:gridCol w:w="1416"/>
      </w:tblGrid>
      <w:tr w:rsidR="00AE6986" w:rsidRPr="00AE6986" w14:paraId="55761917" w14:textId="77777777" w:rsidTr="00AE6986">
        <w:trPr>
          <w:tblHeader/>
        </w:trPr>
        <w:tc>
          <w:tcPr>
            <w:tcW w:w="1473" w:type="dxa"/>
            <w:tcBorders>
              <w:top w:val="single" w:sz="4" w:space="0" w:color="auto"/>
              <w:bottom w:val="single" w:sz="12" w:space="0" w:color="auto"/>
            </w:tcBorders>
            <w:shd w:val="clear" w:color="auto" w:fill="auto"/>
            <w:vAlign w:val="bottom"/>
          </w:tcPr>
          <w:p w14:paraId="4CE0C9CA" w14:textId="77777777" w:rsidR="00AE6986" w:rsidRPr="00AE6986" w:rsidRDefault="00AE6986" w:rsidP="00AE6986">
            <w:pPr>
              <w:suppressAutoHyphens w:val="0"/>
              <w:spacing w:before="80" w:after="80" w:line="200" w:lineRule="exact"/>
              <w:rPr>
                <w:i/>
                <w:sz w:val="16"/>
                <w:lang w:val="fr-FR"/>
              </w:rPr>
            </w:pPr>
          </w:p>
        </w:tc>
        <w:tc>
          <w:tcPr>
            <w:tcW w:w="861" w:type="dxa"/>
            <w:tcBorders>
              <w:top w:val="single" w:sz="4" w:space="0" w:color="auto"/>
              <w:bottom w:val="single" w:sz="12" w:space="0" w:color="auto"/>
            </w:tcBorders>
            <w:shd w:val="clear" w:color="auto" w:fill="auto"/>
            <w:vAlign w:val="bottom"/>
          </w:tcPr>
          <w:p w14:paraId="66AA39A6" w14:textId="77777777" w:rsidR="00AE6986" w:rsidRPr="00AE6986" w:rsidRDefault="00AE6986" w:rsidP="00AE6986">
            <w:pPr>
              <w:suppressAutoHyphens w:val="0"/>
              <w:spacing w:before="80" w:after="80" w:line="200" w:lineRule="exact"/>
              <w:jc w:val="right"/>
              <w:rPr>
                <w:i/>
                <w:sz w:val="16"/>
                <w:lang w:val="fr-FR"/>
              </w:rPr>
            </w:pPr>
            <w:r w:rsidRPr="00AE6986">
              <w:rPr>
                <w:i/>
                <w:iCs/>
                <w:sz w:val="16"/>
                <w:lang w:val="fr-FR"/>
              </w:rPr>
              <w:t>2014</w:t>
            </w:r>
          </w:p>
        </w:tc>
        <w:tc>
          <w:tcPr>
            <w:tcW w:w="983" w:type="dxa"/>
            <w:tcBorders>
              <w:top w:val="single" w:sz="4" w:space="0" w:color="auto"/>
              <w:bottom w:val="single" w:sz="12" w:space="0" w:color="auto"/>
            </w:tcBorders>
            <w:shd w:val="clear" w:color="auto" w:fill="auto"/>
            <w:vAlign w:val="bottom"/>
          </w:tcPr>
          <w:p w14:paraId="2B728B65" w14:textId="77777777" w:rsidR="00AE6986" w:rsidRPr="00AE6986" w:rsidRDefault="00AE6986" w:rsidP="00AE6986">
            <w:pPr>
              <w:suppressAutoHyphens w:val="0"/>
              <w:spacing w:before="80" w:after="80" w:line="200" w:lineRule="exact"/>
              <w:jc w:val="right"/>
              <w:rPr>
                <w:i/>
                <w:sz w:val="16"/>
                <w:lang w:val="fr-FR"/>
              </w:rPr>
            </w:pPr>
            <w:r w:rsidRPr="00AE6986">
              <w:rPr>
                <w:i/>
                <w:iCs/>
                <w:sz w:val="16"/>
                <w:lang w:val="fr-FR"/>
              </w:rPr>
              <w:t>2015</w:t>
            </w:r>
          </w:p>
        </w:tc>
        <w:tc>
          <w:tcPr>
            <w:tcW w:w="935" w:type="dxa"/>
            <w:tcBorders>
              <w:top w:val="single" w:sz="4" w:space="0" w:color="auto"/>
              <w:bottom w:val="single" w:sz="12" w:space="0" w:color="auto"/>
            </w:tcBorders>
            <w:shd w:val="clear" w:color="auto" w:fill="auto"/>
            <w:vAlign w:val="bottom"/>
          </w:tcPr>
          <w:p w14:paraId="645A5F5B" w14:textId="77777777" w:rsidR="00AE6986" w:rsidRPr="00AE6986" w:rsidRDefault="00AE6986" w:rsidP="00AE6986">
            <w:pPr>
              <w:suppressAutoHyphens w:val="0"/>
              <w:spacing w:before="80" w:after="80" w:line="200" w:lineRule="exact"/>
              <w:jc w:val="right"/>
              <w:rPr>
                <w:i/>
                <w:sz w:val="16"/>
                <w:lang w:val="fr-FR"/>
              </w:rPr>
            </w:pPr>
            <w:r w:rsidRPr="00AE6986">
              <w:rPr>
                <w:i/>
                <w:iCs/>
                <w:sz w:val="16"/>
                <w:lang w:val="fr-FR"/>
              </w:rPr>
              <w:t>2016</w:t>
            </w:r>
          </w:p>
        </w:tc>
        <w:tc>
          <w:tcPr>
            <w:tcW w:w="908" w:type="dxa"/>
            <w:tcBorders>
              <w:top w:val="single" w:sz="4" w:space="0" w:color="auto"/>
              <w:bottom w:val="single" w:sz="12" w:space="0" w:color="auto"/>
            </w:tcBorders>
            <w:shd w:val="clear" w:color="auto" w:fill="auto"/>
            <w:vAlign w:val="bottom"/>
          </w:tcPr>
          <w:p w14:paraId="7A0912B4" w14:textId="77777777" w:rsidR="00AE6986" w:rsidRPr="00AE6986" w:rsidRDefault="00AE6986" w:rsidP="00AE6986">
            <w:pPr>
              <w:suppressAutoHyphens w:val="0"/>
              <w:spacing w:before="80" w:after="80" w:line="200" w:lineRule="exact"/>
              <w:jc w:val="right"/>
              <w:rPr>
                <w:i/>
                <w:sz w:val="16"/>
                <w:lang w:val="fr-FR"/>
              </w:rPr>
            </w:pPr>
            <w:r w:rsidRPr="00AE6986">
              <w:rPr>
                <w:i/>
                <w:iCs/>
                <w:sz w:val="16"/>
                <w:lang w:val="fr-FR"/>
              </w:rPr>
              <w:t>2017</w:t>
            </w:r>
          </w:p>
        </w:tc>
        <w:tc>
          <w:tcPr>
            <w:tcW w:w="1227" w:type="dxa"/>
            <w:tcBorders>
              <w:top w:val="single" w:sz="4" w:space="0" w:color="auto"/>
              <w:bottom w:val="single" w:sz="12" w:space="0" w:color="auto"/>
            </w:tcBorders>
            <w:shd w:val="clear" w:color="auto" w:fill="auto"/>
            <w:vAlign w:val="bottom"/>
          </w:tcPr>
          <w:p w14:paraId="491F6BC4" w14:textId="77777777" w:rsidR="00AE6986" w:rsidRPr="00AE6986" w:rsidRDefault="00AE6986" w:rsidP="00AE6986">
            <w:pPr>
              <w:suppressAutoHyphens w:val="0"/>
              <w:spacing w:before="80" w:after="80" w:line="200" w:lineRule="exact"/>
              <w:jc w:val="right"/>
              <w:rPr>
                <w:i/>
                <w:sz w:val="16"/>
                <w:lang w:val="fr-FR"/>
              </w:rPr>
            </w:pPr>
            <w:r w:rsidRPr="00AE6986">
              <w:rPr>
                <w:i/>
                <w:iCs/>
                <w:sz w:val="16"/>
                <w:lang w:val="fr-FR"/>
              </w:rPr>
              <w:t>Janvier à juin 2018</w:t>
            </w:r>
          </w:p>
        </w:tc>
      </w:tr>
      <w:tr w:rsidR="00AE6986" w:rsidRPr="00AE6986" w14:paraId="3167003C" w14:textId="77777777" w:rsidTr="00AE6986">
        <w:tc>
          <w:tcPr>
            <w:tcW w:w="1473" w:type="dxa"/>
            <w:tcBorders>
              <w:top w:val="single" w:sz="12" w:space="0" w:color="auto"/>
            </w:tcBorders>
            <w:shd w:val="clear" w:color="auto" w:fill="auto"/>
          </w:tcPr>
          <w:p w14:paraId="2EAD6DDC" w14:textId="77777777" w:rsidR="00AE6986" w:rsidRPr="00AE6986" w:rsidRDefault="00AE6986" w:rsidP="00AE6986">
            <w:pPr>
              <w:suppressAutoHyphens w:val="0"/>
              <w:spacing w:before="40" w:after="40" w:line="220" w:lineRule="exact"/>
              <w:rPr>
                <w:sz w:val="18"/>
                <w:szCs w:val="18"/>
                <w:lang w:val="fr-FR"/>
              </w:rPr>
            </w:pPr>
            <w:r w:rsidRPr="00AE6986">
              <w:rPr>
                <w:sz w:val="18"/>
                <w:szCs w:val="18"/>
                <w:lang w:val="fr-FR"/>
              </w:rPr>
              <w:t>Enfants à risque</w:t>
            </w:r>
          </w:p>
        </w:tc>
        <w:tc>
          <w:tcPr>
            <w:tcW w:w="861" w:type="dxa"/>
            <w:tcBorders>
              <w:top w:val="single" w:sz="12" w:space="0" w:color="auto"/>
            </w:tcBorders>
            <w:shd w:val="clear" w:color="auto" w:fill="auto"/>
            <w:vAlign w:val="bottom"/>
          </w:tcPr>
          <w:p w14:paraId="4E5C56FB" w14:textId="77777777" w:rsidR="00AE6986" w:rsidRPr="00AE6986" w:rsidRDefault="00AE6986" w:rsidP="00AE6986">
            <w:pPr>
              <w:suppressAutoHyphens w:val="0"/>
              <w:spacing w:before="40" w:after="40" w:line="220" w:lineRule="exact"/>
              <w:jc w:val="right"/>
              <w:rPr>
                <w:sz w:val="18"/>
                <w:szCs w:val="18"/>
                <w:lang w:val="fr-FR"/>
              </w:rPr>
            </w:pPr>
            <w:r w:rsidRPr="00AE6986">
              <w:rPr>
                <w:sz w:val="18"/>
                <w:szCs w:val="18"/>
                <w:lang w:val="fr-FR"/>
              </w:rPr>
              <w:t>1 212</w:t>
            </w:r>
          </w:p>
        </w:tc>
        <w:tc>
          <w:tcPr>
            <w:tcW w:w="983" w:type="dxa"/>
            <w:tcBorders>
              <w:top w:val="single" w:sz="12" w:space="0" w:color="auto"/>
            </w:tcBorders>
            <w:shd w:val="clear" w:color="auto" w:fill="auto"/>
            <w:vAlign w:val="bottom"/>
          </w:tcPr>
          <w:p w14:paraId="4781AEA7" w14:textId="77777777" w:rsidR="00AE6986" w:rsidRPr="00AE6986" w:rsidRDefault="00AE6986" w:rsidP="00AE6986">
            <w:pPr>
              <w:suppressAutoHyphens w:val="0"/>
              <w:spacing w:before="40" w:after="40" w:line="220" w:lineRule="exact"/>
              <w:jc w:val="right"/>
              <w:rPr>
                <w:sz w:val="18"/>
                <w:szCs w:val="18"/>
                <w:lang w:val="fr-FR"/>
              </w:rPr>
            </w:pPr>
            <w:r w:rsidRPr="00AE6986">
              <w:rPr>
                <w:sz w:val="18"/>
                <w:szCs w:val="18"/>
                <w:lang w:val="fr-FR"/>
              </w:rPr>
              <w:t>1 076</w:t>
            </w:r>
          </w:p>
        </w:tc>
        <w:tc>
          <w:tcPr>
            <w:tcW w:w="935" w:type="dxa"/>
            <w:tcBorders>
              <w:top w:val="single" w:sz="12" w:space="0" w:color="auto"/>
            </w:tcBorders>
            <w:shd w:val="clear" w:color="auto" w:fill="auto"/>
            <w:vAlign w:val="bottom"/>
          </w:tcPr>
          <w:p w14:paraId="551623D8" w14:textId="77777777" w:rsidR="00AE6986" w:rsidRPr="00AE6986" w:rsidRDefault="00AE6986" w:rsidP="00AE6986">
            <w:pPr>
              <w:suppressAutoHyphens w:val="0"/>
              <w:spacing w:before="40" w:after="40" w:line="220" w:lineRule="exact"/>
              <w:jc w:val="right"/>
              <w:rPr>
                <w:sz w:val="18"/>
                <w:szCs w:val="18"/>
                <w:lang w:val="fr-FR"/>
              </w:rPr>
            </w:pPr>
            <w:r w:rsidRPr="00AE6986">
              <w:rPr>
                <w:sz w:val="18"/>
                <w:szCs w:val="18"/>
                <w:lang w:val="fr-FR"/>
              </w:rPr>
              <w:t>810</w:t>
            </w:r>
          </w:p>
        </w:tc>
        <w:tc>
          <w:tcPr>
            <w:tcW w:w="908" w:type="dxa"/>
            <w:tcBorders>
              <w:top w:val="single" w:sz="12" w:space="0" w:color="auto"/>
            </w:tcBorders>
            <w:shd w:val="clear" w:color="auto" w:fill="auto"/>
            <w:vAlign w:val="bottom"/>
          </w:tcPr>
          <w:p w14:paraId="4D69F3E1" w14:textId="77777777" w:rsidR="00AE6986" w:rsidRPr="00AE6986" w:rsidRDefault="00AE6986" w:rsidP="00AE6986">
            <w:pPr>
              <w:suppressAutoHyphens w:val="0"/>
              <w:spacing w:before="40" w:after="40" w:line="220" w:lineRule="exact"/>
              <w:jc w:val="right"/>
              <w:rPr>
                <w:sz w:val="18"/>
                <w:szCs w:val="18"/>
                <w:lang w:val="fr-FR"/>
              </w:rPr>
            </w:pPr>
            <w:r w:rsidRPr="00AE6986">
              <w:rPr>
                <w:sz w:val="18"/>
                <w:szCs w:val="18"/>
                <w:lang w:val="fr-FR"/>
              </w:rPr>
              <w:t>1 014</w:t>
            </w:r>
          </w:p>
        </w:tc>
        <w:tc>
          <w:tcPr>
            <w:tcW w:w="1227" w:type="dxa"/>
            <w:tcBorders>
              <w:top w:val="single" w:sz="12" w:space="0" w:color="auto"/>
            </w:tcBorders>
            <w:shd w:val="clear" w:color="auto" w:fill="auto"/>
            <w:vAlign w:val="bottom"/>
          </w:tcPr>
          <w:p w14:paraId="74BDD37B" w14:textId="77777777" w:rsidR="00AE6986" w:rsidRPr="00AE6986" w:rsidRDefault="00AE6986" w:rsidP="00AE6986">
            <w:pPr>
              <w:suppressAutoHyphens w:val="0"/>
              <w:spacing w:before="40" w:after="40" w:line="220" w:lineRule="exact"/>
              <w:jc w:val="right"/>
              <w:rPr>
                <w:sz w:val="18"/>
                <w:szCs w:val="18"/>
                <w:lang w:val="fr-FR"/>
              </w:rPr>
            </w:pPr>
            <w:r w:rsidRPr="00AE6986">
              <w:rPr>
                <w:sz w:val="18"/>
                <w:szCs w:val="18"/>
                <w:lang w:val="fr-FR"/>
              </w:rPr>
              <w:t>602</w:t>
            </w:r>
          </w:p>
        </w:tc>
      </w:tr>
      <w:tr w:rsidR="00AE6986" w:rsidRPr="00AE6986" w14:paraId="5C5A1D95" w14:textId="77777777" w:rsidTr="00771C9B">
        <w:tc>
          <w:tcPr>
            <w:tcW w:w="1473" w:type="dxa"/>
            <w:tcBorders>
              <w:bottom w:val="single" w:sz="4" w:space="0" w:color="auto"/>
            </w:tcBorders>
            <w:shd w:val="clear" w:color="auto" w:fill="auto"/>
          </w:tcPr>
          <w:p w14:paraId="5780BCA9" w14:textId="77777777" w:rsidR="00AE6986" w:rsidRPr="00AE6986" w:rsidRDefault="00AE6986" w:rsidP="00AE6986">
            <w:pPr>
              <w:suppressAutoHyphens w:val="0"/>
              <w:spacing w:before="40" w:after="40" w:line="220" w:lineRule="exact"/>
              <w:rPr>
                <w:sz w:val="18"/>
                <w:szCs w:val="18"/>
                <w:lang w:val="fr-FR"/>
              </w:rPr>
            </w:pPr>
            <w:r w:rsidRPr="00AE6986">
              <w:rPr>
                <w:sz w:val="18"/>
                <w:szCs w:val="18"/>
                <w:lang w:val="fr-FR"/>
              </w:rPr>
              <w:t>Enfants en conflit avec</w:t>
            </w:r>
            <w:r>
              <w:rPr>
                <w:sz w:val="18"/>
                <w:szCs w:val="18"/>
                <w:lang w:val="fr-FR"/>
              </w:rPr>
              <w:t> </w:t>
            </w:r>
            <w:r w:rsidRPr="00AE6986">
              <w:rPr>
                <w:sz w:val="18"/>
                <w:szCs w:val="18"/>
                <w:lang w:val="fr-FR"/>
              </w:rPr>
              <w:t>la loi</w:t>
            </w:r>
          </w:p>
        </w:tc>
        <w:tc>
          <w:tcPr>
            <w:tcW w:w="861" w:type="dxa"/>
            <w:tcBorders>
              <w:bottom w:val="single" w:sz="4" w:space="0" w:color="auto"/>
            </w:tcBorders>
            <w:shd w:val="clear" w:color="auto" w:fill="auto"/>
            <w:vAlign w:val="bottom"/>
          </w:tcPr>
          <w:p w14:paraId="00D28873" w14:textId="77777777" w:rsidR="00AE6986" w:rsidRPr="00AE6986" w:rsidRDefault="00AE6986" w:rsidP="00AE6986">
            <w:pPr>
              <w:suppressAutoHyphens w:val="0"/>
              <w:spacing w:before="40" w:after="40" w:line="220" w:lineRule="exact"/>
              <w:jc w:val="right"/>
              <w:rPr>
                <w:sz w:val="18"/>
                <w:szCs w:val="18"/>
                <w:lang w:val="fr-FR"/>
              </w:rPr>
            </w:pPr>
            <w:r w:rsidRPr="00AE6986">
              <w:rPr>
                <w:sz w:val="18"/>
                <w:szCs w:val="18"/>
                <w:lang w:val="fr-FR"/>
              </w:rPr>
              <w:t>9</w:t>
            </w:r>
            <w:r w:rsidR="00497FA6">
              <w:rPr>
                <w:sz w:val="18"/>
                <w:szCs w:val="18"/>
                <w:lang w:val="fr-FR"/>
              </w:rPr>
              <w:t> </w:t>
            </w:r>
            <w:r w:rsidRPr="00AE6986">
              <w:rPr>
                <w:sz w:val="18"/>
                <w:szCs w:val="18"/>
                <w:lang w:val="fr-FR"/>
              </w:rPr>
              <w:t>507</w:t>
            </w:r>
          </w:p>
        </w:tc>
        <w:tc>
          <w:tcPr>
            <w:tcW w:w="983" w:type="dxa"/>
            <w:tcBorders>
              <w:bottom w:val="single" w:sz="4" w:space="0" w:color="auto"/>
            </w:tcBorders>
            <w:shd w:val="clear" w:color="auto" w:fill="auto"/>
            <w:vAlign w:val="bottom"/>
          </w:tcPr>
          <w:p w14:paraId="27C94A38" w14:textId="77777777" w:rsidR="00AE6986" w:rsidRPr="00AE6986" w:rsidRDefault="00AE6986" w:rsidP="00AE6986">
            <w:pPr>
              <w:suppressAutoHyphens w:val="0"/>
              <w:spacing w:before="40" w:after="40" w:line="220" w:lineRule="exact"/>
              <w:jc w:val="right"/>
              <w:rPr>
                <w:sz w:val="18"/>
                <w:szCs w:val="18"/>
                <w:lang w:val="fr-FR"/>
              </w:rPr>
            </w:pPr>
            <w:r w:rsidRPr="00AE6986">
              <w:rPr>
                <w:sz w:val="18"/>
                <w:szCs w:val="18"/>
                <w:lang w:val="fr-FR"/>
              </w:rPr>
              <w:t>7</w:t>
            </w:r>
            <w:r w:rsidR="00497FA6">
              <w:rPr>
                <w:sz w:val="18"/>
                <w:szCs w:val="18"/>
                <w:lang w:val="fr-FR"/>
              </w:rPr>
              <w:t> </w:t>
            </w:r>
            <w:r w:rsidRPr="00AE6986">
              <w:rPr>
                <w:sz w:val="18"/>
                <w:szCs w:val="18"/>
                <w:lang w:val="fr-FR"/>
              </w:rPr>
              <w:t>719</w:t>
            </w:r>
          </w:p>
        </w:tc>
        <w:tc>
          <w:tcPr>
            <w:tcW w:w="935" w:type="dxa"/>
            <w:tcBorders>
              <w:bottom w:val="single" w:sz="4" w:space="0" w:color="auto"/>
            </w:tcBorders>
            <w:shd w:val="clear" w:color="auto" w:fill="auto"/>
            <w:vAlign w:val="bottom"/>
          </w:tcPr>
          <w:p w14:paraId="703100C9" w14:textId="77777777" w:rsidR="00AE6986" w:rsidRPr="00AE6986" w:rsidRDefault="00AE6986" w:rsidP="00AE6986">
            <w:pPr>
              <w:suppressAutoHyphens w:val="0"/>
              <w:spacing w:before="40" w:after="40" w:line="220" w:lineRule="exact"/>
              <w:jc w:val="right"/>
              <w:rPr>
                <w:sz w:val="18"/>
                <w:szCs w:val="18"/>
                <w:lang w:val="fr-FR"/>
              </w:rPr>
            </w:pPr>
            <w:r w:rsidRPr="00AE6986">
              <w:rPr>
                <w:sz w:val="18"/>
                <w:szCs w:val="18"/>
                <w:lang w:val="fr-FR"/>
              </w:rPr>
              <w:t>7 190</w:t>
            </w:r>
          </w:p>
        </w:tc>
        <w:tc>
          <w:tcPr>
            <w:tcW w:w="908" w:type="dxa"/>
            <w:tcBorders>
              <w:bottom w:val="single" w:sz="4" w:space="0" w:color="auto"/>
            </w:tcBorders>
            <w:shd w:val="clear" w:color="auto" w:fill="auto"/>
            <w:vAlign w:val="bottom"/>
          </w:tcPr>
          <w:p w14:paraId="22F81E70" w14:textId="77777777" w:rsidR="00AE6986" w:rsidRPr="00AE6986" w:rsidRDefault="00AE6986" w:rsidP="00AE6986">
            <w:pPr>
              <w:suppressAutoHyphens w:val="0"/>
              <w:spacing w:before="40" w:after="40" w:line="220" w:lineRule="exact"/>
              <w:jc w:val="right"/>
              <w:rPr>
                <w:sz w:val="18"/>
                <w:szCs w:val="18"/>
                <w:lang w:val="fr-FR"/>
              </w:rPr>
            </w:pPr>
            <w:r w:rsidRPr="00AE6986">
              <w:rPr>
                <w:sz w:val="18"/>
                <w:szCs w:val="18"/>
                <w:lang w:val="fr-FR"/>
              </w:rPr>
              <w:t>6</w:t>
            </w:r>
            <w:r w:rsidR="00497FA6">
              <w:rPr>
                <w:sz w:val="18"/>
                <w:szCs w:val="18"/>
                <w:lang w:val="fr-FR"/>
              </w:rPr>
              <w:t> </w:t>
            </w:r>
            <w:r w:rsidRPr="00AE6986">
              <w:rPr>
                <w:sz w:val="18"/>
                <w:szCs w:val="18"/>
                <w:lang w:val="fr-FR"/>
              </w:rPr>
              <w:t>857</w:t>
            </w:r>
          </w:p>
        </w:tc>
        <w:tc>
          <w:tcPr>
            <w:tcW w:w="1227" w:type="dxa"/>
            <w:tcBorders>
              <w:bottom w:val="single" w:sz="4" w:space="0" w:color="auto"/>
            </w:tcBorders>
            <w:shd w:val="clear" w:color="auto" w:fill="auto"/>
            <w:vAlign w:val="bottom"/>
          </w:tcPr>
          <w:p w14:paraId="23B470DA" w14:textId="77777777" w:rsidR="00AE6986" w:rsidRPr="00AE6986" w:rsidRDefault="00AE6986" w:rsidP="00AE6986">
            <w:pPr>
              <w:suppressAutoHyphens w:val="0"/>
              <w:spacing w:before="40" w:after="40" w:line="220" w:lineRule="exact"/>
              <w:jc w:val="right"/>
              <w:rPr>
                <w:sz w:val="18"/>
                <w:szCs w:val="18"/>
                <w:lang w:val="fr-FR"/>
              </w:rPr>
            </w:pPr>
            <w:r w:rsidRPr="00AE6986">
              <w:rPr>
                <w:sz w:val="18"/>
                <w:szCs w:val="18"/>
                <w:lang w:val="fr-FR"/>
              </w:rPr>
              <w:t>3 174</w:t>
            </w:r>
          </w:p>
        </w:tc>
      </w:tr>
      <w:tr w:rsidR="00AE6986" w:rsidRPr="00497FA6" w14:paraId="7309E136" w14:textId="77777777" w:rsidTr="00771C9B">
        <w:tc>
          <w:tcPr>
            <w:tcW w:w="1473" w:type="dxa"/>
            <w:tcBorders>
              <w:top w:val="single" w:sz="4" w:space="0" w:color="auto"/>
              <w:bottom w:val="single" w:sz="12" w:space="0" w:color="auto"/>
            </w:tcBorders>
            <w:shd w:val="clear" w:color="auto" w:fill="auto"/>
          </w:tcPr>
          <w:p w14:paraId="082DB46D" w14:textId="77777777" w:rsidR="00AE6986" w:rsidRPr="00497FA6" w:rsidRDefault="00AE6986" w:rsidP="00497FA6">
            <w:pPr>
              <w:suppressAutoHyphens w:val="0"/>
              <w:spacing w:before="80" w:after="80" w:line="220" w:lineRule="exact"/>
              <w:ind w:left="284"/>
              <w:rPr>
                <w:b/>
                <w:sz w:val="18"/>
                <w:szCs w:val="18"/>
                <w:lang w:val="fr-FR"/>
              </w:rPr>
            </w:pPr>
            <w:r w:rsidRPr="00497FA6">
              <w:rPr>
                <w:b/>
                <w:sz w:val="18"/>
                <w:szCs w:val="18"/>
                <w:lang w:val="fr-FR"/>
              </w:rPr>
              <w:t>Total</w:t>
            </w:r>
          </w:p>
        </w:tc>
        <w:tc>
          <w:tcPr>
            <w:tcW w:w="861" w:type="dxa"/>
            <w:tcBorders>
              <w:top w:val="single" w:sz="4" w:space="0" w:color="auto"/>
              <w:bottom w:val="single" w:sz="12" w:space="0" w:color="auto"/>
            </w:tcBorders>
            <w:shd w:val="clear" w:color="auto" w:fill="auto"/>
            <w:vAlign w:val="bottom"/>
          </w:tcPr>
          <w:p w14:paraId="5C6F5E29" w14:textId="77777777" w:rsidR="00AE6986" w:rsidRPr="00497FA6" w:rsidRDefault="00AE6986" w:rsidP="00497FA6">
            <w:pPr>
              <w:suppressAutoHyphens w:val="0"/>
              <w:spacing w:before="80" w:after="80" w:line="220" w:lineRule="exact"/>
              <w:jc w:val="right"/>
              <w:rPr>
                <w:b/>
                <w:sz w:val="18"/>
                <w:szCs w:val="18"/>
                <w:lang w:val="fr-FR"/>
              </w:rPr>
            </w:pPr>
            <w:r w:rsidRPr="00497FA6">
              <w:rPr>
                <w:b/>
                <w:sz w:val="18"/>
                <w:szCs w:val="18"/>
                <w:lang w:val="fr-FR"/>
              </w:rPr>
              <w:t>10 719</w:t>
            </w:r>
          </w:p>
        </w:tc>
        <w:tc>
          <w:tcPr>
            <w:tcW w:w="983" w:type="dxa"/>
            <w:tcBorders>
              <w:top w:val="single" w:sz="4" w:space="0" w:color="auto"/>
              <w:bottom w:val="single" w:sz="12" w:space="0" w:color="auto"/>
            </w:tcBorders>
            <w:shd w:val="clear" w:color="auto" w:fill="auto"/>
            <w:vAlign w:val="bottom"/>
          </w:tcPr>
          <w:p w14:paraId="377C3D50" w14:textId="77777777" w:rsidR="00AE6986" w:rsidRPr="00497FA6" w:rsidRDefault="00AE6986" w:rsidP="00497FA6">
            <w:pPr>
              <w:suppressAutoHyphens w:val="0"/>
              <w:spacing w:before="80" w:after="80" w:line="220" w:lineRule="exact"/>
              <w:jc w:val="right"/>
              <w:rPr>
                <w:b/>
                <w:sz w:val="18"/>
                <w:szCs w:val="18"/>
                <w:lang w:val="fr-FR"/>
              </w:rPr>
            </w:pPr>
            <w:r w:rsidRPr="00497FA6">
              <w:rPr>
                <w:b/>
                <w:sz w:val="18"/>
                <w:szCs w:val="18"/>
                <w:lang w:val="fr-FR"/>
              </w:rPr>
              <w:t>8 795</w:t>
            </w:r>
          </w:p>
        </w:tc>
        <w:tc>
          <w:tcPr>
            <w:tcW w:w="935" w:type="dxa"/>
            <w:tcBorders>
              <w:top w:val="single" w:sz="4" w:space="0" w:color="auto"/>
              <w:bottom w:val="single" w:sz="12" w:space="0" w:color="auto"/>
            </w:tcBorders>
            <w:shd w:val="clear" w:color="auto" w:fill="auto"/>
            <w:vAlign w:val="bottom"/>
          </w:tcPr>
          <w:p w14:paraId="3448E78D" w14:textId="77777777" w:rsidR="00AE6986" w:rsidRPr="00497FA6" w:rsidRDefault="00AE6986" w:rsidP="00497FA6">
            <w:pPr>
              <w:suppressAutoHyphens w:val="0"/>
              <w:spacing w:before="80" w:after="80" w:line="220" w:lineRule="exact"/>
              <w:jc w:val="right"/>
              <w:rPr>
                <w:b/>
                <w:sz w:val="18"/>
                <w:szCs w:val="18"/>
                <w:lang w:val="fr-FR"/>
              </w:rPr>
            </w:pPr>
            <w:r w:rsidRPr="00497FA6">
              <w:rPr>
                <w:b/>
                <w:sz w:val="18"/>
                <w:szCs w:val="18"/>
                <w:lang w:val="fr-FR"/>
              </w:rPr>
              <w:t>8 000</w:t>
            </w:r>
          </w:p>
        </w:tc>
        <w:tc>
          <w:tcPr>
            <w:tcW w:w="908" w:type="dxa"/>
            <w:tcBorders>
              <w:top w:val="single" w:sz="4" w:space="0" w:color="auto"/>
              <w:bottom w:val="single" w:sz="12" w:space="0" w:color="auto"/>
            </w:tcBorders>
            <w:shd w:val="clear" w:color="auto" w:fill="auto"/>
            <w:vAlign w:val="bottom"/>
          </w:tcPr>
          <w:p w14:paraId="6BE7DC9E" w14:textId="77777777" w:rsidR="00AE6986" w:rsidRPr="00497FA6" w:rsidRDefault="00AE6986" w:rsidP="00497FA6">
            <w:pPr>
              <w:suppressAutoHyphens w:val="0"/>
              <w:spacing w:before="80" w:after="80" w:line="220" w:lineRule="exact"/>
              <w:jc w:val="right"/>
              <w:rPr>
                <w:b/>
                <w:sz w:val="18"/>
                <w:szCs w:val="18"/>
                <w:lang w:val="fr-FR"/>
              </w:rPr>
            </w:pPr>
            <w:r w:rsidRPr="00497FA6">
              <w:rPr>
                <w:b/>
                <w:sz w:val="18"/>
                <w:szCs w:val="18"/>
                <w:lang w:val="fr-FR"/>
              </w:rPr>
              <w:t>7 871</w:t>
            </w:r>
          </w:p>
        </w:tc>
        <w:tc>
          <w:tcPr>
            <w:tcW w:w="1227" w:type="dxa"/>
            <w:tcBorders>
              <w:top w:val="single" w:sz="4" w:space="0" w:color="auto"/>
              <w:bottom w:val="single" w:sz="12" w:space="0" w:color="auto"/>
            </w:tcBorders>
            <w:shd w:val="clear" w:color="auto" w:fill="auto"/>
            <w:vAlign w:val="bottom"/>
          </w:tcPr>
          <w:p w14:paraId="390795C8" w14:textId="77777777" w:rsidR="00AE6986" w:rsidRPr="00497FA6" w:rsidRDefault="00AE6986" w:rsidP="00497FA6">
            <w:pPr>
              <w:suppressAutoHyphens w:val="0"/>
              <w:spacing w:before="80" w:after="80" w:line="220" w:lineRule="exact"/>
              <w:jc w:val="right"/>
              <w:rPr>
                <w:b/>
                <w:sz w:val="18"/>
                <w:szCs w:val="18"/>
                <w:lang w:val="fr-FR"/>
              </w:rPr>
            </w:pPr>
            <w:r w:rsidRPr="00497FA6">
              <w:rPr>
                <w:b/>
                <w:sz w:val="18"/>
                <w:szCs w:val="18"/>
                <w:lang w:val="fr-FR"/>
              </w:rPr>
              <w:t>3 776</w:t>
            </w:r>
          </w:p>
        </w:tc>
      </w:tr>
    </w:tbl>
    <w:p w14:paraId="5D11C05D" w14:textId="77777777" w:rsidR="003C48D6" w:rsidRPr="001C1645" w:rsidRDefault="003C48D6" w:rsidP="00FA3418">
      <w:pPr>
        <w:pStyle w:val="H23G"/>
        <w:rPr>
          <w:rStyle w:val="Appelnotedebasdep"/>
          <w:b w:val="0"/>
          <w:lang w:val="fr-FR"/>
        </w:rPr>
      </w:pPr>
      <w:r w:rsidRPr="00FA3418">
        <w:rPr>
          <w:lang w:val="fr-FR"/>
        </w:rPr>
        <w:tab/>
      </w:r>
      <w:r w:rsidRPr="00FA3418">
        <w:rPr>
          <w:lang w:val="fr-FR"/>
        </w:rPr>
        <w:tab/>
      </w:r>
      <w:r w:rsidRPr="00FA3418">
        <w:rPr>
          <w:bCs/>
          <w:lang w:val="fr-FR"/>
        </w:rPr>
        <w:t>Nombre d</w:t>
      </w:r>
      <w:r w:rsidR="00254912">
        <w:rPr>
          <w:bCs/>
          <w:lang w:val="fr-FR"/>
        </w:rPr>
        <w:t>’</w:t>
      </w:r>
      <w:r w:rsidRPr="00FA3418">
        <w:rPr>
          <w:bCs/>
          <w:lang w:val="fr-FR"/>
        </w:rPr>
        <w:t xml:space="preserve">enfants séparés de leurs parents à la suite de décisions de justice </w:t>
      </w:r>
      <w:r w:rsidR="00FA3418">
        <w:rPr>
          <w:bCs/>
          <w:lang w:val="fr-FR"/>
        </w:rPr>
        <w:br/>
      </w:r>
      <w:r w:rsidRPr="00FA3418">
        <w:rPr>
          <w:bCs/>
          <w:lang w:val="fr-FR"/>
        </w:rPr>
        <w:t>(en relation, entre autres, avec des situations de maltraitance ou de négligence parentale, de détention, d</w:t>
      </w:r>
      <w:r w:rsidR="00254912">
        <w:rPr>
          <w:bCs/>
          <w:lang w:val="fr-FR"/>
        </w:rPr>
        <w:t>’</w:t>
      </w:r>
      <w:r w:rsidRPr="00FA3418">
        <w:rPr>
          <w:bCs/>
          <w:lang w:val="fr-FR"/>
        </w:rPr>
        <w:t>emprisonnement, de migration de main-d</w:t>
      </w:r>
      <w:r w:rsidR="00254912">
        <w:rPr>
          <w:bCs/>
          <w:lang w:val="fr-FR"/>
        </w:rPr>
        <w:t>’</w:t>
      </w:r>
      <w:r w:rsidRPr="00FA3418">
        <w:rPr>
          <w:bCs/>
          <w:lang w:val="fr-FR"/>
        </w:rPr>
        <w:t xml:space="preserve">œuvre, </w:t>
      </w:r>
      <w:r w:rsidR="00FA3418">
        <w:rPr>
          <w:bCs/>
          <w:lang w:val="fr-FR"/>
        </w:rPr>
        <w:br/>
      </w:r>
      <w:r w:rsidRPr="00FA3418">
        <w:rPr>
          <w:bCs/>
          <w:lang w:val="fr-FR"/>
        </w:rPr>
        <w:t>d</w:t>
      </w:r>
      <w:r w:rsidR="00254912">
        <w:rPr>
          <w:bCs/>
          <w:lang w:val="fr-FR"/>
        </w:rPr>
        <w:t>’</w:t>
      </w:r>
      <w:r w:rsidRPr="00FA3418">
        <w:rPr>
          <w:bCs/>
          <w:lang w:val="fr-FR"/>
        </w:rPr>
        <w:t>exil ou d</w:t>
      </w:r>
      <w:r w:rsidR="00254912">
        <w:rPr>
          <w:bCs/>
          <w:lang w:val="fr-FR"/>
        </w:rPr>
        <w:t>’</w:t>
      </w:r>
      <w:r w:rsidRPr="00FA3418">
        <w:rPr>
          <w:bCs/>
          <w:lang w:val="fr-FR"/>
        </w:rPr>
        <w:t>expulsion)</w:t>
      </w:r>
      <w:r w:rsidRPr="00FA3418">
        <w:rPr>
          <w:rStyle w:val="Appelnotedebasdep"/>
          <w:b w:val="0"/>
          <w:bCs/>
        </w:rPr>
        <w:footnoteReference w:id="24"/>
      </w:r>
      <w:bookmarkStart w:id="30" w:name="_Toc56781433"/>
      <w:bookmarkEnd w:id="30"/>
    </w:p>
    <w:tbl>
      <w:tblPr>
        <w:tblW w:w="7370" w:type="dxa"/>
        <w:tblInd w:w="1134" w:type="dxa"/>
        <w:tblLayout w:type="fixed"/>
        <w:tblCellMar>
          <w:left w:w="0" w:type="dxa"/>
          <w:right w:w="0" w:type="dxa"/>
        </w:tblCellMar>
        <w:tblLook w:val="01E0" w:firstRow="1" w:lastRow="1" w:firstColumn="1" w:lastColumn="1" w:noHBand="0" w:noVBand="0"/>
      </w:tblPr>
      <w:tblGrid>
        <w:gridCol w:w="1722"/>
        <w:gridCol w:w="1102"/>
        <w:gridCol w:w="1102"/>
        <w:gridCol w:w="1027"/>
        <w:gridCol w:w="1040"/>
        <w:gridCol w:w="1377"/>
      </w:tblGrid>
      <w:tr w:rsidR="003C48D6" w:rsidRPr="00FA3418" w14:paraId="728868E0" w14:textId="77777777" w:rsidTr="00FA3418">
        <w:trPr>
          <w:tblHeader/>
        </w:trPr>
        <w:tc>
          <w:tcPr>
            <w:tcW w:w="1722" w:type="dxa"/>
            <w:tcBorders>
              <w:top w:val="single" w:sz="4" w:space="0" w:color="auto"/>
              <w:bottom w:val="single" w:sz="12" w:space="0" w:color="auto"/>
            </w:tcBorders>
            <w:shd w:val="clear" w:color="auto" w:fill="auto"/>
            <w:vAlign w:val="bottom"/>
          </w:tcPr>
          <w:p w14:paraId="0D0D916C" w14:textId="77777777" w:rsidR="003C48D6" w:rsidRPr="00FA3418" w:rsidRDefault="003C48D6" w:rsidP="00FA3418">
            <w:pPr>
              <w:suppressAutoHyphens w:val="0"/>
              <w:spacing w:before="80" w:after="80" w:line="200" w:lineRule="exact"/>
              <w:rPr>
                <w:i/>
                <w:sz w:val="16"/>
                <w:lang w:val="fr-FR"/>
              </w:rPr>
            </w:pPr>
          </w:p>
        </w:tc>
        <w:tc>
          <w:tcPr>
            <w:tcW w:w="1102" w:type="dxa"/>
            <w:tcBorders>
              <w:top w:val="single" w:sz="4" w:space="0" w:color="auto"/>
              <w:bottom w:val="single" w:sz="12" w:space="0" w:color="auto"/>
            </w:tcBorders>
            <w:shd w:val="clear" w:color="auto" w:fill="auto"/>
            <w:vAlign w:val="bottom"/>
          </w:tcPr>
          <w:p w14:paraId="5C908358" w14:textId="77777777" w:rsidR="003C48D6" w:rsidRPr="00FA3418" w:rsidRDefault="003C48D6" w:rsidP="00FA3418">
            <w:pPr>
              <w:suppressAutoHyphens w:val="0"/>
              <w:spacing w:before="80" w:after="80" w:line="200" w:lineRule="exact"/>
              <w:jc w:val="right"/>
              <w:rPr>
                <w:i/>
                <w:sz w:val="16"/>
                <w:lang w:val="fr-FR"/>
              </w:rPr>
            </w:pPr>
            <w:r w:rsidRPr="00FA3418">
              <w:rPr>
                <w:i/>
                <w:iCs/>
                <w:sz w:val="16"/>
                <w:lang w:val="fr-FR"/>
              </w:rPr>
              <w:t>2014</w:t>
            </w:r>
          </w:p>
        </w:tc>
        <w:tc>
          <w:tcPr>
            <w:tcW w:w="1102" w:type="dxa"/>
            <w:tcBorders>
              <w:top w:val="single" w:sz="4" w:space="0" w:color="auto"/>
              <w:bottom w:val="single" w:sz="12" w:space="0" w:color="auto"/>
            </w:tcBorders>
            <w:shd w:val="clear" w:color="auto" w:fill="auto"/>
            <w:vAlign w:val="bottom"/>
          </w:tcPr>
          <w:p w14:paraId="2F0BC021" w14:textId="77777777" w:rsidR="003C48D6" w:rsidRPr="00FA3418" w:rsidRDefault="003C48D6" w:rsidP="00FA3418">
            <w:pPr>
              <w:suppressAutoHyphens w:val="0"/>
              <w:spacing w:before="80" w:after="80" w:line="200" w:lineRule="exact"/>
              <w:jc w:val="right"/>
              <w:rPr>
                <w:i/>
                <w:sz w:val="16"/>
                <w:lang w:val="fr-FR"/>
              </w:rPr>
            </w:pPr>
            <w:r w:rsidRPr="00FA3418">
              <w:rPr>
                <w:i/>
                <w:iCs/>
                <w:sz w:val="16"/>
                <w:lang w:val="fr-FR"/>
              </w:rPr>
              <w:t>2015</w:t>
            </w:r>
          </w:p>
        </w:tc>
        <w:tc>
          <w:tcPr>
            <w:tcW w:w="1027" w:type="dxa"/>
            <w:tcBorders>
              <w:top w:val="single" w:sz="4" w:space="0" w:color="auto"/>
              <w:bottom w:val="single" w:sz="12" w:space="0" w:color="auto"/>
            </w:tcBorders>
            <w:shd w:val="clear" w:color="auto" w:fill="auto"/>
            <w:vAlign w:val="bottom"/>
          </w:tcPr>
          <w:p w14:paraId="70D680CF" w14:textId="77777777" w:rsidR="003C48D6" w:rsidRPr="00FA3418" w:rsidRDefault="003C48D6" w:rsidP="00FA3418">
            <w:pPr>
              <w:suppressAutoHyphens w:val="0"/>
              <w:spacing w:before="80" w:after="80" w:line="200" w:lineRule="exact"/>
              <w:jc w:val="right"/>
              <w:rPr>
                <w:i/>
                <w:sz w:val="16"/>
                <w:lang w:val="fr-FR"/>
              </w:rPr>
            </w:pPr>
            <w:r w:rsidRPr="00FA3418">
              <w:rPr>
                <w:i/>
                <w:iCs/>
                <w:sz w:val="16"/>
                <w:lang w:val="fr-FR"/>
              </w:rPr>
              <w:t>2016</w:t>
            </w:r>
          </w:p>
        </w:tc>
        <w:tc>
          <w:tcPr>
            <w:tcW w:w="1040" w:type="dxa"/>
            <w:tcBorders>
              <w:top w:val="single" w:sz="4" w:space="0" w:color="auto"/>
              <w:bottom w:val="single" w:sz="12" w:space="0" w:color="auto"/>
            </w:tcBorders>
            <w:shd w:val="clear" w:color="auto" w:fill="auto"/>
            <w:vAlign w:val="bottom"/>
          </w:tcPr>
          <w:p w14:paraId="701888B2" w14:textId="77777777" w:rsidR="003C48D6" w:rsidRPr="00FA3418" w:rsidRDefault="003C48D6" w:rsidP="00FA3418">
            <w:pPr>
              <w:suppressAutoHyphens w:val="0"/>
              <w:spacing w:before="80" w:after="80" w:line="200" w:lineRule="exact"/>
              <w:jc w:val="right"/>
              <w:rPr>
                <w:i/>
                <w:sz w:val="16"/>
                <w:lang w:val="fr-FR"/>
              </w:rPr>
            </w:pPr>
            <w:r w:rsidRPr="00FA3418">
              <w:rPr>
                <w:i/>
                <w:iCs/>
                <w:sz w:val="16"/>
                <w:lang w:val="fr-FR"/>
              </w:rPr>
              <w:t>2017</w:t>
            </w:r>
          </w:p>
        </w:tc>
        <w:tc>
          <w:tcPr>
            <w:tcW w:w="1377" w:type="dxa"/>
            <w:tcBorders>
              <w:top w:val="single" w:sz="4" w:space="0" w:color="auto"/>
              <w:bottom w:val="single" w:sz="12" w:space="0" w:color="auto"/>
            </w:tcBorders>
            <w:shd w:val="clear" w:color="auto" w:fill="auto"/>
            <w:vAlign w:val="bottom"/>
          </w:tcPr>
          <w:p w14:paraId="78410C79" w14:textId="77777777" w:rsidR="003C48D6" w:rsidRPr="00FA3418" w:rsidRDefault="003C48D6" w:rsidP="00FA3418">
            <w:pPr>
              <w:suppressAutoHyphens w:val="0"/>
              <w:spacing w:before="80" w:after="80" w:line="200" w:lineRule="exact"/>
              <w:jc w:val="right"/>
              <w:rPr>
                <w:i/>
                <w:sz w:val="16"/>
                <w:lang w:val="fr-FR"/>
              </w:rPr>
            </w:pPr>
            <w:r w:rsidRPr="00FA3418">
              <w:rPr>
                <w:i/>
                <w:iCs/>
                <w:sz w:val="16"/>
                <w:lang w:val="fr-FR"/>
              </w:rPr>
              <w:t>Janvier à juin 2018</w:t>
            </w:r>
          </w:p>
        </w:tc>
      </w:tr>
      <w:tr w:rsidR="003C48D6" w:rsidRPr="00FA3418" w14:paraId="0849320B" w14:textId="77777777" w:rsidTr="00FA3418">
        <w:tc>
          <w:tcPr>
            <w:tcW w:w="1722" w:type="dxa"/>
            <w:tcBorders>
              <w:top w:val="single" w:sz="12" w:space="0" w:color="auto"/>
            </w:tcBorders>
            <w:shd w:val="clear" w:color="auto" w:fill="auto"/>
          </w:tcPr>
          <w:p w14:paraId="762C615E" w14:textId="77777777" w:rsidR="003C48D6" w:rsidRPr="00FA3418" w:rsidRDefault="003C48D6" w:rsidP="00FA3418">
            <w:pPr>
              <w:suppressAutoHyphens w:val="0"/>
              <w:spacing w:before="40" w:after="40" w:line="220" w:lineRule="exact"/>
              <w:rPr>
                <w:sz w:val="18"/>
                <w:szCs w:val="18"/>
                <w:lang w:val="fr-FR"/>
              </w:rPr>
            </w:pPr>
            <w:r w:rsidRPr="00FA3418">
              <w:rPr>
                <w:sz w:val="18"/>
                <w:szCs w:val="18"/>
                <w:lang w:val="fr-FR"/>
              </w:rPr>
              <w:t>Procédure de révocation de l</w:t>
            </w:r>
            <w:r w:rsidR="00254912">
              <w:rPr>
                <w:sz w:val="18"/>
                <w:szCs w:val="18"/>
                <w:lang w:val="fr-FR"/>
              </w:rPr>
              <w:t>’</w:t>
            </w:r>
            <w:r w:rsidRPr="00FA3418">
              <w:rPr>
                <w:sz w:val="18"/>
                <w:szCs w:val="18"/>
                <w:lang w:val="fr-FR"/>
              </w:rPr>
              <w:t>autorité parentale</w:t>
            </w:r>
          </w:p>
        </w:tc>
        <w:tc>
          <w:tcPr>
            <w:tcW w:w="1102" w:type="dxa"/>
            <w:tcBorders>
              <w:top w:val="single" w:sz="12" w:space="0" w:color="auto"/>
            </w:tcBorders>
            <w:shd w:val="clear" w:color="auto" w:fill="auto"/>
            <w:vAlign w:val="bottom"/>
          </w:tcPr>
          <w:p w14:paraId="1FA04711"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0</w:t>
            </w:r>
          </w:p>
        </w:tc>
        <w:tc>
          <w:tcPr>
            <w:tcW w:w="1102" w:type="dxa"/>
            <w:tcBorders>
              <w:top w:val="single" w:sz="12" w:space="0" w:color="auto"/>
            </w:tcBorders>
            <w:shd w:val="clear" w:color="auto" w:fill="auto"/>
            <w:vAlign w:val="bottom"/>
          </w:tcPr>
          <w:p w14:paraId="62D30AA6"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10</w:t>
            </w:r>
          </w:p>
        </w:tc>
        <w:tc>
          <w:tcPr>
            <w:tcW w:w="1027" w:type="dxa"/>
            <w:tcBorders>
              <w:top w:val="single" w:sz="12" w:space="0" w:color="auto"/>
            </w:tcBorders>
            <w:shd w:val="clear" w:color="auto" w:fill="auto"/>
            <w:vAlign w:val="bottom"/>
          </w:tcPr>
          <w:p w14:paraId="554C7A57"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4</w:t>
            </w:r>
          </w:p>
        </w:tc>
        <w:tc>
          <w:tcPr>
            <w:tcW w:w="1040" w:type="dxa"/>
            <w:tcBorders>
              <w:top w:val="single" w:sz="12" w:space="0" w:color="auto"/>
            </w:tcBorders>
            <w:shd w:val="clear" w:color="auto" w:fill="auto"/>
            <w:vAlign w:val="bottom"/>
          </w:tcPr>
          <w:p w14:paraId="71FE34FE"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1</w:t>
            </w:r>
          </w:p>
        </w:tc>
        <w:tc>
          <w:tcPr>
            <w:tcW w:w="1377" w:type="dxa"/>
            <w:tcBorders>
              <w:top w:val="single" w:sz="12" w:space="0" w:color="auto"/>
            </w:tcBorders>
            <w:shd w:val="clear" w:color="auto" w:fill="auto"/>
            <w:vAlign w:val="bottom"/>
          </w:tcPr>
          <w:p w14:paraId="4043E8DD"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0</w:t>
            </w:r>
          </w:p>
        </w:tc>
      </w:tr>
      <w:tr w:rsidR="003C48D6" w:rsidRPr="00FA3418" w14:paraId="39DA29DB" w14:textId="77777777" w:rsidTr="00FA3418">
        <w:tc>
          <w:tcPr>
            <w:tcW w:w="1722" w:type="dxa"/>
            <w:tcBorders>
              <w:bottom w:val="single" w:sz="12" w:space="0" w:color="auto"/>
            </w:tcBorders>
            <w:shd w:val="clear" w:color="auto" w:fill="auto"/>
          </w:tcPr>
          <w:p w14:paraId="7B11759B" w14:textId="77777777" w:rsidR="003C48D6" w:rsidRPr="00FA3418" w:rsidRDefault="003C48D6" w:rsidP="00FA3418">
            <w:pPr>
              <w:suppressAutoHyphens w:val="0"/>
              <w:spacing w:before="40" w:after="40" w:line="220" w:lineRule="exact"/>
              <w:rPr>
                <w:sz w:val="18"/>
                <w:szCs w:val="18"/>
                <w:lang w:val="fr-FR"/>
              </w:rPr>
            </w:pPr>
            <w:r w:rsidRPr="00FA3418">
              <w:rPr>
                <w:sz w:val="18"/>
                <w:szCs w:val="18"/>
                <w:lang w:val="fr-FR"/>
              </w:rPr>
              <w:t>Procédure de restauration de l</w:t>
            </w:r>
            <w:r w:rsidR="00254912">
              <w:rPr>
                <w:sz w:val="18"/>
                <w:szCs w:val="18"/>
                <w:lang w:val="fr-FR"/>
              </w:rPr>
              <w:t>’</w:t>
            </w:r>
            <w:r w:rsidRPr="00FA3418">
              <w:rPr>
                <w:sz w:val="18"/>
                <w:szCs w:val="18"/>
                <w:lang w:val="fr-FR"/>
              </w:rPr>
              <w:t>autorité parentale</w:t>
            </w:r>
          </w:p>
        </w:tc>
        <w:tc>
          <w:tcPr>
            <w:tcW w:w="1102" w:type="dxa"/>
            <w:tcBorders>
              <w:bottom w:val="single" w:sz="12" w:space="0" w:color="auto"/>
            </w:tcBorders>
            <w:shd w:val="clear" w:color="auto" w:fill="auto"/>
            <w:vAlign w:val="bottom"/>
          </w:tcPr>
          <w:p w14:paraId="67D9C28D"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0</w:t>
            </w:r>
          </w:p>
        </w:tc>
        <w:tc>
          <w:tcPr>
            <w:tcW w:w="1102" w:type="dxa"/>
            <w:tcBorders>
              <w:bottom w:val="single" w:sz="12" w:space="0" w:color="auto"/>
            </w:tcBorders>
            <w:shd w:val="clear" w:color="auto" w:fill="auto"/>
            <w:vAlign w:val="bottom"/>
          </w:tcPr>
          <w:p w14:paraId="2809962F"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2</w:t>
            </w:r>
          </w:p>
        </w:tc>
        <w:tc>
          <w:tcPr>
            <w:tcW w:w="1027" w:type="dxa"/>
            <w:tcBorders>
              <w:bottom w:val="single" w:sz="12" w:space="0" w:color="auto"/>
            </w:tcBorders>
            <w:shd w:val="clear" w:color="auto" w:fill="auto"/>
            <w:vAlign w:val="bottom"/>
          </w:tcPr>
          <w:p w14:paraId="12D33F53"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0</w:t>
            </w:r>
          </w:p>
        </w:tc>
        <w:tc>
          <w:tcPr>
            <w:tcW w:w="1040" w:type="dxa"/>
            <w:tcBorders>
              <w:bottom w:val="single" w:sz="12" w:space="0" w:color="auto"/>
            </w:tcBorders>
            <w:shd w:val="clear" w:color="auto" w:fill="auto"/>
            <w:vAlign w:val="bottom"/>
          </w:tcPr>
          <w:p w14:paraId="4D311A1C"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0</w:t>
            </w:r>
          </w:p>
        </w:tc>
        <w:tc>
          <w:tcPr>
            <w:tcW w:w="1377" w:type="dxa"/>
            <w:tcBorders>
              <w:bottom w:val="single" w:sz="12" w:space="0" w:color="auto"/>
            </w:tcBorders>
            <w:shd w:val="clear" w:color="auto" w:fill="auto"/>
            <w:vAlign w:val="bottom"/>
          </w:tcPr>
          <w:p w14:paraId="6FC37E88"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0</w:t>
            </w:r>
          </w:p>
        </w:tc>
      </w:tr>
    </w:tbl>
    <w:p w14:paraId="0184998B" w14:textId="77777777" w:rsidR="003C48D6" w:rsidRPr="00F720A6" w:rsidRDefault="003C48D6" w:rsidP="00771C9B">
      <w:pPr>
        <w:pStyle w:val="SingleTxtG"/>
        <w:spacing w:before="240"/>
        <w:rPr>
          <w:lang w:val="fr-FR"/>
        </w:rPr>
      </w:pPr>
      <w:r w:rsidRPr="00FA3418">
        <w:rPr>
          <w:lang w:val="fr-FR"/>
        </w:rPr>
        <w:t>87.</w:t>
      </w:r>
      <w:r w:rsidRPr="00FA3418">
        <w:rPr>
          <w:lang w:val="fr-FR"/>
        </w:rPr>
        <w:tab/>
        <w:t xml:space="preserve">Les statistiques établies par région montrent que la région de </w:t>
      </w:r>
      <w:proofErr w:type="spellStart"/>
      <w:r w:rsidRPr="00FA3418">
        <w:rPr>
          <w:lang w:val="fr-FR"/>
        </w:rPr>
        <w:t>Pelagonija</w:t>
      </w:r>
      <w:proofErr w:type="spellEnd"/>
      <w:r w:rsidRPr="00FA3418">
        <w:rPr>
          <w:lang w:val="fr-FR"/>
        </w:rPr>
        <w:t xml:space="preserve"> compte une institution, le foyer pour nourrissons et enfants en bas âge de Bitola, qui peut accueillir 100 enfants et 25 mères. En application de la loi sur la protection sociale, l</w:t>
      </w:r>
      <w:r w:rsidR="00254912">
        <w:rPr>
          <w:lang w:val="fr-FR"/>
        </w:rPr>
        <w:t>’</w:t>
      </w:r>
      <w:r w:rsidRPr="00FA3418">
        <w:rPr>
          <w:lang w:val="fr-FR"/>
        </w:rPr>
        <w:t xml:space="preserve">institution offre aux nourrissons et aux enfants de moins de trois ans sans parents ni protection parentale </w:t>
      </w:r>
      <w:r w:rsidRPr="00FA3418">
        <w:rPr>
          <w:lang w:val="fr-FR"/>
        </w:rPr>
        <w:lastRenderedPageBreak/>
        <w:t>hébergement, nourriture, vêtements et soins et leur assure une protection médicale. Elle peut héberger à titre temporaire des femmes enceintes célibataires et sans emploi pendant un mois avant l</w:t>
      </w:r>
      <w:r w:rsidR="00254912">
        <w:rPr>
          <w:lang w:val="fr-FR"/>
        </w:rPr>
        <w:t>’</w:t>
      </w:r>
      <w:r w:rsidRPr="00FA3418">
        <w:rPr>
          <w:lang w:val="fr-FR"/>
        </w:rPr>
        <w:t>accouchement, et accueillir des parents isolés jusqu</w:t>
      </w:r>
      <w:r w:rsidR="00254912">
        <w:rPr>
          <w:lang w:val="fr-FR"/>
        </w:rPr>
        <w:t>’</w:t>
      </w:r>
      <w:r w:rsidRPr="00FA3418">
        <w:rPr>
          <w:lang w:val="fr-FR"/>
        </w:rPr>
        <w:t>aux trois mois de l</w:t>
      </w:r>
      <w:r w:rsidR="00254912">
        <w:rPr>
          <w:lang w:val="fr-FR"/>
        </w:rPr>
        <w:t>’</w:t>
      </w:r>
      <w:r w:rsidRPr="00FA3418">
        <w:rPr>
          <w:lang w:val="fr-FR"/>
        </w:rPr>
        <w:t>enfant. Elle</w:t>
      </w:r>
      <w:r w:rsidR="00771C9B">
        <w:rPr>
          <w:lang w:val="fr-FR"/>
        </w:rPr>
        <w:t> </w:t>
      </w:r>
      <w:r w:rsidRPr="00FA3418">
        <w:rPr>
          <w:lang w:val="fr-FR"/>
        </w:rPr>
        <w:t>emploie de façon permanente 52 personnes au total.</w:t>
      </w:r>
    </w:p>
    <w:p w14:paraId="57031AF3" w14:textId="77777777" w:rsidR="003C48D6" w:rsidRPr="00F720A6" w:rsidRDefault="003C48D6" w:rsidP="00FA3418">
      <w:pPr>
        <w:pStyle w:val="SingleTxtG"/>
        <w:rPr>
          <w:lang w:val="fr-FR"/>
        </w:rPr>
      </w:pPr>
      <w:r w:rsidRPr="00F720A6">
        <w:rPr>
          <w:lang w:val="fr-FR"/>
        </w:rPr>
        <w:t>88.</w:t>
      </w:r>
      <w:r w:rsidRPr="00F720A6">
        <w:rPr>
          <w:lang w:val="fr-FR"/>
        </w:rPr>
        <w:tab/>
        <w:t>Dans la région de Skopje, une institution, la Maison des enfants du 11 octobre, a une capacité de 100 enfants. En vertu de la loi sur la protection sociale, l</w:t>
      </w:r>
      <w:r w:rsidR="00254912">
        <w:rPr>
          <w:lang w:val="fr-FR"/>
        </w:rPr>
        <w:t>’</w:t>
      </w:r>
      <w:r w:rsidRPr="00F720A6">
        <w:rPr>
          <w:lang w:val="fr-FR"/>
        </w:rPr>
        <w:t>institution accueille les enfants de plus de trois ans sans parents ou sans protection parentale et leur apporte logement (hébergement, nourriture, vêtements, soins) et éducation jusqu</w:t>
      </w:r>
      <w:r w:rsidR="00254912">
        <w:rPr>
          <w:lang w:val="fr-FR"/>
        </w:rPr>
        <w:t>’</w:t>
      </w:r>
      <w:r w:rsidRPr="00F720A6">
        <w:rPr>
          <w:lang w:val="fr-FR"/>
        </w:rPr>
        <w:t>à ce qu</w:t>
      </w:r>
      <w:r w:rsidR="00254912">
        <w:rPr>
          <w:lang w:val="fr-FR"/>
        </w:rPr>
        <w:t>’</w:t>
      </w:r>
      <w:r w:rsidRPr="00F720A6">
        <w:rPr>
          <w:lang w:val="fr-FR"/>
        </w:rPr>
        <w:t>ils soient prêts à vivre indépendamment et à travailler (jusqu</w:t>
      </w:r>
      <w:r w:rsidR="00254912">
        <w:rPr>
          <w:lang w:val="fr-FR"/>
        </w:rPr>
        <w:t>’</w:t>
      </w:r>
      <w:r w:rsidRPr="00F720A6">
        <w:rPr>
          <w:lang w:val="fr-FR"/>
        </w:rPr>
        <w:t>à six mois après avoir terminé le cycle d</w:t>
      </w:r>
      <w:r w:rsidR="00254912">
        <w:rPr>
          <w:lang w:val="fr-FR"/>
        </w:rPr>
        <w:t>’</w:t>
      </w:r>
      <w:r w:rsidRPr="00F720A6">
        <w:rPr>
          <w:lang w:val="fr-FR"/>
        </w:rPr>
        <w:t>enseignement secondaire). L</w:t>
      </w:r>
      <w:r w:rsidR="00254912">
        <w:rPr>
          <w:lang w:val="fr-FR"/>
        </w:rPr>
        <w:t>’</w:t>
      </w:r>
      <w:r w:rsidRPr="00F720A6">
        <w:rPr>
          <w:lang w:val="fr-FR"/>
        </w:rPr>
        <w:t>institution est tenue de veiller à ce que les enfants et les jeunes reçoivent un enseignement primaire et secondaire dans un établissement approprié, d</w:t>
      </w:r>
      <w:r w:rsidR="00254912">
        <w:rPr>
          <w:lang w:val="fr-FR"/>
        </w:rPr>
        <w:t>’</w:t>
      </w:r>
      <w:r w:rsidRPr="00F720A6">
        <w:rPr>
          <w:lang w:val="fr-FR"/>
        </w:rPr>
        <w:t>organiser différentes formes de travail et de vie et de prendre grand soin de leur santé. Elle emploie de façon permanente 42 personnes au total.</w:t>
      </w:r>
    </w:p>
    <w:p w14:paraId="2D2DB1A0" w14:textId="77777777" w:rsidR="003C48D6" w:rsidRPr="00F720A6" w:rsidRDefault="003C48D6" w:rsidP="00FA3418">
      <w:pPr>
        <w:pStyle w:val="H23G"/>
        <w:rPr>
          <w:lang w:val="fr-FR"/>
        </w:rPr>
      </w:pPr>
      <w:r w:rsidRPr="00F720A6">
        <w:rPr>
          <w:lang w:val="fr-FR"/>
        </w:rPr>
        <w:tab/>
        <w:t>d)</w:t>
      </w:r>
      <w:r w:rsidRPr="00F720A6">
        <w:rPr>
          <w:lang w:val="fr-FR"/>
        </w:rPr>
        <w:tab/>
      </w:r>
      <w:r w:rsidRPr="00F720A6">
        <w:rPr>
          <w:bCs/>
          <w:lang w:val="fr-FR"/>
        </w:rPr>
        <w:t>Regroupement familial (</w:t>
      </w:r>
      <w:r w:rsidRPr="00FA3418">
        <w:rPr>
          <w:lang w:val="fr-FR"/>
        </w:rPr>
        <w:t>art</w:t>
      </w:r>
      <w:r w:rsidRPr="00F720A6">
        <w:rPr>
          <w:bCs/>
          <w:lang w:val="fr-FR"/>
        </w:rPr>
        <w:t>. 10)</w:t>
      </w:r>
      <w:bookmarkStart w:id="31" w:name="_Toc56781434"/>
      <w:bookmarkEnd w:id="31"/>
    </w:p>
    <w:p w14:paraId="4D0401CB" w14:textId="77777777" w:rsidR="003C48D6" w:rsidRPr="00F720A6" w:rsidRDefault="003C48D6" w:rsidP="00FA3418">
      <w:pPr>
        <w:pStyle w:val="SingleTxtG"/>
        <w:rPr>
          <w:lang w:val="fr-FR"/>
        </w:rPr>
      </w:pPr>
      <w:r w:rsidRPr="00F720A6">
        <w:rPr>
          <w:lang w:val="fr-FR"/>
        </w:rPr>
        <w:t>89.</w:t>
      </w:r>
      <w:r w:rsidRPr="00F720A6">
        <w:rPr>
          <w:lang w:val="fr-FR"/>
        </w:rPr>
        <w:tab/>
        <w:t>Depuis 2014, quatre procédures de regroupement familial ont été menées à bien, notamment pour deux filles afghanes et une syrienne, un garçon iraquien et un syrien.</w:t>
      </w:r>
    </w:p>
    <w:p w14:paraId="2DC5AB34" w14:textId="77777777" w:rsidR="003C48D6" w:rsidRPr="00F720A6" w:rsidRDefault="003C48D6" w:rsidP="00FA3418">
      <w:pPr>
        <w:pStyle w:val="SingleTxtG"/>
        <w:rPr>
          <w:lang w:val="fr-FR"/>
        </w:rPr>
      </w:pPr>
      <w:r w:rsidRPr="00F720A6">
        <w:rPr>
          <w:lang w:val="fr-FR"/>
        </w:rPr>
        <w:t>90.</w:t>
      </w:r>
      <w:r w:rsidRPr="00F720A6">
        <w:rPr>
          <w:lang w:val="fr-FR"/>
        </w:rPr>
        <w:tab/>
        <w:t xml:space="preserve">En ce qui concerne les enfants ayant pu retrouver leurs familles après leur placement, cinq enfants du foyer de Bitola pour nourrissons et enfants en bas âge ont retrouvé leurs parents biologiques en 2016, neuf en 2017 et trois en septembre 2018. </w:t>
      </w:r>
    </w:p>
    <w:p w14:paraId="1345B74B" w14:textId="77777777" w:rsidR="003C48D6" w:rsidRPr="00F720A6" w:rsidRDefault="003C48D6" w:rsidP="00FA3418">
      <w:pPr>
        <w:pStyle w:val="H23G"/>
        <w:rPr>
          <w:lang w:val="fr-FR"/>
        </w:rPr>
      </w:pPr>
      <w:r w:rsidRPr="00F720A6">
        <w:rPr>
          <w:lang w:val="fr-FR"/>
        </w:rPr>
        <w:tab/>
        <w:t>e)</w:t>
      </w:r>
      <w:r w:rsidRPr="00F720A6">
        <w:rPr>
          <w:lang w:val="fr-FR"/>
        </w:rPr>
        <w:tab/>
      </w:r>
      <w:r w:rsidRPr="00F720A6">
        <w:rPr>
          <w:bCs/>
          <w:lang w:val="fr-FR"/>
        </w:rPr>
        <w:t xml:space="preserve">Recouvrement de la </w:t>
      </w:r>
      <w:r w:rsidRPr="00FA3418">
        <w:rPr>
          <w:lang w:val="fr-FR"/>
        </w:rPr>
        <w:t>pension</w:t>
      </w:r>
      <w:r w:rsidRPr="00F720A6">
        <w:rPr>
          <w:bCs/>
          <w:lang w:val="fr-FR"/>
        </w:rPr>
        <w:t xml:space="preserve"> alimentaire de l</w:t>
      </w:r>
      <w:r w:rsidR="00254912">
        <w:rPr>
          <w:bCs/>
          <w:lang w:val="fr-FR"/>
        </w:rPr>
        <w:t>’</w:t>
      </w:r>
      <w:r w:rsidRPr="00F720A6">
        <w:rPr>
          <w:bCs/>
          <w:lang w:val="fr-FR"/>
        </w:rPr>
        <w:t>enfant (art. 27 (par. 4))</w:t>
      </w:r>
      <w:bookmarkStart w:id="32" w:name="_Toc56781435"/>
      <w:bookmarkEnd w:id="32"/>
    </w:p>
    <w:p w14:paraId="74958412" w14:textId="77777777" w:rsidR="003C48D6" w:rsidRPr="00F720A6" w:rsidRDefault="003C48D6" w:rsidP="00FA3418">
      <w:pPr>
        <w:pStyle w:val="SingleTxtG"/>
        <w:rPr>
          <w:lang w:val="fr-FR"/>
        </w:rPr>
      </w:pPr>
      <w:r w:rsidRPr="00F720A6">
        <w:rPr>
          <w:lang w:val="fr-FR"/>
        </w:rPr>
        <w:t>91.</w:t>
      </w:r>
      <w:r w:rsidRPr="00F720A6">
        <w:rPr>
          <w:lang w:val="fr-FR"/>
        </w:rPr>
        <w:tab/>
        <w:t>L</w:t>
      </w:r>
      <w:r w:rsidR="00254912">
        <w:rPr>
          <w:lang w:val="fr-FR"/>
        </w:rPr>
        <w:t>’</w:t>
      </w:r>
      <w:r w:rsidRPr="00F720A6">
        <w:rPr>
          <w:lang w:val="fr-FR"/>
        </w:rPr>
        <w:t>État n</w:t>
      </w:r>
      <w:r w:rsidR="00254912">
        <w:rPr>
          <w:lang w:val="fr-FR"/>
        </w:rPr>
        <w:t>’</w:t>
      </w:r>
      <w:r w:rsidRPr="00F720A6">
        <w:rPr>
          <w:lang w:val="fr-FR"/>
        </w:rPr>
        <w:t>a pas créé de fonds de pension alimentaire pour les enfants. Le droit aux aliments s</w:t>
      </w:r>
      <w:r w:rsidR="00254912">
        <w:rPr>
          <w:lang w:val="fr-FR"/>
        </w:rPr>
        <w:t>’</w:t>
      </w:r>
      <w:r w:rsidRPr="00F720A6">
        <w:rPr>
          <w:lang w:val="fr-FR"/>
        </w:rPr>
        <w:t>exerce dans le cadre d</w:t>
      </w:r>
      <w:r w:rsidR="00254912">
        <w:rPr>
          <w:lang w:val="fr-FR"/>
        </w:rPr>
        <w:t>’</w:t>
      </w:r>
      <w:r w:rsidRPr="00F720A6">
        <w:rPr>
          <w:lang w:val="fr-FR"/>
        </w:rPr>
        <w:t>une procédure judiciaire ordinaire couverte par les parents.</w:t>
      </w:r>
    </w:p>
    <w:p w14:paraId="26F89FDA" w14:textId="77777777" w:rsidR="003C48D6" w:rsidRPr="00F720A6" w:rsidRDefault="003C48D6" w:rsidP="00FA3418">
      <w:pPr>
        <w:pStyle w:val="H23G"/>
        <w:rPr>
          <w:lang w:val="fr-FR"/>
        </w:rPr>
      </w:pPr>
      <w:r w:rsidRPr="00F720A6">
        <w:rPr>
          <w:lang w:val="fr-FR"/>
        </w:rPr>
        <w:tab/>
        <w:t>f)</w:t>
      </w:r>
      <w:r w:rsidRPr="00F720A6">
        <w:rPr>
          <w:lang w:val="fr-FR"/>
        </w:rPr>
        <w:tab/>
      </w:r>
      <w:r w:rsidRPr="00F720A6">
        <w:rPr>
          <w:bCs/>
          <w:lang w:val="fr-FR"/>
        </w:rPr>
        <w:t>Enfants privés de milieu familial (art. 20)</w:t>
      </w:r>
      <w:bookmarkStart w:id="33" w:name="_Toc56781436"/>
      <w:bookmarkEnd w:id="33"/>
    </w:p>
    <w:p w14:paraId="2B1924AB" w14:textId="77777777" w:rsidR="003C48D6" w:rsidRPr="00F720A6" w:rsidRDefault="003C48D6" w:rsidP="00FA3418">
      <w:pPr>
        <w:pStyle w:val="SingleTxtG"/>
        <w:rPr>
          <w:lang w:val="fr-FR"/>
        </w:rPr>
      </w:pPr>
      <w:r w:rsidRPr="00F720A6">
        <w:rPr>
          <w:lang w:val="fr-FR"/>
        </w:rPr>
        <w:t>92.</w:t>
      </w:r>
      <w:r w:rsidRPr="00F720A6">
        <w:rPr>
          <w:lang w:val="fr-FR"/>
        </w:rPr>
        <w:tab/>
        <w:t>Le système de protection sociale assure la protection des enfants sous plusieurs formes : placement des enfants chez un proche parent (tutelle), adoption, placement dans une famille d</w:t>
      </w:r>
      <w:r w:rsidR="00254912">
        <w:rPr>
          <w:lang w:val="fr-FR"/>
        </w:rPr>
        <w:t>’</w:t>
      </w:r>
      <w:r w:rsidRPr="00F720A6">
        <w:rPr>
          <w:lang w:val="fr-FR"/>
        </w:rPr>
        <w:t xml:space="preserve">accueil et placement en institution. </w:t>
      </w:r>
    </w:p>
    <w:p w14:paraId="7EA08FFB" w14:textId="77777777" w:rsidR="003C48D6" w:rsidRPr="00F720A6" w:rsidRDefault="003C48D6" w:rsidP="00FA3418">
      <w:pPr>
        <w:pStyle w:val="SingleTxtG"/>
        <w:rPr>
          <w:lang w:val="fr-FR"/>
        </w:rPr>
      </w:pPr>
      <w:r w:rsidRPr="00F720A6">
        <w:rPr>
          <w:lang w:val="fr-FR"/>
        </w:rPr>
        <w:t>93.</w:t>
      </w:r>
      <w:r w:rsidRPr="00F720A6">
        <w:rPr>
          <w:lang w:val="fr-FR"/>
        </w:rPr>
        <w:tab/>
        <w:t>Au cours des dernières années, un travail intense a été mené pour développer le modèle du placement en famille d</w:t>
      </w:r>
      <w:r w:rsidR="00254912">
        <w:rPr>
          <w:lang w:val="fr-FR"/>
        </w:rPr>
        <w:t>’</w:t>
      </w:r>
      <w:r w:rsidRPr="00F720A6">
        <w:rPr>
          <w:lang w:val="fr-FR"/>
        </w:rPr>
        <w:t>accueil comme forme de protection non institutionnelle. Ainsi, 172 familles d</w:t>
      </w:r>
      <w:r w:rsidR="00254912">
        <w:rPr>
          <w:lang w:val="fr-FR"/>
        </w:rPr>
        <w:t>’</w:t>
      </w:r>
      <w:r w:rsidRPr="00F720A6">
        <w:rPr>
          <w:lang w:val="fr-FR"/>
        </w:rPr>
        <w:t>accueil ont été enregistrées, qui accueillent 341 bénéficiaires, dont</w:t>
      </w:r>
      <w:r w:rsidR="00771C9B">
        <w:rPr>
          <w:lang w:val="fr-FR"/>
        </w:rPr>
        <w:t> </w:t>
      </w:r>
      <w:r w:rsidRPr="00F720A6">
        <w:rPr>
          <w:lang w:val="fr-FR"/>
        </w:rPr>
        <w:t>302</w:t>
      </w:r>
      <w:r w:rsidR="00771C9B">
        <w:rPr>
          <w:lang w:val="fr-FR"/>
        </w:rPr>
        <w:t> </w:t>
      </w:r>
      <w:r w:rsidRPr="00F720A6">
        <w:rPr>
          <w:lang w:val="fr-FR"/>
        </w:rPr>
        <w:t>sont des enfants de moins de 18 ans. Une campagne est menée pour mobiliser de nouvelles familles d</w:t>
      </w:r>
      <w:r w:rsidR="00254912">
        <w:rPr>
          <w:lang w:val="fr-FR"/>
        </w:rPr>
        <w:t>’</w:t>
      </w:r>
      <w:r w:rsidRPr="00F720A6">
        <w:rPr>
          <w:lang w:val="fr-FR"/>
        </w:rPr>
        <w:t>accueil et sensibiliser davantage le public.</w:t>
      </w:r>
    </w:p>
    <w:p w14:paraId="70C0848B" w14:textId="77777777" w:rsidR="003C48D6" w:rsidRPr="00F720A6" w:rsidRDefault="003C48D6" w:rsidP="00FA3418">
      <w:pPr>
        <w:pStyle w:val="SingleTxtG"/>
        <w:rPr>
          <w:lang w:val="fr-FR"/>
        </w:rPr>
      </w:pPr>
      <w:r w:rsidRPr="00F720A6">
        <w:rPr>
          <w:lang w:val="fr-FR"/>
        </w:rPr>
        <w:t>94.</w:t>
      </w:r>
      <w:r w:rsidRPr="00F720A6">
        <w:rPr>
          <w:lang w:val="fr-FR"/>
        </w:rPr>
        <w:tab/>
        <w:t>Le type et le nombre de bénéficiaires placés dans une famille d</w:t>
      </w:r>
      <w:r w:rsidR="00254912">
        <w:rPr>
          <w:lang w:val="fr-FR"/>
        </w:rPr>
        <w:t>’</w:t>
      </w:r>
      <w:r w:rsidRPr="00F720A6">
        <w:rPr>
          <w:lang w:val="fr-FR"/>
        </w:rPr>
        <w:t>accueil dépendent des besoins individuels des bénéficiaires, de leur âge et de leurs besoins de prise en charge, des conditions et des possibilités de prise en charge par la famille d</w:t>
      </w:r>
      <w:r w:rsidR="00254912">
        <w:rPr>
          <w:lang w:val="fr-FR"/>
        </w:rPr>
        <w:t>’</w:t>
      </w:r>
      <w:r w:rsidRPr="00F720A6">
        <w:rPr>
          <w:lang w:val="fr-FR"/>
        </w:rPr>
        <w:t xml:space="preserve">accueil, mais dans certaines limites : </w:t>
      </w:r>
    </w:p>
    <w:p w14:paraId="24A9CC26" w14:textId="77777777" w:rsidR="003C48D6" w:rsidRPr="00F720A6" w:rsidRDefault="003C48D6" w:rsidP="00FA3418">
      <w:pPr>
        <w:pStyle w:val="Bullet1G"/>
        <w:rPr>
          <w:lang w:val="fr-FR"/>
        </w:rPr>
      </w:pPr>
      <w:r w:rsidRPr="00F720A6">
        <w:rPr>
          <w:lang w:val="fr-FR"/>
        </w:rPr>
        <w:t xml:space="preserve">Cinq enfants sans parents ni protection parentale ; </w:t>
      </w:r>
    </w:p>
    <w:p w14:paraId="210986D4" w14:textId="77777777" w:rsidR="003C48D6" w:rsidRPr="00F720A6" w:rsidRDefault="003C48D6" w:rsidP="00FA3418">
      <w:pPr>
        <w:pStyle w:val="Bullet1G"/>
        <w:rPr>
          <w:lang w:val="fr-FR"/>
        </w:rPr>
      </w:pPr>
      <w:r w:rsidRPr="00F720A6">
        <w:rPr>
          <w:lang w:val="fr-FR"/>
        </w:rPr>
        <w:t xml:space="preserve">Un enfant ayant des problèmes éducatifs et sociaux (enfants négligés, maltraités ou socialement défavorisés), ou un enfant victime de violence familiale ; </w:t>
      </w:r>
    </w:p>
    <w:p w14:paraId="05862F43" w14:textId="77777777" w:rsidR="003C48D6" w:rsidRPr="00F720A6" w:rsidRDefault="003C48D6" w:rsidP="00FA3418">
      <w:pPr>
        <w:pStyle w:val="Bullet1G"/>
        <w:rPr>
          <w:lang w:val="fr-FR"/>
        </w:rPr>
      </w:pPr>
      <w:r w:rsidRPr="00F720A6">
        <w:rPr>
          <w:lang w:val="fr-FR"/>
        </w:rPr>
        <w:t>Un enfant auteur d</w:t>
      </w:r>
      <w:r w:rsidR="00254912">
        <w:rPr>
          <w:lang w:val="fr-FR"/>
        </w:rPr>
        <w:t>’</w:t>
      </w:r>
      <w:r w:rsidRPr="00F720A6">
        <w:rPr>
          <w:lang w:val="fr-FR"/>
        </w:rPr>
        <w:t>une infraction pénale ou d</w:t>
      </w:r>
      <w:r w:rsidR="00254912">
        <w:rPr>
          <w:lang w:val="fr-FR"/>
        </w:rPr>
        <w:t>’</w:t>
      </w:r>
      <w:r w:rsidRPr="00F720A6">
        <w:rPr>
          <w:lang w:val="fr-FR"/>
        </w:rPr>
        <w:t>un délit mineur.</w:t>
      </w:r>
    </w:p>
    <w:p w14:paraId="07CFD251" w14:textId="77777777" w:rsidR="003C48D6" w:rsidRPr="00F720A6" w:rsidRDefault="003C48D6" w:rsidP="00FA3418">
      <w:pPr>
        <w:pStyle w:val="SingleTxtG"/>
        <w:rPr>
          <w:lang w:val="fr-FR"/>
        </w:rPr>
      </w:pPr>
      <w:r w:rsidRPr="00F720A6">
        <w:rPr>
          <w:lang w:val="fr-FR"/>
        </w:rPr>
        <w:t>95.</w:t>
      </w:r>
      <w:r w:rsidRPr="00F720A6">
        <w:rPr>
          <w:lang w:val="fr-FR"/>
        </w:rPr>
        <w:tab/>
        <w:t>Selon les statistiques disponibles, les enfants de 0 à 18 ans placés en institution dans le pays se répartissent comme suit :</w:t>
      </w:r>
    </w:p>
    <w:p w14:paraId="4AC43103" w14:textId="77777777" w:rsidR="003C48D6" w:rsidRPr="00F720A6" w:rsidRDefault="003C48D6" w:rsidP="00FA3418">
      <w:pPr>
        <w:pStyle w:val="Bullet1G"/>
        <w:rPr>
          <w:lang w:val="fr-FR"/>
        </w:rPr>
      </w:pPr>
      <w:r w:rsidRPr="00F720A6">
        <w:rPr>
          <w:lang w:val="fr-FR"/>
        </w:rPr>
        <w:t>65 enfants de 0 à 3 ans à l</w:t>
      </w:r>
      <w:r w:rsidR="00254912">
        <w:rPr>
          <w:lang w:val="fr-FR"/>
        </w:rPr>
        <w:t>’</w:t>
      </w:r>
      <w:r w:rsidRPr="00F720A6">
        <w:rPr>
          <w:lang w:val="fr-FR"/>
        </w:rPr>
        <w:t>institution de placement des nourrissons et des enfants en bas âge, sans parents ni protection parentale, à Bitola ;</w:t>
      </w:r>
    </w:p>
    <w:p w14:paraId="639913C8" w14:textId="77777777" w:rsidR="003C48D6" w:rsidRPr="00F720A6" w:rsidRDefault="003C48D6" w:rsidP="00FA3418">
      <w:pPr>
        <w:pStyle w:val="Bullet1G"/>
        <w:rPr>
          <w:lang w:val="fr-FR"/>
        </w:rPr>
      </w:pPr>
      <w:r w:rsidRPr="00F720A6">
        <w:rPr>
          <w:lang w:val="fr-FR"/>
        </w:rPr>
        <w:t>38 enfants de 3 à 18 ans à l</w:t>
      </w:r>
      <w:r w:rsidR="00254912">
        <w:rPr>
          <w:lang w:val="fr-FR"/>
        </w:rPr>
        <w:t>’</w:t>
      </w:r>
      <w:r w:rsidRPr="00F720A6">
        <w:rPr>
          <w:lang w:val="fr-FR"/>
        </w:rPr>
        <w:t>institution du 11 octobre pour le placement des enfants de plus de trois ans sans parents ni protection parentale et des jeunes, à Skopje ;</w:t>
      </w:r>
    </w:p>
    <w:p w14:paraId="0298DBBE" w14:textId="77777777" w:rsidR="003C48D6" w:rsidRPr="00F720A6" w:rsidRDefault="003C48D6" w:rsidP="00FA3418">
      <w:pPr>
        <w:pStyle w:val="Bullet1G"/>
        <w:rPr>
          <w:lang w:val="fr-FR"/>
        </w:rPr>
      </w:pPr>
      <w:r w:rsidRPr="00F720A6">
        <w:rPr>
          <w:lang w:val="fr-FR"/>
        </w:rPr>
        <w:t>25 enfants à l</w:t>
      </w:r>
      <w:r w:rsidR="00254912">
        <w:rPr>
          <w:lang w:val="fr-FR"/>
        </w:rPr>
        <w:t>’</w:t>
      </w:r>
      <w:r w:rsidRPr="00F720A6">
        <w:rPr>
          <w:lang w:val="fr-FR"/>
        </w:rPr>
        <w:t>institution du 25 mai pour le placement des enfants et des jeunes ayant des problèmes éducatifs et sociaux, à Skopje ;</w:t>
      </w:r>
    </w:p>
    <w:p w14:paraId="3D32B3B5" w14:textId="77777777" w:rsidR="003C48D6" w:rsidRPr="00F720A6" w:rsidRDefault="003C48D6" w:rsidP="00FA3418">
      <w:pPr>
        <w:pStyle w:val="Bullet1G"/>
        <w:rPr>
          <w:lang w:val="fr-FR"/>
        </w:rPr>
      </w:pPr>
      <w:r w:rsidRPr="00F720A6">
        <w:rPr>
          <w:lang w:val="fr-FR"/>
        </w:rPr>
        <w:t>15 enfants à l</w:t>
      </w:r>
      <w:r w:rsidR="00254912">
        <w:rPr>
          <w:lang w:val="fr-FR"/>
        </w:rPr>
        <w:t>’</w:t>
      </w:r>
      <w:r w:rsidRPr="00F720A6">
        <w:rPr>
          <w:lang w:val="fr-FR"/>
        </w:rPr>
        <w:t xml:space="preserve">institution </w:t>
      </w:r>
      <w:proofErr w:type="spellStart"/>
      <w:r w:rsidRPr="00F720A6">
        <w:rPr>
          <w:lang w:val="fr-FR"/>
        </w:rPr>
        <w:t>Ranka</w:t>
      </w:r>
      <w:proofErr w:type="spellEnd"/>
      <w:r w:rsidRPr="00F720A6">
        <w:rPr>
          <w:lang w:val="fr-FR"/>
        </w:rPr>
        <w:t xml:space="preserve"> </w:t>
      </w:r>
      <w:proofErr w:type="spellStart"/>
      <w:r w:rsidRPr="00F720A6">
        <w:rPr>
          <w:lang w:val="fr-FR"/>
        </w:rPr>
        <w:t>Milanovikj</w:t>
      </w:r>
      <w:proofErr w:type="spellEnd"/>
      <w:r w:rsidRPr="00F720A6">
        <w:rPr>
          <w:lang w:val="fr-FR"/>
        </w:rPr>
        <w:t xml:space="preserve"> pour le placement des enfants et des jeunes à comportement perturbé, à Skopje ;</w:t>
      </w:r>
    </w:p>
    <w:p w14:paraId="5D24FC9F" w14:textId="77777777" w:rsidR="003C48D6" w:rsidRPr="00F720A6" w:rsidRDefault="003C48D6" w:rsidP="00FA3418">
      <w:pPr>
        <w:pStyle w:val="Bullet1G"/>
        <w:rPr>
          <w:lang w:val="fr-FR"/>
        </w:rPr>
      </w:pPr>
      <w:r w:rsidRPr="00F720A6">
        <w:rPr>
          <w:lang w:val="fr-FR"/>
        </w:rPr>
        <w:lastRenderedPageBreak/>
        <w:t>11 enfants handicapés à l</w:t>
      </w:r>
      <w:r w:rsidR="00254912">
        <w:rPr>
          <w:lang w:val="fr-FR"/>
        </w:rPr>
        <w:t>’</w:t>
      </w:r>
      <w:r w:rsidRPr="00F720A6">
        <w:rPr>
          <w:lang w:val="fr-FR"/>
        </w:rPr>
        <w:t xml:space="preserve">institut spécialisé Demir </w:t>
      </w:r>
      <w:proofErr w:type="spellStart"/>
      <w:r w:rsidRPr="00F720A6">
        <w:rPr>
          <w:lang w:val="fr-FR"/>
        </w:rPr>
        <w:t>Kapija</w:t>
      </w:r>
      <w:proofErr w:type="spellEnd"/>
      <w:r w:rsidRPr="00F720A6">
        <w:rPr>
          <w:lang w:val="fr-FR"/>
        </w:rPr>
        <w:t xml:space="preserve"> pour le placement d</w:t>
      </w:r>
      <w:r w:rsidR="00254912">
        <w:rPr>
          <w:lang w:val="fr-FR"/>
        </w:rPr>
        <w:t>’</w:t>
      </w:r>
      <w:r w:rsidRPr="00F720A6">
        <w:rPr>
          <w:lang w:val="fr-FR"/>
        </w:rPr>
        <w:t>enfants et de jeunes souffrant de troubles modérés à graves du développement mental ;</w:t>
      </w:r>
    </w:p>
    <w:p w14:paraId="6EFC56BF" w14:textId="77777777" w:rsidR="003C48D6" w:rsidRPr="00F720A6" w:rsidRDefault="003C48D6" w:rsidP="00FA3418">
      <w:pPr>
        <w:pStyle w:val="Bullet1G"/>
        <w:rPr>
          <w:lang w:val="fr-FR"/>
        </w:rPr>
      </w:pPr>
      <w:r w:rsidRPr="00F720A6">
        <w:rPr>
          <w:lang w:val="fr-FR"/>
        </w:rPr>
        <w:t>15 enfants handicapés physiques à l</w:t>
      </w:r>
      <w:r w:rsidR="00254912">
        <w:rPr>
          <w:lang w:val="fr-FR"/>
        </w:rPr>
        <w:t>’</w:t>
      </w:r>
      <w:r w:rsidRPr="00F720A6">
        <w:rPr>
          <w:lang w:val="fr-FR"/>
        </w:rPr>
        <w:t>institution de placement des enfants et des jeunes présentant des troubles du développement physique, à Spa Bansko ; et</w:t>
      </w:r>
    </w:p>
    <w:p w14:paraId="6198C84F" w14:textId="77777777" w:rsidR="003C48D6" w:rsidRPr="00F720A6" w:rsidRDefault="003C48D6" w:rsidP="00FA3418">
      <w:pPr>
        <w:pStyle w:val="Bullet1G"/>
        <w:rPr>
          <w:lang w:val="fr-FR"/>
        </w:rPr>
      </w:pPr>
      <w:r w:rsidRPr="00F720A6">
        <w:rPr>
          <w:lang w:val="fr-FR"/>
        </w:rPr>
        <w:t>35 enfants handicapés à l</w:t>
      </w:r>
      <w:r w:rsidR="00254912">
        <w:rPr>
          <w:lang w:val="fr-FR"/>
        </w:rPr>
        <w:t>’</w:t>
      </w:r>
      <w:r w:rsidRPr="00F720A6">
        <w:rPr>
          <w:lang w:val="fr-FR"/>
        </w:rPr>
        <w:t xml:space="preserve">institution </w:t>
      </w:r>
      <w:proofErr w:type="spellStart"/>
      <w:r w:rsidRPr="00F720A6">
        <w:rPr>
          <w:lang w:val="fr-FR"/>
        </w:rPr>
        <w:t>Topaansko</w:t>
      </w:r>
      <w:proofErr w:type="spellEnd"/>
      <w:r w:rsidRPr="00F720A6">
        <w:rPr>
          <w:lang w:val="fr-FR"/>
        </w:rPr>
        <w:t xml:space="preserve"> Pole, pour le placement de personnes souffrant de troubles mentaux, à Skopje.</w:t>
      </w:r>
    </w:p>
    <w:p w14:paraId="3D496055" w14:textId="77777777" w:rsidR="003C48D6" w:rsidRPr="00F720A6" w:rsidRDefault="003C48D6" w:rsidP="00FA3418">
      <w:pPr>
        <w:pStyle w:val="SingleTxtG"/>
        <w:rPr>
          <w:lang w:val="fr-FR"/>
        </w:rPr>
      </w:pPr>
      <w:r w:rsidRPr="00F720A6">
        <w:rPr>
          <w:lang w:val="fr-FR"/>
        </w:rPr>
        <w:t>96.</w:t>
      </w:r>
      <w:r w:rsidRPr="00F720A6">
        <w:rPr>
          <w:lang w:val="fr-FR"/>
        </w:rPr>
        <w:tab/>
        <w:t>Simultanément, un processus intensif de désinstitutionalisation est mené, à savoir la transformation des institutions de placement d</w:t>
      </w:r>
      <w:r w:rsidR="00254912">
        <w:rPr>
          <w:lang w:val="fr-FR"/>
        </w:rPr>
        <w:t>’</w:t>
      </w:r>
      <w:r w:rsidRPr="00F720A6">
        <w:rPr>
          <w:lang w:val="fr-FR"/>
        </w:rPr>
        <w:t>enfants en services communautaires locaux. Le Gouvernement s</w:t>
      </w:r>
      <w:r w:rsidR="00254912">
        <w:rPr>
          <w:lang w:val="fr-FR"/>
        </w:rPr>
        <w:t>’</w:t>
      </w:r>
      <w:r w:rsidRPr="00F720A6">
        <w:rPr>
          <w:lang w:val="fr-FR"/>
        </w:rPr>
        <w:t>est engagé à ce qu</w:t>
      </w:r>
      <w:r w:rsidR="00254912">
        <w:rPr>
          <w:lang w:val="fr-FR"/>
        </w:rPr>
        <w:t>’</w:t>
      </w:r>
      <w:r w:rsidRPr="00F720A6">
        <w:rPr>
          <w:lang w:val="fr-FR"/>
        </w:rPr>
        <w:t>aucun enfant de 0 à 3 ans ne soit placé en institution après 2020. La transformation de l</w:t>
      </w:r>
      <w:r w:rsidR="00254912">
        <w:rPr>
          <w:lang w:val="fr-FR"/>
        </w:rPr>
        <w:t>’</w:t>
      </w:r>
      <w:r w:rsidRPr="00F720A6">
        <w:rPr>
          <w:lang w:val="fr-FR"/>
        </w:rPr>
        <w:t>Institut pour les enfants présentant des problèmes éducatifs et sociaux a commencé en 2018. L</w:t>
      </w:r>
      <w:r w:rsidR="00254912">
        <w:rPr>
          <w:lang w:val="fr-FR"/>
        </w:rPr>
        <w:t>’</w:t>
      </w:r>
      <w:r w:rsidRPr="00F720A6">
        <w:rPr>
          <w:lang w:val="fr-FR"/>
        </w:rPr>
        <w:t>objectif est de transférer, d</w:t>
      </w:r>
      <w:r w:rsidR="00254912">
        <w:rPr>
          <w:lang w:val="fr-FR"/>
        </w:rPr>
        <w:t>’</w:t>
      </w:r>
      <w:r w:rsidRPr="00F720A6">
        <w:rPr>
          <w:lang w:val="fr-FR"/>
        </w:rPr>
        <w:t>ici à la fin juillet 2018</w:t>
      </w:r>
      <w:r w:rsidR="00B0341D">
        <w:rPr>
          <w:lang w:val="fr-FR"/>
        </w:rPr>
        <w:t>,</w:t>
      </w:r>
      <w:r w:rsidRPr="00F720A6">
        <w:rPr>
          <w:lang w:val="fr-FR"/>
        </w:rPr>
        <w:t xml:space="preserve"> tous les enfants placés dans cette institution vers des foyers, par petits groupes, dans un environnement familial et avec un soutien plus intensif. Des plans de transformation sont également en cours d</w:t>
      </w:r>
      <w:r w:rsidR="00254912">
        <w:rPr>
          <w:lang w:val="fr-FR"/>
        </w:rPr>
        <w:t>’</w:t>
      </w:r>
      <w:r w:rsidRPr="00F720A6">
        <w:rPr>
          <w:lang w:val="fr-FR"/>
        </w:rPr>
        <w:t>élaboration pour les autres institutions de placement d</w:t>
      </w:r>
      <w:r w:rsidR="00254912">
        <w:rPr>
          <w:lang w:val="fr-FR"/>
        </w:rPr>
        <w:t>’</w:t>
      </w:r>
      <w:r w:rsidRPr="00F720A6">
        <w:rPr>
          <w:lang w:val="fr-FR"/>
        </w:rPr>
        <w:t xml:space="preserve">enfants dans le pays. </w:t>
      </w:r>
    </w:p>
    <w:p w14:paraId="43016A5B" w14:textId="77777777" w:rsidR="003C48D6" w:rsidRPr="00F720A6" w:rsidRDefault="003C48D6" w:rsidP="00FA3418">
      <w:pPr>
        <w:pStyle w:val="SingleTxtG"/>
        <w:rPr>
          <w:lang w:val="fr-FR"/>
        </w:rPr>
      </w:pPr>
      <w:r w:rsidRPr="00F720A6">
        <w:rPr>
          <w:lang w:val="fr-FR"/>
        </w:rPr>
        <w:t>97.</w:t>
      </w:r>
      <w:r w:rsidRPr="00F720A6">
        <w:rPr>
          <w:lang w:val="fr-FR"/>
        </w:rPr>
        <w:tab/>
        <w:t>Le transfert, par petits groupes, des enfants de l</w:t>
      </w:r>
      <w:r w:rsidR="00254912">
        <w:rPr>
          <w:lang w:val="fr-FR"/>
        </w:rPr>
        <w:t>’</w:t>
      </w:r>
      <w:r w:rsidRPr="00F720A6">
        <w:rPr>
          <w:lang w:val="fr-FR"/>
        </w:rPr>
        <w:t xml:space="preserve">Institut spécialisé Demir </w:t>
      </w:r>
      <w:proofErr w:type="spellStart"/>
      <w:r w:rsidRPr="00F720A6">
        <w:rPr>
          <w:lang w:val="fr-FR"/>
        </w:rPr>
        <w:t>Kapija</w:t>
      </w:r>
      <w:proofErr w:type="spellEnd"/>
      <w:r w:rsidRPr="00F720A6">
        <w:rPr>
          <w:lang w:val="fr-FR"/>
        </w:rPr>
        <w:t xml:space="preserve"> pour personnes handicapées mentales vers des foyers, et leur pleine intégration dans la collectivité, est en cours</w:t>
      </w:r>
    </w:p>
    <w:p w14:paraId="2859F7DB" w14:textId="77777777" w:rsidR="003C48D6" w:rsidRPr="00F720A6" w:rsidRDefault="003C48D6" w:rsidP="00FA3418">
      <w:pPr>
        <w:pStyle w:val="SingleTxtG"/>
        <w:rPr>
          <w:lang w:val="fr-FR"/>
        </w:rPr>
      </w:pPr>
      <w:r w:rsidRPr="00F720A6">
        <w:rPr>
          <w:lang w:val="fr-FR"/>
        </w:rPr>
        <w:t>98.</w:t>
      </w:r>
      <w:r w:rsidRPr="00F720A6">
        <w:rPr>
          <w:lang w:val="fr-FR"/>
        </w:rPr>
        <w:tab/>
        <w:t>En outre, le Ministère du travail et de la politique sociale interdit désormais de placer des enfants ou des personnes handicapées dans les établissements résidentiels existants.</w:t>
      </w:r>
    </w:p>
    <w:p w14:paraId="1E865B63" w14:textId="77777777" w:rsidR="003C48D6" w:rsidRPr="00F720A6" w:rsidRDefault="003C48D6" w:rsidP="00FA3418">
      <w:pPr>
        <w:pStyle w:val="H23G"/>
        <w:rPr>
          <w:lang w:val="fr-FR"/>
        </w:rPr>
      </w:pPr>
      <w:r w:rsidRPr="00F720A6">
        <w:rPr>
          <w:lang w:val="fr-FR"/>
        </w:rPr>
        <w:tab/>
        <w:t>g)</w:t>
      </w:r>
      <w:r w:rsidRPr="00F720A6">
        <w:rPr>
          <w:lang w:val="fr-FR"/>
        </w:rPr>
        <w:tab/>
      </w:r>
      <w:r w:rsidRPr="00F720A6">
        <w:rPr>
          <w:bCs/>
          <w:lang w:val="fr-FR"/>
        </w:rPr>
        <w:t xml:space="preserve">Examen périodique du </w:t>
      </w:r>
      <w:r w:rsidRPr="00FA3418">
        <w:rPr>
          <w:lang w:val="fr-FR"/>
        </w:rPr>
        <w:t>placement</w:t>
      </w:r>
      <w:r w:rsidRPr="00F720A6">
        <w:rPr>
          <w:bCs/>
          <w:lang w:val="fr-FR"/>
        </w:rPr>
        <w:t xml:space="preserve"> (art. 25)</w:t>
      </w:r>
      <w:bookmarkStart w:id="34" w:name="_Toc56781437"/>
      <w:bookmarkEnd w:id="34"/>
    </w:p>
    <w:p w14:paraId="236C9BBD" w14:textId="77777777" w:rsidR="003C48D6" w:rsidRPr="00F720A6" w:rsidRDefault="003C48D6" w:rsidP="00FA3418">
      <w:pPr>
        <w:pStyle w:val="SingleTxtG"/>
        <w:rPr>
          <w:lang w:val="fr-FR"/>
        </w:rPr>
      </w:pPr>
      <w:r w:rsidRPr="00F720A6">
        <w:rPr>
          <w:lang w:val="fr-FR"/>
        </w:rPr>
        <w:t>99.</w:t>
      </w:r>
      <w:r w:rsidRPr="00F720A6">
        <w:rPr>
          <w:lang w:val="fr-FR"/>
        </w:rPr>
        <w:tab/>
        <w:t>Le placement des enfants en familles d</w:t>
      </w:r>
      <w:r w:rsidR="00254912">
        <w:rPr>
          <w:lang w:val="fr-FR"/>
        </w:rPr>
        <w:t>’</w:t>
      </w:r>
      <w:r w:rsidRPr="00F720A6">
        <w:rPr>
          <w:lang w:val="fr-FR"/>
        </w:rPr>
        <w:t>accueil et en institution est assuré par l</w:t>
      </w:r>
      <w:r w:rsidR="00254912">
        <w:rPr>
          <w:lang w:val="fr-FR"/>
        </w:rPr>
        <w:t>’</w:t>
      </w:r>
      <w:r w:rsidRPr="00F720A6">
        <w:rPr>
          <w:lang w:val="fr-FR"/>
        </w:rPr>
        <w:t>organisme de tutelle compétent, c</w:t>
      </w:r>
      <w:r w:rsidR="00254912">
        <w:rPr>
          <w:lang w:val="fr-FR"/>
        </w:rPr>
        <w:t>’</w:t>
      </w:r>
      <w:r w:rsidRPr="00F720A6">
        <w:rPr>
          <w:lang w:val="fr-FR"/>
        </w:rPr>
        <w:t>est-à-dire le centre d</w:t>
      </w:r>
      <w:r w:rsidR="00254912">
        <w:rPr>
          <w:lang w:val="fr-FR"/>
        </w:rPr>
        <w:t>’</w:t>
      </w:r>
      <w:r w:rsidRPr="00F720A6">
        <w:rPr>
          <w:lang w:val="fr-FR"/>
        </w:rPr>
        <w:t>aide sociale. Les enfants placés sont suivis par les équipes professionnelles des centres d</w:t>
      </w:r>
      <w:r w:rsidR="00254912">
        <w:rPr>
          <w:lang w:val="fr-FR"/>
        </w:rPr>
        <w:t>’</w:t>
      </w:r>
      <w:r w:rsidRPr="00F720A6">
        <w:rPr>
          <w:lang w:val="fr-FR"/>
        </w:rPr>
        <w:t>aide sociale qui, en coopération avec les professionnels de l</w:t>
      </w:r>
      <w:r w:rsidR="00254912">
        <w:rPr>
          <w:lang w:val="fr-FR"/>
        </w:rPr>
        <w:t>’</w:t>
      </w:r>
      <w:r w:rsidRPr="00F720A6">
        <w:rPr>
          <w:lang w:val="fr-FR"/>
        </w:rPr>
        <w:t>institution, élaborent des plans individualisés pour chaque enfant et suivent le développement et les besoins de celui-ci.</w:t>
      </w:r>
    </w:p>
    <w:p w14:paraId="189F7309" w14:textId="77777777" w:rsidR="003C48D6" w:rsidRPr="00F720A6" w:rsidRDefault="003C48D6" w:rsidP="00FA3418">
      <w:pPr>
        <w:pStyle w:val="SingleTxtG"/>
        <w:rPr>
          <w:lang w:val="fr-FR"/>
        </w:rPr>
      </w:pPr>
      <w:r w:rsidRPr="00F720A6">
        <w:rPr>
          <w:lang w:val="fr-FR"/>
        </w:rPr>
        <w:t>100.</w:t>
      </w:r>
      <w:r w:rsidRPr="00F720A6">
        <w:rPr>
          <w:lang w:val="fr-FR"/>
        </w:rPr>
        <w:tab/>
        <w:t>Pour les enfants placés en familles d</w:t>
      </w:r>
      <w:r w:rsidR="00254912">
        <w:rPr>
          <w:lang w:val="fr-FR"/>
        </w:rPr>
        <w:t>’</w:t>
      </w:r>
      <w:r w:rsidRPr="00F720A6">
        <w:rPr>
          <w:lang w:val="fr-FR"/>
        </w:rPr>
        <w:t>accueil, les équipes professionnelles élaborent des plans individualisés de travail pour les enfants et veillent à leur mise en œuvre au cours de visites périodiques au domicile de ces familles. Simultanément, les équipes professionnelles offrent aussi un soutien aux familles d</w:t>
      </w:r>
      <w:r w:rsidR="00254912">
        <w:rPr>
          <w:lang w:val="fr-FR"/>
        </w:rPr>
        <w:t>’</w:t>
      </w:r>
      <w:r w:rsidRPr="00F720A6">
        <w:rPr>
          <w:lang w:val="fr-FR"/>
        </w:rPr>
        <w:t>accueil dans leur prise en charge de l</w:t>
      </w:r>
      <w:r w:rsidR="00254912">
        <w:rPr>
          <w:lang w:val="fr-FR"/>
        </w:rPr>
        <w:t>’</w:t>
      </w:r>
      <w:r w:rsidRPr="00F720A6">
        <w:rPr>
          <w:lang w:val="fr-FR"/>
        </w:rPr>
        <w:t xml:space="preserve">enfant. </w:t>
      </w:r>
    </w:p>
    <w:p w14:paraId="380CDDC9" w14:textId="77777777" w:rsidR="003C48D6" w:rsidRPr="00F720A6" w:rsidRDefault="003C48D6" w:rsidP="00FA3418">
      <w:pPr>
        <w:pStyle w:val="H23G"/>
        <w:rPr>
          <w:rStyle w:val="Appelnotedebasdep"/>
          <w:lang w:val="fr-FR"/>
        </w:rPr>
      </w:pPr>
      <w:r w:rsidRPr="00F720A6">
        <w:rPr>
          <w:lang w:val="fr-FR"/>
        </w:rPr>
        <w:tab/>
      </w:r>
      <w:r w:rsidRPr="00F720A6">
        <w:rPr>
          <w:lang w:val="fr-FR"/>
        </w:rPr>
        <w:tab/>
      </w:r>
      <w:r w:rsidRPr="00F720A6">
        <w:rPr>
          <w:bCs/>
          <w:lang w:val="fr-FR"/>
        </w:rPr>
        <w:t xml:space="preserve">Nombre et </w:t>
      </w:r>
      <w:r w:rsidRPr="00FA3418">
        <w:rPr>
          <w:lang w:val="fr-FR"/>
        </w:rPr>
        <w:t>pourcentage</w:t>
      </w:r>
      <w:r w:rsidRPr="00F720A6">
        <w:rPr>
          <w:bCs/>
          <w:lang w:val="fr-FR"/>
        </w:rPr>
        <w:t xml:space="preserve"> d</w:t>
      </w:r>
      <w:r w:rsidR="00254912">
        <w:rPr>
          <w:bCs/>
          <w:lang w:val="fr-FR"/>
        </w:rPr>
        <w:t>’</w:t>
      </w:r>
      <w:r w:rsidRPr="00F720A6">
        <w:rPr>
          <w:bCs/>
          <w:lang w:val="fr-FR"/>
        </w:rPr>
        <w:t xml:space="preserve">enfants séparés de leurs parents qui vivent </w:t>
      </w:r>
      <w:r w:rsidR="00FA3418">
        <w:rPr>
          <w:bCs/>
          <w:lang w:val="fr-FR"/>
        </w:rPr>
        <w:br/>
      </w:r>
      <w:r w:rsidRPr="00F720A6">
        <w:rPr>
          <w:bCs/>
          <w:lang w:val="fr-FR"/>
        </w:rPr>
        <w:t>dans des établissements ou dans des familles d</w:t>
      </w:r>
      <w:r w:rsidR="00254912">
        <w:rPr>
          <w:bCs/>
          <w:lang w:val="fr-FR"/>
        </w:rPr>
        <w:t>’</w:t>
      </w:r>
      <w:r w:rsidRPr="00F720A6">
        <w:rPr>
          <w:bCs/>
          <w:lang w:val="fr-FR"/>
        </w:rPr>
        <w:t xml:space="preserve">accueil, </w:t>
      </w:r>
      <w:r w:rsidR="00FA3418">
        <w:rPr>
          <w:bCs/>
          <w:lang w:val="fr-FR"/>
        </w:rPr>
        <w:br/>
      </w:r>
      <w:r w:rsidRPr="00F720A6">
        <w:rPr>
          <w:bCs/>
          <w:lang w:val="fr-FR"/>
        </w:rPr>
        <w:t>durée des placements et fréquence de leur réexamen</w:t>
      </w:r>
      <w:r w:rsidRPr="00FA3418">
        <w:rPr>
          <w:rStyle w:val="Appelnotedebasdep"/>
          <w:b w:val="0"/>
          <w:bCs/>
        </w:rPr>
        <w:footnoteReference w:id="25"/>
      </w:r>
      <w:bookmarkStart w:id="35" w:name="_Toc56781438"/>
      <w:bookmarkEnd w:id="35"/>
    </w:p>
    <w:tbl>
      <w:tblPr>
        <w:tblW w:w="8505" w:type="dxa"/>
        <w:tblInd w:w="1134" w:type="dxa"/>
        <w:tblLayout w:type="fixed"/>
        <w:tblCellMar>
          <w:left w:w="0" w:type="dxa"/>
          <w:right w:w="0" w:type="dxa"/>
        </w:tblCellMar>
        <w:tblLook w:val="0000" w:firstRow="0" w:lastRow="0" w:firstColumn="0" w:lastColumn="0" w:noHBand="0" w:noVBand="0"/>
      </w:tblPr>
      <w:tblGrid>
        <w:gridCol w:w="991"/>
        <w:gridCol w:w="1136"/>
        <w:gridCol w:w="2046"/>
        <w:gridCol w:w="1274"/>
        <w:gridCol w:w="892"/>
        <w:gridCol w:w="1274"/>
        <w:gridCol w:w="892"/>
      </w:tblGrid>
      <w:tr w:rsidR="003C48D6" w:rsidRPr="00FA3418" w14:paraId="7FCF4052" w14:textId="77777777" w:rsidTr="00B0341D">
        <w:trPr>
          <w:tblHeader/>
        </w:trPr>
        <w:tc>
          <w:tcPr>
            <w:tcW w:w="991" w:type="dxa"/>
            <w:tcBorders>
              <w:top w:val="single" w:sz="4" w:space="0" w:color="auto"/>
              <w:bottom w:val="single" w:sz="12" w:space="0" w:color="auto"/>
            </w:tcBorders>
            <w:shd w:val="clear" w:color="auto" w:fill="auto"/>
            <w:tcMar>
              <w:left w:w="0" w:type="dxa"/>
              <w:right w:w="0" w:type="dxa"/>
            </w:tcMar>
            <w:vAlign w:val="bottom"/>
          </w:tcPr>
          <w:p w14:paraId="60A546BA" w14:textId="77777777" w:rsidR="003C48D6" w:rsidRPr="00FA3418" w:rsidRDefault="003C48D6" w:rsidP="00FA3418">
            <w:pPr>
              <w:suppressAutoHyphens w:val="0"/>
              <w:spacing w:before="80" w:after="80" w:line="200" w:lineRule="exact"/>
              <w:rPr>
                <w:i/>
                <w:sz w:val="16"/>
                <w:lang w:val="fr-FR"/>
              </w:rPr>
            </w:pPr>
            <w:r w:rsidRPr="00FA3418">
              <w:rPr>
                <w:i/>
                <w:sz w:val="16"/>
                <w:lang w:val="fr-FR"/>
              </w:rPr>
              <w:t>Période</w:t>
            </w:r>
          </w:p>
        </w:tc>
        <w:tc>
          <w:tcPr>
            <w:tcW w:w="1136" w:type="dxa"/>
            <w:tcBorders>
              <w:top w:val="single" w:sz="4" w:space="0" w:color="auto"/>
              <w:bottom w:val="single" w:sz="12" w:space="0" w:color="auto"/>
            </w:tcBorders>
            <w:shd w:val="clear" w:color="auto" w:fill="auto"/>
            <w:tcMar>
              <w:left w:w="0" w:type="dxa"/>
              <w:right w:w="0" w:type="dxa"/>
            </w:tcMar>
            <w:vAlign w:val="bottom"/>
          </w:tcPr>
          <w:p w14:paraId="3F973E30" w14:textId="77777777" w:rsidR="003C48D6" w:rsidRPr="00FA3418" w:rsidRDefault="003C48D6" w:rsidP="00FA3418">
            <w:pPr>
              <w:suppressAutoHyphens w:val="0"/>
              <w:spacing w:before="80" w:after="80" w:line="200" w:lineRule="exact"/>
              <w:jc w:val="right"/>
              <w:rPr>
                <w:i/>
                <w:sz w:val="16"/>
                <w:lang w:val="fr-FR"/>
              </w:rPr>
            </w:pPr>
            <w:r w:rsidRPr="00FA3418">
              <w:rPr>
                <w:i/>
                <w:sz w:val="16"/>
                <w:lang w:val="fr-FR"/>
              </w:rPr>
              <w:t>Nombre total d</w:t>
            </w:r>
            <w:r w:rsidR="00254912">
              <w:rPr>
                <w:i/>
                <w:sz w:val="16"/>
                <w:lang w:val="fr-FR"/>
              </w:rPr>
              <w:t>’</w:t>
            </w:r>
            <w:r w:rsidRPr="00FA3418">
              <w:rPr>
                <w:i/>
                <w:sz w:val="16"/>
                <w:lang w:val="fr-FR"/>
              </w:rPr>
              <w:t>enfants privés de protection parentale</w:t>
            </w:r>
          </w:p>
        </w:tc>
        <w:tc>
          <w:tcPr>
            <w:tcW w:w="2046" w:type="dxa"/>
            <w:tcBorders>
              <w:top w:val="single" w:sz="4" w:space="0" w:color="auto"/>
              <w:bottom w:val="single" w:sz="12" w:space="0" w:color="auto"/>
            </w:tcBorders>
            <w:shd w:val="clear" w:color="auto" w:fill="auto"/>
            <w:tcMar>
              <w:left w:w="0" w:type="dxa"/>
              <w:right w:w="0" w:type="dxa"/>
            </w:tcMar>
            <w:vAlign w:val="bottom"/>
          </w:tcPr>
          <w:p w14:paraId="28399181" w14:textId="77777777" w:rsidR="003C48D6" w:rsidRPr="00FA3418" w:rsidRDefault="003C48D6" w:rsidP="00FA3418">
            <w:pPr>
              <w:suppressAutoHyphens w:val="0"/>
              <w:spacing w:before="80" w:after="80" w:line="200" w:lineRule="exact"/>
              <w:jc w:val="right"/>
              <w:rPr>
                <w:i/>
                <w:sz w:val="16"/>
                <w:lang w:val="fr-FR"/>
              </w:rPr>
            </w:pPr>
            <w:r w:rsidRPr="00FA3418">
              <w:rPr>
                <w:i/>
                <w:sz w:val="16"/>
                <w:lang w:val="fr-FR"/>
              </w:rPr>
              <w:t xml:space="preserve">Enfants privés de protection parentale et placés au foyer pour nourrissons et enfants </w:t>
            </w:r>
            <w:r w:rsidR="00B0341D">
              <w:rPr>
                <w:i/>
                <w:sz w:val="16"/>
                <w:lang w:val="fr-FR"/>
              </w:rPr>
              <w:br/>
            </w:r>
            <w:r w:rsidRPr="00FA3418">
              <w:rPr>
                <w:i/>
                <w:sz w:val="16"/>
                <w:lang w:val="fr-FR"/>
              </w:rPr>
              <w:t>en bas âge de Bitola</w:t>
            </w:r>
          </w:p>
        </w:tc>
        <w:tc>
          <w:tcPr>
            <w:tcW w:w="1274" w:type="dxa"/>
            <w:tcBorders>
              <w:top w:val="single" w:sz="4" w:space="0" w:color="auto"/>
              <w:bottom w:val="single" w:sz="12" w:space="0" w:color="auto"/>
            </w:tcBorders>
            <w:shd w:val="clear" w:color="auto" w:fill="auto"/>
            <w:tcMar>
              <w:left w:w="0" w:type="dxa"/>
              <w:right w:w="0" w:type="dxa"/>
            </w:tcMar>
            <w:vAlign w:val="bottom"/>
          </w:tcPr>
          <w:p w14:paraId="438FC214" w14:textId="77777777" w:rsidR="003C48D6" w:rsidRPr="00FA3418" w:rsidRDefault="003C48D6" w:rsidP="00FA3418">
            <w:pPr>
              <w:suppressAutoHyphens w:val="0"/>
              <w:spacing w:before="80" w:after="80" w:line="200" w:lineRule="exact"/>
              <w:jc w:val="right"/>
              <w:rPr>
                <w:i/>
                <w:sz w:val="16"/>
                <w:lang w:val="fr-FR"/>
              </w:rPr>
            </w:pPr>
            <w:r w:rsidRPr="00FA3418">
              <w:rPr>
                <w:i/>
                <w:sz w:val="16"/>
                <w:lang w:val="fr-FR"/>
              </w:rPr>
              <w:t xml:space="preserve">Maison </w:t>
            </w:r>
            <w:r w:rsidR="00B0341D">
              <w:rPr>
                <w:i/>
                <w:sz w:val="16"/>
                <w:lang w:val="fr-FR"/>
              </w:rPr>
              <w:br/>
            </w:r>
            <w:r w:rsidRPr="00FA3418">
              <w:rPr>
                <w:i/>
                <w:sz w:val="16"/>
                <w:lang w:val="fr-FR"/>
              </w:rPr>
              <w:t xml:space="preserve">des enfants </w:t>
            </w:r>
            <w:r w:rsidR="00B0341D">
              <w:rPr>
                <w:i/>
                <w:sz w:val="16"/>
                <w:lang w:val="fr-FR"/>
              </w:rPr>
              <w:br/>
            </w:r>
            <w:r w:rsidRPr="00FA3418">
              <w:rPr>
                <w:i/>
                <w:sz w:val="16"/>
                <w:lang w:val="fr-FR"/>
              </w:rPr>
              <w:t>du 11 octobre, Skopje</w:t>
            </w:r>
          </w:p>
        </w:tc>
        <w:tc>
          <w:tcPr>
            <w:tcW w:w="892" w:type="dxa"/>
            <w:tcBorders>
              <w:top w:val="single" w:sz="4" w:space="0" w:color="auto"/>
              <w:bottom w:val="single" w:sz="12" w:space="0" w:color="auto"/>
            </w:tcBorders>
            <w:shd w:val="clear" w:color="auto" w:fill="auto"/>
            <w:tcMar>
              <w:left w:w="0" w:type="dxa"/>
              <w:right w:w="0" w:type="dxa"/>
            </w:tcMar>
            <w:vAlign w:val="bottom"/>
          </w:tcPr>
          <w:p w14:paraId="7D15464A" w14:textId="77777777" w:rsidR="003C48D6" w:rsidRPr="00FA3418" w:rsidRDefault="003C48D6" w:rsidP="00FA3418">
            <w:pPr>
              <w:suppressAutoHyphens w:val="0"/>
              <w:spacing w:before="80" w:after="80" w:line="200" w:lineRule="exact"/>
              <w:jc w:val="right"/>
              <w:rPr>
                <w:i/>
                <w:sz w:val="16"/>
                <w:lang w:val="fr-FR"/>
              </w:rPr>
            </w:pPr>
            <w:r w:rsidRPr="00FA3418">
              <w:rPr>
                <w:i/>
                <w:sz w:val="16"/>
                <w:lang w:val="fr-FR"/>
              </w:rPr>
              <w:t>Foyer de petits groupes, Berovo</w:t>
            </w:r>
          </w:p>
        </w:tc>
        <w:tc>
          <w:tcPr>
            <w:tcW w:w="1274" w:type="dxa"/>
            <w:tcBorders>
              <w:top w:val="single" w:sz="4" w:space="0" w:color="auto"/>
              <w:bottom w:val="single" w:sz="12" w:space="0" w:color="auto"/>
            </w:tcBorders>
            <w:shd w:val="clear" w:color="auto" w:fill="auto"/>
            <w:vAlign w:val="bottom"/>
          </w:tcPr>
          <w:p w14:paraId="34367A99" w14:textId="77777777" w:rsidR="003C48D6" w:rsidRPr="00FA3418" w:rsidRDefault="003C48D6" w:rsidP="00FA3418">
            <w:pPr>
              <w:suppressAutoHyphens w:val="0"/>
              <w:spacing w:before="80" w:after="80" w:line="200" w:lineRule="exact"/>
              <w:jc w:val="right"/>
              <w:rPr>
                <w:i/>
                <w:sz w:val="16"/>
                <w:lang w:val="fr-FR"/>
              </w:rPr>
            </w:pPr>
            <w:r w:rsidRPr="00FA3418">
              <w:rPr>
                <w:i/>
                <w:sz w:val="16"/>
                <w:lang w:val="fr-FR"/>
              </w:rPr>
              <w:t>Placement sous tutelle</w:t>
            </w:r>
          </w:p>
        </w:tc>
        <w:tc>
          <w:tcPr>
            <w:tcW w:w="892" w:type="dxa"/>
            <w:tcBorders>
              <w:top w:val="single" w:sz="4" w:space="0" w:color="auto"/>
              <w:bottom w:val="single" w:sz="12" w:space="0" w:color="auto"/>
            </w:tcBorders>
            <w:shd w:val="clear" w:color="auto" w:fill="auto"/>
            <w:vAlign w:val="bottom"/>
          </w:tcPr>
          <w:p w14:paraId="290A00D9" w14:textId="77777777" w:rsidR="003C48D6" w:rsidRPr="00FA3418" w:rsidRDefault="003C48D6" w:rsidP="00FA3418">
            <w:pPr>
              <w:suppressAutoHyphens w:val="0"/>
              <w:spacing w:before="80" w:after="80" w:line="200" w:lineRule="exact"/>
              <w:jc w:val="right"/>
              <w:rPr>
                <w:i/>
                <w:sz w:val="16"/>
                <w:lang w:val="fr-FR"/>
              </w:rPr>
            </w:pPr>
            <w:r w:rsidRPr="00FA3418">
              <w:rPr>
                <w:i/>
                <w:sz w:val="16"/>
                <w:lang w:val="fr-FR"/>
              </w:rPr>
              <w:t>Familles d</w:t>
            </w:r>
            <w:r w:rsidR="00254912">
              <w:rPr>
                <w:i/>
                <w:sz w:val="16"/>
                <w:lang w:val="fr-FR"/>
              </w:rPr>
              <w:t>’</w:t>
            </w:r>
            <w:r w:rsidRPr="00FA3418">
              <w:rPr>
                <w:i/>
                <w:sz w:val="16"/>
                <w:lang w:val="fr-FR"/>
              </w:rPr>
              <w:t>accueil</w:t>
            </w:r>
          </w:p>
        </w:tc>
      </w:tr>
      <w:tr w:rsidR="003C48D6" w:rsidRPr="00FA3418" w14:paraId="7542827F" w14:textId="77777777" w:rsidTr="00B0341D">
        <w:tc>
          <w:tcPr>
            <w:tcW w:w="991" w:type="dxa"/>
            <w:tcBorders>
              <w:top w:val="single" w:sz="12" w:space="0" w:color="auto"/>
            </w:tcBorders>
            <w:shd w:val="clear" w:color="auto" w:fill="auto"/>
            <w:tcMar>
              <w:left w:w="0" w:type="dxa"/>
              <w:right w:w="0" w:type="dxa"/>
            </w:tcMar>
          </w:tcPr>
          <w:p w14:paraId="4CE39288" w14:textId="77777777" w:rsidR="003C48D6" w:rsidRPr="00FA3418" w:rsidRDefault="003C48D6" w:rsidP="00FA3418">
            <w:pPr>
              <w:suppressAutoHyphens w:val="0"/>
              <w:spacing w:before="40" w:after="40" w:line="220" w:lineRule="exact"/>
              <w:rPr>
                <w:sz w:val="18"/>
                <w:szCs w:val="18"/>
                <w:lang w:val="fr-FR"/>
              </w:rPr>
            </w:pPr>
            <w:r w:rsidRPr="00FA3418">
              <w:rPr>
                <w:sz w:val="18"/>
                <w:szCs w:val="18"/>
                <w:lang w:val="fr-FR"/>
              </w:rPr>
              <w:t>2014</w:t>
            </w:r>
          </w:p>
        </w:tc>
        <w:tc>
          <w:tcPr>
            <w:tcW w:w="1136" w:type="dxa"/>
            <w:tcBorders>
              <w:top w:val="single" w:sz="12" w:space="0" w:color="auto"/>
            </w:tcBorders>
            <w:shd w:val="clear" w:color="auto" w:fill="auto"/>
            <w:tcMar>
              <w:left w:w="0" w:type="dxa"/>
              <w:right w:w="0" w:type="dxa"/>
            </w:tcMar>
            <w:vAlign w:val="bottom"/>
          </w:tcPr>
          <w:p w14:paraId="51795847"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1 226</w:t>
            </w:r>
          </w:p>
        </w:tc>
        <w:tc>
          <w:tcPr>
            <w:tcW w:w="2046" w:type="dxa"/>
            <w:tcBorders>
              <w:top w:val="single" w:sz="12" w:space="0" w:color="auto"/>
            </w:tcBorders>
            <w:shd w:val="clear" w:color="auto" w:fill="auto"/>
            <w:tcMar>
              <w:left w:w="0" w:type="dxa"/>
              <w:right w:w="0" w:type="dxa"/>
            </w:tcMar>
            <w:vAlign w:val="bottom"/>
          </w:tcPr>
          <w:p w14:paraId="373C72B6"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78</w:t>
            </w:r>
          </w:p>
        </w:tc>
        <w:tc>
          <w:tcPr>
            <w:tcW w:w="1274" w:type="dxa"/>
            <w:tcBorders>
              <w:top w:val="single" w:sz="12" w:space="0" w:color="auto"/>
            </w:tcBorders>
            <w:shd w:val="clear" w:color="auto" w:fill="auto"/>
            <w:tcMar>
              <w:left w:w="0" w:type="dxa"/>
              <w:right w:w="0" w:type="dxa"/>
            </w:tcMar>
            <w:vAlign w:val="bottom"/>
          </w:tcPr>
          <w:p w14:paraId="25097E92"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55</w:t>
            </w:r>
          </w:p>
        </w:tc>
        <w:tc>
          <w:tcPr>
            <w:tcW w:w="892" w:type="dxa"/>
            <w:tcBorders>
              <w:top w:val="single" w:sz="12" w:space="0" w:color="auto"/>
            </w:tcBorders>
            <w:shd w:val="clear" w:color="auto" w:fill="auto"/>
            <w:tcMar>
              <w:left w:w="0" w:type="dxa"/>
              <w:right w:w="0" w:type="dxa"/>
            </w:tcMar>
            <w:vAlign w:val="bottom"/>
          </w:tcPr>
          <w:p w14:paraId="78496155"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5</w:t>
            </w:r>
          </w:p>
        </w:tc>
        <w:tc>
          <w:tcPr>
            <w:tcW w:w="1274" w:type="dxa"/>
            <w:tcBorders>
              <w:top w:val="single" w:sz="12" w:space="0" w:color="auto"/>
            </w:tcBorders>
            <w:shd w:val="clear" w:color="auto" w:fill="auto"/>
            <w:vAlign w:val="bottom"/>
          </w:tcPr>
          <w:p w14:paraId="3227DFDC"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830</w:t>
            </w:r>
          </w:p>
        </w:tc>
        <w:tc>
          <w:tcPr>
            <w:tcW w:w="892" w:type="dxa"/>
            <w:tcBorders>
              <w:top w:val="single" w:sz="12" w:space="0" w:color="auto"/>
            </w:tcBorders>
            <w:shd w:val="clear" w:color="auto" w:fill="auto"/>
            <w:vAlign w:val="bottom"/>
          </w:tcPr>
          <w:p w14:paraId="3EC3B6A4"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258</w:t>
            </w:r>
          </w:p>
        </w:tc>
      </w:tr>
      <w:tr w:rsidR="003C48D6" w:rsidRPr="00FA3418" w14:paraId="2610A55E" w14:textId="77777777" w:rsidTr="00B0341D">
        <w:tc>
          <w:tcPr>
            <w:tcW w:w="991" w:type="dxa"/>
            <w:shd w:val="clear" w:color="auto" w:fill="auto"/>
            <w:tcMar>
              <w:left w:w="0" w:type="dxa"/>
              <w:right w:w="0" w:type="dxa"/>
            </w:tcMar>
          </w:tcPr>
          <w:p w14:paraId="139548F0" w14:textId="77777777" w:rsidR="003C48D6" w:rsidRPr="00FA3418" w:rsidRDefault="003C48D6" w:rsidP="00FA3418">
            <w:pPr>
              <w:suppressAutoHyphens w:val="0"/>
              <w:spacing w:before="40" w:after="40" w:line="220" w:lineRule="exact"/>
              <w:rPr>
                <w:sz w:val="18"/>
                <w:szCs w:val="18"/>
                <w:lang w:val="fr-FR"/>
              </w:rPr>
            </w:pPr>
            <w:r w:rsidRPr="00FA3418">
              <w:rPr>
                <w:sz w:val="18"/>
                <w:szCs w:val="18"/>
                <w:lang w:val="fr-FR"/>
              </w:rPr>
              <w:t>2015</w:t>
            </w:r>
          </w:p>
        </w:tc>
        <w:tc>
          <w:tcPr>
            <w:tcW w:w="1136" w:type="dxa"/>
            <w:shd w:val="clear" w:color="auto" w:fill="auto"/>
            <w:tcMar>
              <w:left w:w="0" w:type="dxa"/>
              <w:right w:w="0" w:type="dxa"/>
            </w:tcMar>
            <w:vAlign w:val="bottom"/>
          </w:tcPr>
          <w:p w14:paraId="611BC9F8"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1 303</w:t>
            </w:r>
          </w:p>
        </w:tc>
        <w:tc>
          <w:tcPr>
            <w:tcW w:w="2046" w:type="dxa"/>
            <w:shd w:val="clear" w:color="auto" w:fill="auto"/>
            <w:tcMar>
              <w:left w:w="0" w:type="dxa"/>
              <w:right w:w="0" w:type="dxa"/>
            </w:tcMar>
            <w:vAlign w:val="bottom"/>
          </w:tcPr>
          <w:p w14:paraId="02202470"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79</w:t>
            </w:r>
          </w:p>
        </w:tc>
        <w:tc>
          <w:tcPr>
            <w:tcW w:w="1274" w:type="dxa"/>
            <w:shd w:val="clear" w:color="auto" w:fill="auto"/>
            <w:tcMar>
              <w:left w:w="0" w:type="dxa"/>
              <w:right w:w="0" w:type="dxa"/>
            </w:tcMar>
            <w:vAlign w:val="bottom"/>
          </w:tcPr>
          <w:p w14:paraId="26227B09"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66</w:t>
            </w:r>
          </w:p>
        </w:tc>
        <w:tc>
          <w:tcPr>
            <w:tcW w:w="892" w:type="dxa"/>
            <w:shd w:val="clear" w:color="auto" w:fill="auto"/>
            <w:tcMar>
              <w:left w:w="0" w:type="dxa"/>
              <w:right w:w="0" w:type="dxa"/>
            </w:tcMar>
            <w:vAlign w:val="bottom"/>
          </w:tcPr>
          <w:p w14:paraId="13D6D168"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5</w:t>
            </w:r>
          </w:p>
        </w:tc>
        <w:tc>
          <w:tcPr>
            <w:tcW w:w="1274" w:type="dxa"/>
            <w:shd w:val="clear" w:color="auto" w:fill="auto"/>
            <w:vAlign w:val="bottom"/>
          </w:tcPr>
          <w:p w14:paraId="332C31B0"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874</w:t>
            </w:r>
          </w:p>
        </w:tc>
        <w:tc>
          <w:tcPr>
            <w:tcW w:w="892" w:type="dxa"/>
            <w:shd w:val="clear" w:color="auto" w:fill="auto"/>
            <w:vAlign w:val="bottom"/>
          </w:tcPr>
          <w:p w14:paraId="417AFB8A"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279</w:t>
            </w:r>
          </w:p>
        </w:tc>
      </w:tr>
      <w:tr w:rsidR="003C48D6" w:rsidRPr="00FA3418" w14:paraId="5F3A0825" w14:textId="77777777" w:rsidTr="00B0341D">
        <w:tc>
          <w:tcPr>
            <w:tcW w:w="991" w:type="dxa"/>
            <w:shd w:val="clear" w:color="auto" w:fill="auto"/>
            <w:tcMar>
              <w:left w:w="0" w:type="dxa"/>
              <w:right w:w="0" w:type="dxa"/>
            </w:tcMar>
          </w:tcPr>
          <w:p w14:paraId="67A4BE85" w14:textId="77777777" w:rsidR="003C48D6" w:rsidRPr="00FA3418" w:rsidRDefault="003C48D6" w:rsidP="00FA3418">
            <w:pPr>
              <w:suppressAutoHyphens w:val="0"/>
              <w:spacing w:before="40" w:after="40" w:line="220" w:lineRule="exact"/>
              <w:rPr>
                <w:sz w:val="18"/>
                <w:szCs w:val="18"/>
                <w:lang w:val="fr-FR"/>
              </w:rPr>
            </w:pPr>
            <w:r w:rsidRPr="00FA3418">
              <w:rPr>
                <w:sz w:val="18"/>
                <w:szCs w:val="18"/>
                <w:lang w:val="fr-FR"/>
              </w:rPr>
              <w:t>2016</w:t>
            </w:r>
          </w:p>
        </w:tc>
        <w:tc>
          <w:tcPr>
            <w:tcW w:w="1136" w:type="dxa"/>
            <w:shd w:val="clear" w:color="auto" w:fill="auto"/>
            <w:tcMar>
              <w:left w:w="0" w:type="dxa"/>
              <w:right w:w="0" w:type="dxa"/>
            </w:tcMar>
            <w:vAlign w:val="bottom"/>
          </w:tcPr>
          <w:p w14:paraId="362DD713"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1 306</w:t>
            </w:r>
          </w:p>
        </w:tc>
        <w:tc>
          <w:tcPr>
            <w:tcW w:w="2046" w:type="dxa"/>
            <w:shd w:val="clear" w:color="auto" w:fill="auto"/>
            <w:tcMar>
              <w:left w:w="0" w:type="dxa"/>
              <w:right w:w="0" w:type="dxa"/>
            </w:tcMar>
            <w:vAlign w:val="bottom"/>
          </w:tcPr>
          <w:p w14:paraId="17A0B6D1"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66</w:t>
            </w:r>
          </w:p>
        </w:tc>
        <w:tc>
          <w:tcPr>
            <w:tcW w:w="1274" w:type="dxa"/>
            <w:shd w:val="clear" w:color="auto" w:fill="auto"/>
            <w:tcMar>
              <w:left w:w="0" w:type="dxa"/>
              <w:right w:w="0" w:type="dxa"/>
            </w:tcMar>
            <w:vAlign w:val="bottom"/>
          </w:tcPr>
          <w:p w14:paraId="0B922B46"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52</w:t>
            </w:r>
          </w:p>
        </w:tc>
        <w:tc>
          <w:tcPr>
            <w:tcW w:w="892" w:type="dxa"/>
            <w:shd w:val="clear" w:color="auto" w:fill="auto"/>
            <w:tcMar>
              <w:left w:w="0" w:type="dxa"/>
              <w:right w:w="0" w:type="dxa"/>
            </w:tcMar>
            <w:vAlign w:val="bottom"/>
          </w:tcPr>
          <w:p w14:paraId="0192CA84"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9</w:t>
            </w:r>
          </w:p>
        </w:tc>
        <w:tc>
          <w:tcPr>
            <w:tcW w:w="1274" w:type="dxa"/>
            <w:shd w:val="clear" w:color="auto" w:fill="auto"/>
            <w:vAlign w:val="bottom"/>
          </w:tcPr>
          <w:p w14:paraId="776FD243"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893</w:t>
            </w:r>
          </w:p>
        </w:tc>
        <w:tc>
          <w:tcPr>
            <w:tcW w:w="892" w:type="dxa"/>
            <w:shd w:val="clear" w:color="auto" w:fill="auto"/>
            <w:vAlign w:val="bottom"/>
          </w:tcPr>
          <w:p w14:paraId="17E249E8"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286</w:t>
            </w:r>
          </w:p>
        </w:tc>
      </w:tr>
      <w:tr w:rsidR="003C48D6" w:rsidRPr="00FA3418" w14:paraId="1360DBB5" w14:textId="77777777" w:rsidTr="00B0341D">
        <w:tc>
          <w:tcPr>
            <w:tcW w:w="991" w:type="dxa"/>
            <w:shd w:val="clear" w:color="auto" w:fill="auto"/>
            <w:tcMar>
              <w:left w:w="0" w:type="dxa"/>
              <w:right w:w="0" w:type="dxa"/>
            </w:tcMar>
          </w:tcPr>
          <w:p w14:paraId="50575C7D" w14:textId="77777777" w:rsidR="003C48D6" w:rsidRPr="00FA3418" w:rsidRDefault="003C48D6" w:rsidP="00FA3418">
            <w:pPr>
              <w:suppressAutoHyphens w:val="0"/>
              <w:spacing w:before="40" w:after="40" w:line="220" w:lineRule="exact"/>
              <w:rPr>
                <w:sz w:val="18"/>
                <w:szCs w:val="18"/>
                <w:lang w:val="fr-FR"/>
              </w:rPr>
            </w:pPr>
            <w:r w:rsidRPr="00FA3418">
              <w:rPr>
                <w:sz w:val="18"/>
                <w:szCs w:val="18"/>
                <w:lang w:val="fr-FR"/>
              </w:rPr>
              <w:t>2017</w:t>
            </w:r>
          </w:p>
        </w:tc>
        <w:tc>
          <w:tcPr>
            <w:tcW w:w="1136" w:type="dxa"/>
            <w:shd w:val="clear" w:color="auto" w:fill="auto"/>
            <w:tcMar>
              <w:left w:w="0" w:type="dxa"/>
              <w:right w:w="0" w:type="dxa"/>
            </w:tcMar>
            <w:vAlign w:val="bottom"/>
          </w:tcPr>
          <w:p w14:paraId="42841A93"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1 307</w:t>
            </w:r>
          </w:p>
        </w:tc>
        <w:tc>
          <w:tcPr>
            <w:tcW w:w="2046" w:type="dxa"/>
            <w:shd w:val="clear" w:color="auto" w:fill="auto"/>
            <w:tcMar>
              <w:left w:w="0" w:type="dxa"/>
              <w:right w:w="0" w:type="dxa"/>
            </w:tcMar>
            <w:vAlign w:val="bottom"/>
          </w:tcPr>
          <w:p w14:paraId="60FC5A35"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75</w:t>
            </w:r>
          </w:p>
        </w:tc>
        <w:tc>
          <w:tcPr>
            <w:tcW w:w="1274" w:type="dxa"/>
            <w:shd w:val="clear" w:color="auto" w:fill="auto"/>
            <w:tcMar>
              <w:left w:w="0" w:type="dxa"/>
              <w:right w:w="0" w:type="dxa"/>
            </w:tcMar>
            <w:vAlign w:val="bottom"/>
          </w:tcPr>
          <w:p w14:paraId="4C1D972B"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63</w:t>
            </w:r>
          </w:p>
        </w:tc>
        <w:tc>
          <w:tcPr>
            <w:tcW w:w="892" w:type="dxa"/>
            <w:shd w:val="clear" w:color="auto" w:fill="auto"/>
            <w:tcMar>
              <w:left w:w="0" w:type="dxa"/>
              <w:right w:w="0" w:type="dxa"/>
            </w:tcMar>
            <w:vAlign w:val="bottom"/>
          </w:tcPr>
          <w:p w14:paraId="263D2663"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7</w:t>
            </w:r>
          </w:p>
        </w:tc>
        <w:tc>
          <w:tcPr>
            <w:tcW w:w="1274" w:type="dxa"/>
            <w:shd w:val="clear" w:color="auto" w:fill="auto"/>
            <w:vAlign w:val="bottom"/>
          </w:tcPr>
          <w:p w14:paraId="12F66EAC"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865</w:t>
            </w:r>
          </w:p>
        </w:tc>
        <w:tc>
          <w:tcPr>
            <w:tcW w:w="892" w:type="dxa"/>
            <w:shd w:val="clear" w:color="auto" w:fill="auto"/>
            <w:vAlign w:val="bottom"/>
          </w:tcPr>
          <w:p w14:paraId="130073A2"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297</w:t>
            </w:r>
          </w:p>
        </w:tc>
      </w:tr>
      <w:tr w:rsidR="003C48D6" w:rsidRPr="00FA3418" w14:paraId="22F33317" w14:textId="77777777" w:rsidTr="00B0341D">
        <w:tc>
          <w:tcPr>
            <w:tcW w:w="991" w:type="dxa"/>
            <w:tcBorders>
              <w:bottom w:val="single" w:sz="12" w:space="0" w:color="auto"/>
            </w:tcBorders>
            <w:shd w:val="clear" w:color="auto" w:fill="auto"/>
            <w:tcMar>
              <w:left w:w="0" w:type="dxa"/>
              <w:right w:w="0" w:type="dxa"/>
            </w:tcMar>
          </w:tcPr>
          <w:p w14:paraId="05D957AB" w14:textId="77777777" w:rsidR="003C48D6" w:rsidRPr="00FA3418" w:rsidRDefault="003C48D6" w:rsidP="00FA3418">
            <w:pPr>
              <w:suppressAutoHyphens w:val="0"/>
              <w:spacing w:before="40" w:after="40" w:line="220" w:lineRule="exact"/>
              <w:rPr>
                <w:sz w:val="18"/>
                <w:szCs w:val="18"/>
                <w:lang w:val="fr-FR"/>
              </w:rPr>
            </w:pPr>
            <w:r w:rsidRPr="00FA3418">
              <w:rPr>
                <w:sz w:val="18"/>
                <w:szCs w:val="18"/>
                <w:lang w:val="fr-FR"/>
              </w:rPr>
              <w:t>2018</w:t>
            </w:r>
          </w:p>
        </w:tc>
        <w:tc>
          <w:tcPr>
            <w:tcW w:w="1136" w:type="dxa"/>
            <w:tcBorders>
              <w:bottom w:val="single" w:sz="12" w:space="0" w:color="auto"/>
            </w:tcBorders>
            <w:shd w:val="clear" w:color="auto" w:fill="auto"/>
            <w:tcMar>
              <w:left w:w="0" w:type="dxa"/>
              <w:right w:w="0" w:type="dxa"/>
            </w:tcMar>
            <w:vAlign w:val="bottom"/>
          </w:tcPr>
          <w:p w14:paraId="7E04F556"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1 305</w:t>
            </w:r>
          </w:p>
        </w:tc>
        <w:tc>
          <w:tcPr>
            <w:tcW w:w="2046" w:type="dxa"/>
            <w:tcBorders>
              <w:bottom w:val="single" w:sz="12" w:space="0" w:color="auto"/>
            </w:tcBorders>
            <w:shd w:val="clear" w:color="auto" w:fill="auto"/>
            <w:tcMar>
              <w:left w:w="0" w:type="dxa"/>
              <w:right w:w="0" w:type="dxa"/>
            </w:tcMar>
            <w:vAlign w:val="bottom"/>
          </w:tcPr>
          <w:p w14:paraId="1F44E99E"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71</w:t>
            </w:r>
          </w:p>
        </w:tc>
        <w:tc>
          <w:tcPr>
            <w:tcW w:w="1274" w:type="dxa"/>
            <w:tcBorders>
              <w:bottom w:val="single" w:sz="12" w:space="0" w:color="auto"/>
            </w:tcBorders>
            <w:shd w:val="clear" w:color="auto" w:fill="auto"/>
            <w:tcMar>
              <w:left w:w="0" w:type="dxa"/>
              <w:right w:w="0" w:type="dxa"/>
            </w:tcMar>
            <w:vAlign w:val="bottom"/>
          </w:tcPr>
          <w:p w14:paraId="31C3122A"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32</w:t>
            </w:r>
          </w:p>
        </w:tc>
        <w:tc>
          <w:tcPr>
            <w:tcW w:w="892" w:type="dxa"/>
            <w:tcBorders>
              <w:bottom w:val="single" w:sz="12" w:space="0" w:color="auto"/>
            </w:tcBorders>
            <w:shd w:val="clear" w:color="auto" w:fill="auto"/>
            <w:tcMar>
              <w:left w:w="0" w:type="dxa"/>
              <w:right w:w="0" w:type="dxa"/>
            </w:tcMar>
            <w:vAlign w:val="bottom"/>
          </w:tcPr>
          <w:p w14:paraId="239C9ED7"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8</w:t>
            </w:r>
          </w:p>
        </w:tc>
        <w:tc>
          <w:tcPr>
            <w:tcW w:w="1274" w:type="dxa"/>
            <w:tcBorders>
              <w:bottom w:val="single" w:sz="12" w:space="0" w:color="auto"/>
            </w:tcBorders>
            <w:shd w:val="clear" w:color="auto" w:fill="auto"/>
            <w:vAlign w:val="bottom"/>
          </w:tcPr>
          <w:p w14:paraId="4A865FD1"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879</w:t>
            </w:r>
          </w:p>
        </w:tc>
        <w:tc>
          <w:tcPr>
            <w:tcW w:w="892" w:type="dxa"/>
            <w:tcBorders>
              <w:bottom w:val="single" w:sz="12" w:space="0" w:color="auto"/>
            </w:tcBorders>
            <w:shd w:val="clear" w:color="auto" w:fill="auto"/>
            <w:vAlign w:val="bottom"/>
          </w:tcPr>
          <w:p w14:paraId="2016BA3B" w14:textId="77777777" w:rsidR="003C48D6" w:rsidRPr="00FA3418" w:rsidRDefault="003C48D6" w:rsidP="00FA3418">
            <w:pPr>
              <w:suppressAutoHyphens w:val="0"/>
              <w:spacing w:before="40" w:after="40" w:line="220" w:lineRule="exact"/>
              <w:jc w:val="right"/>
              <w:rPr>
                <w:sz w:val="18"/>
                <w:szCs w:val="18"/>
                <w:lang w:val="fr-FR"/>
              </w:rPr>
            </w:pPr>
            <w:r w:rsidRPr="00FA3418">
              <w:rPr>
                <w:sz w:val="18"/>
                <w:szCs w:val="18"/>
                <w:lang w:val="fr-FR"/>
              </w:rPr>
              <w:t>315</w:t>
            </w:r>
          </w:p>
        </w:tc>
      </w:tr>
    </w:tbl>
    <w:p w14:paraId="66FBC209" w14:textId="77777777" w:rsidR="003C48D6" w:rsidRPr="00F720A6" w:rsidRDefault="003C48D6" w:rsidP="00E0724A">
      <w:pPr>
        <w:pStyle w:val="H23G"/>
        <w:rPr>
          <w:lang w:val="fr-FR"/>
        </w:rPr>
      </w:pPr>
      <w:r w:rsidRPr="00F720A6">
        <w:rPr>
          <w:lang w:val="fr-FR"/>
        </w:rPr>
        <w:tab/>
        <w:t>h)</w:t>
      </w:r>
      <w:r w:rsidRPr="00F720A6">
        <w:rPr>
          <w:lang w:val="fr-FR"/>
        </w:rPr>
        <w:tab/>
      </w:r>
      <w:r w:rsidRPr="00F720A6">
        <w:rPr>
          <w:bCs/>
          <w:lang w:val="fr-FR"/>
        </w:rPr>
        <w:t>Adoption (nationale et internationale) (art. 21)</w:t>
      </w:r>
      <w:bookmarkStart w:id="36" w:name="_Toc56781439"/>
      <w:bookmarkEnd w:id="36"/>
    </w:p>
    <w:p w14:paraId="634FB473" w14:textId="77777777" w:rsidR="003C48D6" w:rsidRPr="00F720A6" w:rsidRDefault="003C48D6" w:rsidP="00E0724A">
      <w:pPr>
        <w:pStyle w:val="SingleTxtG"/>
        <w:rPr>
          <w:lang w:val="fr-FR"/>
        </w:rPr>
      </w:pPr>
      <w:r w:rsidRPr="00F720A6">
        <w:rPr>
          <w:lang w:val="fr-FR"/>
        </w:rPr>
        <w:t>101.</w:t>
      </w:r>
      <w:r w:rsidRPr="00F720A6">
        <w:rPr>
          <w:lang w:val="fr-FR"/>
        </w:rPr>
        <w:tab/>
        <w:t>Afin de protéger l</w:t>
      </w:r>
      <w:r w:rsidR="00254912">
        <w:rPr>
          <w:lang w:val="fr-FR"/>
        </w:rPr>
        <w:t>’</w:t>
      </w:r>
      <w:r w:rsidRPr="00F720A6">
        <w:rPr>
          <w:lang w:val="fr-FR"/>
        </w:rPr>
        <w:t>intérêt supérieur des enfants et d</w:t>
      </w:r>
      <w:r w:rsidR="00254912">
        <w:rPr>
          <w:lang w:val="fr-FR"/>
        </w:rPr>
        <w:t>’</w:t>
      </w:r>
      <w:r w:rsidRPr="00F720A6">
        <w:rPr>
          <w:lang w:val="fr-FR"/>
        </w:rPr>
        <w:t>assurer leur bien-être, le Ministère du travail et de la politique sociale a modifié la loi sur la famille en août 2014</w:t>
      </w:r>
      <w:r w:rsidRPr="002A465A">
        <w:rPr>
          <w:rStyle w:val="Appelnotedebasdep"/>
        </w:rPr>
        <w:footnoteReference w:id="26"/>
      </w:r>
      <w:r w:rsidRPr="00F720A6">
        <w:rPr>
          <w:lang w:val="fr-FR"/>
        </w:rPr>
        <w:t xml:space="preserve"> pour réduire d</w:t>
      </w:r>
      <w:r w:rsidR="00254912">
        <w:rPr>
          <w:lang w:val="fr-FR"/>
        </w:rPr>
        <w:t>’</w:t>
      </w:r>
      <w:r w:rsidRPr="00F720A6">
        <w:rPr>
          <w:lang w:val="fr-FR"/>
        </w:rPr>
        <w:t>un an à neuf mois la durée de leur séjour dans des institutions ou d</w:t>
      </w:r>
      <w:r w:rsidR="00254912">
        <w:rPr>
          <w:lang w:val="fr-FR"/>
        </w:rPr>
        <w:t>’</w:t>
      </w:r>
      <w:r w:rsidRPr="00F720A6">
        <w:rPr>
          <w:lang w:val="fr-FR"/>
        </w:rPr>
        <w:t xml:space="preserve">autres familles, et a </w:t>
      </w:r>
      <w:r w:rsidRPr="00F720A6">
        <w:rPr>
          <w:lang w:val="fr-FR"/>
        </w:rPr>
        <w:lastRenderedPageBreak/>
        <w:t>raccourci également les délais de traitement permis aux institutions compétentes participant à la procédure d</w:t>
      </w:r>
      <w:r w:rsidR="00254912">
        <w:rPr>
          <w:lang w:val="fr-FR"/>
        </w:rPr>
        <w:t>’</w:t>
      </w:r>
      <w:r w:rsidRPr="00F720A6">
        <w:rPr>
          <w:lang w:val="fr-FR"/>
        </w:rPr>
        <w:t>adoption.</w:t>
      </w:r>
    </w:p>
    <w:p w14:paraId="03CA902C" w14:textId="77777777" w:rsidR="003C48D6" w:rsidRPr="00F720A6" w:rsidRDefault="003C48D6" w:rsidP="00E0724A">
      <w:pPr>
        <w:pStyle w:val="SingleTxtG"/>
        <w:rPr>
          <w:lang w:val="fr-FR"/>
        </w:rPr>
      </w:pPr>
      <w:r w:rsidRPr="00F720A6">
        <w:rPr>
          <w:lang w:val="fr-FR"/>
        </w:rPr>
        <w:t>102.</w:t>
      </w:r>
      <w:r w:rsidRPr="00F720A6">
        <w:rPr>
          <w:lang w:val="fr-FR"/>
        </w:rPr>
        <w:tab/>
        <w:t>En outre, ces modifications de la loi imposent au centre d</w:t>
      </w:r>
      <w:r w:rsidR="00254912">
        <w:rPr>
          <w:lang w:val="fr-FR"/>
        </w:rPr>
        <w:t>’</w:t>
      </w:r>
      <w:r w:rsidRPr="00F720A6">
        <w:rPr>
          <w:lang w:val="fr-FR"/>
        </w:rPr>
        <w:t>aide sociale d</w:t>
      </w:r>
      <w:r w:rsidR="00254912">
        <w:rPr>
          <w:lang w:val="fr-FR"/>
        </w:rPr>
        <w:t>’</w:t>
      </w:r>
      <w:r w:rsidRPr="00F720A6">
        <w:rPr>
          <w:lang w:val="fr-FR"/>
        </w:rPr>
        <w:t>informer par écrit l</w:t>
      </w:r>
      <w:r w:rsidR="00254912">
        <w:rPr>
          <w:lang w:val="fr-FR"/>
        </w:rPr>
        <w:t>’</w:t>
      </w:r>
      <w:r w:rsidRPr="00F720A6">
        <w:rPr>
          <w:lang w:val="fr-FR"/>
        </w:rPr>
        <w:t>Institut de l</w:t>
      </w:r>
      <w:r w:rsidR="00254912">
        <w:rPr>
          <w:lang w:val="fr-FR"/>
        </w:rPr>
        <w:t>’</w:t>
      </w:r>
      <w:r w:rsidRPr="00F720A6">
        <w:rPr>
          <w:lang w:val="fr-FR"/>
        </w:rPr>
        <w:t>aide sociale de Skopje, dans les cinq jours, du placement de chaque enfant dans une institution ou une famille. L</w:t>
      </w:r>
      <w:r w:rsidR="00254912">
        <w:rPr>
          <w:lang w:val="fr-FR"/>
        </w:rPr>
        <w:t>’</w:t>
      </w:r>
      <w:r w:rsidRPr="00F720A6">
        <w:rPr>
          <w:lang w:val="fr-FR"/>
        </w:rPr>
        <w:t>Institut examine le travail du centre d</w:t>
      </w:r>
      <w:r w:rsidR="00254912">
        <w:rPr>
          <w:lang w:val="fr-FR"/>
        </w:rPr>
        <w:t>’</w:t>
      </w:r>
      <w:r w:rsidRPr="00F720A6">
        <w:rPr>
          <w:lang w:val="fr-FR"/>
        </w:rPr>
        <w:t>aide sociale et, s</w:t>
      </w:r>
      <w:r w:rsidR="00254912">
        <w:rPr>
          <w:lang w:val="fr-FR"/>
        </w:rPr>
        <w:t>’</w:t>
      </w:r>
      <w:r w:rsidRPr="00F720A6">
        <w:rPr>
          <w:lang w:val="fr-FR"/>
        </w:rPr>
        <w:t>il constate certaines irrégularités, il est tenu d</w:t>
      </w:r>
      <w:r w:rsidR="00254912">
        <w:rPr>
          <w:lang w:val="fr-FR"/>
        </w:rPr>
        <w:t>’</w:t>
      </w:r>
      <w:r w:rsidRPr="00F720A6">
        <w:rPr>
          <w:lang w:val="fr-FR"/>
        </w:rPr>
        <w:t>en informer l</w:t>
      </w:r>
      <w:r w:rsidR="00254912">
        <w:rPr>
          <w:lang w:val="fr-FR"/>
        </w:rPr>
        <w:t>’</w:t>
      </w:r>
      <w:r w:rsidRPr="00F720A6">
        <w:rPr>
          <w:lang w:val="fr-FR"/>
        </w:rPr>
        <w:t>inspection sociale, qui procédera à un contrôle.</w:t>
      </w:r>
    </w:p>
    <w:p w14:paraId="0D09AD26" w14:textId="77777777" w:rsidR="003C48D6" w:rsidRDefault="003C48D6" w:rsidP="00E0724A">
      <w:pPr>
        <w:pStyle w:val="H23G"/>
        <w:rPr>
          <w:lang w:val="fr-FR"/>
        </w:rPr>
      </w:pPr>
      <w:r w:rsidRPr="00F720A6">
        <w:rPr>
          <w:lang w:val="fr-FR"/>
        </w:rPr>
        <w:tab/>
      </w:r>
      <w:r w:rsidRPr="00F720A6">
        <w:rPr>
          <w:lang w:val="fr-FR"/>
        </w:rPr>
        <w:tab/>
        <w:t>Nombre d</w:t>
      </w:r>
      <w:r w:rsidR="00254912">
        <w:rPr>
          <w:lang w:val="fr-FR"/>
        </w:rPr>
        <w:t>’</w:t>
      </w:r>
      <w:r w:rsidRPr="00F720A6">
        <w:rPr>
          <w:lang w:val="fr-FR"/>
        </w:rPr>
        <w:t>enfants couverts par les programmes d</w:t>
      </w:r>
      <w:r w:rsidR="00254912">
        <w:rPr>
          <w:lang w:val="fr-FR"/>
        </w:rPr>
        <w:t>’</w:t>
      </w:r>
      <w:r w:rsidRPr="00F720A6">
        <w:rPr>
          <w:lang w:val="fr-FR"/>
        </w:rPr>
        <w:t>adoption nationale, internationale et de kafala, ventilés par âge et informations sur le pays d</w:t>
      </w:r>
      <w:r w:rsidR="00254912">
        <w:rPr>
          <w:lang w:val="fr-FR"/>
        </w:rPr>
        <w:t>’</w:t>
      </w:r>
      <w:r w:rsidRPr="00F720A6">
        <w:rPr>
          <w:lang w:val="fr-FR"/>
        </w:rPr>
        <w:t xml:space="preserve">origine </w:t>
      </w:r>
      <w:r w:rsidR="0057442B">
        <w:rPr>
          <w:lang w:val="fr-FR"/>
        </w:rPr>
        <w:br/>
      </w:r>
      <w:r w:rsidRPr="00F720A6">
        <w:rPr>
          <w:lang w:val="fr-FR"/>
        </w:rPr>
        <w:t>et le pays d</w:t>
      </w:r>
      <w:r w:rsidR="00254912">
        <w:rPr>
          <w:lang w:val="fr-FR"/>
        </w:rPr>
        <w:t>’</w:t>
      </w:r>
      <w:r w:rsidRPr="00F720A6">
        <w:rPr>
          <w:lang w:val="fr-FR"/>
        </w:rPr>
        <w:t>adoption</w:t>
      </w:r>
      <w:r w:rsidRPr="008939D5">
        <w:rPr>
          <w:rStyle w:val="Appelnotedebasdep"/>
          <w:b w:val="0"/>
          <w:bCs/>
        </w:rPr>
        <w:footnoteReference w:id="27"/>
      </w:r>
      <w:bookmarkStart w:id="37" w:name="_Toc56781440"/>
      <w:bookmarkEnd w:id="37"/>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709"/>
        <w:gridCol w:w="992"/>
        <w:gridCol w:w="1701"/>
        <w:gridCol w:w="851"/>
        <w:gridCol w:w="977"/>
        <w:gridCol w:w="1112"/>
        <w:gridCol w:w="1028"/>
      </w:tblGrid>
      <w:tr w:rsidR="00E0724A" w:rsidRPr="00BC73E8" w14:paraId="5BE5372A" w14:textId="77777777" w:rsidTr="00E0724A">
        <w:trPr>
          <w:trHeight w:val="240"/>
          <w:tblHeader/>
        </w:trPr>
        <w:tc>
          <w:tcPr>
            <w:tcW w:w="709" w:type="dxa"/>
            <w:vMerge w:val="restart"/>
            <w:tcBorders>
              <w:top w:val="single" w:sz="4" w:space="0" w:color="auto"/>
              <w:bottom w:val="single" w:sz="12" w:space="0" w:color="auto"/>
            </w:tcBorders>
            <w:shd w:val="clear" w:color="auto" w:fill="auto"/>
            <w:vAlign w:val="bottom"/>
          </w:tcPr>
          <w:p w14:paraId="47443105" w14:textId="77777777" w:rsidR="00E0724A" w:rsidRPr="00B92948" w:rsidRDefault="00E0724A" w:rsidP="00DB1B67">
            <w:pPr>
              <w:pStyle w:val="SingleTxtG"/>
              <w:tabs>
                <w:tab w:val="clear" w:pos="1701"/>
                <w:tab w:val="clear" w:pos="2268"/>
                <w:tab w:val="clear" w:pos="2835"/>
              </w:tabs>
              <w:spacing w:before="80" w:after="80" w:line="200" w:lineRule="exact"/>
              <w:ind w:left="0" w:right="0"/>
              <w:jc w:val="left"/>
              <w:rPr>
                <w:i/>
                <w:sz w:val="16"/>
              </w:rPr>
            </w:pPr>
            <w:r w:rsidRPr="00F720A6">
              <w:rPr>
                <w:i/>
                <w:iCs/>
                <w:sz w:val="16"/>
                <w:szCs w:val="16"/>
                <w:lang w:val="fr-FR"/>
              </w:rPr>
              <w:t>Année</w:t>
            </w:r>
          </w:p>
        </w:tc>
        <w:tc>
          <w:tcPr>
            <w:tcW w:w="992" w:type="dxa"/>
            <w:vMerge w:val="restart"/>
            <w:tcBorders>
              <w:top w:val="single" w:sz="4" w:space="0" w:color="auto"/>
              <w:bottom w:val="single" w:sz="12" w:space="0" w:color="auto"/>
            </w:tcBorders>
            <w:shd w:val="clear" w:color="auto" w:fill="auto"/>
            <w:vAlign w:val="bottom"/>
          </w:tcPr>
          <w:p w14:paraId="1E1958B9" w14:textId="77777777" w:rsidR="00E0724A" w:rsidRPr="00B92948" w:rsidRDefault="00E0724A" w:rsidP="00DB1B67">
            <w:pPr>
              <w:pStyle w:val="SingleTxtG"/>
              <w:tabs>
                <w:tab w:val="clear" w:pos="1701"/>
                <w:tab w:val="clear" w:pos="2268"/>
                <w:tab w:val="clear" w:pos="2835"/>
              </w:tabs>
              <w:spacing w:before="80" w:after="80" w:line="200" w:lineRule="exact"/>
              <w:ind w:left="113" w:right="28"/>
              <w:jc w:val="right"/>
              <w:rPr>
                <w:i/>
                <w:sz w:val="16"/>
              </w:rPr>
            </w:pPr>
            <w:r w:rsidRPr="00F720A6">
              <w:rPr>
                <w:i/>
                <w:iCs/>
                <w:sz w:val="16"/>
                <w:szCs w:val="16"/>
                <w:lang w:val="fr-FR"/>
              </w:rPr>
              <w:t>Adoptions nationales</w:t>
            </w:r>
          </w:p>
        </w:tc>
        <w:tc>
          <w:tcPr>
            <w:tcW w:w="4641" w:type="dxa"/>
            <w:gridSpan w:val="4"/>
            <w:tcBorders>
              <w:top w:val="single" w:sz="4" w:space="0" w:color="auto"/>
              <w:bottom w:val="single" w:sz="4" w:space="0" w:color="auto"/>
            </w:tcBorders>
            <w:shd w:val="clear" w:color="auto" w:fill="auto"/>
            <w:tcMar>
              <w:top w:w="0" w:type="dxa"/>
              <w:left w:w="108" w:type="dxa"/>
              <w:bottom w:w="0" w:type="dxa"/>
              <w:right w:w="108" w:type="dxa"/>
            </w:tcMar>
            <w:vAlign w:val="bottom"/>
          </w:tcPr>
          <w:p w14:paraId="4D6D64C2" w14:textId="77777777" w:rsidR="00E0724A" w:rsidRPr="00B92948" w:rsidRDefault="00E0724A" w:rsidP="00DB1B67">
            <w:pPr>
              <w:pStyle w:val="SingleTxtG"/>
              <w:tabs>
                <w:tab w:val="clear" w:pos="1701"/>
                <w:tab w:val="clear" w:pos="2268"/>
                <w:tab w:val="clear" w:pos="2835"/>
              </w:tabs>
              <w:spacing w:before="80" w:after="80" w:line="200" w:lineRule="exact"/>
              <w:ind w:left="113" w:right="0"/>
              <w:jc w:val="center"/>
              <w:rPr>
                <w:i/>
                <w:sz w:val="16"/>
              </w:rPr>
            </w:pPr>
            <w:r w:rsidRPr="00F720A6">
              <w:rPr>
                <w:i/>
                <w:iCs/>
                <w:sz w:val="16"/>
                <w:szCs w:val="16"/>
                <w:lang w:val="fr-FR"/>
              </w:rPr>
              <w:t>Adoptions à l</w:t>
            </w:r>
            <w:r w:rsidR="00254912">
              <w:rPr>
                <w:i/>
                <w:iCs/>
                <w:sz w:val="16"/>
                <w:szCs w:val="16"/>
                <w:lang w:val="fr-FR"/>
              </w:rPr>
              <w:t>’</w:t>
            </w:r>
            <w:r w:rsidRPr="00F720A6">
              <w:rPr>
                <w:i/>
                <w:iCs/>
                <w:sz w:val="16"/>
                <w:szCs w:val="16"/>
                <w:lang w:val="fr-FR"/>
              </w:rPr>
              <w:t>étranger</w:t>
            </w:r>
          </w:p>
        </w:tc>
        <w:tc>
          <w:tcPr>
            <w:tcW w:w="1028"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78BF3F1D" w14:textId="77777777" w:rsidR="00E0724A" w:rsidRPr="00B92948" w:rsidRDefault="00E0724A" w:rsidP="00DB1B67">
            <w:pPr>
              <w:pStyle w:val="SingleTxtG"/>
              <w:tabs>
                <w:tab w:val="clear" w:pos="1701"/>
                <w:tab w:val="clear" w:pos="2268"/>
                <w:tab w:val="clear" w:pos="2835"/>
              </w:tabs>
              <w:spacing w:before="80" w:after="80" w:line="200" w:lineRule="exact"/>
              <w:ind w:left="113" w:right="28"/>
              <w:jc w:val="right"/>
              <w:rPr>
                <w:i/>
                <w:sz w:val="16"/>
              </w:rPr>
            </w:pPr>
            <w:r w:rsidRPr="00B92948">
              <w:rPr>
                <w:i/>
                <w:iCs/>
                <w:sz w:val="16"/>
              </w:rPr>
              <w:t>Total</w:t>
            </w:r>
          </w:p>
        </w:tc>
      </w:tr>
      <w:tr w:rsidR="00E0724A" w:rsidRPr="00B92948" w14:paraId="134E6678" w14:textId="77777777" w:rsidTr="00E0724A">
        <w:trPr>
          <w:trHeight w:val="240"/>
          <w:tblHeader/>
        </w:trPr>
        <w:tc>
          <w:tcPr>
            <w:tcW w:w="709" w:type="dxa"/>
            <w:vMerge/>
            <w:tcBorders>
              <w:top w:val="nil"/>
              <w:bottom w:val="single" w:sz="12" w:space="0" w:color="auto"/>
            </w:tcBorders>
            <w:shd w:val="clear" w:color="auto" w:fill="auto"/>
            <w:vAlign w:val="bottom"/>
          </w:tcPr>
          <w:p w14:paraId="03823B60" w14:textId="77777777" w:rsidR="00E0724A" w:rsidRPr="00B92948" w:rsidRDefault="00E0724A" w:rsidP="00DB1B67">
            <w:pPr>
              <w:pStyle w:val="SingleTxtG"/>
              <w:tabs>
                <w:tab w:val="clear" w:pos="1701"/>
                <w:tab w:val="clear" w:pos="2268"/>
                <w:tab w:val="clear" w:pos="2835"/>
              </w:tabs>
              <w:spacing w:before="40" w:after="40" w:line="220" w:lineRule="exact"/>
              <w:ind w:left="0" w:right="0"/>
              <w:jc w:val="left"/>
              <w:rPr>
                <w:sz w:val="18"/>
              </w:rPr>
            </w:pPr>
          </w:p>
        </w:tc>
        <w:tc>
          <w:tcPr>
            <w:tcW w:w="992" w:type="dxa"/>
            <w:vMerge/>
            <w:tcBorders>
              <w:top w:val="nil"/>
              <w:bottom w:val="single" w:sz="12" w:space="0" w:color="auto"/>
            </w:tcBorders>
            <w:shd w:val="clear" w:color="auto" w:fill="auto"/>
            <w:vAlign w:val="bottom"/>
          </w:tcPr>
          <w:p w14:paraId="362C81AE"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477C5B4" w14:textId="77777777" w:rsidR="00E0724A" w:rsidRPr="00423624" w:rsidRDefault="00E0724A" w:rsidP="00DB1B67">
            <w:pPr>
              <w:pStyle w:val="SingleTxtG"/>
              <w:tabs>
                <w:tab w:val="clear" w:pos="1701"/>
                <w:tab w:val="clear" w:pos="2268"/>
                <w:tab w:val="clear" w:pos="2835"/>
              </w:tabs>
              <w:spacing w:before="80" w:after="80" w:line="200" w:lineRule="exact"/>
              <w:ind w:left="113" w:right="28"/>
              <w:jc w:val="right"/>
              <w:rPr>
                <w:i/>
                <w:iCs/>
                <w:sz w:val="16"/>
              </w:rPr>
            </w:pPr>
            <w:r w:rsidRPr="00F720A6">
              <w:rPr>
                <w:i/>
                <w:iCs/>
                <w:sz w:val="16"/>
                <w:szCs w:val="16"/>
                <w:lang w:val="fr-FR"/>
              </w:rPr>
              <w:t>États-Unis d</w:t>
            </w:r>
            <w:r w:rsidR="00254912">
              <w:rPr>
                <w:i/>
                <w:iCs/>
                <w:sz w:val="16"/>
                <w:szCs w:val="16"/>
                <w:lang w:val="fr-FR"/>
              </w:rPr>
              <w:t>’</w:t>
            </w:r>
            <w:r w:rsidRPr="00F720A6">
              <w:rPr>
                <w:i/>
                <w:iCs/>
                <w:sz w:val="16"/>
                <w:szCs w:val="16"/>
                <w:lang w:val="fr-FR"/>
              </w:rPr>
              <w:t>Amérique</w:t>
            </w:r>
          </w:p>
        </w:tc>
        <w:tc>
          <w:tcPr>
            <w:tcW w:w="851" w:type="dxa"/>
            <w:tcBorders>
              <w:top w:val="single" w:sz="4" w:space="0" w:color="auto"/>
              <w:bottom w:val="single" w:sz="12" w:space="0" w:color="auto"/>
            </w:tcBorders>
            <w:shd w:val="clear" w:color="auto" w:fill="auto"/>
            <w:vAlign w:val="bottom"/>
          </w:tcPr>
          <w:p w14:paraId="61E86DE5" w14:textId="77777777" w:rsidR="00E0724A" w:rsidRPr="00423624" w:rsidRDefault="00E0724A" w:rsidP="00DB1B67">
            <w:pPr>
              <w:pStyle w:val="SingleTxtG"/>
              <w:tabs>
                <w:tab w:val="clear" w:pos="1701"/>
                <w:tab w:val="clear" w:pos="2268"/>
                <w:tab w:val="clear" w:pos="2835"/>
              </w:tabs>
              <w:spacing w:before="80" w:after="80" w:line="200" w:lineRule="exact"/>
              <w:ind w:left="113" w:right="28"/>
              <w:jc w:val="right"/>
              <w:rPr>
                <w:i/>
                <w:iCs/>
                <w:sz w:val="16"/>
              </w:rPr>
            </w:pPr>
            <w:r w:rsidRPr="00F720A6">
              <w:rPr>
                <w:i/>
                <w:iCs/>
                <w:sz w:val="16"/>
                <w:szCs w:val="16"/>
                <w:lang w:val="fr-FR"/>
              </w:rPr>
              <w:t>Suède</w:t>
            </w:r>
          </w:p>
        </w:tc>
        <w:tc>
          <w:tcPr>
            <w:tcW w:w="977" w:type="dxa"/>
            <w:tcBorders>
              <w:top w:val="single" w:sz="4" w:space="0" w:color="auto"/>
              <w:bottom w:val="single" w:sz="12" w:space="0" w:color="auto"/>
            </w:tcBorders>
            <w:shd w:val="clear" w:color="auto" w:fill="auto"/>
            <w:vAlign w:val="bottom"/>
          </w:tcPr>
          <w:p w14:paraId="2CCCCC6D" w14:textId="77777777" w:rsidR="00E0724A" w:rsidRPr="00423624" w:rsidRDefault="00E0724A" w:rsidP="00DB1B67">
            <w:pPr>
              <w:pStyle w:val="SingleTxtG"/>
              <w:tabs>
                <w:tab w:val="clear" w:pos="1701"/>
                <w:tab w:val="clear" w:pos="2268"/>
                <w:tab w:val="clear" w:pos="2835"/>
              </w:tabs>
              <w:spacing w:before="80" w:after="80" w:line="200" w:lineRule="exact"/>
              <w:ind w:left="113" w:right="28"/>
              <w:jc w:val="right"/>
              <w:rPr>
                <w:i/>
                <w:iCs/>
                <w:sz w:val="16"/>
              </w:rPr>
            </w:pPr>
            <w:r w:rsidRPr="00F720A6">
              <w:rPr>
                <w:i/>
                <w:iCs/>
                <w:sz w:val="16"/>
                <w:szCs w:val="16"/>
                <w:lang w:val="fr-FR"/>
              </w:rPr>
              <w:t>Bulgarie</w:t>
            </w:r>
          </w:p>
        </w:tc>
        <w:tc>
          <w:tcPr>
            <w:tcW w:w="1112" w:type="dxa"/>
            <w:tcBorders>
              <w:top w:val="single" w:sz="4" w:space="0" w:color="auto"/>
              <w:bottom w:val="single" w:sz="12" w:space="0" w:color="auto"/>
            </w:tcBorders>
            <w:shd w:val="clear" w:color="auto" w:fill="auto"/>
            <w:vAlign w:val="bottom"/>
          </w:tcPr>
          <w:p w14:paraId="47CB2A18" w14:textId="77777777" w:rsidR="00E0724A" w:rsidRPr="00423624" w:rsidRDefault="00E0724A" w:rsidP="00DB1B67">
            <w:pPr>
              <w:pStyle w:val="SingleTxtG"/>
              <w:tabs>
                <w:tab w:val="clear" w:pos="1701"/>
                <w:tab w:val="clear" w:pos="2268"/>
                <w:tab w:val="clear" w:pos="2835"/>
              </w:tabs>
              <w:spacing w:before="80" w:after="80" w:line="200" w:lineRule="exact"/>
              <w:ind w:left="113" w:right="28"/>
              <w:jc w:val="right"/>
              <w:rPr>
                <w:i/>
                <w:iCs/>
                <w:sz w:val="16"/>
              </w:rPr>
            </w:pPr>
            <w:r w:rsidRPr="00F720A6">
              <w:rPr>
                <w:i/>
                <w:iCs/>
                <w:sz w:val="16"/>
                <w:szCs w:val="16"/>
                <w:lang w:val="fr-FR"/>
              </w:rPr>
              <w:t>Slovénie</w:t>
            </w:r>
          </w:p>
        </w:tc>
        <w:tc>
          <w:tcPr>
            <w:tcW w:w="1028" w:type="dxa"/>
            <w:vMerge/>
            <w:tcBorders>
              <w:top w:val="single" w:sz="12" w:space="0" w:color="auto"/>
              <w:bottom w:val="single" w:sz="12" w:space="0" w:color="auto"/>
            </w:tcBorders>
            <w:shd w:val="clear" w:color="auto" w:fill="auto"/>
            <w:tcMar>
              <w:top w:w="0" w:type="dxa"/>
              <w:left w:w="0" w:type="dxa"/>
              <w:bottom w:w="0" w:type="dxa"/>
              <w:right w:w="0" w:type="dxa"/>
            </w:tcMar>
            <w:vAlign w:val="bottom"/>
          </w:tcPr>
          <w:p w14:paraId="581AB2E9"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r>
      <w:tr w:rsidR="00E0724A" w:rsidRPr="00B92948" w14:paraId="7DDED40A" w14:textId="77777777" w:rsidTr="00E0724A">
        <w:trPr>
          <w:trHeight w:val="240"/>
        </w:trPr>
        <w:tc>
          <w:tcPr>
            <w:tcW w:w="709" w:type="dxa"/>
            <w:tcBorders>
              <w:top w:val="single" w:sz="12" w:space="0" w:color="auto"/>
            </w:tcBorders>
            <w:shd w:val="clear" w:color="auto" w:fill="auto"/>
          </w:tcPr>
          <w:p w14:paraId="41BDCA8F" w14:textId="77777777" w:rsidR="00E0724A" w:rsidRPr="00B92948" w:rsidRDefault="00E0724A" w:rsidP="00DB1B67">
            <w:pPr>
              <w:pStyle w:val="SingleTxtG"/>
              <w:tabs>
                <w:tab w:val="clear" w:pos="1701"/>
                <w:tab w:val="clear" w:pos="2268"/>
                <w:tab w:val="clear" w:pos="2835"/>
              </w:tabs>
              <w:spacing w:before="40" w:after="40" w:line="220" w:lineRule="exact"/>
              <w:ind w:left="0" w:right="0"/>
              <w:jc w:val="left"/>
              <w:rPr>
                <w:sz w:val="18"/>
              </w:rPr>
            </w:pPr>
            <w:r w:rsidRPr="00B92948">
              <w:rPr>
                <w:sz w:val="18"/>
              </w:rPr>
              <w:t>2014</w:t>
            </w:r>
          </w:p>
        </w:tc>
        <w:tc>
          <w:tcPr>
            <w:tcW w:w="992" w:type="dxa"/>
            <w:tcBorders>
              <w:top w:val="single" w:sz="12" w:space="0" w:color="auto"/>
            </w:tcBorders>
            <w:shd w:val="clear" w:color="auto" w:fill="auto"/>
            <w:vAlign w:val="bottom"/>
          </w:tcPr>
          <w:p w14:paraId="291095EF"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40</w:t>
            </w:r>
          </w:p>
        </w:tc>
        <w:tc>
          <w:tcPr>
            <w:tcW w:w="1701" w:type="dxa"/>
            <w:tcBorders>
              <w:top w:val="single" w:sz="12" w:space="0" w:color="auto"/>
            </w:tcBorders>
            <w:shd w:val="clear" w:color="auto" w:fill="auto"/>
            <w:tcMar>
              <w:top w:w="0" w:type="dxa"/>
              <w:left w:w="0" w:type="dxa"/>
              <w:bottom w:w="0" w:type="dxa"/>
              <w:right w:w="0" w:type="dxa"/>
            </w:tcMar>
            <w:vAlign w:val="bottom"/>
          </w:tcPr>
          <w:p w14:paraId="7C54BE53"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851" w:type="dxa"/>
            <w:tcBorders>
              <w:top w:val="single" w:sz="12" w:space="0" w:color="auto"/>
            </w:tcBorders>
            <w:shd w:val="clear" w:color="auto" w:fill="auto"/>
            <w:vAlign w:val="bottom"/>
          </w:tcPr>
          <w:p w14:paraId="5A166173"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977" w:type="dxa"/>
            <w:tcBorders>
              <w:top w:val="single" w:sz="12" w:space="0" w:color="auto"/>
            </w:tcBorders>
            <w:shd w:val="clear" w:color="auto" w:fill="auto"/>
            <w:vAlign w:val="bottom"/>
          </w:tcPr>
          <w:p w14:paraId="27A556D0"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1112" w:type="dxa"/>
            <w:tcBorders>
              <w:top w:val="single" w:sz="12" w:space="0" w:color="auto"/>
            </w:tcBorders>
            <w:shd w:val="clear" w:color="auto" w:fill="auto"/>
            <w:vAlign w:val="bottom"/>
          </w:tcPr>
          <w:p w14:paraId="0D0041D5"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1028" w:type="dxa"/>
            <w:tcBorders>
              <w:top w:val="single" w:sz="12" w:space="0" w:color="auto"/>
            </w:tcBorders>
            <w:shd w:val="clear" w:color="auto" w:fill="auto"/>
            <w:tcMar>
              <w:top w:w="0" w:type="dxa"/>
              <w:left w:w="0" w:type="dxa"/>
              <w:bottom w:w="0" w:type="dxa"/>
              <w:right w:w="0" w:type="dxa"/>
            </w:tcMar>
            <w:vAlign w:val="bottom"/>
          </w:tcPr>
          <w:p w14:paraId="5DEA3ACE"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40</w:t>
            </w:r>
          </w:p>
        </w:tc>
      </w:tr>
      <w:tr w:rsidR="00E0724A" w:rsidRPr="00B92948" w14:paraId="5BC0281B" w14:textId="77777777" w:rsidTr="00E0724A">
        <w:trPr>
          <w:trHeight w:val="240"/>
        </w:trPr>
        <w:tc>
          <w:tcPr>
            <w:tcW w:w="709" w:type="dxa"/>
            <w:shd w:val="clear" w:color="auto" w:fill="auto"/>
          </w:tcPr>
          <w:p w14:paraId="6879705A" w14:textId="77777777" w:rsidR="00E0724A" w:rsidRPr="00B92948" w:rsidRDefault="00E0724A" w:rsidP="00DB1B67">
            <w:pPr>
              <w:pStyle w:val="SingleTxtG"/>
              <w:tabs>
                <w:tab w:val="clear" w:pos="1701"/>
                <w:tab w:val="clear" w:pos="2268"/>
                <w:tab w:val="clear" w:pos="2835"/>
              </w:tabs>
              <w:spacing w:before="40" w:after="40" w:line="220" w:lineRule="exact"/>
              <w:ind w:left="0" w:right="0"/>
              <w:jc w:val="left"/>
              <w:rPr>
                <w:sz w:val="18"/>
              </w:rPr>
            </w:pPr>
            <w:r w:rsidRPr="00B92948">
              <w:rPr>
                <w:sz w:val="18"/>
              </w:rPr>
              <w:t>2015</w:t>
            </w:r>
          </w:p>
        </w:tc>
        <w:tc>
          <w:tcPr>
            <w:tcW w:w="992" w:type="dxa"/>
            <w:shd w:val="clear" w:color="auto" w:fill="auto"/>
            <w:vAlign w:val="bottom"/>
          </w:tcPr>
          <w:p w14:paraId="15D81C1E"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37</w:t>
            </w:r>
          </w:p>
        </w:tc>
        <w:tc>
          <w:tcPr>
            <w:tcW w:w="1701" w:type="dxa"/>
            <w:shd w:val="clear" w:color="auto" w:fill="auto"/>
            <w:tcMar>
              <w:top w:w="0" w:type="dxa"/>
              <w:left w:w="0" w:type="dxa"/>
              <w:bottom w:w="0" w:type="dxa"/>
              <w:right w:w="0" w:type="dxa"/>
            </w:tcMar>
            <w:vAlign w:val="bottom"/>
          </w:tcPr>
          <w:p w14:paraId="1EBB6233"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851" w:type="dxa"/>
            <w:shd w:val="clear" w:color="auto" w:fill="auto"/>
            <w:vAlign w:val="bottom"/>
          </w:tcPr>
          <w:p w14:paraId="15B2F3F4"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1</w:t>
            </w:r>
          </w:p>
        </w:tc>
        <w:tc>
          <w:tcPr>
            <w:tcW w:w="977" w:type="dxa"/>
            <w:shd w:val="clear" w:color="auto" w:fill="auto"/>
            <w:vAlign w:val="bottom"/>
          </w:tcPr>
          <w:p w14:paraId="0D459EAD"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1112" w:type="dxa"/>
            <w:shd w:val="clear" w:color="auto" w:fill="auto"/>
            <w:vAlign w:val="bottom"/>
          </w:tcPr>
          <w:p w14:paraId="42E50DD1"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1028" w:type="dxa"/>
            <w:shd w:val="clear" w:color="auto" w:fill="auto"/>
            <w:tcMar>
              <w:top w:w="0" w:type="dxa"/>
              <w:left w:w="0" w:type="dxa"/>
              <w:bottom w:w="0" w:type="dxa"/>
              <w:right w:w="0" w:type="dxa"/>
            </w:tcMar>
            <w:vAlign w:val="bottom"/>
          </w:tcPr>
          <w:p w14:paraId="684FE2E4"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38</w:t>
            </w:r>
          </w:p>
        </w:tc>
      </w:tr>
      <w:tr w:rsidR="00E0724A" w:rsidRPr="00B92948" w14:paraId="6050B366" w14:textId="77777777" w:rsidTr="00E0724A">
        <w:trPr>
          <w:trHeight w:val="240"/>
        </w:trPr>
        <w:tc>
          <w:tcPr>
            <w:tcW w:w="709" w:type="dxa"/>
            <w:shd w:val="clear" w:color="auto" w:fill="auto"/>
          </w:tcPr>
          <w:p w14:paraId="75CF877F" w14:textId="77777777" w:rsidR="00E0724A" w:rsidRPr="00B92948" w:rsidRDefault="00E0724A" w:rsidP="00DB1B67">
            <w:pPr>
              <w:pStyle w:val="SingleTxtG"/>
              <w:tabs>
                <w:tab w:val="clear" w:pos="1701"/>
                <w:tab w:val="clear" w:pos="2268"/>
                <w:tab w:val="clear" w:pos="2835"/>
              </w:tabs>
              <w:spacing w:before="40" w:after="40" w:line="220" w:lineRule="exact"/>
              <w:ind w:left="0" w:right="0"/>
              <w:jc w:val="left"/>
              <w:rPr>
                <w:sz w:val="18"/>
              </w:rPr>
            </w:pPr>
            <w:r w:rsidRPr="00B92948">
              <w:rPr>
                <w:sz w:val="18"/>
              </w:rPr>
              <w:t>2016</w:t>
            </w:r>
          </w:p>
        </w:tc>
        <w:tc>
          <w:tcPr>
            <w:tcW w:w="992" w:type="dxa"/>
            <w:shd w:val="clear" w:color="auto" w:fill="auto"/>
            <w:vAlign w:val="bottom"/>
          </w:tcPr>
          <w:p w14:paraId="358DFE5C"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32</w:t>
            </w:r>
          </w:p>
        </w:tc>
        <w:tc>
          <w:tcPr>
            <w:tcW w:w="1701" w:type="dxa"/>
            <w:shd w:val="clear" w:color="auto" w:fill="auto"/>
            <w:tcMar>
              <w:top w:w="0" w:type="dxa"/>
              <w:left w:w="0" w:type="dxa"/>
              <w:bottom w:w="0" w:type="dxa"/>
              <w:right w:w="0" w:type="dxa"/>
            </w:tcMar>
            <w:vAlign w:val="bottom"/>
          </w:tcPr>
          <w:p w14:paraId="2363E691"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851" w:type="dxa"/>
            <w:shd w:val="clear" w:color="auto" w:fill="auto"/>
            <w:vAlign w:val="bottom"/>
          </w:tcPr>
          <w:p w14:paraId="4A9105AB"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2</w:t>
            </w:r>
          </w:p>
        </w:tc>
        <w:tc>
          <w:tcPr>
            <w:tcW w:w="977" w:type="dxa"/>
            <w:shd w:val="clear" w:color="auto" w:fill="auto"/>
            <w:vAlign w:val="bottom"/>
          </w:tcPr>
          <w:p w14:paraId="3893456B"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1</w:t>
            </w:r>
          </w:p>
        </w:tc>
        <w:tc>
          <w:tcPr>
            <w:tcW w:w="1112" w:type="dxa"/>
            <w:shd w:val="clear" w:color="auto" w:fill="auto"/>
            <w:vAlign w:val="bottom"/>
          </w:tcPr>
          <w:p w14:paraId="04DADA9D"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1</w:t>
            </w:r>
          </w:p>
        </w:tc>
        <w:tc>
          <w:tcPr>
            <w:tcW w:w="1028" w:type="dxa"/>
            <w:shd w:val="clear" w:color="auto" w:fill="auto"/>
            <w:tcMar>
              <w:top w:w="0" w:type="dxa"/>
              <w:left w:w="0" w:type="dxa"/>
              <w:bottom w:w="0" w:type="dxa"/>
              <w:right w:w="0" w:type="dxa"/>
            </w:tcMar>
            <w:vAlign w:val="bottom"/>
          </w:tcPr>
          <w:p w14:paraId="5B016A1D"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36</w:t>
            </w:r>
          </w:p>
        </w:tc>
      </w:tr>
      <w:tr w:rsidR="00E0724A" w:rsidRPr="00B92948" w14:paraId="31A5896E" w14:textId="77777777" w:rsidTr="00E0724A">
        <w:trPr>
          <w:trHeight w:val="240"/>
        </w:trPr>
        <w:tc>
          <w:tcPr>
            <w:tcW w:w="709" w:type="dxa"/>
            <w:shd w:val="clear" w:color="auto" w:fill="auto"/>
          </w:tcPr>
          <w:p w14:paraId="12FF3A3B" w14:textId="77777777" w:rsidR="00E0724A" w:rsidRPr="00B92948" w:rsidRDefault="00E0724A" w:rsidP="00DB1B67">
            <w:pPr>
              <w:pStyle w:val="SingleTxtG"/>
              <w:tabs>
                <w:tab w:val="clear" w:pos="1701"/>
                <w:tab w:val="clear" w:pos="2268"/>
                <w:tab w:val="clear" w:pos="2835"/>
              </w:tabs>
              <w:spacing w:before="40" w:after="40" w:line="220" w:lineRule="exact"/>
              <w:ind w:left="0" w:right="0"/>
              <w:jc w:val="left"/>
              <w:rPr>
                <w:sz w:val="18"/>
              </w:rPr>
            </w:pPr>
            <w:r w:rsidRPr="00B92948">
              <w:rPr>
                <w:sz w:val="18"/>
              </w:rPr>
              <w:t>2017</w:t>
            </w:r>
          </w:p>
        </w:tc>
        <w:tc>
          <w:tcPr>
            <w:tcW w:w="992" w:type="dxa"/>
            <w:shd w:val="clear" w:color="auto" w:fill="auto"/>
            <w:vAlign w:val="bottom"/>
          </w:tcPr>
          <w:p w14:paraId="6469ABAB"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47</w:t>
            </w:r>
          </w:p>
        </w:tc>
        <w:tc>
          <w:tcPr>
            <w:tcW w:w="1701" w:type="dxa"/>
            <w:shd w:val="clear" w:color="auto" w:fill="auto"/>
            <w:tcMar>
              <w:top w:w="0" w:type="dxa"/>
              <w:left w:w="0" w:type="dxa"/>
              <w:bottom w:w="0" w:type="dxa"/>
              <w:right w:w="0" w:type="dxa"/>
            </w:tcMar>
            <w:vAlign w:val="bottom"/>
          </w:tcPr>
          <w:p w14:paraId="44EBAED7"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851" w:type="dxa"/>
            <w:shd w:val="clear" w:color="auto" w:fill="auto"/>
            <w:vAlign w:val="bottom"/>
          </w:tcPr>
          <w:p w14:paraId="209F4147"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3</w:t>
            </w:r>
          </w:p>
        </w:tc>
        <w:tc>
          <w:tcPr>
            <w:tcW w:w="977" w:type="dxa"/>
            <w:shd w:val="clear" w:color="auto" w:fill="auto"/>
            <w:vAlign w:val="bottom"/>
          </w:tcPr>
          <w:p w14:paraId="18980C19"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1112" w:type="dxa"/>
            <w:shd w:val="clear" w:color="auto" w:fill="auto"/>
            <w:vAlign w:val="bottom"/>
          </w:tcPr>
          <w:p w14:paraId="1C14E39D"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1028" w:type="dxa"/>
            <w:shd w:val="clear" w:color="auto" w:fill="auto"/>
            <w:tcMar>
              <w:top w:w="0" w:type="dxa"/>
              <w:left w:w="0" w:type="dxa"/>
              <w:bottom w:w="0" w:type="dxa"/>
              <w:right w:w="0" w:type="dxa"/>
            </w:tcMar>
            <w:vAlign w:val="bottom"/>
          </w:tcPr>
          <w:p w14:paraId="686CD147"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50</w:t>
            </w:r>
          </w:p>
        </w:tc>
      </w:tr>
      <w:tr w:rsidR="00E0724A" w:rsidRPr="00B92948" w14:paraId="06827338" w14:textId="77777777" w:rsidTr="00E0724A">
        <w:trPr>
          <w:trHeight w:val="240"/>
        </w:trPr>
        <w:tc>
          <w:tcPr>
            <w:tcW w:w="709" w:type="dxa"/>
            <w:tcBorders>
              <w:bottom w:val="single" w:sz="12" w:space="0" w:color="auto"/>
            </w:tcBorders>
            <w:shd w:val="clear" w:color="auto" w:fill="auto"/>
          </w:tcPr>
          <w:p w14:paraId="3696055F" w14:textId="77777777" w:rsidR="00E0724A" w:rsidRPr="00B92948" w:rsidRDefault="00E0724A" w:rsidP="00DB1B67">
            <w:pPr>
              <w:pStyle w:val="SingleTxtG"/>
              <w:tabs>
                <w:tab w:val="clear" w:pos="1701"/>
                <w:tab w:val="clear" w:pos="2268"/>
                <w:tab w:val="clear" w:pos="2835"/>
              </w:tabs>
              <w:spacing w:before="40" w:after="40" w:line="220" w:lineRule="exact"/>
              <w:ind w:left="0" w:right="0"/>
              <w:jc w:val="left"/>
              <w:rPr>
                <w:sz w:val="18"/>
              </w:rPr>
            </w:pPr>
            <w:r w:rsidRPr="00B92948">
              <w:rPr>
                <w:sz w:val="18"/>
              </w:rPr>
              <w:t>2018</w:t>
            </w:r>
          </w:p>
        </w:tc>
        <w:tc>
          <w:tcPr>
            <w:tcW w:w="992" w:type="dxa"/>
            <w:tcBorders>
              <w:bottom w:val="single" w:sz="12" w:space="0" w:color="auto"/>
            </w:tcBorders>
            <w:shd w:val="clear" w:color="auto" w:fill="auto"/>
            <w:vAlign w:val="bottom"/>
          </w:tcPr>
          <w:p w14:paraId="3458E122"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13</w:t>
            </w:r>
          </w:p>
        </w:tc>
        <w:tc>
          <w:tcPr>
            <w:tcW w:w="1701" w:type="dxa"/>
            <w:tcBorders>
              <w:bottom w:val="single" w:sz="12" w:space="0" w:color="auto"/>
            </w:tcBorders>
            <w:shd w:val="clear" w:color="auto" w:fill="auto"/>
            <w:tcMar>
              <w:top w:w="0" w:type="dxa"/>
              <w:left w:w="0" w:type="dxa"/>
              <w:bottom w:w="0" w:type="dxa"/>
              <w:right w:w="0" w:type="dxa"/>
            </w:tcMar>
            <w:vAlign w:val="bottom"/>
          </w:tcPr>
          <w:p w14:paraId="50C1A41A"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1</w:t>
            </w:r>
          </w:p>
        </w:tc>
        <w:tc>
          <w:tcPr>
            <w:tcW w:w="851" w:type="dxa"/>
            <w:tcBorders>
              <w:bottom w:val="single" w:sz="12" w:space="0" w:color="auto"/>
            </w:tcBorders>
            <w:shd w:val="clear" w:color="auto" w:fill="auto"/>
            <w:vAlign w:val="bottom"/>
          </w:tcPr>
          <w:p w14:paraId="2FC14F9D"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977" w:type="dxa"/>
            <w:tcBorders>
              <w:bottom w:val="single" w:sz="12" w:space="0" w:color="auto"/>
            </w:tcBorders>
            <w:shd w:val="clear" w:color="auto" w:fill="auto"/>
            <w:vAlign w:val="bottom"/>
          </w:tcPr>
          <w:p w14:paraId="26180F88"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1112" w:type="dxa"/>
            <w:tcBorders>
              <w:bottom w:val="single" w:sz="12" w:space="0" w:color="auto"/>
            </w:tcBorders>
            <w:shd w:val="clear" w:color="auto" w:fill="auto"/>
            <w:vAlign w:val="bottom"/>
          </w:tcPr>
          <w:p w14:paraId="0418918D"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p>
        </w:tc>
        <w:tc>
          <w:tcPr>
            <w:tcW w:w="1028" w:type="dxa"/>
            <w:tcBorders>
              <w:bottom w:val="single" w:sz="12" w:space="0" w:color="auto"/>
            </w:tcBorders>
            <w:shd w:val="clear" w:color="auto" w:fill="auto"/>
            <w:tcMar>
              <w:top w:w="0" w:type="dxa"/>
              <w:left w:w="0" w:type="dxa"/>
              <w:bottom w:w="0" w:type="dxa"/>
              <w:right w:w="0" w:type="dxa"/>
            </w:tcMar>
            <w:vAlign w:val="bottom"/>
          </w:tcPr>
          <w:p w14:paraId="3D948A17" w14:textId="77777777" w:rsidR="00E0724A" w:rsidRPr="00B92948" w:rsidRDefault="00E0724A" w:rsidP="00DB1B67">
            <w:pPr>
              <w:pStyle w:val="SingleTxtG"/>
              <w:tabs>
                <w:tab w:val="clear" w:pos="1701"/>
                <w:tab w:val="clear" w:pos="2268"/>
                <w:tab w:val="clear" w:pos="2835"/>
              </w:tabs>
              <w:spacing w:before="40" w:after="40" w:line="220" w:lineRule="exact"/>
              <w:ind w:left="113" w:right="28"/>
              <w:jc w:val="right"/>
              <w:rPr>
                <w:sz w:val="18"/>
              </w:rPr>
            </w:pPr>
            <w:r w:rsidRPr="00B92948">
              <w:rPr>
                <w:sz w:val="18"/>
              </w:rPr>
              <w:t>14</w:t>
            </w:r>
          </w:p>
        </w:tc>
      </w:tr>
    </w:tbl>
    <w:p w14:paraId="558ADD2C" w14:textId="77777777" w:rsidR="003C48D6" w:rsidRPr="00F720A6" w:rsidRDefault="003C48D6" w:rsidP="00204496">
      <w:pPr>
        <w:pStyle w:val="H1G"/>
        <w:rPr>
          <w:lang w:val="fr-FR"/>
        </w:rPr>
      </w:pPr>
      <w:r w:rsidRPr="00F720A6">
        <w:rPr>
          <w:lang w:val="fr-FR"/>
        </w:rPr>
        <w:tab/>
        <w:t>7.</w:t>
      </w:r>
      <w:r w:rsidRPr="00F720A6">
        <w:rPr>
          <w:lang w:val="fr-FR"/>
        </w:rPr>
        <w:tab/>
        <w:t xml:space="preserve">Handicap, </w:t>
      </w:r>
      <w:r w:rsidRPr="0057442B">
        <w:rPr>
          <w:lang w:val="fr-FR"/>
        </w:rPr>
        <w:t>conditions</w:t>
      </w:r>
      <w:r w:rsidRPr="00F720A6">
        <w:rPr>
          <w:lang w:val="fr-FR"/>
        </w:rPr>
        <w:t xml:space="preserve"> sanitaires de </w:t>
      </w:r>
      <w:r w:rsidRPr="00204496">
        <w:t>base</w:t>
      </w:r>
      <w:r w:rsidRPr="00F720A6">
        <w:rPr>
          <w:lang w:val="fr-FR"/>
        </w:rPr>
        <w:t xml:space="preserve"> et bien-être </w:t>
      </w:r>
      <w:r w:rsidR="0057442B">
        <w:rPr>
          <w:lang w:val="fr-FR"/>
        </w:rPr>
        <w:br/>
      </w:r>
      <w:r w:rsidRPr="00F720A6">
        <w:rPr>
          <w:lang w:val="fr-FR"/>
        </w:rPr>
        <w:t>(art. 6 ; 18 (par. 3), 23, 24, 26, 27 (par. 1 à 3), et 33)</w:t>
      </w:r>
      <w:bookmarkStart w:id="38" w:name="_Toc56781441"/>
      <w:bookmarkEnd w:id="38"/>
    </w:p>
    <w:p w14:paraId="4B53B2CE" w14:textId="77777777" w:rsidR="003C48D6" w:rsidRPr="00F720A6" w:rsidRDefault="003C48D6" w:rsidP="0057442B">
      <w:pPr>
        <w:pStyle w:val="SingleTxtG"/>
        <w:rPr>
          <w:lang w:val="fr-FR"/>
        </w:rPr>
      </w:pPr>
      <w:r w:rsidRPr="00F720A6">
        <w:rPr>
          <w:lang w:val="fr-FR"/>
        </w:rPr>
        <w:t>103.</w:t>
      </w:r>
      <w:r w:rsidRPr="00F720A6">
        <w:rPr>
          <w:lang w:val="fr-FR"/>
        </w:rPr>
        <w:tab/>
        <w:t>Dans le cadre de la Stratégie nationale 2008-2018 pour la désinstitutionalisation au sein du système de protection sociale, un certain nombre de mesures ont été prises afin de promouvoir, pour les enfants handicapés, une accessibilité aux soins qui n</w:t>
      </w:r>
      <w:r w:rsidR="00254912">
        <w:rPr>
          <w:lang w:val="fr-FR"/>
        </w:rPr>
        <w:t>’</w:t>
      </w:r>
      <w:r w:rsidRPr="00F720A6">
        <w:rPr>
          <w:lang w:val="fr-FR"/>
        </w:rPr>
        <w:t>en laisse aucun de côté.</w:t>
      </w:r>
    </w:p>
    <w:p w14:paraId="64FF7029" w14:textId="77777777" w:rsidR="003C48D6" w:rsidRPr="00F720A6" w:rsidRDefault="003C48D6" w:rsidP="0057442B">
      <w:pPr>
        <w:pStyle w:val="SingleTxtG"/>
        <w:rPr>
          <w:lang w:val="fr-FR"/>
        </w:rPr>
      </w:pPr>
      <w:r w:rsidRPr="00F720A6">
        <w:rPr>
          <w:lang w:val="fr-FR"/>
        </w:rPr>
        <w:t>104.</w:t>
      </w:r>
      <w:r w:rsidRPr="00F720A6">
        <w:rPr>
          <w:lang w:val="fr-FR"/>
        </w:rPr>
        <w:tab/>
        <w:t>Ces dernières années, le Ministère du travail et de la politique sociale a renforcé son engagement en faveur d</w:t>
      </w:r>
      <w:r w:rsidR="00254912">
        <w:rPr>
          <w:lang w:val="fr-FR"/>
        </w:rPr>
        <w:t>’</w:t>
      </w:r>
      <w:r w:rsidRPr="00F720A6">
        <w:rPr>
          <w:lang w:val="fr-FR"/>
        </w:rPr>
        <w:t>une meilleure intégration des enfants handicapés par l</w:t>
      </w:r>
      <w:r w:rsidR="00254912">
        <w:rPr>
          <w:lang w:val="fr-FR"/>
        </w:rPr>
        <w:t>’</w:t>
      </w:r>
      <w:r w:rsidRPr="00F720A6">
        <w:rPr>
          <w:lang w:val="fr-FR"/>
        </w:rPr>
        <w:t>introduction de changements dans les politiques et les services et, plus particulièrement, en accroissant le nombre de garderies de jour, en introduisant de nouvelles prestations légales et en augmentant celles déjà en place pour les enfants handicapés.</w:t>
      </w:r>
    </w:p>
    <w:p w14:paraId="367EC13E" w14:textId="77777777" w:rsidR="003C48D6" w:rsidRPr="00F720A6" w:rsidRDefault="003C48D6" w:rsidP="0057442B">
      <w:pPr>
        <w:pStyle w:val="SingleTxtG"/>
        <w:rPr>
          <w:lang w:val="fr-FR"/>
        </w:rPr>
      </w:pPr>
      <w:r w:rsidRPr="00F720A6">
        <w:rPr>
          <w:lang w:val="fr-FR"/>
        </w:rPr>
        <w:t>105.</w:t>
      </w:r>
      <w:r w:rsidRPr="00F720A6">
        <w:rPr>
          <w:lang w:val="fr-FR"/>
        </w:rPr>
        <w:tab/>
        <w:t>Après avoir vérifié que le modèle d</w:t>
      </w:r>
      <w:r w:rsidR="00254912">
        <w:rPr>
          <w:lang w:val="fr-FR"/>
        </w:rPr>
        <w:t>’</w:t>
      </w:r>
      <w:r w:rsidRPr="00F720A6">
        <w:rPr>
          <w:lang w:val="fr-FR"/>
        </w:rPr>
        <w:t>évaluation des enfants présentant des troubles du développement (catégorisation fondée sur une évaluation médicale) était obsolète, le</w:t>
      </w:r>
      <w:r w:rsidR="00204496">
        <w:rPr>
          <w:lang w:val="fr-FR"/>
        </w:rPr>
        <w:t> </w:t>
      </w:r>
      <w:r w:rsidRPr="00F720A6">
        <w:rPr>
          <w:lang w:val="fr-FR"/>
        </w:rPr>
        <w:t>Ministère du travail et de la politique sociale, en collaboration avec l</w:t>
      </w:r>
      <w:r w:rsidR="00254912">
        <w:rPr>
          <w:lang w:val="fr-FR"/>
        </w:rPr>
        <w:t>’</w:t>
      </w:r>
      <w:r w:rsidRPr="00F720A6">
        <w:rPr>
          <w:lang w:val="fr-FR"/>
        </w:rPr>
        <w:t>UNICEF, travaille à l</w:t>
      </w:r>
      <w:r w:rsidR="00254912">
        <w:rPr>
          <w:lang w:val="fr-FR"/>
        </w:rPr>
        <w:t>’</w:t>
      </w:r>
      <w:r w:rsidRPr="00F720A6">
        <w:rPr>
          <w:lang w:val="fr-FR"/>
        </w:rPr>
        <w:t>élaboration d</w:t>
      </w:r>
      <w:r w:rsidR="00254912">
        <w:rPr>
          <w:lang w:val="fr-FR"/>
        </w:rPr>
        <w:t>’</w:t>
      </w:r>
      <w:r w:rsidRPr="00F720A6">
        <w:rPr>
          <w:lang w:val="fr-FR"/>
        </w:rPr>
        <w:t>un nouveau modèle d</w:t>
      </w:r>
      <w:r w:rsidR="00254912">
        <w:rPr>
          <w:lang w:val="fr-FR"/>
        </w:rPr>
        <w:t>’</w:t>
      </w:r>
      <w:r w:rsidRPr="00F720A6">
        <w:rPr>
          <w:lang w:val="fr-FR"/>
        </w:rPr>
        <w:t>évaluation fonctionnelle des enfants, visant à établir quel potentiel peut atteindre l</w:t>
      </w:r>
      <w:r w:rsidR="00254912">
        <w:rPr>
          <w:lang w:val="fr-FR"/>
        </w:rPr>
        <w:t>’</w:t>
      </w:r>
      <w:r w:rsidRPr="00F720A6">
        <w:rPr>
          <w:lang w:val="fr-FR"/>
        </w:rPr>
        <w:t>enfant et à identifier les obstacles qui l</w:t>
      </w:r>
      <w:r w:rsidR="00254912">
        <w:rPr>
          <w:lang w:val="fr-FR"/>
        </w:rPr>
        <w:t>’</w:t>
      </w:r>
      <w:r w:rsidRPr="00F720A6">
        <w:rPr>
          <w:lang w:val="fr-FR"/>
        </w:rPr>
        <w:t>entravent dans son environnement.</w:t>
      </w:r>
    </w:p>
    <w:p w14:paraId="37C83407" w14:textId="77777777" w:rsidR="003C48D6" w:rsidRPr="00F720A6" w:rsidRDefault="003C48D6" w:rsidP="0057442B">
      <w:pPr>
        <w:pStyle w:val="SingleTxtG"/>
        <w:rPr>
          <w:lang w:val="fr-FR"/>
        </w:rPr>
      </w:pPr>
      <w:r w:rsidRPr="00F720A6">
        <w:rPr>
          <w:lang w:val="fr-FR"/>
        </w:rPr>
        <w:t>106.</w:t>
      </w:r>
      <w:r w:rsidRPr="00F720A6">
        <w:rPr>
          <w:lang w:val="fr-FR"/>
        </w:rPr>
        <w:tab/>
        <w:t>En coopération avec l</w:t>
      </w:r>
      <w:r w:rsidR="00254912">
        <w:rPr>
          <w:lang w:val="fr-FR"/>
        </w:rPr>
        <w:t>’</w:t>
      </w:r>
      <w:r w:rsidRPr="00F720A6">
        <w:rPr>
          <w:lang w:val="fr-FR"/>
        </w:rPr>
        <w:t>UNICEF, une évaluation des formes de protection de remplacement et des services de soutien aux familles d</w:t>
      </w:r>
      <w:r w:rsidR="00254912">
        <w:rPr>
          <w:lang w:val="fr-FR"/>
        </w:rPr>
        <w:t>’</w:t>
      </w:r>
      <w:r w:rsidRPr="00F720A6">
        <w:rPr>
          <w:lang w:val="fr-FR"/>
        </w:rPr>
        <w:t>enfants handicapés a été réalisée, ce</w:t>
      </w:r>
      <w:r w:rsidR="00204496">
        <w:rPr>
          <w:lang w:val="fr-FR"/>
        </w:rPr>
        <w:t> </w:t>
      </w:r>
      <w:r w:rsidRPr="00F720A6">
        <w:rPr>
          <w:lang w:val="fr-FR"/>
        </w:rPr>
        <w:t xml:space="preserve">qui a </w:t>
      </w:r>
      <w:r w:rsidR="0076014B" w:rsidRPr="00F720A6">
        <w:rPr>
          <w:lang w:val="fr-FR"/>
        </w:rPr>
        <w:t>abouti</w:t>
      </w:r>
      <w:r w:rsidRPr="00F720A6">
        <w:rPr>
          <w:lang w:val="fr-FR"/>
        </w:rPr>
        <w:t xml:space="preserve"> à une analyse et à des recommandations de réexamen des centres de jour pour enfants handicapés. L</w:t>
      </w:r>
      <w:r w:rsidR="00254912">
        <w:rPr>
          <w:lang w:val="fr-FR"/>
        </w:rPr>
        <w:t>’</w:t>
      </w:r>
      <w:r w:rsidRPr="00F720A6">
        <w:rPr>
          <w:lang w:val="fr-FR"/>
        </w:rPr>
        <w:t>objectif est de passer d</w:t>
      </w:r>
      <w:r w:rsidR="00254912">
        <w:rPr>
          <w:lang w:val="fr-FR"/>
        </w:rPr>
        <w:t>’</w:t>
      </w:r>
      <w:r w:rsidRPr="00F720A6">
        <w:rPr>
          <w:lang w:val="fr-FR"/>
        </w:rPr>
        <w:t>un « accueil de jour » à divers types de services qui n</w:t>
      </w:r>
      <w:r w:rsidR="00254912">
        <w:rPr>
          <w:lang w:val="fr-FR"/>
        </w:rPr>
        <w:t>’</w:t>
      </w:r>
      <w:r w:rsidRPr="00F720A6">
        <w:rPr>
          <w:lang w:val="fr-FR"/>
        </w:rPr>
        <w:t xml:space="preserve">isolent pas les enfants mais les aident à participer à la vie quotidienne de leur collectivité. </w:t>
      </w:r>
    </w:p>
    <w:p w14:paraId="1680B57B" w14:textId="77777777" w:rsidR="003C48D6" w:rsidRPr="00F720A6" w:rsidRDefault="003C48D6" w:rsidP="0057442B">
      <w:pPr>
        <w:pStyle w:val="SingleTxtG"/>
        <w:rPr>
          <w:lang w:val="fr-FR"/>
        </w:rPr>
      </w:pPr>
      <w:r w:rsidRPr="00F720A6">
        <w:rPr>
          <w:lang w:val="fr-FR"/>
        </w:rPr>
        <w:t>107.</w:t>
      </w:r>
      <w:r w:rsidRPr="00F720A6">
        <w:rPr>
          <w:lang w:val="fr-FR"/>
        </w:rPr>
        <w:tab/>
        <w:t>En ce qui concerne la protection des enfants souffrant de troubles du développement, le Ministère du travail et de la politique sociale a déjà ouvert 31 centres de jour, dont 27 pour les enfants souffrant de handicaps intellectuels ou physiques, un pour les enfants atteints de paralysie cérébrale, un pour les enfants malvoyants et deux pour les enfants autistes, soit un total d</w:t>
      </w:r>
      <w:r w:rsidR="00254912">
        <w:rPr>
          <w:lang w:val="fr-FR"/>
        </w:rPr>
        <w:t>’</w:t>
      </w:r>
      <w:r w:rsidRPr="00F720A6">
        <w:rPr>
          <w:lang w:val="fr-FR"/>
        </w:rPr>
        <w:t>environ 440 bénéficiaires.</w:t>
      </w:r>
    </w:p>
    <w:p w14:paraId="62BEE75B" w14:textId="77777777" w:rsidR="003C48D6" w:rsidRPr="00F720A6" w:rsidRDefault="003C48D6" w:rsidP="0057442B">
      <w:pPr>
        <w:pStyle w:val="SingleTxtG"/>
        <w:rPr>
          <w:lang w:val="fr-FR"/>
        </w:rPr>
      </w:pPr>
      <w:r w:rsidRPr="00F720A6">
        <w:rPr>
          <w:lang w:val="fr-FR"/>
        </w:rPr>
        <w:lastRenderedPageBreak/>
        <w:t>108.</w:t>
      </w:r>
      <w:r w:rsidRPr="00F720A6">
        <w:rPr>
          <w:lang w:val="fr-FR"/>
        </w:rPr>
        <w:tab/>
        <w:t>Au cours de l</w:t>
      </w:r>
      <w:r w:rsidR="00254912">
        <w:rPr>
          <w:lang w:val="fr-FR"/>
        </w:rPr>
        <w:t>’</w:t>
      </w:r>
      <w:r w:rsidRPr="00F720A6">
        <w:rPr>
          <w:lang w:val="fr-FR"/>
        </w:rPr>
        <w:t>année scolaire 2017/18, 140 assistants d</w:t>
      </w:r>
      <w:r w:rsidR="00254912">
        <w:rPr>
          <w:lang w:val="fr-FR"/>
        </w:rPr>
        <w:t>’</w:t>
      </w:r>
      <w:r w:rsidRPr="00F720A6">
        <w:rPr>
          <w:lang w:val="fr-FR"/>
        </w:rPr>
        <w:t xml:space="preserve">éducation ont été mis à la disposition des enfants handicapés dans 18 municipalités du pays. </w:t>
      </w:r>
    </w:p>
    <w:p w14:paraId="50BE6653" w14:textId="77777777" w:rsidR="003C48D6" w:rsidRPr="00F720A6" w:rsidRDefault="003C48D6" w:rsidP="0057442B">
      <w:pPr>
        <w:pStyle w:val="SingleTxtG"/>
        <w:rPr>
          <w:lang w:val="fr-FR"/>
        </w:rPr>
      </w:pPr>
      <w:r w:rsidRPr="00F720A6">
        <w:rPr>
          <w:lang w:val="fr-FR"/>
        </w:rPr>
        <w:t>109.</w:t>
      </w:r>
      <w:r w:rsidRPr="00F720A6">
        <w:rPr>
          <w:lang w:val="fr-FR"/>
        </w:rPr>
        <w:tab/>
        <w:t>Dans le cadre de la stratégie nationale de désinstitutionalisation 2018-2027, des plans de transformation des institutions de la protection sociale sont en cours d</w:t>
      </w:r>
      <w:r w:rsidR="00254912">
        <w:rPr>
          <w:lang w:val="fr-FR"/>
        </w:rPr>
        <w:t>’</w:t>
      </w:r>
      <w:r w:rsidRPr="00F720A6">
        <w:rPr>
          <w:lang w:val="fr-FR"/>
        </w:rPr>
        <w:t>élaboration, qui leur permettront de prendre en charge les bénéficiaires en élargissant et en renforçant le réseau actuel de protection non institutionnelle. La transformation de l</w:t>
      </w:r>
      <w:r w:rsidR="00254912">
        <w:rPr>
          <w:lang w:val="fr-FR"/>
        </w:rPr>
        <w:t>’</w:t>
      </w:r>
      <w:r w:rsidRPr="00F720A6">
        <w:rPr>
          <w:lang w:val="fr-FR"/>
        </w:rPr>
        <w:t xml:space="preserve">Institut public spécialisé Demir </w:t>
      </w:r>
      <w:proofErr w:type="spellStart"/>
      <w:r w:rsidRPr="00F720A6">
        <w:rPr>
          <w:lang w:val="fr-FR"/>
        </w:rPr>
        <w:t>Kapija</w:t>
      </w:r>
      <w:proofErr w:type="spellEnd"/>
      <w:r w:rsidRPr="00F720A6">
        <w:rPr>
          <w:lang w:val="fr-FR"/>
        </w:rPr>
        <w:t xml:space="preserve"> a permis d</w:t>
      </w:r>
      <w:r w:rsidR="00254912">
        <w:rPr>
          <w:lang w:val="fr-FR"/>
        </w:rPr>
        <w:t>’</w:t>
      </w:r>
      <w:r w:rsidRPr="00F720A6">
        <w:rPr>
          <w:lang w:val="fr-FR"/>
        </w:rPr>
        <w:t>ouvrir une nouvelle unité d</w:t>
      </w:r>
      <w:r w:rsidR="00254912">
        <w:rPr>
          <w:lang w:val="fr-FR"/>
        </w:rPr>
        <w:t>’</w:t>
      </w:r>
      <w:r w:rsidRPr="00F720A6">
        <w:rPr>
          <w:lang w:val="fr-FR"/>
        </w:rPr>
        <w:t>aide, de soutien et d</w:t>
      </w:r>
      <w:r w:rsidR="00254912">
        <w:rPr>
          <w:lang w:val="fr-FR"/>
        </w:rPr>
        <w:t>’</w:t>
      </w:r>
      <w:r w:rsidRPr="00F720A6">
        <w:rPr>
          <w:lang w:val="fr-FR"/>
        </w:rPr>
        <w:t>organisation pour la vie quotidienne, et de fournir deux unités résidentielles pour sept enfants handicapés.</w:t>
      </w:r>
    </w:p>
    <w:p w14:paraId="336856F2" w14:textId="77777777" w:rsidR="003C48D6" w:rsidRPr="00F720A6" w:rsidRDefault="003C48D6" w:rsidP="0057442B">
      <w:pPr>
        <w:pStyle w:val="SingleTxtG"/>
        <w:rPr>
          <w:lang w:val="fr-FR"/>
        </w:rPr>
      </w:pPr>
      <w:r w:rsidRPr="00F720A6">
        <w:rPr>
          <w:lang w:val="fr-FR"/>
        </w:rPr>
        <w:t>110.</w:t>
      </w:r>
      <w:r w:rsidRPr="00F720A6">
        <w:rPr>
          <w:lang w:val="fr-FR"/>
        </w:rPr>
        <w:tab/>
        <w:t>La loi portant modification de la loi sur la protection de l</w:t>
      </w:r>
      <w:r w:rsidR="00254912">
        <w:rPr>
          <w:lang w:val="fr-FR"/>
        </w:rPr>
        <w:t>’</w:t>
      </w:r>
      <w:r w:rsidRPr="00F720A6">
        <w:rPr>
          <w:lang w:val="fr-FR"/>
        </w:rPr>
        <w:t>enfance</w:t>
      </w:r>
      <w:r w:rsidRPr="002A465A">
        <w:rPr>
          <w:rStyle w:val="Appelnotedebasdep"/>
        </w:rPr>
        <w:footnoteReference w:id="28"/>
      </w:r>
      <w:r w:rsidRPr="00F720A6">
        <w:rPr>
          <w:lang w:val="fr-FR"/>
        </w:rPr>
        <w:t xml:space="preserve"> accorde également le droit à une prestation spéciale pour les enfants atteints de trisomie 21. Cette prestation spéciale a été augmentée de 25 % (au 1</w:t>
      </w:r>
      <w:r w:rsidRPr="00F720A6">
        <w:rPr>
          <w:vertAlign w:val="superscript"/>
          <w:lang w:val="fr-FR"/>
        </w:rPr>
        <w:t>er</w:t>
      </w:r>
      <w:r w:rsidRPr="00F720A6">
        <w:rPr>
          <w:lang w:val="fr-FR"/>
        </w:rPr>
        <w:t> juin 2015) pour les parents matériellement défavorisés qui reçoivent une aide pécuniaire et une allocation financière permanente, et qui ont un enfant à besoins particuliers, souffrant de troubles du développement physique ou mental ou de troubles cumulés du développement, ce jusqu</w:t>
      </w:r>
      <w:r w:rsidR="00254912">
        <w:rPr>
          <w:lang w:val="fr-FR"/>
        </w:rPr>
        <w:t>’</w:t>
      </w:r>
      <w:r w:rsidRPr="00F720A6">
        <w:rPr>
          <w:lang w:val="fr-FR"/>
        </w:rPr>
        <w:t>à l</w:t>
      </w:r>
      <w:r w:rsidR="00254912">
        <w:rPr>
          <w:lang w:val="fr-FR"/>
        </w:rPr>
        <w:t>’</w:t>
      </w:r>
      <w:r w:rsidRPr="00F720A6">
        <w:rPr>
          <w:lang w:val="fr-FR"/>
        </w:rPr>
        <w:t xml:space="preserve">âge de 26 ans. </w:t>
      </w:r>
    </w:p>
    <w:p w14:paraId="44DC3EC2" w14:textId="77777777" w:rsidR="003C48D6" w:rsidRPr="00F720A6" w:rsidRDefault="003C48D6" w:rsidP="0057442B">
      <w:pPr>
        <w:pStyle w:val="SingleTxtG"/>
        <w:rPr>
          <w:lang w:val="fr-FR"/>
        </w:rPr>
      </w:pPr>
      <w:r w:rsidRPr="00F720A6">
        <w:rPr>
          <w:lang w:val="fr-FR"/>
        </w:rPr>
        <w:t>111.</w:t>
      </w:r>
      <w:r w:rsidRPr="00F720A6">
        <w:rPr>
          <w:lang w:val="fr-FR"/>
        </w:rPr>
        <w:tab/>
        <w:t>Selon les statistiques, au total, 7 292 enfants ayant des besoins particuliers reçoivent une prestation pécuniaire spéciale.</w:t>
      </w:r>
    </w:p>
    <w:p w14:paraId="50605ED5" w14:textId="77777777" w:rsidR="003C48D6" w:rsidRPr="00F720A6" w:rsidRDefault="003C48D6" w:rsidP="0057442B">
      <w:pPr>
        <w:pStyle w:val="SingleTxtG"/>
        <w:rPr>
          <w:lang w:val="fr-FR"/>
        </w:rPr>
      </w:pPr>
      <w:r w:rsidRPr="00F720A6">
        <w:rPr>
          <w:lang w:val="fr-FR"/>
        </w:rPr>
        <w:t>112.</w:t>
      </w:r>
      <w:r w:rsidRPr="00F720A6">
        <w:rPr>
          <w:lang w:val="fr-FR"/>
        </w:rPr>
        <w:tab/>
        <w:t>Les bénéficiaires placés dans les institutions de protection sociale sont répartis comme suit :</w:t>
      </w:r>
    </w:p>
    <w:p w14:paraId="1C2300BA" w14:textId="77777777" w:rsidR="003C48D6" w:rsidRPr="00F720A6" w:rsidRDefault="003C48D6" w:rsidP="0057442B">
      <w:pPr>
        <w:pStyle w:val="Bullet1G"/>
        <w:rPr>
          <w:lang w:val="fr-FR"/>
        </w:rPr>
      </w:pPr>
      <w:r w:rsidRPr="00F720A6">
        <w:rPr>
          <w:lang w:val="fr-FR"/>
        </w:rPr>
        <w:t>L</w:t>
      </w:r>
      <w:r w:rsidR="00254912">
        <w:rPr>
          <w:lang w:val="fr-FR"/>
        </w:rPr>
        <w:t>’</w:t>
      </w:r>
      <w:r w:rsidRPr="00F720A6">
        <w:rPr>
          <w:lang w:val="fr-FR"/>
        </w:rPr>
        <w:t>Institut public de réadaptation des enfants et des jeunes, à Skopje, accueille 66 bénéficiaires dont 36 sont placés et, parmi ces derniers, 15 ont moins de 18 ans et 21 sont âgés de 18 à 26 ans ;</w:t>
      </w:r>
    </w:p>
    <w:p w14:paraId="05DF8FE7" w14:textId="77777777" w:rsidR="003C48D6" w:rsidRPr="00F720A6" w:rsidRDefault="003C48D6" w:rsidP="0057442B">
      <w:pPr>
        <w:pStyle w:val="Bullet1G"/>
        <w:rPr>
          <w:lang w:val="fr-FR"/>
        </w:rPr>
      </w:pPr>
      <w:r w:rsidRPr="00F720A6">
        <w:rPr>
          <w:lang w:val="fr-FR"/>
        </w:rPr>
        <w:t>L</w:t>
      </w:r>
      <w:r w:rsidR="00254912">
        <w:rPr>
          <w:lang w:val="fr-FR"/>
        </w:rPr>
        <w:t>’</w:t>
      </w:r>
      <w:r w:rsidRPr="00F720A6">
        <w:rPr>
          <w:lang w:val="fr-FR"/>
        </w:rPr>
        <w:t xml:space="preserve">Institut public spécialisé Demir </w:t>
      </w:r>
      <w:proofErr w:type="spellStart"/>
      <w:r w:rsidRPr="00F720A6">
        <w:rPr>
          <w:lang w:val="fr-FR"/>
        </w:rPr>
        <w:t>Kapija</w:t>
      </w:r>
      <w:proofErr w:type="spellEnd"/>
      <w:r w:rsidRPr="00F720A6">
        <w:rPr>
          <w:lang w:val="fr-FR"/>
        </w:rPr>
        <w:t xml:space="preserve"> accueille un total de 221 bénéficiaires, dont 11 ont moins de 18 ans et 16 sont âgés de 18 à 26 ans ;</w:t>
      </w:r>
    </w:p>
    <w:p w14:paraId="6CA04A76" w14:textId="77777777" w:rsidR="003C48D6" w:rsidRPr="00F720A6" w:rsidRDefault="003C48D6" w:rsidP="0057442B">
      <w:pPr>
        <w:pStyle w:val="Bullet1G"/>
        <w:rPr>
          <w:lang w:val="fr-FR"/>
        </w:rPr>
      </w:pPr>
      <w:r w:rsidRPr="00F720A6">
        <w:rPr>
          <w:lang w:val="fr-FR"/>
        </w:rPr>
        <w:t>L</w:t>
      </w:r>
      <w:r w:rsidR="00254912">
        <w:rPr>
          <w:lang w:val="fr-FR"/>
        </w:rPr>
        <w:t>’</w:t>
      </w:r>
      <w:r w:rsidRPr="00F720A6">
        <w:rPr>
          <w:lang w:val="fr-FR"/>
        </w:rPr>
        <w:t>Institut public de protection et de réadaptation Spa Bansko, à Strumica, accueille au total 63 bénéficiaires, dont 10 ont moins de 18 ans et 5 sont âgés de 18 à 26 ans ;</w:t>
      </w:r>
    </w:p>
    <w:p w14:paraId="5C557DE3" w14:textId="77777777" w:rsidR="003C48D6" w:rsidRPr="00F720A6" w:rsidRDefault="003C48D6" w:rsidP="0057442B">
      <w:pPr>
        <w:pStyle w:val="Bullet1G"/>
        <w:rPr>
          <w:lang w:val="fr-FR"/>
        </w:rPr>
      </w:pPr>
      <w:r w:rsidRPr="00F720A6">
        <w:rPr>
          <w:lang w:val="fr-FR"/>
        </w:rPr>
        <w:t>Le foyer public pour bébés et enfants en bas âge de Bitola accueille au total 68 bénéficiaires, dont 19 sont handicapés, 2 ont des déficiences mineures et 5 ont un âge mental proche de leur âge physique ;</w:t>
      </w:r>
    </w:p>
    <w:p w14:paraId="56CB5264" w14:textId="77777777" w:rsidR="003C48D6" w:rsidRPr="00F720A6" w:rsidRDefault="003C48D6" w:rsidP="0057442B">
      <w:pPr>
        <w:pStyle w:val="Bullet1G"/>
        <w:rPr>
          <w:lang w:val="fr-FR"/>
        </w:rPr>
      </w:pPr>
      <w:r w:rsidRPr="00F720A6">
        <w:rPr>
          <w:lang w:val="fr-FR"/>
        </w:rPr>
        <w:t>Les familles d</w:t>
      </w:r>
      <w:r w:rsidR="00254912">
        <w:rPr>
          <w:lang w:val="fr-FR"/>
        </w:rPr>
        <w:t>’</w:t>
      </w:r>
      <w:r w:rsidRPr="00F720A6">
        <w:rPr>
          <w:lang w:val="fr-FR"/>
        </w:rPr>
        <w:t>accueil se chargent de 340 personnes au total, dont 137 enfants handicapés ; et</w:t>
      </w:r>
    </w:p>
    <w:p w14:paraId="5124B9DE" w14:textId="77777777" w:rsidR="003C48D6" w:rsidRPr="00F720A6" w:rsidRDefault="003C48D6" w:rsidP="0057442B">
      <w:pPr>
        <w:pStyle w:val="Bullet1G"/>
        <w:rPr>
          <w:lang w:val="fr-FR"/>
        </w:rPr>
      </w:pPr>
      <w:r w:rsidRPr="00F720A6">
        <w:rPr>
          <w:lang w:val="fr-FR"/>
        </w:rPr>
        <w:t>Les centres d</w:t>
      </w:r>
      <w:r w:rsidR="00254912">
        <w:rPr>
          <w:lang w:val="fr-FR"/>
        </w:rPr>
        <w:t>’</w:t>
      </w:r>
      <w:r w:rsidRPr="00F720A6">
        <w:rPr>
          <w:lang w:val="fr-FR"/>
        </w:rPr>
        <w:t>accueil de jour pour personnes handicapées accueillent au total 431 bénéficiaires, dont 187 ont moins de 18 ans et 107 sont âgés de 18 à 26 ans.</w:t>
      </w:r>
    </w:p>
    <w:p w14:paraId="08FB56F0" w14:textId="77777777" w:rsidR="003C48D6" w:rsidRPr="00F720A6" w:rsidRDefault="003C48D6" w:rsidP="0057442B">
      <w:pPr>
        <w:pStyle w:val="H23G"/>
        <w:rPr>
          <w:lang w:val="fr-FR"/>
        </w:rPr>
      </w:pPr>
      <w:r w:rsidRPr="00F720A6">
        <w:rPr>
          <w:lang w:val="fr-FR"/>
        </w:rPr>
        <w:tab/>
        <w:t>a)</w:t>
      </w:r>
      <w:r w:rsidRPr="00F720A6">
        <w:rPr>
          <w:lang w:val="fr-FR"/>
        </w:rPr>
        <w:tab/>
        <w:t>Santé et services de santé, en particulier les soins de santé primaires (art. 24)</w:t>
      </w:r>
      <w:bookmarkStart w:id="39" w:name="_Toc56781442"/>
      <w:bookmarkEnd w:id="39"/>
    </w:p>
    <w:p w14:paraId="2D42EE22" w14:textId="77777777" w:rsidR="003C48D6" w:rsidRPr="00F720A6" w:rsidRDefault="003C48D6" w:rsidP="0057442B">
      <w:pPr>
        <w:pStyle w:val="SingleTxtG"/>
        <w:rPr>
          <w:lang w:val="fr-FR"/>
        </w:rPr>
      </w:pPr>
      <w:r w:rsidRPr="00F720A6">
        <w:rPr>
          <w:lang w:val="fr-FR"/>
        </w:rPr>
        <w:t>113.</w:t>
      </w:r>
      <w:r w:rsidRPr="00F720A6">
        <w:rPr>
          <w:lang w:val="fr-FR"/>
        </w:rPr>
        <w:tab/>
        <w:t>Le droit de tous les citoyens aux soins de santé est garanti par la Constitution et régi par la loi sur les soins de santé</w:t>
      </w:r>
      <w:r w:rsidRPr="002A465A">
        <w:rPr>
          <w:rStyle w:val="Appelnotedebasdep"/>
        </w:rPr>
        <w:footnoteReference w:id="29"/>
      </w:r>
      <w:r w:rsidRPr="00F720A6">
        <w:rPr>
          <w:lang w:val="fr-FR"/>
        </w:rPr>
        <w:t xml:space="preserve">. Les droits garantis sont exercés et les besoins et intérêts établis sont satisfaits au travers de programmes annuels spécialement conçus et financés par le Budget. </w:t>
      </w:r>
    </w:p>
    <w:p w14:paraId="7BB669FC" w14:textId="77777777" w:rsidR="003C48D6" w:rsidRPr="00F720A6" w:rsidRDefault="003C48D6" w:rsidP="0057442B">
      <w:pPr>
        <w:pStyle w:val="SingleTxtG"/>
        <w:rPr>
          <w:lang w:val="fr-FR"/>
        </w:rPr>
      </w:pPr>
      <w:r w:rsidRPr="00F720A6">
        <w:rPr>
          <w:lang w:val="fr-FR"/>
        </w:rPr>
        <w:t>114.</w:t>
      </w:r>
      <w:r w:rsidRPr="00F720A6">
        <w:rPr>
          <w:lang w:val="fr-FR"/>
        </w:rPr>
        <w:tab/>
        <w:t>L</w:t>
      </w:r>
      <w:r w:rsidR="00254912">
        <w:rPr>
          <w:lang w:val="fr-FR"/>
        </w:rPr>
        <w:t>’</w:t>
      </w:r>
      <w:r w:rsidRPr="00F720A6">
        <w:rPr>
          <w:lang w:val="fr-FR"/>
        </w:rPr>
        <w:t>accès des personnes handicapées aux soins de santé est régi par la loi sur les soins de santé (soins de santé primaires), la loi sur l</w:t>
      </w:r>
      <w:r w:rsidR="00254912">
        <w:rPr>
          <w:lang w:val="fr-FR"/>
        </w:rPr>
        <w:t>’</w:t>
      </w:r>
      <w:r w:rsidRPr="00F720A6">
        <w:rPr>
          <w:lang w:val="fr-FR"/>
        </w:rPr>
        <w:t>assurance maladie (couverture universelle de l</w:t>
      </w:r>
      <w:r w:rsidR="00254912">
        <w:rPr>
          <w:lang w:val="fr-FR"/>
        </w:rPr>
        <w:t>’</w:t>
      </w:r>
      <w:r w:rsidRPr="00F720A6">
        <w:rPr>
          <w:lang w:val="fr-FR"/>
        </w:rPr>
        <w:t>assurance maladie, exonération de participation aux frais), la loi sur les droits des patients (aspects individuels du droit à la santé), la loi sur la santé mentale (droit au respect de l</w:t>
      </w:r>
      <w:r w:rsidR="00254912">
        <w:rPr>
          <w:lang w:val="fr-FR"/>
        </w:rPr>
        <w:t>’</w:t>
      </w:r>
      <w:r w:rsidRPr="00F720A6">
        <w:rPr>
          <w:lang w:val="fr-FR"/>
        </w:rPr>
        <w:t>individualité, de la dignité et de la vie privée de toute personne atteinte d</w:t>
      </w:r>
      <w:r w:rsidR="00254912">
        <w:rPr>
          <w:lang w:val="fr-FR"/>
        </w:rPr>
        <w:t>’</w:t>
      </w:r>
      <w:r w:rsidRPr="00F720A6">
        <w:rPr>
          <w:lang w:val="fr-FR"/>
        </w:rPr>
        <w:t>une maladie mentale).</w:t>
      </w:r>
    </w:p>
    <w:p w14:paraId="200CEE5F" w14:textId="77777777" w:rsidR="003C48D6" w:rsidRPr="00F720A6" w:rsidRDefault="003C48D6" w:rsidP="0057442B">
      <w:pPr>
        <w:pStyle w:val="SingleTxtG"/>
        <w:rPr>
          <w:lang w:val="fr-FR"/>
        </w:rPr>
      </w:pPr>
      <w:r w:rsidRPr="00F720A6">
        <w:rPr>
          <w:lang w:val="fr-FR"/>
        </w:rPr>
        <w:t>115.</w:t>
      </w:r>
      <w:r w:rsidRPr="00F720A6">
        <w:rPr>
          <w:lang w:val="fr-FR"/>
        </w:rPr>
        <w:tab/>
        <w:t xml:space="preserve">Les soins de santé pour les enfants ayant des problèmes de développement sont dispensés dans les centres de soins de santé primaires ; dans les centres de soins de santé secondaires pour les enfants ayant des problèmes de développement et des besoins éducatifs </w:t>
      </w:r>
      <w:r w:rsidRPr="00F720A6">
        <w:rPr>
          <w:lang w:val="fr-FR"/>
        </w:rPr>
        <w:lastRenderedPageBreak/>
        <w:t>particuliers, centres qui disposent d</w:t>
      </w:r>
      <w:r w:rsidR="00254912">
        <w:rPr>
          <w:lang w:val="fr-FR"/>
        </w:rPr>
        <w:t>’</w:t>
      </w:r>
      <w:r w:rsidRPr="00F720A6">
        <w:rPr>
          <w:lang w:val="fr-FR"/>
        </w:rPr>
        <w:t>unités de pédiatrie du développement, ainsi que dans deux institutions spécialisées en santé mentale (à Skopje et à Bitola) pour le dépistage précoce, le diagnostic, le traitement et le suivi de la croissance et du développement fonctionnels des enfants porteurs de risques à la naissance ; enfin, dans des centres de soins de santé tertiaires, concentrés dans les plus grandes villes.</w:t>
      </w:r>
    </w:p>
    <w:p w14:paraId="2B2175E0" w14:textId="77777777" w:rsidR="003C48D6" w:rsidRPr="00F720A6" w:rsidRDefault="003C48D6" w:rsidP="0057442B">
      <w:pPr>
        <w:pStyle w:val="SingleTxtG"/>
        <w:rPr>
          <w:lang w:val="fr-FR"/>
        </w:rPr>
      </w:pPr>
      <w:r w:rsidRPr="00F720A6">
        <w:rPr>
          <w:lang w:val="fr-FR"/>
        </w:rPr>
        <w:t>116.</w:t>
      </w:r>
      <w:r w:rsidRPr="00F720A6">
        <w:rPr>
          <w:lang w:val="fr-FR"/>
        </w:rPr>
        <w:tab/>
        <w:t>Le Ministère de la santé poursuit sans relâche les activités prévues dans le plan d</w:t>
      </w:r>
      <w:r w:rsidR="00254912">
        <w:rPr>
          <w:lang w:val="fr-FR"/>
        </w:rPr>
        <w:t>’</w:t>
      </w:r>
      <w:r w:rsidRPr="00F720A6">
        <w:rPr>
          <w:lang w:val="fr-FR"/>
        </w:rPr>
        <w:t>action adopté et approuvé par le Gouvernement en vue de la création d</w:t>
      </w:r>
      <w:r w:rsidR="00254912">
        <w:rPr>
          <w:lang w:val="fr-FR"/>
        </w:rPr>
        <w:t>’</w:t>
      </w:r>
      <w:r w:rsidRPr="00F720A6">
        <w:rPr>
          <w:lang w:val="fr-FR"/>
        </w:rPr>
        <w:t>un centre pour l</w:t>
      </w:r>
      <w:r w:rsidR="00254912">
        <w:rPr>
          <w:lang w:val="fr-FR"/>
        </w:rPr>
        <w:t>’</w:t>
      </w:r>
      <w:r w:rsidRPr="00F720A6">
        <w:rPr>
          <w:lang w:val="fr-FR"/>
        </w:rPr>
        <w:t>autisme, en entreprenant un certain nombre d</w:t>
      </w:r>
      <w:r w:rsidR="00254912">
        <w:rPr>
          <w:lang w:val="fr-FR"/>
        </w:rPr>
        <w:t>’</w:t>
      </w:r>
      <w:r w:rsidRPr="00F720A6">
        <w:rPr>
          <w:lang w:val="fr-FR"/>
        </w:rPr>
        <w:t>actions plurisectorielles de renforcement des capacités (dotation en personnel, formation, équipement et application de nouveaux traitements et de nouvelles méthodes opérationnelles pour ce centre unique). Au cours des dernières années, l</w:t>
      </w:r>
      <w:r w:rsidR="00254912">
        <w:rPr>
          <w:lang w:val="fr-FR"/>
        </w:rPr>
        <w:t>’</w:t>
      </w:r>
      <w:r w:rsidRPr="00F720A6">
        <w:rPr>
          <w:lang w:val="fr-FR"/>
        </w:rPr>
        <w:t>accent a été mis sur la formation à l</w:t>
      </w:r>
      <w:r w:rsidR="00254912">
        <w:rPr>
          <w:lang w:val="fr-FR"/>
        </w:rPr>
        <w:t>’</w:t>
      </w:r>
      <w:r w:rsidRPr="00F720A6">
        <w:rPr>
          <w:lang w:val="fr-FR"/>
        </w:rPr>
        <w:t>utilisation de l</w:t>
      </w:r>
      <w:r w:rsidR="00254912">
        <w:rPr>
          <w:lang w:val="fr-FR"/>
        </w:rPr>
        <w:t>’</w:t>
      </w:r>
      <w:r w:rsidRPr="00F720A6">
        <w:rPr>
          <w:lang w:val="fr-FR"/>
        </w:rPr>
        <w:t>outil d</w:t>
      </w:r>
      <w:r w:rsidR="00254912">
        <w:rPr>
          <w:lang w:val="fr-FR"/>
        </w:rPr>
        <w:t>’</w:t>
      </w:r>
      <w:r w:rsidRPr="00F720A6">
        <w:rPr>
          <w:lang w:val="fr-FR"/>
        </w:rPr>
        <w:t>évaluation que constitue l</w:t>
      </w:r>
      <w:r w:rsidR="00254912">
        <w:rPr>
          <w:lang w:val="fr-FR"/>
        </w:rPr>
        <w:t>’</w:t>
      </w:r>
      <w:r w:rsidRPr="00F720A6">
        <w:rPr>
          <w:lang w:val="fr-FR"/>
        </w:rPr>
        <w:t>Analyse comportementale appliquée (ACA), et de l</w:t>
      </w:r>
      <w:r w:rsidR="00254912">
        <w:rPr>
          <w:lang w:val="fr-FR"/>
        </w:rPr>
        <w:t>’</w:t>
      </w:r>
      <w:r w:rsidRPr="00F720A6">
        <w:rPr>
          <w:lang w:val="fr-FR"/>
        </w:rPr>
        <w:t>Échelle d</w:t>
      </w:r>
      <w:r w:rsidR="00254912">
        <w:rPr>
          <w:lang w:val="fr-FR"/>
        </w:rPr>
        <w:t>’</w:t>
      </w:r>
      <w:r w:rsidRPr="00F720A6">
        <w:rPr>
          <w:lang w:val="fr-FR"/>
        </w:rPr>
        <w:t>observation pour le diagnostic de l</w:t>
      </w:r>
      <w:r w:rsidR="00254912">
        <w:rPr>
          <w:lang w:val="fr-FR"/>
        </w:rPr>
        <w:t>’</w:t>
      </w:r>
      <w:r w:rsidRPr="00F720A6">
        <w:rPr>
          <w:lang w:val="fr-FR"/>
        </w:rPr>
        <w:t>autisme (ADOS), qui est un instrument de diagnostic et d</w:t>
      </w:r>
      <w:r w:rsidR="00254912">
        <w:rPr>
          <w:lang w:val="fr-FR"/>
        </w:rPr>
        <w:t>’</w:t>
      </w:r>
      <w:r w:rsidRPr="00F720A6">
        <w:rPr>
          <w:lang w:val="fr-FR"/>
        </w:rPr>
        <w:t>évaluation destiné au personnel des établissements de santé publique travaillant avec des enfants présentant des troubles du spectre de l</w:t>
      </w:r>
      <w:r w:rsidR="00254912">
        <w:rPr>
          <w:lang w:val="fr-FR"/>
        </w:rPr>
        <w:t>’</w:t>
      </w:r>
      <w:r w:rsidRPr="00F720A6">
        <w:rPr>
          <w:lang w:val="fr-FR"/>
        </w:rPr>
        <w:t>autisme, ainsi qu</w:t>
      </w:r>
      <w:r w:rsidR="00254912">
        <w:rPr>
          <w:lang w:val="fr-FR"/>
        </w:rPr>
        <w:t>’</w:t>
      </w:r>
      <w:r w:rsidRPr="00F720A6">
        <w:rPr>
          <w:lang w:val="fr-FR"/>
        </w:rPr>
        <w:t>aux employés du Centre de jour pour l</w:t>
      </w:r>
      <w:r w:rsidR="00254912">
        <w:rPr>
          <w:lang w:val="fr-FR"/>
        </w:rPr>
        <w:t>’</w:t>
      </w:r>
      <w:r w:rsidRPr="00F720A6">
        <w:rPr>
          <w:lang w:val="fr-FR"/>
        </w:rPr>
        <w:t>autisme, de</w:t>
      </w:r>
      <w:r w:rsidR="00F44CDC">
        <w:rPr>
          <w:lang w:val="fr-FR"/>
        </w:rPr>
        <w:t> </w:t>
      </w:r>
      <w:r w:rsidRPr="00F720A6">
        <w:rPr>
          <w:lang w:val="fr-FR"/>
        </w:rPr>
        <w:t>Skopje, placé sous l</w:t>
      </w:r>
      <w:r w:rsidR="00254912">
        <w:rPr>
          <w:lang w:val="fr-FR"/>
        </w:rPr>
        <w:t>’</w:t>
      </w:r>
      <w:r w:rsidRPr="00F720A6">
        <w:rPr>
          <w:lang w:val="fr-FR"/>
        </w:rPr>
        <w:t>autorité du Ministère du travail et de la politique sociale.</w:t>
      </w:r>
    </w:p>
    <w:p w14:paraId="3DB3D12A" w14:textId="77777777" w:rsidR="003C48D6" w:rsidRPr="00F720A6" w:rsidRDefault="003C48D6" w:rsidP="0057442B">
      <w:pPr>
        <w:pStyle w:val="SingleTxtG"/>
        <w:rPr>
          <w:lang w:val="fr-FR"/>
        </w:rPr>
      </w:pPr>
      <w:r w:rsidRPr="00F720A6">
        <w:rPr>
          <w:lang w:val="fr-FR"/>
        </w:rPr>
        <w:t>117.</w:t>
      </w:r>
      <w:r w:rsidRPr="00F720A6">
        <w:rPr>
          <w:lang w:val="fr-FR"/>
        </w:rPr>
        <w:tab/>
        <w:t>En 2017, le Ministère de la santé a créé un organe de travail pour la mise en œuvre du Plan d</w:t>
      </w:r>
      <w:r w:rsidR="00254912">
        <w:rPr>
          <w:lang w:val="fr-FR"/>
        </w:rPr>
        <w:t>’</w:t>
      </w:r>
      <w:r w:rsidRPr="00F720A6">
        <w:rPr>
          <w:lang w:val="fr-FR"/>
        </w:rPr>
        <w:t>action pour l</w:t>
      </w:r>
      <w:r w:rsidR="00254912">
        <w:rPr>
          <w:lang w:val="fr-FR"/>
        </w:rPr>
        <w:t>’</w:t>
      </w:r>
      <w:r w:rsidRPr="00F720A6">
        <w:rPr>
          <w:lang w:val="fr-FR"/>
        </w:rPr>
        <w:t>amélioration des soins de santé dispensés aux enfants handicapés. Les</w:t>
      </w:r>
      <w:r w:rsidR="00F44CDC">
        <w:rPr>
          <w:lang w:val="fr-FR"/>
        </w:rPr>
        <w:t> </w:t>
      </w:r>
      <w:r w:rsidRPr="00F720A6">
        <w:rPr>
          <w:lang w:val="fr-FR"/>
        </w:rPr>
        <w:t>mesures et activités décrites dans ce Plan d</w:t>
      </w:r>
      <w:r w:rsidR="00254912">
        <w:rPr>
          <w:lang w:val="fr-FR"/>
        </w:rPr>
        <w:t>’</w:t>
      </w:r>
      <w:r w:rsidRPr="00F720A6">
        <w:rPr>
          <w:lang w:val="fr-FR"/>
        </w:rPr>
        <w:t>action visent les problèmes que rencontrent les familles de personnes souffrant d</w:t>
      </w:r>
      <w:r w:rsidR="00254912">
        <w:rPr>
          <w:lang w:val="fr-FR"/>
        </w:rPr>
        <w:t>’</w:t>
      </w:r>
      <w:r w:rsidRPr="00F720A6">
        <w:rPr>
          <w:lang w:val="fr-FR"/>
        </w:rPr>
        <w:t>autisme, de maladies rares et autres handicaps (faciliter l</w:t>
      </w:r>
      <w:r w:rsidR="00254912">
        <w:rPr>
          <w:lang w:val="fr-FR"/>
        </w:rPr>
        <w:t>’</w:t>
      </w:r>
      <w:r w:rsidRPr="00F720A6">
        <w:rPr>
          <w:lang w:val="fr-FR"/>
        </w:rPr>
        <w:t>accès aux soins de santé et aux services sociaux grâce à des diagnostics corrects ; permettre le traitement par des méthodes récemment introduites ; fournir en temps utile les médicaments, les réactifs de laboratoire et les autres thérapies nécessaires ; maintenir une coopération et une formation continues entre les professionnels du pays et leurs collègues à l</w:t>
      </w:r>
      <w:r w:rsidR="00254912">
        <w:rPr>
          <w:lang w:val="fr-FR"/>
        </w:rPr>
        <w:t>’</w:t>
      </w:r>
      <w:r w:rsidRPr="00F720A6">
        <w:rPr>
          <w:lang w:val="fr-FR"/>
        </w:rPr>
        <w:t>étranger).</w:t>
      </w:r>
    </w:p>
    <w:p w14:paraId="366C1A57" w14:textId="77777777" w:rsidR="003C48D6" w:rsidRPr="00F720A6" w:rsidRDefault="003C48D6" w:rsidP="0057442B">
      <w:pPr>
        <w:pStyle w:val="SingleTxtG"/>
        <w:rPr>
          <w:lang w:val="fr-FR"/>
        </w:rPr>
      </w:pPr>
      <w:r w:rsidRPr="00F720A6">
        <w:rPr>
          <w:lang w:val="fr-FR"/>
        </w:rPr>
        <w:t>118.</w:t>
      </w:r>
      <w:r w:rsidRPr="00F720A6">
        <w:rPr>
          <w:lang w:val="fr-FR"/>
        </w:rPr>
        <w:tab/>
        <w:t xml:space="preserve">Conformément aux priorités fixées, le Gouvernement adopte chaque année des programmes que le Ministère de la santé met en œuvre. </w:t>
      </w:r>
    </w:p>
    <w:p w14:paraId="6C3B4C87" w14:textId="77777777" w:rsidR="003C48D6" w:rsidRPr="00F720A6" w:rsidRDefault="003C48D6" w:rsidP="0057442B">
      <w:pPr>
        <w:pStyle w:val="SingleTxtG"/>
        <w:rPr>
          <w:lang w:val="fr-FR"/>
        </w:rPr>
      </w:pPr>
      <w:r w:rsidRPr="00F720A6">
        <w:rPr>
          <w:lang w:val="fr-FR"/>
        </w:rPr>
        <w:t>119.</w:t>
      </w:r>
      <w:r w:rsidRPr="00F720A6">
        <w:rPr>
          <w:lang w:val="fr-FR"/>
        </w:rPr>
        <w:tab/>
        <w:t>Depuis 2017, en coopération avec l</w:t>
      </w:r>
      <w:r w:rsidR="00254912">
        <w:rPr>
          <w:lang w:val="fr-FR"/>
        </w:rPr>
        <w:t>’</w:t>
      </w:r>
      <w:r w:rsidRPr="00F720A6">
        <w:rPr>
          <w:lang w:val="fr-FR"/>
        </w:rPr>
        <w:t>Association médicale macédonienne et l</w:t>
      </w:r>
      <w:r w:rsidR="00254912">
        <w:rPr>
          <w:lang w:val="fr-FR"/>
        </w:rPr>
        <w:t>’</w:t>
      </w:r>
      <w:r w:rsidRPr="00F720A6">
        <w:rPr>
          <w:lang w:val="fr-FR"/>
        </w:rPr>
        <w:t>Association des infirmières et des obstétriciens, l</w:t>
      </w:r>
      <w:r w:rsidR="00254912">
        <w:rPr>
          <w:lang w:val="fr-FR"/>
        </w:rPr>
        <w:t>’</w:t>
      </w:r>
      <w:r w:rsidRPr="00F720A6">
        <w:rPr>
          <w:lang w:val="fr-FR"/>
        </w:rPr>
        <w:t>UNICEF s</w:t>
      </w:r>
      <w:r w:rsidR="00254912">
        <w:rPr>
          <w:lang w:val="fr-FR"/>
        </w:rPr>
        <w:t>’</w:t>
      </w:r>
      <w:r w:rsidRPr="00F720A6">
        <w:rPr>
          <w:lang w:val="fr-FR"/>
        </w:rPr>
        <w:t>emploie à renforcer les capacités des médecins généralistes et des professionnels des soins de santé primaires pour une détection précoce des troubles du développement chez l</w:t>
      </w:r>
      <w:r w:rsidR="00254912">
        <w:rPr>
          <w:lang w:val="fr-FR"/>
        </w:rPr>
        <w:t>’</w:t>
      </w:r>
      <w:r w:rsidRPr="00F720A6">
        <w:rPr>
          <w:lang w:val="fr-FR"/>
        </w:rPr>
        <w:t>enfant et une intervention rapide sur les cas détectés.</w:t>
      </w:r>
    </w:p>
    <w:p w14:paraId="39F3B77A" w14:textId="77777777" w:rsidR="003C48D6" w:rsidRPr="00F720A6" w:rsidRDefault="003C48D6" w:rsidP="0057442B">
      <w:pPr>
        <w:pStyle w:val="SingleTxtG"/>
        <w:rPr>
          <w:lang w:val="fr-FR"/>
        </w:rPr>
      </w:pPr>
      <w:r w:rsidRPr="00F720A6">
        <w:rPr>
          <w:lang w:val="fr-FR"/>
        </w:rPr>
        <w:t>120.</w:t>
      </w:r>
      <w:r w:rsidRPr="00F720A6">
        <w:rPr>
          <w:lang w:val="fr-FR"/>
        </w:rPr>
        <w:tab/>
        <w:t>En coopération avec l</w:t>
      </w:r>
      <w:r w:rsidR="00254912">
        <w:rPr>
          <w:lang w:val="fr-FR"/>
        </w:rPr>
        <w:t>’</w:t>
      </w:r>
      <w:r w:rsidRPr="00F720A6">
        <w:rPr>
          <w:lang w:val="fr-FR"/>
        </w:rPr>
        <w:t>Association médicale macédonienne, l</w:t>
      </w:r>
      <w:r w:rsidR="00254912">
        <w:rPr>
          <w:lang w:val="fr-FR"/>
        </w:rPr>
        <w:t>’</w:t>
      </w:r>
      <w:r w:rsidRPr="00F720A6">
        <w:rPr>
          <w:lang w:val="fr-FR"/>
        </w:rPr>
        <w:t>utilisation de la Classification internationale du fonctionnement, du handicap et de la santé (CIF) sera pilotée début 2019 dans 10 établissements de soins de santé primaires, pendant toute l</w:t>
      </w:r>
      <w:r w:rsidR="00254912">
        <w:rPr>
          <w:lang w:val="fr-FR"/>
        </w:rPr>
        <w:t>’</w:t>
      </w:r>
      <w:r w:rsidRPr="00F720A6">
        <w:rPr>
          <w:lang w:val="fr-FR"/>
        </w:rPr>
        <w:t>année, selon le modèle « suivre l</w:t>
      </w:r>
      <w:r w:rsidR="00254912">
        <w:rPr>
          <w:lang w:val="fr-FR"/>
        </w:rPr>
        <w:t>’</w:t>
      </w:r>
      <w:r w:rsidRPr="00F720A6">
        <w:rPr>
          <w:lang w:val="fr-FR"/>
        </w:rPr>
        <w:t>enfant ».</w:t>
      </w:r>
    </w:p>
    <w:p w14:paraId="55D29477" w14:textId="77777777" w:rsidR="003C48D6" w:rsidRPr="00F720A6" w:rsidRDefault="003C48D6" w:rsidP="0057442B">
      <w:pPr>
        <w:pStyle w:val="SingleTxtG"/>
        <w:rPr>
          <w:lang w:val="fr-FR"/>
        </w:rPr>
      </w:pPr>
      <w:r w:rsidRPr="00F720A6">
        <w:rPr>
          <w:lang w:val="fr-FR"/>
        </w:rPr>
        <w:t>121.</w:t>
      </w:r>
      <w:r w:rsidRPr="00F720A6">
        <w:rPr>
          <w:lang w:val="fr-FR"/>
        </w:rPr>
        <w:tab/>
        <w:t xml:space="preserve">Comme le prescrivent les Lignes directrices sur la pratique de la médecine fondée sur des preuves scientifiques, le dépistage prénatal des malformations du système </w:t>
      </w:r>
      <w:proofErr w:type="spellStart"/>
      <w:r w:rsidRPr="00F720A6">
        <w:rPr>
          <w:lang w:val="fr-FR"/>
        </w:rPr>
        <w:t>cardiovasculaire</w:t>
      </w:r>
      <w:proofErr w:type="spellEnd"/>
      <w:r w:rsidRPr="00F720A6">
        <w:rPr>
          <w:lang w:val="fr-FR"/>
        </w:rPr>
        <w:t xml:space="preserve"> est régulièrement pratiqué sur les nouveau-nés afin de détecter au plus tôt les cardiopathies congénitales.</w:t>
      </w:r>
    </w:p>
    <w:p w14:paraId="0A968E92" w14:textId="77777777" w:rsidR="003C48D6" w:rsidRPr="00F720A6" w:rsidRDefault="003C48D6" w:rsidP="0057442B">
      <w:pPr>
        <w:pStyle w:val="SingleTxtG"/>
        <w:rPr>
          <w:lang w:val="fr-FR"/>
        </w:rPr>
      </w:pPr>
      <w:r w:rsidRPr="00F720A6">
        <w:rPr>
          <w:lang w:val="fr-FR"/>
        </w:rPr>
        <w:t>122.</w:t>
      </w:r>
      <w:r w:rsidRPr="00F720A6">
        <w:rPr>
          <w:lang w:val="fr-FR"/>
        </w:rPr>
        <w:tab/>
        <w:t>Conformément aux Lignes directrices sur les soins prénatals pendant la grossesse, un</w:t>
      </w:r>
      <w:r w:rsidR="00F44CDC">
        <w:rPr>
          <w:lang w:val="fr-FR"/>
        </w:rPr>
        <w:t> </w:t>
      </w:r>
      <w:r w:rsidRPr="00F720A6">
        <w:rPr>
          <w:lang w:val="fr-FR"/>
        </w:rPr>
        <w:t>certain nombre de mesures sont prises pour protéger la santé des femmes enceintes et assurer le bon développement du fœtus à l</w:t>
      </w:r>
      <w:r w:rsidR="00254912">
        <w:rPr>
          <w:lang w:val="fr-FR"/>
        </w:rPr>
        <w:t>’</w:t>
      </w:r>
      <w:r w:rsidRPr="00F720A6">
        <w:rPr>
          <w:lang w:val="fr-FR"/>
        </w:rPr>
        <w:t>aide d</w:t>
      </w:r>
      <w:r w:rsidR="00254912">
        <w:rPr>
          <w:lang w:val="fr-FR"/>
        </w:rPr>
        <w:t>’</w:t>
      </w:r>
      <w:r w:rsidRPr="00F720A6">
        <w:rPr>
          <w:lang w:val="fr-FR"/>
        </w:rPr>
        <w:t>un ensemble d</w:t>
      </w:r>
      <w:r w:rsidR="00254912">
        <w:rPr>
          <w:lang w:val="fr-FR"/>
        </w:rPr>
        <w:t>’</w:t>
      </w:r>
      <w:r w:rsidRPr="00F720A6">
        <w:rPr>
          <w:lang w:val="fr-FR"/>
        </w:rPr>
        <w:t>interventions visant à permettre aux femmes enceintes d</w:t>
      </w:r>
      <w:r w:rsidR="00254912">
        <w:rPr>
          <w:lang w:val="fr-FR"/>
        </w:rPr>
        <w:t>’</w:t>
      </w:r>
      <w:r w:rsidRPr="00F720A6">
        <w:rPr>
          <w:lang w:val="fr-FR"/>
        </w:rPr>
        <w:t>obtenir des informations et des conseils sur la grossesse, l</w:t>
      </w:r>
      <w:r w:rsidR="00254912">
        <w:rPr>
          <w:lang w:val="fr-FR"/>
        </w:rPr>
        <w:t>’</w:t>
      </w:r>
      <w:r w:rsidRPr="00F720A6">
        <w:rPr>
          <w:lang w:val="fr-FR"/>
        </w:rPr>
        <w:t>accouchement et les soins aux nouveau-nés ; détecter les risques pour leur santé ; prendre des mesures et intervenir en temps utile si nécessaire ; fournir des soins pour diverses maladies et affections ; éduquer comme il convient les femmes enceintes, les familles et les communautés.</w:t>
      </w:r>
    </w:p>
    <w:p w14:paraId="4CE83BBF" w14:textId="77777777" w:rsidR="003C48D6" w:rsidRPr="00F720A6" w:rsidRDefault="003C48D6" w:rsidP="0057442B">
      <w:pPr>
        <w:pStyle w:val="SingleTxtG"/>
        <w:rPr>
          <w:lang w:val="fr-FR"/>
        </w:rPr>
      </w:pPr>
      <w:r w:rsidRPr="00F720A6">
        <w:rPr>
          <w:lang w:val="fr-FR"/>
        </w:rPr>
        <w:t>123.</w:t>
      </w:r>
      <w:r w:rsidRPr="00F720A6">
        <w:rPr>
          <w:lang w:val="fr-FR"/>
        </w:rPr>
        <w:tab/>
        <w:t>Comme l</w:t>
      </w:r>
      <w:r w:rsidR="00254912">
        <w:rPr>
          <w:lang w:val="fr-FR"/>
        </w:rPr>
        <w:t>’</w:t>
      </w:r>
      <w:r w:rsidRPr="00F720A6">
        <w:rPr>
          <w:lang w:val="fr-FR"/>
        </w:rPr>
        <w:t>exige la loi sur la tenue des dossiers médicaux, un rapport individuel pour les enfants souffrant de troubles du développement (0 à 18 ans) a été élaboré, ainsi que des instructions sur les informations à fournir dans le rapport. Il est également prévu de mettre au point un logiciel spécial pour enregistrer les personnes souffrant de troubles du développement, qu</w:t>
      </w:r>
      <w:r w:rsidR="00254912">
        <w:rPr>
          <w:lang w:val="fr-FR"/>
        </w:rPr>
        <w:t>’</w:t>
      </w:r>
      <w:r w:rsidRPr="00F720A6">
        <w:rPr>
          <w:lang w:val="fr-FR"/>
        </w:rPr>
        <w:t>elles soient hospitalisées ou admises en hôpital de jour, ce qui constituera un instrument utile pour suivre l</w:t>
      </w:r>
      <w:r w:rsidR="00254912">
        <w:rPr>
          <w:lang w:val="fr-FR"/>
        </w:rPr>
        <w:t>’</w:t>
      </w:r>
      <w:r w:rsidRPr="00F720A6">
        <w:rPr>
          <w:lang w:val="fr-FR"/>
        </w:rPr>
        <w:t>état de santé de cette catégorie de patients.</w:t>
      </w:r>
    </w:p>
    <w:p w14:paraId="0448FDE2" w14:textId="77777777" w:rsidR="003C48D6" w:rsidRPr="00F720A6" w:rsidRDefault="003C48D6" w:rsidP="0057442B">
      <w:pPr>
        <w:pStyle w:val="H23G"/>
        <w:rPr>
          <w:lang w:val="fr-FR"/>
        </w:rPr>
      </w:pPr>
      <w:r w:rsidRPr="00F720A6">
        <w:rPr>
          <w:lang w:val="fr-FR"/>
        </w:rPr>
        <w:lastRenderedPageBreak/>
        <w:tab/>
      </w:r>
      <w:r w:rsidRPr="00F720A6">
        <w:rPr>
          <w:lang w:val="fr-FR"/>
        </w:rPr>
        <w:tab/>
        <w:t>Pour une maternité sans risques</w:t>
      </w:r>
      <w:bookmarkStart w:id="40" w:name="_Toc56781443"/>
      <w:bookmarkEnd w:id="40"/>
    </w:p>
    <w:p w14:paraId="7F40855D" w14:textId="77777777" w:rsidR="003C48D6" w:rsidRPr="00F720A6" w:rsidRDefault="003C48D6" w:rsidP="0057442B">
      <w:pPr>
        <w:pStyle w:val="SingleTxtG"/>
        <w:rPr>
          <w:lang w:val="fr-FR"/>
        </w:rPr>
      </w:pPr>
      <w:r w:rsidRPr="00F720A6">
        <w:rPr>
          <w:lang w:val="fr-FR"/>
        </w:rPr>
        <w:t>124.</w:t>
      </w:r>
      <w:r w:rsidRPr="00F720A6">
        <w:rPr>
          <w:lang w:val="fr-FR"/>
        </w:rPr>
        <w:tab/>
        <w:t>Les femmes en âge de procréer et les enfants bénéficient des soins dispensés par un réseau d</w:t>
      </w:r>
      <w:r w:rsidR="00254912">
        <w:rPr>
          <w:lang w:val="fr-FR"/>
        </w:rPr>
        <w:t>’</w:t>
      </w:r>
      <w:r w:rsidRPr="00F720A6">
        <w:rPr>
          <w:lang w:val="fr-FR"/>
        </w:rPr>
        <w:t>établissements agissant aux trois niveaux de soins de santé.</w:t>
      </w:r>
    </w:p>
    <w:p w14:paraId="69493ED0" w14:textId="77777777" w:rsidR="003C48D6" w:rsidRPr="00F720A6" w:rsidRDefault="003C48D6" w:rsidP="0057442B">
      <w:pPr>
        <w:pStyle w:val="SingleTxtG"/>
        <w:rPr>
          <w:lang w:val="fr-FR"/>
        </w:rPr>
      </w:pPr>
      <w:r w:rsidRPr="00F720A6">
        <w:rPr>
          <w:lang w:val="fr-FR"/>
        </w:rPr>
        <w:t>125.</w:t>
      </w:r>
      <w:r w:rsidRPr="00F720A6">
        <w:rPr>
          <w:lang w:val="fr-FR"/>
        </w:rPr>
        <w:tab/>
        <w:t xml:space="preserve">Au niveau des soins de santé primaires, les services de planification de la famille sont assurés par des gynécologues et, en partie, par des personnels infirmiers de santé publique. </w:t>
      </w:r>
    </w:p>
    <w:p w14:paraId="39FB9F7C" w14:textId="77777777" w:rsidR="003C48D6" w:rsidRPr="00F720A6" w:rsidRDefault="003C48D6" w:rsidP="0057442B">
      <w:pPr>
        <w:pStyle w:val="SingleTxtG"/>
        <w:rPr>
          <w:lang w:val="fr-FR"/>
        </w:rPr>
      </w:pPr>
      <w:r w:rsidRPr="00F720A6">
        <w:rPr>
          <w:lang w:val="fr-FR"/>
        </w:rPr>
        <w:t>126.</w:t>
      </w:r>
      <w:r w:rsidRPr="00F720A6">
        <w:rPr>
          <w:lang w:val="fr-FR"/>
        </w:rPr>
        <w:tab/>
        <w:t>En 2017, des Plans d</w:t>
      </w:r>
      <w:r w:rsidR="00254912">
        <w:rPr>
          <w:lang w:val="fr-FR"/>
        </w:rPr>
        <w:t>’</w:t>
      </w:r>
      <w:r w:rsidRPr="00F720A6">
        <w:rPr>
          <w:lang w:val="fr-FR"/>
        </w:rPr>
        <w:t>action pour la planification de la famille et pour l</w:t>
      </w:r>
      <w:r w:rsidR="00254912">
        <w:rPr>
          <w:lang w:val="fr-FR"/>
        </w:rPr>
        <w:t>’</w:t>
      </w:r>
      <w:r w:rsidRPr="00F720A6">
        <w:rPr>
          <w:lang w:val="fr-FR"/>
        </w:rPr>
        <w:t xml:space="preserve">amélioration de la santé maternelle et </w:t>
      </w:r>
      <w:proofErr w:type="spellStart"/>
      <w:r w:rsidRPr="00F720A6">
        <w:rPr>
          <w:lang w:val="fr-FR"/>
        </w:rPr>
        <w:t>néonatale</w:t>
      </w:r>
      <w:proofErr w:type="spellEnd"/>
      <w:r w:rsidRPr="00F720A6">
        <w:rPr>
          <w:lang w:val="fr-FR"/>
        </w:rPr>
        <w:t xml:space="preserve"> ont été établis dans le cadre de la Stratégie de santé sexuelle et procréative 2010-2020. </w:t>
      </w:r>
    </w:p>
    <w:p w14:paraId="05221D6F" w14:textId="77777777" w:rsidR="003C48D6" w:rsidRDefault="003C48D6" w:rsidP="0057442B">
      <w:pPr>
        <w:pStyle w:val="Titre1"/>
        <w:spacing w:after="120"/>
        <w:rPr>
          <w:b/>
          <w:bCs/>
          <w:lang w:val="fr-FR"/>
        </w:rPr>
      </w:pPr>
      <w:r w:rsidRPr="00F720A6">
        <w:rPr>
          <w:lang w:val="fr-FR"/>
        </w:rPr>
        <w:t xml:space="preserve">Graphique : </w:t>
      </w:r>
      <w:r w:rsidR="0057442B">
        <w:rPr>
          <w:lang w:val="fr-FR"/>
        </w:rPr>
        <w:br/>
      </w:r>
      <w:r w:rsidRPr="0057442B">
        <w:rPr>
          <w:b/>
          <w:bCs/>
          <w:lang w:val="fr-FR"/>
        </w:rPr>
        <w:t xml:space="preserve">Accès aux services de planification familiale </w:t>
      </w:r>
      <w:r w:rsidR="00D701E3">
        <w:rPr>
          <w:b/>
          <w:bCs/>
          <w:lang w:val="fr-FR"/>
        </w:rPr>
        <w:t>−</w:t>
      </w:r>
      <w:r w:rsidRPr="0057442B">
        <w:rPr>
          <w:b/>
          <w:bCs/>
          <w:lang w:val="fr-FR"/>
        </w:rPr>
        <w:t xml:space="preserve"> nombre de visites et nombre </w:t>
      </w:r>
      <w:r w:rsidR="0057442B">
        <w:rPr>
          <w:b/>
          <w:bCs/>
          <w:lang w:val="fr-FR"/>
        </w:rPr>
        <w:br/>
      </w:r>
      <w:r w:rsidRPr="0057442B">
        <w:rPr>
          <w:b/>
          <w:bCs/>
          <w:lang w:val="fr-FR"/>
        </w:rPr>
        <w:t>de</w:t>
      </w:r>
      <w:r w:rsidR="0057442B">
        <w:rPr>
          <w:b/>
          <w:bCs/>
          <w:lang w:val="fr-FR"/>
        </w:rPr>
        <w:t> </w:t>
      </w:r>
      <w:r w:rsidRPr="0057442B">
        <w:rPr>
          <w:b/>
          <w:bCs/>
          <w:lang w:val="fr-FR"/>
        </w:rPr>
        <w:t>contraceptifs administrés (2010-2016)</w:t>
      </w:r>
      <w:r w:rsidRPr="002A465A">
        <w:rPr>
          <w:rStyle w:val="Appelnotedebasdep"/>
        </w:rPr>
        <w:footnoteReference w:id="30"/>
      </w:r>
      <w:bookmarkStart w:id="41" w:name="_Toc56781444"/>
      <w:bookmarkEnd w:id="41"/>
    </w:p>
    <w:p w14:paraId="08CFE672" w14:textId="77777777" w:rsidR="0057442B" w:rsidRPr="0057442B" w:rsidRDefault="00D701E3" w:rsidP="0057442B">
      <w:pPr>
        <w:pStyle w:val="SingleTxtG"/>
      </w:pPr>
      <w:r>
        <w:rPr>
          <w:noProof/>
        </w:rPr>
        <mc:AlternateContent>
          <mc:Choice Requires="wps">
            <w:drawing>
              <wp:anchor distT="0" distB="0" distL="114300" distR="114300" simplePos="0" relativeHeight="251660288" behindDoc="0" locked="0" layoutInCell="1" allowOverlap="1" wp14:anchorId="762A3769" wp14:editId="4C9CA2F7">
                <wp:simplePos x="0" y="0"/>
                <wp:positionH relativeFrom="column">
                  <wp:posOffset>1066165</wp:posOffset>
                </wp:positionH>
                <wp:positionV relativeFrom="paragraph">
                  <wp:posOffset>1397000</wp:posOffset>
                </wp:positionV>
                <wp:extent cx="1280160" cy="245745"/>
                <wp:effectExtent l="0" t="0" r="15240" b="1905"/>
                <wp:wrapNone/>
                <wp:docPr id="7" name="Zone de texte 7"/>
                <wp:cNvGraphicFramePr/>
                <a:graphic xmlns:a="http://schemas.openxmlformats.org/drawingml/2006/main">
                  <a:graphicData uri="http://schemas.microsoft.com/office/word/2010/wordprocessingShape">
                    <wps:wsp>
                      <wps:cNvSpPr txBox="1"/>
                      <wps:spPr>
                        <a:xfrm>
                          <a:off x="0" y="0"/>
                          <a:ext cx="1280160" cy="245745"/>
                        </a:xfrm>
                        <a:prstGeom prst="rect">
                          <a:avLst/>
                        </a:prstGeom>
                        <a:noFill/>
                        <a:ln w="6350">
                          <a:noFill/>
                        </a:ln>
                      </wps:spPr>
                      <wps:txbx>
                        <w:txbxContent>
                          <w:p w14:paraId="108184E8" w14:textId="77777777" w:rsidR="00311732" w:rsidRPr="008B7586" w:rsidRDefault="00311732" w:rsidP="008B7586">
                            <w:pPr>
                              <w:spacing w:line="200" w:lineRule="atLeast"/>
                              <w:rPr>
                                <w:sz w:val="16"/>
                                <w:szCs w:val="16"/>
                              </w:rPr>
                            </w:pPr>
                            <w:r w:rsidRPr="008B7586">
                              <w:rPr>
                                <w:sz w:val="16"/>
                                <w:szCs w:val="16"/>
                                <w:lang w:val="fr-FR"/>
                              </w:rPr>
                              <w:t>Conseils pour la planification familiale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2A3769" id="_x0000_t202" coordsize="21600,21600" o:spt="202" path="m,l,21600r21600,l21600,xe">
                <v:stroke joinstyle="miter"/>
                <v:path gradientshapeok="t" o:connecttype="rect"/>
              </v:shapetype>
              <v:shape id="Zone de texte 7" o:spid="_x0000_s1026" type="#_x0000_t202" style="position:absolute;left:0;text-align:left;margin-left:83.95pt;margin-top:110pt;width:100.8pt;height:1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" filled="f" stroked="f" strokeweight=".5pt">
                <v:textbox inset="0,0,0,0">
                  <w:txbxContent>
                    <w:p w14:paraId="108184E8" w14:textId="77777777" w:rsidR="00311732" w:rsidRPr="008B7586" w:rsidRDefault="00311732" w:rsidP="008B7586">
                      <w:pPr>
                        <w:spacing w:line="200" w:lineRule="atLeast"/>
                        <w:rPr>
                          <w:sz w:val="16"/>
                          <w:szCs w:val="16"/>
                        </w:rPr>
                      </w:pPr>
                      <w:r w:rsidRPr="008B7586">
                        <w:rPr>
                          <w:sz w:val="16"/>
                          <w:szCs w:val="16"/>
                          <w:lang w:val="fr-FR"/>
                        </w:rPr>
                        <w:t>Conseils pour la planification familiale</w:t>
                      </w:r>
                    </w:p>
                  </w:txbxContent>
                </v:textbox>
              </v:shape>
            </w:pict>
          </mc:Fallback>
        </mc:AlternateContent>
      </w:r>
      <w:r w:rsidR="008B7586">
        <w:rPr>
          <w:noProof/>
        </w:rPr>
        <mc:AlternateContent>
          <mc:Choice Requires="wps">
            <w:drawing>
              <wp:anchor distT="0" distB="0" distL="114300" distR="114300" simplePos="0" relativeHeight="251662336" behindDoc="0" locked="0" layoutInCell="1" allowOverlap="1" wp14:anchorId="34392C30" wp14:editId="10610C86">
                <wp:simplePos x="0" y="0"/>
                <wp:positionH relativeFrom="column">
                  <wp:posOffset>1056640</wp:posOffset>
                </wp:positionH>
                <wp:positionV relativeFrom="paragraph">
                  <wp:posOffset>1698576</wp:posOffset>
                </wp:positionV>
                <wp:extent cx="1280160" cy="246184"/>
                <wp:effectExtent l="0" t="0" r="15240" b="1905"/>
                <wp:wrapNone/>
                <wp:docPr id="8" name="Zone de texte 8"/>
                <wp:cNvGraphicFramePr/>
                <a:graphic xmlns:a="http://schemas.openxmlformats.org/drawingml/2006/main">
                  <a:graphicData uri="http://schemas.microsoft.com/office/word/2010/wordprocessingShape">
                    <wps:wsp>
                      <wps:cNvSpPr txBox="1"/>
                      <wps:spPr>
                        <a:xfrm>
                          <a:off x="0" y="0"/>
                          <a:ext cx="1280160" cy="246184"/>
                        </a:xfrm>
                        <a:prstGeom prst="rect">
                          <a:avLst/>
                        </a:prstGeom>
                        <a:noFill/>
                        <a:ln w="6350">
                          <a:noFill/>
                        </a:ln>
                      </wps:spPr>
                      <wps:txbx>
                        <w:txbxContent>
                          <w:p w14:paraId="3A39F1F2" w14:textId="77777777" w:rsidR="00311732" w:rsidRPr="008B7586" w:rsidRDefault="00311732" w:rsidP="008B7586">
                            <w:pPr>
                              <w:spacing w:line="200" w:lineRule="atLeast"/>
                              <w:rPr>
                                <w:sz w:val="16"/>
                                <w:szCs w:val="16"/>
                              </w:rPr>
                            </w:pPr>
                            <w:r w:rsidRPr="008B7586">
                              <w:rPr>
                                <w:sz w:val="16"/>
                                <w:szCs w:val="16"/>
                                <w:lang w:val="fr-FR"/>
                              </w:rPr>
                              <w:t>Con</w:t>
                            </w:r>
                            <w:r>
                              <w:rPr>
                                <w:sz w:val="16"/>
                                <w:szCs w:val="16"/>
                                <w:lang w:val="fr-FR"/>
                              </w:rPr>
                              <w:t>traceptifs administrés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392C30" id="Zone de texte 8" o:spid="_x0000_s1027" type="#_x0000_t202" style="position:absolute;left:0;text-align:left;margin-left:83.2pt;margin-top:133.75pt;width:100.8pt;height:19.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" filled="f" stroked="f" strokeweight=".5pt">
                <v:textbox inset="0,0,0,0">
                  <w:txbxContent>
                    <w:p w14:paraId="3A39F1F2" w14:textId="77777777" w:rsidR="00311732" w:rsidRPr="008B7586" w:rsidRDefault="00311732" w:rsidP="008B7586">
                      <w:pPr>
                        <w:spacing w:line="200" w:lineRule="atLeast"/>
                        <w:rPr>
                          <w:sz w:val="16"/>
                          <w:szCs w:val="16"/>
                        </w:rPr>
                      </w:pPr>
                      <w:r w:rsidRPr="008B7586">
                        <w:rPr>
                          <w:sz w:val="16"/>
                          <w:szCs w:val="16"/>
                          <w:lang w:val="fr-FR"/>
                        </w:rPr>
                        <w:t>Con</w:t>
                      </w:r>
                      <w:r>
                        <w:rPr>
                          <w:sz w:val="16"/>
                          <w:szCs w:val="16"/>
                          <w:lang w:val="fr-FR"/>
                        </w:rPr>
                        <w:t>traceptifs administrés</w:t>
                      </w:r>
                    </w:p>
                  </w:txbxContent>
                </v:textbox>
              </v:shape>
            </w:pict>
          </mc:Fallback>
        </mc:AlternateContent>
      </w:r>
      <w:r w:rsidR="008B7586">
        <w:rPr>
          <w:noProof/>
        </w:rPr>
        <w:drawing>
          <wp:inline distT="0" distB="0" distL="0" distR="0" wp14:anchorId="22EBF67A" wp14:editId="515B7957">
            <wp:extent cx="4744924" cy="203981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png"/>
                    <pic:cNvPicPr/>
                  </pic:nvPicPr>
                  <pic:blipFill>
                    <a:blip r:embed="rId8">
                      <a:extLst>
                        <a:ext uri="{28A0092B-C50C-407E-A947-70E740481C1C}">
                          <a14:useLocalDpi xmlns:a14="http://schemas.microsoft.com/office/drawing/2010/main" val="0"/>
                        </a:ext>
                      </a:extLst>
                    </a:blip>
                    <a:stretch>
                      <a:fillRect/>
                    </a:stretch>
                  </pic:blipFill>
                  <pic:spPr>
                    <a:xfrm>
                      <a:off x="0" y="0"/>
                      <a:ext cx="4780622" cy="2055161"/>
                    </a:xfrm>
                    <a:prstGeom prst="rect">
                      <a:avLst/>
                    </a:prstGeom>
                  </pic:spPr>
                </pic:pic>
              </a:graphicData>
            </a:graphic>
          </wp:inline>
        </w:drawing>
      </w:r>
    </w:p>
    <w:p w14:paraId="2AC862F4" w14:textId="77777777" w:rsidR="003C48D6" w:rsidRPr="00F720A6" w:rsidRDefault="003C48D6" w:rsidP="0057442B">
      <w:pPr>
        <w:pStyle w:val="H23G"/>
        <w:rPr>
          <w:lang w:val="fr-FR"/>
        </w:rPr>
      </w:pPr>
      <w:bookmarkStart w:id="42" w:name="_Hlk511388090"/>
      <w:r w:rsidRPr="00F720A6">
        <w:rPr>
          <w:lang w:val="fr-FR"/>
        </w:rPr>
        <w:tab/>
      </w:r>
      <w:r w:rsidRPr="00F720A6">
        <w:rPr>
          <w:lang w:val="fr-FR"/>
        </w:rPr>
        <w:tab/>
        <w:t>Soins de santé prénatals</w:t>
      </w:r>
      <w:bookmarkStart w:id="43" w:name="_Toc56781445"/>
      <w:bookmarkEnd w:id="43"/>
    </w:p>
    <w:p w14:paraId="648905AD" w14:textId="77777777" w:rsidR="003C48D6" w:rsidRPr="00F720A6" w:rsidRDefault="003C48D6" w:rsidP="0057442B">
      <w:pPr>
        <w:pStyle w:val="SingleTxtG"/>
        <w:rPr>
          <w:lang w:val="fr-FR"/>
        </w:rPr>
      </w:pPr>
      <w:r w:rsidRPr="00F720A6">
        <w:rPr>
          <w:lang w:val="fr-FR"/>
        </w:rPr>
        <w:t>127.</w:t>
      </w:r>
      <w:r w:rsidRPr="00F720A6">
        <w:rPr>
          <w:lang w:val="fr-FR"/>
        </w:rPr>
        <w:tab/>
        <w:t>Il est essentiel que des soins prénataux de qualité soient disponibles en temps utiles pour parvenir à réduire et détecter sans délai tous les risques qui contribuent à la mortalité maternelle et infantile.</w:t>
      </w:r>
    </w:p>
    <w:p w14:paraId="77ABB248" w14:textId="77777777" w:rsidR="003C48D6" w:rsidRPr="00F720A6" w:rsidRDefault="003C48D6" w:rsidP="0057442B">
      <w:pPr>
        <w:pStyle w:val="SingleTxtG"/>
        <w:rPr>
          <w:lang w:val="fr-FR"/>
        </w:rPr>
      </w:pPr>
      <w:r w:rsidRPr="00F720A6">
        <w:rPr>
          <w:lang w:val="fr-FR"/>
        </w:rPr>
        <w:t>128.</w:t>
      </w:r>
      <w:r w:rsidRPr="00F720A6">
        <w:rPr>
          <w:lang w:val="fr-FR"/>
        </w:rPr>
        <w:tab/>
        <w:t xml:space="preserve">Les soins de santé primaires pour les femmes enceintes sont dispensés par leur gynécologue de ville. En 2016, un médecin pour environ 3 600 femmes en âge de procréer travaillait dans le secteur de la santé publique (soit 141 médecins au total). Le pourcentage de femmes enceintes ayant accès et recours aux soins pré et </w:t>
      </w:r>
      <w:proofErr w:type="spellStart"/>
      <w:r w:rsidRPr="00F720A6">
        <w:rPr>
          <w:lang w:val="fr-FR"/>
        </w:rPr>
        <w:t>postnatals</w:t>
      </w:r>
      <w:proofErr w:type="spellEnd"/>
      <w:r w:rsidRPr="00F720A6">
        <w:rPr>
          <w:lang w:val="fr-FR"/>
        </w:rPr>
        <w:t xml:space="preserve"> est relativement élevé.</w:t>
      </w:r>
    </w:p>
    <w:p w14:paraId="10E37EB4" w14:textId="77777777" w:rsidR="003C48D6" w:rsidRPr="00F720A6" w:rsidRDefault="003C48D6" w:rsidP="001F4CA2">
      <w:pPr>
        <w:pStyle w:val="Titre1"/>
        <w:spacing w:after="120"/>
        <w:rPr>
          <w:rStyle w:val="Appelnotedebasdep"/>
          <w:b/>
          <w:bCs/>
          <w:lang w:val="fr-FR"/>
        </w:rPr>
      </w:pPr>
      <w:r w:rsidRPr="00F720A6">
        <w:rPr>
          <w:lang w:val="fr-FR"/>
        </w:rPr>
        <w:t>Tableau 1</w:t>
      </w:r>
      <w:r w:rsidRPr="00F720A6">
        <w:rPr>
          <w:lang w:val="fr-FR"/>
        </w:rPr>
        <w:br/>
      </w:r>
      <w:r w:rsidRPr="001F4CA2">
        <w:rPr>
          <w:b/>
          <w:bCs/>
          <w:lang w:val="fr-FR"/>
        </w:rPr>
        <w:t xml:space="preserve">Pourcentage de femmes enceintes en mesure de recourir </w:t>
      </w:r>
      <w:r w:rsidR="001F4CA2">
        <w:rPr>
          <w:b/>
          <w:bCs/>
          <w:lang w:val="fr-FR"/>
        </w:rPr>
        <w:br/>
      </w:r>
      <w:r w:rsidRPr="001F4CA2">
        <w:rPr>
          <w:b/>
          <w:bCs/>
          <w:lang w:val="fr-FR"/>
        </w:rPr>
        <w:t>aux soins prénatals d</w:t>
      </w:r>
      <w:r w:rsidR="00254912">
        <w:rPr>
          <w:b/>
          <w:bCs/>
          <w:lang w:val="fr-FR"/>
        </w:rPr>
        <w:t>’</w:t>
      </w:r>
      <w:r w:rsidRPr="001F4CA2">
        <w:rPr>
          <w:b/>
          <w:bCs/>
          <w:lang w:val="fr-FR"/>
        </w:rPr>
        <w:t>un gynécologue</w:t>
      </w:r>
      <w:r w:rsidRPr="002A465A">
        <w:rPr>
          <w:rStyle w:val="Appelnotedebasdep"/>
        </w:rPr>
        <w:footnoteReference w:id="31"/>
      </w:r>
      <w:bookmarkStart w:id="44" w:name="_Toc56781446"/>
      <w:bookmarkEnd w:id="44"/>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3046"/>
        <w:gridCol w:w="643"/>
        <w:gridCol w:w="855"/>
        <w:gridCol w:w="855"/>
        <w:gridCol w:w="854"/>
        <w:gridCol w:w="520"/>
        <w:gridCol w:w="597"/>
      </w:tblGrid>
      <w:tr w:rsidR="003C48D6" w:rsidRPr="001F4CA2" w14:paraId="6F466596" w14:textId="77777777" w:rsidTr="001F4CA2">
        <w:trPr>
          <w:tblHeader/>
        </w:trPr>
        <w:tc>
          <w:tcPr>
            <w:tcW w:w="3046" w:type="dxa"/>
            <w:shd w:val="clear" w:color="auto" w:fill="auto"/>
            <w:vAlign w:val="bottom"/>
          </w:tcPr>
          <w:p w14:paraId="02806D53" w14:textId="77777777" w:rsidR="003C48D6" w:rsidRPr="001F4CA2" w:rsidRDefault="003C48D6" w:rsidP="001F4CA2">
            <w:pPr>
              <w:suppressAutoHyphens w:val="0"/>
              <w:spacing w:before="80" w:after="80" w:line="200" w:lineRule="exact"/>
              <w:rPr>
                <w:bCs/>
                <w:i/>
                <w:sz w:val="16"/>
                <w:lang w:val="fr-FR"/>
              </w:rPr>
            </w:pPr>
            <w:r w:rsidRPr="001F4CA2">
              <w:rPr>
                <w:i/>
                <w:sz w:val="16"/>
                <w:lang w:val="fr-FR"/>
              </w:rPr>
              <w:t xml:space="preserve">Indicateur </w:t>
            </w:r>
          </w:p>
        </w:tc>
        <w:tc>
          <w:tcPr>
            <w:tcW w:w="643" w:type="dxa"/>
            <w:shd w:val="clear" w:color="auto" w:fill="auto"/>
            <w:vAlign w:val="bottom"/>
          </w:tcPr>
          <w:p w14:paraId="13EEC9E5"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2011</w:t>
            </w:r>
          </w:p>
        </w:tc>
        <w:tc>
          <w:tcPr>
            <w:tcW w:w="855" w:type="dxa"/>
            <w:shd w:val="clear" w:color="auto" w:fill="auto"/>
            <w:vAlign w:val="bottom"/>
          </w:tcPr>
          <w:p w14:paraId="4AC40745"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2012</w:t>
            </w:r>
          </w:p>
        </w:tc>
        <w:tc>
          <w:tcPr>
            <w:tcW w:w="855" w:type="dxa"/>
            <w:shd w:val="clear" w:color="auto" w:fill="auto"/>
            <w:vAlign w:val="bottom"/>
          </w:tcPr>
          <w:p w14:paraId="5D57D1EF"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2013</w:t>
            </w:r>
          </w:p>
        </w:tc>
        <w:tc>
          <w:tcPr>
            <w:tcW w:w="854" w:type="dxa"/>
            <w:shd w:val="clear" w:color="auto" w:fill="auto"/>
            <w:vAlign w:val="bottom"/>
          </w:tcPr>
          <w:p w14:paraId="0D1D9EEF"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2014</w:t>
            </w:r>
          </w:p>
        </w:tc>
        <w:tc>
          <w:tcPr>
            <w:tcW w:w="520" w:type="dxa"/>
            <w:shd w:val="clear" w:color="auto" w:fill="auto"/>
            <w:vAlign w:val="bottom"/>
          </w:tcPr>
          <w:p w14:paraId="4466F9E3"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2015</w:t>
            </w:r>
          </w:p>
        </w:tc>
        <w:tc>
          <w:tcPr>
            <w:tcW w:w="597" w:type="dxa"/>
            <w:shd w:val="clear" w:color="auto" w:fill="auto"/>
            <w:vAlign w:val="bottom"/>
          </w:tcPr>
          <w:p w14:paraId="3D8D42BF"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2016</w:t>
            </w:r>
          </w:p>
        </w:tc>
      </w:tr>
      <w:tr w:rsidR="003C48D6" w:rsidRPr="001F4CA2" w14:paraId="6CB7E6F8" w14:textId="77777777" w:rsidTr="001F4CA2">
        <w:tc>
          <w:tcPr>
            <w:tcW w:w="3046" w:type="dxa"/>
            <w:shd w:val="clear" w:color="auto" w:fill="auto"/>
          </w:tcPr>
          <w:p w14:paraId="7AB42147" w14:textId="77777777" w:rsidR="003C48D6" w:rsidRPr="001F4CA2" w:rsidRDefault="003C48D6" w:rsidP="001F4CA2">
            <w:pPr>
              <w:suppressAutoHyphens w:val="0"/>
              <w:spacing w:before="40" w:after="40" w:line="220" w:lineRule="exact"/>
              <w:rPr>
                <w:sz w:val="18"/>
                <w:szCs w:val="18"/>
                <w:lang w:val="fr-FR"/>
              </w:rPr>
            </w:pPr>
            <w:r w:rsidRPr="001F4CA2">
              <w:rPr>
                <w:sz w:val="18"/>
                <w:szCs w:val="18"/>
                <w:lang w:val="fr-FR"/>
              </w:rPr>
              <w:t>Pourcentages de femmes enceintes ayant accès aux soins prénatals</w:t>
            </w:r>
          </w:p>
        </w:tc>
        <w:tc>
          <w:tcPr>
            <w:tcW w:w="643" w:type="dxa"/>
            <w:shd w:val="clear" w:color="auto" w:fill="auto"/>
            <w:vAlign w:val="bottom"/>
          </w:tcPr>
          <w:p w14:paraId="6B6D8F4F"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N/D</w:t>
            </w:r>
          </w:p>
        </w:tc>
        <w:tc>
          <w:tcPr>
            <w:tcW w:w="855" w:type="dxa"/>
            <w:shd w:val="clear" w:color="auto" w:fill="auto"/>
            <w:vAlign w:val="bottom"/>
          </w:tcPr>
          <w:p w14:paraId="651FC6E7"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N/D</w:t>
            </w:r>
          </w:p>
        </w:tc>
        <w:tc>
          <w:tcPr>
            <w:tcW w:w="855" w:type="dxa"/>
            <w:shd w:val="clear" w:color="auto" w:fill="auto"/>
            <w:vAlign w:val="bottom"/>
          </w:tcPr>
          <w:p w14:paraId="0F1E79D7"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87,8</w:t>
            </w:r>
          </w:p>
        </w:tc>
        <w:tc>
          <w:tcPr>
            <w:tcW w:w="854" w:type="dxa"/>
            <w:shd w:val="clear" w:color="auto" w:fill="auto"/>
            <w:vAlign w:val="bottom"/>
          </w:tcPr>
          <w:p w14:paraId="1F34F27E"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89,9</w:t>
            </w:r>
          </w:p>
        </w:tc>
        <w:tc>
          <w:tcPr>
            <w:tcW w:w="520" w:type="dxa"/>
            <w:shd w:val="clear" w:color="auto" w:fill="auto"/>
            <w:vAlign w:val="bottom"/>
          </w:tcPr>
          <w:p w14:paraId="4D4786E4"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90,1</w:t>
            </w:r>
          </w:p>
        </w:tc>
        <w:tc>
          <w:tcPr>
            <w:tcW w:w="597" w:type="dxa"/>
            <w:shd w:val="clear" w:color="auto" w:fill="auto"/>
            <w:vAlign w:val="bottom"/>
          </w:tcPr>
          <w:p w14:paraId="4C0EBEBB"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90,3</w:t>
            </w:r>
          </w:p>
        </w:tc>
      </w:tr>
    </w:tbl>
    <w:p w14:paraId="6624AC88" w14:textId="77777777" w:rsidR="003C48D6" w:rsidRPr="00F720A6" w:rsidRDefault="003C48D6" w:rsidP="00D701E3">
      <w:pPr>
        <w:pStyle w:val="SingleTxtG"/>
        <w:spacing w:before="240"/>
        <w:rPr>
          <w:lang w:val="fr-FR"/>
        </w:rPr>
      </w:pPr>
      <w:r w:rsidRPr="00F720A6">
        <w:rPr>
          <w:lang w:val="fr-FR"/>
        </w:rPr>
        <w:t>129.</w:t>
      </w:r>
      <w:r w:rsidRPr="00F720A6">
        <w:rPr>
          <w:lang w:val="fr-FR"/>
        </w:rPr>
        <w:tab/>
        <w:t xml:space="preserve">Les services infirmiers de santé publique effectuent des visites au domicile des femmes récemment accouchées, après leur sortie des services de maternité hospitaliers. </w:t>
      </w:r>
    </w:p>
    <w:p w14:paraId="27FBC1BD" w14:textId="77777777" w:rsidR="003C48D6" w:rsidRPr="00F720A6" w:rsidRDefault="003C48D6" w:rsidP="001F4CA2">
      <w:pPr>
        <w:pStyle w:val="Titre1"/>
        <w:spacing w:after="120"/>
        <w:rPr>
          <w:rStyle w:val="Appelnotedebasdep"/>
          <w:lang w:val="fr-FR"/>
        </w:rPr>
      </w:pPr>
      <w:r w:rsidRPr="00F720A6">
        <w:rPr>
          <w:lang w:val="fr-FR"/>
        </w:rPr>
        <w:lastRenderedPageBreak/>
        <w:t>Tableau 2</w:t>
      </w:r>
      <w:r w:rsidRPr="00F720A6">
        <w:rPr>
          <w:lang w:val="fr-FR"/>
        </w:rPr>
        <w:br/>
      </w:r>
      <w:r w:rsidRPr="001F4CA2">
        <w:rPr>
          <w:b/>
          <w:bCs/>
          <w:lang w:val="fr-FR"/>
        </w:rPr>
        <w:t xml:space="preserve">Pourcentage de femmes enceintes ayant accès aux soins de santé </w:t>
      </w:r>
      <w:proofErr w:type="spellStart"/>
      <w:r w:rsidRPr="001F4CA2">
        <w:rPr>
          <w:b/>
          <w:bCs/>
          <w:lang w:val="fr-FR"/>
        </w:rPr>
        <w:t>postnatals</w:t>
      </w:r>
      <w:proofErr w:type="spellEnd"/>
      <w:r w:rsidRPr="001F4CA2">
        <w:rPr>
          <w:b/>
          <w:bCs/>
          <w:lang w:val="fr-FR"/>
        </w:rPr>
        <w:t xml:space="preserve"> </w:t>
      </w:r>
      <w:r w:rsidR="001F4CA2" w:rsidRPr="001F4CA2">
        <w:rPr>
          <w:b/>
          <w:bCs/>
          <w:lang w:val="fr-FR"/>
        </w:rPr>
        <w:br/>
      </w:r>
      <w:r w:rsidRPr="001F4CA2">
        <w:rPr>
          <w:b/>
          <w:bCs/>
          <w:lang w:val="fr-FR"/>
        </w:rPr>
        <w:t>(visites d</w:t>
      </w:r>
      <w:r w:rsidR="00254912">
        <w:rPr>
          <w:b/>
          <w:bCs/>
          <w:lang w:val="fr-FR"/>
        </w:rPr>
        <w:t>’</w:t>
      </w:r>
      <w:r w:rsidRPr="001F4CA2">
        <w:rPr>
          <w:b/>
          <w:bCs/>
          <w:lang w:val="fr-FR"/>
        </w:rPr>
        <w:t>une infirmière de santé publique)</w:t>
      </w:r>
      <w:r w:rsidRPr="002A465A">
        <w:rPr>
          <w:rStyle w:val="Appelnotedebasdep"/>
        </w:rPr>
        <w:footnoteReference w:id="32"/>
      </w:r>
      <w:bookmarkStart w:id="45" w:name="_Toc56781447"/>
      <w:bookmarkEnd w:id="45"/>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2835"/>
        <w:gridCol w:w="799"/>
        <w:gridCol w:w="851"/>
        <w:gridCol w:w="851"/>
        <w:gridCol w:w="851"/>
        <w:gridCol w:w="617"/>
        <w:gridCol w:w="566"/>
      </w:tblGrid>
      <w:tr w:rsidR="003C48D6" w:rsidRPr="001F4CA2" w14:paraId="174C5D97" w14:textId="77777777" w:rsidTr="001F4CA2">
        <w:trPr>
          <w:tblHeader/>
        </w:trPr>
        <w:tc>
          <w:tcPr>
            <w:tcW w:w="2835" w:type="dxa"/>
            <w:shd w:val="clear" w:color="auto" w:fill="auto"/>
            <w:vAlign w:val="bottom"/>
          </w:tcPr>
          <w:p w14:paraId="00442B75" w14:textId="77777777" w:rsidR="003C48D6" w:rsidRPr="001F4CA2" w:rsidRDefault="003C48D6" w:rsidP="001F4CA2">
            <w:pPr>
              <w:suppressAutoHyphens w:val="0"/>
              <w:spacing w:before="80" w:after="80" w:line="200" w:lineRule="exact"/>
              <w:rPr>
                <w:bCs/>
                <w:i/>
                <w:sz w:val="16"/>
                <w:lang w:val="fr-FR"/>
              </w:rPr>
            </w:pPr>
            <w:r w:rsidRPr="001F4CA2">
              <w:rPr>
                <w:i/>
                <w:sz w:val="16"/>
                <w:lang w:val="fr-FR"/>
              </w:rPr>
              <w:t>Indicateur</w:t>
            </w:r>
          </w:p>
        </w:tc>
        <w:tc>
          <w:tcPr>
            <w:tcW w:w="799" w:type="dxa"/>
            <w:shd w:val="clear" w:color="auto" w:fill="auto"/>
            <w:vAlign w:val="bottom"/>
          </w:tcPr>
          <w:p w14:paraId="5243D908"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2011</w:t>
            </w:r>
          </w:p>
        </w:tc>
        <w:tc>
          <w:tcPr>
            <w:tcW w:w="851" w:type="dxa"/>
            <w:shd w:val="clear" w:color="auto" w:fill="auto"/>
            <w:vAlign w:val="bottom"/>
          </w:tcPr>
          <w:p w14:paraId="0FE9E439"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2012</w:t>
            </w:r>
          </w:p>
        </w:tc>
        <w:tc>
          <w:tcPr>
            <w:tcW w:w="851" w:type="dxa"/>
            <w:shd w:val="clear" w:color="auto" w:fill="auto"/>
            <w:vAlign w:val="bottom"/>
          </w:tcPr>
          <w:p w14:paraId="1AE5182E"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2013</w:t>
            </w:r>
          </w:p>
        </w:tc>
        <w:tc>
          <w:tcPr>
            <w:tcW w:w="851" w:type="dxa"/>
            <w:shd w:val="clear" w:color="auto" w:fill="auto"/>
            <w:vAlign w:val="bottom"/>
          </w:tcPr>
          <w:p w14:paraId="61DD5C66"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2014</w:t>
            </w:r>
          </w:p>
        </w:tc>
        <w:tc>
          <w:tcPr>
            <w:tcW w:w="617" w:type="dxa"/>
            <w:shd w:val="clear" w:color="auto" w:fill="auto"/>
            <w:vAlign w:val="bottom"/>
          </w:tcPr>
          <w:p w14:paraId="042E9E08"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2015</w:t>
            </w:r>
          </w:p>
        </w:tc>
        <w:tc>
          <w:tcPr>
            <w:tcW w:w="566" w:type="dxa"/>
            <w:shd w:val="clear" w:color="auto" w:fill="auto"/>
            <w:vAlign w:val="bottom"/>
          </w:tcPr>
          <w:p w14:paraId="0B715EBE"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2016</w:t>
            </w:r>
          </w:p>
        </w:tc>
      </w:tr>
      <w:tr w:rsidR="003C48D6" w:rsidRPr="001F4CA2" w14:paraId="3EDB8101" w14:textId="77777777" w:rsidTr="001F4CA2">
        <w:tc>
          <w:tcPr>
            <w:tcW w:w="2835" w:type="dxa"/>
            <w:shd w:val="clear" w:color="auto" w:fill="auto"/>
          </w:tcPr>
          <w:p w14:paraId="67AF3708" w14:textId="77777777" w:rsidR="003C48D6" w:rsidRPr="001F4CA2" w:rsidRDefault="003C48D6" w:rsidP="001F4CA2">
            <w:pPr>
              <w:suppressAutoHyphens w:val="0"/>
              <w:spacing w:before="40" w:after="40" w:line="220" w:lineRule="exact"/>
              <w:rPr>
                <w:sz w:val="18"/>
                <w:szCs w:val="18"/>
                <w:lang w:val="fr-FR"/>
              </w:rPr>
            </w:pPr>
            <w:r w:rsidRPr="001F4CA2">
              <w:rPr>
                <w:sz w:val="18"/>
                <w:szCs w:val="18"/>
                <w:lang w:val="fr-FR"/>
              </w:rPr>
              <w:t>Pourcentage de femmes récemment accouchées et visitées par des infirmières de santé publique</w:t>
            </w:r>
          </w:p>
        </w:tc>
        <w:tc>
          <w:tcPr>
            <w:tcW w:w="799" w:type="dxa"/>
            <w:shd w:val="clear" w:color="auto" w:fill="auto"/>
            <w:vAlign w:val="bottom"/>
          </w:tcPr>
          <w:p w14:paraId="47DF0B31"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90</w:t>
            </w:r>
            <w:r w:rsidR="001F4CA2">
              <w:rPr>
                <w:sz w:val="18"/>
                <w:szCs w:val="18"/>
                <w:lang w:val="fr-FR"/>
              </w:rPr>
              <w:t> </w:t>
            </w:r>
            <w:r w:rsidRPr="001F4CA2">
              <w:rPr>
                <w:sz w:val="18"/>
                <w:szCs w:val="18"/>
                <w:lang w:val="fr-FR"/>
              </w:rPr>
              <w:t>%</w:t>
            </w:r>
          </w:p>
        </w:tc>
        <w:tc>
          <w:tcPr>
            <w:tcW w:w="851" w:type="dxa"/>
            <w:shd w:val="clear" w:color="auto" w:fill="auto"/>
            <w:vAlign w:val="bottom"/>
          </w:tcPr>
          <w:p w14:paraId="52BD361C"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89</w:t>
            </w:r>
            <w:r w:rsidR="001F4CA2">
              <w:rPr>
                <w:sz w:val="18"/>
                <w:szCs w:val="18"/>
                <w:lang w:val="fr-FR"/>
              </w:rPr>
              <w:t> </w:t>
            </w:r>
            <w:r w:rsidRPr="001F4CA2">
              <w:rPr>
                <w:sz w:val="18"/>
                <w:szCs w:val="18"/>
                <w:lang w:val="fr-FR"/>
              </w:rPr>
              <w:t>%</w:t>
            </w:r>
          </w:p>
        </w:tc>
        <w:tc>
          <w:tcPr>
            <w:tcW w:w="851" w:type="dxa"/>
            <w:shd w:val="clear" w:color="auto" w:fill="auto"/>
            <w:vAlign w:val="bottom"/>
          </w:tcPr>
          <w:p w14:paraId="3FD1ABCF"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92</w:t>
            </w:r>
            <w:r w:rsidR="001F4CA2">
              <w:rPr>
                <w:sz w:val="18"/>
                <w:szCs w:val="18"/>
                <w:lang w:val="fr-FR"/>
              </w:rPr>
              <w:t> </w:t>
            </w:r>
            <w:r w:rsidRPr="001F4CA2">
              <w:rPr>
                <w:sz w:val="18"/>
                <w:szCs w:val="18"/>
                <w:lang w:val="fr-FR"/>
              </w:rPr>
              <w:t>%</w:t>
            </w:r>
          </w:p>
        </w:tc>
        <w:tc>
          <w:tcPr>
            <w:tcW w:w="851" w:type="dxa"/>
            <w:shd w:val="clear" w:color="auto" w:fill="auto"/>
            <w:vAlign w:val="bottom"/>
          </w:tcPr>
          <w:p w14:paraId="69B903A8"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83</w:t>
            </w:r>
            <w:r w:rsidR="001F4CA2">
              <w:rPr>
                <w:sz w:val="18"/>
                <w:szCs w:val="18"/>
                <w:lang w:val="fr-FR"/>
              </w:rPr>
              <w:t> </w:t>
            </w:r>
            <w:r w:rsidRPr="001F4CA2">
              <w:rPr>
                <w:sz w:val="18"/>
                <w:szCs w:val="18"/>
                <w:lang w:val="fr-FR"/>
              </w:rPr>
              <w:t>%</w:t>
            </w:r>
          </w:p>
        </w:tc>
        <w:tc>
          <w:tcPr>
            <w:tcW w:w="617" w:type="dxa"/>
            <w:shd w:val="clear" w:color="auto" w:fill="auto"/>
            <w:vAlign w:val="bottom"/>
          </w:tcPr>
          <w:p w14:paraId="79CE2D9A"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83</w:t>
            </w:r>
            <w:r w:rsidR="001F4CA2">
              <w:rPr>
                <w:sz w:val="18"/>
                <w:szCs w:val="18"/>
                <w:lang w:val="fr-FR"/>
              </w:rPr>
              <w:t> </w:t>
            </w:r>
            <w:r w:rsidRPr="001F4CA2">
              <w:rPr>
                <w:sz w:val="18"/>
                <w:szCs w:val="18"/>
                <w:lang w:val="fr-FR"/>
              </w:rPr>
              <w:t>%</w:t>
            </w:r>
          </w:p>
        </w:tc>
        <w:tc>
          <w:tcPr>
            <w:tcW w:w="566" w:type="dxa"/>
            <w:shd w:val="clear" w:color="auto" w:fill="auto"/>
            <w:vAlign w:val="bottom"/>
          </w:tcPr>
          <w:p w14:paraId="75B86A86"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83</w:t>
            </w:r>
            <w:r w:rsidR="001F4CA2">
              <w:rPr>
                <w:sz w:val="18"/>
                <w:szCs w:val="18"/>
                <w:lang w:val="fr-FR"/>
              </w:rPr>
              <w:t> </w:t>
            </w:r>
            <w:r w:rsidRPr="001F4CA2">
              <w:rPr>
                <w:sz w:val="18"/>
                <w:szCs w:val="18"/>
                <w:lang w:val="fr-FR"/>
              </w:rPr>
              <w:t>%</w:t>
            </w:r>
          </w:p>
        </w:tc>
      </w:tr>
    </w:tbl>
    <w:p w14:paraId="05F0D39E" w14:textId="77777777" w:rsidR="003C48D6" w:rsidRPr="00F720A6" w:rsidRDefault="003C48D6" w:rsidP="009F1630">
      <w:pPr>
        <w:pStyle w:val="SingleTxtG"/>
        <w:spacing w:before="240"/>
        <w:rPr>
          <w:lang w:val="fr-FR"/>
        </w:rPr>
      </w:pPr>
      <w:r w:rsidRPr="00F720A6">
        <w:rPr>
          <w:lang w:val="fr-FR"/>
        </w:rPr>
        <w:t>130.</w:t>
      </w:r>
      <w:r w:rsidRPr="00F720A6">
        <w:rPr>
          <w:lang w:val="fr-FR"/>
        </w:rPr>
        <w:tab/>
        <w:t>Le pourcentage d</w:t>
      </w:r>
      <w:r w:rsidR="00254912">
        <w:rPr>
          <w:lang w:val="fr-FR"/>
        </w:rPr>
        <w:t>’</w:t>
      </w:r>
      <w:r w:rsidRPr="00F720A6">
        <w:rPr>
          <w:lang w:val="fr-FR"/>
        </w:rPr>
        <w:t>accouchements assistés par des professionnels reste élevé (99,9 %).</w:t>
      </w:r>
    </w:p>
    <w:p w14:paraId="02F2F61F" w14:textId="77777777" w:rsidR="003C48D6" w:rsidRPr="00F720A6" w:rsidRDefault="003C48D6" w:rsidP="009F1630">
      <w:pPr>
        <w:pStyle w:val="Titre1"/>
        <w:spacing w:before="120" w:after="120"/>
        <w:rPr>
          <w:rStyle w:val="Appelnotedebasdep"/>
          <w:lang w:val="fr-FR"/>
        </w:rPr>
      </w:pPr>
      <w:r w:rsidRPr="00F720A6">
        <w:rPr>
          <w:lang w:val="fr-FR"/>
        </w:rPr>
        <w:t xml:space="preserve">Tableau 3 </w:t>
      </w:r>
      <w:r w:rsidRPr="00F720A6">
        <w:rPr>
          <w:lang w:val="fr-FR"/>
        </w:rPr>
        <w:br/>
      </w:r>
      <w:r w:rsidRPr="001F4CA2">
        <w:rPr>
          <w:b/>
          <w:bCs/>
          <w:lang w:val="fr-FR"/>
        </w:rPr>
        <w:t>Pourcentage d</w:t>
      </w:r>
      <w:r w:rsidR="00254912">
        <w:rPr>
          <w:b/>
          <w:bCs/>
          <w:lang w:val="fr-FR"/>
        </w:rPr>
        <w:t>’</w:t>
      </w:r>
      <w:r w:rsidRPr="001F4CA2">
        <w:rPr>
          <w:b/>
          <w:bCs/>
          <w:lang w:val="fr-FR"/>
        </w:rPr>
        <w:t>enfants nés à l</w:t>
      </w:r>
      <w:r w:rsidR="00254912">
        <w:rPr>
          <w:b/>
          <w:bCs/>
          <w:lang w:val="fr-FR"/>
        </w:rPr>
        <w:t>’</w:t>
      </w:r>
      <w:r w:rsidRPr="001F4CA2">
        <w:rPr>
          <w:b/>
          <w:bCs/>
          <w:lang w:val="fr-FR"/>
        </w:rPr>
        <w:t>hôpital</w:t>
      </w:r>
      <w:r w:rsidRPr="002A465A">
        <w:rPr>
          <w:rStyle w:val="Appelnotedebasdep"/>
        </w:rPr>
        <w:footnoteReference w:id="33"/>
      </w:r>
      <w:bookmarkStart w:id="46" w:name="_Toc56781448"/>
      <w:bookmarkEnd w:id="46"/>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1843"/>
        <w:gridCol w:w="1276"/>
        <w:gridCol w:w="850"/>
        <w:gridCol w:w="851"/>
        <w:gridCol w:w="850"/>
        <w:gridCol w:w="851"/>
        <w:gridCol w:w="849"/>
      </w:tblGrid>
      <w:tr w:rsidR="003C48D6" w:rsidRPr="001F4CA2" w14:paraId="7909367D" w14:textId="77777777" w:rsidTr="001F4CA2">
        <w:trPr>
          <w:tblHeader/>
        </w:trPr>
        <w:tc>
          <w:tcPr>
            <w:tcW w:w="1843" w:type="dxa"/>
            <w:shd w:val="clear" w:color="auto" w:fill="auto"/>
            <w:vAlign w:val="bottom"/>
          </w:tcPr>
          <w:p w14:paraId="3DD8ACB3" w14:textId="77777777" w:rsidR="003C48D6" w:rsidRPr="001F4CA2" w:rsidRDefault="003C48D6" w:rsidP="001F4CA2">
            <w:pPr>
              <w:suppressAutoHyphens w:val="0"/>
              <w:spacing w:before="80" w:after="80" w:line="200" w:lineRule="exact"/>
              <w:rPr>
                <w:bCs/>
                <w:i/>
                <w:sz w:val="16"/>
                <w:lang w:val="fr-FR"/>
              </w:rPr>
            </w:pPr>
            <w:r w:rsidRPr="001F4CA2">
              <w:rPr>
                <w:i/>
                <w:sz w:val="16"/>
                <w:lang w:val="fr-FR"/>
              </w:rPr>
              <w:t>Indicateur</w:t>
            </w:r>
          </w:p>
        </w:tc>
        <w:tc>
          <w:tcPr>
            <w:tcW w:w="1276" w:type="dxa"/>
            <w:shd w:val="clear" w:color="auto" w:fill="auto"/>
            <w:vAlign w:val="bottom"/>
          </w:tcPr>
          <w:p w14:paraId="3C6613AA"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2011</w:t>
            </w:r>
          </w:p>
        </w:tc>
        <w:tc>
          <w:tcPr>
            <w:tcW w:w="850" w:type="dxa"/>
            <w:shd w:val="clear" w:color="auto" w:fill="auto"/>
            <w:vAlign w:val="bottom"/>
          </w:tcPr>
          <w:p w14:paraId="330D39EC"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2012</w:t>
            </w:r>
          </w:p>
        </w:tc>
        <w:tc>
          <w:tcPr>
            <w:tcW w:w="851" w:type="dxa"/>
            <w:shd w:val="clear" w:color="auto" w:fill="auto"/>
            <w:vAlign w:val="bottom"/>
          </w:tcPr>
          <w:p w14:paraId="1D73F26C"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2013</w:t>
            </w:r>
          </w:p>
        </w:tc>
        <w:tc>
          <w:tcPr>
            <w:tcW w:w="850" w:type="dxa"/>
            <w:shd w:val="clear" w:color="auto" w:fill="auto"/>
            <w:vAlign w:val="bottom"/>
          </w:tcPr>
          <w:p w14:paraId="0427CAFE"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2014</w:t>
            </w:r>
          </w:p>
        </w:tc>
        <w:tc>
          <w:tcPr>
            <w:tcW w:w="851" w:type="dxa"/>
            <w:shd w:val="clear" w:color="auto" w:fill="auto"/>
            <w:vAlign w:val="bottom"/>
          </w:tcPr>
          <w:p w14:paraId="05A316C4"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2015</w:t>
            </w:r>
          </w:p>
        </w:tc>
        <w:tc>
          <w:tcPr>
            <w:tcW w:w="849" w:type="dxa"/>
            <w:shd w:val="clear" w:color="auto" w:fill="auto"/>
            <w:vAlign w:val="bottom"/>
          </w:tcPr>
          <w:p w14:paraId="5CAD2249"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2016</w:t>
            </w:r>
          </w:p>
        </w:tc>
      </w:tr>
      <w:tr w:rsidR="003C48D6" w:rsidRPr="001F4CA2" w14:paraId="5BABC057" w14:textId="77777777" w:rsidTr="001F4CA2">
        <w:tc>
          <w:tcPr>
            <w:tcW w:w="1843" w:type="dxa"/>
            <w:shd w:val="clear" w:color="auto" w:fill="auto"/>
          </w:tcPr>
          <w:p w14:paraId="717C4FCB" w14:textId="77777777" w:rsidR="003C48D6" w:rsidRPr="001F4CA2" w:rsidRDefault="003C48D6" w:rsidP="001F4CA2">
            <w:pPr>
              <w:suppressAutoHyphens w:val="0"/>
              <w:spacing w:before="40" w:after="40" w:line="220" w:lineRule="exact"/>
              <w:rPr>
                <w:sz w:val="18"/>
                <w:szCs w:val="18"/>
                <w:lang w:val="fr-FR"/>
              </w:rPr>
            </w:pPr>
            <w:r w:rsidRPr="001F4CA2">
              <w:rPr>
                <w:sz w:val="18"/>
                <w:szCs w:val="18"/>
                <w:lang w:val="fr-FR"/>
              </w:rPr>
              <w:t>Pourcentage d</w:t>
            </w:r>
            <w:r w:rsidR="00254912">
              <w:rPr>
                <w:sz w:val="18"/>
                <w:szCs w:val="18"/>
                <w:lang w:val="fr-FR"/>
              </w:rPr>
              <w:t>’</w:t>
            </w:r>
            <w:r w:rsidRPr="001F4CA2">
              <w:rPr>
                <w:sz w:val="18"/>
                <w:szCs w:val="18"/>
                <w:lang w:val="fr-FR"/>
              </w:rPr>
              <w:t>enfants nés à l</w:t>
            </w:r>
            <w:r w:rsidR="00254912">
              <w:rPr>
                <w:sz w:val="18"/>
                <w:szCs w:val="18"/>
                <w:lang w:val="fr-FR"/>
              </w:rPr>
              <w:t>’</w:t>
            </w:r>
            <w:r w:rsidRPr="001F4CA2">
              <w:rPr>
                <w:sz w:val="18"/>
                <w:szCs w:val="18"/>
                <w:lang w:val="fr-FR"/>
              </w:rPr>
              <w:t>hôpital</w:t>
            </w:r>
          </w:p>
        </w:tc>
        <w:tc>
          <w:tcPr>
            <w:tcW w:w="1276" w:type="dxa"/>
            <w:shd w:val="clear" w:color="auto" w:fill="auto"/>
            <w:vAlign w:val="bottom"/>
          </w:tcPr>
          <w:p w14:paraId="490E1EA6"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99,8</w:t>
            </w:r>
          </w:p>
        </w:tc>
        <w:tc>
          <w:tcPr>
            <w:tcW w:w="850" w:type="dxa"/>
            <w:shd w:val="clear" w:color="auto" w:fill="auto"/>
            <w:vAlign w:val="bottom"/>
          </w:tcPr>
          <w:p w14:paraId="3DBAA28B"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99,7</w:t>
            </w:r>
          </w:p>
        </w:tc>
        <w:tc>
          <w:tcPr>
            <w:tcW w:w="851" w:type="dxa"/>
            <w:shd w:val="clear" w:color="auto" w:fill="auto"/>
            <w:vAlign w:val="bottom"/>
          </w:tcPr>
          <w:p w14:paraId="3BFA78FA"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99,8</w:t>
            </w:r>
          </w:p>
        </w:tc>
        <w:tc>
          <w:tcPr>
            <w:tcW w:w="850" w:type="dxa"/>
            <w:shd w:val="clear" w:color="auto" w:fill="auto"/>
            <w:vAlign w:val="bottom"/>
          </w:tcPr>
          <w:p w14:paraId="12FFD76E"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99,8</w:t>
            </w:r>
          </w:p>
        </w:tc>
        <w:tc>
          <w:tcPr>
            <w:tcW w:w="851" w:type="dxa"/>
            <w:shd w:val="clear" w:color="auto" w:fill="auto"/>
            <w:vAlign w:val="bottom"/>
          </w:tcPr>
          <w:p w14:paraId="7BF84ACF" w14:textId="77777777" w:rsidR="003C48D6" w:rsidRPr="001F4CA2" w:rsidRDefault="009F1630" w:rsidP="001F4CA2">
            <w:pPr>
              <w:suppressAutoHyphens w:val="0"/>
              <w:spacing w:before="40" w:after="40" w:line="220" w:lineRule="exact"/>
              <w:jc w:val="right"/>
              <w:rPr>
                <w:sz w:val="18"/>
                <w:szCs w:val="18"/>
                <w:lang w:val="fr-FR"/>
              </w:rPr>
            </w:pPr>
            <w:r>
              <w:rPr>
                <w:sz w:val="18"/>
                <w:szCs w:val="18"/>
                <w:lang w:val="fr-FR"/>
              </w:rPr>
              <w:t>9</w:t>
            </w:r>
            <w:r w:rsidR="003C48D6" w:rsidRPr="001F4CA2">
              <w:rPr>
                <w:sz w:val="18"/>
                <w:szCs w:val="18"/>
                <w:lang w:val="fr-FR"/>
              </w:rPr>
              <w:t>9,9</w:t>
            </w:r>
          </w:p>
        </w:tc>
        <w:tc>
          <w:tcPr>
            <w:tcW w:w="849" w:type="dxa"/>
            <w:shd w:val="clear" w:color="auto" w:fill="auto"/>
            <w:vAlign w:val="bottom"/>
          </w:tcPr>
          <w:p w14:paraId="7F5ADBB6"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99,9</w:t>
            </w:r>
          </w:p>
        </w:tc>
      </w:tr>
    </w:tbl>
    <w:bookmarkEnd w:id="42"/>
    <w:p w14:paraId="66FEA0BF" w14:textId="77777777" w:rsidR="003C48D6" w:rsidRPr="00F720A6" w:rsidRDefault="003C48D6" w:rsidP="009F1630">
      <w:pPr>
        <w:pStyle w:val="Titre1"/>
        <w:spacing w:before="240" w:after="120"/>
        <w:rPr>
          <w:rStyle w:val="Appelnotedebasdep"/>
          <w:lang w:val="fr-FR"/>
        </w:rPr>
      </w:pPr>
      <w:r w:rsidRPr="00F720A6">
        <w:rPr>
          <w:lang w:val="fr-FR"/>
        </w:rPr>
        <w:t>Tableau 4</w:t>
      </w:r>
      <w:r w:rsidRPr="00F720A6">
        <w:rPr>
          <w:lang w:val="fr-FR"/>
        </w:rPr>
        <w:br/>
      </w:r>
      <w:r w:rsidRPr="001F4CA2">
        <w:rPr>
          <w:b/>
          <w:bCs/>
          <w:lang w:val="fr-FR"/>
        </w:rPr>
        <w:t>Taux de mortalité maternelle (2011-2016)</w:t>
      </w:r>
      <w:r w:rsidRPr="002A465A">
        <w:rPr>
          <w:rStyle w:val="Appelnotedebasdep"/>
        </w:rPr>
        <w:footnoteReference w:id="34"/>
      </w:r>
      <w:bookmarkStart w:id="47" w:name="_Toc56781449"/>
      <w:bookmarkEnd w:id="47"/>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2552"/>
        <w:gridCol w:w="567"/>
        <w:gridCol w:w="850"/>
        <w:gridCol w:w="851"/>
        <w:gridCol w:w="850"/>
        <w:gridCol w:w="851"/>
        <w:gridCol w:w="849"/>
      </w:tblGrid>
      <w:tr w:rsidR="003C48D6" w:rsidRPr="001F4CA2" w14:paraId="41A96E66" w14:textId="77777777" w:rsidTr="009F1630">
        <w:trPr>
          <w:tblHeader/>
        </w:trPr>
        <w:tc>
          <w:tcPr>
            <w:tcW w:w="2552" w:type="dxa"/>
            <w:shd w:val="clear" w:color="auto" w:fill="auto"/>
            <w:vAlign w:val="bottom"/>
          </w:tcPr>
          <w:p w14:paraId="5169A2BE" w14:textId="77777777" w:rsidR="003C48D6" w:rsidRPr="001F4CA2" w:rsidRDefault="003C48D6" w:rsidP="001F4CA2">
            <w:pPr>
              <w:suppressAutoHyphens w:val="0"/>
              <w:spacing w:before="80" w:after="80" w:line="200" w:lineRule="exact"/>
              <w:rPr>
                <w:bCs/>
                <w:i/>
                <w:sz w:val="16"/>
                <w:lang w:val="fr-FR"/>
              </w:rPr>
            </w:pPr>
            <w:r w:rsidRPr="001F4CA2">
              <w:rPr>
                <w:i/>
                <w:sz w:val="16"/>
                <w:lang w:val="fr-FR"/>
              </w:rPr>
              <w:t>Indicateur</w:t>
            </w:r>
          </w:p>
        </w:tc>
        <w:tc>
          <w:tcPr>
            <w:tcW w:w="567" w:type="dxa"/>
            <w:shd w:val="clear" w:color="auto" w:fill="auto"/>
            <w:vAlign w:val="bottom"/>
          </w:tcPr>
          <w:p w14:paraId="5C952751"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2011</w:t>
            </w:r>
          </w:p>
        </w:tc>
        <w:tc>
          <w:tcPr>
            <w:tcW w:w="850" w:type="dxa"/>
            <w:shd w:val="clear" w:color="auto" w:fill="auto"/>
            <w:vAlign w:val="bottom"/>
          </w:tcPr>
          <w:p w14:paraId="61123587"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2012</w:t>
            </w:r>
          </w:p>
        </w:tc>
        <w:tc>
          <w:tcPr>
            <w:tcW w:w="851" w:type="dxa"/>
            <w:shd w:val="clear" w:color="auto" w:fill="auto"/>
            <w:vAlign w:val="bottom"/>
          </w:tcPr>
          <w:p w14:paraId="129C537D"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2013</w:t>
            </w:r>
          </w:p>
        </w:tc>
        <w:tc>
          <w:tcPr>
            <w:tcW w:w="850" w:type="dxa"/>
            <w:shd w:val="clear" w:color="auto" w:fill="auto"/>
            <w:vAlign w:val="bottom"/>
          </w:tcPr>
          <w:p w14:paraId="123B94EA"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2014</w:t>
            </w:r>
          </w:p>
        </w:tc>
        <w:tc>
          <w:tcPr>
            <w:tcW w:w="851" w:type="dxa"/>
            <w:shd w:val="clear" w:color="auto" w:fill="auto"/>
            <w:vAlign w:val="bottom"/>
          </w:tcPr>
          <w:p w14:paraId="12CC98D2"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2015</w:t>
            </w:r>
          </w:p>
        </w:tc>
        <w:tc>
          <w:tcPr>
            <w:tcW w:w="849" w:type="dxa"/>
            <w:shd w:val="clear" w:color="auto" w:fill="auto"/>
            <w:vAlign w:val="bottom"/>
          </w:tcPr>
          <w:p w14:paraId="4E0F7286" w14:textId="77777777" w:rsidR="003C48D6" w:rsidRPr="001F4CA2" w:rsidRDefault="003C48D6" w:rsidP="001F4CA2">
            <w:pPr>
              <w:suppressAutoHyphens w:val="0"/>
              <w:spacing w:before="80" w:after="80" w:line="200" w:lineRule="exact"/>
              <w:jc w:val="right"/>
              <w:rPr>
                <w:bCs/>
                <w:i/>
                <w:sz w:val="16"/>
                <w:lang w:val="fr-FR"/>
              </w:rPr>
            </w:pPr>
            <w:r w:rsidRPr="001F4CA2">
              <w:rPr>
                <w:i/>
                <w:sz w:val="16"/>
                <w:lang w:val="fr-FR"/>
              </w:rPr>
              <w:t>2016</w:t>
            </w:r>
          </w:p>
        </w:tc>
      </w:tr>
      <w:tr w:rsidR="003C48D6" w:rsidRPr="001F4CA2" w14:paraId="476EC509" w14:textId="77777777" w:rsidTr="009F1630">
        <w:tc>
          <w:tcPr>
            <w:tcW w:w="2552" w:type="dxa"/>
            <w:shd w:val="clear" w:color="auto" w:fill="auto"/>
          </w:tcPr>
          <w:p w14:paraId="1BFD123A" w14:textId="77777777" w:rsidR="003C48D6" w:rsidRPr="001F4CA2" w:rsidRDefault="003C48D6" w:rsidP="001F4CA2">
            <w:pPr>
              <w:suppressAutoHyphens w:val="0"/>
              <w:spacing w:before="40" w:after="40" w:line="220" w:lineRule="exact"/>
              <w:rPr>
                <w:bCs/>
                <w:sz w:val="18"/>
                <w:szCs w:val="18"/>
                <w:lang w:val="fr-FR"/>
              </w:rPr>
            </w:pPr>
            <w:r w:rsidRPr="001F4CA2">
              <w:rPr>
                <w:sz w:val="18"/>
                <w:szCs w:val="18"/>
                <w:lang w:val="fr-FR"/>
              </w:rPr>
              <w:t xml:space="preserve">Taux de mortalité maternelle </w:t>
            </w:r>
            <w:r w:rsidR="00C20A9B">
              <w:rPr>
                <w:sz w:val="18"/>
                <w:szCs w:val="18"/>
                <w:lang w:val="fr-FR"/>
              </w:rPr>
              <w:br/>
            </w:r>
            <w:r w:rsidRPr="001F4CA2">
              <w:rPr>
                <w:sz w:val="18"/>
                <w:szCs w:val="18"/>
                <w:lang w:val="fr-FR"/>
              </w:rPr>
              <w:t xml:space="preserve">(pour 100 000 naissances vivantes) </w:t>
            </w:r>
          </w:p>
        </w:tc>
        <w:tc>
          <w:tcPr>
            <w:tcW w:w="567" w:type="dxa"/>
            <w:shd w:val="clear" w:color="auto" w:fill="auto"/>
            <w:vAlign w:val="bottom"/>
          </w:tcPr>
          <w:p w14:paraId="56B1065F"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4,4</w:t>
            </w:r>
          </w:p>
        </w:tc>
        <w:tc>
          <w:tcPr>
            <w:tcW w:w="850" w:type="dxa"/>
            <w:shd w:val="clear" w:color="auto" w:fill="auto"/>
            <w:vAlign w:val="bottom"/>
          </w:tcPr>
          <w:p w14:paraId="604E5967"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4,2</w:t>
            </w:r>
          </w:p>
        </w:tc>
        <w:tc>
          <w:tcPr>
            <w:tcW w:w="851" w:type="dxa"/>
            <w:shd w:val="clear" w:color="auto" w:fill="auto"/>
            <w:vAlign w:val="bottom"/>
          </w:tcPr>
          <w:p w14:paraId="38C8BE07"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4,3</w:t>
            </w:r>
          </w:p>
        </w:tc>
        <w:tc>
          <w:tcPr>
            <w:tcW w:w="850" w:type="dxa"/>
            <w:shd w:val="clear" w:color="auto" w:fill="auto"/>
            <w:vAlign w:val="bottom"/>
          </w:tcPr>
          <w:p w14:paraId="082EE4D1"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12,7</w:t>
            </w:r>
          </w:p>
        </w:tc>
        <w:tc>
          <w:tcPr>
            <w:tcW w:w="851" w:type="dxa"/>
            <w:shd w:val="clear" w:color="auto" w:fill="auto"/>
            <w:vAlign w:val="bottom"/>
          </w:tcPr>
          <w:p w14:paraId="0A0CEA57"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0</w:t>
            </w:r>
          </w:p>
        </w:tc>
        <w:tc>
          <w:tcPr>
            <w:tcW w:w="849" w:type="dxa"/>
            <w:shd w:val="clear" w:color="auto" w:fill="auto"/>
            <w:vAlign w:val="bottom"/>
          </w:tcPr>
          <w:p w14:paraId="2C86B8DD" w14:textId="77777777" w:rsidR="003C48D6" w:rsidRPr="001F4CA2" w:rsidRDefault="003C48D6" w:rsidP="001F4CA2">
            <w:pPr>
              <w:suppressAutoHyphens w:val="0"/>
              <w:spacing w:before="40" w:after="40" w:line="220" w:lineRule="exact"/>
              <w:jc w:val="right"/>
              <w:rPr>
                <w:sz w:val="18"/>
                <w:szCs w:val="18"/>
                <w:lang w:val="fr-FR"/>
              </w:rPr>
            </w:pPr>
            <w:r w:rsidRPr="001F4CA2">
              <w:rPr>
                <w:sz w:val="18"/>
                <w:szCs w:val="18"/>
                <w:lang w:val="fr-FR"/>
              </w:rPr>
              <w:t>0</w:t>
            </w:r>
          </w:p>
        </w:tc>
      </w:tr>
    </w:tbl>
    <w:p w14:paraId="7F89C06F" w14:textId="77777777" w:rsidR="003C48D6" w:rsidRPr="00F720A6" w:rsidRDefault="003C48D6" w:rsidP="009F1630">
      <w:pPr>
        <w:pStyle w:val="SingleTxtG"/>
        <w:spacing w:before="240"/>
        <w:rPr>
          <w:lang w:val="fr-FR"/>
        </w:rPr>
      </w:pPr>
      <w:r w:rsidRPr="00F720A6">
        <w:rPr>
          <w:lang w:val="fr-FR"/>
        </w:rPr>
        <w:t>131.</w:t>
      </w:r>
      <w:r w:rsidRPr="00F720A6">
        <w:rPr>
          <w:lang w:val="fr-FR"/>
        </w:rPr>
        <w:tab/>
        <w:t>En 2017, en coopération avec le bureau de pays du Fonds des Nations Unies pour la population (FNUAP), le Ministère de la santé a commencé à former des formateurs à la méthodologie « Au-delà des nombres » de l</w:t>
      </w:r>
      <w:r w:rsidR="00254912">
        <w:rPr>
          <w:lang w:val="fr-FR"/>
        </w:rPr>
        <w:t>’</w:t>
      </w:r>
      <w:r w:rsidRPr="00F720A6">
        <w:rPr>
          <w:lang w:val="fr-FR"/>
        </w:rPr>
        <w:t>OMS, destinée à permettre aux gynécologues des maternités d</w:t>
      </w:r>
      <w:r w:rsidR="00254912">
        <w:rPr>
          <w:lang w:val="fr-FR"/>
        </w:rPr>
        <w:t>’</w:t>
      </w:r>
      <w:r w:rsidRPr="00F720A6">
        <w:rPr>
          <w:lang w:val="fr-FR"/>
        </w:rPr>
        <w:t>examiner de manière professionnelle la morbidité et la mortalité maternelles (accidents évités de justesse), avec l</w:t>
      </w:r>
      <w:r w:rsidR="00254912">
        <w:rPr>
          <w:lang w:val="fr-FR"/>
        </w:rPr>
        <w:t>’</w:t>
      </w:r>
      <w:r w:rsidRPr="00F720A6">
        <w:rPr>
          <w:lang w:val="fr-FR"/>
        </w:rPr>
        <w:t>objectif final d</w:t>
      </w:r>
      <w:r w:rsidR="00254912">
        <w:rPr>
          <w:lang w:val="fr-FR"/>
        </w:rPr>
        <w:t>’</w:t>
      </w:r>
      <w:r w:rsidRPr="00F720A6">
        <w:rPr>
          <w:lang w:val="fr-FR"/>
        </w:rPr>
        <w:t>améliorer systématiquement la qualité des soins de santé pendant la grossesse, l</w:t>
      </w:r>
      <w:r w:rsidR="00254912">
        <w:rPr>
          <w:lang w:val="fr-FR"/>
        </w:rPr>
        <w:t>’</w:t>
      </w:r>
      <w:r w:rsidRPr="00F720A6">
        <w:rPr>
          <w:lang w:val="fr-FR"/>
        </w:rPr>
        <w:t xml:space="preserve">accouchement et la période </w:t>
      </w:r>
      <w:proofErr w:type="spellStart"/>
      <w:r w:rsidRPr="00F720A6">
        <w:rPr>
          <w:lang w:val="fr-FR"/>
        </w:rPr>
        <w:t>postnatale</w:t>
      </w:r>
      <w:proofErr w:type="spellEnd"/>
      <w:r w:rsidRPr="00F720A6">
        <w:rPr>
          <w:lang w:val="fr-FR"/>
        </w:rPr>
        <w:t>.</w:t>
      </w:r>
    </w:p>
    <w:p w14:paraId="62A85E2E" w14:textId="77777777" w:rsidR="003C48D6" w:rsidRPr="00F720A6" w:rsidRDefault="003C48D6" w:rsidP="00C20A9B">
      <w:pPr>
        <w:pStyle w:val="SingleTxtG"/>
        <w:rPr>
          <w:lang w:val="fr-FR"/>
        </w:rPr>
      </w:pPr>
      <w:r w:rsidRPr="00F720A6">
        <w:rPr>
          <w:lang w:val="fr-FR"/>
        </w:rPr>
        <w:t>132.</w:t>
      </w:r>
      <w:r w:rsidRPr="00F720A6">
        <w:rPr>
          <w:lang w:val="fr-FR"/>
        </w:rPr>
        <w:tab/>
        <w:t>Plusieurs mesures ont été introduites pour améliorer l</w:t>
      </w:r>
      <w:r w:rsidR="00254912">
        <w:rPr>
          <w:lang w:val="fr-FR"/>
        </w:rPr>
        <w:t>’</w:t>
      </w:r>
      <w:r w:rsidRPr="00F720A6">
        <w:rPr>
          <w:lang w:val="fr-FR"/>
        </w:rPr>
        <w:t>accès aux soins prénatals, en</w:t>
      </w:r>
      <w:r w:rsidR="009F1630">
        <w:rPr>
          <w:lang w:val="fr-FR"/>
        </w:rPr>
        <w:t> </w:t>
      </w:r>
      <w:r w:rsidRPr="00F720A6">
        <w:rPr>
          <w:lang w:val="fr-FR"/>
        </w:rPr>
        <w:t>particulier pour les groupes de femmes vulnérables confrontées à des obstacles financiers, avec la gratuité des examens médicaux pendant la grossesse et l</w:t>
      </w:r>
      <w:r w:rsidR="00254912">
        <w:rPr>
          <w:lang w:val="fr-FR"/>
        </w:rPr>
        <w:t>’</w:t>
      </w:r>
      <w:r w:rsidRPr="00F720A6">
        <w:rPr>
          <w:lang w:val="fr-FR"/>
        </w:rPr>
        <w:t>accouchement sans frais pour les femmes non assurées, ainsi que des exonérations de paiement de quote-part pour les services de santé dispensés aux femmes enceintes assurées. Cette mesure facilite l</w:t>
      </w:r>
      <w:r w:rsidR="00254912">
        <w:rPr>
          <w:lang w:val="fr-FR"/>
        </w:rPr>
        <w:t>’</w:t>
      </w:r>
      <w:r w:rsidRPr="00F720A6">
        <w:rPr>
          <w:lang w:val="fr-FR"/>
        </w:rPr>
        <w:t>accès des groupes de femmes vulnérables, notamment les femmes roms, à ces services.</w:t>
      </w:r>
    </w:p>
    <w:p w14:paraId="7031EE4A" w14:textId="77777777" w:rsidR="003C48D6" w:rsidRPr="00F720A6" w:rsidRDefault="003C48D6" w:rsidP="00C20A9B">
      <w:pPr>
        <w:pStyle w:val="SingleTxtG"/>
        <w:rPr>
          <w:lang w:val="fr-FR"/>
        </w:rPr>
      </w:pPr>
      <w:r w:rsidRPr="00F720A6">
        <w:rPr>
          <w:lang w:val="fr-FR"/>
        </w:rPr>
        <w:t>133.</w:t>
      </w:r>
      <w:r w:rsidRPr="00F720A6">
        <w:rPr>
          <w:lang w:val="fr-FR"/>
        </w:rPr>
        <w:tab/>
        <w:t>Un grand nombre de directives cliniques ont été élaborées dans ce domaine, comme le Guide clinique pour la détection précoce des grossesses à risque et les Directives pour le traitement des hémorragies post-partum.</w:t>
      </w:r>
    </w:p>
    <w:p w14:paraId="468F7615" w14:textId="77777777" w:rsidR="003C48D6" w:rsidRPr="00F720A6" w:rsidRDefault="003C48D6" w:rsidP="00C20A9B">
      <w:pPr>
        <w:pStyle w:val="SingleTxtG"/>
        <w:rPr>
          <w:lang w:val="fr-FR"/>
        </w:rPr>
      </w:pPr>
      <w:r w:rsidRPr="00F720A6">
        <w:rPr>
          <w:lang w:val="fr-FR"/>
        </w:rPr>
        <w:t>134.</w:t>
      </w:r>
      <w:r w:rsidRPr="00F720A6">
        <w:rPr>
          <w:lang w:val="fr-FR"/>
        </w:rPr>
        <w:tab/>
        <w:t>Un dossier électronique personnel de maternité (note) est en cours d</w:t>
      </w:r>
      <w:r w:rsidR="00254912">
        <w:rPr>
          <w:lang w:val="fr-FR"/>
        </w:rPr>
        <w:t>’</w:t>
      </w:r>
      <w:r w:rsidRPr="00F720A6">
        <w:rPr>
          <w:lang w:val="fr-FR"/>
        </w:rPr>
        <w:t>élaboration pour servir de lien entre les gynécologues de ville et ceux qui travaillent dans les maternités. Des</w:t>
      </w:r>
      <w:r w:rsidR="009F1630">
        <w:rPr>
          <w:lang w:val="fr-FR"/>
        </w:rPr>
        <w:t> </w:t>
      </w:r>
      <w:r w:rsidRPr="00F720A6">
        <w:rPr>
          <w:lang w:val="fr-FR"/>
        </w:rPr>
        <w:t>documents d</w:t>
      </w:r>
      <w:r w:rsidR="00254912">
        <w:rPr>
          <w:lang w:val="fr-FR"/>
        </w:rPr>
        <w:t>’</w:t>
      </w:r>
      <w:r w:rsidRPr="00F720A6">
        <w:rPr>
          <w:lang w:val="fr-FR"/>
        </w:rPr>
        <w:t>information destinés aux femmes enceintes ont également été élaborés pour les informer de la nécessité de consulter un gynécologue et de ce que sont les soins prénatals, mais aussi pour leur proposer des conseils médicaux en matière de planification familiale, de</w:t>
      </w:r>
      <w:r w:rsidR="009F1630">
        <w:rPr>
          <w:lang w:val="fr-FR"/>
        </w:rPr>
        <w:t> </w:t>
      </w:r>
      <w:r w:rsidRPr="00F720A6">
        <w:rPr>
          <w:lang w:val="fr-FR"/>
        </w:rPr>
        <w:t>prise en charge avant, pendant et après l</w:t>
      </w:r>
      <w:r w:rsidR="00254912">
        <w:rPr>
          <w:lang w:val="fr-FR"/>
        </w:rPr>
        <w:t>’</w:t>
      </w:r>
      <w:r w:rsidRPr="00F720A6">
        <w:rPr>
          <w:lang w:val="fr-FR"/>
        </w:rPr>
        <w:t>accouchement, de soins de santé pour les nouveau-nés, de prise en charge gynécologiques, de stérilité, d</w:t>
      </w:r>
      <w:r w:rsidR="00254912">
        <w:rPr>
          <w:lang w:val="fr-FR"/>
        </w:rPr>
        <w:t>’</w:t>
      </w:r>
      <w:r w:rsidRPr="00F720A6">
        <w:rPr>
          <w:lang w:val="fr-FR"/>
        </w:rPr>
        <w:t>avortement sans risque, d</w:t>
      </w:r>
      <w:r w:rsidR="00254912">
        <w:rPr>
          <w:lang w:val="fr-FR"/>
        </w:rPr>
        <w:t>’</w:t>
      </w:r>
      <w:r w:rsidRPr="00F720A6">
        <w:rPr>
          <w:lang w:val="fr-FR"/>
        </w:rPr>
        <w:t>allaitement, etc.</w:t>
      </w:r>
    </w:p>
    <w:p w14:paraId="08B1DE5F" w14:textId="77777777" w:rsidR="003C48D6" w:rsidRPr="00F720A6" w:rsidRDefault="003C48D6" w:rsidP="009F1630">
      <w:pPr>
        <w:pStyle w:val="SingleTxtG"/>
        <w:keepNext/>
        <w:keepLines/>
        <w:rPr>
          <w:lang w:val="fr-FR"/>
        </w:rPr>
      </w:pPr>
      <w:r w:rsidRPr="00F720A6">
        <w:rPr>
          <w:lang w:val="fr-FR"/>
        </w:rPr>
        <w:lastRenderedPageBreak/>
        <w:t>135.</w:t>
      </w:r>
      <w:r w:rsidRPr="00F720A6">
        <w:rPr>
          <w:lang w:val="fr-FR"/>
        </w:rPr>
        <w:tab/>
        <w:t>Afin de s</w:t>
      </w:r>
      <w:r w:rsidR="00254912">
        <w:rPr>
          <w:lang w:val="fr-FR"/>
        </w:rPr>
        <w:t>’</w:t>
      </w:r>
      <w:r w:rsidRPr="00F720A6">
        <w:rPr>
          <w:lang w:val="fr-FR"/>
        </w:rPr>
        <w:t>attaquer au problème de l</w:t>
      </w:r>
      <w:r w:rsidR="00254912">
        <w:rPr>
          <w:lang w:val="fr-FR"/>
        </w:rPr>
        <w:t>’</w:t>
      </w:r>
      <w:r w:rsidRPr="00F720A6">
        <w:rPr>
          <w:lang w:val="fr-FR"/>
        </w:rPr>
        <w:t xml:space="preserve">augmentation de la mortalité </w:t>
      </w:r>
      <w:proofErr w:type="spellStart"/>
      <w:r w:rsidRPr="00F720A6">
        <w:rPr>
          <w:lang w:val="fr-FR"/>
        </w:rPr>
        <w:t>néonatale</w:t>
      </w:r>
      <w:proofErr w:type="spellEnd"/>
      <w:r w:rsidRPr="00F720A6">
        <w:rPr>
          <w:lang w:val="fr-FR"/>
        </w:rPr>
        <w:t xml:space="preserve"> dans le pays, l</w:t>
      </w:r>
      <w:r w:rsidR="00254912">
        <w:rPr>
          <w:lang w:val="fr-FR"/>
        </w:rPr>
        <w:t>’</w:t>
      </w:r>
      <w:r w:rsidRPr="00F720A6">
        <w:rPr>
          <w:lang w:val="fr-FR"/>
        </w:rPr>
        <w:t>UNICEF a établi une méthodologie visant à étudier individuellement chaque décès de nouveau-né, et à élaborer des documents pour la formation de 20 représentants de l</w:t>
      </w:r>
      <w:r w:rsidR="00254912">
        <w:rPr>
          <w:lang w:val="fr-FR"/>
        </w:rPr>
        <w:t>’</w:t>
      </w:r>
      <w:r w:rsidRPr="00F720A6">
        <w:rPr>
          <w:lang w:val="fr-FR"/>
        </w:rPr>
        <w:t>Organe national d</w:t>
      </w:r>
      <w:r w:rsidR="00254912">
        <w:rPr>
          <w:lang w:val="fr-FR"/>
        </w:rPr>
        <w:t>’</w:t>
      </w:r>
      <w:r w:rsidRPr="00F720A6">
        <w:rPr>
          <w:lang w:val="fr-FR"/>
        </w:rPr>
        <w:t xml:space="preserve">étude de la mortalité </w:t>
      </w:r>
      <w:proofErr w:type="spellStart"/>
      <w:r w:rsidRPr="00F720A6">
        <w:rPr>
          <w:lang w:val="fr-FR"/>
        </w:rPr>
        <w:t>néonatale</w:t>
      </w:r>
      <w:proofErr w:type="spellEnd"/>
      <w:r w:rsidRPr="00F720A6">
        <w:rPr>
          <w:lang w:val="fr-FR"/>
        </w:rPr>
        <w:t xml:space="preserve"> que va créer le Ministère de la santé. </w:t>
      </w:r>
    </w:p>
    <w:p w14:paraId="2AAC94B7" w14:textId="77777777" w:rsidR="003C48D6" w:rsidRPr="00F720A6" w:rsidRDefault="003C48D6" w:rsidP="00C20A9B">
      <w:pPr>
        <w:pStyle w:val="SingleTxtG"/>
        <w:rPr>
          <w:lang w:val="fr-FR"/>
        </w:rPr>
      </w:pPr>
      <w:r w:rsidRPr="00F720A6">
        <w:rPr>
          <w:lang w:val="fr-FR"/>
        </w:rPr>
        <w:t>136.</w:t>
      </w:r>
      <w:r w:rsidRPr="00F720A6">
        <w:rPr>
          <w:lang w:val="fr-FR"/>
        </w:rPr>
        <w:tab/>
        <w:t>En collaboration avec le Comité pour une maternité sans risque, l</w:t>
      </w:r>
      <w:r w:rsidR="00254912">
        <w:rPr>
          <w:lang w:val="fr-FR"/>
        </w:rPr>
        <w:t>’</w:t>
      </w:r>
      <w:r w:rsidRPr="00F720A6">
        <w:rPr>
          <w:lang w:val="fr-FR"/>
        </w:rPr>
        <w:t xml:space="preserve">UNICEF a élaboré des lignes directrices pour le transport périnatal, ainsi que des normes pour la protection et le contrôle du transport des nouveau-nés afin prévenir les causes évitables de mortalité. </w:t>
      </w:r>
    </w:p>
    <w:p w14:paraId="39D1FEC8" w14:textId="77777777" w:rsidR="003C48D6" w:rsidRPr="00F720A6" w:rsidRDefault="003C48D6" w:rsidP="00C20A9B">
      <w:pPr>
        <w:pStyle w:val="H23G"/>
        <w:rPr>
          <w:lang w:val="fr-FR"/>
        </w:rPr>
      </w:pPr>
      <w:r w:rsidRPr="00F720A6">
        <w:rPr>
          <w:lang w:val="fr-FR"/>
        </w:rPr>
        <w:tab/>
      </w:r>
      <w:r w:rsidRPr="00F720A6">
        <w:rPr>
          <w:lang w:val="fr-FR"/>
        </w:rPr>
        <w:tab/>
        <w:t>Allaitement naturel</w:t>
      </w:r>
      <w:bookmarkStart w:id="48" w:name="_Toc56781450"/>
      <w:bookmarkEnd w:id="48"/>
    </w:p>
    <w:p w14:paraId="48281160" w14:textId="77777777" w:rsidR="003C48D6" w:rsidRPr="00F720A6" w:rsidRDefault="003C48D6" w:rsidP="00C20A9B">
      <w:pPr>
        <w:pStyle w:val="SingleTxtG"/>
        <w:rPr>
          <w:lang w:val="fr-FR"/>
        </w:rPr>
      </w:pPr>
      <w:r w:rsidRPr="00F720A6">
        <w:rPr>
          <w:lang w:val="fr-FR"/>
        </w:rPr>
        <w:t>137.</w:t>
      </w:r>
      <w:r w:rsidRPr="00F720A6">
        <w:rPr>
          <w:lang w:val="fr-FR"/>
        </w:rPr>
        <w:tab/>
        <w:t>En ce qui concerne l</w:t>
      </w:r>
      <w:r w:rsidR="00254912">
        <w:rPr>
          <w:lang w:val="fr-FR"/>
        </w:rPr>
        <w:t>’</w:t>
      </w:r>
      <w:r w:rsidRPr="00F720A6">
        <w:rPr>
          <w:lang w:val="fr-FR"/>
        </w:rPr>
        <w:t>allaitement naturel, 90 % des mères allaitent pendant le premier mois suivant l</w:t>
      </w:r>
      <w:r w:rsidR="00254912">
        <w:rPr>
          <w:lang w:val="fr-FR"/>
        </w:rPr>
        <w:t>’</w:t>
      </w:r>
      <w:r w:rsidRPr="00F720A6">
        <w:rPr>
          <w:lang w:val="fr-FR"/>
        </w:rPr>
        <w:t>accouchement. Selon les données recueillies après une enquête menée par l</w:t>
      </w:r>
      <w:r w:rsidR="00254912">
        <w:rPr>
          <w:lang w:val="fr-FR"/>
        </w:rPr>
        <w:t>’</w:t>
      </w:r>
      <w:r w:rsidRPr="00F720A6">
        <w:rPr>
          <w:lang w:val="fr-FR"/>
        </w:rPr>
        <w:t>UNICEF en 2011 auprès d</w:t>
      </w:r>
      <w:r w:rsidR="00254912">
        <w:rPr>
          <w:lang w:val="fr-FR"/>
        </w:rPr>
        <w:t>’</w:t>
      </w:r>
      <w:r w:rsidRPr="00F720A6">
        <w:rPr>
          <w:lang w:val="fr-FR"/>
        </w:rPr>
        <w:t>un échantillon représentatif, 41 % des mères pratiquent de façon prédominante un allaitement maternel (avec ajout d</w:t>
      </w:r>
      <w:r w:rsidR="00254912">
        <w:rPr>
          <w:lang w:val="fr-FR"/>
        </w:rPr>
        <w:t>’</w:t>
      </w:r>
      <w:r w:rsidRPr="00F720A6">
        <w:rPr>
          <w:lang w:val="fr-FR"/>
        </w:rPr>
        <w:t>eau, de thé ou de jus au régime alimentaire du nouveau-né, lorsque le lait maternel forme l</w:t>
      </w:r>
      <w:r w:rsidR="00254912">
        <w:rPr>
          <w:lang w:val="fr-FR"/>
        </w:rPr>
        <w:t>’</w:t>
      </w:r>
      <w:r w:rsidRPr="00F720A6">
        <w:rPr>
          <w:lang w:val="fr-FR"/>
        </w:rPr>
        <w:t>alimentation prédominante), tandis que 23 % des mères pratiquent un allaitement exclusif (lait maternel uniquement).</w:t>
      </w:r>
    </w:p>
    <w:p w14:paraId="442F7E18" w14:textId="77777777" w:rsidR="003C48D6" w:rsidRPr="00F720A6" w:rsidRDefault="003C48D6" w:rsidP="001F4CA2">
      <w:pPr>
        <w:pStyle w:val="Titre1"/>
        <w:spacing w:after="120"/>
        <w:rPr>
          <w:rStyle w:val="Appelnotedebasdep"/>
          <w:lang w:val="fr-FR"/>
        </w:rPr>
      </w:pPr>
      <w:r w:rsidRPr="00F720A6">
        <w:rPr>
          <w:lang w:val="fr-FR"/>
        </w:rPr>
        <w:t>Tableau 5</w:t>
      </w:r>
      <w:r w:rsidRPr="00F720A6">
        <w:rPr>
          <w:lang w:val="fr-FR"/>
        </w:rPr>
        <w:br/>
      </w:r>
      <w:r w:rsidRPr="00C20A9B">
        <w:rPr>
          <w:b/>
          <w:bCs/>
          <w:lang w:val="fr-FR"/>
        </w:rPr>
        <w:t>Taux d</w:t>
      </w:r>
      <w:r w:rsidR="00254912">
        <w:rPr>
          <w:b/>
          <w:bCs/>
          <w:lang w:val="fr-FR"/>
        </w:rPr>
        <w:t>’</w:t>
      </w:r>
      <w:r w:rsidRPr="00C20A9B">
        <w:rPr>
          <w:b/>
          <w:bCs/>
          <w:lang w:val="fr-FR"/>
        </w:rPr>
        <w:t xml:space="preserve">allaitement naturel (exclusif, prédominant et durée moyenne </w:t>
      </w:r>
      <w:r w:rsidR="00C20A9B">
        <w:rPr>
          <w:b/>
          <w:bCs/>
          <w:lang w:val="fr-FR"/>
        </w:rPr>
        <w:br/>
      </w:r>
      <w:r w:rsidRPr="00C20A9B">
        <w:rPr>
          <w:b/>
          <w:bCs/>
          <w:lang w:val="fr-FR"/>
        </w:rPr>
        <w:t>de ce type d</w:t>
      </w:r>
      <w:r w:rsidR="00254912">
        <w:rPr>
          <w:b/>
          <w:bCs/>
          <w:lang w:val="fr-FR"/>
        </w:rPr>
        <w:t>’</w:t>
      </w:r>
      <w:r w:rsidRPr="00C20A9B">
        <w:rPr>
          <w:b/>
          <w:bCs/>
          <w:lang w:val="fr-FR"/>
        </w:rPr>
        <w:t>allaitement)</w:t>
      </w:r>
      <w:r w:rsidRPr="002A465A">
        <w:rPr>
          <w:rStyle w:val="Appelnotedebasdep"/>
        </w:rPr>
        <w:footnoteReference w:id="35"/>
      </w:r>
      <w:bookmarkStart w:id="49" w:name="_Toc56781451"/>
      <w:bookmarkEnd w:id="49"/>
    </w:p>
    <w:tbl>
      <w:tblPr>
        <w:tblW w:w="7370" w:type="dxa"/>
        <w:tblInd w:w="1134" w:type="dxa"/>
        <w:tblLayout w:type="fixed"/>
        <w:tblCellMar>
          <w:left w:w="0" w:type="dxa"/>
          <w:right w:w="0" w:type="dxa"/>
        </w:tblCellMar>
        <w:tblLook w:val="00A0" w:firstRow="1" w:lastRow="0" w:firstColumn="1" w:lastColumn="0" w:noHBand="0" w:noVBand="0"/>
      </w:tblPr>
      <w:tblGrid>
        <w:gridCol w:w="6521"/>
        <w:gridCol w:w="849"/>
      </w:tblGrid>
      <w:tr w:rsidR="003C48D6" w:rsidRPr="00C20A9B" w14:paraId="6C9B7B66" w14:textId="77777777" w:rsidTr="00C20A9B">
        <w:trPr>
          <w:tblHeader/>
        </w:trPr>
        <w:tc>
          <w:tcPr>
            <w:tcW w:w="6521" w:type="dxa"/>
            <w:tcBorders>
              <w:top w:val="single" w:sz="4" w:space="0" w:color="auto"/>
              <w:bottom w:val="single" w:sz="12" w:space="0" w:color="auto"/>
            </w:tcBorders>
            <w:shd w:val="clear" w:color="auto" w:fill="auto"/>
            <w:vAlign w:val="bottom"/>
          </w:tcPr>
          <w:p w14:paraId="6D053FF9" w14:textId="77777777" w:rsidR="003C48D6" w:rsidRPr="00C20A9B" w:rsidRDefault="003C48D6" w:rsidP="00C20A9B">
            <w:pPr>
              <w:keepNext/>
              <w:suppressAutoHyphens w:val="0"/>
              <w:spacing w:before="80" w:after="80" w:line="200" w:lineRule="exact"/>
              <w:rPr>
                <w:bCs/>
                <w:i/>
                <w:sz w:val="16"/>
                <w:lang w:val="fr-FR"/>
              </w:rPr>
            </w:pPr>
            <w:r w:rsidRPr="00C20A9B">
              <w:rPr>
                <w:i/>
                <w:sz w:val="16"/>
                <w:lang w:val="fr-FR"/>
              </w:rPr>
              <w:t>Indicateur</w:t>
            </w:r>
          </w:p>
        </w:tc>
        <w:tc>
          <w:tcPr>
            <w:tcW w:w="849" w:type="dxa"/>
            <w:tcBorders>
              <w:top w:val="single" w:sz="4" w:space="0" w:color="auto"/>
              <w:bottom w:val="single" w:sz="12" w:space="0" w:color="auto"/>
            </w:tcBorders>
            <w:shd w:val="clear" w:color="auto" w:fill="auto"/>
            <w:vAlign w:val="bottom"/>
          </w:tcPr>
          <w:p w14:paraId="7D742AD0" w14:textId="77777777" w:rsidR="003C48D6" w:rsidRPr="00C20A9B" w:rsidRDefault="003C48D6" w:rsidP="00C20A9B">
            <w:pPr>
              <w:keepNext/>
              <w:suppressAutoHyphens w:val="0"/>
              <w:spacing w:before="80" w:after="80" w:line="200" w:lineRule="exact"/>
              <w:jc w:val="right"/>
              <w:rPr>
                <w:bCs/>
                <w:i/>
                <w:sz w:val="16"/>
                <w:lang w:val="fr-FR"/>
              </w:rPr>
            </w:pPr>
            <w:r w:rsidRPr="00C20A9B">
              <w:rPr>
                <w:i/>
                <w:sz w:val="16"/>
                <w:lang w:val="fr-FR"/>
              </w:rPr>
              <w:t>2011</w:t>
            </w:r>
          </w:p>
        </w:tc>
      </w:tr>
      <w:tr w:rsidR="003C48D6" w:rsidRPr="00C20A9B" w14:paraId="520DCF18" w14:textId="77777777" w:rsidTr="00C20A9B">
        <w:tc>
          <w:tcPr>
            <w:tcW w:w="6521" w:type="dxa"/>
            <w:tcBorders>
              <w:top w:val="single" w:sz="12" w:space="0" w:color="auto"/>
            </w:tcBorders>
            <w:shd w:val="clear" w:color="auto" w:fill="auto"/>
          </w:tcPr>
          <w:p w14:paraId="23D9F26A" w14:textId="77777777" w:rsidR="003C48D6" w:rsidRPr="00C20A9B" w:rsidRDefault="003C48D6" w:rsidP="00C20A9B">
            <w:pPr>
              <w:keepNext/>
              <w:suppressAutoHyphens w:val="0"/>
              <w:spacing w:before="40" w:after="40" w:line="220" w:lineRule="exact"/>
              <w:rPr>
                <w:bCs/>
                <w:sz w:val="18"/>
                <w:szCs w:val="18"/>
                <w:lang w:val="fr-FR"/>
              </w:rPr>
            </w:pPr>
            <w:r w:rsidRPr="00C20A9B">
              <w:rPr>
                <w:sz w:val="18"/>
                <w:szCs w:val="18"/>
                <w:lang w:val="fr-FR"/>
              </w:rPr>
              <w:t>Taux d</w:t>
            </w:r>
            <w:r w:rsidR="00254912">
              <w:rPr>
                <w:sz w:val="18"/>
                <w:szCs w:val="18"/>
                <w:lang w:val="fr-FR"/>
              </w:rPr>
              <w:t>’</w:t>
            </w:r>
            <w:r w:rsidRPr="00C20A9B">
              <w:rPr>
                <w:sz w:val="18"/>
                <w:szCs w:val="18"/>
                <w:lang w:val="fr-FR"/>
              </w:rPr>
              <w:t>allaitement maternel exclusif au cours des 6 premiers mois suivant la naissance</w:t>
            </w:r>
          </w:p>
        </w:tc>
        <w:tc>
          <w:tcPr>
            <w:tcW w:w="849" w:type="dxa"/>
            <w:tcBorders>
              <w:top w:val="single" w:sz="12" w:space="0" w:color="auto"/>
            </w:tcBorders>
            <w:shd w:val="clear" w:color="auto" w:fill="auto"/>
            <w:vAlign w:val="bottom"/>
          </w:tcPr>
          <w:p w14:paraId="7B3597CF" w14:textId="77777777" w:rsidR="003C48D6" w:rsidRPr="00C20A9B" w:rsidRDefault="003C48D6" w:rsidP="00C20A9B">
            <w:pPr>
              <w:keepNext/>
              <w:suppressAutoHyphens w:val="0"/>
              <w:spacing w:before="40" w:after="40" w:line="220" w:lineRule="exact"/>
              <w:jc w:val="right"/>
              <w:rPr>
                <w:sz w:val="18"/>
                <w:szCs w:val="18"/>
                <w:lang w:val="fr-FR"/>
              </w:rPr>
            </w:pPr>
            <w:r w:rsidRPr="00C20A9B">
              <w:rPr>
                <w:sz w:val="18"/>
                <w:szCs w:val="18"/>
                <w:lang w:val="fr-FR"/>
              </w:rPr>
              <w:t>23</w:t>
            </w:r>
            <w:r w:rsidR="00C20A9B">
              <w:rPr>
                <w:sz w:val="18"/>
                <w:szCs w:val="18"/>
                <w:lang w:val="fr-FR"/>
              </w:rPr>
              <w:t> </w:t>
            </w:r>
            <w:r w:rsidRPr="00C20A9B">
              <w:rPr>
                <w:sz w:val="18"/>
                <w:szCs w:val="18"/>
                <w:lang w:val="fr-FR"/>
              </w:rPr>
              <w:t>%</w:t>
            </w:r>
          </w:p>
        </w:tc>
      </w:tr>
      <w:tr w:rsidR="003C48D6" w:rsidRPr="00C20A9B" w14:paraId="16CBB6ED" w14:textId="77777777" w:rsidTr="00C20A9B">
        <w:tc>
          <w:tcPr>
            <w:tcW w:w="6521" w:type="dxa"/>
            <w:shd w:val="clear" w:color="auto" w:fill="auto"/>
          </w:tcPr>
          <w:p w14:paraId="76CE9EF6" w14:textId="77777777" w:rsidR="003C48D6" w:rsidRPr="00C20A9B" w:rsidRDefault="003C48D6" w:rsidP="00C20A9B">
            <w:pPr>
              <w:keepNext/>
              <w:suppressAutoHyphens w:val="0"/>
              <w:spacing w:before="40" w:after="40" w:line="220" w:lineRule="exact"/>
              <w:rPr>
                <w:sz w:val="18"/>
                <w:szCs w:val="18"/>
                <w:lang w:val="fr-FR"/>
              </w:rPr>
            </w:pPr>
            <w:r w:rsidRPr="00C20A9B">
              <w:rPr>
                <w:sz w:val="18"/>
                <w:szCs w:val="18"/>
                <w:lang w:val="fr-FR"/>
              </w:rPr>
              <w:t>Taux d</w:t>
            </w:r>
            <w:r w:rsidR="00254912">
              <w:rPr>
                <w:sz w:val="18"/>
                <w:szCs w:val="18"/>
                <w:lang w:val="fr-FR"/>
              </w:rPr>
              <w:t>’</w:t>
            </w:r>
            <w:r w:rsidRPr="00C20A9B">
              <w:rPr>
                <w:sz w:val="18"/>
                <w:szCs w:val="18"/>
                <w:lang w:val="fr-FR"/>
              </w:rPr>
              <w:t>allaitement à prédominance de lait maternel</w:t>
            </w:r>
          </w:p>
        </w:tc>
        <w:tc>
          <w:tcPr>
            <w:tcW w:w="849" w:type="dxa"/>
            <w:shd w:val="clear" w:color="auto" w:fill="auto"/>
            <w:vAlign w:val="bottom"/>
          </w:tcPr>
          <w:p w14:paraId="6FB53C00" w14:textId="77777777" w:rsidR="003C48D6" w:rsidRPr="00C20A9B" w:rsidRDefault="003C48D6" w:rsidP="00C20A9B">
            <w:pPr>
              <w:keepNext/>
              <w:suppressAutoHyphens w:val="0"/>
              <w:spacing w:before="40" w:after="40" w:line="220" w:lineRule="exact"/>
              <w:jc w:val="right"/>
              <w:rPr>
                <w:sz w:val="18"/>
                <w:szCs w:val="18"/>
                <w:lang w:val="fr-FR"/>
              </w:rPr>
            </w:pPr>
            <w:r w:rsidRPr="00C20A9B">
              <w:rPr>
                <w:sz w:val="18"/>
                <w:szCs w:val="18"/>
                <w:lang w:val="fr-FR"/>
              </w:rPr>
              <w:t>44,1</w:t>
            </w:r>
            <w:r w:rsidR="00C20A9B">
              <w:rPr>
                <w:sz w:val="18"/>
                <w:szCs w:val="18"/>
                <w:lang w:val="fr-FR"/>
              </w:rPr>
              <w:t> </w:t>
            </w:r>
            <w:r w:rsidRPr="00C20A9B">
              <w:rPr>
                <w:sz w:val="18"/>
                <w:szCs w:val="18"/>
                <w:lang w:val="fr-FR"/>
              </w:rPr>
              <w:t>%</w:t>
            </w:r>
          </w:p>
        </w:tc>
      </w:tr>
      <w:tr w:rsidR="003C48D6" w:rsidRPr="00C20A9B" w14:paraId="042A48ED" w14:textId="77777777" w:rsidTr="00C20A9B">
        <w:tc>
          <w:tcPr>
            <w:tcW w:w="6521" w:type="dxa"/>
            <w:tcBorders>
              <w:bottom w:val="single" w:sz="12" w:space="0" w:color="auto"/>
            </w:tcBorders>
            <w:shd w:val="clear" w:color="auto" w:fill="auto"/>
          </w:tcPr>
          <w:p w14:paraId="20355D5E" w14:textId="77777777" w:rsidR="003C48D6" w:rsidRPr="00C20A9B" w:rsidRDefault="003C48D6" w:rsidP="00C20A9B">
            <w:pPr>
              <w:keepNext/>
              <w:suppressAutoHyphens w:val="0"/>
              <w:spacing w:before="40" w:after="40" w:line="220" w:lineRule="exact"/>
              <w:rPr>
                <w:sz w:val="18"/>
                <w:szCs w:val="18"/>
                <w:lang w:val="fr-FR"/>
              </w:rPr>
            </w:pPr>
            <w:r w:rsidRPr="00C20A9B">
              <w:rPr>
                <w:sz w:val="18"/>
                <w:szCs w:val="18"/>
                <w:lang w:val="fr-FR"/>
              </w:rPr>
              <w:t>Durée moyenne de l</w:t>
            </w:r>
            <w:r w:rsidR="00254912">
              <w:rPr>
                <w:sz w:val="18"/>
                <w:szCs w:val="18"/>
                <w:lang w:val="fr-FR"/>
              </w:rPr>
              <w:t>’</w:t>
            </w:r>
            <w:r w:rsidRPr="00C20A9B">
              <w:rPr>
                <w:sz w:val="18"/>
                <w:szCs w:val="18"/>
                <w:lang w:val="fr-FR"/>
              </w:rPr>
              <w:t xml:space="preserve">allaitement (tous types) </w:t>
            </w:r>
            <w:r w:rsidR="00A83F73">
              <w:rPr>
                <w:sz w:val="18"/>
                <w:szCs w:val="18"/>
                <w:lang w:val="fr-FR"/>
              </w:rPr>
              <w:t>−</w:t>
            </w:r>
            <w:r w:rsidRPr="00C20A9B">
              <w:rPr>
                <w:sz w:val="18"/>
                <w:szCs w:val="18"/>
                <w:lang w:val="fr-FR"/>
              </w:rPr>
              <w:t xml:space="preserve"> mois</w:t>
            </w:r>
          </w:p>
        </w:tc>
        <w:tc>
          <w:tcPr>
            <w:tcW w:w="849" w:type="dxa"/>
            <w:tcBorders>
              <w:bottom w:val="single" w:sz="12" w:space="0" w:color="auto"/>
            </w:tcBorders>
            <w:shd w:val="clear" w:color="auto" w:fill="auto"/>
            <w:vAlign w:val="bottom"/>
          </w:tcPr>
          <w:p w14:paraId="3A4BACA0" w14:textId="77777777" w:rsidR="003C48D6" w:rsidRPr="00C20A9B" w:rsidRDefault="003C48D6" w:rsidP="00C20A9B">
            <w:pPr>
              <w:keepNext/>
              <w:suppressAutoHyphens w:val="0"/>
              <w:spacing w:before="40" w:after="40" w:line="220" w:lineRule="exact"/>
              <w:jc w:val="right"/>
              <w:rPr>
                <w:sz w:val="18"/>
                <w:szCs w:val="18"/>
                <w:lang w:val="fr-FR"/>
              </w:rPr>
            </w:pPr>
            <w:r w:rsidRPr="00C20A9B">
              <w:rPr>
                <w:sz w:val="18"/>
                <w:szCs w:val="18"/>
                <w:lang w:val="fr-FR"/>
              </w:rPr>
              <w:t>12,1 mois</w:t>
            </w:r>
          </w:p>
        </w:tc>
      </w:tr>
    </w:tbl>
    <w:p w14:paraId="653C548F" w14:textId="77777777" w:rsidR="003C48D6" w:rsidRPr="00F720A6" w:rsidRDefault="003C48D6" w:rsidP="00A83F73">
      <w:pPr>
        <w:pStyle w:val="SingleTxtG"/>
        <w:spacing w:before="240"/>
        <w:rPr>
          <w:lang w:val="fr-FR"/>
        </w:rPr>
      </w:pPr>
      <w:r w:rsidRPr="00F720A6">
        <w:rPr>
          <w:lang w:val="fr-FR"/>
        </w:rPr>
        <w:t>138.</w:t>
      </w:r>
      <w:r w:rsidRPr="00F720A6">
        <w:rPr>
          <w:lang w:val="fr-FR"/>
        </w:rPr>
        <w:tab/>
        <w:t>La Commission pour la promotion et le soutien de l</w:t>
      </w:r>
      <w:r w:rsidR="00254912">
        <w:rPr>
          <w:lang w:val="fr-FR"/>
        </w:rPr>
        <w:t>’</w:t>
      </w:r>
      <w:r w:rsidRPr="00F720A6">
        <w:rPr>
          <w:lang w:val="fr-FR"/>
        </w:rPr>
        <w:t>allaitement maternel est l</w:t>
      </w:r>
      <w:r w:rsidR="00254912">
        <w:rPr>
          <w:lang w:val="fr-FR"/>
        </w:rPr>
        <w:t>’</w:t>
      </w:r>
      <w:r w:rsidRPr="00F720A6">
        <w:rPr>
          <w:lang w:val="fr-FR"/>
        </w:rPr>
        <w:t>organisme national responsable de la coordination des activités dans ce domaine. En outre, des actions sont menées dans le cadre du programme « Répandre les soins de santé pour les mères et les enfants » du Ministère de la santé, destiné à promouvoir et protéger l</w:t>
      </w:r>
      <w:r w:rsidR="00254912">
        <w:rPr>
          <w:lang w:val="fr-FR"/>
        </w:rPr>
        <w:t>’</w:t>
      </w:r>
      <w:r w:rsidRPr="00F720A6">
        <w:rPr>
          <w:lang w:val="fr-FR"/>
        </w:rPr>
        <w:t>allaitement maternel, former le personnel de santé, organiser des manifestations pour marquer la Semaine mondiale de l</w:t>
      </w:r>
      <w:r w:rsidR="00254912">
        <w:rPr>
          <w:lang w:val="fr-FR"/>
        </w:rPr>
        <w:t>’</w:t>
      </w:r>
      <w:r w:rsidRPr="00F720A6">
        <w:rPr>
          <w:lang w:val="fr-FR"/>
        </w:rPr>
        <w:t>allaitement maternel et préparer des documents d</w:t>
      </w:r>
      <w:r w:rsidR="00254912">
        <w:rPr>
          <w:lang w:val="fr-FR"/>
        </w:rPr>
        <w:t>’</w:t>
      </w:r>
      <w:r w:rsidRPr="00F720A6">
        <w:rPr>
          <w:lang w:val="fr-FR"/>
        </w:rPr>
        <w:t>information (Brochure pour les parents sur l</w:t>
      </w:r>
      <w:r w:rsidR="00254912">
        <w:rPr>
          <w:lang w:val="fr-FR"/>
        </w:rPr>
        <w:t>’</w:t>
      </w:r>
      <w:r w:rsidRPr="00F720A6">
        <w:rPr>
          <w:lang w:val="fr-FR"/>
        </w:rPr>
        <w:t xml:space="preserve">allaitement maternel). </w:t>
      </w:r>
    </w:p>
    <w:p w14:paraId="5684CF16" w14:textId="77777777" w:rsidR="003C48D6" w:rsidRPr="00F720A6" w:rsidRDefault="003C48D6" w:rsidP="00C20A9B">
      <w:pPr>
        <w:pStyle w:val="SingleTxtG"/>
        <w:rPr>
          <w:lang w:val="fr-FR"/>
        </w:rPr>
      </w:pPr>
      <w:r w:rsidRPr="00F720A6">
        <w:rPr>
          <w:lang w:val="fr-FR"/>
        </w:rPr>
        <w:t>139.</w:t>
      </w:r>
      <w:r w:rsidRPr="00F720A6">
        <w:rPr>
          <w:lang w:val="fr-FR"/>
        </w:rPr>
        <w:tab/>
        <w:t>La législation existante en matière de maternité favorise la maternité tant en ce qui concerne la durée du congé de maternité qu</w:t>
      </w:r>
      <w:r w:rsidR="00254912">
        <w:rPr>
          <w:lang w:val="fr-FR"/>
        </w:rPr>
        <w:t>’</w:t>
      </w:r>
      <w:r w:rsidRPr="00F720A6">
        <w:rPr>
          <w:lang w:val="fr-FR"/>
        </w:rPr>
        <w:t>elle autorise que le droit à l</w:t>
      </w:r>
      <w:r w:rsidR="00254912">
        <w:rPr>
          <w:lang w:val="fr-FR"/>
        </w:rPr>
        <w:t>’</w:t>
      </w:r>
      <w:r w:rsidRPr="00F720A6">
        <w:rPr>
          <w:lang w:val="fr-FR"/>
        </w:rPr>
        <w:t>allaitement maternel qu</w:t>
      </w:r>
      <w:r w:rsidR="00254912">
        <w:rPr>
          <w:lang w:val="fr-FR"/>
        </w:rPr>
        <w:t>’</w:t>
      </w:r>
      <w:r w:rsidRPr="00F720A6">
        <w:rPr>
          <w:lang w:val="fr-FR"/>
        </w:rPr>
        <w:t>elle garantit aux mères salariées (réglementé par la loi sur les relations patronat</w:t>
      </w:r>
      <w:r w:rsidR="00A83F73">
        <w:rPr>
          <w:lang w:val="fr-FR"/>
        </w:rPr>
        <w:noBreakHyphen/>
      </w:r>
      <w:r w:rsidRPr="00F720A6">
        <w:rPr>
          <w:lang w:val="fr-FR"/>
        </w:rPr>
        <w:t>syndicats). Le Règlement sur les prescriptions minimales de sécurité et de santé au travail pour les travailleuses enceintes, récemment accouchées ou allaitantes, s</w:t>
      </w:r>
      <w:r w:rsidR="00254912">
        <w:rPr>
          <w:lang w:val="fr-FR"/>
        </w:rPr>
        <w:t>’</w:t>
      </w:r>
      <w:r w:rsidRPr="00F720A6">
        <w:rPr>
          <w:lang w:val="fr-FR"/>
        </w:rPr>
        <w:t>applique également aux mères allaitantes employées, et établit une liste de facteurs nocifs et de conditions de travail auxquels elles ne devraient pas et ne doivent pas être exposées.</w:t>
      </w:r>
    </w:p>
    <w:p w14:paraId="4009505D" w14:textId="77777777" w:rsidR="003C48D6" w:rsidRPr="00F720A6" w:rsidRDefault="003C48D6" w:rsidP="00C20A9B">
      <w:pPr>
        <w:pStyle w:val="SingleTxtG"/>
        <w:rPr>
          <w:lang w:val="fr-FR"/>
        </w:rPr>
      </w:pPr>
      <w:r w:rsidRPr="00F720A6">
        <w:rPr>
          <w:lang w:val="fr-FR"/>
        </w:rPr>
        <w:t>140.</w:t>
      </w:r>
      <w:r w:rsidRPr="00F720A6">
        <w:rPr>
          <w:lang w:val="fr-FR"/>
        </w:rPr>
        <w:tab/>
        <w:t>En outre, un Plan d</w:t>
      </w:r>
      <w:r w:rsidR="00254912">
        <w:rPr>
          <w:lang w:val="fr-FR"/>
        </w:rPr>
        <w:t>’</w:t>
      </w:r>
      <w:r w:rsidRPr="00F720A6">
        <w:rPr>
          <w:lang w:val="fr-FR"/>
        </w:rPr>
        <w:t>action 2018-2020 pour la promotion de l</w:t>
      </w:r>
      <w:r w:rsidR="00254912">
        <w:rPr>
          <w:lang w:val="fr-FR"/>
        </w:rPr>
        <w:t>’</w:t>
      </w:r>
      <w:r w:rsidRPr="00F720A6">
        <w:rPr>
          <w:lang w:val="fr-FR"/>
        </w:rPr>
        <w:t>allaitement maternel a été préparé, afin de promouvoir la santé des nourrissons, des jeunes enfants et des mères et offre des conditions optimales pour débuter et poursuivre l</w:t>
      </w:r>
      <w:r w:rsidR="00254912">
        <w:rPr>
          <w:lang w:val="fr-FR"/>
        </w:rPr>
        <w:t>’</w:t>
      </w:r>
      <w:r w:rsidRPr="00F720A6">
        <w:rPr>
          <w:lang w:val="fr-FR"/>
        </w:rPr>
        <w:t>allaitement maternel. Des</w:t>
      </w:r>
      <w:r w:rsidR="00A83F73">
        <w:rPr>
          <w:lang w:val="fr-FR"/>
        </w:rPr>
        <w:t> </w:t>
      </w:r>
      <w:r w:rsidRPr="00F720A6">
        <w:rPr>
          <w:lang w:val="fr-FR"/>
        </w:rPr>
        <w:t>procédures opérationnelles stratégiques sur l</w:t>
      </w:r>
      <w:r w:rsidR="00254912">
        <w:rPr>
          <w:lang w:val="fr-FR"/>
        </w:rPr>
        <w:t>’</w:t>
      </w:r>
      <w:r w:rsidRPr="00F720A6">
        <w:rPr>
          <w:lang w:val="fr-FR"/>
        </w:rPr>
        <w:t>allaitement maternel et l</w:t>
      </w:r>
      <w:r w:rsidR="00254912">
        <w:rPr>
          <w:lang w:val="fr-FR"/>
        </w:rPr>
        <w:t>’</w:t>
      </w:r>
      <w:r w:rsidRPr="00F720A6">
        <w:rPr>
          <w:lang w:val="fr-FR"/>
        </w:rPr>
        <w:t>alimentation des nourrissons et des jeunes enfants en situation de crise ont également été élaborées (2016) et les professionnels de la santé ont reçu une formation sur leur application pratique.</w:t>
      </w:r>
      <w:bookmarkStart w:id="50" w:name="_Hlk56690414"/>
      <w:bookmarkEnd w:id="50"/>
    </w:p>
    <w:p w14:paraId="405CE3AA" w14:textId="77777777" w:rsidR="003C48D6" w:rsidRPr="00F720A6" w:rsidRDefault="003C48D6" w:rsidP="00C20A9B">
      <w:pPr>
        <w:pStyle w:val="H23G"/>
        <w:rPr>
          <w:lang w:val="fr-FR"/>
        </w:rPr>
      </w:pPr>
      <w:r w:rsidRPr="00F720A6">
        <w:rPr>
          <w:lang w:val="fr-FR"/>
        </w:rPr>
        <w:tab/>
        <w:t>b)</w:t>
      </w:r>
      <w:r w:rsidRPr="00F720A6">
        <w:rPr>
          <w:lang w:val="fr-FR"/>
        </w:rPr>
        <w:tab/>
        <w:t xml:space="preserve">Mesures prises pour combattre les problèmes les plus courants dans le domaine </w:t>
      </w:r>
      <w:r w:rsidR="00C20A9B">
        <w:rPr>
          <w:lang w:val="fr-FR"/>
        </w:rPr>
        <w:br/>
      </w:r>
      <w:r w:rsidRPr="00F720A6">
        <w:rPr>
          <w:lang w:val="fr-FR"/>
        </w:rPr>
        <w:t>de la santé, pour promouvoir la santé physique et mentale et le bien-être des enfants, et pour prévenir et combattre les maladies transmissibles ou non transmissibles</w:t>
      </w:r>
      <w:bookmarkStart w:id="51" w:name="_Toc56781452"/>
      <w:bookmarkEnd w:id="51"/>
    </w:p>
    <w:p w14:paraId="4696CF78" w14:textId="77777777" w:rsidR="003C48D6" w:rsidRPr="00F720A6" w:rsidRDefault="003C48D6" w:rsidP="00C20A9B">
      <w:pPr>
        <w:pStyle w:val="SingleTxtG"/>
        <w:rPr>
          <w:lang w:val="fr-FR"/>
        </w:rPr>
      </w:pPr>
      <w:r w:rsidRPr="00F720A6">
        <w:rPr>
          <w:lang w:val="fr-FR"/>
        </w:rPr>
        <w:t>141.</w:t>
      </w:r>
      <w:r w:rsidRPr="00F720A6">
        <w:rPr>
          <w:lang w:val="fr-FR"/>
        </w:rPr>
        <w:tab/>
        <w:t>La dernière estimation démographique</w:t>
      </w:r>
      <w:r w:rsidRPr="002A465A">
        <w:rPr>
          <w:rStyle w:val="Appelnotedebasdep"/>
        </w:rPr>
        <w:footnoteReference w:id="36"/>
      </w:r>
      <w:r w:rsidRPr="00F720A6">
        <w:rPr>
          <w:lang w:val="fr-FR"/>
        </w:rPr>
        <w:t xml:space="preserve"> a établi à 21,6 % du total de la population le nombre d</w:t>
      </w:r>
      <w:r w:rsidR="00254912">
        <w:rPr>
          <w:lang w:val="fr-FR"/>
        </w:rPr>
        <w:t>’</w:t>
      </w:r>
      <w:r w:rsidRPr="00F720A6">
        <w:rPr>
          <w:lang w:val="fr-FR"/>
        </w:rPr>
        <w:t xml:space="preserve">enfants âgés de 0 à 18 ans, dont 7,8 % de 0 à 6 ans. Les services de soins de santé préventive, qui visent à améliorer la santé des enfants de 0 à 6 ans, ont été centrés sur le suivi de leur croissance et de leur développement, ainsi que sur leur protection contre les maladies </w:t>
      </w:r>
      <w:r w:rsidRPr="00F720A6">
        <w:rPr>
          <w:lang w:val="fr-FR"/>
        </w:rPr>
        <w:lastRenderedPageBreak/>
        <w:t>transmissibles, le tout étant réalisé par des équipes de prévention et de soutien familial, chargées de la promotion de la santé avec l</w:t>
      </w:r>
      <w:r w:rsidR="00254912">
        <w:rPr>
          <w:lang w:val="fr-FR"/>
        </w:rPr>
        <w:t>’</w:t>
      </w:r>
      <w:r w:rsidRPr="00F720A6">
        <w:rPr>
          <w:lang w:val="fr-FR"/>
        </w:rPr>
        <w:t>aide du service public des soins infirmiers. Les</w:t>
      </w:r>
      <w:r w:rsidR="00A83F73">
        <w:rPr>
          <w:lang w:val="fr-FR"/>
        </w:rPr>
        <w:t> </w:t>
      </w:r>
      <w:r w:rsidRPr="00F720A6">
        <w:rPr>
          <w:lang w:val="fr-FR"/>
        </w:rPr>
        <w:t>soins de santé et le traitement des enfants malades sont assurés par des médecins généralistes/pédiatres.</w:t>
      </w:r>
    </w:p>
    <w:p w14:paraId="22A1F8DA" w14:textId="77777777" w:rsidR="003C48D6" w:rsidRPr="00F720A6" w:rsidRDefault="003C48D6" w:rsidP="001F4CA2">
      <w:pPr>
        <w:pStyle w:val="Titre1"/>
        <w:spacing w:after="120"/>
        <w:rPr>
          <w:rStyle w:val="Appelnotedebasdep"/>
          <w:lang w:val="fr-FR"/>
        </w:rPr>
      </w:pPr>
      <w:r w:rsidRPr="00F720A6">
        <w:rPr>
          <w:lang w:val="fr-FR"/>
        </w:rPr>
        <w:t>Tableau 6</w:t>
      </w:r>
      <w:r w:rsidRPr="00F720A6">
        <w:rPr>
          <w:lang w:val="fr-FR"/>
        </w:rPr>
        <w:br/>
      </w:r>
      <w:r w:rsidRPr="00C20A9B">
        <w:rPr>
          <w:b/>
          <w:bCs/>
          <w:lang w:val="fr-FR"/>
        </w:rPr>
        <w:t>Taux de mortalité infantile et de mortalité des enfants jusqu</w:t>
      </w:r>
      <w:r w:rsidR="00254912">
        <w:rPr>
          <w:b/>
          <w:bCs/>
          <w:lang w:val="fr-FR"/>
        </w:rPr>
        <w:t>’</w:t>
      </w:r>
      <w:r w:rsidRPr="00C20A9B">
        <w:rPr>
          <w:b/>
          <w:bCs/>
          <w:lang w:val="fr-FR"/>
        </w:rPr>
        <w:t xml:space="preserve">à 5 ans </w:t>
      </w:r>
      <w:r w:rsidR="00C20A9B">
        <w:rPr>
          <w:b/>
          <w:bCs/>
          <w:lang w:val="fr-FR"/>
        </w:rPr>
        <w:br/>
      </w:r>
      <w:r w:rsidRPr="00C20A9B">
        <w:rPr>
          <w:b/>
          <w:bCs/>
          <w:lang w:val="fr-FR"/>
        </w:rPr>
        <w:t>(pour 1 000 naissances vivantes) (2011-2016)</w:t>
      </w:r>
      <w:r w:rsidRPr="002A465A">
        <w:rPr>
          <w:rStyle w:val="Appelnotedebasdep"/>
        </w:rPr>
        <w:footnoteReference w:id="37"/>
      </w:r>
      <w:bookmarkStart w:id="52" w:name="_Toc56781453"/>
      <w:bookmarkEnd w:id="52"/>
    </w:p>
    <w:tbl>
      <w:tblPr>
        <w:tblW w:w="7370" w:type="dxa"/>
        <w:tblInd w:w="1134" w:type="dxa"/>
        <w:tblLayout w:type="fixed"/>
        <w:tblCellMar>
          <w:left w:w="0" w:type="dxa"/>
          <w:right w:w="0" w:type="dxa"/>
        </w:tblCellMar>
        <w:tblLook w:val="00A0" w:firstRow="1" w:lastRow="0" w:firstColumn="1" w:lastColumn="0" w:noHBand="0" w:noVBand="0"/>
      </w:tblPr>
      <w:tblGrid>
        <w:gridCol w:w="2977"/>
        <w:gridCol w:w="851"/>
        <w:gridCol w:w="708"/>
        <w:gridCol w:w="709"/>
        <w:gridCol w:w="709"/>
        <w:gridCol w:w="709"/>
        <w:gridCol w:w="707"/>
      </w:tblGrid>
      <w:tr w:rsidR="003C48D6" w:rsidRPr="00C20A9B" w14:paraId="012C1B48" w14:textId="77777777" w:rsidTr="00C20A9B">
        <w:trPr>
          <w:tblHeader/>
        </w:trPr>
        <w:tc>
          <w:tcPr>
            <w:tcW w:w="2977" w:type="dxa"/>
            <w:tcBorders>
              <w:top w:val="single" w:sz="4" w:space="0" w:color="auto"/>
              <w:bottom w:val="single" w:sz="12" w:space="0" w:color="auto"/>
            </w:tcBorders>
            <w:shd w:val="clear" w:color="auto" w:fill="auto"/>
            <w:vAlign w:val="bottom"/>
          </w:tcPr>
          <w:p w14:paraId="3AD476E5" w14:textId="77777777" w:rsidR="003C48D6" w:rsidRPr="00C20A9B" w:rsidRDefault="003C48D6" w:rsidP="00C20A9B">
            <w:pPr>
              <w:suppressAutoHyphens w:val="0"/>
              <w:spacing w:before="80" w:after="80" w:line="200" w:lineRule="exact"/>
              <w:rPr>
                <w:bCs/>
                <w:i/>
                <w:sz w:val="16"/>
                <w:lang w:val="fr-FR"/>
              </w:rPr>
            </w:pPr>
            <w:r w:rsidRPr="00C20A9B">
              <w:rPr>
                <w:i/>
                <w:sz w:val="16"/>
                <w:lang w:val="fr-FR"/>
              </w:rPr>
              <w:t>Indicateur</w:t>
            </w:r>
          </w:p>
        </w:tc>
        <w:tc>
          <w:tcPr>
            <w:tcW w:w="851" w:type="dxa"/>
            <w:tcBorders>
              <w:top w:val="single" w:sz="4" w:space="0" w:color="auto"/>
              <w:bottom w:val="single" w:sz="12" w:space="0" w:color="auto"/>
            </w:tcBorders>
            <w:shd w:val="clear" w:color="auto" w:fill="auto"/>
            <w:vAlign w:val="bottom"/>
          </w:tcPr>
          <w:p w14:paraId="03E215C6" w14:textId="77777777" w:rsidR="003C48D6" w:rsidRPr="00C20A9B" w:rsidRDefault="003C48D6" w:rsidP="00C20A9B">
            <w:pPr>
              <w:suppressAutoHyphens w:val="0"/>
              <w:spacing w:before="80" w:after="80" w:line="200" w:lineRule="exact"/>
              <w:jc w:val="right"/>
              <w:rPr>
                <w:bCs/>
                <w:i/>
                <w:sz w:val="16"/>
                <w:lang w:val="fr-FR"/>
              </w:rPr>
            </w:pPr>
            <w:r w:rsidRPr="00C20A9B">
              <w:rPr>
                <w:i/>
                <w:sz w:val="16"/>
                <w:lang w:val="fr-FR"/>
              </w:rPr>
              <w:t>2011</w:t>
            </w:r>
          </w:p>
        </w:tc>
        <w:tc>
          <w:tcPr>
            <w:tcW w:w="708" w:type="dxa"/>
            <w:tcBorders>
              <w:top w:val="single" w:sz="4" w:space="0" w:color="auto"/>
              <w:bottom w:val="single" w:sz="12" w:space="0" w:color="auto"/>
            </w:tcBorders>
            <w:shd w:val="clear" w:color="auto" w:fill="auto"/>
            <w:vAlign w:val="bottom"/>
          </w:tcPr>
          <w:p w14:paraId="1369F399" w14:textId="77777777" w:rsidR="003C48D6" w:rsidRPr="00C20A9B" w:rsidRDefault="003C48D6" w:rsidP="00C20A9B">
            <w:pPr>
              <w:suppressAutoHyphens w:val="0"/>
              <w:spacing w:before="80" w:after="80" w:line="200" w:lineRule="exact"/>
              <w:jc w:val="right"/>
              <w:rPr>
                <w:bCs/>
                <w:i/>
                <w:sz w:val="16"/>
                <w:lang w:val="fr-FR"/>
              </w:rPr>
            </w:pPr>
            <w:r w:rsidRPr="00C20A9B">
              <w:rPr>
                <w:i/>
                <w:sz w:val="16"/>
                <w:lang w:val="fr-FR"/>
              </w:rPr>
              <w:t>2012</w:t>
            </w:r>
          </w:p>
        </w:tc>
        <w:tc>
          <w:tcPr>
            <w:tcW w:w="709" w:type="dxa"/>
            <w:tcBorders>
              <w:top w:val="single" w:sz="4" w:space="0" w:color="auto"/>
              <w:bottom w:val="single" w:sz="12" w:space="0" w:color="auto"/>
            </w:tcBorders>
            <w:shd w:val="clear" w:color="auto" w:fill="auto"/>
            <w:vAlign w:val="bottom"/>
          </w:tcPr>
          <w:p w14:paraId="62B2DD91" w14:textId="77777777" w:rsidR="003C48D6" w:rsidRPr="00C20A9B" w:rsidRDefault="003C48D6" w:rsidP="00C20A9B">
            <w:pPr>
              <w:suppressAutoHyphens w:val="0"/>
              <w:spacing w:before="80" w:after="80" w:line="200" w:lineRule="exact"/>
              <w:jc w:val="right"/>
              <w:rPr>
                <w:bCs/>
                <w:i/>
                <w:sz w:val="16"/>
                <w:lang w:val="fr-FR"/>
              </w:rPr>
            </w:pPr>
            <w:r w:rsidRPr="00C20A9B">
              <w:rPr>
                <w:i/>
                <w:sz w:val="16"/>
                <w:lang w:val="fr-FR"/>
              </w:rPr>
              <w:t>2013</w:t>
            </w:r>
          </w:p>
        </w:tc>
        <w:tc>
          <w:tcPr>
            <w:tcW w:w="709" w:type="dxa"/>
            <w:tcBorders>
              <w:top w:val="single" w:sz="4" w:space="0" w:color="auto"/>
              <w:bottom w:val="single" w:sz="12" w:space="0" w:color="auto"/>
            </w:tcBorders>
            <w:shd w:val="clear" w:color="auto" w:fill="auto"/>
            <w:vAlign w:val="bottom"/>
          </w:tcPr>
          <w:p w14:paraId="02EAEB3B" w14:textId="77777777" w:rsidR="003C48D6" w:rsidRPr="00C20A9B" w:rsidRDefault="003C48D6" w:rsidP="00C20A9B">
            <w:pPr>
              <w:suppressAutoHyphens w:val="0"/>
              <w:spacing w:before="80" w:after="80" w:line="200" w:lineRule="exact"/>
              <w:jc w:val="right"/>
              <w:rPr>
                <w:bCs/>
                <w:i/>
                <w:sz w:val="16"/>
                <w:lang w:val="fr-FR"/>
              </w:rPr>
            </w:pPr>
            <w:r w:rsidRPr="00C20A9B">
              <w:rPr>
                <w:i/>
                <w:sz w:val="16"/>
                <w:lang w:val="fr-FR"/>
              </w:rPr>
              <w:t>2014</w:t>
            </w:r>
          </w:p>
        </w:tc>
        <w:tc>
          <w:tcPr>
            <w:tcW w:w="709" w:type="dxa"/>
            <w:tcBorders>
              <w:top w:val="single" w:sz="4" w:space="0" w:color="auto"/>
              <w:bottom w:val="single" w:sz="12" w:space="0" w:color="auto"/>
            </w:tcBorders>
            <w:shd w:val="clear" w:color="auto" w:fill="auto"/>
            <w:vAlign w:val="bottom"/>
          </w:tcPr>
          <w:p w14:paraId="094EEAF6" w14:textId="77777777" w:rsidR="003C48D6" w:rsidRPr="00C20A9B" w:rsidRDefault="003C48D6" w:rsidP="00C20A9B">
            <w:pPr>
              <w:suppressAutoHyphens w:val="0"/>
              <w:spacing w:before="80" w:after="80" w:line="200" w:lineRule="exact"/>
              <w:jc w:val="right"/>
              <w:rPr>
                <w:bCs/>
                <w:i/>
                <w:sz w:val="16"/>
                <w:lang w:val="fr-FR"/>
              </w:rPr>
            </w:pPr>
            <w:r w:rsidRPr="00C20A9B">
              <w:rPr>
                <w:i/>
                <w:sz w:val="16"/>
                <w:lang w:val="fr-FR"/>
              </w:rPr>
              <w:t>2015</w:t>
            </w:r>
          </w:p>
        </w:tc>
        <w:tc>
          <w:tcPr>
            <w:tcW w:w="707" w:type="dxa"/>
            <w:tcBorders>
              <w:top w:val="single" w:sz="4" w:space="0" w:color="auto"/>
              <w:bottom w:val="single" w:sz="12" w:space="0" w:color="auto"/>
            </w:tcBorders>
            <w:shd w:val="clear" w:color="auto" w:fill="auto"/>
            <w:vAlign w:val="bottom"/>
          </w:tcPr>
          <w:p w14:paraId="33989F82" w14:textId="77777777" w:rsidR="003C48D6" w:rsidRPr="00C20A9B" w:rsidRDefault="003C48D6" w:rsidP="00C20A9B">
            <w:pPr>
              <w:suppressAutoHyphens w:val="0"/>
              <w:spacing w:before="80" w:after="80" w:line="200" w:lineRule="exact"/>
              <w:jc w:val="right"/>
              <w:rPr>
                <w:bCs/>
                <w:i/>
                <w:sz w:val="16"/>
                <w:lang w:val="fr-FR"/>
              </w:rPr>
            </w:pPr>
            <w:r w:rsidRPr="00C20A9B">
              <w:rPr>
                <w:i/>
                <w:sz w:val="16"/>
                <w:lang w:val="fr-FR"/>
              </w:rPr>
              <w:t>2016</w:t>
            </w:r>
          </w:p>
        </w:tc>
      </w:tr>
      <w:tr w:rsidR="003C48D6" w:rsidRPr="00C20A9B" w14:paraId="233F5AEB" w14:textId="77777777" w:rsidTr="00C20A9B">
        <w:tc>
          <w:tcPr>
            <w:tcW w:w="2977" w:type="dxa"/>
            <w:tcBorders>
              <w:top w:val="single" w:sz="12" w:space="0" w:color="auto"/>
            </w:tcBorders>
            <w:shd w:val="clear" w:color="auto" w:fill="auto"/>
          </w:tcPr>
          <w:p w14:paraId="141F5451" w14:textId="77777777" w:rsidR="003C48D6" w:rsidRPr="00C20A9B" w:rsidRDefault="003C48D6" w:rsidP="00C20A9B">
            <w:pPr>
              <w:suppressAutoHyphens w:val="0"/>
              <w:spacing w:before="40" w:after="40" w:line="220" w:lineRule="exact"/>
              <w:rPr>
                <w:sz w:val="18"/>
                <w:szCs w:val="18"/>
                <w:lang w:val="fr-FR"/>
              </w:rPr>
            </w:pPr>
            <w:r w:rsidRPr="00C20A9B">
              <w:rPr>
                <w:sz w:val="18"/>
                <w:szCs w:val="18"/>
                <w:lang w:val="fr-FR"/>
              </w:rPr>
              <w:t xml:space="preserve">Taux de mortalité infantile </w:t>
            </w:r>
            <w:r w:rsidR="00DA1E01">
              <w:rPr>
                <w:sz w:val="18"/>
                <w:szCs w:val="18"/>
                <w:lang w:val="fr-FR"/>
              </w:rPr>
              <w:br/>
            </w:r>
            <w:r w:rsidRPr="00C20A9B">
              <w:rPr>
                <w:sz w:val="18"/>
                <w:szCs w:val="18"/>
                <w:lang w:val="fr-FR"/>
              </w:rPr>
              <w:t>(pour 1 000 naissances vivantes)</w:t>
            </w:r>
          </w:p>
        </w:tc>
        <w:tc>
          <w:tcPr>
            <w:tcW w:w="851" w:type="dxa"/>
            <w:tcBorders>
              <w:top w:val="single" w:sz="12" w:space="0" w:color="auto"/>
            </w:tcBorders>
            <w:shd w:val="clear" w:color="auto" w:fill="auto"/>
            <w:vAlign w:val="bottom"/>
          </w:tcPr>
          <w:p w14:paraId="10F25746" w14:textId="77777777" w:rsidR="003C48D6" w:rsidRPr="00C20A9B" w:rsidRDefault="003C48D6" w:rsidP="00C20A9B">
            <w:pPr>
              <w:suppressAutoHyphens w:val="0"/>
              <w:spacing w:before="40" w:after="40" w:line="220" w:lineRule="exact"/>
              <w:jc w:val="right"/>
              <w:rPr>
                <w:sz w:val="18"/>
                <w:szCs w:val="18"/>
                <w:lang w:val="fr-FR"/>
              </w:rPr>
            </w:pPr>
            <w:r w:rsidRPr="00C20A9B">
              <w:rPr>
                <w:sz w:val="18"/>
                <w:szCs w:val="18"/>
                <w:lang w:val="fr-FR"/>
              </w:rPr>
              <w:t>7,5</w:t>
            </w:r>
          </w:p>
        </w:tc>
        <w:tc>
          <w:tcPr>
            <w:tcW w:w="708" w:type="dxa"/>
            <w:tcBorders>
              <w:top w:val="single" w:sz="12" w:space="0" w:color="auto"/>
            </w:tcBorders>
            <w:shd w:val="clear" w:color="auto" w:fill="auto"/>
            <w:vAlign w:val="bottom"/>
          </w:tcPr>
          <w:p w14:paraId="3C0AC35D" w14:textId="77777777" w:rsidR="003C48D6" w:rsidRPr="00C20A9B" w:rsidRDefault="003C48D6" w:rsidP="00C20A9B">
            <w:pPr>
              <w:suppressAutoHyphens w:val="0"/>
              <w:spacing w:before="40" w:after="40" w:line="220" w:lineRule="exact"/>
              <w:jc w:val="right"/>
              <w:rPr>
                <w:sz w:val="18"/>
                <w:szCs w:val="18"/>
                <w:lang w:val="fr-FR"/>
              </w:rPr>
            </w:pPr>
            <w:r w:rsidRPr="00C20A9B">
              <w:rPr>
                <w:sz w:val="18"/>
                <w:szCs w:val="18"/>
                <w:lang w:val="fr-FR"/>
              </w:rPr>
              <w:t>9,7</w:t>
            </w:r>
          </w:p>
        </w:tc>
        <w:tc>
          <w:tcPr>
            <w:tcW w:w="709" w:type="dxa"/>
            <w:tcBorders>
              <w:top w:val="single" w:sz="12" w:space="0" w:color="auto"/>
            </w:tcBorders>
            <w:shd w:val="clear" w:color="auto" w:fill="auto"/>
            <w:vAlign w:val="bottom"/>
          </w:tcPr>
          <w:p w14:paraId="03F5A3B3" w14:textId="77777777" w:rsidR="003C48D6" w:rsidRPr="00C20A9B" w:rsidRDefault="003C48D6" w:rsidP="00C20A9B">
            <w:pPr>
              <w:suppressAutoHyphens w:val="0"/>
              <w:spacing w:before="40" w:after="40" w:line="220" w:lineRule="exact"/>
              <w:jc w:val="right"/>
              <w:rPr>
                <w:sz w:val="18"/>
                <w:szCs w:val="18"/>
                <w:lang w:val="fr-FR"/>
              </w:rPr>
            </w:pPr>
            <w:r w:rsidRPr="00C20A9B">
              <w:rPr>
                <w:sz w:val="18"/>
                <w:szCs w:val="18"/>
                <w:lang w:val="fr-FR"/>
              </w:rPr>
              <w:t>10,2</w:t>
            </w:r>
          </w:p>
        </w:tc>
        <w:tc>
          <w:tcPr>
            <w:tcW w:w="709" w:type="dxa"/>
            <w:tcBorders>
              <w:top w:val="single" w:sz="12" w:space="0" w:color="auto"/>
            </w:tcBorders>
            <w:shd w:val="clear" w:color="auto" w:fill="auto"/>
            <w:vAlign w:val="bottom"/>
          </w:tcPr>
          <w:p w14:paraId="0195C680" w14:textId="77777777" w:rsidR="003C48D6" w:rsidRPr="00C20A9B" w:rsidRDefault="003C48D6" w:rsidP="00C20A9B">
            <w:pPr>
              <w:suppressAutoHyphens w:val="0"/>
              <w:spacing w:before="40" w:after="40" w:line="220" w:lineRule="exact"/>
              <w:jc w:val="right"/>
              <w:rPr>
                <w:sz w:val="18"/>
                <w:szCs w:val="18"/>
                <w:lang w:val="fr-FR"/>
              </w:rPr>
            </w:pPr>
            <w:r w:rsidRPr="00C20A9B">
              <w:rPr>
                <w:sz w:val="18"/>
                <w:szCs w:val="18"/>
                <w:lang w:val="fr-FR"/>
              </w:rPr>
              <w:t>9,9</w:t>
            </w:r>
          </w:p>
        </w:tc>
        <w:tc>
          <w:tcPr>
            <w:tcW w:w="709" w:type="dxa"/>
            <w:tcBorders>
              <w:top w:val="single" w:sz="12" w:space="0" w:color="auto"/>
            </w:tcBorders>
            <w:shd w:val="clear" w:color="auto" w:fill="auto"/>
            <w:vAlign w:val="bottom"/>
          </w:tcPr>
          <w:p w14:paraId="69ECC004" w14:textId="77777777" w:rsidR="003C48D6" w:rsidRPr="00C20A9B" w:rsidRDefault="003C48D6" w:rsidP="00C20A9B">
            <w:pPr>
              <w:suppressAutoHyphens w:val="0"/>
              <w:spacing w:before="40" w:after="40" w:line="220" w:lineRule="exact"/>
              <w:jc w:val="right"/>
              <w:rPr>
                <w:sz w:val="18"/>
                <w:szCs w:val="18"/>
                <w:lang w:val="fr-FR"/>
              </w:rPr>
            </w:pPr>
            <w:r w:rsidRPr="00C20A9B">
              <w:rPr>
                <w:sz w:val="18"/>
                <w:szCs w:val="18"/>
                <w:lang w:val="fr-FR"/>
              </w:rPr>
              <w:t>8,6</w:t>
            </w:r>
          </w:p>
        </w:tc>
        <w:tc>
          <w:tcPr>
            <w:tcW w:w="707" w:type="dxa"/>
            <w:tcBorders>
              <w:top w:val="single" w:sz="12" w:space="0" w:color="auto"/>
            </w:tcBorders>
            <w:shd w:val="clear" w:color="auto" w:fill="auto"/>
            <w:vAlign w:val="bottom"/>
          </w:tcPr>
          <w:p w14:paraId="3A8F370A" w14:textId="77777777" w:rsidR="003C48D6" w:rsidRPr="00C20A9B" w:rsidRDefault="003C48D6" w:rsidP="00C20A9B">
            <w:pPr>
              <w:suppressAutoHyphens w:val="0"/>
              <w:spacing w:before="40" w:after="40" w:line="220" w:lineRule="exact"/>
              <w:jc w:val="right"/>
              <w:rPr>
                <w:sz w:val="18"/>
                <w:szCs w:val="18"/>
                <w:lang w:val="fr-FR"/>
              </w:rPr>
            </w:pPr>
            <w:r w:rsidRPr="00C20A9B">
              <w:rPr>
                <w:sz w:val="18"/>
                <w:szCs w:val="18"/>
                <w:lang w:val="fr-FR"/>
              </w:rPr>
              <w:t>11,9</w:t>
            </w:r>
          </w:p>
        </w:tc>
      </w:tr>
      <w:tr w:rsidR="003C48D6" w:rsidRPr="00C20A9B" w14:paraId="3C6E0F02" w14:textId="77777777" w:rsidTr="00C20A9B">
        <w:tc>
          <w:tcPr>
            <w:tcW w:w="2977" w:type="dxa"/>
            <w:tcBorders>
              <w:bottom w:val="single" w:sz="12" w:space="0" w:color="auto"/>
            </w:tcBorders>
            <w:shd w:val="clear" w:color="auto" w:fill="auto"/>
          </w:tcPr>
          <w:p w14:paraId="508FAC82" w14:textId="77777777" w:rsidR="003C48D6" w:rsidRPr="00C20A9B" w:rsidRDefault="003C48D6" w:rsidP="00C20A9B">
            <w:pPr>
              <w:suppressAutoHyphens w:val="0"/>
              <w:spacing w:before="40" w:after="40" w:line="220" w:lineRule="exact"/>
              <w:rPr>
                <w:sz w:val="18"/>
                <w:szCs w:val="18"/>
                <w:lang w:val="fr-FR"/>
              </w:rPr>
            </w:pPr>
            <w:r w:rsidRPr="00C20A9B">
              <w:rPr>
                <w:sz w:val="18"/>
                <w:szCs w:val="18"/>
                <w:lang w:val="fr-FR"/>
              </w:rPr>
              <w:t>Taux de mortalité des enfants jusqu</w:t>
            </w:r>
            <w:r w:rsidR="00254912">
              <w:rPr>
                <w:sz w:val="18"/>
                <w:szCs w:val="18"/>
                <w:lang w:val="fr-FR"/>
              </w:rPr>
              <w:t>’</w:t>
            </w:r>
            <w:r w:rsidRPr="00C20A9B">
              <w:rPr>
                <w:sz w:val="18"/>
                <w:szCs w:val="18"/>
                <w:lang w:val="fr-FR"/>
              </w:rPr>
              <w:t>à 5 ans (pour 1 000 naissances vivantes)</w:t>
            </w:r>
          </w:p>
        </w:tc>
        <w:tc>
          <w:tcPr>
            <w:tcW w:w="851" w:type="dxa"/>
            <w:tcBorders>
              <w:bottom w:val="single" w:sz="12" w:space="0" w:color="auto"/>
            </w:tcBorders>
            <w:shd w:val="clear" w:color="auto" w:fill="auto"/>
            <w:vAlign w:val="bottom"/>
          </w:tcPr>
          <w:p w14:paraId="32D9C77A" w14:textId="77777777" w:rsidR="003C48D6" w:rsidRPr="00C20A9B" w:rsidRDefault="003C48D6" w:rsidP="00C20A9B">
            <w:pPr>
              <w:suppressAutoHyphens w:val="0"/>
              <w:spacing w:before="40" w:after="40" w:line="220" w:lineRule="exact"/>
              <w:jc w:val="right"/>
              <w:rPr>
                <w:sz w:val="18"/>
                <w:szCs w:val="18"/>
                <w:lang w:val="fr-FR"/>
              </w:rPr>
            </w:pPr>
            <w:r w:rsidRPr="00C20A9B">
              <w:rPr>
                <w:sz w:val="18"/>
                <w:szCs w:val="18"/>
                <w:lang w:val="fr-FR"/>
              </w:rPr>
              <w:t>8,6</w:t>
            </w:r>
          </w:p>
        </w:tc>
        <w:tc>
          <w:tcPr>
            <w:tcW w:w="708" w:type="dxa"/>
            <w:tcBorders>
              <w:bottom w:val="single" w:sz="12" w:space="0" w:color="auto"/>
            </w:tcBorders>
            <w:shd w:val="clear" w:color="auto" w:fill="auto"/>
            <w:vAlign w:val="bottom"/>
          </w:tcPr>
          <w:p w14:paraId="67C65B66" w14:textId="77777777" w:rsidR="003C48D6" w:rsidRPr="00C20A9B" w:rsidRDefault="003C48D6" w:rsidP="00C20A9B">
            <w:pPr>
              <w:suppressAutoHyphens w:val="0"/>
              <w:spacing w:before="40" w:after="40" w:line="220" w:lineRule="exact"/>
              <w:jc w:val="right"/>
              <w:rPr>
                <w:sz w:val="18"/>
                <w:szCs w:val="18"/>
                <w:lang w:val="fr-FR"/>
              </w:rPr>
            </w:pPr>
            <w:r w:rsidRPr="00C20A9B">
              <w:rPr>
                <w:sz w:val="18"/>
                <w:szCs w:val="18"/>
                <w:lang w:val="fr-FR"/>
              </w:rPr>
              <w:t>11,0</w:t>
            </w:r>
          </w:p>
        </w:tc>
        <w:tc>
          <w:tcPr>
            <w:tcW w:w="709" w:type="dxa"/>
            <w:tcBorders>
              <w:bottom w:val="single" w:sz="12" w:space="0" w:color="auto"/>
            </w:tcBorders>
            <w:shd w:val="clear" w:color="auto" w:fill="auto"/>
            <w:vAlign w:val="bottom"/>
          </w:tcPr>
          <w:p w14:paraId="3FAD4E38" w14:textId="77777777" w:rsidR="003C48D6" w:rsidRPr="00C20A9B" w:rsidRDefault="003C48D6" w:rsidP="00C20A9B">
            <w:pPr>
              <w:suppressAutoHyphens w:val="0"/>
              <w:spacing w:before="40" w:after="40" w:line="220" w:lineRule="exact"/>
              <w:jc w:val="right"/>
              <w:rPr>
                <w:sz w:val="18"/>
                <w:szCs w:val="18"/>
                <w:lang w:val="fr-FR"/>
              </w:rPr>
            </w:pPr>
            <w:r w:rsidRPr="00C20A9B">
              <w:rPr>
                <w:sz w:val="18"/>
                <w:szCs w:val="18"/>
                <w:lang w:val="fr-FR"/>
              </w:rPr>
              <w:t>11,3</w:t>
            </w:r>
          </w:p>
        </w:tc>
        <w:tc>
          <w:tcPr>
            <w:tcW w:w="709" w:type="dxa"/>
            <w:tcBorders>
              <w:bottom w:val="single" w:sz="12" w:space="0" w:color="auto"/>
            </w:tcBorders>
            <w:shd w:val="clear" w:color="auto" w:fill="auto"/>
            <w:vAlign w:val="bottom"/>
          </w:tcPr>
          <w:p w14:paraId="769E7EFA" w14:textId="77777777" w:rsidR="003C48D6" w:rsidRPr="00C20A9B" w:rsidRDefault="003C48D6" w:rsidP="00C20A9B">
            <w:pPr>
              <w:suppressAutoHyphens w:val="0"/>
              <w:spacing w:before="40" w:after="40" w:line="220" w:lineRule="exact"/>
              <w:jc w:val="right"/>
              <w:rPr>
                <w:sz w:val="18"/>
                <w:szCs w:val="18"/>
                <w:lang w:val="fr-FR"/>
              </w:rPr>
            </w:pPr>
            <w:r w:rsidRPr="00C20A9B">
              <w:rPr>
                <w:sz w:val="18"/>
                <w:szCs w:val="18"/>
                <w:lang w:val="fr-FR"/>
              </w:rPr>
              <w:t>10,7</w:t>
            </w:r>
          </w:p>
        </w:tc>
        <w:tc>
          <w:tcPr>
            <w:tcW w:w="709" w:type="dxa"/>
            <w:tcBorders>
              <w:bottom w:val="single" w:sz="12" w:space="0" w:color="auto"/>
            </w:tcBorders>
            <w:shd w:val="clear" w:color="auto" w:fill="auto"/>
            <w:vAlign w:val="bottom"/>
          </w:tcPr>
          <w:p w14:paraId="397A2559" w14:textId="77777777" w:rsidR="003C48D6" w:rsidRPr="00C20A9B" w:rsidRDefault="003C48D6" w:rsidP="00C20A9B">
            <w:pPr>
              <w:suppressAutoHyphens w:val="0"/>
              <w:spacing w:before="40" w:after="40" w:line="220" w:lineRule="exact"/>
              <w:jc w:val="right"/>
              <w:rPr>
                <w:sz w:val="18"/>
                <w:szCs w:val="18"/>
                <w:lang w:val="fr-FR"/>
              </w:rPr>
            </w:pPr>
            <w:r w:rsidRPr="00C20A9B">
              <w:rPr>
                <w:sz w:val="18"/>
                <w:szCs w:val="18"/>
                <w:lang w:val="fr-FR"/>
              </w:rPr>
              <w:t>9,7</w:t>
            </w:r>
          </w:p>
        </w:tc>
        <w:tc>
          <w:tcPr>
            <w:tcW w:w="707" w:type="dxa"/>
            <w:tcBorders>
              <w:bottom w:val="single" w:sz="12" w:space="0" w:color="auto"/>
            </w:tcBorders>
            <w:shd w:val="clear" w:color="auto" w:fill="auto"/>
            <w:vAlign w:val="bottom"/>
          </w:tcPr>
          <w:p w14:paraId="1DF789CC" w14:textId="77777777" w:rsidR="003C48D6" w:rsidRPr="00C20A9B" w:rsidRDefault="003C48D6" w:rsidP="00C20A9B">
            <w:pPr>
              <w:suppressAutoHyphens w:val="0"/>
              <w:spacing w:before="40" w:after="40" w:line="220" w:lineRule="exact"/>
              <w:jc w:val="right"/>
              <w:rPr>
                <w:sz w:val="18"/>
                <w:szCs w:val="18"/>
                <w:lang w:val="fr-FR"/>
              </w:rPr>
            </w:pPr>
            <w:r w:rsidRPr="00C20A9B">
              <w:rPr>
                <w:sz w:val="18"/>
                <w:szCs w:val="18"/>
                <w:lang w:val="fr-FR"/>
              </w:rPr>
              <w:t>12,9</w:t>
            </w:r>
          </w:p>
        </w:tc>
      </w:tr>
    </w:tbl>
    <w:p w14:paraId="65428688" w14:textId="77777777" w:rsidR="003C48D6" w:rsidRPr="00F720A6" w:rsidRDefault="003C48D6" w:rsidP="00DA1E01">
      <w:pPr>
        <w:pStyle w:val="SingleTxtG"/>
        <w:spacing w:before="240"/>
        <w:rPr>
          <w:lang w:val="fr-FR"/>
        </w:rPr>
      </w:pPr>
      <w:r w:rsidRPr="00F720A6">
        <w:rPr>
          <w:lang w:val="fr-FR"/>
        </w:rPr>
        <w:t>142.</w:t>
      </w:r>
      <w:r w:rsidRPr="00F720A6">
        <w:rPr>
          <w:lang w:val="fr-FR"/>
        </w:rPr>
        <w:tab/>
        <w:t>Les causes les plus fréquentes de mortalité infantile (nourrissons de 0 à 12 mois) sont périnatales (81,3 %), suivies par les anomalies congénitales (6,9 %). Les naissances prématurées sont apparues comme la cause prédominante de ces décès.</w:t>
      </w:r>
    </w:p>
    <w:p w14:paraId="44300232" w14:textId="77777777" w:rsidR="003C48D6" w:rsidRPr="00F720A6" w:rsidRDefault="003C48D6" w:rsidP="00C20A9B">
      <w:pPr>
        <w:pStyle w:val="SingleTxtG"/>
        <w:rPr>
          <w:lang w:val="fr-FR"/>
        </w:rPr>
      </w:pPr>
      <w:r w:rsidRPr="00F720A6">
        <w:rPr>
          <w:lang w:val="fr-FR"/>
        </w:rPr>
        <w:t>143.</w:t>
      </w:r>
      <w:r w:rsidRPr="00F720A6">
        <w:rPr>
          <w:lang w:val="fr-FR"/>
        </w:rPr>
        <w:tab/>
        <w:t>Les différences entre les taux de mortalité infantile ont tendance à se contracter si l</w:t>
      </w:r>
      <w:r w:rsidR="00254912">
        <w:rPr>
          <w:lang w:val="fr-FR"/>
        </w:rPr>
        <w:t>’</w:t>
      </w:r>
      <w:r w:rsidRPr="00F720A6">
        <w:rPr>
          <w:lang w:val="fr-FR"/>
        </w:rPr>
        <w:t>on adopte un point de vue fondé sur les caractéristiques sociodémographiques des mères (origine ethnique, éducation, âge, lieu de résidence).</w:t>
      </w:r>
    </w:p>
    <w:p w14:paraId="00D11C7F" w14:textId="77777777" w:rsidR="003C48D6" w:rsidRPr="00F720A6" w:rsidRDefault="003C48D6" w:rsidP="001F4CA2">
      <w:pPr>
        <w:pStyle w:val="Titre1"/>
        <w:spacing w:after="120"/>
        <w:rPr>
          <w:rStyle w:val="Appelnotedebasdep"/>
          <w:lang w:val="fr-FR"/>
        </w:rPr>
      </w:pPr>
      <w:r w:rsidRPr="00F720A6">
        <w:rPr>
          <w:lang w:val="fr-FR"/>
        </w:rPr>
        <w:t>Tableau 7</w:t>
      </w:r>
      <w:r w:rsidR="00F53F7B">
        <w:rPr>
          <w:lang w:val="fr-FR"/>
        </w:rPr>
        <w:t xml:space="preserve"> </w:t>
      </w:r>
      <w:r w:rsidRPr="00F720A6">
        <w:rPr>
          <w:lang w:val="fr-FR"/>
        </w:rPr>
        <w:br/>
      </w:r>
      <w:r w:rsidRPr="00F53F7B">
        <w:rPr>
          <w:b/>
          <w:bCs/>
          <w:lang w:val="fr-FR"/>
        </w:rPr>
        <w:t>Taux de mortalité infantile selon l</w:t>
      </w:r>
      <w:r w:rsidR="00254912">
        <w:rPr>
          <w:b/>
          <w:bCs/>
          <w:lang w:val="fr-FR"/>
        </w:rPr>
        <w:t>’</w:t>
      </w:r>
      <w:r w:rsidRPr="00F53F7B">
        <w:rPr>
          <w:b/>
          <w:bCs/>
          <w:lang w:val="fr-FR"/>
        </w:rPr>
        <w:t>origine ethnique des mères (2011-2016)</w:t>
      </w:r>
      <w:r w:rsidRPr="002A465A">
        <w:rPr>
          <w:rStyle w:val="Appelnotedebasdep"/>
        </w:rPr>
        <w:footnoteReference w:id="38"/>
      </w:r>
      <w:bookmarkStart w:id="53" w:name="_Toc56781454"/>
      <w:bookmarkEnd w:id="53"/>
    </w:p>
    <w:tbl>
      <w:tblPr>
        <w:tblW w:w="7370" w:type="dxa"/>
        <w:tblInd w:w="1134" w:type="dxa"/>
        <w:tblLayout w:type="fixed"/>
        <w:tblCellMar>
          <w:left w:w="0" w:type="dxa"/>
          <w:right w:w="0" w:type="dxa"/>
        </w:tblCellMar>
        <w:tblLook w:val="00A0" w:firstRow="1" w:lastRow="0" w:firstColumn="1" w:lastColumn="0" w:noHBand="0" w:noVBand="0"/>
      </w:tblPr>
      <w:tblGrid>
        <w:gridCol w:w="1417"/>
        <w:gridCol w:w="839"/>
        <w:gridCol w:w="1022"/>
        <w:gridCol w:w="1023"/>
        <w:gridCol w:w="1023"/>
        <w:gridCol w:w="1023"/>
        <w:gridCol w:w="1023"/>
      </w:tblGrid>
      <w:tr w:rsidR="003C48D6" w:rsidRPr="00F53F7B" w14:paraId="62C93440" w14:textId="77777777" w:rsidTr="00AF6536">
        <w:trPr>
          <w:tblHeader/>
        </w:trPr>
        <w:tc>
          <w:tcPr>
            <w:tcW w:w="1417" w:type="dxa"/>
            <w:tcBorders>
              <w:top w:val="single" w:sz="4" w:space="0" w:color="auto"/>
              <w:bottom w:val="single" w:sz="12" w:space="0" w:color="auto"/>
            </w:tcBorders>
            <w:shd w:val="clear" w:color="auto" w:fill="auto"/>
            <w:vAlign w:val="bottom"/>
          </w:tcPr>
          <w:p w14:paraId="713EEFED" w14:textId="77777777" w:rsidR="003C48D6" w:rsidRPr="00F53F7B" w:rsidRDefault="003C48D6" w:rsidP="00F53F7B">
            <w:pPr>
              <w:suppressAutoHyphens w:val="0"/>
              <w:spacing w:before="80" w:after="80" w:line="200" w:lineRule="exact"/>
              <w:rPr>
                <w:i/>
                <w:sz w:val="16"/>
                <w:lang w:val="fr-FR"/>
              </w:rPr>
            </w:pPr>
            <w:r w:rsidRPr="00F53F7B">
              <w:rPr>
                <w:i/>
                <w:sz w:val="16"/>
                <w:lang w:val="fr-FR"/>
              </w:rPr>
              <w:t>Origine ethnique</w:t>
            </w:r>
          </w:p>
        </w:tc>
        <w:tc>
          <w:tcPr>
            <w:tcW w:w="839" w:type="dxa"/>
            <w:tcBorders>
              <w:top w:val="single" w:sz="4" w:space="0" w:color="auto"/>
              <w:bottom w:val="single" w:sz="12" w:space="0" w:color="auto"/>
            </w:tcBorders>
            <w:shd w:val="clear" w:color="auto" w:fill="auto"/>
            <w:vAlign w:val="bottom"/>
          </w:tcPr>
          <w:p w14:paraId="1687555B" w14:textId="77777777" w:rsidR="003C48D6" w:rsidRPr="00F53F7B" w:rsidRDefault="003C48D6" w:rsidP="00F53F7B">
            <w:pPr>
              <w:suppressAutoHyphens w:val="0"/>
              <w:spacing w:before="80" w:after="80" w:line="200" w:lineRule="exact"/>
              <w:jc w:val="right"/>
              <w:rPr>
                <w:bCs/>
                <w:i/>
                <w:sz w:val="16"/>
                <w:lang w:val="fr-FR"/>
              </w:rPr>
            </w:pPr>
            <w:r w:rsidRPr="00F53F7B">
              <w:rPr>
                <w:i/>
                <w:sz w:val="16"/>
                <w:lang w:val="fr-FR"/>
              </w:rPr>
              <w:t>2011</w:t>
            </w:r>
          </w:p>
        </w:tc>
        <w:tc>
          <w:tcPr>
            <w:tcW w:w="1022" w:type="dxa"/>
            <w:tcBorders>
              <w:top w:val="single" w:sz="4" w:space="0" w:color="auto"/>
              <w:bottom w:val="single" w:sz="12" w:space="0" w:color="auto"/>
            </w:tcBorders>
            <w:shd w:val="clear" w:color="auto" w:fill="auto"/>
            <w:vAlign w:val="bottom"/>
          </w:tcPr>
          <w:p w14:paraId="60E2459F" w14:textId="77777777" w:rsidR="003C48D6" w:rsidRPr="00F53F7B" w:rsidRDefault="003C48D6" w:rsidP="00F53F7B">
            <w:pPr>
              <w:suppressAutoHyphens w:val="0"/>
              <w:spacing w:before="80" w:after="80" w:line="200" w:lineRule="exact"/>
              <w:jc w:val="right"/>
              <w:rPr>
                <w:bCs/>
                <w:i/>
                <w:sz w:val="16"/>
                <w:lang w:val="fr-FR"/>
              </w:rPr>
            </w:pPr>
            <w:r w:rsidRPr="00F53F7B">
              <w:rPr>
                <w:i/>
                <w:sz w:val="16"/>
                <w:lang w:val="fr-FR"/>
              </w:rPr>
              <w:t>2012</w:t>
            </w:r>
          </w:p>
        </w:tc>
        <w:tc>
          <w:tcPr>
            <w:tcW w:w="1023" w:type="dxa"/>
            <w:tcBorders>
              <w:top w:val="single" w:sz="4" w:space="0" w:color="auto"/>
              <w:bottom w:val="single" w:sz="12" w:space="0" w:color="auto"/>
            </w:tcBorders>
            <w:shd w:val="clear" w:color="auto" w:fill="auto"/>
            <w:vAlign w:val="bottom"/>
          </w:tcPr>
          <w:p w14:paraId="6395BC20" w14:textId="77777777" w:rsidR="003C48D6" w:rsidRPr="00F53F7B" w:rsidRDefault="003C48D6" w:rsidP="00F53F7B">
            <w:pPr>
              <w:suppressAutoHyphens w:val="0"/>
              <w:spacing w:before="80" w:after="80" w:line="200" w:lineRule="exact"/>
              <w:jc w:val="right"/>
              <w:rPr>
                <w:bCs/>
                <w:i/>
                <w:sz w:val="16"/>
                <w:lang w:val="fr-FR"/>
              </w:rPr>
            </w:pPr>
            <w:r w:rsidRPr="00F53F7B">
              <w:rPr>
                <w:i/>
                <w:sz w:val="16"/>
                <w:lang w:val="fr-FR"/>
              </w:rPr>
              <w:t>2013</w:t>
            </w:r>
          </w:p>
        </w:tc>
        <w:tc>
          <w:tcPr>
            <w:tcW w:w="1023" w:type="dxa"/>
            <w:tcBorders>
              <w:top w:val="single" w:sz="4" w:space="0" w:color="auto"/>
              <w:bottom w:val="single" w:sz="12" w:space="0" w:color="auto"/>
            </w:tcBorders>
            <w:shd w:val="clear" w:color="auto" w:fill="auto"/>
            <w:vAlign w:val="bottom"/>
          </w:tcPr>
          <w:p w14:paraId="025F0FE4" w14:textId="77777777" w:rsidR="003C48D6" w:rsidRPr="00F53F7B" w:rsidRDefault="003C48D6" w:rsidP="00F53F7B">
            <w:pPr>
              <w:suppressAutoHyphens w:val="0"/>
              <w:spacing w:before="80" w:after="80" w:line="200" w:lineRule="exact"/>
              <w:jc w:val="right"/>
              <w:rPr>
                <w:bCs/>
                <w:i/>
                <w:sz w:val="16"/>
                <w:lang w:val="fr-FR"/>
              </w:rPr>
            </w:pPr>
            <w:r w:rsidRPr="00F53F7B">
              <w:rPr>
                <w:i/>
                <w:sz w:val="16"/>
                <w:lang w:val="fr-FR"/>
              </w:rPr>
              <w:t>2014</w:t>
            </w:r>
          </w:p>
        </w:tc>
        <w:tc>
          <w:tcPr>
            <w:tcW w:w="1023" w:type="dxa"/>
            <w:tcBorders>
              <w:top w:val="single" w:sz="4" w:space="0" w:color="auto"/>
              <w:bottom w:val="single" w:sz="12" w:space="0" w:color="auto"/>
            </w:tcBorders>
            <w:shd w:val="clear" w:color="auto" w:fill="auto"/>
            <w:vAlign w:val="bottom"/>
          </w:tcPr>
          <w:p w14:paraId="13F13F66" w14:textId="77777777" w:rsidR="003C48D6" w:rsidRPr="00F53F7B" w:rsidRDefault="003C48D6" w:rsidP="00F53F7B">
            <w:pPr>
              <w:suppressAutoHyphens w:val="0"/>
              <w:spacing w:before="80" w:after="80" w:line="200" w:lineRule="exact"/>
              <w:jc w:val="right"/>
              <w:rPr>
                <w:bCs/>
                <w:i/>
                <w:sz w:val="16"/>
                <w:lang w:val="fr-FR"/>
              </w:rPr>
            </w:pPr>
            <w:r w:rsidRPr="00F53F7B">
              <w:rPr>
                <w:i/>
                <w:sz w:val="16"/>
                <w:lang w:val="fr-FR"/>
              </w:rPr>
              <w:t>2015</w:t>
            </w:r>
          </w:p>
        </w:tc>
        <w:tc>
          <w:tcPr>
            <w:tcW w:w="1023" w:type="dxa"/>
            <w:tcBorders>
              <w:top w:val="single" w:sz="4" w:space="0" w:color="auto"/>
              <w:bottom w:val="single" w:sz="12" w:space="0" w:color="auto"/>
            </w:tcBorders>
            <w:shd w:val="clear" w:color="auto" w:fill="auto"/>
            <w:vAlign w:val="bottom"/>
          </w:tcPr>
          <w:p w14:paraId="2919EDEC" w14:textId="77777777" w:rsidR="003C48D6" w:rsidRPr="00F53F7B" w:rsidRDefault="003C48D6" w:rsidP="00F53F7B">
            <w:pPr>
              <w:suppressAutoHyphens w:val="0"/>
              <w:spacing w:before="80" w:after="80" w:line="200" w:lineRule="exact"/>
              <w:jc w:val="right"/>
              <w:rPr>
                <w:bCs/>
                <w:i/>
                <w:sz w:val="16"/>
                <w:lang w:val="fr-FR"/>
              </w:rPr>
            </w:pPr>
            <w:r w:rsidRPr="00F53F7B">
              <w:rPr>
                <w:i/>
                <w:sz w:val="16"/>
                <w:lang w:val="fr-FR"/>
              </w:rPr>
              <w:t>2016</w:t>
            </w:r>
          </w:p>
        </w:tc>
      </w:tr>
      <w:tr w:rsidR="003C48D6" w:rsidRPr="00DA1E01" w14:paraId="44DE797F" w14:textId="77777777" w:rsidTr="00AF6536">
        <w:tc>
          <w:tcPr>
            <w:tcW w:w="1417" w:type="dxa"/>
            <w:tcBorders>
              <w:top w:val="single" w:sz="12" w:space="0" w:color="auto"/>
              <w:bottom w:val="single" w:sz="4" w:space="0" w:color="auto"/>
            </w:tcBorders>
            <w:shd w:val="clear" w:color="auto" w:fill="auto"/>
          </w:tcPr>
          <w:p w14:paraId="5BE659F5" w14:textId="77777777" w:rsidR="003C48D6" w:rsidRPr="00DA1E01" w:rsidRDefault="003C48D6" w:rsidP="00DA1E01">
            <w:pPr>
              <w:suppressAutoHyphens w:val="0"/>
              <w:spacing w:before="80" w:after="80" w:line="220" w:lineRule="exact"/>
              <w:ind w:left="284"/>
              <w:rPr>
                <w:b/>
                <w:sz w:val="18"/>
                <w:szCs w:val="18"/>
                <w:lang w:val="fr-FR"/>
              </w:rPr>
            </w:pPr>
            <w:r w:rsidRPr="00DA1E01">
              <w:rPr>
                <w:b/>
                <w:sz w:val="18"/>
                <w:szCs w:val="18"/>
                <w:lang w:val="fr-FR"/>
              </w:rPr>
              <w:t>Total</w:t>
            </w:r>
          </w:p>
        </w:tc>
        <w:tc>
          <w:tcPr>
            <w:tcW w:w="839" w:type="dxa"/>
            <w:tcBorders>
              <w:top w:val="single" w:sz="12" w:space="0" w:color="auto"/>
              <w:bottom w:val="single" w:sz="4" w:space="0" w:color="auto"/>
            </w:tcBorders>
            <w:shd w:val="clear" w:color="auto" w:fill="auto"/>
            <w:vAlign w:val="bottom"/>
          </w:tcPr>
          <w:p w14:paraId="2F15FC9F" w14:textId="77777777" w:rsidR="003C48D6" w:rsidRPr="00DA1E01" w:rsidRDefault="003C48D6" w:rsidP="00DA1E01">
            <w:pPr>
              <w:suppressAutoHyphens w:val="0"/>
              <w:spacing w:before="80" w:after="80" w:line="220" w:lineRule="exact"/>
              <w:jc w:val="right"/>
              <w:rPr>
                <w:b/>
                <w:sz w:val="18"/>
                <w:szCs w:val="18"/>
                <w:lang w:val="fr-FR"/>
              </w:rPr>
            </w:pPr>
            <w:r w:rsidRPr="00DA1E01">
              <w:rPr>
                <w:b/>
                <w:sz w:val="18"/>
                <w:szCs w:val="18"/>
                <w:lang w:val="fr-FR"/>
              </w:rPr>
              <w:t>7,5</w:t>
            </w:r>
          </w:p>
        </w:tc>
        <w:tc>
          <w:tcPr>
            <w:tcW w:w="1022" w:type="dxa"/>
            <w:tcBorders>
              <w:top w:val="single" w:sz="12" w:space="0" w:color="auto"/>
              <w:bottom w:val="single" w:sz="4" w:space="0" w:color="auto"/>
            </w:tcBorders>
            <w:shd w:val="clear" w:color="auto" w:fill="auto"/>
            <w:vAlign w:val="bottom"/>
          </w:tcPr>
          <w:p w14:paraId="798939D3" w14:textId="77777777" w:rsidR="003C48D6" w:rsidRPr="00DA1E01" w:rsidRDefault="003C48D6" w:rsidP="00DA1E01">
            <w:pPr>
              <w:suppressAutoHyphens w:val="0"/>
              <w:spacing w:before="80" w:after="80" w:line="220" w:lineRule="exact"/>
              <w:jc w:val="right"/>
              <w:rPr>
                <w:b/>
                <w:sz w:val="18"/>
                <w:szCs w:val="18"/>
                <w:lang w:val="fr-FR"/>
              </w:rPr>
            </w:pPr>
            <w:r w:rsidRPr="00DA1E01">
              <w:rPr>
                <w:b/>
                <w:sz w:val="18"/>
                <w:szCs w:val="18"/>
                <w:lang w:val="fr-FR"/>
              </w:rPr>
              <w:t>9,8</w:t>
            </w:r>
          </w:p>
        </w:tc>
        <w:tc>
          <w:tcPr>
            <w:tcW w:w="1023" w:type="dxa"/>
            <w:tcBorders>
              <w:top w:val="single" w:sz="12" w:space="0" w:color="auto"/>
              <w:bottom w:val="single" w:sz="4" w:space="0" w:color="auto"/>
            </w:tcBorders>
            <w:shd w:val="clear" w:color="auto" w:fill="auto"/>
            <w:vAlign w:val="bottom"/>
          </w:tcPr>
          <w:p w14:paraId="207C3A3B" w14:textId="77777777" w:rsidR="003C48D6" w:rsidRPr="00DA1E01" w:rsidRDefault="003C48D6" w:rsidP="00DA1E01">
            <w:pPr>
              <w:suppressAutoHyphens w:val="0"/>
              <w:spacing w:before="80" w:after="80" w:line="220" w:lineRule="exact"/>
              <w:jc w:val="right"/>
              <w:rPr>
                <w:b/>
                <w:sz w:val="18"/>
                <w:szCs w:val="18"/>
                <w:lang w:val="fr-FR"/>
              </w:rPr>
            </w:pPr>
            <w:r w:rsidRPr="00DA1E01">
              <w:rPr>
                <w:b/>
                <w:sz w:val="18"/>
                <w:szCs w:val="18"/>
                <w:lang w:val="fr-FR"/>
              </w:rPr>
              <w:t>10,2</w:t>
            </w:r>
          </w:p>
        </w:tc>
        <w:tc>
          <w:tcPr>
            <w:tcW w:w="1023" w:type="dxa"/>
            <w:tcBorders>
              <w:top w:val="single" w:sz="12" w:space="0" w:color="auto"/>
              <w:bottom w:val="single" w:sz="4" w:space="0" w:color="auto"/>
            </w:tcBorders>
            <w:shd w:val="clear" w:color="auto" w:fill="auto"/>
            <w:vAlign w:val="bottom"/>
          </w:tcPr>
          <w:p w14:paraId="58D2B689" w14:textId="77777777" w:rsidR="003C48D6" w:rsidRPr="00DA1E01" w:rsidRDefault="003C48D6" w:rsidP="00DA1E01">
            <w:pPr>
              <w:suppressAutoHyphens w:val="0"/>
              <w:spacing w:before="80" w:after="80" w:line="220" w:lineRule="exact"/>
              <w:jc w:val="right"/>
              <w:rPr>
                <w:b/>
                <w:sz w:val="18"/>
                <w:szCs w:val="18"/>
                <w:lang w:val="fr-FR"/>
              </w:rPr>
            </w:pPr>
            <w:r w:rsidRPr="00DA1E01">
              <w:rPr>
                <w:b/>
                <w:sz w:val="18"/>
                <w:szCs w:val="18"/>
                <w:lang w:val="fr-FR"/>
              </w:rPr>
              <w:t>9,9</w:t>
            </w:r>
          </w:p>
        </w:tc>
        <w:tc>
          <w:tcPr>
            <w:tcW w:w="1023" w:type="dxa"/>
            <w:tcBorders>
              <w:top w:val="single" w:sz="12" w:space="0" w:color="auto"/>
              <w:bottom w:val="single" w:sz="4" w:space="0" w:color="auto"/>
            </w:tcBorders>
            <w:shd w:val="clear" w:color="auto" w:fill="auto"/>
            <w:vAlign w:val="bottom"/>
          </w:tcPr>
          <w:p w14:paraId="26B17C17" w14:textId="77777777" w:rsidR="003C48D6" w:rsidRPr="00DA1E01" w:rsidRDefault="003C48D6" w:rsidP="00DA1E01">
            <w:pPr>
              <w:suppressAutoHyphens w:val="0"/>
              <w:spacing w:before="80" w:after="80" w:line="220" w:lineRule="exact"/>
              <w:jc w:val="right"/>
              <w:rPr>
                <w:b/>
                <w:sz w:val="18"/>
                <w:szCs w:val="18"/>
                <w:lang w:val="fr-FR"/>
              </w:rPr>
            </w:pPr>
            <w:r w:rsidRPr="00DA1E01">
              <w:rPr>
                <w:b/>
                <w:sz w:val="18"/>
                <w:szCs w:val="18"/>
                <w:lang w:val="fr-FR"/>
              </w:rPr>
              <w:t>8,6</w:t>
            </w:r>
          </w:p>
        </w:tc>
        <w:tc>
          <w:tcPr>
            <w:tcW w:w="1023" w:type="dxa"/>
            <w:tcBorders>
              <w:top w:val="single" w:sz="12" w:space="0" w:color="auto"/>
              <w:bottom w:val="single" w:sz="4" w:space="0" w:color="auto"/>
            </w:tcBorders>
            <w:shd w:val="clear" w:color="auto" w:fill="auto"/>
            <w:vAlign w:val="bottom"/>
          </w:tcPr>
          <w:p w14:paraId="01F23B6D" w14:textId="77777777" w:rsidR="003C48D6" w:rsidRPr="00DA1E01" w:rsidRDefault="003C48D6" w:rsidP="00DA1E01">
            <w:pPr>
              <w:suppressAutoHyphens w:val="0"/>
              <w:spacing w:before="80" w:after="80" w:line="220" w:lineRule="exact"/>
              <w:jc w:val="right"/>
              <w:rPr>
                <w:b/>
                <w:sz w:val="18"/>
                <w:szCs w:val="18"/>
                <w:lang w:val="fr-FR"/>
              </w:rPr>
            </w:pPr>
            <w:r w:rsidRPr="00DA1E01">
              <w:rPr>
                <w:b/>
                <w:sz w:val="18"/>
                <w:szCs w:val="18"/>
                <w:lang w:val="fr-FR"/>
              </w:rPr>
              <w:t>11,9</w:t>
            </w:r>
          </w:p>
        </w:tc>
      </w:tr>
      <w:tr w:rsidR="003C48D6" w:rsidRPr="00F53F7B" w14:paraId="67A6CDF3" w14:textId="77777777" w:rsidTr="00AF6536">
        <w:tc>
          <w:tcPr>
            <w:tcW w:w="1417" w:type="dxa"/>
            <w:tcBorders>
              <w:top w:val="single" w:sz="4" w:space="0" w:color="auto"/>
            </w:tcBorders>
            <w:shd w:val="clear" w:color="auto" w:fill="auto"/>
          </w:tcPr>
          <w:p w14:paraId="25E7E01F" w14:textId="77777777" w:rsidR="003C48D6" w:rsidRPr="00F53F7B" w:rsidRDefault="003C48D6" w:rsidP="00F53F7B">
            <w:pPr>
              <w:suppressAutoHyphens w:val="0"/>
              <w:spacing w:before="40" w:after="40" w:line="220" w:lineRule="exact"/>
              <w:rPr>
                <w:sz w:val="18"/>
                <w:szCs w:val="18"/>
                <w:lang w:val="fr-FR"/>
              </w:rPr>
            </w:pPr>
            <w:r w:rsidRPr="00F53F7B">
              <w:rPr>
                <w:sz w:val="18"/>
                <w:szCs w:val="18"/>
                <w:lang w:val="fr-FR"/>
              </w:rPr>
              <w:t>Macédonienne</w:t>
            </w:r>
          </w:p>
        </w:tc>
        <w:tc>
          <w:tcPr>
            <w:tcW w:w="839" w:type="dxa"/>
            <w:tcBorders>
              <w:top w:val="single" w:sz="4" w:space="0" w:color="auto"/>
            </w:tcBorders>
            <w:shd w:val="clear" w:color="auto" w:fill="auto"/>
            <w:vAlign w:val="bottom"/>
          </w:tcPr>
          <w:p w14:paraId="4B8DCDB8"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6,0</w:t>
            </w:r>
          </w:p>
        </w:tc>
        <w:tc>
          <w:tcPr>
            <w:tcW w:w="1022" w:type="dxa"/>
            <w:tcBorders>
              <w:top w:val="single" w:sz="4" w:space="0" w:color="auto"/>
            </w:tcBorders>
            <w:shd w:val="clear" w:color="auto" w:fill="auto"/>
            <w:vAlign w:val="bottom"/>
          </w:tcPr>
          <w:p w14:paraId="1A19D820"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8,2</w:t>
            </w:r>
          </w:p>
        </w:tc>
        <w:tc>
          <w:tcPr>
            <w:tcW w:w="1023" w:type="dxa"/>
            <w:tcBorders>
              <w:top w:val="single" w:sz="4" w:space="0" w:color="auto"/>
            </w:tcBorders>
            <w:shd w:val="clear" w:color="auto" w:fill="auto"/>
            <w:vAlign w:val="bottom"/>
          </w:tcPr>
          <w:p w14:paraId="6C84F3A7"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8,4</w:t>
            </w:r>
          </w:p>
        </w:tc>
        <w:tc>
          <w:tcPr>
            <w:tcW w:w="1023" w:type="dxa"/>
            <w:tcBorders>
              <w:top w:val="single" w:sz="4" w:space="0" w:color="auto"/>
            </w:tcBorders>
            <w:shd w:val="clear" w:color="auto" w:fill="auto"/>
            <w:vAlign w:val="bottom"/>
          </w:tcPr>
          <w:p w14:paraId="43843811"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10,7</w:t>
            </w:r>
          </w:p>
        </w:tc>
        <w:tc>
          <w:tcPr>
            <w:tcW w:w="1023" w:type="dxa"/>
            <w:tcBorders>
              <w:top w:val="single" w:sz="4" w:space="0" w:color="auto"/>
            </w:tcBorders>
            <w:shd w:val="clear" w:color="auto" w:fill="auto"/>
            <w:vAlign w:val="bottom"/>
          </w:tcPr>
          <w:p w14:paraId="4267BB51"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7,7</w:t>
            </w:r>
          </w:p>
        </w:tc>
        <w:tc>
          <w:tcPr>
            <w:tcW w:w="1023" w:type="dxa"/>
            <w:tcBorders>
              <w:top w:val="single" w:sz="4" w:space="0" w:color="auto"/>
            </w:tcBorders>
            <w:shd w:val="clear" w:color="auto" w:fill="auto"/>
            <w:vAlign w:val="bottom"/>
          </w:tcPr>
          <w:p w14:paraId="2089F5C8"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10,4</w:t>
            </w:r>
          </w:p>
        </w:tc>
      </w:tr>
      <w:tr w:rsidR="003C48D6" w:rsidRPr="00F53F7B" w14:paraId="6E5C9D80" w14:textId="77777777" w:rsidTr="00F53F7B">
        <w:tc>
          <w:tcPr>
            <w:tcW w:w="1417" w:type="dxa"/>
            <w:shd w:val="clear" w:color="auto" w:fill="auto"/>
          </w:tcPr>
          <w:p w14:paraId="0537CA62" w14:textId="77777777" w:rsidR="003C48D6" w:rsidRPr="00F53F7B" w:rsidRDefault="003C48D6" w:rsidP="00F53F7B">
            <w:pPr>
              <w:suppressAutoHyphens w:val="0"/>
              <w:spacing w:before="40" w:after="40" w:line="220" w:lineRule="exact"/>
              <w:rPr>
                <w:sz w:val="18"/>
                <w:szCs w:val="18"/>
                <w:lang w:val="fr-FR"/>
              </w:rPr>
            </w:pPr>
            <w:r w:rsidRPr="00F53F7B">
              <w:rPr>
                <w:sz w:val="18"/>
                <w:szCs w:val="18"/>
                <w:lang w:val="fr-FR"/>
              </w:rPr>
              <w:t>Albanaise</w:t>
            </w:r>
          </w:p>
        </w:tc>
        <w:tc>
          <w:tcPr>
            <w:tcW w:w="839" w:type="dxa"/>
            <w:shd w:val="clear" w:color="auto" w:fill="auto"/>
            <w:vAlign w:val="bottom"/>
          </w:tcPr>
          <w:p w14:paraId="485BC2AE"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10,1</w:t>
            </w:r>
          </w:p>
        </w:tc>
        <w:tc>
          <w:tcPr>
            <w:tcW w:w="1022" w:type="dxa"/>
            <w:shd w:val="clear" w:color="auto" w:fill="auto"/>
            <w:vAlign w:val="bottom"/>
          </w:tcPr>
          <w:p w14:paraId="03486614"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10,8</w:t>
            </w:r>
          </w:p>
        </w:tc>
        <w:tc>
          <w:tcPr>
            <w:tcW w:w="1023" w:type="dxa"/>
            <w:shd w:val="clear" w:color="auto" w:fill="auto"/>
            <w:vAlign w:val="bottom"/>
          </w:tcPr>
          <w:p w14:paraId="0B80D114"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11,9</w:t>
            </w:r>
          </w:p>
        </w:tc>
        <w:tc>
          <w:tcPr>
            <w:tcW w:w="1023" w:type="dxa"/>
            <w:shd w:val="clear" w:color="auto" w:fill="auto"/>
            <w:vAlign w:val="bottom"/>
          </w:tcPr>
          <w:p w14:paraId="67E1AE81"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8,6</w:t>
            </w:r>
          </w:p>
        </w:tc>
        <w:tc>
          <w:tcPr>
            <w:tcW w:w="1023" w:type="dxa"/>
            <w:shd w:val="clear" w:color="auto" w:fill="auto"/>
            <w:vAlign w:val="bottom"/>
          </w:tcPr>
          <w:p w14:paraId="57F06B36"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10,3</w:t>
            </w:r>
          </w:p>
        </w:tc>
        <w:tc>
          <w:tcPr>
            <w:tcW w:w="1023" w:type="dxa"/>
            <w:shd w:val="clear" w:color="auto" w:fill="auto"/>
            <w:vAlign w:val="bottom"/>
          </w:tcPr>
          <w:p w14:paraId="3D4DD7CD"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14,3</w:t>
            </w:r>
          </w:p>
        </w:tc>
      </w:tr>
      <w:tr w:rsidR="003C48D6" w:rsidRPr="00F53F7B" w14:paraId="2848DF75" w14:textId="77777777" w:rsidTr="00F53F7B">
        <w:tc>
          <w:tcPr>
            <w:tcW w:w="1417" w:type="dxa"/>
            <w:shd w:val="clear" w:color="auto" w:fill="auto"/>
          </w:tcPr>
          <w:p w14:paraId="72132305" w14:textId="77777777" w:rsidR="003C48D6" w:rsidRPr="00F53F7B" w:rsidRDefault="003C48D6" w:rsidP="00F53F7B">
            <w:pPr>
              <w:suppressAutoHyphens w:val="0"/>
              <w:spacing w:before="40" w:after="40" w:line="220" w:lineRule="exact"/>
              <w:rPr>
                <w:sz w:val="18"/>
                <w:szCs w:val="18"/>
                <w:lang w:val="fr-FR"/>
              </w:rPr>
            </w:pPr>
            <w:r w:rsidRPr="00F53F7B">
              <w:rPr>
                <w:sz w:val="18"/>
                <w:szCs w:val="18"/>
                <w:lang w:val="fr-FR"/>
              </w:rPr>
              <w:t>Turque</w:t>
            </w:r>
          </w:p>
        </w:tc>
        <w:tc>
          <w:tcPr>
            <w:tcW w:w="839" w:type="dxa"/>
            <w:shd w:val="clear" w:color="auto" w:fill="auto"/>
            <w:vAlign w:val="bottom"/>
          </w:tcPr>
          <w:p w14:paraId="633369D4"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3,8</w:t>
            </w:r>
          </w:p>
        </w:tc>
        <w:tc>
          <w:tcPr>
            <w:tcW w:w="1022" w:type="dxa"/>
            <w:shd w:val="clear" w:color="auto" w:fill="auto"/>
            <w:vAlign w:val="bottom"/>
          </w:tcPr>
          <w:p w14:paraId="466FE353"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16,5</w:t>
            </w:r>
          </w:p>
        </w:tc>
        <w:tc>
          <w:tcPr>
            <w:tcW w:w="1023" w:type="dxa"/>
            <w:shd w:val="clear" w:color="auto" w:fill="auto"/>
            <w:vAlign w:val="bottom"/>
          </w:tcPr>
          <w:p w14:paraId="4D70C3EA"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8,1</w:t>
            </w:r>
          </w:p>
        </w:tc>
        <w:tc>
          <w:tcPr>
            <w:tcW w:w="1023" w:type="dxa"/>
            <w:shd w:val="clear" w:color="auto" w:fill="auto"/>
            <w:vAlign w:val="bottom"/>
          </w:tcPr>
          <w:p w14:paraId="7A18BCE6"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7</w:t>
            </w:r>
          </w:p>
        </w:tc>
        <w:tc>
          <w:tcPr>
            <w:tcW w:w="1023" w:type="dxa"/>
            <w:shd w:val="clear" w:color="auto" w:fill="auto"/>
            <w:vAlign w:val="bottom"/>
          </w:tcPr>
          <w:p w14:paraId="2213BC0B"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4,5</w:t>
            </w:r>
          </w:p>
        </w:tc>
        <w:tc>
          <w:tcPr>
            <w:tcW w:w="1023" w:type="dxa"/>
            <w:shd w:val="clear" w:color="auto" w:fill="auto"/>
            <w:vAlign w:val="bottom"/>
          </w:tcPr>
          <w:p w14:paraId="6A21A877"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8,7</w:t>
            </w:r>
          </w:p>
        </w:tc>
      </w:tr>
      <w:tr w:rsidR="003C48D6" w:rsidRPr="00F53F7B" w14:paraId="3D16EBC6" w14:textId="77777777" w:rsidTr="00F53F7B">
        <w:tc>
          <w:tcPr>
            <w:tcW w:w="1417" w:type="dxa"/>
            <w:shd w:val="clear" w:color="auto" w:fill="auto"/>
          </w:tcPr>
          <w:p w14:paraId="0EB15982" w14:textId="77777777" w:rsidR="003C48D6" w:rsidRPr="00F53F7B" w:rsidRDefault="003C48D6" w:rsidP="00F53F7B">
            <w:pPr>
              <w:suppressAutoHyphens w:val="0"/>
              <w:spacing w:before="40" w:after="40" w:line="220" w:lineRule="exact"/>
              <w:rPr>
                <w:sz w:val="18"/>
                <w:szCs w:val="18"/>
                <w:lang w:val="fr-FR"/>
              </w:rPr>
            </w:pPr>
            <w:r w:rsidRPr="00F53F7B">
              <w:rPr>
                <w:sz w:val="18"/>
                <w:szCs w:val="18"/>
                <w:lang w:val="fr-FR"/>
              </w:rPr>
              <w:t>Rom</w:t>
            </w:r>
          </w:p>
        </w:tc>
        <w:tc>
          <w:tcPr>
            <w:tcW w:w="839" w:type="dxa"/>
            <w:shd w:val="clear" w:color="auto" w:fill="auto"/>
            <w:vAlign w:val="bottom"/>
          </w:tcPr>
          <w:p w14:paraId="44C38713"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10,2</w:t>
            </w:r>
          </w:p>
        </w:tc>
        <w:tc>
          <w:tcPr>
            <w:tcW w:w="1022" w:type="dxa"/>
            <w:shd w:val="clear" w:color="auto" w:fill="auto"/>
            <w:vAlign w:val="bottom"/>
          </w:tcPr>
          <w:p w14:paraId="1C21BC3F"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11,6</w:t>
            </w:r>
          </w:p>
        </w:tc>
        <w:tc>
          <w:tcPr>
            <w:tcW w:w="1023" w:type="dxa"/>
            <w:shd w:val="clear" w:color="auto" w:fill="auto"/>
            <w:vAlign w:val="bottom"/>
          </w:tcPr>
          <w:p w14:paraId="553F7648"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17,4</w:t>
            </w:r>
          </w:p>
        </w:tc>
        <w:tc>
          <w:tcPr>
            <w:tcW w:w="1023" w:type="dxa"/>
            <w:shd w:val="clear" w:color="auto" w:fill="auto"/>
            <w:vAlign w:val="bottom"/>
          </w:tcPr>
          <w:p w14:paraId="7EA9873D"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14,2</w:t>
            </w:r>
          </w:p>
        </w:tc>
        <w:tc>
          <w:tcPr>
            <w:tcW w:w="1023" w:type="dxa"/>
            <w:shd w:val="clear" w:color="auto" w:fill="auto"/>
            <w:vAlign w:val="bottom"/>
          </w:tcPr>
          <w:p w14:paraId="48B61C41"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11,8</w:t>
            </w:r>
          </w:p>
        </w:tc>
        <w:tc>
          <w:tcPr>
            <w:tcW w:w="1023" w:type="dxa"/>
            <w:shd w:val="clear" w:color="auto" w:fill="auto"/>
            <w:vAlign w:val="bottom"/>
          </w:tcPr>
          <w:p w14:paraId="0D66D570"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11,2</w:t>
            </w:r>
          </w:p>
        </w:tc>
      </w:tr>
      <w:tr w:rsidR="003C48D6" w:rsidRPr="00F53F7B" w14:paraId="20E884AB" w14:textId="77777777" w:rsidTr="00F53F7B">
        <w:tc>
          <w:tcPr>
            <w:tcW w:w="1417" w:type="dxa"/>
            <w:tcBorders>
              <w:bottom w:val="single" w:sz="12" w:space="0" w:color="auto"/>
            </w:tcBorders>
            <w:shd w:val="clear" w:color="auto" w:fill="auto"/>
          </w:tcPr>
          <w:p w14:paraId="335FECB6" w14:textId="77777777" w:rsidR="003C48D6" w:rsidRPr="00F53F7B" w:rsidRDefault="003C48D6" w:rsidP="00F53F7B">
            <w:pPr>
              <w:suppressAutoHyphens w:val="0"/>
              <w:spacing w:before="40" w:after="40" w:line="220" w:lineRule="exact"/>
              <w:rPr>
                <w:sz w:val="18"/>
                <w:szCs w:val="18"/>
                <w:lang w:val="fr-FR"/>
              </w:rPr>
            </w:pPr>
            <w:r w:rsidRPr="00F53F7B">
              <w:rPr>
                <w:sz w:val="18"/>
                <w:szCs w:val="18"/>
                <w:lang w:val="fr-FR"/>
              </w:rPr>
              <w:t xml:space="preserve">Autres </w:t>
            </w:r>
          </w:p>
        </w:tc>
        <w:tc>
          <w:tcPr>
            <w:tcW w:w="839" w:type="dxa"/>
            <w:tcBorders>
              <w:bottom w:val="single" w:sz="12" w:space="0" w:color="auto"/>
            </w:tcBorders>
            <w:shd w:val="clear" w:color="auto" w:fill="auto"/>
            <w:vAlign w:val="bottom"/>
          </w:tcPr>
          <w:p w14:paraId="0208DD89"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5,7</w:t>
            </w:r>
          </w:p>
        </w:tc>
        <w:tc>
          <w:tcPr>
            <w:tcW w:w="1022" w:type="dxa"/>
            <w:tcBorders>
              <w:bottom w:val="single" w:sz="12" w:space="0" w:color="auto"/>
            </w:tcBorders>
            <w:shd w:val="clear" w:color="auto" w:fill="auto"/>
            <w:vAlign w:val="bottom"/>
          </w:tcPr>
          <w:p w14:paraId="292774F6"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10,1</w:t>
            </w:r>
          </w:p>
        </w:tc>
        <w:tc>
          <w:tcPr>
            <w:tcW w:w="1023" w:type="dxa"/>
            <w:tcBorders>
              <w:bottom w:val="single" w:sz="12" w:space="0" w:color="auto"/>
            </w:tcBorders>
            <w:shd w:val="clear" w:color="auto" w:fill="auto"/>
            <w:vAlign w:val="bottom"/>
          </w:tcPr>
          <w:p w14:paraId="69BED0F1"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9</w:t>
            </w:r>
          </w:p>
        </w:tc>
        <w:tc>
          <w:tcPr>
            <w:tcW w:w="1023" w:type="dxa"/>
            <w:tcBorders>
              <w:bottom w:val="single" w:sz="12" w:space="0" w:color="auto"/>
            </w:tcBorders>
            <w:shd w:val="clear" w:color="auto" w:fill="auto"/>
            <w:vAlign w:val="bottom"/>
          </w:tcPr>
          <w:p w14:paraId="58629AA5"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6,6</w:t>
            </w:r>
          </w:p>
        </w:tc>
        <w:tc>
          <w:tcPr>
            <w:tcW w:w="1023" w:type="dxa"/>
            <w:tcBorders>
              <w:bottom w:val="single" w:sz="12" w:space="0" w:color="auto"/>
            </w:tcBorders>
            <w:shd w:val="clear" w:color="auto" w:fill="auto"/>
            <w:vAlign w:val="bottom"/>
          </w:tcPr>
          <w:p w14:paraId="59D397C3"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10</w:t>
            </w:r>
          </w:p>
        </w:tc>
        <w:tc>
          <w:tcPr>
            <w:tcW w:w="1023" w:type="dxa"/>
            <w:tcBorders>
              <w:bottom w:val="single" w:sz="12" w:space="0" w:color="auto"/>
            </w:tcBorders>
            <w:shd w:val="clear" w:color="auto" w:fill="auto"/>
            <w:vAlign w:val="bottom"/>
          </w:tcPr>
          <w:p w14:paraId="2571FC4B"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7,5</w:t>
            </w:r>
          </w:p>
        </w:tc>
      </w:tr>
    </w:tbl>
    <w:p w14:paraId="1336492C" w14:textId="77777777" w:rsidR="003C48D6" w:rsidRPr="00F720A6" w:rsidRDefault="003C48D6" w:rsidP="00F53F7B">
      <w:pPr>
        <w:pStyle w:val="Titre1"/>
        <w:spacing w:before="240" w:after="120"/>
        <w:rPr>
          <w:lang w:val="fr-FR"/>
        </w:rPr>
      </w:pPr>
      <w:r w:rsidRPr="00F720A6">
        <w:rPr>
          <w:lang w:val="fr-FR"/>
        </w:rPr>
        <w:t>Table</w:t>
      </w:r>
      <w:r w:rsidR="00DA1E01">
        <w:rPr>
          <w:lang w:val="fr-FR"/>
        </w:rPr>
        <w:t>au</w:t>
      </w:r>
      <w:r w:rsidRPr="00F720A6">
        <w:rPr>
          <w:lang w:val="fr-FR"/>
        </w:rPr>
        <w:t xml:space="preserve"> 8</w:t>
      </w:r>
      <w:r w:rsidRPr="00F720A6">
        <w:rPr>
          <w:lang w:val="fr-FR"/>
        </w:rPr>
        <w:br/>
      </w:r>
      <w:r w:rsidRPr="00F53F7B">
        <w:rPr>
          <w:b/>
          <w:bCs/>
          <w:lang w:val="fr-FR"/>
        </w:rPr>
        <w:t>Taux de mortalité infantile selon l</w:t>
      </w:r>
      <w:r w:rsidR="00254912">
        <w:rPr>
          <w:b/>
          <w:bCs/>
          <w:lang w:val="fr-FR"/>
        </w:rPr>
        <w:t>’</w:t>
      </w:r>
      <w:r w:rsidRPr="00F53F7B">
        <w:rPr>
          <w:b/>
          <w:bCs/>
          <w:lang w:val="fr-FR"/>
        </w:rPr>
        <w:t>âge des mères (2011</w:t>
      </w:r>
      <w:r w:rsidR="00DA1E01">
        <w:rPr>
          <w:b/>
          <w:bCs/>
          <w:lang w:val="fr-FR"/>
        </w:rPr>
        <w:t>-</w:t>
      </w:r>
      <w:r w:rsidRPr="00F53F7B">
        <w:rPr>
          <w:b/>
          <w:bCs/>
          <w:lang w:val="fr-FR"/>
        </w:rPr>
        <w:t>2016)</w:t>
      </w:r>
      <w:bookmarkStart w:id="54" w:name="_Toc56781455"/>
      <w:bookmarkEnd w:id="54"/>
    </w:p>
    <w:tbl>
      <w:tblPr>
        <w:tblW w:w="7370" w:type="dxa"/>
        <w:tblInd w:w="1134" w:type="dxa"/>
        <w:tblLayout w:type="fixed"/>
        <w:tblCellMar>
          <w:left w:w="0" w:type="dxa"/>
          <w:right w:w="0" w:type="dxa"/>
        </w:tblCellMar>
        <w:tblLook w:val="00A0" w:firstRow="1" w:lastRow="0" w:firstColumn="1" w:lastColumn="0" w:noHBand="0" w:noVBand="0"/>
      </w:tblPr>
      <w:tblGrid>
        <w:gridCol w:w="1059"/>
        <w:gridCol w:w="1051"/>
        <w:gridCol w:w="1052"/>
        <w:gridCol w:w="1052"/>
        <w:gridCol w:w="1052"/>
        <w:gridCol w:w="1052"/>
        <w:gridCol w:w="1052"/>
      </w:tblGrid>
      <w:tr w:rsidR="003C48D6" w:rsidRPr="00F53F7B" w14:paraId="410A74A4" w14:textId="77777777" w:rsidTr="00AF6536">
        <w:trPr>
          <w:tblHeader/>
        </w:trPr>
        <w:tc>
          <w:tcPr>
            <w:tcW w:w="1059" w:type="dxa"/>
            <w:tcBorders>
              <w:top w:val="single" w:sz="4" w:space="0" w:color="auto"/>
              <w:bottom w:val="single" w:sz="12" w:space="0" w:color="auto"/>
            </w:tcBorders>
            <w:shd w:val="clear" w:color="auto" w:fill="auto"/>
            <w:vAlign w:val="bottom"/>
          </w:tcPr>
          <w:p w14:paraId="24A1E78A" w14:textId="77777777" w:rsidR="003C48D6" w:rsidRPr="00F53F7B" w:rsidRDefault="003C48D6" w:rsidP="00F53F7B">
            <w:pPr>
              <w:suppressAutoHyphens w:val="0"/>
              <w:spacing w:before="80" w:after="80" w:line="200" w:lineRule="exact"/>
              <w:rPr>
                <w:i/>
                <w:sz w:val="16"/>
                <w:lang w:val="fr-FR"/>
              </w:rPr>
            </w:pPr>
            <w:r w:rsidRPr="00F53F7B">
              <w:rPr>
                <w:i/>
                <w:sz w:val="16"/>
                <w:lang w:val="fr-FR"/>
              </w:rPr>
              <w:t>Âge</w:t>
            </w:r>
          </w:p>
        </w:tc>
        <w:tc>
          <w:tcPr>
            <w:tcW w:w="1051" w:type="dxa"/>
            <w:tcBorders>
              <w:top w:val="single" w:sz="4" w:space="0" w:color="auto"/>
              <w:bottom w:val="single" w:sz="12" w:space="0" w:color="auto"/>
            </w:tcBorders>
            <w:shd w:val="clear" w:color="auto" w:fill="auto"/>
            <w:vAlign w:val="bottom"/>
          </w:tcPr>
          <w:p w14:paraId="723C68B4" w14:textId="77777777" w:rsidR="003C48D6" w:rsidRPr="00F53F7B" w:rsidRDefault="003C48D6" w:rsidP="00F53F7B">
            <w:pPr>
              <w:suppressAutoHyphens w:val="0"/>
              <w:spacing w:before="80" w:after="80" w:line="200" w:lineRule="exact"/>
              <w:jc w:val="right"/>
              <w:rPr>
                <w:bCs/>
                <w:i/>
                <w:sz w:val="16"/>
                <w:lang w:val="fr-FR"/>
              </w:rPr>
            </w:pPr>
            <w:r w:rsidRPr="00F53F7B">
              <w:rPr>
                <w:i/>
                <w:sz w:val="16"/>
                <w:lang w:val="fr-FR"/>
              </w:rPr>
              <w:t>2011</w:t>
            </w:r>
          </w:p>
        </w:tc>
        <w:tc>
          <w:tcPr>
            <w:tcW w:w="1052" w:type="dxa"/>
            <w:tcBorders>
              <w:top w:val="single" w:sz="4" w:space="0" w:color="auto"/>
              <w:bottom w:val="single" w:sz="12" w:space="0" w:color="auto"/>
            </w:tcBorders>
            <w:shd w:val="clear" w:color="auto" w:fill="auto"/>
            <w:vAlign w:val="bottom"/>
          </w:tcPr>
          <w:p w14:paraId="1289BDDA" w14:textId="77777777" w:rsidR="003C48D6" w:rsidRPr="00F53F7B" w:rsidRDefault="003C48D6" w:rsidP="00F53F7B">
            <w:pPr>
              <w:suppressAutoHyphens w:val="0"/>
              <w:spacing w:before="80" w:after="80" w:line="200" w:lineRule="exact"/>
              <w:jc w:val="right"/>
              <w:rPr>
                <w:bCs/>
                <w:i/>
                <w:sz w:val="16"/>
                <w:lang w:val="fr-FR"/>
              </w:rPr>
            </w:pPr>
            <w:r w:rsidRPr="00F53F7B">
              <w:rPr>
                <w:i/>
                <w:sz w:val="16"/>
                <w:lang w:val="fr-FR"/>
              </w:rPr>
              <w:t>2012</w:t>
            </w:r>
          </w:p>
        </w:tc>
        <w:tc>
          <w:tcPr>
            <w:tcW w:w="1052" w:type="dxa"/>
            <w:tcBorders>
              <w:top w:val="single" w:sz="4" w:space="0" w:color="auto"/>
              <w:bottom w:val="single" w:sz="12" w:space="0" w:color="auto"/>
            </w:tcBorders>
            <w:shd w:val="clear" w:color="auto" w:fill="auto"/>
            <w:vAlign w:val="bottom"/>
          </w:tcPr>
          <w:p w14:paraId="4944FC6E" w14:textId="77777777" w:rsidR="003C48D6" w:rsidRPr="00F53F7B" w:rsidRDefault="003C48D6" w:rsidP="00F53F7B">
            <w:pPr>
              <w:suppressAutoHyphens w:val="0"/>
              <w:spacing w:before="80" w:after="80" w:line="200" w:lineRule="exact"/>
              <w:jc w:val="right"/>
              <w:rPr>
                <w:bCs/>
                <w:i/>
                <w:sz w:val="16"/>
                <w:lang w:val="fr-FR"/>
              </w:rPr>
            </w:pPr>
            <w:r w:rsidRPr="00F53F7B">
              <w:rPr>
                <w:i/>
                <w:sz w:val="16"/>
                <w:lang w:val="fr-FR"/>
              </w:rPr>
              <w:t>2013</w:t>
            </w:r>
          </w:p>
        </w:tc>
        <w:tc>
          <w:tcPr>
            <w:tcW w:w="1052" w:type="dxa"/>
            <w:tcBorders>
              <w:top w:val="single" w:sz="4" w:space="0" w:color="auto"/>
              <w:bottom w:val="single" w:sz="12" w:space="0" w:color="auto"/>
            </w:tcBorders>
            <w:shd w:val="clear" w:color="auto" w:fill="auto"/>
            <w:vAlign w:val="bottom"/>
          </w:tcPr>
          <w:p w14:paraId="7694F68D" w14:textId="77777777" w:rsidR="003C48D6" w:rsidRPr="00F53F7B" w:rsidRDefault="003C48D6" w:rsidP="00F53F7B">
            <w:pPr>
              <w:suppressAutoHyphens w:val="0"/>
              <w:spacing w:before="80" w:after="80" w:line="200" w:lineRule="exact"/>
              <w:jc w:val="right"/>
              <w:rPr>
                <w:bCs/>
                <w:i/>
                <w:sz w:val="16"/>
                <w:lang w:val="fr-FR"/>
              </w:rPr>
            </w:pPr>
            <w:r w:rsidRPr="00F53F7B">
              <w:rPr>
                <w:i/>
                <w:sz w:val="16"/>
                <w:lang w:val="fr-FR"/>
              </w:rPr>
              <w:t>2014</w:t>
            </w:r>
          </w:p>
        </w:tc>
        <w:tc>
          <w:tcPr>
            <w:tcW w:w="1052" w:type="dxa"/>
            <w:tcBorders>
              <w:top w:val="single" w:sz="4" w:space="0" w:color="auto"/>
              <w:bottom w:val="single" w:sz="12" w:space="0" w:color="auto"/>
            </w:tcBorders>
            <w:shd w:val="clear" w:color="auto" w:fill="auto"/>
            <w:vAlign w:val="bottom"/>
          </w:tcPr>
          <w:p w14:paraId="4BC38352" w14:textId="77777777" w:rsidR="003C48D6" w:rsidRPr="00F53F7B" w:rsidRDefault="003C48D6" w:rsidP="00F53F7B">
            <w:pPr>
              <w:suppressAutoHyphens w:val="0"/>
              <w:spacing w:before="80" w:after="80" w:line="200" w:lineRule="exact"/>
              <w:jc w:val="right"/>
              <w:rPr>
                <w:bCs/>
                <w:i/>
                <w:sz w:val="16"/>
                <w:lang w:val="fr-FR"/>
              </w:rPr>
            </w:pPr>
            <w:r w:rsidRPr="00F53F7B">
              <w:rPr>
                <w:i/>
                <w:sz w:val="16"/>
                <w:lang w:val="fr-FR"/>
              </w:rPr>
              <w:t>2015</w:t>
            </w:r>
          </w:p>
        </w:tc>
        <w:tc>
          <w:tcPr>
            <w:tcW w:w="1052" w:type="dxa"/>
            <w:tcBorders>
              <w:top w:val="single" w:sz="4" w:space="0" w:color="auto"/>
              <w:bottom w:val="single" w:sz="12" w:space="0" w:color="auto"/>
            </w:tcBorders>
            <w:shd w:val="clear" w:color="auto" w:fill="auto"/>
            <w:vAlign w:val="bottom"/>
          </w:tcPr>
          <w:p w14:paraId="2691C39F" w14:textId="77777777" w:rsidR="003C48D6" w:rsidRPr="00F53F7B" w:rsidRDefault="003C48D6" w:rsidP="00F53F7B">
            <w:pPr>
              <w:suppressAutoHyphens w:val="0"/>
              <w:spacing w:before="80" w:after="80" w:line="200" w:lineRule="exact"/>
              <w:jc w:val="right"/>
              <w:rPr>
                <w:bCs/>
                <w:i/>
                <w:sz w:val="16"/>
                <w:lang w:val="fr-FR"/>
              </w:rPr>
            </w:pPr>
            <w:r w:rsidRPr="00F53F7B">
              <w:rPr>
                <w:i/>
                <w:sz w:val="16"/>
                <w:lang w:val="fr-FR"/>
              </w:rPr>
              <w:t>2016</w:t>
            </w:r>
          </w:p>
        </w:tc>
      </w:tr>
      <w:tr w:rsidR="003C48D6" w:rsidRPr="00F53F7B" w14:paraId="2FC8E657" w14:textId="77777777" w:rsidTr="00AF6536">
        <w:tc>
          <w:tcPr>
            <w:tcW w:w="1059" w:type="dxa"/>
            <w:tcBorders>
              <w:top w:val="single" w:sz="12" w:space="0" w:color="auto"/>
              <w:bottom w:val="single" w:sz="4" w:space="0" w:color="auto"/>
            </w:tcBorders>
            <w:shd w:val="clear" w:color="auto" w:fill="auto"/>
          </w:tcPr>
          <w:p w14:paraId="4929952A" w14:textId="77777777" w:rsidR="003C48D6" w:rsidRPr="00AF6536" w:rsidRDefault="003C48D6" w:rsidP="00AF6536">
            <w:pPr>
              <w:suppressAutoHyphens w:val="0"/>
              <w:spacing w:before="80" w:after="80" w:line="220" w:lineRule="exact"/>
              <w:ind w:left="284"/>
              <w:rPr>
                <w:b/>
                <w:sz w:val="18"/>
                <w:szCs w:val="18"/>
                <w:lang w:val="fr-FR"/>
              </w:rPr>
            </w:pPr>
            <w:r w:rsidRPr="00AF6536">
              <w:rPr>
                <w:b/>
                <w:sz w:val="18"/>
                <w:szCs w:val="18"/>
                <w:lang w:val="fr-FR"/>
              </w:rPr>
              <w:t>Total</w:t>
            </w:r>
          </w:p>
        </w:tc>
        <w:tc>
          <w:tcPr>
            <w:tcW w:w="1051" w:type="dxa"/>
            <w:tcBorders>
              <w:top w:val="single" w:sz="12" w:space="0" w:color="auto"/>
              <w:bottom w:val="single" w:sz="4" w:space="0" w:color="auto"/>
            </w:tcBorders>
            <w:shd w:val="clear" w:color="auto" w:fill="auto"/>
            <w:vAlign w:val="bottom"/>
          </w:tcPr>
          <w:p w14:paraId="5B4C4113" w14:textId="77777777" w:rsidR="003C48D6" w:rsidRPr="00AF6536" w:rsidRDefault="003C48D6" w:rsidP="00DA1E01">
            <w:pPr>
              <w:suppressAutoHyphens w:val="0"/>
              <w:spacing w:before="80" w:after="80" w:line="220" w:lineRule="exact"/>
              <w:jc w:val="right"/>
              <w:rPr>
                <w:b/>
                <w:sz w:val="18"/>
                <w:szCs w:val="18"/>
                <w:lang w:val="fr-FR"/>
              </w:rPr>
            </w:pPr>
            <w:r w:rsidRPr="00AF6536">
              <w:rPr>
                <w:b/>
                <w:sz w:val="18"/>
                <w:szCs w:val="18"/>
                <w:lang w:val="fr-FR"/>
              </w:rPr>
              <w:t>7,5</w:t>
            </w:r>
          </w:p>
        </w:tc>
        <w:tc>
          <w:tcPr>
            <w:tcW w:w="1052" w:type="dxa"/>
            <w:tcBorders>
              <w:top w:val="single" w:sz="12" w:space="0" w:color="auto"/>
              <w:bottom w:val="single" w:sz="4" w:space="0" w:color="auto"/>
            </w:tcBorders>
            <w:shd w:val="clear" w:color="auto" w:fill="auto"/>
            <w:vAlign w:val="bottom"/>
          </w:tcPr>
          <w:p w14:paraId="1769676C" w14:textId="77777777" w:rsidR="003C48D6" w:rsidRPr="00AF6536" w:rsidRDefault="003C48D6" w:rsidP="00DA1E01">
            <w:pPr>
              <w:suppressAutoHyphens w:val="0"/>
              <w:spacing w:before="80" w:after="80" w:line="220" w:lineRule="exact"/>
              <w:jc w:val="right"/>
              <w:rPr>
                <w:b/>
                <w:sz w:val="18"/>
                <w:szCs w:val="18"/>
                <w:lang w:val="fr-FR"/>
              </w:rPr>
            </w:pPr>
            <w:r w:rsidRPr="00AF6536">
              <w:rPr>
                <w:b/>
                <w:sz w:val="18"/>
                <w:szCs w:val="18"/>
                <w:lang w:val="fr-FR"/>
              </w:rPr>
              <w:t>9,8</w:t>
            </w:r>
          </w:p>
        </w:tc>
        <w:tc>
          <w:tcPr>
            <w:tcW w:w="1052" w:type="dxa"/>
            <w:tcBorders>
              <w:top w:val="single" w:sz="12" w:space="0" w:color="auto"/>
              <w:bottom w:val="single" w:sz="4" w:space="0" w:color="auto"/>
            </w:tcBorders>
            <w:shd w:val="clear" w:color="auto" w:fill="auto"/>
            <w:vAlign w:val="bottom"/>
          </w:tcPr>
          <w:p w14:paraId="41B154D4" w14:textId="77777777" w:rsidR="003C48D6" w:rsidRPr="00AF6536" w:rsidRDefault="003C48D6" w:rsidP="00DA1E01">
            <w:pPr>
              <w:suppressAutoHyphens w:val="0"/>
              <w:spacing w:before="80" w:after="80" w:line="220" w:lineRule="exact"/>
              <w:jc w:val="right"/>
              <w:rPr>
                <w:b/>
                <w:sz w:val="18"/>
                <w:szCs w:val="18"/>
                <w:lang w:val="fr-FR"/>
              </w:rPr>
            </w:pPr>
            <w:r w:rsidRPr="00AF6536">
              <w:rPr>
                <w:b/>
                <w:sz w:val="18"/>
                <w:szCs w:val="18"/>
                <w:lang w:val="fr-FR"/>
              </w:rPr>
              <w:t>10,2</w:t>
            </w:r>
          </w:p>
        </w:tc>
        <w:tc>
          <w:tcPr>
            <w:tcW w:w="1052" w:type="dxa"/>
            <w:tcBorders>
              <w:top w:val="single" w:sz="12" w:space="0" w:color="auto"/>
              <w:bottom w:val="single" w:sz="4" w:space="0" w:color="auto"/>
            </w:tcBorders>
            <w:shd w:val="clear" w:color="auto" w:fill="auto"/>
            <w:vAlign w:val="bottom"/>
          </w:tcPr>
          <w:p w14:paraId="4B102481" w14:textId="77777777" w:rsidR="003C48D6" w:rsidRPr="00AF6536" w:rsidRDefault="003C48D6" w:rsidP="00DA1E01">
            <w:pPr>
              <w:suppressAutoHyphens w:val="0"/>
              <w:spacing w:before="80" w:after="80" w:line="220" w:lineRule="exact"/>
              <w:jc w:val="right"/>
              <w:rPr>
                <w:b/>
                <w:sz w:val="18"/>
                <w:szCs w:val="18"/>
                <w:lang w:val="fr-FR"/>
              </w:rPr>
            </w:pPr>
            <w:r w:rsidRPr="00AF6536">
              <w:rPr>
                <w:b/>
                <w:sz w:val="18"/>
                <w:szCs w:val="18"/>
                <w:lang w:val="fr-FR"/>
              </w:rPr>
              <w:t>9,9</w:t>
            </w:r>
          </w:p>
        </w:tc>
        <w:tc>
          <w:tcPr>
            <w:tcW w:w="1052" w:type="dxa"/>
            <w:tcBorders>
              <w:top w:val="single" w:sz="12" w:space="0" w:color="auto"/>
              <w:bottom w:val="single" w:sz="4" w:space="0" w:color="auto"/>
            </w:tcBorders>
            <w:shd w:val="clear" w:color="auto" w:fill="auto"/>
            <w:vAlign w:val="bottom"/>
          </w:tcPr>
          <w:p w14:paraId="45553A63" w14:textId="77777777" w:rsidR="003C48D6" w:rsidRPr="00AF6536" w:rsidRDefault="003C48D6" w:rsidP="00DA1E01">
            <w:pPr>
              <w:suppressAutoHyphens w:val="0"/>
              <w:spacing w:before="80" w:after="80" w:line="220" w:lineRule="exact"/>
              <w:jc w:val="right"/>
              <w:rPr>
                <w:b/>
                <w:sz w:val="18"/>
                <w:szCs w:val="18"/>
                <w:lang w:val="fr-FR"/>
              </w:rPr>
            </w:pPr>
            <w:r w:rsidRPr="00AF6536">
              <w:rPr>
                <w:b/>
                <w:sz w:val="18"/>
                <w:szCs w:val="18"/>
                <w:lang w:val="fr-FR"/>
              </w:rPr>
              <w:t>8,6</w:t>
            </w:r>
          </w:p>
        </w:tc>
        <w:tc>
          <w:tcPr>
            <w:tcW w:w="1052" w:type="dxa"/>
            <w:tcBorders>
              <w:top w:val="single" w:sz="12" w:space="0" w:color="auto"/>
              <w:bottom w:val="single" w:sz="4" w:space="0" w:color="auto"/>
            </w:tcBorders>
            <w:shd w:val="clear" w:color="auto" w:fill="auto"/>
            <w:vAlign w:val="bottom"/>
          </w:tcPr>
          <w:p w14:paraId="71ADB36A" w14:textId="77777777" w:rsidR="003C48D6" w:rsidRPr="00AF6536" w:rsidRDefault="003C48D6" w:rsidP="00DA1E01">
            <w:pPr>
              <w:suppressAutoHyphens w:val="0"/>
              <w:spacing w:before="80" w:after="80" w:line="220" w:lineRule="exact"/>
              <w:jc w:val="right"/>
              <w:rPr>
                <w:b/>
                <w:sz w:val="18"/>
                <w:szCs w:val="18"/>
                <w:lang w:val="fr-FR"/>
              </w:rPr>
            </w:pPr>
            <w:r w:rsidRPr="00AF6536">
              <w:rPr>
                <w:b/>
                <w:sz w:val="18"/>
                <w:szCs w:val="18"/>
                <w:lang w:val="fr-FR"/>
              </w:rPr>
              <w:t>11,9</w:t>
            </w:r>
          </w:p>
        </w:tc>
      </w:tr>
      <w:tr w:rsidR="003C48D6" w:rsidRPr="00F53F7B" w14:paraId="06EEAEE0" w14:textId="77777777" w:rsidTr="00AF6536">
        <w:tc>
          <w:tcPr>
            <w:tcW w:w="1059" w:type="dxa"/>
            <w:tcBorders>
              <w:top w:val="single" w:sz="4" w:space="0" w:color="auto"/>
            </w:tcBorders>
            <w:shd w:val="clear" w:color="auto" w:fill="auto"/>
          </w:tcPr>
          <w:p w14:paraId="493962C2" w14:textId="77777777" w:rsidR="003C48D6" w:rsidRPr="00F53F7B" w:rsidRDefault="003C48D6" w:rsidP="00F53F7B">
            <w:pPr>
              <w:suppressAutoHyphens w:val="0"/>
              <w:spacing w:before="40" w:after="40" w:line="220" w:lineRule="exact"/>
              <w:rPr>
                <w:sz w:val="18"/>
                <w:szCs w:val="18"/>
                <w:lang w:val="fr-FR"/>
              </w:rPr>
            </w:pPr>
            <w:r w:rsidRPr="00F53F7B">
              <w:rPr>
                <w:sz w:val="18"/>
                <w:szCs w:val="18"/>
                <w:lang w:val="fr-FR"/>
              </w:rPr>
              <w:t>&lt;</w:t>
            </w:r>
            <w:r w:rsidR="00F53F7B">
              <w:rPr>
                <w:sz w:val="18"/>
                <w:szCs w:val="18"/>
                <w:lang w:val="fr-FR"/>
              </w:rPr>
              <w:t xml:space="preserve"> </w:t>
            </w:r>
            <w:r w:rsidRPr="00F53F7B">
              <w:rPr>
                <w:sz w:val="18"/>
                <w:szCs w:val="18"/>
                <w:lang w:val="fr-FR"/>
              </w:rPr>
              <w:t>20</w:t>
            </w:r>
          </w:p>
        </w:tc>
        <w:tc>
          <w:tcPr>
            <w:tcW w:w="1051" w:type="dxa"/>
            <w:tcBorders>
              <w:top w:val="single" w:sz="4" w:space="0" w:color="auto"/>
            </w:tcBorders>
            <w:shd w:val="clear" w:color="auto" w:fill="auto"/>
            <w:vAlign w:val="bottom"/>
          </w:tcPr>
          <w:p w14:paraId="398E8D6F"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N/D</w:t>
            </w:r>
          </w:p>
        </w:tc>
        <w:tc>
          <w:tcPr>
            <w:tcW w:w="1052" w:type="dxa"/>
            <w:tcBorders>
              <w:top w:val="single" w:sz="4" w:space="0" w:color="auto"/>
            </w:tcBorders>
            <w:shd w:val="clear" w:color="auto" w:fill="auto"/>
            <w:vAlign w:val="bottom"/>
          </w:tcPr>
          <w:p w14:paraId="2CD4B6D0"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11,0</w:t>
            </w:r>
          </w:p>
        </w:tc>
        <w:tc>
          <w:tcPr>
            <w:tcW w:w="1052" w:type="dxa"/>
            <w:tcBorders>
              <w:top w:val="single" w:sz="4" w:space="0" w:color="auto"/>
            </w:tcBorders>
            <w:shd w:val="clear" w:color="auto" w:fill="auto"/>
            <w:vAlign w:val="bottom"/>
          </w:tcPr>
          <w:p w14:paraId="77761B15"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12,7</w:t>
            </w:r>
          </w:p>
        </w:tc>
        <w:tc>
          <w:tcPr>
            <w:tcW w:w="1052" w:type="dxa"/>
            <w:tcBorders>
              <w:top w:val="single" w:sz="4" w:space="0" w:color="auto"/>
            </w:tcBorders>
            <w:shd w:val="clear" w:color="auto" w:fill="auto"/>
            <w:vAlign w:val="bottom"/>
          </w:tcPr>
          <w:p w14:paraId="08F9E673"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14,6</w:t>
            </w:r>
          </w:p>
        </w:tc>
        <w:tc>
          <w:tcPr>
            <w:tcW w:w="1052" w:type="dxa"/>
            <w:tcBorders>
              <w:top w:val="single" w:sz="4" w:space="0" w:color="auto"/>
            </w:tcBorders>
            <w:shd w:val="clear" w:color="auto" w:fill="auto"/>
            <w:vAlign w:val="bottom"/>
          </w:tcPr>
          <w:p w14:paraId="760A79F4"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19,2</w:t>
            </w:r>
          </w:p>
        </w:tc>
        <w:tc>
          <w:tcPr>
            <w:tcW w:w="1052" w:type="dxa"/>
            <w:tcBorders>
              <w:top w:val="single" w:sz="4" w:space="0" w:color="auto"/>
            </w:tcBorders>
            <w:shd w:val="clear" w:color="auto" w:fill="auto"/>
            <w:vAlign w:val="bottom"/>
          </w:tcPr>
          <w:p w14:paraId="0AF57DFB"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13,9</w:t>
            </w:r>
          </w:p>
        </w:tc>
      </w:tr>
      <w:tr w:rsidR="003C48D6" w:rsidRPr="00F53F7B" w14:paraId="61E39079" w14:textId="77777777" w:rsidTr="00F53F7B">
        <w:tc>
          <w:tcPr>
            <w:tcW w:w="1059" w:type="dxa"/>
            <w:shd w:val="clear" w:color="auto" w:fill="auto"/>
          </w:tcPr>
          <w:p w14:paraId="0DB76CB1" w14:textId="77777777" w:rsidR="003C48D6" w:rsidRPr="00F53F7B" w:rsidRDefault="003C48D6" w:rsidP="00F53F7B">
            <w:pPr>
              <w:suppressAutoHyphens w:val="0"/>
              <w:spacing w:before="40" w:after="40" w:line="220" w:lineRule="exact"/>
              <w:rPr>
                <w:sz w:val="18"/>
                <w:szCs w:val="18"/>
                <w:lang w:val="fr-FR"/>
              </w:rPr>
            </w:pPr>
            <w:r w:rsidRPr="00F53F7B">
              <w:rPr>
                <w:sz w:val="18"/>
                <w:szCs w:val="18"/>
                <w:lang w:val="fr-FR"/>
              </w:rPr>
              <w:t>20-29 ans</w:t>
            </w:r>
          </w:p>
        </w:tc>
        <w:tc>
          <w:tcPr>
            <w:tcW w:w="1051" w:type="dxa"/>
            <w:shd w:val="clear" w:color="auto" w:fill="auto"/>
            <w:vAlign w:val="bottom"/>
          </w:tcPr>
          <w:p w14:paraId="50D1874F"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N/D</w:t>
            </w:r>
          </w:p>
        </w:tc>
        <w:tc>
          <w:tcPr>
            <w:tcW w:w="1052" w:type="dxa"/>
            <w:shd w:val="clear" w:color="auto" w:fill="auto"/>
            <w:vAlign w:val="bottom"/>
          </w:tcPr>
          <w:p w14:paraId="1140C6B5"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7,5</w:t>
            </w:r>
          </w:p>
        </w:tc>
        <w:tc>
          <w:tcPr>
            <w:tcW w:w="1052" w:type="dxa"/>
            <w:shd w:val="clear" w:color="auto" w:fill="auto"/>
            <w:vAlign w:val="bottom"/>
          </w:tcPr>
          <w:p w14:paraId="7D13BB88"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9,1</w:t>
            </w:r>
          </w:p>
        </w:tc>
        <w:tc>
          <w:tcPr>
            <w:tcW w:w="1052" w:type="dxa"/>
            <w:shd w:val="clear" w:color="auto" w:fill="auto"/>
            <w:vAlign w:val="bottom"/>
          </w:tcPr>
          <w:p w14:paraId="790E4FEE"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8,5</w:t>
            </w:r>
          </w:p>
        </w:tc>
        <w:tc>
          <w:tcPr>
            <w:tcW w:w="1052" w:type="dxa"/>
            <w:shd w:val="clear" w:color="auto" w:fill="auto"/>
            <w:vAlign w:val="bottom"/>
          </w:tcPr>
          <w:p w14:paraId="351D63A9"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8,4</w:t>
            </w:r>
          </w:p>
        </w:tc>
        <w:tc>
          <w:tcPr>
            <w:tcW w:w="1052" w:type="dxa"/>
            <w:shd w:val="clear" w:color="auto" w:fill="auto"/>
            <w:vAlign w:val="bottom"/>
          </w:tcPr>
          <w:p w14:paraId="43850A29"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9,8</w:t>
            </w:r>
          </w:p>
        </w:tc>
      </w:tr>
      <w:tr w:rsidR="003C48D6" w:rsidRPr="00F53F7B" w14:paraId="0C6EB089" w14:textId="77777777" w:rsidTr="00F53F7B">
        <w:tc>
          <w:tcPr>
            <w:tcW w:w="1059" w:type="dxa"/>
            <w:shd w:val="clear" w:color="auto" w:fill="auto"/>
          </w:tcPr>
          <w:p w14:paraId="722A5A08" w14:textId="77777777" w:rsidR="003C48D6" w:rsidRPr="00F53F7B" w:rsidRDefault="003C48D6" w:rsidP="00F53F7B">
            <w:pPr>
              <w:suppressAutoHyphens w:val="0"/>
              <w:spacing w:before="40" w:after="40" w:line="220" w:lineRule="exact"/>
              <w:rPr>
                <w:sz w:val="18"/>
                <w:szCs w:val="18"/>
                <w:lang w:val="fr-FR"/>
              </w:rPr>
            </w:pPr>
            <w:r w:rsidRPr="00F53F7B">
              <w:rPr>
                <w:sz w:val="18"/>
                <w:szCs w:val="18"/>
                <w:lang w:val="fr-FR"/>
              </w:rPr>
              <w:t>30-39 ans</w:t>
            </w:r>
          </w:p>
        </w:tc>
        <w:tc>
          <w:tcPr>
            <w:tcW w:w="1051" w:type="dxa"/>
            <w:shd w:val="clear" w:color="auto" w:fill="auto"/>
            <w:vAlign w:val="bottom"/>
          </w:tcPr>
          <w:p w14:paraId="5DCCCA35"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N/D</w:t>
            </w:r>
          </w:p>
        </w:tc>
        <w:tc>
          <w:tcPr>
            <w:tcW w:w="1052" w:type="dxa"/>
            <w:shd w:val="clear" w:color="auto" w:fill="auto"/>
            <w:vAlign w:val="bottom"/>
          </w:tcPr>
          <w:p w14:paraId="14764346"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13</w:t>
            </w:r>
          </w:p>
        </w:tc>
        <w:tc>
          <w:tcPr>
            <w:tcW w:w="1052" w:type="dxa"/>
            <w:shd w:val="clear" w:color="auto" w:fill="auto"/>
            <w:vAlign w:val="bottom"/>
          </w:tcPr>
          <w:p w14:paraId="17FF9D1D"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10,8</w:t>
            </w:r>
          </w:p>
        </w:tc>
        <w:tc>
          <w:tcPr>
            <w:tcW w:w="1052" w:type="dxa"/>
            <w:shd w:val="clear" w:color="auto" w:fill="auto"/>
            <w:vAlign w:val="bottom"/>
          </w:tcPr>
          <w:p w14:paraId="443B1C5B"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11,4</w:t>
            </w:r>
          </w:p>
        </w:tc>
        <w:tc>
          <w:tcPr>
            <w:tcW w:w="1052" w:type="dxa"/>
            <w:shd w:val="clear" w:color="auto" w:fill="auto"/>
            <w:vAlign w:val="bottom"/>
          </w:tcPr>
          <w:p w14:paraId="2ABB9917"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8,3</w:t>
            </w:r>
          </w:p>
        </w:tc>
        <w:tc>
          <w:tcPr>
            <w:tcW w:w="1052" w:type="dxa"/>
            <w:shd w:val="clear" w:color="auto" w:fill="auto"/>
            <w:vAlign w:val="bottom"/>
          </w:tcPr>
          <w:p w14:paraId="79ECCC83"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14,7</w:t>
            </w:r>
          </w:p>
        </w:tc>
      </w:tr>
      <w:tr w:rsidR="003C48D6" w:rsidRPr="00F53F7B" w14:paraId="6C914A9C" w14:textId="77777777" w:rsidTr="00F53F7B">
        <w:tc>
          <w:tcPr>
            <w:tcW w:w="1059" w:type="dxa"/>
            <w:tcBorders>
              <w:bottom w:val="single" w:sz="12" w:space="0" w:color="auto"/>
            </w:tcBorders>
            <w:shd w:val="clear" w:color="auto" w:fill="auto"/>
          </w:tcPr>
          <w:p w14:paraId="0D771D76" w14:textId="77777777" w:rsidR="003C48D6" w:rsidRPr="00F53F7B" w:rsidRDefault="003C48D6" w:rsidP="00F53F7B">
            <w:pPr>
              <w:suppressAutoHyphens w:val="0"/>
              <w:spacing w:before="40" w:after="40" w:line="220" w:lineRule="exact"/>
              <w:rPr>
                <w:sz w:val="18"/>
                <w:szCs w:val="18"/>
                <w:lang w:val="fr-FR"/>
              </w:rPr>
            </w:pPr>
            <w:r w:rsidRPr="00F53F7B">
              <w:rPr>
                <w:sz w:val="18"/>
                <w:szCs w:val="18"/>
                <w:lang w:val="fr-FR"/>
              </w:rPr>
              <w:t>&gt;</w:t>
            </w:r>
            <w:r w:rsidR="00F53F7B">
              <w:rPr>
                <w:sz w:val="18"/>
                <w:szCs w:val="18"/>
                <w:lang w:val="fr-FR"/>
              </w:rPr>
              <w:t xml:space="preserve"> </w:t>
            </w:r>
            <w:r w:rsidRPr="00F53F7B">
              <w:rPr>
                <w:sz w:val="18"/>
                <w:szCs w:val="18"/>
                <w:lang w:val="fr-FR"/>
              </w:rPr>
              <w:t>40</w:t>
            </w:r>
          </w:p>
        </w:tc>
        <w:tc>
          <w:tcPr>
            <w:tcW w:w="1051" w:type="dxa"/>
            <w:tcBorders>
              <w:bottom w:val="single" w:sz="12" w:space="0" w:color="auto"/>
            </w:tcBorders>
            <w:shd w:val="clear" w:color="auto" w:fill="auto"/>
            <w:vAlign w:val="bottom"/>
          </w:tcPr>
          <w:p w14:paraId="2DB1F95B"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N/D</w:t>
            </w:r>
          </w:p>
        </w:tc>
        <w:tc>
          <w:tcPr>
            <w:tcW w:w="1052" w:type="dxa"/>
            <w:tcBorders>
              <w:bottom w:val="single" w:sz="12" w:space="0" w:color="auto"/>
            </w:tcBorders>
            <w:shd w:val="clear" w:color="auto" w:fill="auto"/>
            <w:vAlign w:val="bottom"/>
          </w:tcPr>
          <w:p w14:paraId="1FB7E875"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25,1</w:t>
            </w:r>
          </w:p>
        </w:tc>
        <w:tc>
          <w:tcPr>
            <w:tcW w:w="1052" w:type="dxa"/>
            <w:tcBorders>
              <w:bottom w:val="single" w:sz="12" w:space="0" w:color="auto"/>
            </w:tcBorders>
            <w:shd w:val="clear" w:color="auto" w:fill="auto"/>
            <w:vAlign w:val="bottom"/>
          </w:tcPr>
          <w:p w14:paraId="6D5DA685"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24,8</w:t>
            </w:r>
          </w:p>
        </w:tc>
        <w:tc>
          <w:tcPr>
            <w:tcW w:w="1052" w:type="dxa"/>
            <w:tcBorders>
              <w:bottom w:val="single" w:sz="12" w:space="0" w:color="auto"/>
            </w:tcBorders>
            <w:shd w:val="clear" w:color="auto" w:fill="auto"/>
            <w:vAlign w:val="bottom"/>
          </w:tcPr>
          <w:p w14:paraId="3CCA2A3D"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13,5</w:t>
            </w:r>
          </w:p>
        </w:tc>
        <w:tc>
          <w:tcPr>
            <w:tcW w:w="1052" w:type="dxa"/>
            <w:tcBorders>
              <w:bottom w:val="single" w:sz="12" w:space="0" w:color="auto"/>
            </w:tcBorders>
            <w:shd w:val="clear" w:color="auto" w:fill="auto"/>
            <w:vAlign w:val="bottom"/>
          </w:tcPr>
          <w:p w14:paraId="32C32B9F"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11,8</w:t>
            </w:r>
          </w:p>
        </w:tc>
        <w:tc>
          <w:tcPr>
            <w:tcW w:w="1052" w:type="dxa"/>
            <w:tcBorders>
              <w:bottom w:val="single" w:sz="12" w:space="0" w:color="auto"/>
            </w:tcBorders>
            <w:shd w:val="clear" w:color="auto" w:fill="auto"/>
            <w:vAlign w:val="bottom"/>
          </w:tcPr>
          <w:p w14:paraId="046D34DA" w14:textId="77777777" w:rsidR="003C48D6" w:rsidRPr="00F53F7B" w:rsidRDefault="003C48D6" w:rsidP="00F53F7B">
            <w:pPr>
              <w:suppressAutoHyphens w:val="0"/>
              <w:spacing w:before="40" w:after="40" w:line="220" w:lineRule="exact"/>
              <w:jc w:val="right"/>
              <w:rPr>
                <w:sz w:val="18"/>
                <w:szCs w:val="18"/>
                <w:lang w:val="fr-FR"/>
              </w:rPr>
            </w:pPr>
            <w:r w:rsidRPr="00F53F7B">
              <w:rPr>
                <w:sz w:val="18"/>
                <w:szCs w:val="18"/>
                <w:lang w:val="fr-FR"/>
              </w:rPr>
              <w:t>9,6</w:t>
            </w:r>
          </w:p>
        </w:tc>
      </w:tr>
    </w:tbl>
    <w:p w14:paraId="1CE84473" w14:textId="77777777" w:rsidR="003C48D6" w:rsidRPr="00F720A6" w:rsidRDefault="003C48D6" w:rsidP="00F53F7B">
      <w:pPr>
        <w:pStyle w:val="Titre1"/>
        <w:spacing w:before="240" w:after="120"/>
        <w:rPr>
          <w:lang w:val="fr-FR"/>
        </w:rPr>
      </w:pPr>
      <w:r w:rsidRPr="00F720A6">
        <w:rPr>
          <w:lang w:val="fr-FR"/>
        </w:rPr>
        <w:lastRenderedPageBreak/>
        <w:t>Tableau 9</w:t>
      </w:r>
      <w:r w:rsidRPr="00F720A6">
        <w:rPr>
          <w:lang w:val="fr-FR"/>
        </w:rPr>
        <w:br/>
      </w:r>
      <w:r w:rsidRPr="00F53F7B">
        <w:rPr>
          <w:b/>
          <w:bCs/>
          <w:lang w:val="fr-FR"/>
        </w:rPr>
        <w:t>Mortalité infantile en fonction du niveau d</w:t>
      </w:r>
      <w:r w:rsidR="00254912">
        <w:rPr>
          <w:b/>
          <w:bCs/>
          <w:lang w:val="fr-FR"/>
        </w:rPr>
        <w:t>’</w:t>
      </w:r>
      <w:r w:rsidRPr="00F53F7B">
        <w:rPr>
          <w:b/>
          <w:bCs/>
          <w:lang w:val="fr-FR"/>
        </w:rPr>
        <w:t>éducation des mères (2011-2016)</w:t>
      </w:r>
      <w:bookmarkStart w:id="55" w:name="_Toc56781456"/>
      <w:bookmarkEnd w:id="55"/>
    </w:p>
    <w:tbl>
      <w:tblPr>
        <w:tblW w:w="7370" w:type="dxa"/>
        <w:tblInd w:w="1134" w:type="dxa"/>
        <w:tblLayout w:type="fixed"/>
        <w:tblCellMar>
          <w:left w:w="0" w:type="dxa"/>
          <w:right w:w="0" w:type="dxa"/>
        </w:tblCellMar>
        <w:tblLook w:val="00A0" w:firstRow="1" w:lastRow="0" w:firstColumn="1" w:lastColumn="0" w:noHBand="0" w:noVBand="0"/>
      </w:tblPr>
      <w:tblGrid>
        <w:gridCol w:w="1843"/>
        <w:gridCol w:w="992"/>
        <w:gridCol w:w="851"/>
        <w:gridCol w:w="992"/>
        <w:gridCol w:w="851"/>
        <w:gridCol w:w="992"/>
        <w:gridCol w:w="849"/>
      </w:tblGrid>
      <w:tr w:rsidR="00F53F7B" w:rsidRPr="00F53F7B" w14:paraId="740E6CCB" w14:textId="77777777" w:rsidTr="00AF6536">
        <w:trPr>
          <w:tblHeader/>
        </w:trPr>
        <w:tc>
          <w:tcPr>
            <w:tcW w:w="1843" w:type="dxa"/>
            <w:tcBorders>
              <w:top w:val="single" w:sz="4" w:space="0" w:color="auto"/>
              <w:bottom w:val="single" w:sz="12" w:space="0" w:color="auto"/>
            </w:tcBorders>
            <w:shd w:val="clear" w:color="auto" w:fill="auto"/>
            <w:vAlign w:val="bottom"/>
          </w:tcPr>
          <w:p w14:paraId="1596BA55" w14:textId="77777777" w:rsidR="003C48D6" w:rsidRPr="00F53F7B" w:rsidRDefault="003C48D6" w:rsidP="00AF6536">
            <w:pPr>
              <w:keepNext/>
              <w:suppressAutoHyphens w:val="0"/>
              <w:spacing w:before="80" w:after="80" w:line="200" w:lineRule="exact"/>
              <w:rPr>
                <w:i/>
                <w:sz w:val="16"/>
                <w:lang w:val="fr-FR"/>
              </w:rPr>
            </w:pPr>
            <w:r w:rsidRPr="00F53F7B">
              <w:rPr>
                <w:i/>
                <w:sz w:val="16"/>
                <w:lang w:val="fr-FR"/>
              </w:rPr>
              <w:t>Niveau scolaire</w:t>
            </w:r>
          </w:p>
        </w:tc>
        <w:tc>
          <w:tcPr>
            <w:tcW w:w="992" w:type="dxa"/>
            <w:tcBorders>
              <w:top w:val="single" w:sz="4" w:space="0" w:color="auto"/>
              <w:bottom w:val="single" w:sz="12" w:space="0" w:color="auto"/>
            </w:tcBorders>
            <w:shd w:val="clear" w:color="auto" w:fill="auto"/>
            <w:vAlign w:val="bottom"/>
          </w:tcPr>
          <w:p w14:paraId="52771E74" w14:textId="77777777" w:rsidR="003C48D6" w:rsidRPr="00F53F7B" w:rsidRDefault="003C48D6" w:rsidP="00AF6536">
            <w:pPr>
              <w:keepNext/>
              <w:suppressAutoHyphens w:val="0"/>
              <w:spacing w:before="80" w:after="80" w:line="200" w:lineRule="exact"/>
              <w:jc w:val="right"/>
              <w:rPr>
                <w:bCs/>
                <w:i/>
                <w:sz w:val="16"/>
                <w:lang w:val="fr-FR"/>
              </w:rPr>
            </w:pPr>
            <w:r w:rsidRPr="00F53F7B">
              <w:rPr>
                <w:i/>
                <w:sz w:val="16"/>
                <w:lang w:val="fr-FR"/>
              </w:rPr>
              <w:t>2011</w:t>
            </w:r>
          </w:p>
        </w:tc>
        <w:tc>
          <w:tcPr>
            <w:tcW w:w="851" w:type="dxa"/>
            <w:tcBorders>
              <w:top w:val="single" w:sz="4" w:space="0" w:color="auto"/>
              <w:bottom w:val="single" w:sz="12" w:space="0" w:color="auto"/>
            </w:tcBorders>
            <w:shd w:val="clear" w:color="auto" w:fill="auto"/>
            <w:vAlign w:val="bottom"/>
          </w:tcPr>
          <w:p w14:paraId="3ED81E3C" w14:textId="77777777" w:rsidR="003C48D6" w:rsidRPr="00F53F7B" w:rsidRDefault="003C48D6" w:rsidP="00AF6536">
            <w:pPr>
              <w:keepNext/>
              <w:suppressAutoHyphens w:val="0"/>
              <w:spacing w:before="80" w:after="80" w:line="200" w:lineRule="exact"/>
              <w:jc w:val="right"/>
              <w:rPr>
                <w:bCs/>
                <w:i/>
                <w:sz w:val="16"/>
                <w:lang w:val="fr-FR"/>
              </w:rPr>
            </w:pPr>
            <w:r w:rsidRPr="00F53F7B">
              <w:rPr>
                <w:i/>
                <w:sz w:val="16"/>
                <w:lang w:val="fr-FR"/>
              </w:rPr>
              <w:t>2012</w:t>
            </w:r>
          </w:p>
        </w:tc>
        <w:tc>
          <w:tcPr>
            <w:tcW w:w="992" w:type="dxa"/>
            <w:tcBorders>
              <w:top w:val="single" w:sz="4" w:space="0" w:color="auto"/>
              <w:bottom w:val="single" w:sz="12" w:space="0" w:color="auto"/>
            </w:tcBorders>
            <w:shd w:val="clear" w:color="auto" w:fill="auto"/>
            <w:vAlign w:val="bottom"/>
          </w:tcPr>
          <w:p w14:paraId="040CB253" w14:textId="77777777" w:rsidR="003C48D6" w:rsidRPr="00F53F7B" w:rsidRDefault="003C48D6" w:rsidP="00AF6536">
            <w:pPr>
              <w:keepNext/>
              <w:suppressAutoHyphens w:val="0"/>
              <w:spacing w:before="80" w:after="80" w:line="200" w:lineRule="exact"/>
              <w:jc w:val="right"/>
              <w:rPr>
                <w:bCs/>
                <w:i/>
                <w:sz w:val="16"/>
                <w:lang w:val="fr-FR"/>
              </w:rPr>
            </w:pPr>
            <w:r w:rsidRPr="00F53F7B">
              <w:rPr>
                <w:i/>
                <w:sz w:val="16"/>
                <w:lang w:val="fr-FR"/>
              </w:rPr>
              <w:t>2013</w:t>
            </w:r>
          </w:p>
        </w:tc>
        <w:tc>
          <w:tcPr>
            <w:tcW w:w="851" w:type="dxa"/>
            <w:tcBorders>
              <w:top w:val="single" w:sz="4" w:space="0" w:color="auto"/>
              <w:bottom w:val="single" w:sz="12" w:space="0" w:color="auto"/>
            </w:tcBorders>
            <w:shd w:val="clear" w:color="auto" w:fill="auto"/>
            <w:vAlign w:val="bottom"/>
          </w:tcPr>
          <w:p w14:paraId="7621DB69" w14:textId="77777777" w:rsidR="003C48D6" w:rsidRPr="00F53F7B" w:rsidRDefault="003C48D6" w:rsidP="00AF6536">
            <w:pPr>
              <w:keepNext/>
              <w:suppressAutoHyphens w:val="0"/>
              <w:spacing w:before="80" w:after="80" w:line="200" w:lineRule="exact"/>
              <w:jc w:val="right"/>
              <w:rPr>
                <w:bCs/>
                <w:i/>
                <w:sz w:val="16"/>
                <w:lang w:val="fr-FR"/>
              </w:rPr>
            </w:pPr>
            <w:r w:rsidRPr="00F53F7B">
              <w:rPr>
                <w:i/>
                <w:sz w:val="16"/>
                <w:lang w:val="fr-FR"/>
              </w:rPr>
              <w:t>2014</w:t>
            </w:r>
          </w:p>
        </w:tc>
        <w:tc>
          <w:tcPr>
            <w:tcW w:w="992" w:type="dxa"/>
            <w:tcBorders>
              <w:top w:val="single" w:sz="4" w:space="0" w:color="auto"/>
              <w:bottom w:val="single" w:sz="12" w:space="0" w:color="auto"/>
            </w:tcBorders>
            <w:shd w:val="clear" w:color="auto" w:fill="auto"/>
            <w:vAlign w:val="bottom"/>
          </w:tcPr>
          <w:p w14:paraId="0BEB535E" w14:textId="77777777" w:rsidR="003C48D6" w:rsidRPr="00F53F7B" w:rsidRDefault="003C48D6" w:rsidP="00AF6536">
            <w:pPr>
              <w:keepNext/>
              <w:suppressAutoHyphens w:val="0"/>
              <w:spacing w:before="80" w:after="80" w:line="200" w:lineRule="exact"/>
              <w:jc w:val="right"/>
              <w:rPr>
                <w:bCs/>
                <w:i/>
                <w:sz w:val="16"/>
                <w:lang w:val="fr-FR"/>
              </w:rPr>
            </w:pPr>
            <w:r w:rsidRPr="00F53F7B">
              <w:rPr>
                <w:i/>
                <w:sz w:val="16"/>
                <w:lang w:val="fr-FR"/>
              </w:rPr>
              <w:t>2015</w:t>
            </w:r>
          </w:p>
        </w:tc>
        <w:tc>
          <w:tcPr>
            <w:tcW w:w="849" w:type="dxa"/>
            <w:tcBorders>
              <w:top w:val="single" w:sz="4" w:space="0" w:color="auto"/>
              <w:bottom w:val="single" w:sz="12" w:space="0" w:color="auto"/>
            </w:tcBorders>
            <w:shd w:val="clear" w:color="auto" w:fill="auto"/>
            <w:vAlign w:val="bottom"/>
          </w:tcPr>
          <w:p w14:paraId="5DE9F950" w14:textId="77777777" w:rsidR="003C48D6" w:rsidRPr="00F53F7B" w:rsidRDefault="003C48D6" w:rsidP="00AF6536">
            <w:pPr>
              <w:keepNext/>
              <w:suppressAutoHyphens w:val="0"/>
              <w:spacing w:before="80" w:after="80" w:line="200" w:lineRule="exact"/>
              <w:jc w:val="right"/>
              <w:rPr>
                <w:bCs/>
                <w:i/>
                <w:sz w:val="16"/>
                <w:lang w:val="fr-FR"/>
              </w:rPr>
            </w:pPr>
            <w:r w:rsidRPr="00F53F7B">
              <w:rPr>
                <w:i/>
                <w:sz w:val="16"/>
                <w:lang w:val="fr-FR"/>
              </w:rPr>
              <w:t>2016</w:t>
            </w:r>
          </w:p>
        </w:tc>
      </w:tr>
      <w:tr w:rsidR="00F53F7B" w:rsidRPr="00AF6536" w14:paraId="19C53A1B" w14:textId="77777777" w:rsidTr="00AF6536">
        <w:tc>
          <w:tcPr>
            <w:tcW w:w="1843" w:type="dxa"/>
            <w:tcBorders>
              <w:top w:val="single" w:sz="12" w:space="0" w:color="auto"/>
              <w:bottom w:val="single" w:sz="4" w:space="0" w:color="auto"/>
            </w:tcBorders>
            <w:shd w:val="clear" w:color="auto" w:fill="auto"/>
          </w:tcPr>
          <w:p w14:paraId="687095D0" w14:textId="77777777" w:rsidR="003C48D6" w:rsidRPr="00AF6536" w:rsidRDefault="003C48D6" w:rsidP="00AF6536">
            <w:pPr>
              <w:keepNext/>
              <w:suppressAutoHyphens w:val="0"/>
              <w:spacing w:before="80" w:after="80" w:line="220" w:lineRule="exact"/>
              <w:ind w:left="284"/>
              <w:rPr>
                <w:b/>
                <w:sz w:val="18"/>
                <w:szCs w:val="18"/>
                <w:lang w:val="fr-FR"/>
              </w:rPr>
            </w:pPr>
            <w:r w:rsidRPr="00AF6536">
              <w:rPr>
                <w:b/>
                <w:sz w:val="18"/>
                <w:szCs w:val="18"/>
                <w:lang w:val="fr-FR"/>
              </w:rPr>
              <w:t>Total</w:t>
            </w:r>
          </w:p>
        </w:tc>
        <w:tc>
          <w:tcPr>
            <w:tcW w:w="992" w:type="dxa"/>
            <w:tcBorders>
              <w:top w:val="single" w:sz="12" w:space="0" w:color="auto"/>
              <w:bottom w:val="single" w:sz="4" w:space="0" w:color="auto"/>
            </w:tcBorders>
            <w:shd w:val="clear" w:color="auto" w:fill="auto"/>
            <w:vAlign w:val="bottom"/>
          </w:tcPr>
          <w:p w14:paraId="42304652" w14:textId="77777777" w:rsidR="003C48D6" w:rsidRPr="00AF6536" w:rsidRDefault="003C48D6" w:rsidP="00AF6536">
            <w:pPr>
              <w:keepNext/>
              <w:suppressAutoHyphens w:val="0"/>
              <w:spacing w:before="80" w:after="80" w:line="220" w:lineRule="exact"/>
              <w:jc w:val="right"/>
              <w:rPr>
                <w:b/>
                <w:sz w:val="18"/>
                <w:szCs w:val="18"/>
                <w:lang w:val="fr-FR"/>
              </w:rPr>
            </w:pPr>
            <w:r w:rsidRPr="00AF6536">
              <w:rPr>
                <w:b/>
                <w:sz w:val="18"/>
                <w:szCs w:val="18"/>
                <w:lang w:val="fr-FR"/>
              </w:rPr>
              <w:t>7,5</w:t>
            </w:r>
          </w:p>
        </w:tc>
        <w:tc>
          <w:tcPr>
            <w:tcW w:w="851" w:type="dxa"/>
            <w:tcBorders>
              <w:top w:val="single" w:sz="12" w:space="0" w:color="auto"/>
              <w:bottom w:val="single" w:sz="4" w:space="0" w:color="auto"/>
            </w:tcBorders>
            <w:shd w:val="clear" w:color="auto" w:fill="auto"/>
            <w:vAlign w:val="bottom"/>
          </w:tcPr>
          <w:p w14:paraId="510697FF" w14:textId="77777777" w:rsidR="003C48D6" w:rsidRPr="00AF6536" w:rsidRDefault="003C48D6" w:rsidP="00AF6536">
            <w:pPr>
              <w:keepNext/>
              <w:suppressAutoHyphens w:val="0"/>
              <w:spacing w:before="80" w:after="80" w:line="220" w:lineRule="exact"/>
              <w:jc w:val="right"/>
              <w:rPr>
                <w:b/>
                <w:sz w:val="18"/>
                <w:szCs w:val="18"/>
                <w:lang w:val="fr-FR"/>
              </w:rPr>
            </w:pPr>
            <w:r w:rsidRPr="00AF6536">
              <w:rPr>
                <w:b/>
                <w:sz w:val="18"/>
                <w:szCs w:val="18"/>
                <w:lang w:val="fr-FR"/>
              </w:rPr>
              <w:t>9,8</w:t>
            </w:r>
          </w:p>
        </w:tc>
        <w:tc>
          <w:tcPr>
            <w:tcW w:w="992" w:type="dxa"/>
            <w:tcBorders>
              <w:top w:val="single" w:sz="12" w:space="0" w:color="auto"/>
              <w:bottom w:val="single" w:sz="4" w:space="0" w:color="auto"/>
            </w:tcBorders>
            <w:shd w:val="clear" w:color="auto" w:fill="auto"/>
            <w:vAlign w:val="bottom"/>
          </w:tcPr>
          <w:p w14:paraId="0501F42C" w14:textId="77777777" w:rsidR="003C48D6" w:rsidRPr="00AF6536" w:rsidRDefault="003C48D6" w:rsidP="00AF6536">
            <w:pPr>
              <w:keepNext/>
              <w:suppressAutoHyphens w:val="0"/>
              <w:spacing w:before="80" w:after="80" w:line="220" w:lineRule="exact"/>
              <w:jc w:val="right"/>
              <w:rPr>
                <w:b/>
                <w:sz w:val="18"/>
                <w:szCs w:val="18"/>
                <w:lang w:val="fr-FR"/>
              </w:rPr>
            </w:pPr>
            <w:r w:rsidRPr="00AF6536">
              <w:rPr>
                <w:b/>
                <w:sz w:val="18"/>
                <w:szCs w:val="18"/>
                <w:lang w:val="fr-FR"/>
              </w:rPr>
              <w:t>10,2</w:t>
            </w:r>
          </w:p>
        </w:tc>
        <w:tc>
          <w:tcPr>
            <w:tcW w:w="851" w:type="dxa"/>
            <w:tcBorders>
              <w:top w:val="single" w:sz="12" w:space="0" w:color="auto"/>
              <w:bottom w:val="single" w:sz="4" w:space="0" w:color="auto"/>
            </w:tcBorders>
            <w:shd w:val="clear" w:color="auto" w:fill="auto"/>
            <w:vAlign w:val="bottom"/>
          </w:tcPr>
          <w:p w14:paraId="3700E9FE" w14:textId="77777777" w:rsidR="003C48D6" w:rsidRPr="00AF6536" w:rsidRDefault="003C48D6" w:rsidP="00AF6536">
            <w:pPr>
              <w:keepNext/>
              <w:suppressAutoHyphens w:val="0"/>
              <w:spacing w:before="80" w:after="80" w:line="220" w:lineRule="exact"/>
              <w:jc w:val="right"/>
              <w:rPr>
                <w:b/>
                <w:sz w:val="18"/>
                <w:szCs w:val="18"/>
                <w:lang w:val="fr-FR"/>
              </w:rPr>
            </w:pPr>
            <w:r w:rsidRPr="00AF6536">
              <w:rPr>
                <w:b/>
                <w:sz w:val="18"/>
                <w:szCs w:val="18"/>
                <w:lang w:val="fr-FR"/>
              </w:rPr>
              <w:t>9,9</w:t>
            </w:r>
          </w:p>
        </w:tc>
        <w:tc>
          <w:tcPr>
            <w:tcW w:w="992" w:type="dxa"/>
            <w:tcBorders>
              <w:top w:val="single" w:sz="12" w:space="0" w:color="auto"/>
              <w:bottom w:val="single" w:sz="4" w:space="0" w:color="auto"/>
            </w:tcBorders>
            <w:shd w:val="clear" w:color="auto" w:fill="auto"/>
            <w:vAlign w:val="bottom"/>
          </w:tcPr>
          <w:p w14:paraId="391D7CFB" w14:textId="77777777" w:rsidR="003C48D6" w:rsidRPr="00AF6536" w:rsidRDefault="003C48D6" w:rsidP="00AF6536">
            <w:pPr>
              <w:keepNext/>
              <w:suppressAutoHyphens w:val="0"/>
              <w:spacing w:before="80" w:after="80" w:line="220" w:lineRule="exact"/>
              <w:jc w:val="right"/>
              <w:rPr>
                <w:b/>
                <w:sz w:val="18"/>
                <w:szCs w:val="18"/>
                <w:lang w:val="fr-FR"/>
              </w:rPr>
            </w:pPr>
            <w:r w:rsidRPr="00AF6536">
              <w:rPr>
                <w:b/>
                <w:sz w:val="18"/>
                <w:szCs w:val="18"/>
                <w:lang w:val="fr-FR"/>
              </w:rPr>
              <w:t>8,6</w:t>
            </w:r>
          </w:p>
        </w:tc>
        <w:tc>
          <w:tcPr>
            <w:tcW w:w="849" w:type="dxa"/>
            <w:tcBorders>
              <w:top w:val="single" w:sz="12" w:space="0" w:color="auto"/>
              <w:bottom w:val="single" w:sz="4" w:space="0" w:color="auto"/>
            </w:tcBorders>
            <w:shd w:val="clear" w:color="auto" w:fill="auto"/>
            <w:vAlign w:val="bottom"/>
          </w:tcPr>
          <w:p w14:paraId="3B507C81" w14:textId="77777777" w:rsidR="003C48D6" w:rsidRPr="00AF6536" w:rsidRDefault="003C48D6" w:rsidP="00AF6536">
            <w:pPr>
              <w:keepNext/>
              <w:suppressAutoHyphens w:val="0"/>
              <w:spacing w:before="80" w:after="80" w:line="220" w:lineRule="exact"/>
              <w:jc w:val="right"/>
              <w:rPr>
                <w:b/>
                <w:sz w:val="18"/>
                <w:szCs w:val="18"/>
                <w:lang w:val="fr-FR"/>
              </w:rPr>
            </w:pPr>
            <w:r w:rsidRPr="00AF6536">
              <w:rPr>
                <w:b/>
                <w:sz w:val="18"/>
                <w:szCs w:val="18"/>
                <w:lang w:val="fr-FR"/>
              </w:rPr>
              <w:t>11,9</w:t>
            </w:r>
          </w:p>
        </w:tc>
      </w:tr>
      <w:tr w:rsidR="00F53F7B" w:rsidRPr="00F53F7B" w14:paraId="7E49613E" w14:textId="77777777" w:rsidTr="00AF6536">
        <w:tc>
          <w:tcPr>
            <w:tcW w:w="1843" w:type="dxa"/>
            <w:tcBorders>
              <w:top w:val="single" w:sz="4" w:space="0" w:color="auto"/>
            </w:tcBorders>
            <w:shd w:val="clear" w:color="auto" w:fill="auto"/>
          </w:tcPr>
          <w:p w14:paraId="3E52DE19" w14:textId="77777777" w:rsidR="003C48D6" w:rsidRPr="00F53F7B" w:rsidRDefault="003C48D6" w:rsidP="00AF6536">
            <w:pPr>
              <w:keepNext/>
              <w:suppressAutoHyphens w:val="0"/>
              <w:spacing w:before="40" w:after="40" w:line="220" w:lineRule="exact"/>
              <w:rPr>
                <w:sz w:val="18"/>
                <w:szCs w:val="18"/>
                <w:lang w:val="fr-FR"/>
              </w:rPr>
            </w:pPr>
            <w:r w:rsidRPr="00F53F7B">
              <w:rPr>
                <w:sz w:val="18"/>
                <w:szCs w:val="18"/>
                <w:lang w:val="fr-FR"/>
              </w:rPr>
              <w:t>Sans instruction</w:t>
            </w:r>
          </w:p>
        </w:tc>
        <w:tc>
          <w:tcPr>
            <w:tcW w:w="992" w:type="dxa"/>
            <w:tcBorders>
              <w:top w:val="single" w:sz="4" w:space="0" w:color="auto"/>
            </w:tcBorders>
            <w:shd w:val="clear" w:color="auto" w:fill="auto"/>
            <w:vAlign w:val="bottom"/>
          </w:tcPr>
          <w:p w14:paraId="0C1F3915"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10,3</w:t>
            </w:r>
          </w:p>
        </w:tc>
        <w:tc>
          <w:tcPr>
            <w:tcW w:w="851" w:type="dxa"/>
            <w:tcBorders>
              <w:top w:val="single" w:sz="4" w:space="0" w:color="auto"/>
            </w:tcBorders>
            <w:shd w:val="clear" w:color="auto" w:fill="auto"/>
            <w:vAlign w:val="bottom"/>
          </w:tcPr>
          <w:p w14:paraId="24DD7F7F"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15,9</w:t>
            </w:r>
          </w:p>
        </w:tc>
        <w:tc>
          <w:tcPr>
            <w:tcW w:w="992" w:type="dxa"/>
            <w:tcBorders>
              <w:top w:val="single" w:sz="4" w:space="0" w:color="auto"/>
            </w:tcBorders>
            <w:shd w:val="clear" w:color="auto" w:fill="auto"/>
            <w:vAlign w:val="bottom"/>
          </w:tcPr>
          <w:p w14:paraId="6070ECB3"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16,4</w:t>
            </w:r>
          </w:p>
        </w:tc>
        <w:tc>
          <w:tcPr>
            <w:tcW w:w="851" w:type="dxa"/>
            <w:tcBorders>
              <w:top w:val="single" w:sz="4" w:space="0" w:color="auto"/>
            </w:tcBorders>
            <w:shd w:val="clear" w:color="auto" w:fill="auto"/>
            <w:vAlign w:val="bottom"/>
          </w:tcPr>
          <w:p w14:paraId="67356664"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12,4</w:t>
            </w:r>
          </w:p>
        </w:tc>
        <w:tc>
          <w:tcPr>
            <w:tcW w:w="992" w:type="dxa"/>
            <w:tcBorders>
              <w:top w:val="single" w:sz="4" w:space="0" w:color="auto"/>
            </w:tcBorders>
            <w:shd w:val="clear" w:color="auto" w:fill="auto"/>
            <w:vAlign w:val="bottom"/>
          </w:tcPr>
          <w:p w14:paraId="06A60298"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10,4</w:t>
            </w:r>
          </w:p>
        </w:tc>
        <w:tc>
          <w:tcPr>
            <w:tcW w:w="849" w:type="dxa"/>
            <w:tcBorders>
              <w:top w:val="single" w:sz="4" w:space="0" w:color="auto"/>
            </w:tcBorders>
            <w:shd w:val="clear" w:color="auto" w:fill="auto"/>
            <w:vAlign w:val="bottom"/>
          </w:tcPr>
          <w:p w14:paraId="29BE22CA"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10,7</w:t>
            </w:r>
          </w:p>
        </w:tc>
      </w:tr>
      <w:tr w:rsidR="00F53F7B" w:rsidRPr="00F53F7B" w14:paraId="5031DCCB" w14:textId="77777777" w:rsidTr="00F53F7B">
        <w:tc>
          <w:tcPr>
            <w:tcW w:w="1843" w:type="dxa"/>
            <w:shd w:val="clear" w:color="auto" w:fill="auto"/>
          </w:tcPr>
          <w:p w14:paraId="60247AC3" w14:textId="77777777" w:rsidR="003C48D6" w:rsidRPr="00F53F7B" w:rsidRDefault="003C48D6" w:rsidP="00AF6536">
            <w:pPr>
              <w:keepNext/>
              <w:suppressAutoHyphens w:val="0"/>
              <w:spacing w:before="40" w:after="40" w:line="220" w:lineRule="exact"/>
              <w:rPr>
                <w:sz w:val="18"/>
                <w:szCs w:val="18"/>
                <w:lang w:val="fr-FR"/>
              </w:rPr>
            </w:pPr>
            <w:r w:rsidRPr="00F53F7B">
              <w:rPr>
                <w:sz w:val="18"/>
                <w:szCs w:val="18"/>
                <w:lang w:val="fr-FR"/>
              </w:rPr>
              <w:t>Cycle primaire terminé</w:t>
            </w:r>
          </w:p>
        </w:tc>
        <w:tc>
          <w:tcPr>
            <w:tcW w:w="992" w:type="dxa"/>
            <w:shd w:val="clear" w:color="auto" w:fill="auto"/>
            <w:vAlign w:val="bottom"/>
          </w:tcPr>
          <w:p w14:paraId="728672C3"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10,9</w:t>
            </w:r>
          </w:p>
        </w:tc>
        <w:tc>
          <w:tcPr>
            <w:tcW w:w="851" w:type="dxa"/>
            <w:shd w:val="clear" w:color="auto" w:fill="auto"/>
            <w:vAlign w:val="bottom"/>
          </w:tcPr>
          <w:p w14:paraId="2AEDA092"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11,1</w:t>
            </w:r>
          </w:p>
        </w:tc>
        <w:tc>
          <w:tcPr>
            <w:tcW w:w="992" w:type="dxa"/>
            <w:shd w:val="clear" w:color="auto" w:fill="auto"/>
            <w:vAlign w:val="bottom"/>
          </w:tcPr>
          <w:p w14:paraId="7935D315"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13,7</w:t>
            </w:r>
          </w:p>
        </w:tc>
        <w:tc>
          <w:tcPr>
            <w:tcW w:w="851" w:type="dxa"/>
            <w:shd w:val="clear" w:color="auto" w:fill="auto"/>
            <w:vAlign w:val="bottom"/>
          </w:tcPr>
          <w:p w14:paraId="20EFC8DD"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8,7</w:t>
            </w:r>
          </w:p>
        </w:tc>
        <w:tc>
          <w:tcPr>
            <w:tcW w:w="992" w:type="dxa"/>
            <w:shd w:val="clear" w:color="auto" w:fill="auto"/>
            <w:vAlign w:val="bottom"/>
          </w:tcPr>
          <w:p w14:paraId="29F9800E"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8,5</w:t>
            </w:r>
          </w:p>
        </w:tc>
        <w:tc>
          <w:tcPr>
            <w:tcW w:w="849" w:type="dxa"/>
            <w:shd w:val="clear" w:color="auto" w:fill="auto"/>
            <w:vAlign w:val="bottom"/>
          </w:tcPr>
          <w:p w14:paraId="63B274A5"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10,9</w:t>
            </w:r>
          </w:p>
        </w:tc>
      </w:tr>
      <w:tr w:rsidR="00F53F7B" w:rsidRPr="00F53F7B" w14:paraId="7530E7B6" w14:textId="77777777" w:rsidTr="00F53F7B">
        <w:tc>
          <w:tcPr>
            <w:tcW w:w="1843" w:type="dxa"/>
            <w:shd w:val="clear" w:color="auto" w:fill="auto"/>
          </w:tcPr>
          <w:p w14:paraId="23F04571" w14:textId="77777777" w:rsidR="003C48D6" w:rsidRPr="00F53F7B" w:rsidRDefault="003C48D6" w:rsidP="00AF6536">
            <w:pPr>
              <w:keepNext/>
              <w:suppressAutoHyphens w:val="0"/>
              <w:spacing w:before="40" w:after="40" w:line="220" w:lineRule="exact"/>
              <w:rPr>
                <w:sz w:val="18"/>
                <w:szCs w:val="18"/>
                <w:lang w:val="fr-FR"/>
              </w:rPr>
            </w:pPr>
            <w:r w:rsidRPr="00F53F7B">
              <w:rPr>
                <w:sz w:val="18"/>
                <w:szCs w:val="18"/>
                <w:lang w:val="fr-FR"/>
              </w:rPr>
              <w:t>Cycle secondaire terminé</w:t>
            </w:r>
          </w:p>
        </w:tc>
        <w:tc>
          <w:tcPr>
            <w:tcW w:w="992" w:type="dxa"/>
            <w:shd w:val="clear" w:color="auto" w:fill="auto"/>
            <w:vAlign w:val="bottom"/>
          </w:tcPr>
          <w:p w14:paraId="53A4D6E4"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7,0</w:t>
            </w:r>
          </w:p>
        </w:tc>
        <w:tc>
          <w:tcPr>
            <w:tcW w:w="851" w:type="dxa"/>
            <w:shd w:val="clear" w:color="auto" w:fill="auto"/>
            <w:vAlign w:val="bottom"/>
          </w:tcPr>
          <w:p w14:paraId="75D4D6AC"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9,0</w:t>
            </w:r>
          </w:p>
        </w:tc>
        <w:tc>
          <w:tcPr>
            <w:tcW w:w="992" w:type="dxa"/>
            <w:shd w:val="clear" w:color="auto" w:fill="auto"/>
            <w:vAlign w:val="bottom"/>
          </w:tcPr>
          <w:p w14:paraId="013C6944"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7,4</w:t>
            </w:r>
          </w:p>
        </w:tc>
        <w:tc>
          <w:tcPr>
            <w:tcW w:w="851" w:type="dxa"/>
            <w:shd w:val="clear" w:color="auto" w:fill="auto"/>
            <w:vAlign w:val="bottom"/>
          </w:tcPr>
          <w:p w14:paraId="059F1505"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9,3</w:t>
            </w:r>
          </w:p>
        </w:tc>
        <w:tc>
          <w:tcPr>
            <w:tcW w:w="992" w:type="dxa"/>
            <w:shd w:val="clear" w:color="auto" w:fill="auto"/>
            <w:vAlign w:val="bottom"/>
          </w:tcPr>
          <w:p w14:paraId="42F626F3"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8,3</w:t>
            </w:r>
          </w:p>
        </w:tc>
        <w:tc>
          <w:tcPr>
            <w:tcW w:w="849" w:type="dxa"/>
            <w:shd w:val="clear" w:color="auto" w:fill="auto"/>
            <w:vAlign w:val="bottom"/>
          </w:tcPr>
          <w:p w14:paraId="78411E36"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10,6</w:t>
            </w:r>
          </w:p>
        </w:tc>
      </w:tr>
      <w:tr w:rsidR="00F53F7B" w:rsidRPr="00F53F7B" w14:paraId="5B14A190" w14:textId="77777777" w:rsidTr="00F53F7B">
        <w:tc>
          <w:tcPr>
            <w:tcW w:w="1843" w:type="dxa"/>
            <w:tcBorders>
              <w:bottom w:val="single" w:sz="12" w:space="0" w:color="auto"/>
            </w:tcBorders>
            <w:shd w:val="clear" w:color="auto" w:fill="auto"/>
          </w:tcPr>
          <w:p w14:paraId="7036391C" w14:textId="77777777" w:rsidR="003C48D6" w:rsidRPr="00F53F7B" w:rsidRDefault="003C48D6" w:rsidP="00AF6536">
            <w:pPr>
              <w:keepNext/>
              <w:suppressAutoHyphens w:val="0"/>
              <w:spacing w:before="40" w:after="40" w:line="220" w:lineRule="exact"/>
              <w:rPr>
                <w:sz w:val="18"/>
                <w:szCs w:val="18"/>
                <w:lang w:val="fr-FR"/>
              </w:rPr>
            </w:pPr>
            <w:r w:rsidRPr="00F53F7B">
              <w:rPr>
                <w:sz w:val="18"/>
                <w:szCs w:val="18"/>
                <w:lang w:val="fr-FR"/>
              </w:rPr>
              <w:t xml:space="preserve">Enseignement </w:t>
            </w:r>
            <w:proofErr w:type="spellStart"/>
            <w:r w:rsidRPr="00F53F7B">
              <w:rPr>
                <w:sz w:val="18"/>
                <w:szCs w:val="18"/>
                <w:lang w:val="fr-FR"/>
              </w:rPr>
              <w:t>postsecondaire</w:t>
            </w:r>
            <w:proofErr w:type="spellEnd"/>
            <w:r w:rsidRPr="00F53F7B">
              <w:rPr>
                <w:sz w:val="18"/>
                <w:szCs w:val="18"/>
                <w:lang w:val="fr-FR"/>
              </w:rPr>
              <w:t xml:space="preserve">/supérieur terminé </w:t>
            </w:r>
          </w:p>
        </w:tc>
        <w:tc>
          <w:tcPr>
            <w:tcW w:w="992" w:type="dxa"/>
            <w:tcBorders>
              <w:bottom w:val="single" w:sz="12" w:space="0" w:color="auto"/>
            </w:tcBorders>
            <w:shd w:val="clear" w:color="auto" w:fill="auto"/>
            <w:vAlign w:val="bottom"/>
          </w:tcPr>
          <w:p w14:paraId="6B39DB15"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2,4</w:t>
            </w:r>
          </w:p>
        </w:tc>
        <w:tc>
          <w:tcPr>
            <w:tcW w:w="851" w:type="dxa"/>
            <w:tcBorders>
              <w:bottom w:val="single" w:sz="12" w:space="0" w:color="auto"/>
            </w:tcBorders>
            <w:shd w:val="clear" w:color="auto" w:fill="auto"/>
            <w:vAlign w:val="bottom"/>
          </w:tcPr>
          <w:p w14:paraId="2596B4D5"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4,7</w:t>
            </w:r>
          </w:p>
        </w:tc>
        <w:tc>
          <w:tcPr>
            <w:tcW w:w="992" w:type="dxa"/>
            <w:tcBorders>
              <w:bottom w:val="single" w:sz="12" w:space="0" w:color="auto"/>
            </w:tcBorders>
            <w:shd w:val="clear" w:color="auto" w:fill="auto"/>
            <w:vAlign w:val="bottom"/>
          </w:tcPr>
          <w:p w14:paraId="21A42121"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5,9</w:t>
            </w:r>
          </w:p>
        </w:tc>
        <w:tc>
          <w:tcPr>
            <w:tcW w:w="851" w:type="dxa"/>
            <w:tcBorders>
              <w:bottom w:val="single" w:sz="12" w:space="0" w:color="auto"/>
            </w:tcBorders>
            <w:shd w:val="clear" w:color="auto" w:fill="auto"/>
            <w:vAlign w:val="bottom"/>
          </w:tcPr>
          <w:p w14:paraId="3097A8FC"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6,6</w:t>
            </w:r>
          </w:p>
        </w:tc>
        <w:tc>
          <w:tcPr>
            <w:tcW w:w="992" w:type="dxa"/>
            <w:tcBorders>
              <w:bottom w:val="single" w:sz="12" w:space="0" w:color="auto"/>
            </w:tcBorders>
            <w:shd w:val="clear" w:color="auto" w:fill="auto"/>
            <w:vAlign w:val="bottom"/>
          </w:tcPr>
          <w:p w14:paraId="453A95A7"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5,1</w:t>
            </w:r>
          </w:p>
        </w:tc>
        <w:tc>
          <w:tcPr>
            <w:tcW w:w="849" w:type="dxa"/>
            <w:tcBorders>
              <w:bottom w:val="single" w:sz="12" w:space="0" w:color="auto"/>
            </w:tcBorders>
            <w:shd w:val="clear" w:color="auto" w:fill="auto"/>
            <w:vAlign w:val="bottom"/>
          </w:tcPr>
          <w:p w14:paraId="738BF3CB" w14:textId="77777777" w:rsidR="003C48D6" w:rsidRPr="00F53F7B" w:rsidRDefault="003C48D6" w:rsidP="00AF6536">
            <w:pPr>
              <w:keepNext/>
              <w:suppressAutoHyphens w:val="0"/>
              <w:spacing w:before="40" w:after="40" w:line="220" w:lineRule="exact"/>
              <w:jc w:val="right"/>
              <w:rPr>
                <w:sz w:val="18"/>
                <w:szCs w:val="18"/>
                <w:lang w:val="fr-FR"/>
              </w:rPr>
            </w:pPr>
            <w:r w:rsidRPr="00F53F7B">
              <w:rPr>
                <w:sz w:val="18"/>
                <w:szCs w:val="18"/>
                <w:lang w:val="fr-FR"/>
              </w:rPr>
              <w:t>9</w:t>
            </w:r>
          </w:p>
        </w:tc>
      </w:tr>
    </w:tbl>
    <w:p w14:paraId="41870407" w14:textId="77777777" w:rsidR="003C48D6" w:rsidRPr="00F720A6" w:rsidRDefault="003C48D6" w:rsidP="00F53F7B">
      <w:pPr>
        <w:pStyle w:val="Titre1"/>
        <w:spacing w:before="240" w:after="120"/>
        <w:rPr>
          <w:lang w:val="fr-FR"/>
        </w:rPr>
      </w:pPr>
      <w:r w:rsidRPr="00F720A6">
        <w:rPr>
          <w:lang w:val="fr-FR"/>
        </w:rPr>
        <w:t>Tableau 10</w:t>
      </w:r>
      <w:r w:rsidRPr="00F720A6">
        <w:rPr>
          <w:lang w:val="fr-FR"/>
        </w:rPr>
        <w:br/>
      </w:r>
      <w:r w:rsidRPr="00F53F7B">
        <w:rPr>
          <w:b/>
          <w:bCs/>
          <w:lang w:val="fr-FR"/>
        </w:rPr>
        <w:t>Mortalité infantile par lieu de résidence des mères (rural/urbain) (2011-2016)</w:t>
      </w:r>
      <w:bookmarkStart w:id="56" w:name="_Toc56781457"/>
      <w:bookmarkEnd w:id="56"/>
    </w:p>
    <w:tbl>
      <w:tblPr>
        <w:tblW w:w="7370" w:type="dxa"/>
        <w:tblInd w:w="1134" w:type="dxa"/>
        <w:tblLayout w:type="fixed"/>
        <w:tblCellMar>
          <w:left w:w="0" w:type="dxa"/>
          <w:right w:w="0" w:type="dxa"/>
        </w:tblCellMar>
        <w:tblLook w:val="00A0" w:firstRow="1" w:lastRow="0" w:firstColumn="1" w:lastColumn="0" w:noHBand="0" w:noVBand="0"/>
      </w:tblPr>
      <w:tblGrid>
        <w:gridCol w:w="1082"/>
        <w:gridCol w:w="1048"/>
        <w:gridCol w:w="1048"/>
        <w:gridCol w:w="1048"/>
        <w:gridCol w:w="1048"/>
        <w:gridCol w:w="1048"/>
        <w:gridCol w:w="1048"/>
      </w:tblGrid>
      <w:tr w:rsidR="003C48D6" w:rsidRPr="00AF6536" w14:paraId="54BCD7BC" w14:textId="77777777" w:rsidTr="00AF6536">
        <w:trPr>
          <w:tblHeader/>
        </w:trPr>
        <w:tc>
          <w:tcPr>
            <w:tcW w:w="1082" w:type="dxa"/>
            <w:tcBorders>
              <w:top w:val="single" w:sz="4" w:space="0" w:color="auto"/>
              <w:bottom w:val="single" w:sz="12" w:space="0" w:color="auto"/>
            </w:tcBorders>
            <w:shd w:val="clear" w:color="auto" w:fill="auto"/>
            <w:vAlign w:val="bottom"/>
          </w:tcPr>
          <w:p w14:paraId="73B25DE7" w14:textId="77777777" w:rsidR="003C48D6" w:rsidRPr="00AF6536" w:rsidRDefault="003C48D6" w:rsidP="00AF6536">
            <w:pPr>
              <w:suppressAutoHyphens w:val="0"/>
              <w:spacing w:before="80" w:after="80" w:line="200" w:lineRule="exact"/>
              <w:rPr>
                <w:i/>
                <w:sz w:val="16"/>
                <w:lang w:val="fr-FR"/>
              </w:rPr>
            </w:pPr>
          </w:p>
        </w:tc>
        <w:tc>
          <w:tcPr>
            <w:tcW w:w="1048" w:type="dxa"/>
            <w:tcBorders>
              <w:top w:val="single" w:sz="4" w:space="0" w:color="auto"/>
              <w:bottom w:val="single" w:sz="12" w:space="0" w:color="auto"/>
            </w:tcBorders>
            <w:shd w:val="clear" w:color="auto" w:fill="auto"/>
            <w:vAlign w:val="bottom"/>
          </w:tcPr>
          <w:p w14:paraId="1CC94D33" w14:textId="77777777" w:rsidR="003C48D6" w:rsidRPr="00AF6536" w:rsidRDefault="003C48D6" w:rsidP="00AF6536">
            <w:pPr>
              <w:suppressAutoHyphens w:val="0"/>
              <w:spacing w:before="80" w:after="80" w:line="200" w:lineRule="exact"/>
              <w:jc w:val="right"/>
              <w:rPr>
                <w:bCs/>
                <w:i/>
                <w:sz w:val="16"/>
                <w:szCs w:val="16"/>
                <w:lang w:val="fr-FR"/>
              </w:rPr>
            </w:pPr>
            <w:r w:rsidRPr="00AF6536">
              <w:rPr>
                <w:i/>
                <w:iCs/>
                <w:sz w:val="16"/>
                <w:szCs w:val="16"/>
                <w:lang w:val="fr-FR"/>
              </w:rPr>
              <w:t>2011</w:t>
            </w:r>
          </w:p>
        </w:tc>
        <w:tc>
          <w:tcPr>
            <w:tcW w:w="1048" w:type="dxa"/>
            <w:tcBorders>
              <w:top w:val="single" w:sz="4" w:space="0" w:color="auto"/>
              <w:bottom w:val="single" w:sz="12" w:space="0" w:color="auto"/>
            </w:tcBorders>
            <w:shd w:val="clear" w:color="auto" w:fill="auto"/>
            <w:vAlign w:val="bottom"/>
          </w:tcPr>
          <w:p w14:paraId="71A34EC1" w14:textId="77777777" w:rsidR="003C48D6" w:rsidRPr="00AF6536" w:rsidRDefault="003C48D6" w:rsidP="00AF6536">
            <w:pPr>
              <w:suppressAutoHyphens w:val="0"/>
              <w:spacing w:before="80" w:after="80" w:line="200" w:lineRule="exact"/>
              <w:jc w:val="right"/>
              <w:rPr>
                <w:bCs/>
                <w:i/>
                <w:sz w:val="16"/>
                <w:szCs w:val="16"/>
                <w:lang w:val="fr-FR"/>
              </w:rPr>
            </w:pPr>
            <w:r w:rsidRPr="00AF6536">
              <w:rPr>
                <w:i/>
                <w:iCs/>
                <w:sz w:val="16"/>
                <w:szCs w:val="16"/>
                <w:lang w:val="fr-FR"/>
              </w:rPr>
              <w:t>2012</w:t>
            </w:r>
          </w:p>
        </w:tc>
        <w:tc>
          <w:tcPr>
            <w:tcW w:w="1048" w:type="dxa"/>
            <w:tcBorders>
              <w:top w:val="single" w:sz="4" w:space="0" w:color="auto"/>
              <w:bottom w:val="single" w:sz="12" w:space="0" w:color="auto"/>
            </w:tcBorders>
            <w:shd w:val="clear" w:color="auto" w:fill="auto"/>
            <w:vAlign w:val="bottom"/>
          </w:tcPr>
          <w:p w14:paraId="211128EB" w14:textId="77777777" w:rsidR="003C48D6" w:rsidRPr="00AF6536" w:rsidRDefault="003C48D6" w:rsidP="00AF6536">
            <w:pPr>
              <w:suppressAutoHyphens w:val="0"/>
              <w:spacing w:before="80" w:after="80" w:line="200" w:lineRule="exact"/>
              <w:jc w:val="right"/>
              <w:rPr>
                <w:bCs/>
                <w:i/>
                <w:sz w:val="16"/>
                <w:szCs w:val="16"/>
                <w:lang w:val="fr-FR"/>
              </w:rPr>
            </w:pPr>
            <w:r w:rsidRPr="00AF6536">
              <w:rPr>
                <w:i/>
                <w:iCs/>
                <w:sz w:val="16"/>
                <w:szCs w:val="16"/>
                <w:lang w:val="fr-FR"/>
              </w:rPr>
              <w:t>2013</w:t>
            </w:r>
          </w:p>
        </w:tc>
        <w:tc>
          <w:tcPr>
            <w:tcW w:w="1048" w:type="dxa"/>
            <w:tcBorders>
              <w:top w:val="single" w:sz="4" w:space="0" w:color="auto"/>
              <w:bottom w:val="single" w:sz="12" w:space="0" w:color="auto"/>
            </w:tcBorders>
            <w:shd w:val="clear" w:color="auto" w:fill="auto"/>
            <w:vAlign w:val="bottom"/>
          </w:tcPr>
          <w:p w14:paraId="2A5B7AF1" w14:textId="77777777" w:rsidR="003C48D6" w:rsidRPr="00AF6536" w:rsidRDefault="003C48D6" w:rsidP="00AF6536">
            <w:pPr>
              <w:suppressAutoHyphens w:val="0"/>
              <w:spacing w:before="80" w:after="80" w:line="200" w:lineRule="exact"/>
              <w:jc w:val="right"/>
              <w:rPr>
                <w:bCs/>
                <w:i/>
                <w:sz w:val="16"/>
                <w:szCs w:val="16"/>
                <w:lang w:val="fr-FR"/>
              </w:rPr>
            </w:pPr>
            <w:r w:rsidRPr="00AF6536">
              <w:rPr>
                <w:i/>
                <w:iCs/>
                <w:sz w:val="16"/>
                <w:szCs w:val="16"/>
                <w:lang w:val="fr-FR"/>
              </w:rPr>
              <w:t>2014</w:t>
            </w:r>
          </w:p>
        </w:tc>
        <w:tc>
          <w:tcPr>
            <w:tcW w:w="1048" w:type="dxa"/>
            <w:tcBorders>
              <w:top w:val="single" w:sz="4" w:space="0" w:color="auto"/>
              <w:bottom w:val="single" w:sz="12" w:space="0" w:color="auto"/>
            </w:tcBorders>
            <w:shd w:val="clear" w:color="auto" w:fill="auto"/>
            <w:vAlign w:val="bottom"/>
          </w:tcPr>
          <w:p w14:paraId="1288328A" w14:textId="77777777" w:rsidR="003C48D6" w:rsidRPr="00AF6536" w:rsidRDefault="003C48D6" w:rsidP="00AF6536">
            <w:pPr>
              <w:suppressAutoHyphens w:val="0"/>
              <w:spacing w:before="80" w:after="80" w:line="200" w:lineRule="exact"/>
              <w:jc w:val="right"/>
              <w:rPr>
                <w:bCs/>
                <w:i/>
                <w:sz w:val="16"/>
                <w:szCs w:val="16"/>
                <w:lang w:val="fr-FR"/>
              </w:rPr>
            </w:pPr>
            <w:r w:rsidRPr="00AF6536">
              <w:rPr>
                <w:i/>
                <w:iCs/>
                <w:sz w:val="16"/>
                <w:szCs w:val="16"/>
                <w:lang w:val="fr-FR"/>
              </w:rPr>
              <w:t>2015</w:t>
            </w:r>
          </w:p>
        </w:tc>
        <w:tc>
          <w:tcPr>
            <w:tcW w:w="1048" w:type="dxa"/>
            <w:tcBorders>
              <w:top w:val="single" w:sz="4" w:space="0" w:color="auto"/>
              <w:bottom w:val="single" w:sz="12" w:space="0" w:color="auto"/>
            </w:tcBorders>
            <w:shd w:val="clear" w:color="auto" w:fill="auto"/>
            <w:vAlign w:val="bottom"/>
          </w:tcPr>
          <w:p w14:paraId="0E079A73" w14:textId="77777777" w:rsidR="003C48D6" w:rsidRPr="00AF6536" w:rsidRDefault="003C48D6" w:rsidP="00AF6536">
            <w:pPr>
              <w:suppressAutoHyphens w:val="0"/>
              <w:spacing w:before="80" w:after="80" w:line="200" w:lineRule="exact"/>
              <w:jc w:val="right"/>
              <w:rPr>
                <w:bCs/>
                <w:i/>
                <w:sz w:val="16"/>
                <w:szCs w:val="16"/>
                <w:lang w:val="fr-FR"/>
              </w:rPr>
            </w:pPr>
            <w:r w:rsidRPr="00AF6536">
              <w:rPr>
                <w:i/>
                <w:iCs/>
                <w:sz w:val="16"/>
                <w:szCs w:val="16"/>
                <w:lang w:val="fr-FR"/>
              </w:rPr>
              <w:t>2016</w:t>
            </w:r>
          </w:p>
        </w:tc>
      </w:tr>
      <w:tr w:rsidR="003C48D6" w:rsidRPr="00AF6536" w14:paraId="46D3A329" w14:textId="77777777" w:rsidTr="00AF6536">
        <w:tc>
          <w:tcPr>
            <w:tcW w:w="1082" w:type="dxa"/>
            <w:tcBorders>
              <w:top w:val="single" w:sz="12" w:space="0" w:color="auto"/>
              <w:bottom w:val="single" w:sz="4" w:space="0" w:color="auto"/>
            </w:tcBorders>
            <w:shd w:val="clear" w:color="auto" w:fill="auto"/>
          </w:tcPr>
          <w:p w14:paraId="6BAD3CB5" w14:textId="77777777" w:rsidR="003C48D6" w:rsidRPr="00AF6536" w:rsidRDefault="003C48D6" w:rsidP="00AF6536">
            <w:pPr>
              <w:suppressAutoHyphens w:val="0"/>
              <w:spacing w:before="80" w:after="80" w:line="220" w:lineRule="exact"/>
              <w:ind w:left="284"/>
              <w:rPr>
                <w:b/>
                <w:sz w:val="18"/>
                <w:szCs w:val="18"/>
                <w:lang w:val="fr-FR"/>
              </w:rPr>
            </w:pPr>
            <w:r w:rsidRPr="00AF6536">
              <w:rPr>
                <w:b/>
                <w:sz w:val="18"/>
                <w:szCs w:val="18"/>
                <w:lang w:val="fr-FR"/>
              </w:rPr>
              <w:t>Total</w:t>
            </w:r>
          </w:p>
        </w:tc>
        <w:tc>
          <w:tcPr>
            <w:tcW w:w="1048" w:type="dxa"/>
            <w:tcBorders>
              <w:top w:val="single" w:sz="12" w:space="0" w:color="auto"/>
              <w:bottom w:val="single" w:sz="4" w:space="0" w:color="auto"/>
            </w:tcBorders>
            <w:shd w:val="clear" w:color="auto" w:fill="auto"/>
            <w:vAlign w:val="bottom"/>
          </w:tcPr>
          <w:p w14:paraId="6FFEDDCB" w14:textId="77777777" w:rsidR="003C48D6" w:rsidRPr="00AF6536" w:rsidRDefault="003C48D6" w:rsidP="00AF6536">
            <w:pPr>
              <w:suppressAutoHyphens w:val="0"/>
              <w:spacing w:before="80" w:after="80" w:line="220" w:lineRule="exact"/>
              <w:jc w:val="right"/>
              <w:rPr>
                <w:b/>
                <w:sz w:val="18"/>
                <w:szCs w:val="18"/>
                <w:lang w:val="fr-FR"/>
              </w:rPr>
            </w:pPr>
            <w:r w:rsidRPr="00AF6536">
              <w:rPr>
                <w:b/>
                <w:sz w:val="18"/>
                <w:szCs w:val="18"/>
                <w:lang w:val="fr-FR"/>
              </w:rPr>
              <w:t>7,5</w:t>
            </w:r>
          </w:p>
        </w:tc>
        <w:tc>
          <w:tcPr>
            <w:tcW w:w="1048" w:type="dxa"/>
            <w:tcBorders>
              <w:top w:val="single" w:sz="12" w:space="0" w:color="auto"/>
              <w:bottom w:val="single" w:sz="4" w:space="0" w:color="auto"/>
            </w:tcBorders>
            <w:shd w:val="clear" w:color="auto" w:fill="auto"/>
            <w:vAlign w:val="bottom"/>
          </w:tcPr>
          <w:p w14:paraId="1F8FA045" w14:textId="77777777" w:rsidR="003C48D6" w:rsidRPr="00AF6536" w:rsidRDefault="003C48D6" w:rsidP="00AF6536">
            <w:pPr>
              <w:suppressAutoHyphens w:val="0"/>
              <w:spacing w:before="80" w:after="80" w:line="220" w:lineRule="exact"/>
              <w:jc w:val="right"/>
              <w:rPr>
                <w:b/>
                <w:sz w:val="18"/>
                <w:szCs w:val="18"/>
                <w:lang w:val="fr-FR"/>
              </w:rPr>
            </w:pPr>
            <w:r w:rsidRPr="00AF6536">
              <w:rPr>
                <w:b/>
                <w:sz w:val="18"/>
                <w:szCs w:val="18"/>
                <w:lang w:val="fr-FR"/>
              </w:rPr>
              <w:t>9,8</w:t>
            </w:r>
          </w:p>
        </w:tc>
        <w:tc>
          <w:tcPr>
            <w:tcW w:w="1048" w:type="dxa"/>
            <w:tcBorders>
              <w:top w:val="single" w:sz="12" w:space="0" w:color="auto"/>
              <w:bottom w:val="single" w:sz="4" w:space="0" w:color="auto"/>
            </w:tcBorders>
            <w:shd w:val="clear" w:color="auto" w:fill="auto"/>
            <w:vAlign w:val="bottom"/>
          </w:tcPr>
          <w:p w14:paraId="640443B7" w14:textId="77777777" w:rsidR="003C48D6" w:rsidRPr="00AF6536" w:rsidRDefault="003C48D6" w:rsidP="00AF6536">
            <w:pPr>
              <w:suppressAutoHyphens w:val="0"/>
              <w:spacing w:before="80" w:after="80" w:line="220" w:lineRule="exact"/>
              <w:jc w:val="right"/>
              <w:rPr>
                <w:b/>
                <w:sz w:val="18"/>
                <w:szCs w:val="18"/>
                <w:lang w:val="fr-FR"/>
              </w:rPr>
            </w:pPr>
            <w:r w:rsidRPr="00AF6536">
              <w:rPr>
                <w:b/>
                <w:sz w:val="18"/>
                <w:szCs w:val="18"/>
                <w:lang w:val="fr-FR"/>
              </w:rPr>
              <w:t>10,2</w:t>
            </w:r>
          </w:p>
        </w:tc>
        <w:tc>
          <w:tcPr>
            <w:tcW w:w="1048" w:type="dxa"/>
            <w:tcBorders>
              <w:top w:val="single" w:sz="12" w:space="0" w:color="auto"/>
              <w:bottom w:val="single" w:sz="4" w:space="0" w:color="auto"/>
            </w:tcBorders>
            <w:shd w:val="clear" w:color="auto" w:fill="auto"/>
            <w:vAlign w:val="bottom"/>
          </w:tcPr>
          <w:p w14:paraId="12A6BCB8" w14:textId="77777777" w:rsidR="003C48D6" w:rsidRPr="00AF6536" w:rsidRDefault="003C48D6" w:rsidP="00AF6536">
            <w:pPr>
              <w:suppressAutoHyphens w:val="0"/>
              <w:spacing w:before="80" w:after="80" w:line="220" w:lineRule="exact"/>
              <w:jc w:val="right"/>
              <w:rPr>
                <w:b/>
                <w:sz w:val="18"/>
                <w:szCs w:val="18"/>
                <w:lang w:val="fr-FR"/>
              </w:rPr>
            </w:pPr>
            <w:r w:rsidRPr="00AF6536">
              <w:rPr>
                <w:b/>
                <w:sz w:val="18"/>
                <w:szCs w:val="18"/>
                <w:lang w:val="fr-FR"/>
              </w:rPr>
              <w:t>9,9</w:t>
            </w:r>
          </w:p>
        </w:tc>
        <w:tc>
          <w:tcPr>
            <w:tcW w:w="1048" w:type="dxa"/>
            <w:tcBorders>
              <w:top w:val="single" w:sz="12" w:space="0" w:color="auto"/>
              <w:bottom w:val="single" w:sz="4" w:space="0" w:color="auto"/>
            </w:tcBorders>
            <w:shd w:val="clear" w:color="auto" w:fill="auto"/>
            <w:vAlign w:val="bottom"/>
          </w:tcPr>
          <w:p w14:paraId="21A28E47" w14:textId="77777777" w:rsidR="003C48D6" w:rsidRPr="00AF6536" w:rsidRDefault="003C48D6" w:rsidP="00AF6536">
            <w:pPr>
              <w:suppressAutoHyphens w:val="0"/>
              <w:spacing w:before="80" w:after="80" w:line="220" w:lineRule="exact"/>
              <w:jc w:val="right"/>
              <w:rPr>
                <w:b/>
                <w:sz w:val="18"/>
                <w:szCs w:val="18"/>
                <w:lang w:val="fr-FR"/>
              </w:rPr>
            </w:pPr>
            <w:r w:rsidRPr="00AF6536">
              <w:rPr>
                <w:b/>
                <w:sz w:val="18"/>
                <w:szCs w:val="18"/>
                <w:lang w:val="fr-FR"/>
              </w:rPr>
              <w:t>8,6</w:t>
            </w:r>
          </w:p>
        </w:tc>
        <w:tc>
          <w:tcPr>
            <w:tcW w:w="1048" w:type="dxa"/>
            <w:tcBorders>
              <w:top w:val="single" w:sz="12" w:space="0" w:color="auto"/>
              <w:bottom w:val="single" w:sz="4" w:space="0" w:color="auto"/>
            </w:tcBorders>
            <w:shd w:val="clear" w:color="auto" w:fill="auto"/>
            <w:vAlign w:val="bottom"/>
          </w:tcPr>
          <w:p w14:paraId="7438EC71" w14:textId="77777777" w:rsidR="003C48D6" w:rsidRPr="00AF6536" w:rsidRDefault="003C48D6" w:rsidP="00AF6536">
            <w:pPr>
              <w:suppressAutoHyphens w:val="0"/>
              <w:spacing w:before="80" w:after="80" w:line="220" w:lineRule="exact"/>
              <w:jc w:val="right"/>
              <w:rPr>
                <w:b/>
                <w:sz w:val="18"/>
                <w:szCs w:val="18"/>
                <w:lang w:val="fr-FR"/>
              </w:rPr>
            </w:pPr>
            <w:r w:rsidRPr="00AF6536">
              <w:rPr>
                <w:b/>
                <w:sz w:val="18"/>
                <w:szCs w:val="18"/>
                <w:lang w:val="fr-FR"/>
              </w:rPr>
              <w:t>11,9</w:t>
            </w:r>
          </w:p>
        </w:tc>
      </w:tr>
      <w:tr w:rsidR="003C48D6" w:rsidRPr="00AF6536" w14:paraId="6C6674F3" w14:textId="77777777" w:rsidTr="00AF6536">
        <w:tc>
          <w:tcPr>
            <w:tcW w:w="1082" w:type="dxa"/>
            <w:tcBorders>
              <w:top w:val="single" w:sz="4" w:space="0" w:color="auto"/>
            </w:tcBorders>
            <w:shd w:val="clear" w:color="auto" w:fill="auto"/>
          </w:tcPr>
          <w:p w14:paraId="40273C54" w14:textId="77777777" w:rsidR="003C48D6" w:rsidRPr="00AF6536" w:rsidRDefault="003C48D6" w:rsidP="00AF6536">
            <w:pPr>
              <w:suppressAutoHyphens w:val="0"/>
              <w:spacing w:before="40" w:after="40" w:line="220" w:lineRule="exact"/>
              <w:rPr>
                <w:sz w:val="18"/>
                <w:szCs w:val="18"/>
                <w:lang w:val="fr-FR"/>
              </w:rPr>
            </w:pPr>
            <w:r w:rsidRPr="00AF6536">
              <w:rPr>
                <w:sz w:val="18"/>
                <w:szCs w:val="18"/>
                <w:lang w:val="fr-FR"/>
              </w:rPr>
              <w:t>Rural</w:t>
            </w:r>
          </w:p>
        </w:tc>
        <w:tc>
          <w:tcPr>
            <w:tcW w:w="1048" w:type="dxa"/>
            <w:tcBorders>
              <w:top w:val="single" w:sz="4" w:space="0" w:color="auto"/>
            </w:tcBorders>
            <w:shd w:val="clear" w:color="auto" w:fill="auto"/>
            <w:vAlign w:val="bottom"/>
          </w:tcPr>
          <w:p w14:paraId="3C423397" w14:textId="77777777" w:rsidR="003C48D6" w:rsidRPr="00AF6536" w:rsidRDefault="003C48D6" w:rsidP="00AF6536">
            <w:pPr>
              <w:suppressAutoHyphens w:val="0"/>
              <w:spacing w:before="40" w:after="40" w:line="220" w:lineRule="exact"/>
              <w:jc w:val="right"/>
              <w:rPr>
                <w:sz w:val="18"/>
                <w:szCs w:val="18"/>
                <w:lang w:val="fr-FR"/>
              </w:rPr>
            </w:pPr>
            <w:r w:rsidRPr="00AF6536">
              <w:rPr>
                <w:sz w:val="18"/>
                <w:szCs w:val="18"/>
                <w:lang w:val="fr-FR"/>
              </w:rPr>
              <w:t>N/D</w:t>
            </w:r>
          </w:p>
        </w:tc>
        <w:tc>
          <w:tcPr>
            <w:tcW w:w="1048" w:type="dxa"/>
            <w:tcBorders>
              <w:top w:val="single" w:sz="4" w:space="0" w:color="auto"/>
            </w:tcBorders>
            <w:shd w:val="clear" w:color="auto" w:fill="auto"/>
            <w:vAlign w:val="bottom"/>
          </w:tcPr>
          <w:p w14:paraId="52C1EFDC" w14:textId="77777777" w:rsidR="003C48D6" w:rsidRPr="00AF6536" w:rsidRDefault="003C48D6" w:rsidP="00AF6536">
            <w:pPr>
              <w:suppressAutoHyphens w:val="0"/>
              <w:spacing w:before="40" w:after="40" w:line="220" w:lineRule="exact"/>
              <w:jc w:val="right"/>
              <w:rPr>
                <w:sz w:val="18"/>
                <w:szCs w:val="18"/>
                <w:lang w:val="fr-FR"/>
              </w:rPr>
            </w:pPr>
            <w:r w:rsidRPr="00AF6536">
              <w:rPr>
                <w:sz w:val="18"/>
                <w:szCs w:val="18"/>
                <w:lang w:val="fr-FR"/>
              </w:rPr>
              <w:t>N/D</w:t>
            </w:r>
          </w:p>
        </w:tc>
        <w:tc>
          <w:tcPr>
            <w:tcW w:w="1048" w:type="dxa"/>
            <w:tcBorders>
              <w:top w:val="single" w:sz="4" w:space="0" w:color="auto"/>
            </w:tcBorders>
            <w:shd w:val="clear" w:color="auto" w:fill="auto"/>
            <w:vAlign w:val="bottom"/>
          </w:tcPr>
          <w:p w14:paraId="751BBA1D" w14:textId="77777777" w:rsidR="003C48D6" w:rsidRPr="00AF6536" w:rsidRDefault="003C48D6" w:rsidP="00AF6536">
            <w:pPr>
              <w:suppressAutoHyphens w:val="0"/>
              <w:spacing w:before="40" w:after="40" w:line="220" w:lineRule="exact"/>
              <w:jc w:val="right"/>
              <w:rPr>
                <w:sz w:val="18"/>
                <w:szCs w:val="18"/>
                <w:lang w:val="fr-FR"/>
              </w:rPr>
            </w:pPr>
            <w:r w:rsidRPr="00AF6536">
              <w:rPr>
                <w:sz w:val="18"/>
                <w:szCs w:val="18"/>
                <w:lang w:val="fr-FR"/>
              </w:rPr>
              <w:t>10,7</w:t>
            </w:r>
          </w:p>
        </w:tc>
        <w:tc>
          <w:tcPr>
            <w:tcW w:w="1048" w:type="dxa"/>
            <w:tcBorders>
              <w:top w:val="single" w:sz="4" w:space="0" w:color="auto"/>
            </w:tcBorders>
            <w:shd w:val="clear" w:color="auto" w:fill="auto"/>
            <w:vAlign w:val="bottom"/>
          </w:tcPr>
          <w:p w14:paraId="43BFD9A7" w14:textId="77777777" w:rsidR="003C48D6" w:rsidRPr="00AF6536" w:rsidRDefault="003C48D6" w:rsidP="00AF6536">
            <w:pPr>
              <w:suppressAutoHyphens w:val="0"/>
              <w:spacing w:before="40" w:after="40" w:line="220" w:lineRule="exact"/>
              <w:jc w:val="right"/>
              <w:rPr>
                <w:sz w:val="18"/>
                <w:szCs w:val="18"/>
                <w:lang w:val="fr-FR"/>
              </w:rPr>
            </w:pPr>
            <w:r w:rsidRPr="00AF6536">
              <w:rPr>
                <w:sz w:val="18"/>
                <w:szCs w:val="18"/>
                <w:lang w:val="fr-FR"/>
              </w:rPr>
              <w:t>9,5</w:t>
            </w:r>
          </w:p>
        </w:tc>
        <w:tc>
          <w:tcPr>
            <w:tcW w:w="1048" w:type="dxa"/>
            <w:tcBorders>
              <w:top w:val="single" w:sz="4" w:space="0" w:color="auto"/>
            </w:tcBorders>
            <w:shd w:val="clear" w:color="auto" w:fill="auto"/>
            <w:vAlign w:val="bottom"/>
          </w:tcPr>
          <w:p w14:paraId="320DC3E5" w14:textId="77777777" w:rsidR="003C48D6" w:rsidRPr="00AF6536" w:rsidRDefault="003C48D6" w:rsidP="00AF6536">
            <w:pPr>
              <w:suppressAutoHyphens w:val="0"/>
              <w:spacing w:before="40" w:after="40" w:line="220" w:lineRule="exact"/>
              <w:jc w:val="right"/>
              <w:rPr>
                <w:sz w:val="18"/>
                <w:szCs w:val="18"/>
                <w:lang w:val="fr-FR"/>
              </w:rPr>
            </w:pPr>
            <w:r w:rsidRPr="00AF6536">
              <w:rPr>
                <w:sz w:val="18"/>
                <w:szCs w:val="18"/>
                <w:lang w:val="fr-FR"/>
              </w:rPr>
              <w:t>8,4</w:t>
            </w:r>
          </w:p>
        </w:tc>
        <w:tc>
          <w:tcPr>
            <w:tcW w:w="1048" w:type="dxa"/>
            <w:tcBorders>
              <w:top w:val="single" w:sz="4" w:space="0" w:color="auto"/>
            </w:tcBorders>
            <w:shd w:val="clear" w:color="auto" w:fill="auto"/>
            <w:vAlign w:val="bottom"/>
          </w:tcPr>
          <w:p w14:paraId="5520F511" w14:textId="77777777" w:rsidR="003C48D6" w:rsidRPr="00AF6536" w:rsidRDefault="003C48D6" w:rsidP="00AF6536">
            <w:pPr>
              <w:suppressAutoHyphens w:val="0"/>
              <w:spacing w:before="40" w:after="40" w:line="220" w:lineRule="exact"/>
              <w:jc w:val="right"/>
              <w:rPr>
                <w:sz w:val="18"/>
                <w:szCs w:val="18"/>
                <w:lang w:val="fr-FR"/>
              </w:rPr>
            </w:pPr>
            <w:r w:rsidRPr="00AF6536">
              <w:rPr>
                <w:sz w:val="18"/>
                <w:szCs w:val="18"/>
                <w:lang w:val="fr-FR"/>
              </w:rPr>
              <w:t>12,7</w:t>
            </w:r>
          </w:p>
        </w:tc>
      </w:tr>
      <w:tr w:rsidR="003C48D6" w:rsidRPr="00AF6536" w14:paraId="048C348B" w14:textId="77777777" w:rsidTr="00AF6536">
        <w:tc>
          <w:tcPr>
            <w:tcW w:w="1082" w:type="dxa"/>
            <w:tcBorders>
              <w:bottom w:val="single" w:sz="12" w:space="0" w:color="auto"/>
            </w:tcBorders>
            <w:shd w:val="clear" w:color="auto" w:fill="auto"/>
          </w:tcPr>
          <w:p w14:paraId="31A17E12" w14:textId="77777777" w:rsidR="003C48D6" w:rsidRPr="00AF6536" w:rsidRDefault="003C48D6" w:rsidP="00AF6536">
            <w:pPr>
              <w:suppressAutoHyphens w:val="0"/>
              <w:spacing w:before="40" w:after="40" w:line="220" w:lineRule="exact"/>
              <w:rPr>
                <w:sz w:val="18"/>
                <w:szCs w:val="18"/>
                <w:lang w:val="fr-FR"/>
              </w:rPr>
            </w:pPr>
            <w:r w:rsidRPr="00AF6536">
              <w:rPr>
                <w:sz w:val="18"/>
                <w:szCs w:val="18"/>
                <w:lang w:val="fr-FR"/>
              </w:rPr>
              <w:t xml:space="preserve">Urbain </w:t>
            </w:r>
          </w:p>
        </w:tc>
        <w:tc>
          <w:tcPr>
            <w:tcW w:w="1048" w:type="dxa"/>
            <w:tcBorders>
              <w:bottom w:val="single" w:sz="12" w:space="0" w:color="auto"/>
            </w:tcBorders>
            <w:shd w:val="clear" w:color="auto" w:fill="auto"/>
            <w:vAlign w:val="bottom"/>
          </w:tcPr>
          <w:p w14:paraId="1B6E52AE" w14:textId="77777777" w:rsidR="003C48D6" w:rsidRPr="00AF6536" w:rsidRDefault="003C48D6" w:rsidP="00AF6536">
            <w:pPr>
              <w:suppressAutoHyphens w:val="0"/>
              <w:spacing w:before="40" w:after="40" w:line="220" w:lineRule="exact"/>
              <w:jc w:val="right"/>
              <w:rPr>
                <w:sz w:val="18"/>
                <w:szCs w:val="18"/>
                <w:lang w:val="fr-FR"/>
              </w:rPr>
            </w:pPr>
            <w:r w:rsidRPr="00AF6536">
              <w:rPr>
                <w:sz w:val="18"/>
                <w:szCs w:val="18"/>
                <w:lang w:val="fr-FR"/>
              </w:rPr>
              <w:t>N/D</w:t>
            </w:r>
          </w:p>
        </w:tc>
        <w:tc>
          <w:tcPr>
            <w:tcW w:w="1048" w:type="dxa"/>
            <w:tcBorders>
              <w:bottom w:val="single" w:sz="12" w:space="0" w:color="auto"/>
            </w:tcBorders>
            <w:shd w:val="clear" w:color="auto" w:fill="auto"/>
            <w:vAlign w:val="bottom"/>
          </w:tcPr>
          <w:p w14:paraId="7266A464" w14:textId="77777777" w:rsidR="003C48D6" w:rsidRPr="00AF6536" w:rsidRDefault="003C48D6" w:rsidP="00AF6536">
            <w:pPr>
              <w:suppressAutoHyphens w:val="0"/>
              <w:spacing w:before="40" w:after="40" w:line="220" w:lineRule="exact"/>
              <w:jc w:val="right"/>
              <w:rPr>
                <w:sz w:val="18"/>
                <w:szCs w:val="18"/>
                <w:lang w:val="fr-FR"/>
              </w:rPr>
            </w:pPr>
            <w:r w:rsidRPr="00AF6536">
              <w:rPr>
                <w:sz w:val="18"/>
                <w:szCs w:val="18"/>
                <w:lang w:val="fr-FR"/>
              </w:rPr>
              <w:t>N/D</w:t>
            </w:r>
          </w:p>
        </w:tc>
        <w:tc>
          <w:tcPr>
            <w:tcW w:w="1048" w:type="dxa"/>
            <w:tcBorders>
              <w:bottom w:val="single" w:sz="12" w:space="0" w:color="auto"/>
            </w:tcBorders>
            <w:shd w:val="clear" w:color="auto" w:fill="auto"/>
            <w:vAlign w:val="bottom"/>
          </w:tcPr>
          <w:p w14:paraId="66BD7F98" w14:textId="77777777" w:rsidR="003C48D6" w:rsidRPr="00AF6536" w:rsidRDefault="003C48D6" w:rsidP="00AF6536">
            <w:pPr>
              <w:suppressAutoHyphens w:val="0"/>
              <w:spacing w:before="40" w:after="40" w:line="220" w:lineRule="exact"/>
              <w:jc w:val="right"/>
              <w:rPr>
                <w:sz w:val="18"/>
                <w:szCs w:val="18"/>
                <w:lang w:val="fr-FR"/>
              </w:rPr>
            </w:pPr>
            <w:r w:rsidRPr="00AF6536">
              <w:rPr>
                <w:sz w:val="18"/>
                <w:szCs w:val="18"/>
                <w:lang w:val="fr-FR"/>
              </w:rPr>
              <w:t>9,9</w:t>
            </w:r>
          </w:p>
        </w:tc>
        <w:tc>
          <w:tcPr>
            <w:tcW w:w="1048" w:type="dxa"/>
            <w:tcBorders>
              <w:bottom w:val="single" w:sz="12" w:space="0" w:color="auto"/>
            </w:tcBorders>
            <w:shd w:val="clear" w:color="auto" w:fill="auto"/>
            <w:vAlign w:val="bottom"/>
          </w:tcPr>
          <w:p w14:paraId="0ED4E062" w14:textId="77777777" w:rsidR="003C48D6" w:rsidRPr="00AF6536" w:rsidRDefault="003C48D6" w:rsidP="00AF6536">
            <w:pPr>
              <w:suppressAutoHyphens w:val="0"/>
              <w:spacing w:before="40" w:after="40" w:line="220" w:lineRule="exact"/>
              <w:jc w:val="right"/>
              <w:rPr>
                <w:sz w:val="18"/>
                <w:szCs w:val="18"/>
                <w:lang w:val="fr-FR"/>
              </w:rPr>
            </w:pPr>
            <w:r w:rsidRPr="00AF6536">
              <w:rPr>
                <w:sz w:val="18"/>
                <w:szCs w:val="18"/>
                <w:lang w:val="fr-FR"/>
              </w:rPr>
              <w:t>10,5</w:t>
            </w:r>
          </w:p>
        </w:tc>
        <w:tc>
          <w:tcPr>
            <w:tcW w:w="1048" w:type="dxa"/>
            <w:tcBorders>
              <w:bottom w:val="single" w:sz="12" w:space="0" w:color="auto"/>
            </w:tcBorders>
            <w:shd w:val="clear" w:color="auto" w:fill="auto"/>
            <w:vAlign w:val="bottom"/>
          </w:tcPr>
          <w:p w14:paraId="17B0D43D" w14:textId="77777777" w:rsidR="003C48D6" w:rsidRPr="00AF6536" w:rsidRDefault="003C48D6" w:rsidP="00AF6536">
            <w:pPr>
              <w:suppressAutoHyphens w:val="0"/>
              <w:spacing w:before="40" w:after="40" w:line="220" w:lineRule="exact"/>
              <w:jc w:val="right"/>
              <w:rPr>
                <w:sz w:val="18"/>
                <w:szCs w:val="18"/>
                <w:lang w:val="fr-FR"/>
              </w:rPr>
            </w:pPr>
            <w:r w:rsidRPr="00AF6536">
              <w:rPr>
                <w:sz w:val="18"/>
                <w:szCs w:val="18"/>
                <w:lang w:val="fr-FR"/>
              </w:rPr>
              <w:t>8,7</w:t>
            </w:r>
          </w:p>
        </w:tc>
        <w:tc>
          <w:tcPr>
            <w:tcW w:w="1048" w:type="dxa"/>
            <w:tcBorders>
              <w:bottom w:val="single" w:sz="12" w:space="0" w:color="auto"/>
            </w:tcBorders>
            <w:shd w:val="clear" w:color="auto" w:fill="auto"/>
            <w:vAlign w:val="bottom"/>
          </w:tcPr>
          <w:p w14:paraId="75CAEA52" w14:textId="77777777" w:rsidR="003C48D6" w:rsidRPr="00AF6536" w:rsidRDefault="003C48D6" w:rsidP="00AF6536">
            <w:pPr>
              <w:suppressAutoHyphens w:val="0"/>
              <w:spacing w:before="40" w:after="40" w:line="220" w:lineRule="exact"/>
              <w:jc w:val="right"/>
              <w:rPr>
                <w:sz w:val="18"/>
                <w:szCs w:val="18"/>
                <w:lang w:val="fr-FR"/>
              </w:rPr>
            </w:pPr>
            <w:r w:rsidRPr="00AF6536">
              <w:rPr>
                <w:sz w:val="18"/>
                <w:szCs w:val="18"/>
                <w:lang w:val="fr-FR"/>
              </w:rPr>
              <w:t>11,3</w:t>
            </w:r>
          </w:p>
        </w:tc>
      </w:tr>
    </w:tbl>
    <w:p w14:paraId="11C86994" w14:textId="77777777" w:rsidR="003C48D6" w:rsidRPr="00F720A6" w:rsidRDefault="003C48D6" w:rsidP="00AF6536">
      <w:pPr>
        <w:pStyle w:val="SingleTxtG"/>
        <w:spacing w:before="240"/>
        <w:rPr>
          <w:lang w:val="fr-FR"/>
        </w:rPr>
      </w:pPr>
      <w:r w:rsidRPr="00F720A6">
        <w:rPr>
          <w:lang w:val="fr-FR"/>
        </w:rPr>
        <w:t>144.</w:t>
      </w:r>
      <w:r w:rsidRPr="00F720A6">
        <w:rPr>
          <w:lang w:val="fr-FR"/>
        </w:rPr>
        <w:tab/>
        <w:t>Le pourcentage d</w:t>
      </w:r>
      <w:r w:rsidR="00254912">
        <w:rPr>
          <w:lang w:val="fr-FR"/>
        </w:rPr>
        <w:t>’</w:t>
      </w:r>
      <w:r w:rsidRPr="00F720A6">
        <w:rPr>
          <w:lang w:val="fr-FR"/>
        </w:rPr>
        <w:t>enfants pesant moins de 2 500 grammes à la naissance n</w:t>
      </w:r>
      <w:r w:rsidR="00254912">
        <w:rPr>
          <w:lang w:val="fr-FR"/>
        </w:rPr>
        <w:t>’</w:t>
      </w:r>
      <w:r w:rsidRPr="00F720A6">
        <w:rPr>
          <w:lang w:val="fr-FR"/>
        </w:rPr>
        <w:t>a cessé de croître.</w:t>
      </w:r>
    </w:p>
    <w:p w14:paraId="50870544" w14:textId="77777777" w:rsidR="003C48D6" w:rsidRPr="00F720A6" w:rsidRDefault="003C48D6" w:rsidP="001F4CA2">
      <w:pPr>
        <w:pStyle w:val="Titre1"/>
        <w:spacing w:after="120"/>
        <w:rPr>
          <w:lang w:val="fr-FR"/>
        </w:rPr>
      </w:pPr>
      <w:r w:rsidRPr="00F720A6">
        <w:rPr>
          <w:lang w:val="fr-FR"/>
        </w:rPr>
        <w:t>Tableau 11</w:t>
      </w:r>
      <w:r w:rsidRPr="00F720A6">
        <w:rPr>
          <w:lang w:val="fr-FR"/>
        </w:rPr>
        <w:br/>
      </w:r>
      <w:r w:rsidRPr="00C210FA">
        <w:rPr>
          <w:b/>
          <w:bCs/>
          <w:lang w:val="fr-FR"/>
        </w:rPr>
        <w:t>Pourcentage d</w:t>
      </w:r>
      <w:r w:rsidR="00254912">
        <w:rPr>
          <w:b/>
          <w:bCs/>
          <w:lang w:val="fr-FR"/>
        </w:rPr>
        <w:t>’</w:t>
      </w:r>
      <w:r w:rsidRPr="00C210FA">
        <w:rPr>
          <w:b/>
          <w:bCs/>
          <w:lang w:val="fr-FR"/>
        </w:rPr>
        <w:t xml:space="preserve">enfants présentant une insuffisance pondérale à la naissance </w:t>
      </w:r>
      <w:r w:rsidR="003A6131">
        <w:rPr>
          <w:b/>
          <w:bCs/>
          <w:lang w:val="fr-FR"/>
        </w:rPr>
        <w:t>−</w:t>
      </w:r>
      <w:r w:rsidRPr="00C210FA">
        <w:rPr>
          <w:b/>
          <w:bCs/>
          <w:lang w:val="fr-FR"/>
        </w:rPr>
        <w:t xml:space="preserve"> </w:t>
      </w:r>
      <w:r w:rsidR="00C210FA" w:rsidRPr="00C210FA">
        <w:rPr>
          <w:b/>
          <w:bCs/>
          <w:lang w:val="fr-FR"/>
        </w:rPr>
        <w:br/>
      </w:r>
      <w:r w:rsidRPr="00C210FA">
        <w:rPr>
          <w:b/>
          <w:bCs/>
          <w:lang w:val="fr-FR"/>
        </w:rPr>
        <w:t>moins de 2 500 grammes (2011-2016)</w:t>
      </w:r>
      <w:bookmarkStart w:id="57" w:name="_Toc56781458"/>
      <w:bookmarkEnd w:id="57"/>
    </w:p>
    <w:tbl>
      <w:tblPr>
        <w:tblW w:w="7370" w:type="dxa"/>
        <w:tblInd w:w="1134" w:type="dxa"/>
        <w:tblLayout w:type="fixed"/>
        <w:tblCellMar>
          <w:left w:w="0" w:type="dxa"/>
          <w:right w:w="0" w:type="dxa"/>
        </w:tblCellMar>
        <w:tblLook w:val="00A0" w:firstRow="1" w:lastRow="0" w:firstColumn="1" w:lastColumn="0" w:noHBand="0" w:noVBand="0"/>
      </w:tblPr>
      <w:tblGrid>
        <w:gridCol w:w="2552"/>
        <w:gridCol w:w="709"/>
        <w:gridCol w:w="708"/>
        <w:gridCol w:w="851"/>
        <w:gridCol w:w="850"/>
        <w:gridCol w:w="851"/>
        <w:gridCol w:w="849"/>
      </w:tblGrid>
      <w:tr w:rsidR="003C48D6" w:rsidRPr="00C210FA" w14:paraId="7110560B" w14:textId="77777777" w:rsidTr="00C210FA">
        <w:trPr>
          <w:tblHeader/>
        </w:trPr>
        <w:tc>
          <w:tcPr>
            <w:tcW w:w="2552" w:type="dxa"/>
            <w:tcBorders>
              <w:top w:val="single" w:sz="4" w:space="0" w:color="auto"/>
              <w:bottom w:val="single" w:sz="12" w:space="0" w:color="auto"/>
            </w:tcBorders>
            <w:shd w:val="clear" w:color="auto" w:fill="auto"/>
            <w:vAlign w:val="bottom"/>
          </w:tcPr>
          <w:p w14:paraId="66E1EBE0" w14:textId="77777777" w:rsidR="003C48D6" w:rsidRPr="00C210FA" w:rsidRDefault="003C48D6" w:rsidP="00C210FA">
            <w:pPr>
              <w:suppressAutoHyphens w:val="0"/>
              <w:spacing w:before="80" w:after="80" w:line="200" w:lineRule="exact"/>
              <w:rPr>
                <w:bCs/>
                <w:i/>
                <w:sz w:val="16"/>
                <w:lang w:val="fr-FR"/>
              </w:rPr>
            </w:pPr>
            <w:r w:rsidRPr="00C210FA">
              <w:rPr>
                <w:i/>
                <w:sz w:val="16"/>
                <w:lang w:val="fr-FR"/>
              </w:rPr>
              <w:t xml:space="preserve">Indicateur </w:t>
            </w:r>
          </w:p>
        </w:tc>
        <w:tc>
          <w:tcPr>
            <w:tcW w:w="709" w:type="dxa"/>
            <w:tcBorders>
              <w:top w:val="single" w:sz="4" w:space="0" w:color="auto"/>
              <w:bottom w:val="single" w:sz="12" w:space="0" w:color="auto"/>
            </w:tcBorders>
            <w:shd w:val="clear" w:color="auto" w:fill="auto"/>
            <w:vAlign w:val="bottom"/>
          </w:tcPr>
          <w:p w14:paraId="0422D8FB" w14:textId="77777777" w:rsidR="003C48D6" w:rsidRPr="00C210FA" w:rsidRDefault="003C48D6" w:rsidP="00C210FA">
            <w:pPr>
              <w:suppressAutoHyphens w:val="0"/>
              <w:spacing w:before="80" w:after="80" w:line="200" w:lineRule="exact"/>
              <w:jc w:val="right"/>
              <w:rPr>
                <w:bCs/>
                <w:i/>
                <w:sz w:val="16"/>
                <w:lang w:val="fr-FR"/>
              </w:rPr>
            </w:pPr>
            <w:r w:rsidRPr="00C210FA">
              <w:rPr>
                <w:i/>
                <w:sz w:val="16"/>
                <w:lang w:val="fr-FR"/>
              </w:rPr>
              <w:t>2011</w:t>
            </w:r>
          </w:p>
        </w:tc>
        <w:tc>
          <w:tcPr>
            <w:tcW w:w="708" w:type="dxa"/>
            <w:tcBorders>
              <w:top w:val="single" w:sz="4" w:space="0" w:color="auto"/>
              <w:bottom w:val="single" w:sz="12" w:space="0" w:color="auto"/>
            </w:tcBorders>
            <w:shd w:val="clear" w:color="auto" w:fill="auto"/>
            <w:vAlign w:val="bottom"/>
          </w:tcPr>
          <w:p w14:paraId="47EAB82D" w14:textId="77777777" w:rsidR="003C48D6" w:rsidRPr="00C210FA" w:rsidRDefault="003C48D6" w:rsidP="00C210FA">
            <w:pPr>
              <w:suppressAutoHyphens w:val="0"/>
              <w:spacing w:before="80" w:after="80" w:line="200" w:lineRule="exact"/>
              <w:jc w:val="right"/>
              <w:rPr>
                <w:bCs/>
                <w:i/>
                <w:sz w:val="16"/>
                <w:lang w:val="fr-FR"/>
              </w:rPr>
            </w:pPr>
            <w:r w:rsidRPr="00C210FA">
              <w:rPr>
                <w:i/>
                <w:sz w:val="16"/>
                <w:lang w:val="fr-FR"/>
              </w:rPr>
              <w:t>2012</w:t>
            </w:r>
          </w:p>
        </w:tc>
        <w:tc>
          <w:tcPr>
            <w:tcW w:w="851" w:type="dxa"/>
            <w:tcBorders>
              <w:top w:val="single" w:sz="4" w:space="0" w:color="auto"/>
              <w:bottom w:val="single" w:sz="12" w:space="0" w:color="auto"/>
            </w:tcBorders>
            <w:shd w:val="clear" w:color="auto" w:fill="auto"/>
            <w:vAlign w:val="bottom"/>
          </w:tcPr>
          <w:p w14:paraId="12A86985" w14:textId="77777777" w:rsidR="003C48D6" w:rsidRPr="00C210FA" w:rsidRDefault="003C48D6" w:rsidP="00C210FA">
            <w:pPr>
              <w:suppressAutoHyphens w:val="0"/>
              <w:spacing w:before="80" w:after="80" w:line="200" w:lineRule="exact"/>
              <w:jc w:val="right"/>
              <w:rPr>
                <w:bCs/>
                <w:i/>
                <w:sz w:val="16"/>
                <w:lang w:val="fr-FR"/>
              </w:rPr>
            </w:pPr>
            <w:r w:rsidRPr="00C210FA">
              <w:rPr>
                <w:i/>
                <w:sz w:val="16"/>
                <w:lang w:val="fr-FR"/>
              </w:rPr>
              <w:t>2013</w:t>
            </w:r>
          </w:p>
        </w:tc>
        <w:tc>
          <w:tcPr>
            <w:tcW w:w="850" w:type="dxa"/>
            <w:tcBorders>
              <w:top w:val="single" w:sz="4" w:space="0" w:color="auto"/>
              <w:bottom w:val="single" w:sz="12" w:space="0" w:color="auto"/>
            </w:tcBorders>
            <w:shd w:val="clear" w:color="auto" w:fill="auto"/>
            <w:vAlign w:val="bottom"/>
          </w:tcPr>
          <w:p w14:paraId="61E4DE9E" w14:textId="77777777" w:rsidR="003C48D6" w:rsidRPr="00C210FA" w:rsidRDefault="003C48D6" w:rsidP="00C210FA">
            <w:pPr>
              <w:suppressAutoHyphens w:val="0"/>
              <w:spacing w:before="80" w:after="80" w:line="200" w:lineRule="exact"/>
              <w:jc w:val="right"/>
              <w:rPr>
                <w:bCs/>
                <w:i/>
                <w:sz w:val="16"/>
                <w:lang w:val="fr-FR"/>
              </w:rPr>
            </w:pPr>
            <w:r w:rsidRPr="00C210FA">
              <w:rPr>
                <w:i/>
                <w:sz w:val="16"/>
                <w:lang w:val="fr-FR"/>
              </w:rPr>
              <w:t>2014</w:t>
            </w:r>
          </w:p>
        </w:tc>
        <w:tc>
          <w:tcPr>
            <w:tcW w:w="851" w:type="dxa"/>
            <w:tcBorders>
              <w:top w:val="single" w:sz="4" w:space="0" w:color="auto"/>
              <w:bottom w:val="single" w:sz="12" w:space="0" w:color="auto"/>
            </w:tcBorders>
            <w:shd w:val="clear" w:color="auto" w:fill="auto"/>
            <w:vAlign w:val="bottom"/>
          </w:tcPr>
          <w:p w14:paraId="243D424B" w14:textId="77777777" w:rsidR="003C48D6" w:rsidRPr="00C210FA" w:rsidRDefault="003C48D6" w:rsidP="00C210FA">
            <w:pPr>
              <w:suppressAutoHyphens w:val="0"/>
              <w:spacing w:before="80" w:after="80" w:line="200" w:lineRule="exact"/>
              <w:jc w:val="right"/>
              <w:rPr>
                <w:bCs/>
                <w:i/>
                <w:sz w:val="16"/>
                <w:lang w:val="fr-FR"/>
              </w:rPr>
            </w:pPr>
            <w:r w:rsidRPr="00C210FA">
              <w:rPr>
                <w:i/>
                <w:sz w:val="16"/>
                <w:lang w:val="fr-FR"/>
              </w:rPr>
              <w:t>2015</w:t>
            </w:r>
          </w:p>
        </w:tc>
        <w:tc>
          <w:tcPr>
            <w:tcW w:w="849" w:type="dxa"/>
            <w:tcBorders>
              <w:top w:val="single" w:sz="4" w:space="0" w:color="auto"/>
              <w:bottom w:val="single" w:sz="12" w:space="0" w:color="auto"/>
            </w:tcBorders>
            <w:shd w:val="clear" w:color="auto" w:fill="auto"/>
            <w:vAlign w:val="bottom"/>
          </w:tcPr>
          <w:p w14:paraId="5D250A7D" w14:textId="77777777" w:rsidR="003C48D6" w:rsidRPr="00C210FA" w:rsidRDefault="003C48D6" w:rsidP="00C210FA">
            <w:pPr>
              <w:suppressAutoHyphens w:val="0"/>
              <w:spacing w:before="80" w:after="80" w:line="200" w:lineRule="exact"/>
              <w:jc w:val="right"/>
              <w:rPr>
                <w:bCs/>
                <w:i/>
                <w:sz w:val="16"/>
                <w:lang w:val="fr-FR"/>
              </w:rPr>
            </w:pPr>
            <w:r w:rsidRPr="00C210FA">
              <w:rPr>
                <w:i/>
                <w:sz w:val="16"/>
                <w:lang w:val="fr-FR"/>
              </w:rPr>
              <w:t>2016</w:t>
            </w:r>
          </w:p>
        </w:tc>
      </w:tr>
      <w:tr w:rsidR="003C48D6" w:rsidRPr="00C210FA" w14:paraId="4558129B" w14:textId="77777777" w:rsidTr="00C210FA">
        <w:tc>
          <w:tcPr>
            <w:tcW w:w="2552" w:type="dxa"/>
            <w:tcBorders>
              <w:bottom w:val="single" w:sz="12" w:space="0" w:color="auto"/>
            </w:tcBorders>
            <w:shd w:val="clear" w:color="auto" w:fill="auto"/>
          </w:tcPr>
          <w:p w14:paraId="1AC1CEC6" w14:textId="77777777" w:rsidR="003C48D6" w:rsidRPr="00C210FA" w:rsidRDefault="003A6131" w:rsidP="00C210FA">
            <w:pPr>
              <w:suppressAutoHyphens w:val="0"/>
              <w:spacing w:before="40" w:after="40" w:line="220" w:lineRule="exact"/>
              <w:rPr>
                <w:bCs/>
                <w:sz w:val="18"/>
                <w:szCs w:val="18"/>
                <w:lang w:val="fr-FR"/>
              </w:rPr>
            </w:pPr>
            <w:r>
              <w:rPr>
                <w:sz w:val="18"/>
                <w:szCs w:val="18"/>
                <w:lang w:val="fr-FR"/>
              </w:rPr>
              <w:t>Pourcentage</w:t>
            </w:r>
            <w:r w:rsidR="003C48D6" w:rsidRPr="00C210FA">
              <w:rPr>
                <w:sz w:val="18"/>
                <w:szCs w:val="18"/>
                <w:lang w:val="fr-FR"/>
              </w:rPr>
              <w:t xml:space="preserve"> d</w:t>
            </w:r>
            <w:r w:rsidR="00254912">
              <w:rPr>
                <w:sz w:val="18"/>
                <w:szCs w:val="18"/>
                <w:lang w:val="fr-FR"/>
              </w:rPr>
              <w:t>’</w:t>
            </w:r>
            <w:r w:rsidR="003C48D6" w:rsidRPr="00C210FA">
              <w:rPr>
                <w:sz w:val="18"/>
                <w:szCs w:val="18"/>
                <w:lang w:val="fr-FR"/>
              </w:rPr>
              <w:t>enfants nés vivants et pesant moins de 2 500 grammes, par rapport au nombre total de naissances vivantes</w:t>
            </w:r>
          </w:p>
        </w:tc>
        <w:tc>
          <w:tcPr>
            <w:tcW w:w="709" w:type="dxa"/>
            <w:tcBorders>
              <w:bottom w:val="single" w:sz="12" w:space="0" w:color="auto"/>
            </w:tcBorders>
            <w:shd w:val="clear" w:color="auto" w:fill="auto"/>
            <w:vAlign w:val="bottom"/>
          </w:tcPr>
          <w:p w14:paraId="18262F44"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7,0</w:t>
            </w:r>
          </w:p>
        </w:tc>
        <w:tc>
          <w:tcPr>
            <w:tcW w:w="708" w:type="dxa"/>
            <w:tcBorders>
              <w:bottom w:val="single" w:sz="12" w:space="0" w:color="auto"/>
            </w:tcBorders>
            <w:shd w:val="clear" w:color="auto" w:fill="auto"/>
            <w:vAlign w:val="bottom"/>
          </w:tcPr>
          <w:p w14:paraId="0BEFF310"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7,2</w:t>
            </w:r>
          </w:p>
        </w:tc>
        <w:tc>
          <w:tcPr>
            <w:tcW w:w="851" w:type="dxa"/>
            <w:tcBorders>
              <w:bottom w:val="single" w:sz="12" w:space="0" w:color="auto"/>
            </w:tcBorders>
            <w:shd w:val="clear" w:color="auto" w:fill="auto"/>
            <w:vAlign w:val="bottom"/>
          </w:tcPr>
          <w:p w14:paraId="0F4C5880"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7,4</w:t>
            </w:r>
          </w:p>
        </w:tc>
        <w:tc>
          <w:tcPr>
            <w:tcW w:w="850" w:type="dxa"/>
            <w:tcBorders>
              <w:bottom w:val="single" w:sz="12" w:space="0" w:color="auto"/>
            </w:tcBorders>
            <w:shd w:val="clear" w:color="auto" w:fill="auto"/>
            <w:vAlign w:val="bottom"/>
          </w:tcPr>
          <w:p w14:paraId="7EEBD600"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7,2</w:t>
            </w:r>
          </w:p>
        </w:tc>
        <w:tc>
          <w:tcPr>
            <w:tcW w:w="851" w:type="dxa"/>
            <w:tcBorders>
              <w:bottom w:val="single" w:sz="12" w:space="0" w:color="auto"/>
            </w:tcBorders>
            <w:shd w:val="clear" w:color="auto" w:fill="auto"/>
            <w:vAlign w:val="bottom"/>
          </w:tcPr>
          <w:p w14:paraId="387DC459"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7,6</w:t>
            </w:r>
          </w:p>
        </w:tc>
        <w:tc>
          <w:tcPr>
            <w:tcW w:w="849" w:type="dxa"/>
            <w:tcBorders>
              <w:bottom w:val="single" w:sz="12" w:space="0" w:color="auto"/>
            </w:tcBorders>
            <w:shd w:val="clear" w:color="auto" w:fill="auto"/>
            <w:vAlign w:val="bottom"/>
          </w:tcPr>
          <w:p w14:paraId="4BE25808"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8,2</w:t>
            </w:r>
          </w:p>
        </w:tc>
      </w:tr>
    </w:tbl>
    <w:p w14:paraId="5ECEAD22" w14:textId="77777777" w:rsidR="003C48D6" w:rsidRPr="00F720A6" w:rsidRDefault="003C48D6" w:rsidP="003A6131">
      <w:pPr>
        <w:pStyle w:val="SingleTxtG"/>
        <w:spacing w:before="240"/>
        <w:rPr>
          <w:lang w:val="fr-FR"/>
        </w:rPr>
      </w:pPr>
      <w:r w:rsidRPr="00F720A6">
        <w:rPr>
          <w:lang w:val="fr-FR"/>
        </w:rPr>
        <w:t>145.</w:t>
      </w:r>
      <w:r w:rsidRPr="00F720A6">
        <w:rPr>
          <w:lang w:val="fr-FR"/>
        </w:rPr>
        <w:tab/>
        <w:t>Afin d</w:t>
      </w:r>
      <w:r w:rsidR="00254912">
        <w:rPr>
          <w:lang w:val="fr-FR"/>
        </w:rPr>
        <w:t>’</w:t>
      </w:r>
      <w:r w:rsidRPr="00F720A6">
        <w:rPr>
          <w:lang w:val="fr-FR"/>
        </w:rPr>
        <w:t>assurer la protection contre les maladies infectieuses, l</w:t>
      </w:r>
      <w:r w:rsidR="00254912">
        <w:rPr>
          <w:lang w:val="fr-FR"/>
        </w:rPr>
        <w:t>’</w:t>
      </w:r>
      <w:r w:rsidRPr="00F720A6">
        <w:rPr>
          <w:lang w:val="fr-FR"/>
        </w:rPr>
        <w:t>immunoprophylaxie et la chimio prophylaxie obligatoires sont menées conformément à la loi sur la protection de la population contre les maladies infectieuses et au Règlement sur l</w:t>
      </w:r>
      <w:r w:rsidR="00254912">
        <w:rPr>
          <w:lang w:val="fr-FR"/>
        </w:rPr>
        <w:t>’</w:t>
      </w:r>
      <w:r w:rsidRPr="00F720A6">
        <w:rPr>
          <w:lang w:val="fr-FR"/>
        </w:rPr>
        <w:t>immunoprophylaxie et la chimio prophylaxie</w:t>
      </w:r>
      <w:r w:rsidRPr="002A465A">
        <w:rPr>
          <w:rStyle w:val="Appelnotedebasdep"/>
        </w:rPr>
        <w:footnoteReference w:id="39"/>
      </w:r>
      <w:r w:rsidRPr="00F720A6">
        <w:rPr>
          <w:lang w:val="fr-FR"/>
        </w:rPr>
        <w:t>.</w:t>
      </w:r>
    </w:p>
    <w:p w14:paraId="39D4CF9D" w14:textId="77777777" w:rsidR="003C48D6" w:rsidRPr="00F720A6" w:rsidRDefault="003C48D6" w:rsidP="001F4CA2">
      <w:pPr>
        <w:pStyle w:val="Titre1"/>
        <w:spacing w:after="120"/>
        <w:rPr>
          <w:rStyle w:val="Appelnotedebasdep"/>
          <w:b/>
          <w:bCs/>
          <w:lang w:val="fr-FR"/>
        </w:rPr>
      </w:pPr>
      <w:r w:rsidRPr="00F720A6">
        <w:rPr>
          <w:lang w:val="fr-FR"/>
        </w:rPr>
        <w:t>Tableau 12</w:t>
      </w:r>
      <w:r w:rsidRPr="00F720A6">
        <w:rPr>
          <w:lang w:val="fr-FR"/>
        </w:rPr>
        <w:br/>
      </w:r>
      <w:r w:rsidRPr="00C210FA">
        <w:rPr>
          <w:b/>
          <w:bCs/>
          <w:lang w:val="fr-FR"/>
        </w:rPr>
        <w:t>Pourcentage d</w:t>
      </w:r>
      <w:r w:rsidR="00254912">
        <w:rPr>
          <w:b/>
          <w:bCs/>
          <w:lang w:val="fr-FR"/>
        </w:rPr>
        <w:t>’</w:t>
      </w:r>
      <w:r w:rsidRPr="00C210FA">
        <w:rPr>
          <w:b/>
          <w:bCs/>
          <w:lang w:val="fr-FR"/>
        </w:rPr>
        <w:t xml:space="preserve">enfants de 1 an à jour de leurs vaccinations contre la tuberculose, </w:t>
      </w:r>
      <w:r w:rsidR="00C210FA">
        <w:rPr>
          <w:b/>
          <w:bCs/>
          <w:lang w:val="fr-FR"/>
        </w:rPr>
        <w:br/>
      </w:r>
      <w:r w:rsidRPr="00C210FA">
        <w:rPr>
          <w:b/>
          <w:bCs/>
          <w:lang w:val="fr-FR"/>
        </w:rPr>
        <w:t>la diphtérie, la coqueluche, le tétanos, la polio</w:t>
      </w:r>
      <w:r w:rsidR="003A6131">
        <w:rPr>
          <w:b/>
          <w:bCs/>
          <w:lang w:val="fr-FR"/>
        </w:rPr>
        <w:t>myélite</w:t>
      </w:r>
      <w:r w:rsidRPr="00C210FA">
        <w:rPr>
          <w:b/>
          <w:bCs/>
          <w:lang w:val="fr-FR"/>
        </w:rPr>
        <w:t xml:space="preserve"> et la rougeole</w:t>
      </w:r>
      <w:r w:rsidRPr="002A465A">
        <w:rPr>
          <w:rStyle w:val="Appelnotedebasdep"/>
        </w:rPr>
        <w:footnoteReference w:id="40"/>
      </w:r>
      <w:bookmarkStart w:id="58" w:name="_Toc56781459"/>
      <w:bookmarkEnd w:id="58"/>
    </w:p>
    <w:tbl>
      <w:tblPr>
        <w:tblW w:w="7370" w:type="dxa"/>
        <w:tblInd w:w="1134" w:type="dxa"/>
        <w:tblLayout w:type="fixed"/>
        <w:tblCellMar>
          <w:left w:w="0" w:type="dxa"/>
          <w:right w:w="0" w:type="dxa"/>
        </w:tblCellMar>
        <w:tblLook w:val="00A0" w:firstRow="1" w:lastRow="0" w:firstColumn="1" w:lastColumn="0" w:noHBand="0" w:noVBand="0"/>
      </w:tblPr>
      <w:tblGrid>
        <w:gridCol w:w="1244"/>
        <w:gridCol w:w="1021"/>
        <w:gridCol w:w="1021"/>
        <w:gridCol w:w="1021"/>
        <w:gridCol w:w="1021"/>
        <w:gridCol w:w="1021"/>
        <w:gridCol w:w="1021"/>
      </w:tblGrid>
      <w:tr w:rsidR="003C48D6" w:rsidRPr="00C210FA" w14:paraId="08C1DC51" w14:textId="77777777" w:rsidTr="00C210FA">
        <w:trPr>
          <w:tblHeader/>
        </w:trPr>
        <w:tc>
          <w:tcPr>
            <w:tcW w:w="1244" w:type="dxa"/>
            <w:tcBorders>
              <w:top w:val="single" w:sz="4" w:space="0" w:color="auto"/>
              <w:bottom w:val="single" w:sz="12" w:space="0" w:color="auto"/>
            </w:tcBorders>
            <w:shd w:val="clear" w:color="auto" w:fill="auto"/>
            <w:vAlign w:val="bottom"/>
          </w:tcPr>
          <w:p w14:paraId="342D80D8" w14:textId="77777777" w:rsidR="003C48D6" w:rsidRPr="00C210FA" w:rsidRDefault="003C48D6" w:rsidP="00C210FA">
            <w:pPr>
              <w:suppressAutoHyphens w:val="0"/>
              <w:spacing w:before="80" w:after="80" w:line="200" w:lineRule="exact"/>
              <w:rPr>
                <w:i/>
                <w:sz w:val="16"/>
                <w:lang w:val="fr-FR"/>
              </w:rPr>
            </w:pPr>
            <w:r w:rsidRPr="00C210FA">
              <w:rPr>
                <w:i/>
                <w:sz w:val="16"/>
                <w:lang w:val="fr-FR"/>
              </w:rPr>
              <w:t>Vaccin/Année</w:t>
            </w:r>
          </w:p>
        </w:tc>
        <w:tc>
          <w:tcPr>
            <w:tcW w:w="1021" w:type="dxa"/>
            <w:tcBorders>
              <w:top w:val="single" w:sz="4" w:space="0" w:color="auto"/>
              <w:bottom w:val="single" w:sz="12" w:space="0" w:color="auto"/>
            </w:tcBorders>
            <w:shd w:val="clear" w:color="auto" w:fill="auto"/>
            <w:vAlign w:val="bottom"/>
          </w:tcPr>
          <w:p w14:paraId="50B4AAE5" w14:textId="77777777" w:rsidR="003C48D6" w:rsidRPr="00C210FA" w:rsidRDefault="003C48D6" w:rsidP="00C210FA">
            <w:pPr>
              <w:suppressAutoHyphens w:val="0"/>
              <w:spacing w:before="80" w:after="80" w:line="200" w:lineRule="exact"/>
              <w:jc w:val="right"/>
              <w:rPr>
                <w:bCs/>
                <w:i/>
                <w:sz w:val="16"/>
                <w:lang w:val="fr-FR"/>
              </w:rPr>
            </w:pPr>
            <w:r w:rsidRPr="00C210FA">
              <w:rPr>
                <w:i/>
                <w:sz w:val="16"/>
                <w:lang w:val="fr-FR"/>
              </w:rPr>
              <w:t>2011</w:t>
            </w:r>
          </w:p>
        </w:tc>
        <w:tc>
          <w:tcPr>
            <w:tcW w:w="1021" w:type="dxa"/>
            <w:tcBorders>
              <w:top w:val="single" w:sz="4" w:space="0" w:color="auto"/>
              <w:bottom w:val="single" w:sz="12" w:space="0" w:color="auto"/>
            </w:tcBorders>
            <w:shd w:val="clear" w:color="auto" w:fill="auto"/>
            <w:vAlign w:val="bottom"/>
          </w:tcPr>
          <w:p w14:paraId="3E0CF785" w14:textId="77777777" w:rsidR="003C48D6" w:rsidRPr="00C210FA" w:rsidRDefault="003C48D6" w:rsidP="00C210FA">
            <w:pPr>
              <w:suppressAutoHyphens w:val="0"/>
              <w:spacing w:before="80" w:after="80" w:line="200" w:lineRule="exact"/>
              <w:jc w:val="right"/>
              <w:rPr>
                <w:bCs/>
                <w:i/>
                <w:sz w:val="16"/>
                <w:lang w:val="fr-FR"/>
              </w:rPr>
            </w:pPr>
            <w:r w:rsidRPr="00C210FA">
              <w:rPr>
                <w:i/>
                <w:sz w:val="16"/>
                <w:lang w:val="fr-FR"/>
              </w:rPr>
              <w:t>2012</w:t>
            </w:r>
          </w:p>
        </w:tc>
        <w:tc>
          <w:tcPr>
            <w:tcW w:w="1021" w:type="dxa"/>
            <w:tcBorders>
              <w:top w:val="single" w:sz="4" w:space="0" w:color="auto"/>
              <w:bottom w:val="single" w:sz="12" w:space="0" w:color="auto"/>
            </w:tcBorders>
            <w:shd w:val="clear" w:color="auto" w:fill="auto"/>
            <w:vAlign w:val="bottom"/>
          </w:tcPr>
          <w:p w14:paraId="12808B7A" w14:textId="77777777" w:rsidR="003C48D6" w:rsidRPr="00C210FA" w:rsidRDefault="003C48D6" w:rsidP="00C210FA">
            <w:pPr>
              <w:suppressAutoHyphens w:val="0"/>
              <w:spacing w:before="80" w:after="80" w:line="200" w:lineRule="exact"/>
              <w:jc w:val="right"/>
              <w:rPr>
                <w:bCs/>
                <w:i/>
                <w:sz w:val="16"/>
                <w:lang w:val="fr-FR"/>
              </w:rPr>
            </w:pPr>
            <w:r w:rsidRPr="00C210FA">
              <w:rPr>
                <w:i/>
                <w:sz w:val="16"/>
                <w:lang w:val="fr-FR"/>
              </w:rPr>
              <w:t>2013</w:t>
            </w:r>
          </w:p>
        </w:tc>
        <w:tc>
          <w:tcPr>
            <w:tcW w:w="1021" w:type="dxa"/>
            <w:tcBorders>
              <w:top w:val="single" w:sz="4" w:space="0" w:color="auto"/>
              <w:bottom w:val="single" w:sz="12" w:space="0" w:color="auto"/>
            </w:tcBorders>
            <w:shd w:val="clear" w:color="auto" w:fill="auto"/>
            <w:vAlign w:val="bottom"/>
          </w:tcPr>
          <w:p w14:paraId="687378D9" w14:textId="77777777" w:rsidR="003C48D6" w:rsidRPr="00C210FA" w:rsidRDefault="003C48D6" w:rsidP="00C210FA">
            <w:pPr>
              <w:suppressAutoHyphens w:val="0"/>
              <w:spacing w:before="80" w:after="80" w:line="200" w:lineRule="exact"/>
              <w:jc w:val="right"/>
              <w:rPr>
                <w:bCs/>
                <w:i/>
                <w:sz w:val="16"/>
                <w:lang w:val="fr-FR"/>
              </w:rPr>
            </w:pPr>
            <w:r w:rsidRPr="00C210FA">
              <w:rPr>
                <w:i/>
                <w:sz w:val="16"/>
                <w:lang w:val="fr-FR"/>
              </w:rPr>
              <w:t>2014</w:t>
            </w:r>
          </w:p>
        </w:tc>
        <w:tc>
          <w:tcPr>
            <w:tcW w:w="1021" w:type="dxa"/>
            <w:tcBorders>
              <w:top w:val="single" w:sz="4" w:space="0" w:color="auto"/>
              <w:bottom w:val="single" w:sz="12" w:space="0" w:color="auto"/>
            </w:tcBorders>
            <w:shd w:val="clear" w:color="auto" w:fill="auto"/>
            <w:vAlign w:val="bottom"/>
          </w:tcPr>
          <w:p w14:paraId="30EFF925" w14:textId="77777777" w:rsidR="003C48D6" w:rsidRPr="00C210FA" w:rsidRDefault="003C48D6" w:rsidP="00C210FA">
            <w:pPr>
              <w:suppressAutoHyphens w:val="0"/>
              <w:spacing w:before="80" w:after="80" w:line="200" w:lineRule="exact"/>
              <w:jc w:val="right"/>
              <w:rPr>
                <w:bCs/>
                <w:i/>
                <w:sz w:val="16"/>
                <w:lang w:val="fr-FR"/>
              </w:rPr>
            </w:pPr>
            <w:r w:rsidRPr="00C210FA">
              <w:rPr>
                <w:i/>
                <w:sz w:val="16"/>
                <w:lang w:val="fr-FR"/>
              </w:rPr>
              <w:t>2015</w:t>
            </w:r>
          </w:p>
        </w:tc>
        <w:tc>
          <w:tcPr>
            <w:tcW w:w="1021" w:type="dxa"/>
            <w:tcBorders>
              <w:top w:val="single" w:sz="4" w:space="0" w:color="auto"/>
              <w:bottom w:val="single" w:sz="12" w:space="0" w:color="auto"/>
            </w:tcBorders>
            <w:shd w:val="clear" w:color="auto" w:fill="auto"/>
            <w:vAlign w:val="bottom"/>
          </w:tcPr>
          <w:p w14:paraId="0135D1E5" w14:textId="77777777" w:rsidR="003C48D6" w:rsidRPr="00C210FA" w:rsidRDefault="003C48D6" w:rsidP="00C210FA">
            <w:pPr>
              <w:suppressAutoHyphens w:val="0"/>
              <w:spacing w:before="80" w:after="80" w:line="200" w:lineRule="exact"/>
              <w:jc w:val="right"/>
              <w:rPr>
                <w:bCs/>
                <w:i/>
                <w:sz w:val="16"/>
                <w:lang w:val="fr-FR"/>
              </w:rPr>
            </w:pPr>
            <w:r w:rsidRPr="00C210FA">
              <w:rPr>
                <w:i/>
                <w:sz w:val="16"/>
                <w:lang w:val="fr-FR"/>
              </w:rPr>
              <w:t>2016</w:t>
            </w:r>
          </w:p>
        </w:tc>
      </w:tr>
      <w:tr w:rsidR="003C48D6" w:rsidRPr="00C210FA" w14:paraId="7E34D7FA" w14:textId="77777777" w:rsidTr="00C210FA">
        <w:tc>
          <w:tcPr>
            <w:tcW w:w="1244" w:type="dxa"/>
            <w:tcBorders>
              <w:top w:val="single" w:sz="12" w:space="0" w:color="auto"/>
            </w:tcBorders>
            <w:shd w:val="clear" w:color="auto" w:fill="auto"/>
          </w:tcPr>
          <w:p w14:paraId="102DC3A8" w14:textId="77777777" w:rsidR="003C48D6" w:rsidRPr="00C210FA" w:rsidRDefault="003C48D6" w:rsidP="00C210FA">
            <w:pPr>
              <w:suppressAutoHyphens w:val="0"/>
              <w:spacing w:before="40" w:after="40" w:line="220" w:lineRule="exact"/>
              <w:rPr>
                <w:sz w:val="18"/>
                <w:szCs w:val="18"/>
                <w:lang w:val="fr-FR"/>
              </w:rPr>
            </w:pPr>
            <w:r w:rsidRPr="00C210FA">
              <w:rPr>
                <w:sz w:val="18"/>
                <w:szCs w:val="18"/>
                <w:lang w:val="fr-FR"/>
              </w:rPr>
              <w:t>Diphtérie</w:t>
            </w:r>
          </w:p>
        </w:tc>
        <w:tc>
          <w:tcPr>
            <w:tcW w:w="1021" w:type="dxa"/>
            <w:tcBorders>
              <w:top w:val="single" w:sz="12" w:space="0" w:color="auto"/>
            </w:tcBorders>
            <w:shd w:val="clear" w:color="auto" w:fill="auto"/>
            <w:vAlign w:val="bottom"/>
          </w:tcPr>
          <w:p w14:paraId="46B7B3CC"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95,9</w:t>
            </w:r>
          </w:p>
        </w:tc>
        <w:tc>
          <w:tcPr>
            <w:tcW w:w="1021" w:type="dxa"/>
            <w:tcBorders>
              <w:top w:val="single" w:sz="12" w:space="0" w:color="auto"/>
            </w:tcBorders>
            <w:shd w:val="clear" w:color="auto" w:fill="auto"/>
            <w:vAlign w:val="bottom"/>
          </w:tcPr>
          <w:p w14:paraId="10797E4E"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94,7</w:t>
            </w:r>
          </w:p>
        </w:tc>
        <w:tc>
          <w:tcPr>
            <w:tcW w:w="1021" w:type="dxa"/>
            <w:tcBorders>
              <w:top w:val="single" w:sz="12" w:space="0" w:color="auto"/>
            </w:tcBorders>
            <w:shd w:val="clear" w:color="auto" w:fill="auto"/>
            <w:vAlign w:val="bottom"/>
          </w:tcPr>
          <w:p w14:paraId="1FEF2265"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98,2</w:t>
            </w:r>
          </w:p>
        </w:tc>
        <w:tc>
          <w:tcPr>
            <w:tcW w:w="1021" w:type="dxa"/>
            <w:tcBorders>
              <w:top w:val="single" w:sz="12" w:space="0" w:color="auto"/>
            </w:tcBorders>
            <w:shd w:val="clear" w:color="auto" w:fill="auto"/>
            <w:vAlign w:val="bottom"/>
          </w:tcPr>
          <w:p w14:paraId="34074F0A"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95,4</w:t>
            </w:r>
          </w:p>
        </w:tc>
        <w:tc>
          <w:tcPr>
            <w:tcW w:w="1021" w:type="dxa"/>
            <w:tcBorders>
              <w:top w:val="single" w:sz="12" w:space="0" w:color="auto"/>
            </w:tcBorders>
            <w:shd w:val="clear" w:color="auto" w:fill="auto"/>
            <w:vAlign w:val="bottom"/>
          </w:tcPr>
          <w:p w14:paraId="176FFE03"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91,3</w:t>
            </w:r>
          </w:p>
        </w:tc>
        <w:tc>
          <w:tcPr>
            <w:tcW w:w="1021" w:type="dxa"/>
            <w:tcBorders>
              <w:top w:val="single" w:sz="12" w:space="0" w:color="auto"/>
            </w:tcBorders>
            <w:shd w:val="clear" w:color="auto" w:fill="auto"/>
            <w:vAlign w:val="bottom"/>
          </w:tcPr>
          <w:p w14:paraId="3E708897"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95,3</w:t>
            </w:r>
          </w:p>
        </w:tc>
      </w:tr>
      <w:tr w:rsidR="003C48D6" w:rsidRPr="00C210FA" w14:paraId="3A33E860" w14:textId="77777777" w:rsidTr="00C210FA">
        <w:tc>
          <w:tcPr>
            <w:tcW w:w="1244" w:type="dxa"/>
            <w:shd w:val="clear" w:color="auto" w:fill="auto"/>
          </w:tcPr>
          <w:p w14:paraId="4C4E8AD4" w14:textId="77777777" w:rsidR="003C48D6" w:rsidRPr="00C210FA" w:rsidRDefault="003C48D6" w:rsidP="00C210FA">
            <w:pPr>
              <w:suppressAutoHyphens w:val="0"/>
              <w:spacing w:before="40" w:after="40" w:line="220" w:lineRule="exact"/>
              <w:rPr>
                <w:sz w:val="18"/>
                <w:szCs w:val="18"/>
                <w:lang w:val="fr-FR"/>
              </w:rPr>
            </w:pPr>
            <w:r w:rsidRPr="00C210FA">
              <w:rPr>
                <w:sz w:val="18"/>
                <w:szCs w:val="18"/>
                <w:lang w:val="fr-FR"/>
              </w:rPr>
              <w:t>Tétanos</w:t>
            </w:r>
          </w:p>
        </w:tc>
        <w:tc>
          <w:tcPr>
            <w:tcW w:w="1021" w:type="dxa"/>
            <w:shd w:val="clear" w:color="auto" w:fill="auto"/>
            <w:vAlign w:val="bottom"/>
          </w:tcPr>
          <w:p w14:paraId="7C30CE57"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95,9</w:t>
            </w:r>
          </w:p>
        </w:tc>
        <w:tc>
          <w:tcPr>
            <w:tcW w:w="1021" w:type="dxa"/>
            <w:shd w:val="clear" w:color="auto" w:fill="auto"/>
            <w:vAlign w:val="bottom"/>
          </w:tcPr>
          <w:p w14:paraId="7768CBF3"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94,7</w:t>
            </w:r>
          </w:p>
        </w:tc>
        <w:tc>
          <w:tcPr>
            <w:tcW w:w="1021" w:type="dxa"/>
            <w:shd w:val="clear" w:color="auto" w:fill="auto"/>
            <w:vAlign w:val="bottom"/>
          </w:tcPr>
          <w:p w14:paraId="0A651C4C"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98,2</w:t>
            </w:r>
          </w:p>
        </w:tc>
        <w:tc>
          <w:tcPr>
            <w:tcW w:w="1021" w:type="dxa"/>
            <w:shd w:val="clear" w:color="auto" w:fill="auto"/>
            <w:vAlign w:val="bottom"/>
          </w:tcPr>
          <w:p w14:paraId="63FB3C31"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95,4</w:t>
            </w:r>
          </w:p>
        </w:tc>
        <w:tc>
          <w:tcPr>
            <w:tcW w:w="1021" w:type="dxa"/>
            <w:shd w:val="clear" w:color="auto" w:fill="auto"/>
            <w:vAlign w:val="bottom"/>
          </w:tcPr>
          <w:p w14:paraId="38410090"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91,3</w:t>
            </w:r>
          </w:p>
        </w:tc>
        <w:tc>
          <w:tcPr>
            <w:tcW w:w="1021" w:type="dxa"/>
            <w:shd w:val="clear" w:color="auto" w:fill="auto"/>
            <w:vAlign w:val="bottom"/>
          </w:tcPr>
          <w:p w14:paraId="30BF6935"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95,3</w:t>
            </w:r>
          </w:p>
        </w:tc>
      </w:tr>
      <w:tr w:rsidR="003C48D6" w:rsidRPr="00C210FA" w14:paraId="7F0D143A" w14:textId="77777777" w:rsidTr="00C210FA">
        <w:tc>
          <w:tcPr>
            <w:tcW w:w="1244" w:type="dxa"/>
            <w:shd w:val="clear" w:color="auto" w:fill="auto"/>
          </w:tcPr>
          <w:p w14:paraId="746687B5" w14:textId="77777777" w:rsidR="003C48D6" w:rsidRPr="00C210FA" w:rsidRDefault="003C48D6" w:rsidP="00C210FA">
            <w:pPr>
              <w:suppressAutoHyphens w:val="0"/>
              <w:spacing w:before="40" w:after="40" w:line="220" w:lineRule="exact"/>
              <w:rPr>
                <w:sz w:val="18"/>
                <w:szCs w:val="18"/>
                <w:lang w:val="fr-FR"/>
              </w:rPr>
            </w:pPr>
            <w:r w:rsidRPr="00C210FA">
              <w:rPr>
                <w:sz w:val="18"/>
                <w:szCs w:val="18"/>
                <w:lang w:val="fr-FR"/>
              </w:rPr>
              <w:t>Coqueluche</w:t>
            </w:r>
          </w:p>
        </w:tc>
        <w:tc>
          <w:tcPr>
            <w:tcW w:w="1021" w:type="dxa"/>
            <w:shd w:val="clear" w:color="auto" w:fill="auto"/>
            <w:vAlign w:val="bottom"/>
          </w:tcPr>
          <w:p w14:paraId="1C712CFB"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95,9</w:t>
            </w:r>
          </w:p>
        </w:tc>
        <w:tc>
          <w:tcPr>
            <w:tcW w:w="1021" w:type="dxa"/>
            <w:shd w:val="clear" w:color="auto" w:fill="auto"/>
            <w:vAlign w:val="bottom"/>
          </w:tcPr>
          <w:p w14:paraId="3CD76756"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94,7</w:t>
            </w:r>
          </w:p>
        </w:tc>
        <w:tc>
          <w:tcPr>
            <w:tcW w:w="1021" w:type="dxa"/>
            <w:shd w:val="clear" w:color="auto" w:fill="auto"/>
            <w:vAlign w:val="bottom"/>
          </w:tcPr>
          <w:p w14:paraId="2EA41307"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98,2</w:t>
            </w:r>
          </w:p>
        </w:tc>
        <w:tc>
          <w:tcPr>
            <w:tcW w:w="1021" w:type="dxa"/>
            <w:shd w:val="clear" w:color="auto" w:fill="auto"/>
            <w:vAlign w:val="bottom"/>
          </w:tcPr>
          <w:p w14:paraId="677AC3A4"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95,4</w:t>
            </w:r>
          </w:p>
        </w:tc>
        <w:tc>
          <w:tcPr>
            <w:tcW w:w="1021" w:type="dxa"/>
            <w:shd w:val="clear" w:color="auto" w:fill="auto"/>
            <w:vAlign w:val="bottom"/>
          </w:tcPr>
          <w:p w14:paraId="6BB04B15"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91,3</w:t>
            </w:r>
          </w:p>
        </w:tc>
        <w:tc>
          <w:tcPr>
            <w:tcW w:w="1021" w:type="dxa"/>
            <w:shd w:val="clear" w:color="auto" w:fill="auto"/>
            <w:vAlign w:val="bottom"/>
          </w:tcPr>
          <w:p w14:paraId="653D6308"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95,3</w:t>
            </w:r>
          </w:p>
        </w:tc>
      </w:tr>
      <w:tr w:rsidR="003C48D6" w:rsidRPr="00C210FA" w14:paraId="320AF21E" w14:textId="77777777" w:rsidTr="00C210FA">
        <w:tc>
          <w:tcPr>
            <w:tcW w:w="1244" w:type="dxa"/>
            <w:shd w:val="clear" w:color="auto" w:fill="auto"/>
          </w:tcPr>
          <w:p w14:paraId="33CDEB9C" w14:textId="77777777" w:rsidR="003C48D6" w:rsidRPr="00C210FA" w:rsidRDefault="003C48D6" w:rsidP="00C210FA">
            <w:pPr>
              <w:suppressAutoHyphens w:val="0"/>
              <w:spacing w:before="40" w:after="40" w:line="220" w:lineRule="exact"/>
              <w:rPr>
                <w:sz w:val="18"/>
                <w:szCs w:val="18"/>
                <w:lang w:val="fr-FR"/>
              </w:rPr>
            </w:pPr>
            <w:r w:rsidRPr="00C210FA">
              <w:rPr>
                <w:sz w:val="18"/>
                <w:szCs w:val="18"/>
                <w:lang w:val="fr-FR"/>
              </w:rPr>
              <w:t>Poliomyélite</w:t>
            </w:r>
          </w:p>
        </w:tc>
        <w:tc>
          <w:tcPr>
            <w:tcW w:w="1021" w:type="dxa"/>
            <w:shd w:val="clear" w:color="auto" w:fill="auto"/>
            <w:vAlign w:val="bottom"/>
          </w:tcPr>
          <w:p w14:paraId="7DD480EE"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97,0</w:t>
            </w:r>
          </w:p>
        </w:tc>
        <w:tc>
          <w:tcPr>
            <w:tcW w:w="1021" w:type="dxa"/>
            <w:shd w:val="clear" w:color="auto" w:fill="auto"/>
            <w:vAlign w:val="bottom"/>
          </w:tcPr>
          <w:p w14:paraId="5C6332AE"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96,9</w:t>
            </w:r>
          </w:p>
        </w:tc>
        <w:tc>
          <w:tcPr>
            <w:tcW w:w="1021" w:type="dxa"/>
            <w:shd w:val="clear" w:color="auto" w:fill="auto"/>
            <w:vAlign w:val="bottom"/>
          </w:tcPr>
          <w:p w14:paraId="649C1FBD"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97,9</w:t>
            </w:r>
          </w:p>
        </w:tc>
        <w:tc>
          <w:tcPr>
            <w:tcW w:w="1021" w:type="dxa"/>
            <w:shd w:val="clear" w:color="auto" w:fill="auto"/>
            <w:vAlign w:val="bottom"/>
          </w:tcPr>
          <w:p w14:paraId="547A9064"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95,6</w:t>
            </w:r>
          </w:p>
        </w:tc>
        <w:tc>
          <w:tcPr>
            <w:tcW w:w="1021" w:type="dxa"/>
            <w:shd w:val="clear" w:color="auto" w:fill="auto"/>
            <w:vAlign w:val="bottom"/>
          </w:tcPr>
          <w:p w14:paraId="7D023A65"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92,1</w:t>
            </w:r>
          </w:p>
        </w:tc>
        <w:tc>
          <w:tcPr>
            <w:tcW w:w="1021" w:type="dxa"/>
            <w:shd w:val="clear" w:color="auto" w:fill="auto"/>
            <w:vAlign w:val="bottom"/>
          </w:tcPr>
          <w:p w14:paraId="59872E60"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95,3</w:t>
            </w:r>
          </w:p>
        </w:tc>
      </w:tr>
      <w:tr w:rsidR="003C48D6" w:rsidRPr="00C210FA" w14:paraId="6B6FA321" w14:textId="77777777" w:rsidTr="00C210FA">
        <w:tc>
          <w:tcPr>
            <w:tcW w:w="1244" w:type="dxa"/>
            <w:tcBorders>
              <w:bottom w:val="single" w:sz="12" w:space="0" w:color="auto"/>
            </w:tcBorders>
            <w:shd w:val="clear" w:color="auto" w:fill="auto"/>
          </w:tcPr>
          <w:p w14:paraId="68F7292F" w14:textId="77777777" w:rsidR="003C48D6" w:rsidRPr="00C210FA" w:rsidRDefault="003C48D6" w:rsidP="00C210FA">
            <w:pPr>
              <w:suppressAutoHyphens w:val="0"/>
              <w:spacing w:before="40" w:after="40" w:line="220" w:lineRule="exact"/>
              <w:rPr>
                <w:sz w:val="18"/>
                <w:szCs w:val="18"/>
                <w:lang w:val="fr-FR"/>
              </w:rPr>
            </w:pPr>
            <w:r w:rsidRPr="00C210FA">
              <w:rPr>
                <w:sz w:val="18"/>
                <w:szCs w:val="18"/>
                <w:lang w:val="fr-FR"/>
              </w:rPr>
              <w:t>Rougeole</w:t>
            </w:r>
          </w:p>
        </w:tc>
        <w:tc>
          <w:tcPr>
            <w:tcW w:w="1021" w:type="dxa"/>
            <w:tcBorders>
              <w:bottom w:val="single" w:sz="12" w:space="0" w:color="auto"/>
            </w:tcBorders>
            <w:shd w:val="clear" w:color="auto" w:fill="auto"/>
            <w:vAlign w:val="bottom"/>
          </w:tcPr>
          <w:p w14:paraId="6CF3EA6E"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96,8</w:t>
            </w:r>
          </w:p>
        </w:tc>
        <w:tc>
          <w:tcPr>
            <w:tcW w:w="1021" w:type="dxa"/>
            <w:tcBorders>
              <w:bottom w:val="single" w:sz="12" w:space="0" w:color="auto"/>
            </w:tcBorders>
            <w:shd w:val="clear" w:color="auto" w:fill="auto"/>
            <w:vAlign w:val="bottom"/>
          </w:tcPr>
          <w:p w14:paraId="64756F8D"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96,1</w:t>
            </w:r>
          </w:p>
        </w:tc>
        <w:tc>
          <w:tcPr>
            <w:tcW w:w="1021" w:type="dxa"/>
            <w:tcBorders>
              <w:bottom w:val="single" w:sz="12" w:space="0" w:color="auto"/>
            </w:tcBorders>
            <w:shd w:val="clear" w:color="auto" w:fill="auto"/>
            <w:vAlign w:val="bottom"/>
          </w:tcPr>
          <w:p w14:paraId="08455C27"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96,1</w:t>
            </w:r>
          </w:p>
        </w:tc>
        <w:tc>
          <w:tcPr>
            <w:tcW w:w="1021" w:type="dxa"/>
            <w:tcBorders>
              <w:bottom w:val="single" w:sz="12" w:space="0" w:color="auto"/>
            </w:tcBorders>
            <w:shd w:val="clear" w:color="auto" w:fill="auto"/>
            <w:vAlign w:val="bottom"/>
          </w:tcPr>
          <w:p w14:paraId="67ECF52B"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93,3</w:t>
            </w:r>
          </w:p>
        </w:tc>
        <w:tc>
          <w:tcPr>
            <w:tcW w:w="1021" w:type="dxa"/>
            <w:tcBorders>
              <w:bottom w:val="single" w:sz="12" w:space="0" w:color="auto"/>
            </w:tcBorders>
            <w:shd w:val="clear" w:color="auto" w:fill="auto"/>
            <w:vAlign w:val="bottom"/>
          </w:tcPr>
          <w:p w14:paraId="08866AE2"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88,8</w:t>
            </w:r>
          </w:p>
        </w:tc>
        <w:tc>
          <w:tcPr>
            <w:tcW w:w="1021" w:type="dxa"/>
            <w:tcBorders>
              <w:bottom w:val="single" w:sz="12" w:space="0" w:color="auto"/>
            </w:tcBorders>
            <w:shd w:val="clear" w:color="auto" w:fill="auto"/>
            <w:vAlign w:val="bottom"/>
          </w:tcPr>
          <w:p w14:paraId="27BF2809" w14:textId="77777777" w:rsidR="003C48D6" w:rsidRPr="00C210FA" w:rsidRDefault="003C48D6" w:rsidP="00C210FA">
            <w:pPr>
              <w:suppressAutoHyphens w:val="0"/>
              <w:spacing w:before="40" w:after="40" w:line="220" w:lineRule="exact"/>
              <w:jc w:val="right"/>
              <w:rPr>
                <w:sz w:val="18"/>
                <w:szCs w:val="18"/>
                <w:lang w:val="fr-FR"/>
              </w:rPr>
            </w:pPr>
            <w:r w:rsidRPr="00C210FA">
              <w:rPr>
                <w:sz w:val="18"/>
                <w:szCs w:val="18"/>
                <w:lang w:val="fr-FR"/>
              </w:rPr>
              <w:t>82,1</w:t>
            </w:r>
          </w:p>
        </w:tc>
      </w:tr>
    </w:tbl>
    <w:p w14:paraId="34D21C3B" w14:textId="77777777" w:rsidR="003C48D6" w:rsidRPr="00F720A6" w:rsidRDefault="003C48D6" w:rsidP="00C210FA">
      <w:pPr>
        <w:pStyle w:val="H23G"/>
        <w:rPr>
          <w:lang w:val="fr-FR"/>
        </w:rPr>
      </w:pPr>
      <w:r w:rsidRPr="00F720A6">
        <w:rPr>
          <w:lang w:val="fr-FR"/>
        </w:rPr>
        <w:lastRenderedPageBreak/>
        <w:tab/>
        <w:t>c)</w:t>
      </w:r>
      <w:r w:rsidRPr="00F720A6">
        <w:rPr>
          <w:lang w:val="fr-FR"/>
        </w:rPr>
        <w:tab/>
        <w:t xml:space="preserve">Droits des adolescents en matière de santé procréative </w:t>
      </w:r>
      <w:r w:rsidR="00C210FA">
        <w:rPr>
          <w:lang w:val="fr-FR"/>
        </w:rPr>
        <w:br/>
      </w:r>
      <w:r w:rsidRPr="00F720A6">
        <w:rPr>
          <w:lang w:val="fr-FR"/>
        </w:rPr>
        <w:t>et mesures visant à promouvoir un style de vie sain</w:t>
      </w:r>
      <w:bookmarkStart w:id="59" w:name="_Toc56781460"/>
      <w:bookmarkEnd w:id="59"/>
    </w:p>
    <w:p w14:paraId="7B91C4FE" w14:textId="77777777" w:rsidR="003C48D6" w:rsidRPr="00F720A6" w:rsidRDefault="003C48D6" w:rsidP="00C210FA">
      <w:pPr>
        <w:pStyle w:val="SingleTxtG"/>
        <w:rPr>
          <w:lang w:val="fr-FR"/>
        </w:rPr>
      </w:pPr>
      <w:r w:rsidRPr="00F720A6">
        <w:rPr>
          <w:lang w:val="fr-FR"/>
        </w:rPr>
        <w:t>146.</w:t>
      </w:r>
      <w:r w:rsidRPr="00F720A6">
        <w:rPr>
          <w:lang w:val="fr-FR"/>
        </w:rPr>
        <w:tab/>
        <w:t>La grossesse des adolescentes est un problème de santé grave en raison de l</w:t>
      </w:r>
      <w:r w:rsidR="00254912">
        <w:rPr>
          <w:lang w:val="fr-FR"/>
        </w:rPr>
        <w:t>’</w:t>
      </w:r>
      <w:r w:rsidRPr="00F720A6">
        <w:rPr>
          <w:lang w:val="fr-FR"/>
        </w:rPr>
        <w:t>apparition possible de complications pendant la grossesse et lors de l</w:t>
      </w:r>
      <w:r w:rsidR="00254912">
        <w:rPr>
          <w:lang w:val="fr-FR"/>
        </w:rPr>
        <w:t>’</w:t>
      </w:r>
      <w:r w:rsidRPr="00F720A6">
        <w:rPr>
          <w:lang w:val="fr-FR"/>
        </w:rPr>
        <w:t>accouchement, ainsi que des conséquences sur la santé mentale des adolescentes enceintes. Les statistiques montrent une tendance à la baisse.</w:t>
      </w:r>
    </w:p>
    <w:p w14:paraId="223F4201" w14:textId="77777777" w:rsidR="003C48D6" w:rsidRPr="00F720A6" w:rsidRDefault="003C48D6" w:rsidP="001F4CA2">
      <w:pPr>
        <w:pStyle w:val="Titre1"/>
        <w:spacing w:after="120"/>
        <w:rPr>
          <w:rStyle w:val="Appelnotedebasdep"/>
          <w:lang w:val="fr-FR"/>
        </w:rPr>
      </w:pPr>
      <w:r w:rsidRPr="00F720A6">
        <w:rPr>
          <w:lang w:val="fr-FR"/>
        </w:rPr>
        <w:t>Tableau 13</w:t>
      </w:r>
      <w:r w:rsidRPr="00F720A6">
        <w:rPr>
          <w:lang w:val="fr-FR"/>
        </w:rPr>
        <w:br/>
      </w:r>
      <w:r w:rsidRPr="00C210FA">
        <w:rPr>
          <w:b/>
          <w:bCs/>
          <w:lang w:val="fr-FR"/>
        </w:rPr>
        <w:t>Pourcentage d</w:t>
      </w:r>
      <w:r w:rsidR="00254912">
        <w:rPr>
          <w:b/>
          <w:bCs/>
          <w:lang w:val="fr-FR"/>
        </w:rPr>
        <w:t>’</w:t>
      </w:r>
      <w:r w:rsidRPr="00C210FA">
        <w:rPr>
          <w:b/>
          <w:bCs/>
          <w:lang w:val="fr-FR"/>
        </w:rPr>
        <w:t xml:space="preserve">accouchements de mères de moins de 19 ans et taux de grossesse </w:t>
      </w:r>
      <w:r w:rsidR="00C210FA" w:rsidRPr="00C210FA">
        <w:rPr>
          <w:b/>
          <w:bCs/>
          <w:lang w:val="fr-FR"/>
        </w:rPr>
        <w:br/>
      </w:r>
      <w:r w:rsidRPr="00C210FA">
        <w:rPr>
          <w:b/>
          <w:bCs/>
          <w:lang w:val="fr-FR"/>
        </w:rPr>
        <w:t>chez les adolescentes pour 1 000 filles de 15 à 19 ans</w:t>
      </w:r>
      <w:r w:rsidRPr="002A465A">
        <w:rPr>
          <w:rStyle w:val="Appelnotedebasdep"/>
        </w:rPr>
        <w:footnoteReference w:id="41"/>
      </w:r>
      <w:bookmarkStart w:id="60" w:name="_Toc56781461"/>
      <w:bookmarkEnd w:id="60"/>
    </w:p>
    <w:tbl>
      <w:tblPr>
        <w:tblW w:w="7370" w:type="dxa"/>
        <w:tblInd w:w="1134" w:type="dxa"/>
        <w:tblLayout w:type="fixed"/>
        <w:tblCellMar>
          <w:left w:w="0" w:type="dxa"/>
          <w:right w:w="0" w:type="dxa"/>
        </w:tblCellMar>
        <w:tblLook w:val="00A0" w:firstRow="1" w:lastRow="0" w:firstColumn="1" w:lastColumn="0" w:noHBand="0" w:noVBand="0"/>
      </w:tblPr>
      <w:tblGrid>
        <w:gridCol w:w="2977"/>
        <w:gridCol w:w="851"/>
        <w:gridCol w:w="708"/>
        <w:gridCol w:w="709"/>
        <w:gridCol w:w="709"/>
        <w:gridCol w:w="709"/>
        <w:gridCol w:w="707"/>
      </w:tblGrid>
      <w:tr w:rsidR="003C48D6" w:rsidRPr="00DE6702" w14:paraId="5F3E6F5F" w14:textId="77777777" w:rsidTr="00DE6702">
        <w:trPr>
          <w:tblHeader/>
        </w:trPr>
        <w:tc>
          <w:tcPr>
            <w:tcW w:w="2977" w:type="dxa"/>
            <w:tcBorders>
              <w:top w:val="single" w:sz="4" w:space="0" w:color="auto"/>
              <w:bottom w:val="single" w:sz="12" w:space="0" w:color="auto"/>
            </w:tcBorders>
            <w:shd w:val="clear" w:color="auto" w:fill="auto"/>
            <w:vAlign w:val="bottom"/>
          </w:tcPr>
          <w:p w14:paraId="6FD3F268" w14:textId="77777777" w:rsidR="003C48D6" w:rsidRPr="00DE6702" w:rsidRDefault="003C48D6" w:rsidP="00DE6702">
            <w:pPr>
              <w:suppressAutoHyphens w:val="0"/>
              <w:spacing w:before="80" w:after="80" w:line="200" w:lineRule="exact"/>
              <w:rPr>
                <w:i/>
                <w:sz w:val="16"/>
                <w:lang w:val="fr-FR"/>
              </w:rPr>
            </w:pPr>
            <w:r w:rsidRPr="00DE6702">
              <w:rPr>
                <w:i/>
                <w:sz w:val="16"/>
                <w:lang w:val="fr-FR"/>
              </w:rPr>
              <w:t>Indicateur</w:t>
            </w:r>
          </w:p>
        </w:tc>
        <w:tc>
          <w:tcPr>
            <w:tcW w:w="851" w:type="dxa"/>
            <w:tcBorders>
              <w:top w:val="single" w:sz="4" w:space="0" w:color="auto"/>
              <w:bottom w:val="single" w:sz="12" w:space="0" w:color="auto"/>
            </w:tcBorders>
            <w:shd w:val="clear" w:color="auto" w:fill="auto"/>
            <w:vAlign w:val="bottom"/>
          </w:tcPr>
          <w:p w14:paraId="31077C03" w14:textId="77777777" w:rsidR="003C48D6" w:rsidRPr="00DE6702" w:rsidRDefault="003C48D6" w:rsidP="00DE6702">
            <w:pPr>
              <w:suppressAutoHyphens w:val="0"/>
              <w:spacing w:before="80" w:after="80" w:line="200" w:lineRule="exact"/>
              <w:jc w:val="right"/>
              <w:rPr>
                <w:i/>
                <w:sz w:val="16"/>
                <w:lang w:val="fr-FR"/>
              </w:rPr>
            </w:pPr>
            <w:r w:rsidRPr="00DE6702">
              <w:rPr>
                <w:i/>
                <w:sz w:val="16"/>
                <w:lang w:val="fr-FR"/>
              </w:rPr>
              <w:t>2011</w:t>
            </w:r>
          </w:p>
        </w:tc>
        <w:tc>
          <w:tcPr>
            <w:tcW w:w="708" w:type="dxa"/>
            <w:tcBorders>
              <w:top w:val="single" w:sz="4" w:space="0" w:color="auto"/>
              <w:bottom w:val="single" w:sz="12" w:space="0" w:color="auto"/>
            </w:tcBorders>
            <w:shd w:val="clear" w:color="auto" w:fill="auto"/>
            <w:vAlign w:val="bottom"/>
          </w:tcPr>
          <w:p w14:paraId="072D5F3A" w14:textId="77777777" w:rsidR="003C48D6" w:rsidRPr="00DE6702" w:rsidRDefault="003C48D6" w:rsidP="00DE6702">
            <w:pPr>
              <w:suppressAutoHyphens w:val="0"/>
              <w:spacing w:before="80" w:after="80" w:line="200" w:lineRule="exact"/>
              <w:jc w:val="right"/>
              <w:rPr>
                <w:i/>
                <w:sz w:val="16"/>
                <w:lang w:val="fr-FR"/>
              </w:rPr>
            </w:pPr>
            <w:r w:rsidRPr="00DE6702">
              <w:rPr>
                <w:i/>
                <w:sz w:val="16"/>
                <w:lang w:val="fr-FR"/>
              </w:rPr>
              <w:t>2012</w:t>
            </w:r>
          </w:p>
        </w:tc>
        <w:tc>
          <w:tcPr>
            <w:tcW w:w="709" w:type="dxa"/>
            <w:tcBorders>
              <w:top w:val="single" w:sz="4" w:space="0" w:color="auto"/>
              <w:bottom w:val="single" w:sz="12" w:space="0" w:color="auto"/>
            </w:tcBorders>
            <w:shd w:val="clear" w:color="auto" w:fill="auto"/>
            <w:vAlign w:val="bottom"/>
          </w:tcPr>
          <w:p w14:paraId="72AAE944" w14:textId="77777777" w:rsidR="003C48D6" w:rsidRPr="00DE6702" w:rsidRDefault="003C48D6" w:rsidP="00DE6702">
            <w:pPr>
              <w:suppressAutoHyphens w:val="0"/>
              <w:spacing w:before="80" w:after="80" w:line="200" w:lineRule="exact"/>
              <w:jc w:val="right"/>
              <w:rPr>
                <w:i/>
                <w:sz w:val="16"/>
                <w:lang w:val="fr-FR"/>
              </w:rPr>
            </w:pPr>
            <w:r w:rsidRPr="00DE6702">
              <w:rPr>
                <w:i/>
                <w:sz w:val="16"/>
                <w:lang w:val="fr-FR"/>
              </w:rPr>
              <w:t>2013</w:t>
            </w:r>
          </w:p>
        </w:tc>
        <w:tc>
          <w:tcPr>
            <w:tcW w:w="709" w:type="dxa"/>
            <w:tcBorders>
              <w:top w:val="single" w:sz="4" w:space="0" w:color="auto"/>
              <w:bottom w:val="single" w:sz="12" w:space="0" w:color="auto"/>
            </w:tcBorders>
            <w:shd w:val="clear" w:color="auto" w:fill="auto"/>
            <w:vAlign w:val="bottom"/>
          </w:tcPr>
          <w:p w14:paraId="21C3D48F" w14:textId="77777777" w:rsidR="003C48D6" w:rsidRPr="00DE6702" w:rsidRDefault="003C48D6" w:rsidP="00DE6702">
            <w:pPr>
              <w:suppressAutoHyphens w:val="0"/>
              <w:spacing w:before="80" w:after="80" w:line="200" w:lineRule="exact"/>
              <w:jc w:val="right"/>
              <w:rPr>
                <w:i/>
                <w:sz w:val="16"/>
                <w:lang w:val="fr-FR"/>
              </w:rPr>
            </w:pPr>
            <w:r w:rsidRPr="00DE6702">
              <w:rPr>
                <w:i/>
                <w:sz w:val="16"/>
                <w:lang w:val="fr-FR"/>
              </w:rPr>
              <w:t>2014</w:t>
            </w:r>
          </w:p>
        </w:tc>
        <w:tc>
          <w:tcPr>
            <w:tcW w:w="709" w:type="dxa"/>
            <w:tcBorders>
              <w:top w:val="single" w:sz="4" w:space="0" w:color="auto"/>
              <w:bottom w:val="single" w:sz="12" w:space="0" w:color="auto"/>
            </w:tcBorders>
            <w:shd w:val="clear" w:color="auto" w:fill="auto"/>
            <w:vAlign w:val="bottom"/>
          </w:tcPr>
          <w:p w14:paraId="70BE395A" w14:textId="77777777" w:rsidR="003C48D6" w:rsidRPr="00DE6702" w:rsidRDefault="003C48D6" w:rsidP="00DE6702">
            <w:pPr>
              <w:suppressAutoHyphens w:val="0"/>
              <w:spacing w:before="80" w:after="80" w:line="200" w:lineRule="exact"/>
              <w:jc w:val="right"/>
              <w:rPr>
                <w:i/>
                <w:sz w:val="16"/>
                <w:lang w:val="fr-FR"/>
              </w:rPr>
            </w:pPr>
            <w:r w:rsidRPr="00DE6702">
              <w:rPr>
                <w:i/>
                <w:sz w:val="16"/>
                <w:lang w:val="fr-FR"/>
              </w:rPr>
              <w:t>2015</w:t>
            </w:r>
          </w:p>
        </w:tc>
        <w:tc>
          <w:tcPr>
            <w:tcW w:w="707" w:type="dxa"/>
            <w:tcBorders>
              <w:top w:val="single" w:sz="4" w:space="0" w:color="auto"/>
              <w:bottom w:val="single" w:sz="12" w:space="0" w:color="auto"/>
            </w:tcBorders>
            <w:shd w:val="clear" w:color="auto" w:fill="auto"/>
            <w:vAlign w:val="bottom"/>
          </w:tcPr>
          <w:p w14:paraId="4CAB35DE" w14:textId="77777777" w:rsidR="003C48D6" w:rsidRPr="00DE6702" w:rsidRDefault="003C48D6" w:rsidP="00DE6702">
            <w:pPr>
              <w:suppressAutoHyphens w:val="0"/>
              <w:spacing w:before="80" w:after="80" w:line="200" w:lineRule="exact"/>
              <w:jc w:val="right"/>
              <w:rPr>
                <w:i/>
                <w:sz w:val="16"/>
                <w:lang w:val="fr-FR"/>
              </w:rPr>
            </w:pPr>
            <w:r w:rsidRPr="00DE6702">
              <w:rPr>
                <w:i/>
                <w:sz w:val="16"/>
                <w:lang w:val="fr-FR"/>
              </w:rPr>
              <w:t>2016</w:t>
            </w:r>
          </w:p>
        </w:tc>
      </w:tr>
      <w:tr w:rsidR="003C48D6" w:rsidRPr="00DE6702" w14:paraId="3F9FDA16" w14:textId="77777777" w:rsidTr="00DE6702">
        <w:tc>
          <w:tcPr>
            <w:tcW w:w="2977" w:type="dxa"/>
            <w:tcBorders>
              <w:top w:val="single" w:sz="12" w:space="0" w:color="auto"/>
            </w:tcBorders>
            <w:shd w:val="clear" w:color="auto" w:fill="auto"/>
          </w:tcPr>
          <w:p w14:paraId="794374A9" w14:textId="77777777" w:rsidR="003C48D6" w:rsidRPr="00DE6702" w:rsidRDefault="003C48D6" w:rsidP="00DE6702">
            <w:pPr>
              <w:suppressAutoHyphens w:val="0"/>
              <w:spacing w:before="40" w:after="40" w:line="220" w:lineRule="exact"/>
              <w:rPr>
                <w:sz w:val="18"/>
                <w:szCs w:val="18"/>
                <w:lang w:val="fr-FR"/>
              </w:rPr>
            </w:pPr>
            <w:r w:rsidRPr="00DE6702">
              <w:rPr>
                <w:sz w:val="18"/>
                <w:szCs w:val="18"/>
                <w:lang w:val="fr-FR"/>
              </w:rPr>
              <w:t>Pourcentage d</w:t>
            </w:r>
            <w:r w:rsidR="00254912">
              <w:rPr>
                <w:sz w:val="18"/>
                <w:szCs w:val="18"/>
                <w:lang w:val="fr-FR"/>
              </w:rPr>
              <w:t>’</w:t>
            </w:r>
            <w:r w:rsidRPr="00DE6702">
              <w:rPr>
                <w:sz w:val="18"/>
                <w:szCs w:val="18"/>
                <w:lang w:val="fr-FR"/>
              </w:rPr>
              <w:t>accouchements de mères de moins de 19 ans, par rapport au</w:t>
            </w:r>
            <w:r w:rsidR="00DE6702">
              <w:rPr>
                <w:sz w:val="18"/>
                <w:szCs w:val="18"/>
                <w:lang w:val="fr-FR"/>
              </w:rPr>
              <w:t> </w:t>
            </w:r>
            <w:r w:rsidRPr="00DE6702">
              <w:rPr>
                <w:sz w:val="18"/>
                <w:szCs w:val="18"/>
                <w:lang w:val="fr-FR"/>
              </w:rPr>
              <w:t>nombre total de naissances</w:t>
            </w:r>
          </w:p>
        </w:tc>
        <w:tc>
          <w:tcPr>
            <w:tcW w:w="851" w:type="dxa"/>
            <w:tcBorders>
              <w:top w:val="single" w:sz="12" w:space="0" w:color="auto"/>
            </w:tcBorders>
            <w:shd w:val="clear" w:color="auto" w:fill="auto"/>
            <w:vAlign w:val="bottom"/>
          </w:tcPr>
          <w:p w14:paraId="2BDF7FD7"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6,1</w:t>
            </w:r>
          </w:p>
        </w:tc>
        <w:tc>
          <w:tcPr>
            <w:tcW w:w="708" w:type="dxa"/>
            <w:tcBorders>
              <w:top w:val="single" w:sz="12" w:space="0" w:color="auto"/>
            </w:tcBorders>
            <w:shd w:val="clear" w:color="auto" w:fill="auto"/>
            <w:vAlign w:val="bottom"/>
          </w:tcPr>
          <w:p w14:paraId="38382C1B"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5,8</w:t>
            </w:r>
          </w:p>
        </w:tc>
        <w:tc>
          <w:tcPr>
            <w:tcW w:w="709" w:type="dxa"/>
            <w:tcBorders>
              <w:top w:val="single" w:sz="12" w:space="0" w:color="auto"/>
            </w:tcBorders>
            <w:shd w:val="clear" w:color="auto" w:fill="auto"/>
            <w:vAlign w:val="bottom"/>
          </w:tcPr>
          <w:p w14:paraId="5E00C8D8"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5,8</w:t>
            </w:r>
          </w:p>
        </w:tc>
        <w:tc>
          <w:tcPr>
            <w:tcW w:w="709" w:type="dxa"/>
            <w:tcBorders>
              <w:top w:val="single" w:sz="12" w:space="0" w:color="auto"/>
            </w:tcBorders>
            <w:shd w:val="clear" w:color="auto" w:fill="auto"/>
            <w:vAlign w:val="bottom"/>
          </w:tcPr>
          <w:p w14:paraId="5F25F9C8"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5,1</w:t>
            </w:r>
          </w:p>
        </w:tc>
        <w:tc>
          <w:tcPr>
            <w:tcW w:w="709" w:type="dxa"/>
            <w:tcBorders>
              <w:top w:val="single" w:sz="12" w:space="0" w:color="auto"/>
            </w:tcBorders>
            <w:shd w:val="clear" w:color="auto" w:fill="auto"/>
            <w:vAlign w:val="bottom"/>
          </w:tcPr>
          <w:p w14:paraId="4EEC5C66"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5</w:t>
            </w:r>
          </w:p>
        </w:tc>
        <w:tc>
          <w:tcPr>
            <w:tcW w:w="707" w:type="dxa"/>
            <w:tcBorders>
              <w:top w:val="single" w:sz="12" w:space="0" w:color="auto"/>
            </w:tcBorders>
            <w:shd w:val="clear" w:color="auto" w:fill="auto"/>
            <w:vAlign w:val="bottom"/>
          </w:tcPr>
          <w:p w14:paraId="5CA1A0BA"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4,47</w:t>
            </w:r>
          </w:p>
        </w:tc>
      </w:tr>
      <w:tr w:rsidR="003C48D6" w:rsidRPr="00DE6702" w14:paraId="103868B2" w14:textId="77777777" w:rsidTr="00DE6702">
        <w:tc>
          <w:tcPr>
            <w:tcW w:w="2977" w:type="dxa"/>
            <w:tcBorders>
              <w:bottom w:val="single" w:sz="12" w:space="0" w:color="auto"/>
            </w:tcBorders>
            <w:shd w:val="clear" w:color="auto" w:fill="auto"/>
          </w:tcPr>
          <w:p w14:paraId="727E41A6" w14:textId="77777777" w:rsidR="003C48D6" w:rsidRPr="00DE6702" w:rsidRDefault="003C48D6" w:rsidP="00DE6702">
            <w:pPr>
              <w:suppressAutoHyphens w:val="0"/>
              <w:spacing w:before="40" w:after="40" w:line="220" w:lineRule="exact"/>
              <w:rPr>
                <w:sz w:val="18"/>
                <w:szCs w:val="18"/>
                <w:lang w:val="fr-FR"/>
              </w:rPr>
            </w:pPr>
            <w:r w:rsidRPr="00DE6702">
              <w:rPr>
                <w:sz w:val="18"/>
                <w:szCs w:val="18"/>
                <w:lang w:val="fr-FR"/>
              </w:rPr>
              <w:t>Grossesse précoce (mères âgées de 15 à</w:t>
            </w:r>
            <w:r w:rsidR="00DE6702">
              <w:rPr>
                <w:sz w:val="18"/>
                <w:szCs w:val="18"/>
                <w:lang w:val="fr-FR"/>
              </w:rPr>
              <w:t> </w:t>
            </w:r>
            <w:r w:rsidRPr="00DE6702">
              <w:rPr>
                <w:sz w:val="18"/>
                <w:szCs w:val="18"/>
                <w:lang w:val="fr-FR"/>
              </w:rPr>
              <w:t xml:space="preserve">19 ans) pour 1 000 jeunes filles </w:t>
            </w:r>
            <w:r w:rsidR="00DE6702">
              <w:rPr>
                <w:sz w:val="18"/>
                <w:szCs w:val="18"/>
                <w:lang w:val="fr-FR"/>
              </w:rPr>
              <w:br/>
            </w:r>
            <w:r w:rsidRPr="00DE6702">
              <w:rPr>
                <w:sz w:val="18"/>
                <w:szCs w:val="18"/>
                <w:lang w:val="fr-FR"/>
              </w:rPr>
              <w:t xml:space="preserve">âgées de 15 à 19 ans) </w:t>
            </w:r>
          </w:p>
        </w:tc>
        <w:tc>
          <w:tcPr>
            <w:tcW w:w="851" w:type="dxa"/>
            <w:tcBorders>
              <w:bottom w:val="single" w:sz="12" w:space="0" w:color="auto"/>
            </w:tcBorders>
            <w:shd w:val="clear" w:color="auto" w:fill="auto"/>
            <w:vAlign w:val="bottom"/>
          </w:tcPr>
          <w:p w14:paraId="70A97E54"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N/D</w:t>
            </w:r>
          </w:p>
        </w:tc>
        <w:tc>
          <w:tcPr>
            <w:tcW w:w="708" w:type="dxa"/>
            <w:tcBorders>
              <w:bottom w:val="single" w:sz="12" w:space="0" w:color="auto"/>
            </w:tcBorders>
            <w:shd w:val="clear" w:color="auto" w:fill="auto"/>
            <w:vAlign w:val="bottom"/>
          </w:tcPr>
          <w:p w14:paraId="316054A0"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N/D</w:t>
            </w:r>
          </w:p>
        </w:tc>
        <w:tc>
          <w:tcPr>
            <w:tcW w:w="709" w:type="dxa"/>
            <w:tcBorders>
              <w:bottom w:val="single" w:sz="12" w:space="0" w:color="auto"/>
            </w:tcBorders>
            <w:shd w:val="clear" w:color="auto" w:fill="auto"/>
            <w:vAlign w:val="bottom"/>
          </w:tcPr>
          <w:p w14:paraId="579B5E8E"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N/D</w:t>
            </w:r>
          </w:p>
        </w:tc>
        <w:tc>
          <w:tcPr>
            <w:tcW w:w="709" w:type="dxa"/>
            <w:tcBorders>
              <w:bottom w:val="single" w:sz="12" w:space="0" w:color="auto"/>
            </w:tcBorders>
            <w:shd w:val="clear" w:color="auto" w:fill="auto"/>
            <w:vAlign w:val="bottom"/>
          </w:tcPr>
          <w:p w14:paraId="7E876505"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21,9</w:t>
            </w:r>
          </w:p>
        </w:tc>
        <w:tc>
          <w:tcPr>
            <w:tcW w:w="709" w:type="dxa"/>
            <w:tcBorders>
              <w:bottom w:val="single" w:sz="12" w:space="0" w:color="auto"/>
            </w:tcBorders>
            <w:shd w:val="clear" w:color="auto" w:fill="auto"/>
            <w:vAlign w:val="bottom"/>
          </w:tcPr>
          <w:p w14:paraId="2B3B5F30"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20,4</w:t>
            </w:r>
          </w:p>
        </w:tc>
        <w:tc>
          <w:tcPr>
            <w:tcW w:w="707" w:type="dxa"/>
            <w:tcBorders>
              <w:bottom w:val="single" w:sz="12" w:space="0" w:color="auto"/>
            </w:tcBorders>
            <w:shd w:val="clear" w:color="auto" w:fill="auto"/>
            <w:vAlign w:val="bottom"/>
          </w:tcPr>
          <w:p w14:paraId="1FBF7D58"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19,5</w:t>
            </w:r>
          </w:p>
        </w:tc>
      </w:tr>
    </w:tbl>
    <w:p w14:paraId="5F153254" w14:textId="77777777" w:rsidR="003C48D6" w:rsidRPr="00F720A6" w:rsidRDefault="003C48D6" w:rsidP="00E52294">
      <w:pPr>
        <w:pStyle w:val="SingleTxtG"/>
        <w:spacing w:before="240"/>
        <w:rPr>
          <w:lang w:val="fr-FR"/>
        </w:rPr>
      </w:pPr>
      <w:r w:rsidRPr="00F720A6">
        <w:rPr>
          <w:lang w:val="fr-FR"/>
        </w:rPr>
        <w:t>147.</w:t>
      </w:r>
      <w:r w:rsidRPr="00F720A6">
        <w:rPr>
          <w:lang w:val="fr-FR"/>
        </w:rPr>
        <w:tab/>
        <w:t>Afin de sensibiliser les parents et les enfants de 12 à 18 ans aux effets négatifs de la grossesse et du mariage des enfants, l</w:t>
      </w:r>
      <w:r w:rsidR="00254912">
        <w:rPr>
          <w:lang w:val="fr-FR"/>
        </w:rPr>
        <w:t>’</w:t>
      </w:r>
      <w:r w:rsidRPr="00F720A6">
        <w:rPr>
          <w:lang w:val="fr-FR"/>
        </w:rPr>
        <w:t>UNICEF a organisé des tables rondes en 2017, en</w:t>
      </w:r>
      <w:r w:rsidR="00E52294">
        <w:rPr>
          <w:lang w:val="fr-FR"/>
        </w:rPr>
        <w:t> </w:t>
      </w:r>
      <w:r w:rsidRPr="00F720A6">
        <w:rPr>
          <w:lang w:val="fr-FR"/>
        </w:rPr>
        <w:t>coopération avec l</w:t>
      </w:r>
      <w:r w:rsidR="00254912">
        <w:rPr>
          <w:lang w:val="fr-FR"/>
        </w:rPr>
        <w:t>’</w:t>
      </w:r>
      <w:r w:rsidRPr="00F720A6">
        <w:rPr>
          <w:lang w:val="fr-FR"/>
        </w:rPr>
        <w:t>ONG locale H.E.R.A., dans plusieurs municipalités à population majoritairement rom, où ce phénomène est plus fréquent. Selon le Programme national de santé publique, les centres de santé publique dispensent chaque année dans les écoles primaires et secondaires un enseignement sur les maladies sexuellement transmissibles et les grossesses non désirées. Une série de formations sur la prévention de la grossesse chez les adolescentes a également été organisée à l</w:t>
      </w:r>
      <w:r w:rsidR="00254912">
        <w:rPr>
          <w:lang w:val="fr-FR"/>
        </w:rPr>
        <w:t>’</w:t>
      </w:r>
      <w:r w:rsidRPr="00F720A6">
        <w:rPr>
          <w:lang w:val="fr-FR"/>
        </w:rPr>
        <w:t>adresse des professionnels des soins de santé primaire. De plus, un module sur la santé sexuelle et procréative des adolescents a été introduit dans les programmes de résidence en médecine générale.</w:t>
      </w:r>
    </w:p>
    <w:p w14:paraId="4B38AD29" w14:textId="77777777" w:rsidR="003C48D6" w:rsidRPr="00F720A6" w:rsidRDefault="003C48D6" w:rsidP="00DE6702">
      <w:pPr>
        <w:pStyle w:val="SingleTxtG"/>
        <w:rPr>
          <w:lang w:val="fr-FR"/>
        </w:rPr>
      </w:pPr>
      <w:r w:rsidRPr="00F720A6">
        <w:rPr>
          <w:lang w:val="fr-FR"/>
        </w:rPr>
        <w:t>148.</w:t>
      </w:r>
      <w:r w:rsidRPr="00F720A6">
        <w:rPr>
          <w:lang w:val="fr-FR"/>
        </w:rPr>
        <w:tab/>
        <w:t>Depuis 2012, les centres de santé publique ont également en charge les centres de conseil en santé sexuelle et procréative, qui offrent gratuitement des conseils spécifiques et des contraceptifs.</w:t>
      </w:r>
    </w:p>
    <w:p w14:paraId="5857E645" w14:textId="77777777" w:rsidR="003C48D6" w:rsidRPr="00F720A6" w:rsidRDefault="003C48D6" w:rsidP="001F4CA2">
      <w:pPr>
        <w:pStyle w:val="Titre1"/>
        <w:spacing w:after="120"/>
        <w:rPr>
          <w:rStyle w:val="Appelnotedebasdep"/>
          <w:b/>
          <w:bCs/>
          <w:lang w:val="fr-FR"/>
        </w:rPr>
      </w:pPr>
      <w:r w:rsidRPr="00F720A6">
        <w:rPr>
          <w:lang w:val="fr-FR"/>
        </w:rPr>
        <w:t>Tableau 14</w:t>
      </w:r>
      <w:r w:rsidR="00DE6702">
        <w:rPr>
          <w:lang w:val="fr-FR"/>
        </w:rPr>
        <w:t xml:space="preserve"> </w:t>
      </w:r>
      <w:r w:rsidRPr="00F720A6">
        <w:rPr>
          <w:lang w:val="fr-FR"/>
        </w:rPr>
        <w:br/>
      </w:r>
      <w:r w:rsidRPr="00DE6702">
        <w:rPr>
          <w:b/>
          <w:bCs/>
          <w:lang w:val="fr-FR"/>
        </w:rPr>
        <w:t xml:space="preserve">Rapport de travail 2012-2017 relatif aux centres de conseil </w:t>
      </w:r>
      <w:r w:rsidR="00DE6702">
        <w:rPr>
          <w:b/>
          <w:bCs/>
          <w:lang w:val="fr-FR"/>
        </w:rPr>
        <w:br/>
      </w:r>
      <w:r w:rsidRPr="00DE6702">
        <w:rPr>
          <w:b/>
          <w:bCs/>
          <w:lang w:val="fr-FR"/>
        </w:rPr>
        <w:t>en santé sexuelle et procréative</w:t>
      </w:r>
      <w:r w:rsidRPr="002A465A">
        <w:rPr>
          <w:rStyle w:val="Appelnotedebasdep"/>
        </w:rPr>
        <w:footnoteReference w:id="42"/>
      </w:r>
      <w:bookmarkStart w:id="61" w:name="_Toc56781462"/>
      <w:bookmarkEnd w:id="61"/>
    </w:p>
    <w:tbl>
      <w:tblPr>
        <w:tblW w:w="7370" w:type="dxa"/>
        <w:tblInd w:w="1134" w:type="dxa"/>
        <w:tblLayout w:type="fixed"/>
        <w:tblCellMar>
          <w:left w:w="0" w:type="dxa"/>
          <w:right w:w="0" w:type="dxa"/>
        </w:tblCellMar>
        <w:tblLook w:val="00A0" w:firstRow="1" w:lastRow="0" w:firstColumn="1" w:lastColumn="0" w:noHBand="0" w:noVBand="0"/>
      </w:tblPr>
      <w:tblGrid>
        <w:gridCol w:w="2575"/>
        <w:gridCol w:w="617"/>
        <w:gridCol w:w="598"/>
        <w:gridCol w:w="598"/>
        <w:gridCol w:w="746"/>
        <w:gridCol w:w="819"/>
        <w:gridCol w:w="598"/>
        <w:gridCol w:w="819"/>
      </w:tblGrid>
      <w:tr w:rsidR="003C48D6" w:rsidRPr="00DE6702" w14:paraId="13BF3FB5" w14:textId="77777777" w:rsidTr="00DE6702">
        <w:trPr>
          <w:tblHeader/>
        </w:trPr>
        <w:tc>
          <w:tcPr>
            <w:tcW w:w="2977" w:type="dxa"/>
            <w:tcBorders>
              <w:top w:val="single" w:sz="4" w:space="0" w:color="auto"/>
              <w:bottom w:val="single" w:sz="12" w:space="0" w:color="auto"/>
            </w:tcBorders>
            <w:shd w:val="clear" w:color="auto" w:fill="auto"/>
            <w:noWrap/>
            <w:vAlign w:val="bottom"/>
          </w:tcPr>
          <w:p w14:paraId="3F29BFE1" w14:textId="77777777" w:rsidR="003C48D6" w:rsidRPr="00DE6702" w:rsidRDefault="003C48D6" w:rsidP="00DE6702">
            <w:pPr>
              <w:suppressAutoHyphens w:val="0"/>
              <w:spacing w:before="80" w:after="80" w:line="200" w:lineRule="exact"/>
              <w:rPr>
                <w:i/>
                <w:sz w:val="16"/>
                <w:lang w:val="fr-FR"/>
              </w:rPr>
            </w:pPr>
          </w:p>
        </w:tc>
        <w:tc>
          <w:tcPr>
            <w:tcW w:w="711" w:type="dxa"/>
            <w:tcBorders>
              <w:top w:val="single" w:sz="4" w:space="0" w:color="auto"/>
              <w:bottom w:val="single" w:sz="12" w:space="0" w:color="auto"/>
            </w:tcBorders>
            <w:shd w:val="clear" w:color="auto" w:fill="auto"/>
            <w:noWrap/>
            <w:vAlign w:val="bottom"/>
          </w:tcPr>
          <w:p w14:paraId="3FB2FA46" w14:textId="77777777" w:rsidR="003C48D6" w:rsidRPr="00DE6702" w:rsidRDefault="003C48D6" w:rsidP="00DE6702">
            <w:pPr>
              <w:suppressAutoHyphens w:val="0"/>
              <w:spacing w:before="80" w:after="80" w:line="200" w:lineRule="exact"/>
              <w:jc w:val="right"/>
              <w:rPr>
                <w:i/>
                <w:sz w:val="16"/>
                <w:lang w:val="fr-FR"/>
              </w:rPr>
            </w:pPr>
            <w:r w:rsidRPr="00DE6702">
              <w:rPr>
                <w:i/>
                <w:iCs/>
                <w:sz w:val="16"/>
                <w:lang w:val="fr-FR"/>
              </w:rPr>
              <w:t>2012</w:t>
            </w:r>
          </w:p>
        </w:tc>
        <w:tc>
          <w:tcPr>
            <w:tcW w:w="689" w:type="dxa"/>
            <w:tcBorders>
              <w:top w:val="single" w:sz="4" w:space="0" w:color="auto"/>
              <w:bottom w:val="single" w:sz="12" w:space="0" w:color="auto"/>
            </w:tcBorders>
            <w:shd w:val="clear" w:color="auto" w:fill="auto"/>
            <w:vAlign w:val="bottom"/>
          </w:tcPr>
          <w:p w14:paraId="5038199C" w14:textId="77777777" w:rsidR="003C48D6" w:rsidRPr="00DE6702" w:rsidRDefault="003C48D6" w:rsidP="00DE6702">
            <w:pPr>
              <w:suppressAutoHyphens w:val="0"/>
              <w:spacing w:before="80" w:after="80" w:line="200" w:lineRule="exact"/>
              <w:jc w:val="right"/>
              <w:rPr>
                <w:i/>
                <w:sz w:val="16"/>
                <w:lang w:val="fr-FR"/>
              </w:rPr>
            </w:pPr>
            <w:r w:rsidRPr="00DE6702">
              <w:rPr>
                <w:i/>
                <w:iCs/>
                <w:sz w:val="16"/>
                <w:lang w:val="fr-FR"/>
              </w:rPr>
              <w:t>2013</w:t>
            </w:r>
          </w:p>
        </w:tc>
        <w:tc>
          <w:tcPr>
            <w:tcW w:w="689" w:type="dxa"/>
            <w:tcBorders>
              <w:top w:val="single" w:sz="4" w:space="0" w:color="auto"/>
              <w:bottom w:val="single" w:sz="12" w:space="0" w:color="auto"/>
            </w:tcBorders>
            <w:shd w:val="clear" w:color="auto" w:fill="auto"/>
            <w:vAlign w:val="bottom"/>
          </w:tcPr>
          <w:p w14:paraId="133B48C5" w14:textId="77777777" w:rsidR="003C48D6" w:rsidRPr="00DE6702" w:rsidRDefault="003C48D6" w:rsidP="00DE6702">
            <w:pPr>
              <w:suppressAutoHyphens w:val="0"/>
              <w:spacing w:before="80" w:after="80" w:line="200" w:lineRule="exact"/>
              <w:jc w:val="right"/>
              <w:rPr>
                <w:i/>
                <w:sz w:val="16"/>
                <w:lang w:val="fr-FR"/>
              </w:rPr>
            </w:pPr>
            <w:r w:rsidRPr="00DE6702">
              <w:rPr>
                <w:i/>
                <w:iCs/>
                <w:sz w:val="16"/>
                <w:lang w:val="fr-FR"/>
              </w:rPr>
              <w:t>2014</w:t>
            </w:r>
          </w:p>
        </w:tc>
        <w:tc>
          <w:tcPr>
            <w:tcW w:w="860" w:type="dxa"/>
            <w:tcBorders>
              <w:top w:val="single" w:sz="4" w:space="0" w:color="auto"/>
              <w:bottom w:val="single" w:sz="12" w:space="0" w:color="auto"/>
            </w:tcBorders>
            <w:shd w:val="clear" w:color="auto" w:fill="auto"/>
            <w:vAlign w:val="bottom"/>
          </w:tcPr>
          <w:p w14:paraId="646371E6" w14:textId="77777777" w:rsidR="003C48D6" w:rsidRPr="00DE6702" w:rsidRDefault="003C48D6" w:rsidP="00DE6702">
            <w:pPr>
              <w:suppressAutoHyphens w:val="0"/>
              <w:spacing w:before="80" w:after="80" w:line="200" w:lineRule="exact"/>
              <w:jc w:val="right"/>
              <w:rPr>
                <w:i/>
                <w:sz w:val="16"/>
                <w:lang w:val="fr-FR"/>
              </w:rPr>
            </w:pPr>
            <w:r w:rsidRPr="00DE6702">
              <w:rPr>
                <w:i/>
                <w:iCs/>
                <w:sz w:val="16"/>
                <w:lang w:val="fr-FR"/>
              </w:rPr>
              <w:t>2015</w:t>
            </w:r>
          </w:p>
        </w:tc>
        <w:tc>
          <w:tcPr>
            <w:tcW w:w="945" w:type="dxa"/>
            <w:tcBorders>
              <w:top w:val="single" w:sz="4" w:space="0" w:color="auto"/>
              <w:bottom w:val="single" w:sz="12" w:space="0" w:color="auto"/>
            </w:tcBorders>
            <w:shd w:val="clear" w:color="auto" w:fill="auto"/>
            <w:vAlign w:val="bottom"/>
          </w:tcPr>
          <w:p w14:paraId="56157792" w14:textId="77777777" w:rsidR="003C48D6" w:rsidRPr="00DE6702" w:rsidRDefault="003C48D6" w:rsidP="00DE6702">
            <w:pPr>
              <w:suppressAutoHyphens w:val="0"/>
              <w:spacing w:before="80" w:after="80" w:line="200" w:lineRule="exact"/>
              <w:jc w:val="right"/>
              <w:rPr>
                <w:i/>
                <w:sz w:val="16"/>
                <w:lang w:val="fr-FR"/>
              </w:rPr>
            </w:pPr>
            <w:r w:rsidRPr="00DE6702">
              <w:rPr>
                <w:i/>
                <w:iCs/>
                <w:sz w:val="16"/>
                <w:lang w:val="fr-FR"/>
              </w:rPr>
              <w:t>2016</w:t>
            </w:r>
          </w:p>
        </w:tc>
        <w:tc>
          <w:tcPr>
            <w:tcW w:w="689" w:type="dxa"/>
            <w:tcBorders>
              <w:top w:val="single" w:sz="4" w:space="0" w:color="auto"/>
              <w:bottom w:val="single" w:sz="12" w:space="0" w:color="auto"/>
            </w:tcBorders>
            <w:shd w:val="clear" w:color="auto" w:fill="auto"/>
            <w:vAlign w:val="bottom"/>
          </w:tcPr>
          <w:p w14:paraId="1098EEEA" w14:textId="77777777" w:rsidR="003C48D6" w:rsidRPr="00DE6702" w:rsidRDefault="003C48D6" w:rsidP="00DE6702">
            <w:pPr>
              <w:suppressAutoHyphens w:val="0"/>
              <w:spacing w:before="80" w:after="80" w:line="200" w:lineRule="exact"/>
              <w:jc w:val="right"/>
              <w:rPr>
                <w:i/>
                <w:sz w:val="16"/>
                <w:lang w:val="fr-FR"/>
              </w:rPr>
            </w:pPr>
            <w:r w:rsidRPr="00DE6702">
              <w:rPr>
                <w:i/>
                <w:iCs/>
                <w:sz w:val="16"/>
                <w:lang w:val="fr-FR"/>
              </w:rPr>
              <w:t>2017</w:t>
            </w:r>
          </w:p>
        </w:tc>
        <w:tc>
          <w:tcPr>
            <w:tcW w:w="945" w:type="dxa"/>
            <w:tcBorders>
              <w:top w:val="single" w:sz="4" w:space="0" w:color="auto"/>
              <w:bottom w:val="single" w:sz="12" w:space="0" w:color="auto"/>
            </w:tcBorders>
            <w:shd w:val="clear" w:color="auto" w:fill="auto"/>
            <w:vAlign w:val="bottom"/>
          </w:tcPr>
          <w:p w14:paraId="56123670" w14:textId="77777777" w:rsidR="003C48D6" w:rsidRPr="00DE6702" w:rsidRDefault="003C48D6" w:rsidP="00DE6702">
            <w:pPr>
              <w:suppressAutoHyphens w:val="0"/>
              <w:spacing w:before="80" w:after="80" w:line="200" w:lineRule="exact"/>
              <w:jc w:val="right"/>
              <w:rPr>
                <w:i/>
                <w:sz w:val="16"/>
                <w:lang w:val="fr-FR"/>
              </w:rPr>
            </w:pPr>
            <w:r w:rsidRPr="00DE6702">
              <w:rPr>
                <w:i/>
                <w:iCs/>
                <w:sz w:val="16"/>
                <w:lang w:val="fr-FR"/>
              </w:rPr>
              <w:t>Au total</w:t>
            </w:r>
          </w:p>
        </w:tc>
      </w:tr>
      <w:tr w:rsidR="003C48D6" w:rsidRPr="00DE6702" w14:paraId="04F0639E" w14:textId="77777777" w:rsidTr="00DE6702">
        <w:tc>
          <w:tcPr>
            <w:tcW w:w="2977" w:type="dxa"/>
            <w:tcBorders>
              <w:top w:val="single" w:sz="12" w:space="0" w:color="auto"/>
            </w:tcBorders>
            <w:shd w:val="clear" w:color="auto" w:fill="auto"/>
          </w:tcPr>
          <w:p w14:paraId="2AFBAE24" w14:textId="77777777" w:rsidR="003C48D6" w:rsidRPr="00DE6702" w:rsidRDefault="003C48D6" w:rsidP="00DE6702">
            <w:pPr>
              <w:suppressAutoHyphens w:val="0"/>
              <w:spacing w:before="40" w:after="40" w:line="220" w:lineRule="exact"/>
              <w:rPr>
                <w:sz w:val="18"/>
                <w:szCs w:val="18"/>
                <w:lang w:val="fr-FR"/>
              </w:rPr>
            </w:pPr>
            <w:r w:rsidRPr="00DE6702">
              <w:rPr>
                <w:sz w:val="18"/>
                <w:szCs w:val="18"/>
                <w:lang w:val="fr-FR"/>
              </w:rPr>
              <w:t xml:space="preserve">Nombre de jeunes ayant bénéficié de conseils </w:t>
            </w:r>
          </w:p>
        </w:tc>
        <w:tc>
          <w:tcPr>
            <w:tcW w:w="711" w:type="dxa"/>
            <w:tcBorders>
              <w:top w:val="single" w:sz="12" w:space="0" w:color="auto"/>
            </w:tcBorders>
            <w:shd w:val="clear" w:color="auto" w:fill="auto"/>
            <w:noWrap/>
            <w:vAlign w:val="bottom"/>
          </w:tcPr>
          <w:p w14:paraId="14545513"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1 050</w:t>
            </w:r>
          </w:p>
        </w:tc>
        <w:tc>
          <w:tcPr>
            <w:tcW w:w="689" w:type="dxa"/>
            <w:tcBorders>
              <w:top w:val="single" w:sz="12" w:space="0" w:color="auto"/>
            </w:tcBorders>
            <w:shd w:val="clear" w:color="auto" w:fill="auto"/>
            <w:noWrap/>
            <w:vAlign w:val="bottom"/>
          </w:tcPr>
          <w:p w14:paraId="02508403"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1 153</w:t>
            </w:r>
          </w:p>
        </w:tc>
        <w:tc>
          <w:tcPr>
            <w:tcW w:w="689" w:type="dxa"/>
            <w:tcBorders>
              <w:top w:val="single" w:sz="12" w:space="0" w:color="auto"/>
            </w:tcBorders>
            <w:shd w:val="clear" w:color="auto" w:fill="auto"/>
            <w:noWrap/>
            <w:vAlign w:val="bottom"/>
          </w:tcPr>
          <w:p w14:paraId="65E50CDA"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1 387</w:t>
            </w:r>
          </w:p>
        </w:tc>
        <w:tc>
          <w:tcPr>
            <w:tcW w:w="860" w:type="dxa"/>
            <w:tcBorders>
              <w:top w:val="single" w:sz="12" w:space="0" w:color="auto"/>
            </w:tcBorders>
            <w:shd w:val="clear" w:color="auto" w:fill="auto"/>
            <w:noWrap/>
            <w:vAlign w:val="bottom"/>
          </w:tcPr>
          <w:p w14:paraId="1F2AF605"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741</w:t>
            </w:r>
          </w:p>
        </w:tc>
        <w:tc>
          <w:tcPr>
            <w:tcW w:w="945" w:type="dxa"/>
            <w:tcBorders>
              <w:top w:val="single" w:sz="12" w:space="0" w:color="auto"/>
            </w:tcBorders>
            <w:shd w:val="clear" w:color="auto" w:fill="auto"/>
            <w:noWrap/>
            <w:vAlign w:val="bottom"/>
          </w:tcPr>
          <w:p w14:paraId="4E2CDABC"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1 207</w:t>
            </w:r>
          </w:p>
        </w:tc>
        <w:tc>
          <w:tcPr>
            <w:tcW w:w="689" w:type="dxa"/>
            <w:tcBorders>
              <w:top w:val="single" w:sz="12" w:space="0" w:color="auto"/>
            </w:tcBorders>
            <w:shd w:val="clear" w:color="auto" w:fill="auto"/>
            <w:vAlign w:val="bottom"/>
          </w:tcPr>
          <w:p w14:paraId="29D02BA0"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779</w:t>
            </w:r>
          </w:p>
        </w:tc>
        <w:tc>
          <w:tcPr>
            <w:tcW w:w="945" w:type="dxa"/>
            <w:tcBorders>
              <w:top w:val="single" w:sz="12" w:space="0" w:color="auto"/>
            </w:tcBorders>
            <w:shd w:val="clear" w:color="auto" w:fill="auto"/>
            <w:noWrap/>
            <w:vAlign w:val="bottom"/>
          </w:tcPr>
          <w:p w14:paraId="32265DFC"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6 317</w:t>
            </w:r>
          </w:p>
        </w:tc>
      </w:tr>
      <w:tr w:rsidR="003C48D6" w:rsidRPr="00DE6702" w14:paraId="61078D6C" w14:textId="77777777" w:rsidTr="00DE6702">
        <w:tc>
          <w:tcPr>
            <w:tcW w:w="2977" w:type="dxa"/>
            <w:shd w:val="clear" w:color="auto" w:fill="auto"/>
            <w:noWrap/>
          </w:tcPr>
          <w:p w14:paraId="152A5A6D" w14:textId="77777777" w:rsidR="003C48D6" w:rsidRPr="00DE6702" w:rsidRDefault="003C48D6" w:rsidP="00DE6702">
            <w:pPr>
              <w:suppressAutoHyphens w:val="0"/>
              <w:spacing w:before="40" w:after="40" w:line="220" w:lineRule="exact"/>
              <w:rPr>
                <w:sz w:val="18"/>
                <w:szCs w:val="18"/>
                <w:lang w:val="fr-FR"/>
              </w:rPr>
            </w:pPr>
            <w:r w:rsidRPr="00DE6702">
              <w:rPr>
                <w:sz w:val="18"/>
                <w:szCs w:val="18"/>
                <w:lang w:val="fr-FR"/>
              </w:rPr>
              <w:t>Nombre de préservatifs distribués</w:t>
            </w:r>
          </w:p>
        </w:tc>
        <w:tc>
          <w:tcPr>
            <w:tcW w:w="711" w:type="dxa"/>
            <w:shd w:val="clear" w:color="auto" w:fill="auto"/>
            <w:noWrap/>
            <w:vAlign w:val="bottom"/>
          </w:tcPr>
          <w:p w14:paraId="14DBB9A7"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6 415</w:t>
            </w:r>
          </w:p>
        </w:tc>
        <w:tc>
          <w:tcPr>
            <w:tcW w:w="689" w:type="dxa"/>
            <w:shd w:val="clear" w:color="auto" w:fill="auto"/>
            <w:noWrap/>
            <w:vAlign w:val="bottom"/>
          </w:tcPr>
          <w:p w14:paraId="4C6DFC08"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8 845</w:t>
            </w:r>
          </w:p>
        </w:tc>
        <w:tc>
          <w:tcPr>
            <w:tcW w:w="689" w:type="dxa"/>
            <w:shd w:val="clear" w:color="auto" w:fill="auto"/>
            <w:noWrap/>
            <w:vAlign w:val="bottom"/>
          </w:tcPr>
          <w:p w14:paraId="326A99DF"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6 488</w:t>
            </w:r>
          </w:p>
        </w:tc>
        <w:tc>
          <w:tcPr>
            <w:tcW w:w="860" w:type="dxa"/>
            <w:shd w:val="clear" w:color="auto" w:fill="auto"/>
            <w:noWrap/>
            <w:vAlign w:val="bottom"/>
          </w:tcPr>
          <w:p w14:paraId="3E9DC71E"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1 262</w:t>
            </w:r>
          </w:p>
        </w:tc>
        <w:tc>
          <w:tcPr>
            <w:tcW w:w="945" w:type="dxa"/>
            <w:shd w:val="clear" w:color="auto" w:fill="auto"/>
            <w:noWrap/>
            <w:vAlign w:val="bottom"/>
          </w:tcPr>
          <w:p w14:paraId="45ECB233"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3 563</w:t>
            </w:r>
          </w:p>
        </w:tc>
        <w:tc>
          <w:tcPr>
            <w:tcW w:w="689" w:type="dxa"/>
            <w:shd w:val="clear" w:color="auto" w:fill="auto"/>
            <w:vAlign w:val="bottom"/>
          </w:tcPr>
          <w:p w14:paraId="247D2260"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2 205</w:t>
            </w:r>
          </w:p>
        </w:tc>
        <w:tc>
          <w:tcPr>
            <w:tcW w:w="945" w:type="dxa"/>
            <w:shd w:val="clear" w:color="auto" w:fill="auto"/>
            <w:noWrap/>
            <w:vAlign w:val="bottom"/>
          </w:tcPr>
          <w:p w14:paraId="6F9C7A2A"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28 778</w:t>
            </w:r>
          </w:p>
        </w:tc>
      </w:tr>
      <w:tr w:rsidR="003C48D6" w:rsidRPr="00DE6702" w14:paraId="55863F5A" w14:textId="77777777" w:rsidTr="00DE6702">
        <w:tc>
          <w:tcPr>
            <w:tcW w:w="2977" w:type="dxa"/>
            <w:shd w:val="clear" w:color="auto" w:fill="auto"/>
            <w:noWrap/>
          </w:tcPr>
          <w:p w14:paraId="79C96549" w14:textId="77777777" w:rsidR="003C48D6" w:rsidRPr="00DE6702" w:rsidRDefault="003C48D6" w:rsidP="00DE6702">
            <w:pPr>
              <w:suppressAutoHyphens w:val="0"/>
              <w:spacing w:before="40" w:after="40" w:line="220" w:lineRule="exact"/>
              <w:rPr>
                <w:sz w:val="18"/>
                <w:szCs w:val="18"/>
                <w:lang w:val="fr-FR"/>
              </w:rPr>
            </w:pPr>
            <w:r w:rsidRPr="00DE6702">
              <w:rPr>
                <w:sz w:val="18"/>
                <w:szCs w:val="18"/>
                <w:lang w:val="fr-FR"/>
              </w:rPr>
              <w:t>Nombre de lubrifiants intimes distribués</w:t>
            </w:r>
          </w:p>
        </w:tc>
        <w:tc>
          <w:tcPr>
            <w:tcW w:w="711" w:type="dxa"/>
            <w:shd w:val="clear" w:color="auto" w:fill="auto"/>
            <w:noWrap/>
            <w:vAlign w:val="bottom"/>
          </w:tcPr>
          <w:p w14:paraId="3E3FA7CB"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358</w:t>
            </w:r>
          </w:p>
        </w:tc>
        <w:tc>
          <w:tcPr>
            <w:tcW w:w="689" w:type="dxa"/>
            <w:shd w:val="clear" w:color="auto" w:fill="auto"/>
            <w:noWrap/>
            <w:vAlign w:val="bottom"/>
          </w:tcPr>
          <w:p w14:paraId="2B14DD68"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2 866</w:t>
            </w:r>
          </w:p>
        </w:tc>
        <w:tc>
          <w:tcPr>
            <w:tcW w:w="689" w:type="dxa"/>
            <w:shd w:val="clear" w:color="auto" w:fill="auto"/>
            <w:noWrap/>
            <w:vAlign w:val="bottom"/>
          </w:tcPr>
          <w:p w14:paraId="5A7E9D45"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449</w:t>
            </w:r>
          </w:p>
        </w:tc>
        <w:tc>
          <w:tcPr>
            <w:tcW w:w="860" w:type="dxa"/>
            <w:shd w:val="clear" w:color="auto" w:fill="auto"/>
            <w:noWrap/>
            <w:vAlign w:val="bottom"/>
          </w:tcPr>
          <w:p w14:paraId="46644CA3"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w:t>
            </w:r>
          </w:p>
        </w:tc>
        <w:tc>
          <w:tcPr>
            <w:tcW w:w="945" w:type="dxa"/>
            <w:shd w:val="clear" w:color="auto" w:fill="auto"/>
            <w:noWrap/>
            <w:vAlign w:val="bottom"/>
          </w:tcPr>
          <w:p w14:paraId="10DCEAA0"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w:t>
            </w:r>
          </w:p>
        </w:tc>
        <w:tc>
          <w:tcPr>
            <w:tcW w:w="689" w:type="dxa"/>
            <w:shd w:val="clear" w:color="auto" w:fill="auto"/>
            <w:noWrap/>
            <w:vAlign w:val="bottom"/>
          </w:tcPr>
          <w:p w14:paraId="0621B4B3"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 </w:t>
            </w:r>
          </w:p>
        </w:tc>
        <w:tc>
          <w:tcPr>
            <w:tcW w:w="945" w:type="dxa"/>
            <w:shd w:val="clear" w:color="auto" w:fill="auto"/>
            <w:noWrap/>
            <w:vAlign w:val="bottom"/>
          </w:tcPr>
          <w:p w14:paraId="561DEFD2"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3 673</w:t>
            </w:r>
          </w:p>
        </w:tc>
      </w:tr>
      <w:tr w:rsidR="003C48D6" w:rsidRPr="00DE6702" w14:paraId="6DF7738D" w14:textId="77777777" w:rsidTr="00DE6702">
        <w:tc>
          <w:tcPr>
            <w:tcW w:w="2977" w:type="dxa"/>
            <w:shd w:val="clear" w:color="auto" w:fill="auto"/>
            <w:noWrap/>
          </w:tcPr>
          <w:p w14:paraId="1A394766" w14:textId="77777777" w:rsidR="003C48D6" w:rsidRPr="00DE6702" w:rsidRDefault="003C48D6" w:rsidP="00DE6702">
            <w:pPr>
              <w:suppressAutoHyphens w:val="0"/>
              <w:spacing w:before="40" w:after="40" w:line="220" w:lineRule="exact"/>
              <w:rPr>
                <w:sz w:val="18"/>
                <w:szCs w:val="18"/>
                <w:lang w:val="fr-FR"/>
              </w:rPr>
            </w:pPr>
            <w:r w:rsidRPr="00DE6702">
              <w:rPr>
                <w:sz w:val="18"/>
                <w:szCs w:val="18"/>
                <w:lang w:val="fr-FR"/>
              </w:rPr>
              <w:t xml:space="preserve">Nombre de moyens contraceptifs oraux distribués </w:t>
            </w:r>
          </w:p>
        </w:tc>
        <w:tc>
          <w:tcPr>
            <w:tcW w:w="711" w:type="dxa"/>
            <w:shd w:val="clear" w:color="auto" w:fill="auto"/>
            <w:noWrap/>
            <w:vAlign w:val="bottom"/>
          </w:tcPr>
          <w:p w14:paraId="2274D685"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305</w:t>
            </w:r>
          </w:p>
        </w:tc>
        <w:tc>
          <w:tcPr>
            <w:tcW w:w="689" w:type="dxa"/>
            <w:shd w:val="clear" w:color="auto" w:fill="auto"/>
            <w:noWrap/>
            <w:vAlign w:val="bottom"/>
          </w:tcPr>
          <w:p w14:paraId="77566436"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w:t>
            </w:r>
          </w:p>
        </w:tc>
        <w:tc>
          <w:tcPr>
            <w:tcW w:w="689" w:type="dxa"/>
            <w:shd w:val="clear" w:color="auto" w:fill="auto"/>
            <w:noWrap/>
            <w:vAlign w:val="bottom"/>
          </w:tcPr>
          <w:p w14:paraId="484F58CA"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w:t>
            </w:r>
          </w:p>
        </w:tc>
        <w:tc>
          <w:tcPr>
            <w:tcW w:w="860" w:type="dxa"/>
            <w:shd w:val="clear" w:color="auto" w:fill="auto"/>
            <w:noWrap/>
            <w:vAlign w:val="bottom"/>
          </w:tcPr>
          <w:p w14:paraId="270E09E3"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w:t>
            </w:r>
          </w:p>
        </w:tc>
        <w:tc>
          <w:tcPr>
            <w:tcW w:w="945" w:type="dxa"/>
            <w:shd w:val="clear" w:color="auto" w:fill="auto"/>
            <w:noWrap/>
            <w:vAlign w:val="bottom"/>
          </w:tcPr>
          <w:p w14:paraId="609E0E66"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w:t>
            </w:r>
          </w:p>
        </w:tc>
        <w:tc>
          <w:tcPr>
            <w:tcW w:w="689" w:type="dxa"/>
            <w:shd w:val="clear" w:color="auto" w:fill="auto"/>
            <w:noWrap/>
            <w:vAlign w:val="bottom"/>
          </w:tcPr>
          <w:p w14:paraId="2A9B3D17"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 </w:t>
            </w:r>
          </w:p>
        </w:tc>
        <w:tc>
          <w:tcPr>
            <w:tcW w:w="945" w:type="dxa"/>
            <w:shd w:val="clear" w:color="auto" w:fill="auto"/>
            <w:noWrap/>
            <w:vAlign w:val="bottom"/>
          </w:tcPr>
          <w:p w14:paraId="208373A0"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305</w:t>
            </w:r>
          </w:p>
        </w:tc>
      </w:tr>
      <w:tr w:rsidR="003C48D6" w:rsidRPr="00DE6702" w14:paraId="1DE75C96" w14:textId="77777777" w:rsidTr="00DE6702">
        <w:tc>
          <w:tcPr>
            <w:tcW w:w="2977" w:type="dxa"/>
            <w:shd w:val="clear" w:color="auto" w:fill="auto"/>
            <w:noWrap/>
          </w:tcPr>
          <w:p w14:paraId="4918CB6D" w14:textId="77777777" w:rsidR="003C48D6" w:rsidRPr="00DE6702" w:rsidRDefault="003C48D6" w:rsidP="00DE6702">
            <w:pPr>
              <w:suppressAutoHyphens w:val="0"/>
              <w:spacing w:before="40" w:after="40" w:line="220" w:lineRule="exact"/>
              <w:rPr>
                <w:sz w:val="18"/>
                <w:szCs w:val="18"/>
                <w:lang w:val="fr-FR"/>
              </w:rPr>
            </w:pPr>
            <w:r w:rsidRPr="00DE6702">
              <w:rPr>
                <w:sz w:val="18"/>
                <w:szCs w:val="18"/>
                <w:lang w:val="fr-FR"/>
              </w:rPr>
              <w:t>Supports promotionnels</w:t>
            </w:r>
          </w:p>
        </w:tc>
        <w:tc>
          <w:tcPr>
            <w:tcW w:w="711" w:type="dxa"/>
            <w:shd w:val="clear" w:color="auto" w:fill="auto"/>
            <w:noWrap/>
            <w:vAlign w:val="bottom"/>
          </w:tcPr>
          <w:p w14:paraId="57410151"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740</w:t>
            </w:r>
          </w:p>
        </w:tc>
        <w:tc>
          <w:tcPr>
            <w:tcW w:w="689" w:type="dxa"/>
            <w:shd w:val="clear" w:color="auto" w:fill="auto"/>
            <w:noWrap/>
            <w:vAlign w:val="bottom"/>
          </w:tcPr>
          <w:p w14:paraId="73DC6FC4"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w:t>
            </w:r>
          </w:p>
        </w:tc>
        <w:tc>
          <w:tcPr>
            <w:tcW w:w="689" w:type="dxa"/>
            <w:shd w:val="clear" w:color="auto" w:fill="auto"/>
            <w:noWrap/>
            <w:vAlign w:val="bottom"/>
          </w:tcPr>
          <w:p w14:paraId="6AB8AF42"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w:t>
            </w:r>
          </w:p>
        </w:tc>
        <w:tc>
          <w:tcPr>
            <w:tcW w:w="860" w:type="dxa"/>
            <w:shd w:val="clear" w:color="auto" w:fill="auto"/>
            <w:noWrap/>
            <w:vAlign w:val="bottom"/>
          </w:tcPr>
          <w:p w14:paraId="4A2856F6"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714</w:t>
            </w:r>
          </w:p>
        </w:tc>
        <w:tc>
          <w:tcPr>
            <w:tcW w:w="945" w:type="dxa"/>
            <w:shd w:val="clear" w:color="auto" w:fill="auto"/>
            <w:noWrap/>
            <w:vAlign w:val="bottom"/>
          </w:tcPr>
          <w:p w14:paraId="089CE8FF"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751</w:t>
            </w:r>
          </w:p>
        </w:tc>
        <w:tc>
          <w:tcPr>
            <w:tcW w:w="689" w:type="dxa"/>
            <w:shd w:val="clear" w:color="auto" w:fill="auto"/>
            <w:noWrap/>
            <w:vAlign w:val="bottom"/>
          </w:tcPr>
          <w:p w14:paraId="06A33902"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1 003</w:t>
            </w:r>
          </w:p>
        </w:tc>
        <w:tc>
          <w:tcPr>
            <w:tcW w:w="945" w:type="dxa"/>
            <w:shd w:val="clear" w:color="auto" w:fill="auto"/>
            <w:noWrap/>
            <w:vAlign w:val="bottom"/>
          </w:tcPr>
          <w:p w14:paraId="3ECEC84F"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3208</w:t>
            </w:r>
          </w:p>
        </w:tc>
      </w:tr>
      <w:tr w:rsidR="003C48D6" w:rsidRPr="00DE6702" w14:paraId="12BAEB7F" w14:textId="77777777" w:rsidTr="00DE6702">
        <w:tc>
          <w:tcPr>
            <w:tcW w:w="2977" w:type="dxa"/>
            <w:shd w:val="clear" w:color="auto" w:fill="auto"/>
            <w:noWrap/>
          </w:tcPr>
          <w:p w14:paraId="4FD7B0D2" w14:textId="77777777" w:rsidR="003C48D6" w:rsidRPr="00DE6702" w:rsidRDefault="003C48D6" w:rsidP="00DE6702">
            <w:pPr>
              <w:suppressAutoHyphens w:val="0"/>
              <w:spacing w:before="40" w:after="40" w:line="220" w:lineRule="exact"/>
              <w:rPr>
                <w:sz w:val="18"/>
                <w:szCs w:val="18"/>
                <w:lang w:val="fr-FR"/>
              </w:rPr>
            </w:pPr>
            <w:r w:rsidRPr="00DE6702">
              <w:rPr>
                <w:sz w:val="18"/>
                <w:szCs w:val="18"/>
                <w:lang w:val="fr-FR"/>
              </w:rPr>
              <w:t>Conférences</w:t>
            </w:r>
          </w:p>
        </w:tc>
        <w:tc>
          <w:tcPr>
            <w:tcW w:w="711" w:type="dxa"/>
            <w:shd w:val="clear" w:color="auto" w:fill="auto"/>
            <w:noWrap/>
            <w:vAlign w:val="bottom"/>
          </w:tcPr>
          <w:p w14:paraId="20A74953"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85</w:t>
            </w:r>
          </w:p>
        </w:tc>
        <w:tc>
          <w:tcPr>
            <w:tcW w:w="689" w:type="dxa"/>
            <w:shd w:val="clear" w:color="auto" w:fill="auto"/>
            <w:noWrap/>
            <w:vAlign w:val="bottom"/>
          </w:tcPr>
          <w:p w14:paraId="4CB4B13F"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w:t>
            </w:r>
          </w:p>
        </w:tc>
        <w:tc>
          <w:tcPr>
            <w:tcW w:w="689" w:type="dxa"/>
            <w:shd w:val="clear" w:color="auto" w:fill="auto"/>
            <w:noWrap/>
            <w:vAlign w:val="bottom"/>
          </w:tcPr>
          <w:p w14:paraId="4B008B4A"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w:t>
            </w:r>
          </w:p>
        </w:tc>
        <w:tc>
          <w:tcPr>
            <w:tcW w:w="860" w:type="dxa"/>
            <w:shd w:val="clear" w:color="auto" w:fill="auto"/>
            <w:noWrap/>
            <w:vAlign w:val="bottom"/>
          </w:tcPr>
          <w:p w14:paraId="6EEC61B5"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63</w:t>
            </w:r>
          </w:p>
        </w:tc>
        <w:tc>
          <w:tcPr>
            <w:tcW w:w="945" w:type="dxa"/>
            <w:shd w:val="clear" w:color="auto" w:fill="auto"/>
            <w:noWrap/>
            <w:vAlign w:val="bottom"/>
          </w:tcPr>
          <w:p w14:paraId="7D6D560F"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9</w:t>
            </w:r>
          </w:p>
        </w:tc>
        <w:tc>
          <w:tcPr>
            <w:tcW w:w="689" w:type="dxa"/>
            <w:shd w:val="clear" w:color="auto" w:fill="auto"/>
            <w:noWrap/>
            <w:vAlign w:val="bottom"/>
          </w:tcPr>
          <w:p w14:paraId="668B80A6"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250</w:t>
            </w:r>
          </w:p>
        </w:tc>
        <w:tc>
          <w:tcPr>
            <w:tcW w:w="945" w:type="dxa"/>
            <w:shd w:val="clear" w:color="auto" w:fill="auto"/>
            <w:noWrap/>
            <w:vAlign w:val="bottom"/>
          </w:tcPr>
          <w:p w14:paraId="10D33C3F"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407</w:t>
            </w:r>
          </w:p>
        </w:tc>
      </w:tr>
      <w:tr w:rsidR="003C48D6" w:rsidRPr="00DE6702" w14:paraId="060CFF30" w14:textId="77777777" w:rsidTr="00DE6702">
        <w:tc>
          <w:tcPr>
            <w:tcW w:w="2977" w:type="dxa"/>
            <w:tcBorders>
              <w:bottom w:val="single" w:sz="12" w:space="0" w:color="auto"/>
            </w:tcBorders>
            <w:shd w:val="clear" w:color="auto" w:fill="auto"/>
            <w:noWrap/>
          </w:tcPr>
          <w:p w14:paraId="27E919DD" w14:textId="77777777" w:rsidR="003C48D6" w:rsidRPr="00DE6702" w:rsidRDefault="003C48D6" w:rsidP="00DE6702">
            <w:pPr>
              <w:suppressAutoHyphens w:val="0"/>
              <w:spacing w:before="40" w:after="40" w:line="220" w:lineRule="exact"/>
              <w:rPr>
                <w:sz w:val="18"/>
                <w:szCs w:val="18"/>
                <w:lang w:val="fr-FR"/>
              </w:rPr>
            </w:pPr>
            <w:r w:rsidRPr="00DE6702">
              <w:rPr>
                <w:sz w:val="18"/>
                <w:szCs w:val="18"/>
                <w:lang w:val="fr-FR"/>
              </w:rPr>
              <w:t>Enquêtes</w:t>
            </w:r>
          </w:p>
        </w:tc>
        <w:tc>
          <w:tcPr>
            <w:tcW w:w="711" w:type="dxa"/>
            <w:tcBorders>
              <w:bottom w:val="single" w:sz="12" w:space="0" w:color="auto"/>
            </w:tcBorders>
            <w:shd w:val="clear" w:color="auto" w:fill="auto"/>
            <w:noWrap/>
            <w:vAlign w:val="bottom"/>
          </w:tcPr>
          <w:p w14:paraId="34920C00"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 </w:t>
            </w:r>
          </w:p>
        </w:tc>
        <w:tc>
          <w:tcPr>
            <w:tcW w:w="689" w:type="dxa"/>
            <w:tcBorders>
              <w:bottom w:val="single" w:sz="12" w:space="0" w:color="auto"/>
            </w:tcBorders>
            <w:shd w:val="clear" w:color="auto" w:fill="auto"/>
            <w:noWrap/>
            <w:vAlign w:val="bottom"/>
          </w:tcPr>
          <w:p w14:paraId="61E3383C"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 </w:t>
            </w:r>
          </w:p>
        </w:tc>
        <w:tc>
          <w:tcPr>
            <w:tcW w:w="689" w:type="dxa"/>
            <w:tcBorders>
              <w:bottom w:val="single" w:sz="12" w:space="0" w:color="auto"/>
            </w:tcBorders>
            <w:shd w:val="clear" w:color="auto" w:fill="auto"/>
            <w:noWrap/>
            <w:vAlign w:val="bottom"/>
          </w:tcPr>
          <w:p w14:paraId="64F146A3"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 </w:t>
            </w:r>
          </w:p>
        </w:tc>
        <w:tc>
          <w:tcPr>
            <w:tcW w:w="860" w:type="dxa"/>
            <w:tcBorders>
              <w:bottom w:val="single" w:sz="12" w:space="0" w:color="auto"/>
            </w:tcBorders>
            <w:shd w:val="clear" w:color="auto" w:fill="auto"/>
            <w:noWrap/>
            <w:vAlign w:val="bottom"/>
          </w:tcPr>
          <w:p w14:paraId="172FCA30"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 </w:t>
            </w:r>
          </w:p>
        </w:tc>
        <w:tc>
          <w:tcPr>
            <w:tcW w:w="945" w:type="dxa"/>
            <w:tcBorders>
              <w:bottom w:val="single" w:sz="12" w:space="0" w:color="auto"/>
            </w:tcBorders>
            <w:shd w:val="clear" w:color="auto" w:fill="auto"/>
            <w:noWrap/>
            <w:vAlign w:val="bottom"/>
          </w:tcPr>
          <w:p w14:paraId="1F6C474A"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62</w:t>
            </w:r>
          </w:p>
        </w:tc>
        <w:tc>
          <w:tcPr>
            <w:tcW w:w="689" w:type="dxa"/>
            <w:tcBorders>
              <w:bottom w:val="single" w:sz="12" w:space="0" w:color="auto"/>
            </w:tcBorders>
            <w:shd w:val="clear" w:color="auto" w:fill="auto"/>
            <w:noWrap/>
            <w:vAlign w:val="bottom"/>
          </w:tcPr>
          <w:p w14:paraId="17F7B009"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203</w:t>
            </w:r>
          </w:p>
        </w:tc>
        <w:tc>
          <w:tcPr>
            <w:tcW w:w="945" w:type="dxa"/>
            <w:tcBorders>
              <w:bottom w:val="single" w:sz="12" w:space="0" w:color="auto"/>
            </w:tcBorders>
            <w:shd w:val="clear" w:color="auto" w:fill="auto"/>
            <w:noWrap/>
            <w:vAlign w:val="bottom"/>
          </w:tcPr>
          <w:p w14:paraId="14290E0F" w14:textId="77777777" w:rsidR="003C48D6" w:rsidRPr="00DE6702" w:rsidRDefault="003C48D6" w:rsidP="00DE6702">
            <w:pPr>
              <w:suppressAutoHyphens w:val="0"/>
              <w:spacing w:before="40" w:after="40" w:line="220" w:lineRule="exact"/>
              <w:jc w:val="right"/>
              <w:rPr>
                <w:sz w:val="18"/>
                <w:szCs w:val="18"/>
                <w:lang w:val="fr-FR"/>
              </w:rPr>
            </w:pPr>
            <w:r w:rsidRPr="00DE6702">
              <w:rPr>
                <w:sz w:val="18"/>
                <w:szCs w:val="18"/>
                <w:lang w:val="fr-FR"/>
              </w:rPr>
              <w:t>265</w:t>
            </w:r>
          </w:p>
        </w:tc>
      </w:tr>
    </w:tbl>
    <w:p w14:paraId="3BA68E95" w14:textId="77777777" w:rsidR="003C48D6" w:rsidRPr="00F720A6" w:rsidRDefault="003C48D6" w:rsidP="00E52294">
      <w:pPr>
        <w:pStyle w:val="SingleTxtG"/>
        <w:spacing w:before="240"/>
        <w:rPr>
          <w:lang w:val="fr-FR"/>
        </w:rPr>
      </w:pPr>
      <w:r w:rsidRPr="00F720A6">
        <w:rPr>
          <w:lang w:val="fr-FR"/>
        </w:rPr>
        <w:t>149.</w:t>
      </w:r>
      <w:r w:rsidRPr="00F720A6">
        <w:rPr>
          <w:lang w:val="fr-FR"/>
        </w:rPr>
        <w:tab/>
        <w:t xml:space="preserve">Afin de promouvoir la santé sexuelle et procréative, des ONG poursuivent leurs activités dans deux centres de jeunesse « Je veux savoir », à Skopje, qui offrent aux groupes de jeunes vulnérables et marginalisés un dépistage médical gratuit, des conseils et des tests de dépistage des infections sexuellement transmissibles. En </w:t>
      </w:r>
      <w:r w:rsidR="00E52294">
        <w:rPr>
          <w:lang w:val="fr-FR"/>
        </w:rPr>
        <w:t xml:space="preserve">dix </w:t>
      </w:r>
      <w:r w:rsidRPr="00F720A6">
        <w:rPr>
          <w:lang w:val="fr-FR"/>
        </w:rPr>
        <w:t xml:space="preserve">ans de fonctionnement, </w:t>
      </w:r>
      <w:r w:rsidRPr="00F720A6">
        <w:rPr>
          <w:lang w:val="fr-FR"/>
        </w:rPr>
        <w:lastRenderedPageBreak/>
        <w:t>plus</w:t>
      </w:r>
      <w:r w:rsidR="00E52294">
        <w:rPr>
          <w:lang w:val="fr-FR"/>
        </w:rPr>
        <w:t> </w:t>
      </w:r>
      <w:r w:rsidRPr="00F720A6">
        <w:rPr>
          <w:lang w:val="fr-FR"/>
        </w:rPr>
        <w:t>de 80 000 prestations ont été effectuées au bénéfice d</w:t>
      </w:r>
      <w:r w:rsidR="00254912">
        <w:rPr>
          <w:lang w:val="fr-FR"/>
        </w:rPr>
        <w:t>’</w:t>
      </w:r>
      <w:r w:rsidRPr="00F720A6">
        <w:rPr>
          <w:lang w:val="fr-FR"/>
        </w:rPr>
        <w:t>environ 25 000 jeunes gens et jeunes filles, dont 20 % suivaient des études secondaires ou supérieures.</w:t>
      </w:r>
    </w:p>
    <w:p w14:paraId="7FB8C22B" w14:textId="77777777" w:rsidR="003C48D6" w:rsidRPr="00F720A6" w:rsidRDefault="003C48D6" w:rsidP="00DE6702">
      <w:pPr>
        <w:pStyle w:val="SingleTxtG"/>
        <w:rPr>
          <w:lang w:val="fr-FR"/>
        </w:rPr>
      </w:pPr>
      <w:r w:rsidRPr="00F720A6">
        <w:rPr>
          <w:lang w:val="fr-FR"/>
        </w:rPr>
        <w:t>150.</w:t>
      </w:r>
      <w:r w:rsidRPr="00F720A6">
        <w:rPr>
          <w:lang w:val="fr-FR"/>
        </w:rPr>
        <w:tab/>
        <w:t>Le programme permanent d</w:t>
      </w:r>
      <w:r w:rsidR="00254912">
        <w:rPr>
          <w:lang w:val="fr-FR"/>
        </w:rPr>
        <w:t>’</w:t>
      </w:r>
      <w:r w:rsidRPr="00F720A6">
        <w:rPr>
          <w:lang w:val="fr-FR"/>
        </w:rPr>
        <w:t>éducation aux compétences de la vie courante introduit dans les écoles primaires et secondaires en 2009 intègre certains des sujets considérés comme indispensables à toute éducation complète en matière de santé sexuelle et procréative.</w:t>
      </w:r>
    </w:p>
    <w:p w14:paraId="6DFDD5DE" w14:textId="77777777" w:rsidR="003C48D6" w:rsidRPr="00F720A6" w:rsidRDefault="003C48D6" w:rsidP="00DE6702">
      <w:pPr>
        <w:pStyle w:val="SingleTxtG"/>
        <w:rPr>
          <w:lang w:val="fr-FR"/>
        </w:rPr>
      </w:pPr>
      <w:r w:rsidRPr="00F720A6">
        <w:rPr>
          <w:lang w:val="fr-FR"/>
        </w:rPr>
        <w:t>151.</w:t>
      </w:r>
      <w:r w:rsidRPr="00F720A6">
        <w:rPr>
          <w:lang w:val="fr-FR"/>
        </w:rPr>
        <w:tab/>
        <w:t>À partir de l</w:t>
      </w:r>
      <w:r w:rsidR="00254912">
        <w:rPr>
          <w:lang w:val="fr-FR"/>
        </w:rPr>
        <w:t>’</w:t>
      </w:r>
      <w:r w:rsidRPr="00F720A6">
        <w:rPr>
          <w:lang w:val="fr-FR"/>
        </w:rPr>
        <w:t>analyse des manuels d</w:t>
      </w:r>
      <w:r w:rsidR="00254912">
        <w:rPr>
          <w:lang w:val="fr-FR"/>
        </w:rPr>
        <w:t>’</w:t>
      </w:r>
      <w:r w:rsidRPr="00F720A6">
        <w:rPr>
          <w:lang w:val="fr-FR"/>
        </w:rPr>
        <w:t>éducation aux compétences de la vie courante et de leurs contenus relatifs aux droits en matière de santé sexuelle et procréative, conformément au cadre pour une Éducation sexuelle globale, un manuel de l</w:t>
      </w:r>
      <w:r w:rsidR="00254912">
        <w:rPr>
          <w:lang w:val="fr-FR"/>
        </w:rPr>
        <w:t>’</w:t>
      </w:r>
      <w:r w:rsidRPr="00F720A6">
        <w:rPr>
          <w:lang w:val="fr-FR"/>
        </w:rPr>
        <w:t>enseignant primaire a été élaboré sur la question de ces droits pour piloter l</w:t>
      </w:r>
      <w:r w:rsidR="00254912">
        <w:rPr>
          <w:lang w:val="fr-FR"/>
        </w:rPr>
        <w:t>’</w:t>
      </w:r>
      <w:r w:rsidRPr="00F720A6">
        <w:rPr>
          <w:lang w:val="fr-FR"/>
        </w:rPr>
        <w:t>exposé de ces compétences dans deux écoles primaires de la ville de Skopje.</w:t>
      </w:r>
    </w:p>
    <w:p w14:paraId="3E02955E" w14:textId="77777777" w:rsidR="003C48D6" w:rsidRPr="00F720A6" w:rsidRDefault="003C48D6" w:rsidP="00DE6702">
      <w:pPr>
        <w:pStyle w:val="SingleTxtG"/>
        <w:rPr>
          <w:lang w:val="fr-FR"/>
        </w:rPr>
      </w:pPr>
      <w:r w:rsidRPr="00F720A6">
        <w:rPr>
          <w:lang w:val="fr-FR"/>
        </w:rPr>
        <w:t>152.</w:t>
      </w:r>
      <w:r w:rsidRPr="00F720A6">
        <w:rPr>
          <w:lang w:val="fr-FR"/>
        </w:rPr>
        <w:tab/>
        <w:t>L</w:t>
      </w:r>
      <w:r w:rsidR="00254912">
        <w:rPr>
          <w:lang w:val="fr-FR"/>
        </w:rPr>
        <w:t>’</w:t>
      </w:r>
      <w:r w:rsidRPr="00F720A6">
        <w:rPr>
          <w:lang w:val="fr-FR"/>
        </w:rPr>
        <w:t>éducation par les pairs aux droits à la santé sexuelle et procréative est une tradition de près de vingt ans dans le pays. L</w:t>
      </w:r>
      <w:r w:rsidR="00254912">
        <w:rPr>
          <w:lang w:val="fr-FR"/>
        </w:rPr>
        <w:t>’</w:t>
      </w:r>
      <w:r w:rsidRPr="00F720A6">
        <w:rPr>
          <w:lang w:val="fr-FR"/>
        </w:rPr>
        <w:t>objectif de départ, qui était d</w:t>
      </w:r>
      <w:r w:rsidR="00254912">
        <w:rPr>
          <w:lang w:val="fr-FR"/>
        </w:rPr>
        <w:t>’</w:t>
      </w:r>
      <w:r w:rsidRPr="00F720A6">
        <w:rPr>
          <w:lang w:val="fr-FR"/>
        </w:rPr>
        <w:t xml:space="preserve">éduquer les jeunes afin de prévenir les infections par le VIH, a évolué vers une information par les pairs en matière de contraception, de protection contre les infections sexuellement transmissibles et de comportements sûrs eu égard à la santé sexuelle et procréative. Actuellement, ces programmes sont mis en œuvre dans plusieurs écoles et dans les centres de santé sexuelle et procréative pour la jeunesse, à Skopje. Comme le prévoient les manuels des pairs éducateurs sur les droits dans ce domaine, le programme est couvert en </w:t>
      </w:r>
      <w:r w:rsidR="00BE2DC5">
        <w:rPr>
          <w:lang w:val="fr-FR"/>
        </w:rPr>
        <w:t xml:space="preserve">douze </w:t>
      </w:r>
      <w:r w:rsidRPr="00F720A6">
        <w:rPr>
          <w:lang w:val="fr-FR"/>
        </w:rPr>
        <w:t>heures de travail au total (</w:t>
      </w:r>
      <w:r w:rsidR="00BE2DC5">
        <w:rPr>
          <w:lang w:val="fr-FR"/>
        </w:rPr>
        <w:t>dix</w:t>
      </w:r>
      <w:r w:rsidRPr="00F720A6">
        <w:rPr>
          <w:lang w:val="fr-FR"/>
        </w:rPr>
        <w:t xml:space="preserve"> effectives)</w:t>
      </w:r>
      <w:r w:rsidRPr="002A465A">
        <w:rPr>
          <w:rStyle w:val="Appelnotedebasdep"/>
        </w:rPr>
        <w:footnoteReference w:id="43"/>
      </w:r>
      <w:r w:rsidRPr="00F720A6">
        <w:rPr>
          <w:lang w:val="fr-FR"/>
        </w:rPr>
        <w:t>. Des normes de formation ont également été établies pour les pairs éducateurs, ainsi qu</w:t>
      </w:r>
      <w:r w:rsidR="00254912">
        <w:rPr>
          <w:lang w:val="fr-FR"/>
        </w:rPr>
        <w:t>’</w:t>
      </w:r>
      <w:r w:rsidRPr="00F720A6">
        <w:rPr>
          <w:lang w:val="fr-FR"/>
        </w:rPr>
        <w:t>un système de tutorat et de supervision de la mise en œuvre, tandis que l</w:t>
      </w:r>
      <w:r w:rsidR="00254912">
        <w:rPr>
          <w:lang w:val="fr-FR"/>
        </w:rPr>
        <w:t>’</w:t>
      </w:r>
      <w:r w:rsidRPr="00F720A6">
        <w:rPr>
          <w:lang w:val="fr-FR"/>
        </w:rPr>
        <w:t>impact du programme sur les connaissances et les attitudes des participants est contrôlé par des tests en amont et en aval.</w:t>
      </w:r>
    </w:p>
    <w:p w14:paraId="04290A66" w14:textId="77777777" w:rsidR="003C48D6" w:rsidRPr="00F720A6" w:rsidRDefault="003C48D6" w:rsidP="00DE6702">
      <w:pPr>
        <w:pStyle w:val="H23G"/>
        <w:rPr>
          <w:lang w:val="fr-FR"/>
        </w:rPr>
      </w:pPr>
      <w:r w:rsidRPr="00F720A6">
        <w:rPr>
          <w:lang w:val="fr-FR"/>
        </w:rPr>
        <w:tab/>
        <w:t>d)</w:t>
      </w:r>
      <w:r w:rsidRPr="00F720A6">
        <w:rPr>
          <w:lang w:val="fr-FR"/>
        </w:rPr>
        <w:tab/>
        <w:t xml:space="preserve">Mesures visant à </w:t>
      </w:r>
      <w:r w:rsidRPr="00DE6702">
        <w:rPr>
          <w:lang w:val="fr-FR"/>
        </w:rPr>
        <w:t>protéger</w:t>
      </w:r>
      <w:r w:rsidRPr="00F720A6">
        <w:rPr>
          <w:lang w:val="fr-FR"/>
        </w:rPr>
        <w:t xml:space="preserve"> les enfants contre l</w:t>
      </w:r>
      <w:r w:rsidR="00254912">
        <w:rPr>
          <w:lang w:val="fr-FR"/>
        </w:rPr>
        <w:t>’</w:t>
      </w:r>
      <w:r w:rsidRPr="00F720A6">
        <w:rPr>
          <w:lang w:val="fr-FR"/>
        </w:rPr>
        <w:t xml:space="preserve">usage </w:t>
      </w:r>
      <w:r w:rsidR="00DE6702">
        <w:rPr>
          <w:lang w:val="fr-FR"/>
        </w:rPr>
        <w:br/>
      </w:r>
      <w:r w:rsidRPr="00F720A6">
        <w:rPr>
          <w:lang w:val="fr-FR"/>
        </w:rPr>
        <w:t>de substances psychoactives (art. 33)</w:t>
      </w:r>
      <w:bookmarkStart w:id="62" w:name="_Toc56781463"/>
      <w:bookmarkEnd w:id="62"/>
    </w:p>
    <w:p w14:paraId="358096F7" w14:textId="77777777" w:rsidR="003C48D6" w:rsidRPr="00F720A6" w:rsidRDefault="003C48D6" w:rsidP="00DE6702">
      <w:pPr>
        <w:pStyle w:val="SingleTxtG"/>
        <w:rPr>
          <w:lang w:val="fr-FR"/>
        </w:rPr>
      </w:pPr>
      <w:r w:rsidRPr="00F720A6">
        <w:rPr>
          <w:lang w:val="fr-FR"/>
        </w:rPr>
        <w:t>153.</w:t>
      </w:r>
      <w:r w:rsidRPr="00F720A6">
        <w:rPr>
          <w:lang w:val="fr-FR"/>
        </w:rPr>
        <w:tab/>
        <w:t>Le Gouvernement a adopté la Stratégie nationale antidrogue 2014-2020 et le plan d</w:t>
      </w:r>
      <w:r w:rsidR="00254912">
        <w:rPr>
          <w:lang w:val="fr-FR"/>
        </w:rPr>
        <w:t>’</w:t>
      </w:r>
      <w:r w:rsidRPr="00F720A6">
        <w:rPr>
          <w:lang w:val="fr-FR"/>
        </w:rPr>
        <w:t>action correspondant 2014-2017. Cette stratégie vise à réduire la demande et l</w:t>
      </w:r>
      <w:r w:rsidR="00254912">
        <w:rPr>
          <w:lang w:val="fr-FR"/>
        </w:rPr>
        <w:t>’</w:t>
      </w:r>
      <w:r w:rsidRPr="00F720A6">
        <w:rPr>
          <w:lang w:val="fr-FR"/>
        </w:rPr>
        <w:t xml:space="preserve">offre de drogues, les </w:t>
      </w:r>
      <w:r w:rsidRPr="00DE6702">
        <w:t>risques</w:t>
      </w:r>
      <w:r w:rsidRPr="00F720A6">
        <w:rPr>
          <w:lang w:val="fr-FR"/>
        </w:rPr>
        <w:t xml:space="preserve"> sanitaires et sociaux et les dommages causés par les drogues.</w:t>
      </w:r>
    </w:p>
    <w:p w14:paraId="212C4624" w14:textId="77777777" w:rsidR="003C48D6" w:rsidRPr="00F720A6" w:rsidRDefault="003C48D6" w:rsidP="00DE6702">
      <w:pPr>
        <w:pStyle w:val="SingleTxtG"/>
        <w:rPr>
          <w:lang w:val="fr-FR"/>
        </w:rPr>
      </w:pPr>
      <w:r w:rsidRPr="00F720A6">
        <w:rPr>
          <w:lang w:val="fr-FR"/>
        </w:rPr>
        <w:t>154.</w:t>
      </w:r>
      <w:r w:rsidRPr="00F720A6">
        <w:rPr>
          <w:lang w:val="fr-FR"/>
        </w:rPr>
        <w:tab/>
        <w:t xml:space="preserve">Des centres de conseil pour la prévention de la consommation de drogues et autres substances psychoactives ont été ouverts pour les lycéens de Skopje (2012) et son quartier de </w:t>
      </w:r>
      <w:proofErr w:type="spellStart"/>
      <w:r w:rsidRPr="00F720A6">
        <w:rPr>
          <w:lang w:val="fr-FR"/>
        </w:rPr>
        <w:t>Shuto</w:t>
      </w:r>
      <w:proofErr w:type="spellEnd"/>
      <w:r w:rsidRPr="00F720A6">
        <w:rPr>
          <w:lang w:val="fr-FR"/>
        </w:rPr>
        <w:t xml:space="preserve"> </w:t>
      </w:r>
      <w:proofErr w:type="spellStart"/>
      <w:r w:rsidRPr="00F720A6">
        <w:rPr>
          <w:lang w:val="fr-FR"/>
        </w:rPr>
        <w:t>Orizari</w:t>
      </w:r>
      <w:proofErr w:type="spellEnd"/>
      <w:r w:rsidRPr="00F720A6">
        <w:rPr>
          <w:lang w:val="fr-FR"/>
        </w:rPr>
        <w:t xml:space="preserve">, à population majoritairement rom (2016). </w:t>
      </w:r>
    </w:p>
    <w:p w14:paraId="3A8BA6B3" w14:textId="77777777" w:rsidR="003C48D6" w:rsidRPr="00F720A6" w:rsidRDefault="003C48D6" w:rsidP="00DE6702">
      <w:pPr>
        <w:pStyle w:val="SingleTxtG"/>
        <w:rPr>
          <w:lang w:val="fr-FR"/>
        </w:rPr>
      </w:pPr>
      <w:r w:rsidRPr="00F720A6">
        <w:rPr>
          <w:lang w:val="fr-FR"/>
        </w:rPr>
        <w:t>155.</w:t>
      </w:r>
      <w:r w:rsidRPr="00F720A6">
        <w:rPr>
          <w:lang w:val="fr-FR"/>
        </w:rPr>
        <w:tab/>
        <w:t>Un programme de prévention de la consommation de drogue intitulé « </w:t>
      </w:r>
      <w:proofErr w:type="spellStart"/>
      <w:r w:rsidRPr="00F720A6">
        <w:rPr>
          <w:lang w:val="fr-FR"/>
        </w:rPr>
        <w:t>Teenage</w:t>
      </w:r>
      <w:proofErr w:type="spellEnd"/>
      <w:r w:rsidRPr="00F720A6">
        <w:rPr>
          <w:lang w:val="fr-FR"/>
        </w:rPr>
        <w:t xml:space="preserve"> </w:t>
      </w:r>
      <w:proofErr w:type="spellStart"/>
      <w:r w:rsidRPr="00F720A6">
        <w:rPr>
          <w:lang w:val="fr-FR"/>
        </w:rPr>
        <w:t>Skills</w:t>
      </w:r>
      <w:proofErr w:type="spellEnd"/>
      <w:r w:rsidRPr="00F720A6">
        <w:rPr>
          <w:lang w:val="fr-FR"/>
        </w:rPr>
        <w:t> » est mis en œuvre dans les écoles primaires, tandis que l</w:t>
      </w:r>
      <w:r w:rsidR="00254912">
        <w:rPr>
          <w:lang w:val="fr-FR"/>
        </w:rPr>
        <w:t>’</w:t>
      </w:r>
      <w:r w:rsidRPr="00F720A6">
        <w:rPr>
          <w:lang w:val="fr-FR"/>
        </w:rPr>
        <w:t>éducation par les pairs, qui vise à prévenir la toxicomanie, est conduite avec l</w:t>
      </w:r>
      <w:r w:rsidR="00254912">
        <w:rPr>
          <w:lang w:val="fr-FR"/>
        </w:rPr>
        <w:t>’</w:t>
      </w:r>
      <w:r w:rsidRPr="00F720A6">
        <w:rPr>
          <w:lang w:val="fr-FR"/>
        </w:rPr>
        <w:t>aide de la Croix-Rouge. En 2017, des</w:t>
      </w:r>
      <w:r w:rsidR="00BE2DC5">
        <w:rPr>
          <w:lang w:val="fr-FR"/>
        </w:rPr>
        <w:t> </w:t>
      </w:r>
      <w:r w:rsidRPr="00F720A6">
        <w:rPr>
          <w:lang w:val="fr-FR"/>
        </w:rPr>
        <w:t>réunions de travail et des formations ont réuni les personnels des écoles secondaires sur les thèmes des nouvelles substances psychotropes et de la violence contre les enfants dans les écoles.</w:t>
      </w:r>
    </w:p>
    <w:p w14:paraId="1A86EFC8" w14:textId="77777777" w:rsidR="003C48D6" w:rsidRPr="00F720A6" w:rsidRDefault="003C48D6" w:rsidP="00DE6702">
      <w:pPr>
        <w:pStyle w:val="SingleTxtG"/>
        <w:rPr>
          <w:lang w:val="fr-FR"/>
        </w:rPr>
      </w:pPr>
      <w:r w:rsidRPr="00F720A6">
        <w:rPr>
          <w:lang w:val="fr-FR"/>
        </w:rPr>
        <w:t>156.</w:t>
      </w:r>
      <w:r w:rsidRPr="00F720A6">
        <w:rPr>
          <w:lang w:val="fr-FR"/>
        </w:rPr>
        <w:tab/>
        <w:t>Avec le soutien de la ville de Skopje, l</w:t>
      </w:r>
      <w:r w:rsidR="00254912">
        <w:rPr>
          <w:lang w:val="fr-FR"/>
        </w:rPr>
        <w:t>’</w:t>
      </w:r>
      <w:r w:rsidRPr="00F720A6">
        <w:rPr>
          <w:lang w:val="fr-FR"/>
        </w:rPr>
        <w:t>ONG HOPS a élaboré, au centre de réadaptation de jour, un programme pour les enfants de toxicomanes dans le cadre duquel un conseiller, un psychologue et un travailleur social travaillent avec ces enfants selon leurs besoins.</w:t>
      </w:r>
    </w:p>
    <w:p w14:paraId="45A97B76" w14:textId="77777777" w:rsidR="003C48D6" w:rsidRPr="00F720A6" w:rsidRDefault="003C48D6" w:rsidP="00DE6702">
      <w:pPr>
        <w:pStyle w:val="SingleTxtG"/>
        <w:rPr>
          <w:lang w:val="fr-FR"/>
        </w:rPr>
      </w:pPr>
      <w:r w:rsidRPr="00F720A6">
        <w:rPr>
          <w:lang w:val="fr-FR"/>
        </w:rPr>
        <w:t>157.</w:t>
      </w:r>
      <w:r w:rsidRPr="00F720A6">
        <w:rPr>
          <w:lang w:val="fr-FR"/>
        </w:rPr>
        <w:tab/>
        <w:t>En outre, avec le soutien du Groupe Pompidou (du Conseil de l</w:t>
      </w:r>
      <w:r w:rsidR="00254912">
        <w:rPr>
          <w:lang w:val="fr-FR"/>
        </w:rPr>
        <w:t>’</w:t>
      </w:r>
      <w:r w:rsidRPr="00F720A6">
        <w:rPr>
          <w:lang w:val="fr-FR"/>
        </w:rPr>
        <w:t>Europe), ainsi que du Ministère de la santé, un outil en ligne d</w:t>
      </w:r>
      <w:r w:rsidR="00254912">
        <w:rPr>
          <w:lang w:val="fr-FR"/>
        </w:rPr>
        <w:t>’</w:t>
      </w:r>
      <w:r w:rsidRPr="00F720A6">
        <w:rPr>
          <w:lang w:val="fr-FR"/>
        </w:rPr>
        <w:t>auto-évaluation des risques liés à la consommation de drogue (</w:t>
      </w:r>
      <w:hyperlink r:id="rId9" w:history="1">
        <w:r w:rsidRPr="00BE2DC5">
          <w:rPr>
            <w:rStyle w:val="Lienhypertexte"/>
            <w:color w:val="auto"/>
            <w:lang w:val="fr-FR"/>
          </w:rPr>
          <w:t>www.dru</w:t>
        </w:r>
        <w:r w:rsidRPr="00BE2DC5">
          <w:rPr>
            <w:rStyle w:val="Lienhypertexte"/>
            <w:color w:val="auto"/>
            <w:lang w:val="fr-FR"/>
          </w:rPr>
          <w:t>g</w:t>
        </w:r>
        <w:r w:rsidRPr="00BE2DC5">
          <w:rPr>
            <w:rStyle w:val="Lienhypertexte"/>
            <w:color w:val="auto"/>
            <w:lang w:val="fr-FR"/>
          </w:rPr>
          <w:t>help.eu</w:t>
        </w:r>
      </w:hyperlink>
      <w:r w:rsidRPr="00F720A6">
        <w:rPr>
          <w:lang w:val="fr-FR"/>
        </w:rPr>
        <w:t>) a été développé pour informer les consommateurs de drogue des lieux vers lesquels ils peuvent se tourner dans le pays pour obtenir aide et soutien.</w:t>
      </w:r>
    </w:p>
    <w:p w14:paraId="11F2335D" w14:textId="77777777" w:rsidR="003C48D6" w:rsidRPr="00F720A6" w:rsidRDefault="003C48D6" w:rsidP="00DE6702">
      <w:pPr>
        <w:pStyle w:val="SingleTxtG"/>
        <w:rPr>
          <w:lang w:val="fr-FR"/>
        </w:rPr>
      </w:pPr>
      <w:r w:rsidRPr="00F720A6">
        <w:rPr>
          <w:lang w:val="fr-FR"/>
        </w:rPr>
        <w:t>158.</w:t>
      </w:r>
      <w:r w:rsidRPr="00F720A6">
        <w:rPr>
          <w:lang w:val="fr-FR"/>
        </w:rPr>
        <w:tab/>
        <w:t xml:space="preserve">En ce qui concerne la réadaptation, des travaux sont en cours pour adopter un protocole de traitement et de prise en charge des enfants toxicomanes qui est en fin de préparation, en attendant sa finalisation et son adoption ultérieure par le Gouvernement. </w:t>
      </w:r>
    </w:p>
    <w:p w14:paraId="13A933EE" w14:textId="77777777" w:rsidR="003C48D6" w:rsidRPr="00F720A6" w:rsidRDefault="003C48D6" w:rsidP="00DE6702">
      <w:pPr>
        <w:pStyle w:val="SingleTxtG"/>
        <w:rPr>
          <w:lang w:val="fr-FR"/>
        </w:rPr>
      </w:pPr>
      <w:r w:rsidRPr="00F720A6">
        <w:rPr>
          <w:lang w:val="fr-FR"/>
        </w:rPr>
        <w:t>159.</w:t>
      </w:r>
      <w:r w:rsidRPr="00F720A6">
        <w:rPr>
          <w:lang w:val="fr-FR"/>
        </w:rPr>
        <w:tab/>
        <w:t>S</w:t>
      </w:r>
      <w:r w:rsidR="00254912">
        <w:rPr>
          <w:lang w:val="fr-FR"/>
        </w:rPr>
        <w:t>’</w:t>
      </w:r>
      <w:r w:rsidRPr="00F720A6">
        <w:rPr>
          <w:lang w:val="fr-FR"/>
        </w:rPr>
        <w:t>agissant de la prévention de la consommation d</w:t>
      </w:r>
      <w:r w:rsidR="00254912">
        <w:rPr>
          <w:lang w:val="fr-FR"/>
        </w:rPr>
        <w:t>’</w:t>
      </w:r>
      <w:r w:rsidRPr="00F720A6">
        <w:rPr>
          <w:lang w:val="fr-FR"/>
        </w:rPr>
        <w:t>alcool, la loi sur le commerce prévoit l</w:t>
      </w:r>
      <w:r w:rsidR="00254912">
        <w:rPr>
          <w:lang w:val="fr-FR"/>
        </w:rPr>
        <w:t>’</w:t>
      </w:r>
      <w:r w:rsidRPr="00F720A6">
        <w:rPr>
          <w:lang w:val="fr-FR"/>
        </w:rPr>
        <w:t>interdiction de la vente d</w:t>
      </w:r>
      <w:r w:rsidR="00254912">
        <w:rPr>
          <w:lang w:val="fr-FR"/>
        </w:rPr>
        <w:t>’</w:t>
      </w:r>
      <w:r w:rsidRPr="00F720A6">
        <w:rPr>
          <w:lang w:val="fr-FR"/>
        </w:rPr>
        <w:t>alcool aux mineurs, ainsi que l</w:t>
      </w:r>
      <w:r w:rsidR="00254912">
        <w:rPr>
          <w:lang w:val="fr-FR"/>
        </w:rPr>
        <w:t>’</w:t>
      </w:r>
      <w:r w:rsidRPr="00F720A6">
        <w:rPr>
          <w:lang w:val="fr-FR"/>
        </w:rPr>
        <w:t>interdiction générale de la vente d</w:t>
      </w:r>
      <w:r w:rsidR="00254912">
        <w:rPr>
          <w:lang w:val="fr-FR"/>
        </w:rPr>
        <w:t>’</w:t>
      </w:r>
      <w:r w:rsidRPr="00F720A6">
        <w:rPr>
          <w:lang w:val="fr-FR"/>
        </w:rPr>
        <w:t xml:space="preserve">alcool entre 19 heures et 6 heures. Dans le cadre du Programme de santé publique, les centres de santé publique dispensent chaque année dans les écoles primaires et </w:t>
      </w:r>
      <w:r w:rsidRPr="00F720A6">
        <w:rPr>
          <w:lang w:val="fr-FR"/>
        </w:rPr>
        <w:lastRenderedPageBreak/>
        <w:t>secondaires un enseignement sur ces questions, notamment sur la prévention des maladies liées aux addictions.</w:t>
      </w:r>
    </w:p>
    <w:p w14:paraId="5D39ED54" w14:textId="77777777" w:rsidR="003C48D6" w:rsidRPr="00F720A6" w:rsidRDefault="003C48D6" w:rsidP="00DE6702">
      <w:pPr>
        <w:pStyle w:val="SingleTxtG"/>
        <w:rPr>
          <w:lang w:val="fr-FR"/>
        </w:rPr>
      </w:pPr>
      <w:r w:rsidRPr="00F720A6">
        <w:rPr>
          <w:lang w:val="fr-FR"/>
        </w:rPr>
        <w:t>160.</w:t>
      </w:r>
      <w:r w:rsidRPr="00F720A6">
        <w:rPr>
          <w:lang w:val="fr-FR"/>
        </w:rPr>
        <w:tab/>
        <w:t>Selon les données du Centre de contrôle et d</w:t>
      </w:r>
      <w:r w:rsidR="00254912">
        <w:rPr>
          <w:lang w:val="fr-FR"/>
        </w:rPr>
        <w:t>’</w:t>
      </w:r>
      <w:r w:rsidRPr="00F720A6">
        <w:rPr>
          <w:lang w:val="fr-FR"/>
        </w:rPr>
        <w:t>information antipoison, le nombre d</w:t>
      </w:r>
      <w:r w:rsidR="00254912">
        <w:rPr>
          <w:lang w:val="fr-FR"/>
        </w:rPr>
        <w:t>’</w:t>
      </w:r>
      <w:r w:rsidRPr="00F720A6">
        <w:rPr>
          <w:lang w:val="fr-FR"/>
        </w:rPr>
        <w:t xml:space="preserve">intoxications alcooliques chez les adolescents a légèrement diminué au cours des trois dernières années.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1052"/>
        <w:gridCol w:w="1053"/>
        <w:gridCol w:w="1053"/>
        <w:gridCol w:w="1053"/>
        <w:gridCol w:w="1053"/>
        <w:gridCol w:w="1053"/>
        <w:gridCol w:w="1053"/>
      </w:tblGrid>
      <w:tr w:rsidR="003C48D6" w:rsidRPr="00F079E8" w14:paraId="38B2C8B8" w14:textId="77777777" w:rsidTr="00BE2DC5">
        <w:trPr>
          <w:tblHeader/>
        </w:trPr>
        <w:tc>
          <w:tcPr>
            <w:tcW w:w="1052" w:type="dxa"/>
            <w:shd w:val="clear" w:color="auto" w:fill="auto"/>
            <w:vAlign w:val="bottom"/>
          </w:tcPr>
          <w:p w14:paraId="12528E61" w14:textId="77777777" w:rsidR="003C48D6" w:rsidRPr="00F079E8" w:rsidRDefault="003C48D6" w:rsidP="00BE2DC5">
            <w:pPr>
              <w:suppressAutoHyphens w:val="0"/>
              <w:spacing w:before="80" w:after="80" w:line="200" w:lineRule="exact"/>
              <w:jc w:val="right"/>
              <w:rPr>
                <w:i/>
                <w:sz w:val="16"/>
                <w:lang w:val="fr-FR"/>
              </w:rPr>
            </w:pPr>
            <w:r w:rsidRPr="00F079E8">
              <w:rPr>
                <w:i/>
                <w:sz w:val="16"/>
                <w:lang w:val="fr-FR"/>
              </w:rPr>
              <w:t>2011</w:t>
            </w:r>
          </w:p>
        </w:tc>
        <w:tc>
          <w:tcPr>
            <w:tcW w:w="1053" w:type="dxa"/>
            <w:shd w:val="clear" w:color="auto" w:fill="auto"/>
            <w:vAlign w:val="bottom"/>
          </w:tcPr>
          <w:p w14:paraId="042CD112"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2012</w:t>
            </w:r>
          </w:p>
        </w:tc>
        <w:tc>
          <w:tcPr>
            <w:tcW w:w="1053" w:type="dxa"/>
            <w:shd w:val="clear" w:color="auto" w:fill="auto"/>
            <w:vAlign w:val="bottom"/>
          </w:tcPr>
          <w:p w14:paraId="465D4AFF"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2013</w:t>
            </w:r>
          </w:p>
        </w:tc>
        <w:tc>
          <w:tcPr>
            <w:tcW w:w="1053" w:type="dxa"/>
            <w:shd w:val="clear" w:color="auto" w:fill="auto"/>
            <w:vAlign w:val="bottom"/>
          </w:tcPr>
          <w:p w14:paraId="0412FFF8"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2014</w:t>
            </w:r>
          </w:p>
        </w:tc>
        <w:tc>
          <w:tcPr>
            <w:tcW w:w="1053" w:type="dxa"/>
            <w:shd w:val="clear" w:color="auto" w:fill="auto"/>
            <w:vAlign w:val="bottom"/>
          </w:tcPr>
          <w:p w14:paraId="67F26CB6"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2015</w:t>
            </w:r>
          </w:p>
        </w:tc>
        <w:tc>
          <w:tcPr>
            <w:tcW w:w="1053" w:type="dxa"/>
            <w:shd w:val="clear" w:color="auto" w:fill="auto"/>
            <w:vAlign w:val="bottom"/>
          </w:tcPr>
          <w:p w14:paraId="5A4174FB"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2016</w:t>
            </w:r>
          </w:p>
        </w:tc>
        <w:tc>
          <w:tcPr>
            <w:tcW w:w="1053" w:type="dxa"/>
            <w:shd w:val="clear" w:color="auto" w:fill="auto"/>
            <w:vAlign w:val="bottom"/>
          </w:tcPr>
          <w:p w14:paraId="1C31AC7C"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2017</w:t>
            </w:r>
          </w:p>
        </w:tc>
      </w:tr>
      <w:tr w:rsidR="003C48D6" w:rsidRPr="00F079E8" w14:paraId="4D31B160" w14:textId="77777777" w:rsidTr="00BE2DC5">
        <w:tc>
          <w:tcPr>
            <w:tcW w:w="1052" w:type="dxa"/>
            <w:shd w:val="clear" w:color="auto" w:fill="auto"/>
          </w:tcPr>
          <w:p w14:paraId="3DCB131C" w14:textId="77777777" w:rsidR="003C48D6" w:rsidRPr="00F079E8" w:rsidRDefault="003C48D6" w:rsidP="00BE2DC5">
            <w:pPr>
              <w:suppressAutoHyphens w:val="0"/>
              <w:spacing w:before="40" w:after="40" w:line="220" w:lineRule="exact"/>
              <w:jc w:val="right"/>
              <w:rPr>
                <w:sz w:val="18"/>
                <w:szCs w:val="18"/>
                <w:lang w:val="fr-FR"/>
              </w:rPr>
            </w:pPr>
            <w:r w:rsidRPr="00F079E8">
              <w:rPr>
                <w:sz w:val="18"/>
                <w:szCs w:val="18"/>
                <w:lang w:val="fr-FR"/>
              </w:rPr>
              <w:t>65</w:t>
            </w:r>
          </w:p>
        </w:tc>
        <w:tc>
          <w:tcPr>
            <w:tcW w:w="1053" w:type="dxa"/>
            <w:shd w:val="clear" w:color="auto" w:fill="auto"/>
            <w:vAlign w:val="bottom"/>
          </w:tcPr>
          <w:p w14:paraId="32A8F1F7"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73</w:t>
            </w:r>
          </w:p>
        </w:tc>
        <w:tc>
          <w:tcPr>
            <w:tcW w:w="1053" w:type="dxa"/>
            <w:shd w:val="clear" w:color="auto" w:fill="auto"/>
            <w:vAlign w:val="bottom"/>
          </w:tcPr>
          <w:p w14:paraId="16574D93"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70</w:t>
            </w:r>
          </w:p>
        </w:tc>
        <w:tc>
          <w:tcPr>
            <w:tcW w:w="1053" w:type="dxa"/>
            <w:shd w:val="clear" w:color="auto" w:fill="auto"/>
            <w:vAlign w:val="bottom"/>
          </w:tcPr>
          <w:p w14:paraId="2E47C6C3"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97</w:t>
            </w:r>
          </w:p>
        </w:tc>
        <w:tc>
          <w:tcPr>
            <w:tcW w:w="1053" w:type="dxa"/>
            <w:shd w:val="clear" w:color="auto" w:fill="auto"/>
            <w:vAlign w:val="bottom"/>
          </w:tcPr>
          <w:p w14:paraId="12A0EFD3"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48</w:t>
            </w:r>
          </w:p>
        </w:tc>
        <w:tc>
          <w:tcPr>
            <w:tcW w:w="1053" w:type="dxa"/>
            <w:shd w:val="clear" w:color="auto" w:fill="auto"/>
            <w:vAlign w:val="bottom"/>
          </w:tcPr>
          <w:p w14:paraId="431D21FB"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39</w:t>
            </w:r>
          </w:p>
        </w:tc>
        <w:tc>
          <w:tcPr>
            <w:tcW w:w="1053" w:type="dxa"/>
            <w:shd w:val="clear" w:color="auto" w:fill="auto"/>
            <w:vAlign w:val="bottom"/>
          </w:tcPr>
          <w:p w14:paraId="4FAD7A17"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51</w:t>
            </w:r>
          </w:p>
        </w:tc>
      </w:tr>
    </w:tbl>
    <w:p w14:paraId="066E94BB" w14:textId="77777777" w:rsidR="003C48D6" w:rsidRPr="00F720A6" w:rsidRDefault="003C48D6" w:rsidP="00BE2DC5">
      <w:pPr>
        <w:pStyle w:val="SingleTxtG"/>
        <w:spacing w:before="240"/>
        <w:rPr>
          <w:lang w:val="fr-FR"/>
        </w:rPr>
      </w:pPr>
      <w:r w:rsidRPr="00F720A6">
        <w:rPr>
          <w:lang w:val="fr-FR"/>
        </w:rPr>
        <w:t>161.</w:t>
      </w:r>
      <w:r w:rsidRPr="00F720A6">
        <w:rPr>
          <w:lang w:val="fr-FR"/>
        </w:rPr>
        <w:tab/>
        <w:t>Une Stratégie sur la prévention et le contrôle des conséquences graves de la consommation et de l</w:t>
      </w:r>
      <w:r w:rsidR="00254912">
        <w:rPr>
          <w:lang w:val="fr-FR"/>
        </w:rPr>
        <w:t>’</w:t>
      </w:r>
      <w:r w:rsidRPr="00F720A6">
        <w:rPr>
          <w:lang w:val="fr-FR"/>
        </w:rPr>
        <w:t>abus d</w:t>
      </w:r>
      <w:r w:rsidR="00254912">
        <w:rPr>
          <w:lang w:val="fr-FR"/>
        </w:rPr>
        <w:t>’</w:t>
      </w:r>
      <w:r w:rsidRPr="00F720A6">
        <w:rPr>
          <w:lang w:val="fr-FR"/>
        </w:rPr>
        <w:t>alcool sur la santé des personnes a été élaborée, ainsi que le plan d</w:t>
      </w:r>
      <w:r w:rsidR="00254912">
        <w:rPr>
          <w:lang w:val="fr-FR"/>
        </w:rPr>
        <w:t>’</w:t>
      </w:r>
      <w:r w:rsidRPr="00F720A6">
        <w:rPr>
          <w:lang w:val="fr-FR"/>
        </w:rPr>
        <w:t>action correspondant pour la période s</w:t>
      </w:r>
      <w:r w:rsidR="00254912">
        <w:rPr>
          <w:lang w:val="fr-FR"/>
        </w:rPr>
        <w:t>’</w:t>
      </w:r>
      <w:r w:rsidRPr="00F720A6">
        <w:rPr>
          <w:lang w:val="fr-FR"/>
        </w:rPr>
        <w:t>achevant en 2027 ; elle propose une série de mesures visant à prévenir la consommation d</w:t>
      </w:r>
      <w:r w:rsidR="00254912">
        <w:rPr>
          <w:lang w:val="fr-FR"/>
        </w:rPr>
        <w:t>’</w:t>
      </w:r>
      <w:r w:rsidRPr="00F720A6">
        <w:rPr>
          <w:lang w:val="fr-FR"/>
        </w:rPr>
        <w:t>alcool chez les mineurs.</w:t>
      </w:r>
    </w:p>
    <w:p w14:paraId="5B4C9024" w14:textId="77777777" w:rsidR="003C48D6" w:rsidRPr="00F720A6" w:rsidRDefault="003C48D6" w:rsidP="00F079E8">
      <w:pPr>
        <w:pStyle w:val="SingleTxtG"/>
        <w:rPr>
          <w:lang w:val="fr-FR"/>
        </w:rPr>
      </w:pPr>
      <w:r w:rsidRPr="00F720A6">
        <w:rPr>
          <w:lang w:val="fr-FR"/>
        </w:rPr>
        <w:t>162.</w:t>
      </w:r>
      <w:r w:rsidRPr="00F720A6">
        <w:rPr>
          <w:lang w:val="fr-FR"/>
        </w:rPr>
        <w:tab/>
        <w:t>L</w:t>
      </w:r>
      <w:r w:rsidR="00254912">
        <w:rPr>
          <w:lang w:val="fr-FR"/>
        </w:rPr>
        <w:t>’</w:t>
      </w:r>
      <w:r w:rsidRPr="00F720A6">
        <w:rPr>
          <w:lang w:val="fr-FR"/>
        </w:rPr>
        <w:t>enquête européenne sur l</w:t>
      </w:r>
      <w:r w:rsidR="00254912">
        <w:rPr>
          <w:lang w:val="fr-FR"/>
        </w:rPr>
        <w:t>’</w:t>
      </w:r>
      <w:r w:rsidRPr="00F720A6">
        <w:rPr>
          <w:lang w:val="fr-FR"/>
        </w:rPr>
        <w:t>alcool et les autres drogues (ESPAD) en milieu scolaire, qui s</w:t>
      </w:r>
      <w:r w:rsidR="00254912">
        <w:rPr>
          <w:lang w:val="fr-FR"/>
        </w:rPr>
        <w:t>’</w:t>
      </w:r>
      <w:r w:rsidRPr="00F720A6">
        <w:rPr>
          <w:lang w:val="fr-FR"/>
        </w:rPr>
        <w:t>est déroulée en 2015 auprès de 2 430 élèves âgés de 15</w:t>
      </w:r>
      <w:r w:rsidR="007074B0">
        <w:rPr>
          <w:lang w:val="fr-FR"/>
        </w:rPr>
        <w:t xml:space="preserve"> et </w:t>
      </w:r>
      <w:r w:rsidRPr="00F720A6">
        <w:rPr>
          <w:lang w:val="fr-FR"/>
        </w:rPr>
        <w:t>16 ans, a montré que 5 % d</w:t>
      </w:r>
      <w:r w:rsidR="00254912">
        <w:rPr>
          <w:lang w:val="fr-FR"/>
        </w:rPr>
        <w:t>’</w:t>
      </w:r>
      <w:r w:rsidRPr="00F720A6">
        <w:rPr>
          <w:lang w:val="fr-FR"/>
        </w:rPr>
        <w:t>entre eux avaient déjà consommé de la marijuana, la plupart l</w:t>
      </w:r>
      <w:r w:rsidR="00254912">
        <w:rPr>
          <w:lang w:val="fr-FR"/>
        </w:rPr>
        <w:t>’</w:t>
      </w:r>
      <w:r w:rsidRPr="00F720A6">
        <w:rPr>
          <w:lang w:val="fr-FR"/>
        </w:rPr>
        <w:t>ayant essayée une à deux fois, et 2,1 % avaient déjà consommé de l</w:t>
      </w:r>
      <w:r w:rsidR="00254912">
        <w:rPr>
          <w:lang w:val="fr-FR"/>
        </w:rPr>
        <w:t>’</w:t>
      </w:r>
      <w:r w:rsidRPr="00F720A6">
        <w:rPr>
          <w:lang w:val="fr-FR"/>
        </w:rPr>
        <w:t>ecstasy, dont 1,1 % en avaient consommé une à deux fois. Au total, 1,9 % des élèves avaient consommé des drogues inhalées.</w:t>
      </w:r>
    </w:p>
    <w:p w14:paraId="2342967D" w14:textId="77777777" w:rsidR="003C48D6" w:rsidRPr="00F720A6" w:rsidRDefault="003C48D6" w:rsidP="00F079E8">
      <w:pPr>
        <w:pStyle w:val="SingleTxtG"/>
        <w:rPr>
          <w:lang w:val="fr-FR"/>
        </w:rPr>
      </w:pPr>
      <w:r w:rsidRPr="00F720A6">
        <w:rPr>
          <w:lang w:val="fr-FR"/>
        </w:rPr>
        <w:t>163.</w:t>
      </w:r>
      <w:r w:rsidRPr="00F720A6">
        <w:rPr>
          <w:lang w:val="fr-FR"/>
        </w:rPr>
        <w:tab/>
        <w:t>Le nombre de personnes ayant déjà consommé d</w:t>
      </w:r>
      <w:r w:rsidR="00254912">
        <w:rPr>
          <w:lang w:val="fr-FR"/>
        </w:rPr>
        <w:t>’</w:t>
      </w:r>
      <w:r w:rsidRPr="00F720A6">
        <w:rPr>
          <w:lang w:val="fr-FR"/>
        </w:rPr>
        <w:t>autres types de drogues variait de 0,6</w:t>
      </w:r>
      <w:r w:rsidR="007074B0">
        <w:rPr>
          <w:lang w:val="fr-FR"/>
        </w:rPr>
        <w:t> </w:t>
      </w:r>
      <w:r w:rsidRPr="00F720A6">
        <w:rPr>
          <w:lang w:val="fr-FR"/>
        </w:rPr>
        <w:t xml:space="preserve">% pour les champignons </w:t>
      </w:r>
      <w:r w:rsidR="007074B0">
        <w:rPr>
          <w:lang w:val="fr-FR"/>
        </w:rPr>
        <w:t>hallucinogènes</w:t>
      </w:r>
      <w:r w:rsidRPr="00F720A6">
        <w:rPr>
          <w:lang w:val="fr-FR"/>
        </w:rPr>
        <w:t xml:space="preserve"> et les stéroïdes anabolisants à 0,9</w:t>
      </w:r>
      <w:r w:rsidR="007074B0">
        <w:rPr>
          <w:lang w:val="fr-FR"/>
        </w:rPr>
        <w:t> </w:t>
      </w:r>
      <w:r w:rsidRPr="00F720A6">
        <w:rPr>
          <w:lang w:val="fr-FR"/>
        </w:rPr>
        <w:t>% pour le LSD et pour l</w:t>
      </w:r>
      <w:r w:rsidR="00254912">
        <w:rPr>
          <w:lang w:val="fr-FR"/>
        </w:rPr>
        <w:t>’</w:t>
      </w:r>
      <w:r w:rsidRPr="00F720A6">
        <w:rPr>
          <w:lang w:val="fr-FR"/>
        </w:rPr>
        <w:t>héroïne. Par rapport aux études précédentes, la consommation d</w:t>
      </w:r>
      <w:r w:rsidR="00254912">
        <w:rPr>
          <w:lang w:val="fr-FR"/>
        </w:rPr>
        <w:t>’</w:t>
      </w:r>
      <w:r w:rsidRPr="00F720A6">
        <w:rPr>
          <w:lang w:val="fr-FR"/>
        </w:rPr>
        <w:t>héroïne, de LSD et de stéroïdes anabolisants restait stable. Des pourcentages croissants ont été observés entre 2008 et 2015 s</w:t>
      </w:r>
      <w:r w:rsidR="00254912">
        <w:rPr>
          <w:lang w:val="fr-FR"/>
        </w:rPr>
        <w:t>’</w:t>
      </w:r>
      <w:r w:rsidRPr="00F720A6">
        <w:rPr>
          <w:lang w:val="fr-FR"/>
        </w:rPr>
        <w:t xml:space="preserve">agissant de la consommation de cocaïne (de 0,9 % en 2008 à 1,5 % en 2015), tandis que le nombre de personnes déclarant avoir consommé des champignons </w:t>
      </w:r>
      <w:r w:rsidR="007074B0">
        <w:rPr>
          <w:lang w:val="fr-FR"/>
        </w:rPr>
        <w:t>hallucinogènes</w:t>
      </w:r>
      <w:r w:rsidRPr="00F720A6">
        <w:rPr>
          <w:lang w:val="fr-FR"/>
        </w:rPr>
        <w:t xml:space="preserve"> avait diminué (de 1,2 % en 2008 à 0,6 % en 2015). Les résultats indiquent une stagnation de la consommation de la plupart des drogues illicites, avec néanmoins une légère augmentation concernant la marijuana, la cocaïne et l</w:t>
      </w:r>
      <w:r w:rsidR="00254912">
        <w:rPr>
          <w:lang w:val="fr-FR"/>
        </w:rPr>
        <w:t>’</w:t>
      </w:r>
      <w:r w:rsidRPr="00F720A6">
        <w:rPr>
          <w:lang w:val="fr-FR"/>
        </w:rPr>
        <w:t>ecstasy. De nouvelles substances apparues sur le marché comptent pour 3,7 %. L</w:t>
      </w:r>
      <w:r w:rsidR="00254912">
        <w:rPr>
          <w:lang w:val="fr-FR"/>
        </w:rPr>
        <w:t>’</w:t>
      </w:r>
      <w:r w:rsidRPr="00F720A6">
        <w:rPr>
          <w:lang w:val="fr-FR"/>
        </w:rPr>
        <w:t>utilisation de sédatifs (sans prescription médicale) s</w:t>
      </w:r>
      <w:r w:rsidR="00254912">
        <w:rPr>
          <w:lang w:val="fr-FR"/>
        </w:rPr>
        <w:t>’</w:t>
      </w:r>
      <w:r w:rsidRPr="00F720A6">
        <w:rPr>
          <w:lang w:val="fr-FR"/>
        </w:rPr>
        <w:t>élève à 11 % et est particulièrement répandue dans la population féminine ; elle</w:t>
      </w:r>
      <w:r w:rsidR="007074B0">
        <w:rPr>
          <w:lang w:val="fr-FR"/>
        </w:rPr>
        <w:t> </w:t>
      </w:r>
      <w:r w:rsidRPr="00F720A6">
        <w:rPr>
          <w:lang w:val="fr-FR"/>
        </w:rPr>
        <w:t>progresse par rapport aux périodes précédentes, tandis que l</w:t>
      </w:r>
      <w:r w:rsidR="00254912">
        <w:rPr>
          <w:lang w:val="fr-FR"/>
        </w:rPr>
        <w:t>’</w:t>
      </w:r>
      <w:r w:rsidRPr="00F720A6">
        <w:rPr>
          <w:lang w:val="fr-FR"/>
        </w:rPr>
        <w:t>utilisation de boissons énergétiques est de plus en plus courante.</w:t>
      </w:r>
    </w:p>
    <w:p w14:paraId="4C93F1FB" w14:textId="77777777" w:rsidR="003C48D6" w:rsidRPr="00F720A6" w:rsidRDefault="003C48D6" w:rsidP="00F079E8">
      <w:pPr>
        <w:pStyle w:val="H1G"/>
        <w:rPr>
          <w:lang w:val="fr-FR"/>
        </w:rPr>
      </w:pPr>
      <w:r w:rsidRPr="00F720A6">
        <w:rPr>
          <w:lang w:val="fr-FR"/>
        </w:rPr>
        <w:tab/>
        <w:t>8.</w:t>
      </w:r>
      <w:r w:rsidRPr="00F720A6">
        <w:rPr>
          <w:lang w:val="fr-FR"/>
        </w:rPr>
        <w:tab/>
        <w:t>Éducation, loisirs et activités culturelles (art. 28 à 31)</w:t>
      </w:r>
      <w:bookmarkStart w:id="63" w:name="_Toc56781464"/>
      <w:bookmarkEnd w:id="63"/>
    </w:p>
    <w:p w14:paraId="62B70957" w14:textId="77777777" w:rsidR="003C48D6" w:rsidRPr="00F720A6" w:rsidRDefault="003C48D6" w:rsidP="00F079E8">
      <w:pPr>
        <w:pStyle w:val="H23G"/>
        <w:rPr>
          <w:lang w:val="fr-FR"/>
        </w:rPr>
      </w:pPr>
      <w:r w:rsidRPr="00F720A6">
        <w:rPr>
          <w:lang w:val="fr-FR"/>
        </w:rPr>
        <w:tab/>
        <w:t>a)</w:t>
      </w:r>
      <w:r w:rsidRPr="00F720A6">
        <w:rPr>
          <w:lang w:val="fr-FR"/>
        </w:rPr>
        <w:tab/>
        <w:t>Le droit à l</w:t>
      </w:r>
      <w:r w:rsidR="00254912">
        <w:rPr>
          <w:lang w:val="fr-FR"/>
        </w:rPr>
        <w:t>’</w:t>
      </w:r>
      <w:r w:rsidRPr="00F720A6">
        <w:rPr>
          <w:lang w:val="fr-FR"/>
        </w:rPr>
        <w:t>éducation pour tous dans des conditions d</w:t>
      </w:r>
      <w:r w:rsidR="00254912">
        <w:rPr>
          <w:lang w:val="fr-FR"/>
        </w:rPr>
        <w:t>’</w:t>
      </w:r>
      <w:r w:rsidRPr="00F720A6">
        <w:rPr>
          <w:lang w:val="fr-FR"/>
        </w:rPr>
        <w:t xml:space="preserve">égalité est garanti </w:t>
      </w:r>
      <w:r w:rsidR="007074B0">
        <w:rPr>
          <w:lang w:val="fr-FR"/>
        </w:rPr>
        <w:br/>
      </w:r>
      <w:r w:rsidRPr="00F720A6">
        <w:rPr>
          <w:lang w:val="fr-FR"/>
        </w:rPr>
        <w:t>par la Constitution. L</w:t>
      </w:r>
      <w:r w:rsidR="00254912">
        <w:rPr>
          <w:lang w:val="fr-FR"/>
        </w:rPr>
        <w:t>’</w:t>
      </w:r>
      <w:r w:rsidRPr="00F720A6">
        <w:rPr>
          <w:lang w:val="fr-FR"/>
        </w:rPr>
        <w:t>enseignement primaire est obligatoire et gratuit pour tous. L</w:t>
      </w:r>
      <w:r w:rsidR="00254912">
        <w:rPr>
          <w:lang w:val="fr-FR"/>
        </w:rPr>
        <w:t>’</w:t>
      </w:r>
      <w:r w:rsidRPr="00F720A6">
        <w:rPr>
          <w:lang w:val="fr-FR"/>
        </w:rPr>
        <w:t xml:space="preserve">enseignement secondaire est également obligatoire pour tous les citoyens. </w:t>
      </w:r>
      <w:r w:rsidR="007074B0">
        <w:rPr>
          <w:lang w:val="fr-FR"/>
        </w:rPr>
        <w:br/>
      </w:r>
      <w:r w:rsidRPr="00F720A6">
        <w:rPr>
          <w:lang w:val="fr-FR"/>
        </w:rPr>
        <w:t>Il se déroule dans le cadre de plans pour l</w:t>
      </w:r>
      <w:r w:rsidR="00254912">
        <w:rPr>
          <w:lang w:val="fr-FR"/>
        </w:rPr>
        <w:t>’</w:t>
      </w:r>
      <w:r w:rsidRPr="00F720A6">
        <w:rPr>
          <w:lang w:val="fr-FR"/>
        </w:rPr>
        <w:t>enseignement secondaire général et</w:t>
      </w:r>
      <w:r w:rsidR="007074B0">
        <w:rPr>
          <w:lang w:val="fr-FR"/>
        </w:rPr>
        <w:t> </w:t>
      </w:r>
      <w:r w:rsidRPr="00F720A6">
        <w:rPr>
          <w:lang w:val="fr-FR"/>
        </w:rPr>
        <w:t>professionnel, ainsi qu</w:t>
      </w:r>
      <w:r w:rsidR="00254912">
        <w:rPr>
          <w:lang w:val="fr-FR"/>
        </w:rPr>
        <w:t>’</w:t>
      </w:r>
      <w:r w:rsidRPr="00F720A6">
        <w:rPr>
          <w:lang w:val="fr-FR"/>
        </w:rPr>
        <w:t>au travers de programmes d</w:t>
      </w:r>
      <w:r w:rsidR="00254912">
        <w:rPr>
          <w:lang w:val="fr-FR"/>
        </w:rPr>
        <w:t>’</w:t>
      </w:r>
      <w:r w:rsidRPr="00F720A6">
        <w:rPr>
          <w:lang w:val="fr-FR"/>
        </w:rPr>
        <w:t>enseignement secondaire spéciaux pour certaines catégories d</w:t>
      </w:r>
      <w:r w:rsidR="00254912">
        <w:rPr>
          <w:lang w:val="fr-FR"/>
        </w:rPr>
        <w:t>’</w:t>
      </w:r>
      <w:r w:rsidRPr="00F720A6">
        <w:rPr>
          <w:lang w:val="fr-FR"/>
        </w:rPr>
        <w:t>élèves.</w:t>
      </w:r>
      <w:bookmarkStart w:id="64" w:name="_Toc56781465"/>
      <w:bookmarkEnd w:id="64"/>
    </w:p>
    <w:p w14:paraId="22EE42AC" w14:textId="77777777" w:rsidR="003C48D6" w:rsidRPr="00F720A6" w:rsidRDefault="003C48D6" w:rsidP="00F079E8">
      <w:pPr>
        <w:pStyle w:val="SingleTxtG"/>
        <w:rPr>
          <w:lang w:val="fr-FR"/>
        </w:rPr>
      </w:pPr>
      <w:r w:rsidRPr="00F720A6">
        <w:rPr>
          <w:lang w:val="fr-FR"/>
        </w:rPr>
        <w:t>164.</w:t>
      </w:r>
      <w:r w:rsidRPr="00F720A6">
        <w:rPr>
          <w:lang w:val="fr-FR"/>
        </w:rPr>
        <w:tab/>
        <w:t>L</w:t>
      </w:r>
      <w:r w:rsidR="00254912">
        <w:rPr>
          <w:lang w:val="fr-FR"/>
        </w:rPr>
        <w:t>’</w:t>
      </w:r>
      <w:r w:rsidRPr="00F720A6">
        <w:rPr>
          <w:lang w:val="fr-FR"/>
        </w:rPr>
        <w:t>enseignement est gratuit dans les écoles secondaires publiques ; les élèves ont le droit d</w:t>
      </w:r>
      <w:r w:rsidR="00254912">
        <w:rPr>
          <w:lang w:val="fr-FR"/>
        </w:rPr>
        <w:t>’</w:t>
      </w:r>
      <w:r w:rsidRPr="00F720A6">
        <w:rPr>
          <w:lang w:val="fr-FR"/>
        </w:rPr>
        <w:t>être transportés gratuitement s</w:t>
      </w:r>
      <w:r w:rsidR="00254912">
        <w:rPr>
          <w:lang w:val="fr-FR"/>
        </w:rPr>
        <w:t>’</w:t>
      </w:r>
      <w:r w:rsidRPr="00F720A6">
        <w:rPr>
          <w:lang w:val="fr-FR"/>
        </w:rPr>
        <w:t>ils habitent ou résident à plus de 2,5 km de l</w:t>
      </w:r>
      <w:r w:rsidR="00254912">
        <w:rPr>
          <w:lang w:val="fr-FR"/>
        </w:rPr>
        <w:t>’</w:t>
      </w:r>
      <w:r w:rsidRPr="00F720A6">
        <w:rPr>
          <w:lang w:val="fr-FR"/>
        </w:rPr>
        <w:t>établissement d</w:t>
      </w:r>
      <w:r w:rsidR="00254912">
        <w:rPr>
          <w:lang w:val="fr-FR"/>
        </w:rPr>
        <w:t>’</w:t>
      </w:r>
      <w:r w:rsidRPr="00F720A6">
        <w:rPr>
          <w:lang w:val="fr-FR"/>
        </w:rPr>
        <w:t>enseignement secondaire qu</w:t>
      </w:r>
      <w:r w:rsidR="00254912">
        <w:rPr>
          <w:lang w:val="fr-FR"/>
        </w:rPr>
        <w:t>’</w:t>
      </w:r>
      <w:r w:rsidRPr="00F720A6">
        <w:rPr>
          <w:lang w:val="fr-FR"/>
        </w:rPr>
        <w:t>ils fréquentent.</w:t>
      </w:r>
    </w:p>
    <w:p w14:paraId="298081D3" w14:textId="77777777" w:rsidR="003C48D6" w:rsidRPr="00F720A6" w:rsidRDefault="003C48D6" w:rsidP="00F079E8">
      <w:pPr>
        <w:pStyle w:val="SingleTxtG"/>
        <w:rPr>
          <w:lang w:val="fr-FR"/>
        </w:rPr>
      </w:pPr>
      <w:r w:rsidRPr="00F720A6">
        <w:rPr>
          <w:lang w:val="fr-FR"/>
        </w:rPr>
        <w:t>165.</w:t>
      </w:r>
      <w:r w:rsidRPr="00F720A6">
        <w:rPr>
          <w:lang w:val="fr-FR"/>
        </w:rPr>
        <w:tab/>
        <w:t>En ce qui concerne l</w:t>
      </w:r>
      <w:r w:rsidR="00254912">
        <w:rPr>
          <w:lang w:val="fr-FR"/>
        </w:rPr>
        <w:t>’</w:t>
      </w:r>
      <w:r w:rsidRPr="00F720A6">
        <w:rPr>
          <w:lang w:val="fr-FR"/>
        </w:rPr>
        <w:t>enseignement supérieur, les ressortissants du pays comme les ressortissants étrangers, indépendamment de l</w:t>
      </w:r>
      <w:r w:rsidR="00254912">
        <w:rPr>
          <w:lang w:val="fr-FR"/>
        </w:rPr>
        <w:t>’</w:t>
      </w:r>
      <w:r w:rsidRPr="00F720A6">
        <w:rPr>
          <w:lang w:val="fr-FR"/>
        </w:rPr>
        <w:t>application ou non du principe de mutualité, ainsi que les apatrides, ont tous droit à l</w:t>
      </w:r>
      <w:r w:rsidR="00254912">
        <w:rPr>
          <w:lang w:val="fr-FR"/>
        </w:rPr>
        <w:t>’</w:t>
      </w:r>
      <w:r w:rsidRPr="00F720A6">
        <w:rPr>
          <w:lang w:val="fr-FR"/>
        </w:rPr>
        <w:t>enseignement supérieur dans des conditions égales. Les conditions et les modalités d</w:t>
      </w:r>
      <w:r w:rsidR="00254912">
        <w:rPr>
          <w:lang w:val="fr-FR"/>
        </w:rPr>
        <w:t>’</w:t>
      </w:r>
      <w:r w:rsidRPr="00F720A6">
        <w:rPr>
          <w:lang w:val="fr-FR"/>
        </w:rPr>
        <w:t>inscription aux programmes d</w:t>
      </w:r>
      <w:r w:rsidR="00254912">
        <w:rPr>
          <w:lang w:val="fr-FR"/>
        </w:rPr>
        <w:t>’</w:t>
      </w:r>
      <w:r w:rsidRPr="00F720A6">
        <w:rPr>
          <w:lang w:val="fr-FR"/>
        </w:rPr>
        <w:t>études sont régies en détail par l</w:t>
      </w:r>
      <w:r w:rsidR="00254912">
        <w:rPr>
          <w:lang w:val="fr-FR"/>
        </w:rPr>
        <w:t>’</w:t>
      </w:r>
      <w:r w:rsidRPr="00F720A6">
        <w:rPr>
          <w:lang w:val="fr-FR"/>
        </w:rPr>
        <w:t>article 149 de la loi sur l</w:t>
      </w:r>
      <w:r w:rsidR="00254912">
        <w:rPr>
          <w:lang w:val="fr-FR"/>
        </w:rPr>
        <w:t>’</w:t>
      </w:r>
      <w:r w:rsidRPr="00F720A6">
        <w:rPr>
          <w:lang w:val="fr-FR"/>
        </w:rPr>
        <w:t>enseignement supérieur.</w:t>
      </w:r>
    </w:p>
    <w:p w14:paraId="42013E1D" w14:textId="77777777" w:rsidR="003C48D6" w:rsidRPr="00F720A6" w:rsidRDefault="003C48D6" w:rsidP="00F079E8">
      <w:pPr>
        <w:pStyle w:val="SingleTxtG"/>
        <w:rPr>
          <w:lang w:val="fr-FR"/>
        </w:rPr>
      </w:pPr>
      <w:r w:rsidRPr="00F720A6">
        <w:rPr>
          <w:lang w:val="fr-FR"/>
        </w:rPr>
        <w:t>166.</w:t>
      </w:r>
      <w:r w:rsidRPr="00F720A6">
        <w:rPr>
          <w:lang w:val="fr-FR"/>
        </w:rPr>
        <w:tab/>
        <w:t>Afin de fournir des informations sur les qualifications éducatives et professionnelles et les services d</w:t>
      </w:r>
      <w:r w:rsidR="00254912">
        <w:rPr>
          <w:lang w:val="fr-FR"/>
        </w:rPr>
        <w:t>’</w:t>
      </w:r>
      <w:r w:rsidRPr="00F720A6">
        <w:rPr>
          <w:lang w:val="fr-FR"/>
        </w:rPr>
        <w:t>orientation professionnelle, des centres des métiers ont été ouverts dans 52 écoles secondaires pour conseiller les élèves.</w:t>
      </w:r>
    </w:p>
    <w:p w14:paraId="44B8BCCC" w14:textId="77777777" w:rsidR="003C48D6" w:rsidRPr="00F720A6" w:rsidRDefault="003C48D6" w:rsidP="00F079E8">
      <w:pPr>
        <w:pStyle w:val="SingleTxtG"/>
        <w:rPr>
          <w:lang w:val="fr-FR"/>
        </w:rPr>
      </w:pPr>
      <w:r w:rsidRPr="00F720A6">
        <w:rPr>
          <w:lang w:val="fr-FR"/>
        </w:rPr>
        <w:t>167.</w:t>
      </w:r>
      <w:r w:rsidRPr="00F720A6">
        <w:rPr>
          <w:lang w:val="fr-FR"/>
        </w:rPr>
        <w:tab/>
        <w:t>Des mesures ont été envisagées pour stimuler les inscriptions dans l</w:t>
      </w:r>
      <w:r w:rsidR="00254912">
        <w:rPr>
          <w:lang w:val="fr-FR"/>
        </w:rPr>
        <w:t>’</w:t>
      </w:r>
      <w:r w:rsidRPr="00F720A6">
        <w:rPr>
          <w:lang w:val="fr-FR"/>
        </w:rPr>
        <w:t>enseignement secondaire obligatoire, ainsi que pour sanctionner le non-respect de la loi.</w:t>
      </w:r>
    </w:p>
    <w:p w14:paraId="7E2FA4EA" w14:textId="77777777" w:rsidR="003C48D6" w:rsidRPr="00F720A6" w:rsidRDefault="003C48D6" w:rsidP="00F079E8">
      <w:pPr>
        <w:pStyle w:val="SingleTxtG"/>
        <w:rPr>
          <w:lang w:val="fr-FR"/>
        </w:rPr>
      </w:pPr>
      <w:r w:rsidRPr="00F720A6">
        <w:rPr>
          <w:lang w:val="fr-FR"/>
        </w:rPr>
        <w:lastRenderedPageBreak/>
        <w:t>168.</w:t>
      </w:r>
      <w:r w:rsidRPr="00F720A6">
        <w:rPr>
          <w:lang w:val="fr-FR"/>
        </w:rPr>
        <w:tab/>
        <w:t>Pour stimuler les études et réduire les taux d</w:t>
      </w:r>
      <w:r w:rsidR="00254912">
        <w:rPr>
          <w:lang w:val="fr-FR"/>
        </w:rPr>
        <w:t>’</w:t>
      </w:r>
      <w:r w:rsidRPr="00F720A6">
        <w:rPr>
          <w:lang w:val="fr-FR"/>
        </w:rPr>
        <w:t>abandon, le Ministère de l</w:t>
      </w:r>
      <w:r w:rsidR="00254912">
        <w:rPr>
          <w:lang w:val="fr-FR"/>
        </w:rPr>
        <w:t>’</w:t>
      </w:r>
      <w:r w:rsidRPr="00F720A6">
        <w:rPr>
          <w:lang w:val="fr-FR"/>
        </w:rPr>
        <w:t>éducation et des sciences octroie chaque année des bourses d</w:t>
      </w:r>
      <w:r w:rsidR="00254912">
        <w:rPr>
          <w:lang w:val="fr-FR"/>
        </w:rPr>
        <w:t>’</w:t>
      </w:r>
      <w:r w:rsidRPr="00F720A6">
        <w:rPr>
          <w:lang w:val="fr-FR"/>
        </w:rPr>
        <w:t>enseignement primaire et secondaire aux enfants vulnérables (y compris les enfants handicapés), ainsi qu</w:t>
      </w:r>
      <w:r w:rsidR="00254912">
        <w:rPr>
          <w:lang w:val="fr-FR"/>
        </w:rPr>
        <w:t>’</w:t>
      </w:r>
      <w:r w:rsidRPr="00F720A6">
        <w:rPr>
          <w:lang w:val="fr-FR"/>
        </w:rPr>
        <w:t>une aide sous forme de tutorats et de parrainages à cette catégorie d</w:t>
      </w:r>
      <w:r w:rsidR="00254912">
        <w:rPr>
          <w:lang w:val="fr-FR"/>
        </w:rPr>
        <w:t>’</w:t>
      </w:r>
      <w:r w:rsidRPr="00F720A6">
        <w:rPr>
          <w:lang w:val="fr-FR"/>
        </w:rPr>
        <w:t>élèves. Conformément à la loi sur l</w:t>
      </w:r>
      <w:r w:rsidR="00254912">
        <w:rPr>
          <w:lang w:val="fr-FR"/>
        </w:rPr>
        <w:t>’</w:t>
      </w:r>
      <w:r w:rsidRPr="00F720A6">
        <w:rPr>
          <w:lang w:val="fr-FR"/>
        </w:rPr>
        <w:t>enseignement primaire et à la loi sur l</w:t>
      </w:r>
      <w:r w:rsidR="00254912">
        <w:rPr>
          <w:lang w:val="fr-FR"/>
        </w:rPr>
        <w:t>’</w:t>
      </w:r>
      <w:r w:rsidRPr="00F720A6">
        <w:rPr>
          <w:lang w:val="fr-FR"/>
        </w:rPr>
        <w:t>enseignement secondaire, des sanctions ont été prévues pour les parents ou tuteurs qui n</w:t>
      </w:r>
      <w:r w:rsidR="00254912">
        <w:rPr>
          <w:lang w:val="fr-FR"/>
        </w:rPr>
        <w:t>’</w:t>
      </w:r>
      <w:r w:rsidRPr="00F720A6">
        <w:rPr>
          <w:lang w:val="fr-FR"/>
        </w:rPr>
        <w:t>inscrivent pas leurs enfants à l</w:t>
      </w:r>
      <w:r w:rsidR="00254912">
        <w:rPr>
          <w:lang w:val="fr-FR"/>
        </w:rPr>
        <w:t>’</w:t>
      </w:r>
      <w:r w:rsidRPr="00F720A6">
        <w:rPr>
          <w:lang w:val="fr-FR"/>
        </w:rPr>
        <w:t>école.</w:t>
      </w:r>
    </w:p>
    <w:p w14:paraId="04D697CD" w14:textId="77777777" w:rsidR="003C48D6" w:rsidRPr="00F720A6" w:rsidRDefault="003C48D6" w:rsidP="00F079E8">
      <w:pPr>
        <w:pStyle w:val="H23G"/>
        <w:rPr>
          <w:lang w:val="fr-FR"/>
        </w:rPr>
      </w:pPr>
      <w:r w:rsidRPr="00F720A6">
        <w:rPr>
          <w:lang w:val="fr-FR"/>
        </w:rPr>
        <w:tab/>
        <w:t>b)</w:t>
      </w:r>
      <w:r w:rsidRPr="00F720A6">
        <w:rPr>
          <w:lang w:val="fr-FR"/>
        </w:rPr>
        <w:tab/>
        <w:t>Objectifs de l</w:t>
      </w:r>
      <w:r w:rsidR="00254912">
        <w:rPr>
          <w:lang w:val="fr-FR"/>
        </w:rPr>
        <w:t>’</w:t>
      </w:r>
      <w:r w:rsidRPr="00F720A6">
        <w:rPr>
          <w:lang w:val="fr-FR"/>
        </w:rPr>
        <w:t>enseignement</w:t>
      </w:r>
      <w:bookmarkStart w:id="65" w:name="_Toc56781466"/>
      <w:bookmarkEnd w:id="65"/>
    </w:p>
    <w:p w14:paraId="378A5170" w14:textId="77777777" w:rsidR="003C48D6" w:rsidRPr="00F720A6" w:rsidRDefault="003C48D6" w:rsidP="00F079E8">
      <w:pPr>
        <w:pStyle w:val="SingleTxtG"/>
        <w:rPr>
          <w:lang w:val="fr-FR"/>
        </w:rPr>
      </w:pPr>
      <w:r w:rsidRPr="00F720A6">
        <w:rPr>
          <w:lang w:val="fr-FR"/>
        </w:rPr>
        <w:t>169.</w:t>
      </w:r>
      <w:r w:rsidRPr="00F720A6">
        <w:rPr>
          <w:lang w:val="fr-FR"/>
        </w:rPr>
        <w:tab/>
        <w:t>Conformément à la législation nationale, les buts de l</w:t>
      </w:r>
      <w:r w:rsidR="00254912">
        <w:rPr>
          <w:lang w:val="fr-FR"/>
        </w:rPr>
        <w:t>’</w:t>
      </w:r>
      <w:r w:rsidRPr="00F720A6">
        <w:rPr>
          <w:lang w:val="fr-FR"/>
        </w:rPr>
        <w:t>éducation sont concentrés sur les objectifs suivants :</w:t>
      </w:r>
    </w:p>
    <w:p w14:paraId="506317D8" w14:textId="77777777" w:rsidR="003C48D6" w:rsidRPr="00F720A6" w:rsidRDefault="003C48D6" w:rsidP="00F079E8">
      <w:pPr>
        <w:pStyle w:val="Bullet1G"/>
        <w:rPr>
          <w:lang w:val="fr-FR"/>
        </w:rPr>
      </w:pPr>
      <w:r w:rsidRPr="00F720A6">
        <w:rPr>
          <w:lang w:val="fr-FR"/>
        </w:rPr>
        <w:t>Développer l</w:t>
      </w:r>
      <w:r w:rsidR="00254912">
        <w:rPr>
          <w:lang w:val="fr-FR"/>
        </w:rPr>
        <w:t>’</w:t>
      </w:r>
      <w:r w:rsidRPr="00F720A6">
        <w:rPr>
          <w:lang w:val="fr-FR"/>
        </w:rPr>
        <w:t>alphabétisation et les capacités des élèves à comprendre, communiquer et s</w:t>
      </w:r>
      <w:r w:rsidR="00254912">
        <w:rPr>
          <w:lang w:val="fr-FR"/>
        </w:rPr>
        <w:t>’</w:t>
      </w:r>
      <w:r w:rsidRPr="00F720A6">
        <w:rPr>
          <w:lang w:val="fr-FR"/>
        </w:rPr>
        <w:t>exprimer en langue macédonienne et avec son alphabet cyrillique, dans les langues et les écritures correspondantes des membres des différentes communautés du pays ;</w:t>
      </w:r>
    </w:p>
    <w:p w14:paraId="0496915D" w14:textId="77777777" w:rsidR="003C48D6" w:rsidRPr="00F720A6" w:rsidRDefault="003C48D6" w:rsidP="00F079E8">
      <w:pPr>
        <w:pStyle w:val="Bullet1G"/>
        <w:rPr>
          <w:lang w:val="fr-FR"/>
        </w:rPr>
      </w:pPr>
      <w:r w:rsidRPr="00F720A6">
        <w:rPr>
          <w:lang w:val="fr-FR"/>
        </w:rPr>
        <w:t>Parvenir à un développement psychologique et social harmonieux des étudiants ;</w:t>
      </w:r>
    </w:p>
    <w:p w14:paraId="1F5352BC" w14:textId="77777777" w:rsidR="003C48D6" w:rsidRPr="00F720A6" w:rsidRDefault="003C48D6" w:rsidP="00F079E8">
      <w:pPr>
        <w:pStyle w:val="Bullet1G"/>
        <w:rPr>
          <w:lang w:val="fr-FR"/>
        </w:rPr>
      </w:pPr>
      <w:r w:rsidRPr="00F720A6">
        <w:rPr>
          <w:lang w:val="fr-FR"/>
        </w:rPr>
        <w:t>Développer la confiance en soi et sensibiliser les étudiants à leur individualité et à être responsables de leurs actes, de leur sentiment d</w:t>
      </w:r>
      <w:r w:rsidR="00254912">
        <w:rPr>
          <w:lang w:val="fr-FR"/>
        </w:rPr>
        <w:t>’</w:t>
      </w:r>
      <w:r w:rsidRPr="00F720A6">
        <w:rPr>
          <w:lang w:val="fr-FR"/>
        </w:rPr>
        <w:t>appartenance et de la promotion de leur propre identité nationale et culturelle ;</w:t>
      </w:r>
    </w:p>
    <w:p w14:paraId="5A99C7BE" w14:textId="77777777" w:rsidR="003C48D6" w:rsidRPr="00F720A6" w:rsidRDefault="003C48D6" w:rsidP="00F079E8">
      <w:pPr>
        <w:pStyle w:val="Bullet1G"/>
        <w:rPr>
          <w:lang w:val="fr-FR"/>
        </w:rPr>
      </w:pPr>
      <w:r w:rsidRPr="00F720A6">
        <w:rPr>
          <w:lang w:val="fr-FR"/>
        </w:rPr>
        <w:t>Éduquer à la tolérance mutuelle et au respect de la diversité, aux libertés et aux droits fondamentaux des êtres humains, ainsi qu</w:t>
      </w:r>
      <w:r w:rsidR="00254912">
        <w:rPr>
          <w:lang w:val="fr-FR"/>
        </w:rPr>
        <w:t>’</w:t>
      </w:r>
      <w:r w:rsidRPr="00F720A6">
        <w:rPr>
          <w:lang w:val="fr-FR"/>
        </w:rPr>
        <w:t xml:space="preserve">aux valeurs culturelles et civilisationnelles générales ; </w:t>
      </w:r>
    </w:p>
    <w:p w14:paraId="5890AEDF" w14:textId="77777777" w:rsidR="003C48D6" w:rsidRPr="00F720A6" w:rsidRDefault="003C48D6" w:rsidP="00F079E8">
      <w:pPr>
        <w:pStyle w:val="Bullet1G"/>
        <w:rPr>
          <w:lang w:val="fr-FR"/>
        </w:rPr>
      </w:pPr>
      <w:r w:rsidRPr="00F720A6">
        <w:rPr>
          <w:lang w:val="fr-FR"/>
        </w:rPr>
        <w:t>Développer la recherche, l</w:t>
      </w:r>
      <w:r w:rsidR="00254912">
        <w:rPr>
          <w:lang w:val="fr-FR"/>
        </w:rPr>
        <w:t>’</w:t>
      </w:r>
      <w:r w:rsidRPr="00F720A6">
        <w:rPr>
          <w:lang w:val="fr-FR"/>
        </w:rPr>
        <w:t>expérimentation et les compétences en matière de résolution de problèmes ;</w:t>
      </w:r>
    </w:p>
    <w:p w14:paraId="41917B9A" w14:textId="77777777" w:rsidR="003C48D6" w:rsidRPr="00F720A6" w:rsidRDefault="003C48D6" w:rsidP="00F079E8">
      <w:pPr>
        <w:pStyle w:val="Bullet1G"/>
        <w:rPr>
          <w:lang w:val="fr-FR"/>
        </w:rPr>
      </w:pPr>
      <w:r w:rsidRPr="00F720A6">
        <w:rPr>
          <w:lang w:val="fr-FR"/>
        </w:rPr>
        <w:t>Englober et prendre en charge le développement des élèves ayant des besoins éducatifs particuliers ;</w:t>
      </w:r>
    </w:p>
    <w:p w14:paraId="053F8D94" w14:textId="77777777" w:rsidR="003C48D6" w:rsidRPr="00F720A6" w:rsidRDefault="003C48D6" w:rsidP="00F079E8">
      <w:pPr>
        <w:pStyle w:val="Bullet1G"/>
        <w:rPr>
          <w:lang w:val="fr-FR"/>
        </w:rPr>
      </w:pPr>
      <w:r w:rsidRPr="00F720A6">
        <w:rPr>
          <w:lang w:val="fr-FR"/>
        </w:rPr>
        <w:t xml:space="preserve">Développer les talents des élèves dans différents domaines ; et </w:t>
      </w:r>
    </w:p>
    <w:p w14:paraId="722716F1" w14:textId="77777777" w:rsidR="003C48D6" w:rsidRPr="00F720A6" w:rsidRDefault="003C48D6" w:rsidP="00F079E8">
      <w:pPr>
        <w:pStyle w:val="Bullet1G"/>
        <w:rPr>
          <w:lang w:val="fr-FR"/>
        </w:rPr>
      </w:pPr>
      <w:r w:rsidRPr="00F720A6">
        <w:rPr>
          <w:lang w:val="fr-FR"/>
        </w:rPr>
        <w:t>Construire un mode de vie sain et éduquer chacun à se sentir responsable de sa propre santé et de la protection de l</w:t>
      </w:r>
      <w:r w:rsidR="00254912">
        <w:rPr>
          <w:lang w:val="fr-FR"/>
        </w:rPr>
        <w:t>’</w:t>
      </w:r>
      <w:r w:rsidRPr="00F720A6">
        <w:rPr>
          <w:lang w:val="fr-FR"/>
        </w:rPr>
        <w:t>environnement.</w:t>
      </w:r>
    </w:p>
    <w:p w14:paraId="60A813E2" w14:textId="77777777" w:rsidR="003C48D6" w:rsidRPr="00F720A6" w:rsidRDefault="003C48D6" w:rsidP="00F079E8">
      <w:pPr>
        <w:pStyle w:val="H23G"/>
        <w:rPr>
          <w:lang w:val="fr-FR"/>
        </w:rPr>
      </w:pPr>
      <w:r w:rsidRPr="00F720A6">
        <w:rPr>
          <w:lang w:val="fr-FR"/>
        </w:rPr>
        <w:tab/>
        <w:t>c)</w:t>
      </w:r>
      <w:r w:rsidRPr="00F720A6">
        <w:rPr>
          <w:lang w:val="fr-FR"/>
        </w:rPr>
        <w:tab/>
        <w:t xml:space="preserve">Droit à la culture des enfants appartenant à des groupes autochtones </w:t>
      </w:r>
      <w:r w:rsidR="00F079E8">
        <w:rPr>
          <w:lang w:val="fr-FR"/>
        </w:rPr>
        <w:br/>
      </w:r>
      <w:r w:rsidRPr="00F720A6">
        <w:rPr>
          <w:lang w:val="fr-FR"/>
        </w:rPr>
        <w:t>ou minoritaires (art. 30)</w:t>
      </w:r>
      <w:bookmarkStart w:id="66" w:name="_Toc56781467"/>
      <w:bookmarkEnd w:id="66"/>
    </w:p>
    <w:p w14:paraId="2B0FBA84" w14:textId="77777777" w:rsidR="003C48D6" w:rsidRPr="00F720A6" w:rsidRDefault="003C48D6" w:rsidP="00F079E8">
      <w:pPr>
        <w:pStyle w:val="SingleTxtG"/>
        <w:rPr>
          <w:lang w:val="fr-FR"/>
        </w:rPr>
      </w:pPr>
      <w:r w:rsidRPr="00F720A6">
        <w:rPr>
          <w:lang w:val="fr-FR"/>
        </w:rPr>
        <w:t>170.</w:t>
      </w:r>
      <w:r w:rsidRPr="00F720A6">
        <w:rPr>
          <w:lang w:val="fr-FR"/>
        </w:rPr>
        <w:tab/>
        <w:t>Le droit à l</w:t>
      </w:r>
      <w:r w:rsidR="00254912">
        <w:rPr>
          <w:lang w:val="fr-FR"/>
        </w:rPr>
        <w:t>’</w:t>
      </w:r>
      <w:r w:rsidRPr="00F720A6">
        <w:rPr>
          <w:lang w:val="fr-FR"/>
        </w:rPr>
        <w:t>éducation dans la langue maternelle est un droit constitutionnel. Selon l</w:t>
      </w:r>
      <w:r w:rsidR="00254912">
        <w:rPr>
          <w:lang w:val="fr-FR"/>
        </w:rPr>
        <w:t>’</w:t>
      </w:r>
      <w:r w:rsidRPr="00F720A6">
        <w:rPr>
          <w:lang w:val="fr-FR"/>
        </w:rPr>
        <w:t>article 48 de la Constitution, les personnes appartenant à des communautés ethniques ont le droit d</w:t>
      </w:r>
      <w:r w:rsidR="00254912">
        <w:rPr>
          <w:lang w:val="fr-FR"/>
        </w:rPr>
        <w:t>’</w:t>
      </w:r>
      <w:r w:rsidRPr="00F720A6">
        <w:rPr>
          <w:lang w:val="fr-FR"/>
        </w:rPr>
        <w:t>exprimer, de nourrir et de développer librement leur identité et leurs particularités ethniques en créant des institutions culturelles et artistiques, des associations scientifiques et</w:t>
      </w:r>
      <w:r w:rsidR="00BA11B5">
        <w:rPr>
          <w:lang w:val="fr-FR"/>
        </w:rPr>
        <w:t> </w:t>
      </w:r>
      <w:r w:rsidRPr="00F720A6">
        <w:rPr>
          <w:lang w:val="fr-FR"/>
        </w:rPr>
        <w:t xml:space="preserve">autres. </w:t>
      </w:r>
    </w:p>
    <w:p w14:paraId="157325A2" w14:textId="77777777" w:rsidR="003C48D6" w:rsidRPr="00F720A6" w:rsidRDefault="003C48D6" w:rsidP="00F079E8">
      <w:pPr>
        <w:pStyle w:val="SingleTxtG"/>
        <w:rPr>
          <w:lang w:val="fr-FR"/>
        </w:rPr>
      </w:pPr>
      <w:r w:rsidRPr="00F720A6">
        <w:rPr>
          <w:lang w:val="fr-FR"/>
        </w:rPr>
        <w:t>171.</w:t>
      </w:r>
      <w:r w:rsidRPr="00F720A6">
        <w:rPr>
          <w:lang w:val="fr-FR"/>
        </w:rPr>
        <w:tab/>
        <w:t>Conformément à l</w:t>
      </w:r>
      <w:r w:rsidR="00254912">
        <w:rPr>
          <w:lang w:val="fr-FR"/>
        </w:rPr>
        <w:t>’</w:t>
      </w:r>
      <w:r w:rsidRPr="00F720A6">
        <w:rPr>
          <w:lang w:val="fr-FR"/>
        </w:rPr>
        <w:t>article 9 (par. 2) de la loi sur l</w:t>
      </w:r>
      <w:r w:rsidR="00254912">
        <w:rPr>
          <w:lang w:val="fr-FR"/>
        </w:rPr>
        <w:t>’</w:t>
      </w:r>
      <w:r w:rsidRPr="00F720A6">
        <w:rPr>
          <w:lang w:val="fr-FR"/>
        </w:rPr>
        <w:t>enseignement primaire, qui vise les élèves appartenant à des communautés, et qui suivent un enseignement dans une langue autre que la langue macédonienne et son alphabet cyrillique, le travail éducatif est assuré dans la langue et l</w:t>
      </w:r>
      <w:r w:rsidR="00254912">
        <w:rPr>
          <w:lang w:val="fr-FR"/>
        </w:rPr>
        <w:t>’</w:t>
      </w:r>
      <w:r w:rsidRPr="00F720A6">
        <w:rPr>
          <w:lang w:val="fr-FR"/>
        </w:rPr>
        <w:t>alphabet de la communauté concernée, selon les modalités déterminées par cette</w:t>
      </w:r>
      <w:r w:rsidR="00BA11B5">
        <w:rPr>
          <w:lang w:val="fr-FR"/>
        </w:rPr>
        <w:t> </w:t>
      </w:r>
      <w:r w:rsidRPr="00F720A6">
        <w:rPr>
          <w:lang w:val="fr-FR"/>
        </w:rPr>
        <w:t>loi.</w:t>
      </w:r>
    </w:p>
    <w:p w14:paraId="7D777CDB" w14:textId="77777777" w:rsidR="003C48D6" w:rsidRPr="00F720A6" w:rsidRDefault="003C48D6" w:rsidP="00F079E8">
      <w:pPr>
        <w:pStyle w:val="SingleTxtG"/>
        <w:rPr>
          <w:lang w:val="fr-FR"/>
        </w:rPr>
      </w:pPr>
      <w:r w:rsidRPr="00F720A6">
        <w:rPr>
          <w:lang w:val="fr-FR"/>
        </w:rPr>
        <w:t>172.</w:t>
      </w:r>
      <w:r w:rsidRPr="00F720A6">
        <w:rPr>
          <w:lang w:val="fr-FR"/>
        </w:rPr>
        <w:tab/>
        <w:t>Conformément à l</w:t>
      </w:r>
      <w:r w:rsidR="00254912">
        <w:rPr>
          <w:lang w:val="fr-FR"/>
        </w:rPr>
        <w:t>’</w:t>
      </w:r>
      <w:r w:rsidRPr="00F720A6">
        <w:rPr>
          <w:lang w:val="fr-FR"/>
        </w:rPr>
        <w:t>article 8 de la loi sur l</w:t>
      </w:r>
      <w:r w:rsidR="00254912">
        <w:rPr>
          <w:lang w:val="fr-FR"/>
        </w:rPr>
        <w:t>’</w:t>
      </w:r>
      <w:r w:rsidRPr="00F720A6">
        <w:rPr>
          <w:lang w:val="fr-FR"/>
        </w:rPr>
        <w:t>enseignement primaire, les enfants de nationalité étrangère ou les enfants apatrides résidant dans le pays, ont droit à l</w:t>
      </w:r>
      <w:r w:rsidR="00254912">
        <w:rPr>
          <w:lang w:val="fr-FR"/>
        </w:rPr>
        <w:t>’</w:t>
      </w:r>
      <w:r w:rsidRPr="00F720A6">
        <w:rPr>
          <w:lang w:val="fr-FR"/>
        </w:rPr>
        <w:t>enseignement primaire dans les mêmes conditions que les enfants macédoniens. Pour ces non</w:t>
      </w:r>
      <w:r w:rsidR="00BA11B5">
        <w:rPr>
          <w:lang w:val="fr-FR"/>
        </w:rPr>
        <w:noBreakHyphen/>
      </w:r>
      <w:r w:rsidRPr="00F720A6">
        <w:rPr>
          <w:lang w:val="fr-FR"/>
        </w:rPr>
        <w:t>ressortissants, les cours sont organisés dans leur langue maternelle, sur la base des accords internationaux ratifiés conformément à la Constitution.</w:t>
      </w:r>
    </w:p>
    <w:p w14:paraId="6BFDE8EC" w14:textId="77777777" w:rsidR="003C48D6" w:rsidRPr="00F720A6" w:rsidRDefault="003C48D6" w:rsidP="00F079E8">
      <w:pPr>
        <w:pStyle w:val="SingleTxtG"/>
        <w:rPr>
          <w:lang w:val="fr-FR"/>
        </w:rPr>
      </w:pPr>
      <w:r w:rsidRPr="00F720A6">
        <w:rPr>
          <w:lang w:val="fr-FR"/>
        </w:rPr>
        <w:t>173.</w:t>
      </w:r>
      <w:r w:rsidRPr="00F720A6">
        <w:rPr>
          <w:lang w:val="fr-FR"/>
        </w:rPr>
        <w:tab/>
        <w:t>L</w:t>
      </w:r>
      <w:r w:rsidR="00254912">
        <w:rPr>
          <w:lang w:val="fr-FR"/>
        </w:rPr>
        <w:t>’</w:t>
      </w:r>
      <w:r w:rsidRPr="00F720A6">
        <w:rPr>
          <w:lang w:val="fr-FR"/>
        </w:rPr>
        <w:t>enseignement primaire est assuré en quatre langues, macédonienne, albanaise, turque et serbe. Sur le total de 129 manuels scolaires agréés, 97 % sont traduits dans la langue dans laquelle se déroulent les cours. Ils sont publiés dans toutes les langues sous forme numérique sur le site officiel du Ministère de l</w:t>
      </w:r>
      <w:r w:rsidR="00254912">
        <w:rPr>
          <w:lang w:val="fr-FR"/>
        </w:rPr>
        <w:t>’</w:t>
      </w:r>
      <w:r w:rsidRPr="00F720A6">
        <w:rPr>
          <w:lang w:val="fr-FR"/>
        </w:rPr>
        <w:t>éducation et des sciences. Des manuels d</w:t>
      </w:r>
      <w:r w:rsidR="00254912">
        <w:rPr>
          <w:lang w:val="fr-FR"/>
        </w:rPr>
        <w:t>’</w:t>
      </w:r>
      <w:r w:rsidRPr="00F720A6">
        <w:rPr>
          <w:lang w:val="fr-FR"/>
        </w:rPr>
        <w:t>étude de la langue et de la culture de la communauté ont été approuvés pour les élèves de la troisième à la neuvième année appartenant aux communautés ethniques qui ne reçoivent pas d</w:t>
      </w:r>
      <w:r w:rsidR="00254912">
        <w:rPr>
          <w:lang w:val="fr-FR"/>
        </w:rPr>
        <w:t>’</w:t>
      </w:r>
      <w:r w:rsidRPr="00F720A6">
        <w:rPr>
          <w:lang w:val="fr-FR"/>
        </w:rPr>
        <w:t xml:space="preserve">enseignement dans leur langue maternelle. Les enseignements secondaires généraux et </w:t>
      </w:r>
      <w:r w:rsidRPr="00F720A6">
        <w:rPr>
          <w:lang w:val="fr-FR"/>
        </w:rPr>
        <w:lastRenderedPageBreak/>
        <w:t>secondaires professionnels sont dispensés en trois langues : macédonienne, albanaise et turque. L</w:t>
      </w:r>
      <w:r w:rsidR="00254912">
        <w:rPr>
          <w:lang w:val="fr-FR"/>
        </w:rPr>
        <w:t>’</w:t>
      </w:r>
      <w:r w:rsidRPr="00F720A6">
        <w:rPr>
          <w:lang w:val="fr-FR"/>
        </w:rPr>
        <w:t>année scolaire 2017/2018 a vu l</w:t>
      </w:r>
      <w:r w:rsidR="00254912">
        <w:rPr>
          <w:lang w:val="fr-FR"/>
        </w:rPr>
        <w:t>’</w:t>
      </w:r>
      <w:r w:rsidRPr="00F720A6">
        <w:rPr>
          <w:lang w:val="fr-FR"/>
        </w:rPr>
        <w:t>introduction de la langue bosniaque dans les</w:t>
      </w:r>
      <w:r w:rsidR="00BA11B5">
        <w:rPr>
          <w:lang w:val="fr-FR"/>
        </w:rPr>
        <w:t> </w:t>
      </w:r>
      <w:r w:rsidRPr="00F720A6">
        <w:rPr>
          <w:lang w:val="fr-FR"/>
        </w:rPr>
        <w:t>écoles.</w:t>
      </w:r>
    </w:p>
    <w:p w14:paraId="06DDA03F" w14:textId="77777777" w:rsidR="003C48D6" w:rsidRPr="00F720A6" w:rsidRDefault="003C48D6" w:rsidP="00F079E8">
      <w:pPr>
        <w:pStyle w:val="H23G"/>
        <w:rPr>
          <w:lang w:val="fr-FR"/>
        </w:rPr>
      </w:pPr>
      <w:r w:rsidRPr="00F720A6">
        <w:rPr>
          <w:lang w:val="fr-FR"/>
        </w:rPr>
        <w:tab/>
        <w:t>d)</w:t>
      </w:r>
      <w:r w:rsidRPr="00F720A6">
        <w:rPr>
          <w:lang w:val="fr-FR"/>
        </w:rPr>
        <w:tab/>
        <w:t>Repos, jeu, loisirs et activités récréatives, culturelles et artistiques (art. 31)</w:t>
      </w:r>
      <w:bookmarkStart w:id="67" w:name="_Toc56781468"/>
      <w:bookmarkEnd w:id="67"/>
    </w:p>
    <w:p w14:paraId="7F5943C2" w14:textId="77777777" w:rsidR="003C48D6" w:rsidRPr="00F720A6" w:rsidRDefault="003C48D6" w:rsidP="00F079E8">
      <w:pPr>
        <w:pStyle w:val="SingleTxtG"/>
        <w:rPr>
          <w:lang w:val="fr-FR"/>
        </w:rPr>
      </w:pPr>
      <w:r w:rsidRPr="00F720A6">
        <w:rPr>
          <w:lang w:val="fr-FR"/>
        </w:rPr>
        <w:t>174.</w:t>
      </w:r>
      <w:r w:rsidRPr="00F720A6">
        <w:rPr>
          <w:lang w:val="fr-FR"/>
        </w:rPr>
        <w:tab/>
        <w:t>Conformément à ses compétences légales, le Ministère de l</w:t>
      </w:r>
      <w:r w:rsidR="00254912">
        <w:rPr>
          <w:lang w:val="fr-FR"/>
        </w:rPr>
        <w:t>’</w:t>
      </w:r>
      <w:r w:rsidRPr="00F720A6">
        <w:rPr>
          <w:lang w:val="fr-FR"/>
        </w:rPr>
        <w:t>éducation et des sciences réglemente le séjour des enfants dans les écoles. Chaque cours dure 40 minutes et, à la fin des cours, l</w:t>
      </w:r>
      <w:r w:rsidR="00254912">
        <w:rPr>
          <w:lang w:val="fr-FR"/>
        </w:rPr>
        <w:t>’</w:t>
      </w:r>
      <w:r w:rsidRPr="00F720A6">
        <w:rPr>
          <w:lang w:val="fr-FR"/>
        </w:rPr>
        <w:t>enfant est libéré de l</w:t>
      </w:r>
      <w:r w:rsidR="00254912">
        <w:rPr>
          <w:lang w:val="fr-FR"/>
        </w:rPr>
        <w:t>’</w:t>
      </w:r>
      <w:r w:rsidRPr="00F720A6">
        <w:rPr>
          <w:lang w:val="fr-FR"/>
        </w:rPr>
        <w:t>obligation de rester dans l</w:t>
      </w:r>
      <w:r w:rsidR="00254912">
        <w:rPr>
          <w:lang w:val="fr-FR"/>
        </w:rPr>
        <w:t>’</w:t>
      </w:r>
      <w:r w:rsidRPr="00F720A6">
        <w:rPr>
          <w:lang w:val="fr-FR"/>
        </w:rPr>
        <w:t>établissement, sauf s</w:t>
      </w:r>
      <w:r w:rsidR="00254912">
        <w:rPr>
          <w:lang w:val="fr-FR"/>
        </w:rPr>
        <w:t>’</w:t>
      </w:r>
      <w:r w:rsidRPr="00F720A6">
        <w:rPr>
          <w:lang w:val="fr-FR"/>
        </w:rPr>
        <w:t xml:space="preserve">il participe à des activités </w:t>
      </w:r>
      <w:proofErr w:type="spellStart"/>
      <w:r w:rsidRPr="00F720A6">
        <w:rPr>
          <w:lang w:val="fr-FR"/>
        </w:rPr>
        <w:t>extrascolaires</w:t>
      </w:r>
      <w:proofErr w:type="spellEnd"/>
      <w:r w:rsidRPr="00F720A6">
        <w:rPr>
          <w:lang w:val="fr-FR"/>
        </w:rPr>
        <w:t>. L</w:t>
      </w:r>
      <w:r w:rsidR="00254912">
        <w:rPr>
          <w:lang w:val="fr-FR"/>
        </w:rPr>
        <w:t>’</w:t>
      </w:r>
      <w:r w:rsidRPr="00F720A6">
        <w:rPr>
          <w:lang w:val="fr-FR"/>
        </w:rPr>
        <w:t>école élémentaire organise des activités gratuites pour les élèves, déterminées par le programme scolaire annuel et en fonction des différents intérêts des élèves. Pour les élèves qui réussissent particulièrement bien dans certaines matières, des concours sont organisés aux niveaux municipal, régional et national.</w:t>
      </w:r>
      <w:bookmarkStart w:id="68" w:name="OLE_LINK1"/>
      <w:bookmarkStart w:id="69" w:name="OLE_LINK2"/>
      <w:bookmarkEnd w:id="68"/>
      <w:bookmarkEnd w:id="69"/>
    </w:p>
    <w:p w14:paraId="1E89767E" w14:textId="77777777" w:rsidR="003C48D6" w:rsidRPr="00F720A6" w:rsidRDefault="003C48D6" w:rsidP="00F079E8">
      <w:pPr>
        <w:pStyle w:val="SingleTxtG"/>
        <w:rPr>
          <w:lang w:val="fr-FR"/>
        </w:rPr>
      </w:pPr>
      <w:r w:rsidRPr="00F720A6">
        <w:rPr>
          <w:lang w:val="fr-FR"/>
        </w:rPr>
        <w:t>175.</w:t>
      </w:r>
      <w:r w:rsidRPr="00F720A6">
        <w:rPr>
          <w:lang w:val="fr-FR"/>
        </w:rPr>
        <w:tab/>
        <w:t>Le Ministère de l</w:t>
      </w:r>
      <w:r w:rsidR="00254912">
        <w:rPr>
          <w:lang w:val="fr-FR"/>
        </w:rPr>
        <w:t>’</w:t>
      </w:r>
      <w:r w:rsidRPr="00F720A6">
        <w:rPr>
          <w:lang w:val="fr-FR"/>
        </w:rPr>
        <w:t>éducation et des sciences adopte, pour chaque année scolaire, un calendrier régissant l</w:t>
      </w:r>
      <w:r w:rsidR="00254912">
        <w:rPr>
          <w:lang w:val="fr-FR"/>
        </w:rPr>
        <w:t>’</w:t>
      </w:r>
      <w:r w:rsidRPr="00F720A6">
        <w:rPr>
          <w:lang w:val="fr-FR"/>
        </w:rPr>
        <w:t xml:space="preserve">organisation et le travail des écoles primaires et secondaires. </w:t>
      </w:r>
    </w:p>
    <w:p w14:paraId="1A9393EC" w14:textId="77777777" w:rsidR="003C48D6" w:rsidRPr="00F720A6" w:rsidRDefault="003C48D6" w:rsidP="00F079E8">
      <w:pPr>
        <w:pStyle w:val="SingleTxtG"/>
        <w:rPr>
          <w:lang w:val="fr-FR"/>
        </w:rPr>
      </w:pPr>
      <w:r w:rsidRPr="00F720A6">
        <w:rPr>
          <w:lang w:val="fr-FR"/>
        </w:rPr>
        <w:t>176.</w:t>
      </w:r>
      <w:r w:rsidRPr="00F720A6">
        <w:rPr>
          <w:lang w:val="fr-FR"/>
        </w:rPr>
        <w:tab/>
        <w:t>La loi sur la protection des droits de l</w:t>
      </w:r>
      <w:r w:rsidR="00254912">
        <w:rPr>
          <w:lang w:val="fr-FR"/>
        </w:rPr>
        <w:t>’</w:t>
      </w:r>
      <w:r w:rsidRPr="00F720A6">
        <w:rPr>
          <w:lang w:val="fr-FR"/>
        </w:rPr>
        <w:t>enfant prévoit des dispositions concernant le droit de l</w:t>
      </w:r>
      <w:r w:rsidR="00254912">
        <w:rPr>
          <w:lang w:val="fr-FR"/>
        </w:rPr>
        <w:t>’</w:t>
      </w:r>
      <w:r w:rsidRPr="00F720A6">
        <w:rPr>
          <w:lang w:val="fr-FR"/>
        </w:rPr>
        <w:t xml:space="preserve">enfant au repos et aux loisirs. </w:t>
      </w:r>
    </w:p>
    <w:p w14:paraId="2A9E778A" w14:textId="77777777" w:rsidR="003C48D6" w:rsidRPr="00F720A6" w:rsidRDefault="003C48D6" w:rsidP="00F079E8">
      <w:pPr>
        <w:pStyle w:val="H1G"/>
        <w:rPr>
          <w:lang w:val="fr-FR"/>
        </w:rPr>
      </w:pPr>
      <w:r w:rsidRPr="00F720A6">
        <w:rPr>
          <w:lang w:val="fr-FR"/>
        </w:rPr>
        <w:tab/>
        <w:t>9.</w:t>
      </w:r>
      <w:r w:rsidRPr="00F720A6">
        <w:rPr>
          <w:lang w:val="fr-FR"/>
        </w:rPr>
        <w:tab/>
        <w:t xml:space="preserve">Mesures de protection spéciales </w:t>
      </w:r>
      <w:r w:rsidR="00F079E8">
        <w:rPr>
          <w:lang w:val="fr-FR"/>
        </w:rPr>
        <w:br/>
      </w:r>
      <w:r w:rsidRPr="00F720A6">
        <w:rPr>
          <w:lang w:val="fr-FR"/>
        </w:rPr>
        <w:t>(art. 22, 30, 32, 33, 35, 36, 37 b) à d), et 38 à 40)</w:t>
      </w:r>
      <w:bookmarkStart w:id="70" w:name="_Toc56781469"/>
      <w:bookmarkEnd w:id="70"/>
    </w:p>
    <w:p w14:paraId="1C5CA275" w14:textId="77777777" w:rsidR="003C48D6" w:rsidRPr="00F720A6" w:rsidRDefault="003C48D6" w:rsidP="00F079E8">
      <w:pPr>
        <w:pStyle w:val="H23G"/>
        <w:rPr>
          <w:lang w:val="fr-FR"/>
        </w:rPr>
      </w:pPr>
      <w:r w:rsidRPr="00F720A6">
        <w:rPr>
          <w:lang w:val="fr-FR"/>
        </w:rPr>
        <w:tab/>
        <w:t>a)</w:t>
      </w:r>
      <w:r w:rsidRPr="00F720A6">
        <w:rPr>
          <w:lang w:val="fr-FR"/>
        </w:rPr>
        <w:tab/>
        <w:t xml:space="preserve">Enfants se </w:t>
      </w:r>
      <w:r w:rsidRPr="00F079E8">
        <w:t>trouvant</w:t>
      </w:r>
      <w:r w:rsidRPr="00F720A6">
        <w:rPr>
          <w:lang w:val="fr-FR"/>
        </w:rPr>
        <w:t xml:space="preserve"> hors de leur pays d</w:t>
      </w:r>
      <w:r w:rsidR="00254912">
        <w:rPr>
          <w:lang w:val="fr-FR"/>
        </w:rPr>
        <w:t>’</w:t>
      </w:r>
      <w:r w:rsidRPr="00F720A6">
        <w:rPr>
          <w:lang w:val="fr-FR"/>
        </w:rPr>
        <w:t>origine et demandant le statut de réfugié (art. 22), enfants non accompagnés demandeurs d</w:t>
      </w:r>
      <w:r w:rsidR="00254912">
        <w:rPr>
          <w:lang w:val="fr-FR"/>
        </w:rPr>
        <w:t>’</w:t>
      </w:r>
      <w:r w:rsidRPr="00F720A6">
        <w:rPr>
          <w:lang w:val="fr-FR"/>
        </w:rPr>
        <w:t xml:space="preserve">asile, enfants déplacés </w:t>
      </w:r>
      <w:r w:rsidR="00BA11B5">
        <w:rPr>
          <w:lang w:val="fr-FR"/>
        </w:rPr>
        <w:br/>
      </w:r>
      <w:r w:rsidRPr="00F720A6">
        <w:rPr>
          <w:lang w:val="fr-FR"/>
        </w:rPr>
        <w:t>à l</w:t>
      </w:r>
      <w:r w:rsidR="00254912">
        <w:rPr>
          <w:lang w:val="fr-FR"/>
        </w:rPr>
        <w:t>’</w:t>
      </w:r>
      <w:r w:rsidRPr="00F720A6">
        <w:rPr>
          <w:lang w:val="fr-FR"/>
        </w:rPr>
        <w:t>intérieur du pays, enfants migrants et enfants touchés par les migrations</w:t>
      </w:r>
      <w:bookmarkStart w:id="71" w:name="_Toc56781470"/>
      <w:bookmarkEnd w:id="71"/>
    </w:p>
    <w:p w14:paraId="28D11442" w14:textId="77777777" w:rsidR="003C48D6" w:rsidRPr="00F720A6" w:rsidRDefault="003C48D6" w:rsidP="00F079E8">
      <w:pPr>
        <w:pStyle w:val="SingleTxtG"/>
        <w:rPr>
          <w:lang w:val="fr-FR"/>
        </w:rPr>
      </w:pPr>
      <w:r w:rsidRPr="00F720A6">
        <w:rPr>
          <w:lang w:val="fr-FR"/>
        </w:rPr>
        <w:t>177.</w:t>
      </w:r>
      <w:r w:rsidRPr="00F720A6">
        <w:rPr>
          <w:lang w:val="fr-FR"/>
        </w:rPr>
        <w:tab/>
        <w:t>Les enfants demandeurs d</w:t>
      </w:r>
      <w:r w:rsidR="00254912">
        <w:rPr>
          <w:lang w:val="fr-FR"/>
        </w:rPr>
        <w:t>’</w:t>
      </w:r>
      <w:r w:rsidRPr="00F720A6">
        <w:rPr>
          <w:lang w:val="fr-FR"/>
        </w:rPr>
        <w:t>asile qui sont accompagnés par leur famille pendant la procédure d</w:t>
      </w:r>
      <w:r w:rsidR="00254912">
        <w:rPr>
          <w:lang w:val="fr-FR"/>
        </w:rPr>
        <w:t>’</w:t>
      </w:r>
      <w:r w:rsidRPr="00F720A6">
        <w:rPr>
          <w:lang w:val="fr-FR"/>
        </w:rPr>
        <w:t>asile sont hébergés dans le seul centre d</w:t>
      </w:r>
      <w:r w:rsidR="00254912">
        <w:rPr>
          <w:lang w:val="fr-FR"/>
        </w:rPr>
        <w:t>’</w:t>
      </w:r>
      <w:r w:rsidRPr="00F720A6">
        <w:rPr>
          <w:lang w:val="fr-FR"/>
        </w:rPr>
        <w:t>accueil qui leur est destiné, situé à Skopje. Ce centre, ouvert en 2008, répond aux normes internationales pour l</w:t>
      </w:r>
      <w:r w:rsidR="00254912">
        <w:rPr>
          <w:lang w:val="fr-FR"/>
        </w:rPr>
        <w:t>’</w:t>
      </w:r>
      <w:r w:rsidRPr="00F720A6">
        <w:rPr>
          <w:lang w:val="fr-FR"/>
        </w:rPr>
        <w:t>accueil des demandeurs d</w:t>
      </w:r>
      <w:r w:rsidR="00254912">
        <w:rPr>
          <w:lang w:val="fr-FR"/>
        </w:rPr>
        <w:t>’</w:t>
      </w:r>
      <w:r w:rsidRPr="00F720A6">
        <w:rPr>
          <w:lang w:val="fr-FR"/>
        </w:rPr>
        <w:t>asile en ce qui concerne l</w:t>
      </w:r>
      <w:r w:rsidR="00254912">
        <w:rPr>
          <w:lang w:val="fr-FR"/>
        </w:rPr>
        <w:t>’</w:t>
      </w:r>
      <w:r w:rsidRPr="00F720A6">
        <w:rPr>
          <w:lang w:val="fr-FR"/>
        </w:rPr>
        <w:t>hébergement, l</w:t>
      </w:r>
      <w:r w:rsidR="00254912">
        <w:rPr>
          <w:lang w:val="fr-FR"/>
        </w:rPr>
        <w:t>’</w:t>
      </w:r>
      <w:r w:rsidRPr="00F720A6">
        <w:rPr>
          <w:lang w:val="fr-FR"/>
        </w:rPr>
        <w:t>accès à l</w:t>
      </w:r>
      <w:r w:rsidR="00254912">
        <w:rPr>
          <w:lang w:val="fr-FR"/>
        </w:rPr>
        <w:t>’</w:t>
      </w:r>
      <w:r w:rsidRPr="00F720A6">
        <w:rPr>
          <w:lang w:val="fr-FR"/>
        </w:rPr>
        <w:t>assistance et à l</w:t>
      </w:r>
      <w:r w:rsidR="00254912">
        <w:rPr>
          <w:lang w:val="fr-FR"/>
        </w:rPr>
        <w:t>’</w:t>
      </w:r>
      <w:r w:rsidRPr="00F720A6">
        <w:rPr>
          <w:lang w:val="fr-FR"/>
        </w:rPr>
        <w:t>information juridiques, ainsi que la mise en œuvre d</w:t>
      </w:r>
      <w:r w:rsidR="00254912">
        <w:rPr>
          <w:lang w:val="fr-FR"/>
        </w:rPr>
        <w:t>’</w:t>
      </w:r>
      <w:r w:rsidRPr="00F720A6">
        <w:rPr>
          <w:lang w:val="fr-FR"/>
        </w:rPr>
        <w:t>ateliers éducatifs, notamment pour les enfants. Dans</w:t>
      </w:r>
      <w:r w:rsidR="00BA11B5">
        <w:rPr>
          <w:lang w:val="fr-FR"/>
        </w:rPr>
        <w:t> </w:t>
      </w:r>
      <w:r w:rsidRPr="00F720A6">
        <w:rPr>
          <w:lang w:val="fr-FR"/>
        </w:rPr>
        <w:t>la pratique, les demandeurs d</w:t>
      </w:r>
      <w:r w:rsidR="00254912">
        <w:rPr>
          <w:lang w:val="fr-FR"/>
        </w:rPr>
        <w:t>’</w:t>
      </w:r>
      <w:r w:rsidRPr="00F720A6">
        <w:rPr>
          <w:lang w:val="fr-FR"/>
        </w:rPr>
        <w:t>asile n</w:t>
      </w:r>
      <w:r w:rsidR="00254912">
        <w:rPr>
          <w:lang w:val="fr-FR"/>
        </w:rPr>
        <w:t>’</w:t>
      </w:r>
      <w:r w:rsidRPr="00F720A6">
        <w:rPr>
          <w:lang w:val="fr-FR"/>
        </w:rPr>
        <w:t>y restent que très brièvement ; les enfants n</w:t>
      </w:r>
      <w:r w:rsidR="00254912">
        <w:rPr>
          <w:lang w:val="fr-FR"/>
        </w:rPr>
        <w:t>’</w:t>
      </w:r>
      <w:r w:rsidRPr="00F720A6">
        <w:rPr>
          <w:lang w:val="fr-FR"/>
        </w:rPr>
        <w:t>ont donc pas la possibilité d</w:t>
      </w:r>
      <w:r w:rsidR="00254912">
        <w:rPr>
          <w:lang w:val="fr-FR"/>
        </w:rPr>
        <w:t>’</w:t>
      </w:r>
      <w:r w:rsidRPr="00F720A6">
        <w:rPr>
          <w:lang w:val="fr-FR"/>
        </w:rPr>
        <w:t>être intégrés dans le processus éducatif normal. Des travailleurs sociaux, des psychologues, des éducateurs, des conseillers et d</w:t>
      </w:r>
      <w:r w:rsidR="00254912">
        <w:rPr>
          <w:lang w:val="fr-FR"/>
        </w:rPr>
        <w:t>’</w:t>
      </w:r>
      <w:r w:rsidRPr="00F720A6">
        <w:rPr>
          <w:lang w:val="fr-FR"/>
        </w:rPr>
        <w:t>autres services professionnels présents au Centre d</w:t>
      </w:r>
      <w:r w:rsidR="00254912">
        <w:rPr>
          <w:lang w:val="fr-FR"/>
        </w:rPr>
        <w:t>’</w:t>
      </w:r>
      <w:r w:rsidRPr="00F720A6">
        <w:rPr>
          <w:lang w:val="fr-FR"/>
        </w:rPr>
        <w:t>accueil travaillent à la protection des familles et des enfants pendant leur séjour.</w:t>
      </w:r>
    </w:p>
    <w:p w14:paraId="7802F2D4" w14:textId="77777777" w:rsidR="003C48D6" w:rsidRPr="00F720A6" w:rsidRDefault="003C48D6" w:rsidP="00F079E8">
      <w:pPr>
        <w:pStyle w:val="SingleTxtG"/>
        <w:rPr>
          <w:lang w:val="fr-FR"/>
        </w:rPr>
      </w:pPr>
      <w:r w:rsidRPr="00F720A6">
        <w:rPr>
          <w:lang w:val="fr-FR"/>
        </w:rPr>
        <w:t>178.</w:t>
      </w:r>
      <w:r w:rsidRPr="00F720A6">
        <w:rPr>
          <w:lang w:val="fr-FR"/>
        </w:rPr>
        <w:tab/>
        <w:t>Des mesures de désignation d</w:t>
      </w:r>
      <w:r w:rsidR="00254912">
        <w:rPr>
          <w:lang w:val="fr-FR"/>
        </w:rPr>
        <w:t>’</w:t>
      </w:r>
      <w:r w:rsidRPr="00F720A6">
        <w:rPr>
          <w:lang w:val="fr-FR"/>
        </w:rPr>
        <w:t>office du tuteur légal sont appliquées pour l</w:t>
      </w:r>
      <w:r w:rsidR="00254912">
        <w:rPr>
          <w:lang w:val="fr-FR"/>
        </w:rPr>
        <w:t>’</w:t>
      </w:r>
      <w:r w:rsidRPr="00F720A6">
        <w:rPr>
          <w:lang w:val="fr-FR"/>
        </w:rPr>
        <w:t>admission des enfants non accompagnés, lequel dirige ensuite la procédure pour une prise en charge adéquate de ces enfants.</w:t>
      </w:r>
    </w:p>
    <w:p w14:paraId="242A9A77" w14:textId="77777777" w:rsidR="003C48D6" w:rsidRPr="00F720A6" w:rsidRDefault="003C48D6" w:rsidP="00F079E8">
      <w:pPr>
        <w:pStyle w:val="SingleTxtG"/>
        <w:rPr>
          <w:lang w:val="fr-FR"/>
        </w:rPr>
      </w:pPr>
      <w:r w:rsidRPr="00F720A6">
        <w:rPr>
          <w:lang w:val="fr-FR"/>
        </w:rPr>
        <w:t>179.</w:t>
      </w:r>
      <w:r w:rsidRPr="00F720A6">
        <w:rPr>
          <w:lang w:val="fr-FR"/>
        </w:rPr>
        <w:tab/>
        <w:t>Pour la période 2014-2018, le Ministère du travail et de la politique sociale a conclu des accords annuels avec le HCR qui, à l</w:t>
      </w:r>
      <w:r w:rsidR="00254912">
        <w:rPr>
          <w:lang w:val="fr-FR"/>
        </w:rPr>
        <w:t>’</w:t>
      </w:r>
      <w:r w:rsidRPr="00F720A6">
        <w:rPr>
          <w:lang w:val="fr-FR"/>
        </w:rPr>
        <w:t xml:space="preserve">instar des </w:t>
      </w:r>
      <w:proofErr w:type="spellStart"/>
      <w:r w:rsidRPr="00F720A6">
        <w:rPr>
          <w:lang w:val="fr-FR"/>
        </w:rPr>
        <w:t>mémorandums</w:t>
      </w:r>
      <w:proofErr w:type="spellEnd"/>
      <w:r w:rsidRPr="00F720A6">
        <w:rPr>
          <w:lang w:val="fr-FR"/>
        </w:rPr>
        <w:t xml:space="preserve"> de coopération que le Ministère passe avec une ONG partenaire, portent sur des questions relatives à l</w:t>
      </w:r>
      <w:r w:rsidR="00254912">
        <w:rPr>
          <w:lang w:val="fr-FR"/>
        </w:rPr>
        <w:t>’</w:t>
      </w:r>
      <w:r w:rsidRPr="00F720A6">
        <w:rPr>
          <w:lang w:val="fr-FR"/>
        </w:rPr>
        <w:t>accueil des demandeurs d</w:t>
      </w:r>
      <w:r w:rsidR="00254912">
        <w:rPr>
          <w:lang w:val="fr-FR"/>
        </w:rPr>
        <w:t>’</w:t>
      </w:r>
      <w:r w:rsidRPr="00F720A6">
        <w:rPr>
          <w:lang w:val="fr-FR"/>
        </w:rPr>
        <w:t>asile (enfants et catégories vulnérables)</w:t>
      </w:r>
      <w:r w:rsidRPr="002A465A">
        <w:rPr>
          <w:rStyle w:val="Appelnotedebasdep"/>
        </w:rPr>
        <w:footnoteReference w:id="44"/>
      </w:r>
      <w:r w:rsidRPr="00F720A6">
        <w:rPr>
          <w:lang w:val="fr-FR"/>
        </w:rPr>
        <w:t>. En vertu de la loi sur la protection internationale et temporaire (avril 2018), le Ministère du travail et de la politique sociale est également chargé d</w:t>
      </w:r>
      <w:r w:rsidR="00254912">
        <w:rPr>
          <w:lang w:val="fr-FR"/>
        </w:rPr>
        <w:t>’</w:t>
      </w:r>
      <w:r w:rsidRPr="00F720A6">
        <w:rPr>
          <w:lang w:val="fr-FR"/>
        </w:rPr>
        <w:t>adopter des règlements spéciaux ainsi que des recueils de règles sur l</w:t>
      </w:r>
      <w:r w:rsidR="00254912">
        <w:rPr>
          <w:lang w:val="fr-FR"/>
        </w:rPr>
        <w:t>’</w:t>
      </w:r>
      <w:r w:rsidRPr="00F720A6">
        <w:rPr>
          <w:lang w:val="fr-FR"/>
        </w:rPr>
        <w:t>accueil des demandeurs d</w:t>
      </w:r>
      <w:r w:rsidR="00254912">
        <w:rPr>
          <w:lang w:val="fr-FR"/>
        </w:rPr>
        <w:t>’</w:t>
      </w:r>
      <w:r w:rsidRPr="00F720A6">
        <w:rPr>
          <w:lang w:val="fr-FR"/>
        </w:rPr>
        <w:t>asile, des enfants non accompagnés et des catégories de personnes vulnérables sous protection internationale. En même temps, ce Ministère travaille également à l</w:t>
      </w:r>
      <w:r w:rsidR="00254912">
        <w:rPr>
          <w:lang w:val="fr-FR"/>
        </w:rPr>
        <w:t>’</w:t>
      </w:r>
      <w:r w:rsidRPr="00F720A6">
        <w:rPr>
          <w:lang w:val="fr-FR"/>
        </w:rPr>
        <w:t>adoption d</w:t>
      </w:r>
      <w:r w:rsidR="00254912">
        <w:rPr>
          <w:lang w:val="fr-FR"/>
        </w:rPr>
        <w:t>’</w:t>
      </w:r>
      <w:r w:rsidRPr="00F720A6">
        <w:rPr>
          <w:lang w:val="fr-FR"/>
        </w:rPr>
        <w:t>un protocole interministériel définissant la procédure et les obligations liées au regroupement familial et à la recherche des familles.</w:t>
      </w:r>
    </w:p>
    <w:p w14:paraId="11748CFE" w14:textId="77777777" w:rsidR="003C48D6" w:rsidRPr="00F720A6" w:rsidRDefault="003C48D6" w:rsidP="00F079E8">
      <w:pPr>
        <w:pStyle w:val="SingleTxtG"/>
        <w:rPr>
          <w:lang w:val="fr-FR"/>
        </w:rPr>
      </w:pPr>
      <w:r w:rsidRPr="00F720A6">
        <w:rPr>
          <w:lang w:val="fr-FR"/>
        </w:rPr>
        <w:t>180.</w:t>
      </w:r>
      <w:r w:rsidRPr="00F720A6">
        <w:rPr>
          <w:lang w:val="fr-FR"/>
        </w:rPr>
        <w:tab/>
        <w:t>Lors de la dernière crise des réfugiés en 2015, en coopération avec l</w:t>
      </w:r>
      <w:r w:rsidR="00254912">
        <w:rPr>
          <w:lang w:val="fr-FR"/>
        </w:rPr>
        <w:t>’</w:t>
      </w:r>
      <w:r w:rsidRPr="00F720A6">
        <w:rPr>
          <w:lang w:val="fr-FR"/>
        </w:rPr>
        <w:t>UNICEF, le</w:t>
      </w:r>
      <w:r w:rsidR="00B737D4">
        <w:rPr>
          <w:lang w:val="fr-FR"/>
        </w:rPr>
        <w:t> </w:t>
      </w:r>
      <w:r w:rsidRPr="00F720A6">
        <w:rPr>
          <w:lang w:val="fr-FR"/>
        </w:rPr>
        <w:t>Ministère du travail et de la politique sociale a engagé des travailleurs sociaux de terrain formés au profilage de différents types de risques sociaux, afin de parvenir à une identification précoce et une intervention appropriée sur des cas spécifiques. C</w:t>
      </w:r>
      <w:r w:rsidR="00254912">
        <w:rPr>
          <w:lang w:val="fr-FR"/>
        </w:rPr>
        <w:t>’</w:t>
      </w:r>
      <w:r w:rsidRPr="00F720A6">
        <w:rPr>
          <w:lang w:val="fr-FR"/>
        </w:rPr>
        <w:t>est dans ce contexte que le Ministère s</w:t>
      </w:r>
      <w:r w:rsidR="00254912">
        <w:rPr>
          <w:lang w:val="fr-FR"/>
        </w:rPr>
        <w:t>’</w:t>
      </w:r>
      <w:r w:rsidRPr="00F720A6">
        <w:rPr>
          <w:lang w:val="fr-FR"/>
        </w:rPr>
        <w:t>est engagé dans le groupe de travail chargé de la rédaction et de l</w:t>
      </w:r>
      <w:r w:rsidR="00254912">
        <w:rPr>
          <w:lang w:val="fr-FR"/>
        </w:rPr>
        <w:t>’</w:t>
      </w:r>
      <w:r w:rsidRPr="00F720A6">
        <w:rPr>
          <w:lang w:val="fr-FR"/>
        </w:rPr>
        <w:t>adoption des deux procédures opérationnelles normalisées : l</w:t>
      </w:r>
      <w:r w:rsidR="00254912">
        <w:rPr>
          <w:lang w:val="fr-FR"/>
        </w:rPr>
        <w:t>’</w:t>
      </w:r>
      <w:r w:rsidRPr="00F720A6">
        <w:rPr>
          <w:lang w:val="fr-FR"/>
        </w:rPr>
        <w:t xml:space="preserve">une pour le traitement des </w:t>
      </w:r>
      <w:r w:rsidRPr="00F720A6">
        <w:rPr>
          <w:lang w:val="fr-FR"/>
        </w:rPr>
        <w:lastRenderedPageBreak/>
        <w:t>mineurs non accompagnés, l</w:t>
      </w:r>
      <w:r w:rsidR="00254912">
        <w:rPr>
          <w:lang w:val="fr-FR"/>
        </w:rPr>
        <w:t>’</w:t>
      </w:r>
      <w:r w:rsidRPr="00F720A6">
        <w:rPr>
          <w:lang w:val="fr-FR"/>
        </w:rPr>
        <w:t>autre pour le traitement des catégories vulnérables de réfugiés (le Ministère de l</w:t>
      </w:r>
      <w:r w:rsidR="00254912">
        <w:rPr>
          <w:lang w:val="fr-FR"/>
        </w:rPr>
        <w:t>’</w:t>
      </w:r>
      <w:r w:rsidRPr="00F720A6">
        <w:rPr>
          <w:lang w:val="fr-FR"/>
        </w:rPr>
        <w:t>intérieur en devenant l</w:t>
      </w:r>
      <w:r w:rsidR="00254912">
        <w:rPr>
          <w:lang w:val="fr-FR"/>
        </w:rPr>
        <w:t>’</w:t>
      </w:r>
      <w:r w:rsidRPr="00F720A6">
        <w:rPr>
          <w:lang w:val="fr-FR"/>
        </w:rPr>
        <w:t>organisme d</w:t>
      </w:r>
      <w:r w:rsidR="00254912">
        <w:rPr>
          <w:lang w:val="fr-FR"/>
        </w:rPr>
        <w:t>’</w:t>
      </w:r>
      <w:r w:rsidRPr="00F720A6">
        <w:rPr>
          <w:lang w:val="fr-FR"/>
        </w:rPr>
        <w:t>exécution).</w:t>
      </w:r>
    </w:p>
    <w:p w14:paraId="3F51A3DF" w14:textId="77777777" w:rsidR="003C48D6" w:rsidRPr="00F720A6" w:rsidRDefault="003C48D6" w:rsidP="00F079E8">
      <w:pPr>
        <w:pStyle w:val="SingleTxtG"/>
        <w:rPr>
          <w:lang w:val="fr-FR"/>
        </w:rPr>
      </w:pPr>
      <w:r w:rsidRPr="00F720A6">
        <w:rPr>
          <w:lang w:val="fr-FR"/>
        </w:rPr>
        <w:t>181.</w:t>
      </w:r>
      <w:r w:rsidRPr="00F720A6">
        <w:rPr>
          <w:lang w:val="fr-FR"/>
        </w:rPr>
        <w:tab/>
        <w:t>En 2009, un Centre d</w:t>
      </w:r>
      <w:r w:rsidR="00254912">
        <w:rPr>
          <w:lang w:val="fr-FR"/>
        </w:rPr>
        <w:t>’</w:t>
      </w:r>
      <w:r w:rsidRPr="00F720A6">
        <w:rPr>
          <w:lang w:val="fr-FR"/>
        </w:rPr>
        <w:t>intégration des réfugiés et des étrangers a été créé afin d</w:t>
      </w:r>
      <w:r w:rsidR="00254912">
        <w:rPr>
          <w:lang w:val="fr-FR"/>
        </w:rPr>
        <w:t>’</w:t>
      </w:r>
      <w:r w:rsidRPr="00F720A6">
        <w:rPr>
          <w:lang w:val="fr-FR"/>
        </w:rPr>
        <w:t>élaborer des plans d</w:t>
      </w:r>
      <w:r w:rsidR="00254912">
        <w:rPr>
          <w:lang w:val="fr-FR"/>
        </w:rPr>
        <w:t>’</w:t>
      </w:r>
      <w:r w:rsidRPr="00F720A6">
        <w:rPr>
          <w:lang w:val="fr-FR"/>
        </w:rPr>
        <w:t>intégration individualisés et suivre les actions prévues pour ces personnes. Il demeure indispensable d</w:t>
      </w:r>
      <w:r w:rsidR="00254912">
        <w:rPr>
          <w:lang w:val="fr-FR"/>
        </w:rPr>
        <w:t>’</w:t>
      </w:r>
      <w:r w:rsidRPr="00F720A6">
        <w:rPr>
          <w:lang w:val="fr-FR"/>
        </w:rPr>
        <w:t>élaborer des mécanismes spéciaux pour la détection des enfants impliqués dans les conflits armés, et de former en conséquence le personnel qui travaillerait avec cette catégorie d</w:t>
      </w:r>
      <w:r w:rsidR="00254912">
        <w:rPr>
          <w:lang w:val="fr-FR"/>
        </w:rPr>
        <w:t>’</w:t>
      </w:r>
      <w:r w:rsidRPr="00F720A6">
        <w:rPr>
          <w:lang w:val="fr-FR"/>
        </w:rPr>
        <w:t>enfants.</w:t>
      </w:r>
    </w:p>
    <w:p w14:paraId="3A08734F" w14:textId="77777777" w:rsidR="003C48D6" w:rsidRPr="00F720A6" w:rsidRDefault="003C48D6" w:rsidP="00F079E8">
      <w:pPr>
        <w:pStyle w:val="SingleTxtG"/>
        <w:rPr>
          <w:lang w:val="fr-FR"/>
        </w:rPr>
      </w:pPr>
      <w:r w:rsidRPr="00F720A6">
        <w:rPr>
          <w:lang w:val="fr-FR"/>
        </w:rPr>
        <w:t>182.</w:t>
      </w:r>
      <w:r w:rsidRPr="00F720A6">
        <w:rPr>
          <w:lang w:val="fr-FR"/>
        </w:rPr>
        <w:tab/>
        <w:t>Selon les données statistiques, le nombre d</w:t>
      </w:r>
      <w:r w:rsidR="00254912">
        <w:rPr>
          <w:lang w:val="fr-FR"/>
        </w:rPr>
        <w:t>’</w:t>
      </w:r>
      <w:r w:rsidRPr="00F720A6">
        <w:rPr>
          <w:lang w:val="fr-FR"/>
        </w:rPr>
        <w:t>enfants déplacés chaque année à l</w:t>
      </w:r>
      <w:r w:rsidR="00254912">
        <w:rPr>
          <w:lang w:val="fr-FR"/>
        </w:rPr>
        <w:t>’</w:t>
      </w:r>
      <w:r w:rsidRPr="00F720A6">
        <w:rPr>
          <w:lang w:val="fr-FR"/>
        </w:rPr>
        <w:t>intérieur du pays est le suivant : en 2014, 46 enfants ; en 2015, 60 enfants ; en 2016, 54 enfants ; en</w:t>
      </w:r>
      <w:r w:rsidR="00B737D4">
        <w:rPr>
          <w:lang w:val="fr-FR"/>
        </w:rPr>
        <w:t> </w:t>
      </w:r>
      <w:r w:rsidRPr="00F720A6">
        <w:rPr>
          <w:lang w:val="fr-FR"/>
        </w:rPr>
        <w:t xml:space="preserve">2017, 47 enfants ; et en 2018, 44 enfants. </w:t>
      </w:r>
    </w:p>
    <w:p w14:paraId="713C7A9C" w14:textId="77777777" w:rsidR="003C48D6" w:rsidRPr="00F720A6" w:rsidRDefault="003C48D6" w:rsidP="00F079E8">
      <w:pPr>
        <w:pStyle w:val="H23G"/>
        <w:rPr>
          <w:rStyle w:val="Appelnotedebasdep"/>
          <w:lang w:val="fr-FR"/>
        </w:rPr>
      </w:pPr>
      <w:r w:rsidRPr="00F720A6">
        <w:rPr>
          <w:lang w:val="fr-FR"/>
        </w:rPr>
        <w:tab/>
      </w:r>
      <w:r w:rsidRPr="00F720A6">
        <w:rPr>
          <w:lang w:val="fr-FR"/>
        </w:rPr>
        <w:tab/>
        <w:t>Données sur les enfants demandeurs d</w:t>
      </w:r>
      <w:r w:rsidR="00254912">
        <w:rPr>
          <w:lang w:val="fr-FR"/>
        </w:rPr>
        <w:t>’</w:t>
      </w:r>
      <w:r w:rsidRPr="00F720A6">
        <w:rPr>
          <w:lang w:val="fr-FR"/>
        </w:rPr>
        <w:t>asile, de 2014 à juin 2018</w:t>
      </w:r>
      <w:r w:rsidRPr="00F079E8">
        <w:rPr>
          <w:rStyle w:val="Appelnotedebasdep"/>
          <w:b w:val="0"/>
          <w:bCs/>
        </w:rPr>
        <w:footnoteReference w:id="45"/>
      </w:r>
      <w:bookmarkStart w:id="72" w:name="_Toc56781471"/>
      <w:bookmarkEnd w:id="72"/>
    </w:p>
    <w:tbl>
      <w:tblPr>
        <w:tblW w:w="7370" w:type="dxa"/>
        <w:tblInd w:w="1134" w:type="dxa"/>
        <w:tblLayout w:type="fixed"/>
        <w:tblCellMar>
          <w:left w:w="0" w:type="dxa"/>
          <w:right w:w="0" w:type="dxa"/>
        </w:tblCellMar>
        <w:tblLook w:val="00A0" w:firstRow="1" w:lastRow="0" w:firstColumn="1" w:lastColumn="0" w:noHBand="0" w:noVBand="0"/>
      </w:tblPr>
      <w:tblGrid>
        <w:gridCol w:w="2185"/>
        <w:gridCol w:w="2527"/>
        <w:gridCol w:w="2658"/>
      </w:tblGrid>
      <w:tr w:rsidR="003C48D6" w:rsidRPr="00F079E8" w14:paraId="0B135489" w14:textId="77777777" w:rsidTr="00F079E8">
        <w:trPr>
          <w:tblHeader/>
        </w:trPr>
        <w:tc>
          <w:tcPr>
            <w:tcW w:w="2854" w:type="dxa"/>
            <w:tcBorders>
              <w:top w:val="single" w:sz="4" w:space="0" w:color="auto"/>
              <w:bottom w:val="single" w:sz="12" w:space="0" w:color="auto"/>
            </w:tcBorders>
            <w:shd w:val="clear" w:color="auto" w:fill="auto"/>
            <w:noWrap/>
            <w:vAlign w:val="bottom"/>
          </w:tcPr>
          <w:p w14:paraId="38389581" w14:textId="77777777" w:rsidR="003C48D6" w:rsidRPr="00F079E8" w:rsidRDefault="003C48D6" w:rsidP="00F079E8">
            <w:pPr>
              <w:suppressAutoHyphens w:val="0"/>
              <w:spacing w:before="80" w:after="80" w:line="200" w:lineRule="exact"/>
              <w:rPr>
                <w:i/>
                <w:sz w:val="16"/>
                <w:lang w:val="fr-FR"/>
              </w:rPr>
            </w:pPr>
            <w:r w:rsidRPr="00F079E8">
              <w:rPr>
                <w:i/>
                <w:sz w:val="16"/>
                <w:lang w:val="fr-FR"/>
              </w:rPr>
              <w:t>Année</w:t>
            </w:r>
          </w:p>
        </w:tc>
        <w:tc>
          <w:tcPr>
            <w:tcW w:w="3301" w:type="dxa"/>
            <w:tcBorders>
              <w:top w:val="single" w:sz="4" w:space="0" w:color="auto"/>
              <w:bottom w:val="single" w:sz="12" w:space="0" w:color="auto"/>
            </w:tcBorders>
            <w:shd w:val="clear" w:color="auto" w:fill="auto"/>
            <w:noWrap/>
            <w:vAlign w:val="bottom"/>
          </w:tcPr>
          <w:p w14:paraId="6DCC3FD1"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Mineurs accompagnés</w:t>
            </w:r>
          </w:p>
        </w:tc>
        <w:tc>
          <w:tcPr>
            <w:tcW w:w="3473" w:type="dxa"/>
            <w:tcBorders>
              <w:top w:val="single" w:sz="4" w:space="0" w:color="auto"/>
              <w:bottom w:val="single" w:sz="12" w:space="0" w:color="auto"/>
            </w:tcBorders>
            <w:shd w:val="clear" w:color="auto" w:fill="auto"/>
            <w:noWrap/>
            <w:vAlign w:val="bottom"/>
          </w:tcPr>
          <w:p w14:paraId="4FB9197B"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Mineurs non accompagnés</w:t>
            </w:r>
          </w:p>
        </w:tc>
      </w:tr>
      <w:tr w:rsidR="003C48D6" w:rsidRPr="00F079E8" w14:paraId="5E227EB0" w14:textId="77777777" w:rsidTr="00F079E8">
        <w:tc>
          <w:tcPr>
            <w:tcW w:w="2854" w:type="dxa"/>
            <w:tcBorders>
              <w:top w:val="single" w:sz="12" w:space="0" w:color="auto"/>
            </w:tcBorders>
            <w:shd w:val="clear" w:color="auto" w:fill="auto"/>
            <w:noWrap/>
          </w:tcPr>
          <w:p w14:paraId="7F9EBEDE"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2014</w:t>
            </w:r>
          </w:p>
        </w:tc>
        <w:tc>
          <w:tcPr>
            <w:tcW w:w="3301" w:type="dxa"/>
            <w:tcBorders>
              <w:top w:val="single" w:sz="12" w:space="0" w:color="auto"/>
            </w:tcBorders>
            <w:shd w:val="clear" w:color="auto" w:fill="auto"/>
            <w:noWrap/>
            <w:vAlign w:val="bottom"/>
          </w:tcPr>
          <w:p w14:paraId="080D4635"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114</w:t>
            </w:r>
          </w:p>
        </w:tc>
        <w:tc>
          <w:tcPr>
            <w:tcW w:w="3473" w:type="dxa"/>
            <w:tcBorders>
              <w:top w:val="single" w:sz="12" w:space="0" w:color="auto"/>
            </w:tcBorders>
            <w:shd w:val="clear" w:color="auto" w:fill="auto"/>
            <w:noWrap/>
            <w:vAlign w:val="bottom"/>
          </w:tcPr>
          <w:p w14:paraId="004B26F7"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99 personnes</w:t>
            </w:r>
          </w:p>
        </w:tc>
      </w:tr>
      <w:tr w:rsidR="003C48D6" w:rsidRPr="00F079E8" w14:paraId="0B675B9E" w14:textId="77777777" w:rsidTr="00F079E8">
        <w:tc>
          <w:tcPr>
            <w:tcW w:w="2854" w:type="dxa"/>
            <w:shd w:val="clear" w:color="auto" w:fill="auto"/>
            <w:noWrap/>
          </w:tcPr>
          <w:p w14:paraId="6C62FF2D"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2015</w:t>
            </w:r>
          </w:p>
        </w:tc>
        <w:tc>
          <w:tcPr>
            <w:tcW w:w="3301" w:type="dxa"/>
            <w:shd w:val="clear" w:color="auto" w:fill="auto"/>
            <w:noWrap/>
            <w:vAlign w:val="bottom"/>
          </w:tcPr>
          <w:p w14:paraId="2CE45663"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308</w:t>
            </w:r>
          </w:p>
        </w:tc>
        <w:tc>
          <w:tcPr>
            <w:tcW w:w="3473" w:type="dxa"/>
            <w:shd w:val="clear" w:color="auto" w:fill="auto"/>
            <w:noWrap/>
            <w:vAlign w:val="bottom"/>
          </w:tcPr>
          <w:p w14:paraId="4ED2E350"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116 personnes</w:t>
            </w:r>
          </w:p>
        </w:tc>
      </w:tr>
      <w:tr w:rsidR="003C48D6" w:rsidRPr="00F079E8" w14:paraId="155CCDD1" w14:textId="77777777" w:rsidTr="00F079E8">
        <w:tc>
          <w:tcPr>
            <w:tcW w:w="2854" w:type="dxa"/>
            <w:shd w:val="clear" w:color="auto" w:fill="auto"/>
            <w:noWrap/>
          </w:tcPr>
          <w:p w14:paraId="173270ED"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2016</w:t>
            </w:r>
          </w:p>
        </w:tc>
        <w:tc>
          <w:tcPr>
            <w:tcW w:w="3301" w:type="dxa"/>
            <w:shd w:val="clear" w:color="auto" w:fill="auto"/>
            <w:noWrap/>
            <w:vAlign w:val="bottom"/>
          </w:tcPr>
          <w:p w14:paraId="0522F43D"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157</w:t>
            </w:r>
          </w:p>
        </w:tc>
        <w:tc>
          <w:tcPr>
            <w:tcW w:w="3473" w:type="dxa"/>
            <w:shd w:val="clear" w:color="auto" w:fill="auto"/>
            <w:noWrap/>
            <w:vAlign w:val="bottom"/>
          </w:tcPr>
          <w:p w14:paraId="29008E38"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36 personnes</w:t>
            </w:r>
          </w:p>
        </w:tc>
      </w:tr>
      <w:tr w:rsidR="003C48D6" w:rsidRPr="00F079E8" w14:paraId="3C74EFB4" w14:textId="77777777" w:rsidTr="00F079E8">
        <w:tc>
          <w:tcPr>
            <w:tcW w:w="2854" w:type="dxa"/>
            <w:shd w:val="clear" w:color="auto" w:fill="auto"/>
            <w:noWrap/>
          </w:tcPr>
          <w:p w14:paraId="24508BBE"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2017</w:t>
            </w:r>
          </w:p>
        </w:tc>
        <w:tc>
          <w:tcPr>
            <w:tcW w:w="3301" w:type="dxa"/>
            <w:shd w:val="clear" w:color="auto" w:fill="auto"/>
            <w:noWrap/>
            <w:vAlign w:val="bottom"/>
          </w:tcPr>
          <w:p w14:paraId="410DB012"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15</w:t>
            </w:r>
          </w:p>
        </w:tc>
        <w:tc>
          <w:tcPr>
            <w:tcW w:w="3473" w:type="dxa"/>
            <w:shd w:val="clear" w:color="auto" w:fill="auto"/>
            <w:noWrap/>
            <w:vAlign w:val="bottom"/>
          </w:tcPr>
          <w:p w14:paraId="45287748"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13 personnes</w:t>
            </w:r>
          </w:p>
        </w:tc>
      </w:tr>
      <w:tr w:rsidR="003C48D6" w:rsidRPr="00F079E8" w14:paraId="0EF2912C" w14:textId="77777777" w:rsidTr="00F079E8">
        <w:tc>
          <w:tcPr>
            <w:tcW w:w="2854" w:type="dxa"/>
            <w:tcBorders>
              <w:bottom w:val="single" w:sz="12" w:space="0" w:color="auto"/>
            </w:tcBorders>
            <w:shd w:val="clear" w:color="auto" w:fill="auto"/>
            <w:noWrap/>
          </w:tcPr>
          <w:p w14:paraId="6D1CB177"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Janvier à juin 2018</w:t>
            </w:r>
          </w:p>
        </w:tc>
        <w:tc>
          <w:tcPr>
            <w:tcW w:w="3301" w:type="dxa"/>
            <w:tcBorders>
              <w:bottom w:val="single" w:sz="12" w:space="0" w:color="auto"/>
            </w:tcBorders>
            <w:shd w:val="clear" w:color="auto" w:fill="auto"/>
            <w:noWrap/>
            <w:vAlign w:val="bottom"/>
          </w:tcPr>
          <w:p w14:paraId="00D123B6"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27</w:t>
            </w:r>
          </w:p>
        </w:tc>
        <w:tc>
          <w:tcPr>
            <w:tcW w:w="3473" w:type="dxa"/>
            <w:tcBorders>
              <w:bottom w:val="single" w:sz="12" w:space="0" w:color="auto"/>
            </w:tcBorders>
            <w:shd w:val="clear" w:color="auto" w:fill="auto"/>
            <w:noWrap/>
            <w:vAlign w:val="bottom"/>
          </w:tcPr>
          <w:p w14:paraId="7253ABCB"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5 personnes</w:t>
            </w:r>
          </w:p>
        </w:tc>
      </w:tr>
    </w:tbl>
    <w:p w14:paraId="0AB7FEC2" w14:textId="77777777" w:rsidR="003C48D6" w:rsidRPr="00F720A6" w:rsidRDefault="003C48D6" w:rsidP="00B737D4">
      <w:pPr>
        <w:pStyle w:val="SingleTxtG"/>
        <w:spacing w:before="240"/>
        <w:rPr>
          <w:lang w:val="fr-FR"/>
        </w:rPr>
      </w:pPr>
      <w:r w:rsidRPr="00F720A6">
        <w:rPr>
          <w:lang w:val="fr-FR"/>
        </w:rPr>
        <w:t>183.</w:t>
      </w:r>
      <w:r w:rsidRPr="00F720A6">
        <w:rPr>
          <w:lang w:val="fr-FR"/>
        </w:rPr>
        <w:tab/>
        <w:t>Les données statistiques sur l</w:t>
      </w:r>
      <w:r w:rsidR="00254912">
        <w:rPr>
          <w:lang w:val="fr-FR"/>
        </w:rPr>
        <w:t>’</w:t>
      </w:r>
      <w:r w:rsidRPr="00F720A6">
        <w:rPr>
          <w:lang w:val="fr-FR"/>
        </w:rPr>
        <w:t>admission des enfants demandeurs d</w:t>
      </w:r>
      <w:r w:rsidR="00254912">
        <w:rPr>
          <w:lang w:val="fr-FR"/>
        </w:rPr>
        <w:t>’</w:t>
      </w:r>
      <w:r w:rsidRPr="00F720A6">
        <w:rPr>
          <w:lang w:val="fr-FR"/>
        </w:rPr>
        <w:t>asile désignent la Syrie, l</w:t>
      </w:r>
      <w:r w:rsidR="00254912">
        <w:rPr>
          <w:lang w:val="fr-FR"/>
        </w:rPr>
        <w:t>’</w:t>
      </w:r>
      <w:r w:rsidRPr="00F720A6">
        <w:rPr>
          <w:lang w:val="fr-FR"/>
        </w:rPr>
        <w:t>Afghanistan et l</w:t>
      </w:r>
      <w:r w:rsidR="00254912">
        <w:rPr>
          <w:lang w:val="fr-FR"/>
        </w:rPr>
        <w:t>’</w:t>
      </w:r>
      <w:r w:rsidRPr="00F720A6">
        <w:rPr>
          <w:lang w:val="fr-FR"/>
        </w:rPr>
        <w:t>Irak comme les trois premiers pays d</w:t>
      </w:r>
      <w:r w:rsidR="00254912">
        <w:rPr>
          <w:lang w:val="fr-FR"/>
        </w:rPr>
        <w:t>’</w:t>
      </w:r>
      <w:r w:rsidRPr="00F720A6">
        <w:rPr>
          <w:lang w:val="fr-FR"/>
        </w:rPr>
        <w:t>origine.</w:t>
      </w:r>
    </w:p>
    <w:p w14:paraId="4FB50DAD" w14:textId="77777777" w:rsidR="003C48D6" w:rsidRPr="00F720A6" w:rsidRDefault="003C48D6" w:rsidP="00F079E8">
      <w:pPr>
        <w:pStyle w:val="SingleTxtG"/>
        <w:rPr>
          <w:lang w:val="fr-FR"/>
        </w:rPr>
      </w:pPr>
      <w:bookmarkStart w:id="73" w:name="_Hlk518297599"/>
      <w:r w:rsidRPr="00F720A6">
        <w:rPr>
          <w:lang w:val="fr-FR"/>
        </w:rPr>
        <w:t>184.</w:t>
      </w:r>
      <w:r w:rsidRPr="00F720A6">
        <w:rPr>
          <w:lang w:val="fr-FR"/>
        </w:rPr>
        <w:tab/>
        <w:t>Quatre-vingt</w:t>
      </w:r>
      <w:r w:rsidR="00F079E8">
        <w:rPr>
          <w:lang w:val="fr-FR"/>
        </w:rPr>
        <w:t>-</w:t>
      </w:r>
      <w:r w:rsidRPr="00F720A6">
        <w:rPr>
          <w:lang w:val="fr-FR"/>
        </w:rPr>
        <w:t xml:space="preserve">trois enfants bénéficient du statut de protection subsidiaire ou ont été admis au statut de réfugié en 2018, parmi lesquels huit ont été reconnus comme réfugiés et 75 ont le statut de personne sous protection subsidiaire. </w:t>
      </w:r>
      <w:bookmarkEnd w:id="73"/>
    </w:p>
    <w:p w14:paraId="6FDA7E56" w14:textId="77777777" w:rsidR="003C48D6" w:rsidRPr="00F720A6" w:rsidRDefault="003C48D6" w:rsidP="00F079E8">
      <w:pPr>
        <w:pStyle w:val="SingleTxtG"/>
        <w:rPr>
          <w:lang w:val="fr-FR"/>
        </w:rPr>
      </w:pPr>
      <w:r w:rsidRPr="00F720A6">
        <w:rPr>
          <w:lang w:val="fr-FR"/>
        </w:rPr>
        <w:t>185.</w:t>
      </w:r>
      <w:r w:rsidRPr="00F720A6">
        <w:rPr>
          <w:lang w:val="fr-FR"/>
        </w:rPr>
        <w:tab/>
        <w:t>Sur le nombre total d</w:t>
      </w:r>
      <w:r w:rsidR="00254912">
        <w:rPr>
          <w:lang w:val="fr-FR"/>
        </w:rPr>
        <w:t>’</w:t>
      </w:r>
      <w:r w:rsidRPr="00F720A6">
        <w:rPr>
          <w:lang w:val="fr-FR"/>
        </w:rPr>
        <w:t>enfants auxquels l</w:t>
      </w:r>
      <w:r w:rsidR="00254912">
        <w:rPr>
          <w:lang w:val="fr-FR"/>
        </w:rPr>
        <w:t>’</w:t>
      </w:r>
      <w:r w:rsidRPr="00F720A6">
        <w:rPr>
          <w:lang w:val="fr-FR"/>
        </w:rPr>
        <w:t>asile a été accordé, 16 sont d</w:t>
      </w:r>
      <w:r w:rsidR="00254912">
        <w:rPr>
          <w:lang w:val="fr-FR"/>
        </w:rPr>
        <w:t>’</w:t>
      </w:r>
      <w:r w:rsidRPr="00F720A6">
        <w:rPr>
          <w:lang w:val="fr-FR"/>
        </w:rPr>
        <w:t>âge préscolaire, 35 sont scolarisés dans le cycle primaire et 15 dans le secondaire. L</w:t>
      </w:r>
      <w:r w:rsidR="00254912">
        <w:rPr>
          <w:lang w:val="fr-FR"/>
        </w:rPr>
        <w:t>’</w:t>
      </w:r>
      <w:r w:rsidRPr="00F720A6">
        <w:rPr>
          <w:lang w:val="fr-FR"/>
        </w:rPr>
        <w:t>assurance maladie de l</w:t>
      </w:r>
      <w:r w:rsidR="00254912">
        <w:rPr>
          <w:lang w:val="fr-FR"/>
        </w:rPr>
        <w:t>’</w:t>
      </w:r>
      <w:r w:rsidRPr="00F720A6">
        <w:rPr>
          <w:lang w:val="fr-FR"/>
        </w:rPr>
        <w:t>État couvre 71 enfants, soit 85 %.</w:t>
      </w:r>
    </w:p>
    <w:p w14:paraId="2C2D96F0" w14:textId="77777777" w:rsidR="003C48D6" w:rsidRPr="00F720A6" w:rsidRDefault="003C48D6" w:rsidP="00F079E8">
      <w:pPr>
        <w:pStyle w:val="SingleTxtG"/>
        <w:rPr>
          <w:lang w:val="fr-FR"/>
        </w:rPr>
      </w:pPr>
      <w:r w:rsidRPr="00F720A6">
        <w:rPr>
          <w:lang w:val="fr-FR"/>
        </w:rPr>
        <w:t>186.</w:t>
      </w:r>
      <w:r w:rsidRPr="00F720A6">
        <w:rPr>
          <w:lang w:val="fr-FR"/>
        </w:rPr>
        <w:tab/>
        <w:t>La loi garantit aux enfants demandeurs d</w:t>
      </w:r>
      <w:r w:rsidR="00254912">
        <w:rPr>
          <w:lang w:val="fr-FR"/>
        </w:rPr>
        <w:t>’</w:t>
      </w:r>
      <w:r w:rsidRPr="00F720A6">
        <w:rPr>
          <w:lang w:val="fr-FR"/>
        </w:rPr>
        <w:t>asile leur droit d</w:t>
      </w:r>
      <w:r w:rsidR="00254912">
        <w:rPr>
          <w:lang w:val="fr-FR"/>
        </w:rPr>
        <w:t>’</w:t>
      </w:r>
      <w:r w:rsidRPr="00F720A6">
        <w:rPr>
          <w:lang w:val="fr-FR"/>
        </w:rPr>
        <w:t>accès à l</w:t>
      </w:r>
      <w:r w:rsidR="00254912">
        <w:rPr>
          <w:lang w:val="fr-FR"/>
        </w:rPr>
        <w:t>’</w:t>
      </w:r>
      <w:r w:rsidRPr="00F720A6">
        <w:rPr>
          <w:lang w:val="fr-FR"/>
        </w:rPr>
        <w:t>éducation, mais du fait de la brièveté de leur séjour dans le pays, ils ne sont pas inscrits dans le régime scolaire ordinaire. Tous les enfants demandeurs d</w:t>
      </w:r>
      <w:r w:rsidR="00254912">
        <w:rPr>
          <w:lang w:val="fr-FR"/>
        </w:rPr>
        <w:t>’</w:t>
      </w:r>
      <w:r w:rsidRPr="00F720A6">
        <w:rPr>
          <w:lang w:val="fr-FR"/>
        </w:rPr>
        <w:t>asile peuvent bénéficier des services de soins de santé fournis par le Centre d</w:t>
      </w:r>
      <w:r w:rsidR="00254912">
        <w:rPr>
          <w:lang w:val="fr-FR"/>
        </w:rPr>
        <w:t>’</w:t>
      </w:r>
      <w:r w:rsidRPr="00F720A6">
        <w:rPr>
          <w:lang w:val="fr-FR"/>
        </w:rPr>
        <w:t>accueil pour demandeurs d</w:t>
      </w:r>
      <w:r w:rsidR="00254912">
        <w:rPr>
          <w:lang w:val="fr-FR"/>
        </w:rPr>
        <w:t>’</w:t>
      </w:r>
      <w:r w:rsidRPr="00F720A6">
        <w:rPr>
          <w:lang w:val="fr-FR"/>
        </w:rPr>
        <w:t>asile.</w:t>
      </w:r>
    </w:p>
    <w:p w14:paraId="6C044C07" w14:textId="77777777" w:rsidR="003C48D6" w:rsidRPr="00F720A6" w:rsidRDefault="003C48D6" w:rsidP="00F079E8">
      <w:pPr>
        <w:pStyle w:val="SingleTxtG"/>
        <w:rPr>
          <w:lang w:val="fr-FR"/>
        </w:rPr>
      </w:pPr>
      <w:r w:rsidRPr="00F720A6">
        <w:rPr>
          <w:lang w:val="fr-FR"/>
        </w:rPr>
        <w:t>187.</w:t>
      </w:r>
      <w:r w:rsidRPr="00F720A6">
        <w:rPr>
          <w:lang w:val="fr-FR"/>
        </w:rPr>
        <w:tab/>
        <w:t>En tant que citoyens macédoniens, les enfants qui demeurent des personnes déplacées dans leur propre pays ont pleinement accès à l</w:t>
      </w:r>
      <w:r w:rsidR="00254912">
        <w:rPr>
          <w:lang w:val="fr-FR"/>
        </w:rPr>
        <w:t>’</w:t>
      </w:r>
      <w:r w:rsidRPr="00F720A6">
        <w:rPr>
          <w:lang w:val="fr-FR"/>
        </w:rPr>
        <w:t>éducation et aux soins de santé.</w:t>
      </w:r>
    </w:p>
    <w:p w14:paraId="7BE59662" w14:textId="77777777" w:rsidR="003C48D6" w:rsidRPr="00F720A6" w:rsidRDefault="003C48D6" w:rsidP="00F079E8">
      <w:pPr>
        <w:pStyle w:val="SingleTxtG"/>
        <w:rPr>
          <w:lang w:val="fr-FR"/>
        </w:rPr>
      </w:pPr>
      <w:r w:rsidRPr="00F720A6">
        <w:rPr>
          <w:lang w:val="fr-FR"/>
        </w:rPr>
        <w:t>188.</w:t>
      </w:r>
      <w:r w:rsidRPr="00F720A6">
        <w:rPr>
          <w:lang w:val="fr-FR"/>
        </w:rPr>
        <w:tab/>
        <w:t>Étant donné que le Centre d</w:t>
      </w:r>
      <w:r w:rsidR="00254912">
        <w:rPr>
          <w:lang w:val="fr-FR"/>
        </w:rPr>
        <w:t>’</w:t>
      </w:r>
      <w:r w:rsidRPr="00F720A6">
        <w:rPr>
          <w:lang w:val="fr-FR"/>
        </w:rPr>
        <w:t>accueil pour demandeurs d</w:t>
      </w:r>
      <w:r w:rsidR="00254912">
        <w:rPr>
          <w:lang w:val="fr-FR"/>
        </w:rPr>
        <w:t>’</w:t>
      </w:r>
      <w:r w:rsidRPr="00F720A6">
        <w:rPr>
          <w:lang w:val="fr-FR"/>
        </w:rPr>
        <w:t>asile est un établissement de type ouvert, la plupart des demandeurs d</w:t>
      </w:r>
      <w:r w:rsidR="00254912">
        <w:rPr>
          <w:lang w:val="fr-FR"/>
        </w:rPr>
        <w:t>’</w:t>
      </w:r>
      <w:r w:rsidRPr="00F720A6">
        <w:rPr>
          <w:lang w:val="fr-FR"/>
        </w:rPr>
        <w:t>asile hésitent à attendre de recevoir les décisions relatives à la demande d</w:t>
      </w:r>
      <w:r w:rsidR="00254912">
        <w:rPr>
          <w:lang w:val="fr-FR"/>
        </w:rPr>
        <w:t>’</w:t>
      </w:r>
      <w:r w:rsidRPr="00F720A6">
        <w:rPr>
          <w:lang w:val="fr-FR"/>
        </w:rPr>
        <w:t>asile qu</w:t>
      </w:r>
      <w:r w:rsidR="00254912">
        <w:rPr>
          <w:lang w:val="fr-FR"/>
        </w:rPr>
        <w:t>’</w:t>
      </w:r>
      <w:r w:rsidRPr="00F720A6">
        <w:rPr>
          <w:lang w:val="fr-FR"/>
        </w:rPr>
        <w:t>ils ont présentée, car ils souhaitent quitter le pays le plus rapidement possible. Ils sont donc considérés comme des demandeurs d</w:t>
      </w:r>
      <w:r w:rsidR="00254912">
        <w:rPr>
          <w:lang w:val="fr-FR"/>
        </w:rPr>
        <w:t>’</w:t>
      </w:r>
      <w:r w:rsidRPr="00F720A6">
        <w:rPr>
          <w:lang w:val="fr-FR"/>
        </w:rPr>
        <w:t>asile dont la procédure, engagée à leur demande, a été interrompue du fait qu</w:t>
      </w:r>
      <w:r w:rsidR="00254912">
        <w:rPr>
          <w:lang w:val="fr-FR"/>
        </w:rPr>
        <w:t>’</w:t>
      </w:r>
      <w:r w:rsidRPr="00F720A6">
        <w:rPr>
          <w:lang w:val="fr-FR"/>
        </w:rPr>
        <w:t>ils ne se sont pas présentés devant les institutions compétentes pour l</w:t>
      </w:r>
      <w:r w:rsidR="00254912">
        <w:rPr>
          <w:lang w:val="fr-FR"/>
        </w:rPr>
        <w:t>’</w:t>
      </w:r>
      <w:r w:rsidRPr="00F720A6">
        <w:rPr>
          <w:lang w:val="fr-FR"/>
        </w:rPr>
        <w:t>entretien programmé.</w:t>
      </w:r>
    </w:p>
    <w:p w14:paraId="31C738E5" w14:textId="77777777" w:rsidR="003C48D6" w:rsidRPr="00F720A6" w:rsidRDefault="003C48D6" w:rsidP="00F079E8">
      <w:pPr>
        <w:pStyle w:val="H23G"/>
        <w:rPr>
          <w:lang w:val="fr-FR"/>
        </w:rPr>
      </w:pPr>
      <w:r w:rsidRPr="00F720A6">
        <w:rPr>
          <w:lang w:val="fr-FR"/>
        </w:rPr>
        <w:tab/>
        <w:t>b)</w:t>
      </w:r>
      <w:r w:rsidRPr="00F720A6">
        <w:rPr>
          <w:lang w:val="fr-FR"/>
        </w:rPr>
        <w:tab/>
        <w:t>Enfants appartenant à des minorités ou d</w:t>
      </w:r>
      <w:r w:rsidR="00254912">
        <w:rPr>
          <w:lang w:val="fr-FR"/>
        </w:rPr>
        <w:t>’</w:t>
      </w:r>
      <w:r w:rsidRPr="00F720A6">
        <w:rPr>
          <w:lang w:val="fr-FR"/>
        </w:rPr>
        <w:t>origine autochtone (art. 30)</w:t>
      </w:r>
      <w:bookmarkStart w:id="74" w:name="_Toc56781472"/>
      <w:bookmarkEnd w:id="74"/>
    </w:p>
    <w:p w14:paraId="42DE7671" w14:textId="77777777" w:rsidR="003C48D6" w:rsidRPr="00F720A6" w:rsidRDefault="003C48D6" w:rsidP="00F079E8">
      <w:pPr>
        <w:pStyle w:val="SingleTxtG"/>
        <w:rPr>
          <w:lang w:val="fr-FR"/>
        </w:rPr>
      </w:pPr>
      <w:r w:rsidRPr="00F720A6">
        <w:rPr>
          <w:lang w:val="fr-FR"/>
        </w:rPr>
        <w:t>189.</w:t>
      </w:r>
      <w:r w:rsidRPr="00F720A6">
        <w:rPr>
          <w:lang w:val="fr-FR"/>
        </w:rPr>
        <w:tab/>
        <w:t>En ce qui concerne l</w:t>
      </w:r>
      <w:r w:rsidR="00254912">
        <w:rPr>
          <w:lang w:val="fr-FR"/>
        </w:rPr>
        <w:t>’</w:t>
      </w:r>
      <w:r w:rsidRPr="00F720A6">
        <w:rPr>
          <w:lang w:val="fr-FR"/>
        </w:rPr>
        <w:t>objectif d</w:t>
      </w:r>
      <w:r w:rsidR="00254912">
        <w:rPr>
          <w:lang w:val="fr-FR"/>
        </w:rPr>
        <w:t>’</w:t>
      </w:r>
      <w:r w:rsidRPr="00F720A6">
        <w:rPr>
          <w:lang w:val="fr-FR"/>
        </w:rPr>
        <w:t>améliorer l</w:t>
      </w:r>
      <w:r w:rsidR="00254912">
        <w:rPr>
          <w:lang w:val="fr-FR"/>
        </w:rPr>
        <w:t>’</w:t>
      </w:r>
      <w:r w:rsidRPr="00F720A6">
        <w:rPr>
          <w:lang w:val="fr-FR"/>
        </w:rPr>
        <w:t>intégration des Roms dans la société, la</w:t>
      </w:r>
      <w:r w:rsidR="00B737D4">
        <w:rPr>
          <w:lang w:val="fr-FR"/>
        </w:rPr>
        <w:t> </w:t>
      </w:r>
      <w:r w:rsidRPr="00F720A6">
        <w:rPr>
          <w:lang w:val="fr-FR"/>
        </w:rPr>
        <w:t>mise en œuvre de nombreuses activités se poursuit conformément à la Stratégie pour les Roms 2014-2020. Le Ministère du travail et de la politique sociale, en coopération avec le Fonds pour l</w:t>
      </w:r>
      <w:r w:rsidR="00254912">
        <w:rPr>
          <w:lang w:val="fr-FR"/>
        </w:rPr>
        <w:t>’</w:t>
      </w:r>
      <w:r w:rsidRPr="00F720A6">
        <w:rPr>
          <w:lang w:val="fr-FR"/>
        </w:rPr>
        <w:t xml:space="preserve">éducation des Roms, a mis en œuvre le projet « Inclusion des enfants roms dans les établissements municipaux publics </w:t>
      </w:r>
      <w:r w:rsidR="00B737D4">
        <w:rPr>
          <w:lang w:val="fr-FR"/>
        </w:rPr>
        <w:t>−</w:t>
      </w:r>
      <w:r w:rsidRPr="00F720A6">
        <w:rPr>
          <w:lang w:val="fr-FR"/>
        </w:rPr>
        <w:t xml:space="preserve"> jardins d</w:t>
      </w:r>
      <w:r w:rsidR="00254912">
        <w:rPr>
          <w:lang w:val="fr-FR"/>
        </w:rPr>
        <w:t>’</w:t>
      </w:r>
      <w:r w:rsidRPr="00F720A6">
        <w:rPr>
          <w:lang w:val="fr-FR"/>
        </w:rPr>
        <w:t xml:space="preserve">enfants » pendant </w:t>
      </w:r>
      <w:r w:rsidR="00B737D4">
        <w:rPr>
          <w:lang w:val="fr-FR"/>
        </w:rPr>
        <w:t xml:space="preserve">onze </w:t>
      </w:r>
      <w:r w:rsidRPr="00F720A6">
        <w:rPr>
          <w:lang w:val="fr-FR"/>
        </w:rPr>
        <w:t>années consécutives. Au total, pour l</w:t>
      </w:r>
      <w:r w:rsidR="00254912">
        <w:rPr>
          <w:lang w:val="fr-FR"/>
        </w:rPr>
        <w:t>’</w:t>
      </w:r>
      <w:r w:rsidRPr="00F720A6">
        <w:rPr>
          <w:lang w:val="fr-FR"/>
        </w:rPr>
        <w:t>année scolaire 2017</w:t>
      </w:r>
      <w:r w:rsidR="002C5C3D">
        <w:rPr>
          <w:lang w:val="fr-FR"/>
        </w:rPr>
        <w:t>/</w:t>
      </w:r>
      <w:r w:rsidRPr="00F720A6">
        <w:rPr>
          <w:lang w:val="fr-FR"/>
        </w:rPr>
        <w:t>2018, 34 521 enfants étaient inscrits dans l</w:t>
      </w:r>
      <w:r w:rsidR="00254912">
        <w:rPr>
          <w:lang w:val="fr-FR"/>
        </w:rPr>
        <w:t>’</w:t>
      </w:r>
      <w:r w:rsidRPr="00F720A6">
        <w:rPr>
          <w:lang w:val="fr-FR"/>
        </w:rPr>
        <w:t>ensemble des jardins d</w:t>
      </w:r>
      <w:r w:rsidR="00254912">
        <w:rPr>
          <w:lang w:val="fr-FR"/>
        </w:rPr>
        <w:t>’</w:t>
      </w:r>
      <w:r w:rsidRPr="00F720A6">
        <w:rPr>
          <w:lang w:val="fr-FR"/>
        </w:rPr>
        <w:t>enfants, dont 718 enfants roms, soit 2,07 % de l</w:t>
      </w:r>
      <w:r w:rsidR="00254912">
        <w:rPr>
          <w:lang w:val="fr-FR"/>
        </w:rPr>
        <w:t>’</w:t>
      </w:r>
      <w:r w:rsidRPr="00F720A6">
        <w:rPr>
          <w:lang w:val="fr-FR"/>
        </w:rPr>
        <w:t>ensemble. Le taux de fréquentation moyen des enfants est d</w:t>
      </w:r>
      <w:r w:rsidR="00254912">
        <w:rPr>
          <w:lang w:val="fr-FR"/>
        </w:rPr>
        <w:t>’</w:t>
      </w:r>
      <w:r w:rsidRPr="00F720A6">
        <w:rPr>
          <w:lang w:val="fr-FR"/>
        </w:rPr>
        <w:t>environ 65 % dans les jardins d</w:t>
      </w:r>
      <w:r w:rsidR="00254912">
        <w:rPr>
          <w:lang w:val="fr-FR"/>
        </w:rPr>
        <w:t>’</w:t>
      </w:r>
      <w:r w:rsidRPr="00F720A6">
        <w:rPr>
          <w:lang w:val="fr-FR"/>
        </w:rPr>
        <w:t xml:space="preserve">enfants. Selon les </w:t>
      </w:r>
      <w:r w:rsidRPr="00F720A6">
        <w:rPr>
          <w:lang w:val="fr-FR"/>
        </w:rPr>
        <w:lastRenderedPageBreak/>
        <w:t>données statistiques du projet, le taux d</w:t>
      </w:r>
      <w:r w:rsidR="00254912">
        <w:rPr>
          <w:lang w:val="fr-FR"/>
        </w:rPr>
        <w:t>’</w:t>
      </w:r>
      <w:r w:rsidRPr="00F720A6">
        <w:rPr>
          <w:lang w:val="fr-FR"/>
        </w:rPr>
        <w:t>abandon des enfants des jardins d</w:t>
      </w:r>
      <w:r w:rsidR="00254912">
        <w:rPr>
          <w:lang w:val="fr-FR"/>
        </w:rPr>
        <w:t>’</w:t>
      </w:r>
      <w:r w:rsidRPr="00F720A6">
        <w:rPr>
          <w:lang w:val="fr-FR"/>
        </w:rPr>
        <w:t xml:space="preserve">enfants, </w:t>
      </w:r>
      <w:r w:rsidR="002C5C3D">
        <w:rPr>
          <w:lang w:val="fr-FR"/>
        </w:rPr>
        <w:t xml:space="preserve">est </w:t>
      </w:r>
      <w:r w:rsidRPr="00F720A6">
        <w:rPr>
          <w:lang w:val="fr-FR"/>
        </w:rPr>
        <w:t>de</w:t>
      </w:r>
      <w:r w:rsidR="00B737D4">
        <w:rPr>
          <w:lang w:val="fr-FR"/>
        </w:rPr>
        <w:t> </w:t>
      </w:r>
      <w:r w:rsidRPr="00F720A6">
        <w:rPr>
          <w:lang w:val="fr-FR"/>
        </w:rPr>
        <w:t xml:space="preserve">3,45 % ; </w:t>
      </w:r>
      <w:r w:rsidR="002C5C3D">
        <w:rPr>
          <w:lang w:val="fr-FR"/>
        </w:rPr>
        <w:t xml:space="preserve">il </w:t>
      </w:r>
      <w:r w:rsidRPr="00F720A6">
        <w:rPr>
          <w:lang w:val="fr-FR"/>
        </w:rPr>
        <w:t>est plus élevé chez les garçons (3,32 %) que chez les filles (2,69 %).</w:t>
      </w:r>
    </w:p>
    <w:p w14:paraId="6B72B14D" w14:textId="77777777" w:rsidR="003C48D6" w:rsidRPr="00F720A6" w:rsidRDefault="003C48D6" w:rsidP="00F079E8">
      <w:pPr>
        <w:pStyle w:val="SingleTxtG"/>
        <w:rPr>
          <w:lang w:val="fr-FR"/>
        </w:rPr>
      </w:pPr>
      <w:r w:rsidRPr="005D3578">
        <w:rPr>
          <w:lang w:val="fr-FR"/>
        </w:rPr>
        <w:t>190.</w:t>
      </w:r>
      <w:r w:rsidRPr="00F720A6">
        <w:rPr>
          <w:lang w:val="fr-FR"/>
        </w:rPr>
        <w:tab/>
        <w:t>En 2018, des visites de contrôle ont été régulièrement effectuées par le personnel du projet dans les municipalités où il a été mis en œuvre, afin de suivre son application et la résolution des problèmes survenus pendant l</w:t>
      </w:r>
      <w:r w:rsidR="00254912">
        <w:rPr>
          <w:lang w:val="fr-FR"/>
        </w:rPr>
        <w:t>’</w:t>
      </w:r>
      <w:r w:rsidRPr="00F720A6">
        <w:rPr>
          <w:lang w:val="fr-FR"/>
        </w:rPr>
        <w:t>année scolaire. Les municipalités assurent le transport des enfants roms vers et depuis le jardin d</w:t>
      </w:r>
      <w:r w:rsidR="00254912">
        <w:rPr>
          <w:lang w:val="fr-FR"/>
        </w:rPr>
        <w:t>’</w:t>
      </w:r>
      <w:r w:rsidRPr="00F720A6">
        <w:rPr>
          <w:lang w:val="fr-FR"/>
        </w:rPr>
        <w:t xml:space="preserve">enfants. </w:t>
      </w:r>
    </w:p>
    <w:p w14:paraId="2A08D886" w14:textId="77777777" w:rsidR="003C48D6" w:rsidRPr="00F720A6" w:rsidRDefault="003C48D6" w:rsidP="00F079E8">
      <w:pPr>
        <w:pStyle w:val="SingleTxtG"/>
        <w:rPr>
          <w:lang w:val="fr-FR"/>
        </w:rPr>
      </w:pPr>
      <w:r w:rsidRPr="00F720A6">
        <w:rPr>
          <w:lang w:val="fr-FR"/>
        </w:rPr>
        <w:t>191.</w:t>
      </w:r>
      <w:r w:rsidRPr="00F720A6">
        <w:rPr>
          <w:lang w:val="fr-FR"/>
        </w:rPr>
        <w:tab/>
        <w:t>Dans le cadre de ce projet, 19 femmes roms sont employées comme aides-soignantes pour une durée indéterminée. Le projet a également été prolongé pour l</w:t>
      </w:r>
      <w:r w:rsidR="00254912">
        <w:rPr>
          <w:lang w:val="fr-FR"/>
        </w:rPr>
        <w:t>’</w:t>
      </w:r>
      <w:r w:rsidRPr="00F720A6">
        <w:rPr>
          <w:lang w:val="fr-FR"/>
        </w:rPr>
        <w:t>année scolaire</w:t>
      </w:r>
      <w:r w:rsidR="005D3578">
        <w:rPr>
          <w:lang w:val="fr-FR"/>
        </w:rPr>
        <w:t> </w:t>
      </w:r>
      <w:r w:rsidRPr="00F720A6">
        <w:rPr>
          <w:lang w:val="fr-FR"/>
        </w:rPr>
        <w:t>2017</w:t>
      </w:r>
      <w:r w:rsidR="005D3578">
        <w:rPr>
          <w:lang w:val="fr-FR"/>
        </w:rPr>
        <w:t>/</w:t>
      </w:r>
      <w:r w:rsidRPr="00F720A6">
        <w:rPr>
          <w:lang w:val="fr-FR"/>
        </w:rPr>
        <w:t>2018, tandis qu</w:t>
      </w:r>
      <w:r w:rsidR="00254912">
        <w:rPr>
          <w:lang w:val="fr-FR"/>
        </w:rPr>
        <w:t>’</w:t>
      </w:r>
      <w:r w:rsidRPr="00F720A6">
        <w:rPr>
          <w:lang w:val="fr-FR"/>
        </w:rPr>
        <w:t>une nouvelle demande est en cours de préparation auprès du Fonds pour l</w:t>
      </w:r>
      <w:r w:rsidR="00254912">
        <w:rPr>
          <w:lang w:val="fr-FR"/>
        </w:rPr>
        <w:t>’</w:t>
      </w:r>
      <w:r w:rsidRPr="00F720A6">
        <w:rPr>
          <w:lang w:val="fr-FR"/>
        </w:rPr>
        <w:t xml:space="preserve">éducation des Roms, pour la période 2018-2019. </w:t>
      </w:r>
    </w:p>
    <w:p w14:paraId="306768C5" w14:textId="77777777" w:rsidR="003C48D6" w:rsidRPr="00F720A6" w:rsidRDefault="003C48D6" w:rsidP="00F079E8">
      <w:pPr>
        <w:pStyle w:val="H23G"/>
        <w:rPr>
          <w:lang w:val="fr-FR"/>
        </w:rPr>
      </w:pPr>
      <w:r w:rsidRPr="00F720A6">
        <w:rPr>
          <w:lang w:val="fr-FR"/>
        </w:rPr>
        <w:tab/>
        <w:t>c)</w:t>
      </w:r>
      <w:r w:rsidRPr="00F720A6">
        <w:rPr>
          <w:lang w:val="fr-FR"/>
        </w:rPr>
        <w:tab/>
      </w:r>
      <w:r w:rsidRPr="00F720A6">
        <w:rPr>
          <w:bCs/>
          <w:lang w:val="fr-FR"/>
        </w:rPr>
        <w:t xml:space="preserve">Enfants des </w:t>
      </w:r>
      <w:r w:rsidRPr="00F079E8">
        <w:rPr>
          <w:lang w:val="fr-FR"/>
        </w:rPr>
        <w:t>rues</w:t>
      </w:r>
      <w:bookmarkStart w:id="75" w:name="_Toc56781473"/>
      <w:bookmarkEnd w:id="75"/>
    </w:p>
    <w:p w14:paraId="0A2B0A1D" w14:textId="77777777" w:rsidR="003C48D6" w:rsidRPr="00F720A6" w:rsidRDefault="003C48D6" w:rsidP="00F079E8">
      <w:pPr>
        <w:pStyle w:val="SingleTxtG"/>
        <w:rPr>
          <w:lang w:val="fr-FR"/>
        </w:rPr>
      </w:pPr>
      <w:r w:rsidRPr="00F720A6">
        <w:rPr>
          <w:lang w:val="fr-FR"/>
        </w:rPr>
        <w:t>192.</w:t>
      </w:r>
      <w:r w:rsidRPr="00F720A6">
        <w:rPr>
          <w:lang w:val="fr-FR"/>
        </w:rPr>
        <w:tab/>
        <w:t>Avec les modifications apportées en 2014 à la loi sur la famille, il est précisé que le fait d</w:t>
      </w:r>
      <w:r w:rsidR="00254912">
        <w:rPr>
          <w:lang w:val="fr-FR"/>
        </w:rPr>
        <w:t>’</w:t>
      </w:r>
      <w:r w:rsidRPr="00F720A6">
        <w:rPr>
          <w:lang w:val="fr-FR"/>
        </w:rPr>
        <w:t>inciter un enfant à la mendicité ou de l</w:t>
      </w:r>
      <w:r w:rsidR="00254912">
        <w:rPr>
          <w:lang w:val="fr-FR"/>
        </w:rPr>
        <w:t>’</w:t>
      </w:r>
      <w:r w:rsidRPr="00F720A6">
        <w:rPr>
          <w:lang w:val="fr-FR"/>
        </w:rPr>
        <w:t>utiliser pour la mendicité est considéré comme une maltraitance et une négligence graves dans l</w:t>
      </w:r>
      <w:r w:rsidR="00254912">
        <w:rPr>
          <w:lang w:val="fr-FR"/>
        </w:rPr>
        <w:t>’</w:t>
      </w:r>
      <w:r w:rsidRPr="00F720A6">
        <w:rPr>
          <w:lang w:val="fr-FR"/>
        </w:rPr>
        <w:t>exercice des fonctions parentales (ce qui constitue des motifs de privation du droit parental). Le centre local d</w:t>
      </w:r>
      <w:r w:rsidR="00254912">
        <w:rPr>
          <w:lang w:val="fr-FR"/>
        </w:rPr>
        <w:t>’</w:t>
      </w:r>
      <w:r w:rsidRPr="00F720A6">
        <w:rPr>
          <w:lang w:val="fr-FR"/>
        </w:rPr>
        <w:t>aide sociale est autorisé à agir en de telles circonstances.</w:t>
      </w:r>
    </w:p>
    <w:p w14:paraId="302FA505" w14:textId="77777777" w:rsidR="003C48D6" w:rsidRPr="00F720A6" w:rsidRDefault="003C48D6" w:rsidP="00F079E8">
      <w:pPr>
        <w:pStyle w:val="SingleTxtG"/>
        <w:rPr>
          <w:lang w:val="fr-FR"/>
        </w:rPr>
      </w:pPr>
      <w:r w:rsidRPr="00F720A6">
        <w:rPr>
          <w:lang w:val="fr-FR"/>
        </w:rPr>
        <w:t>193.</w:t>
      </w:r>
      <w:r w:rsidRPr="00F720A6">
        <w:rPr>
          <w:lang w:val="fr-FR"/>
        </w:rPr>
        <w:tab/>
        <w:t>Afin de cartographier les territoires où des enfants des rues ont été identifiés, le</w:t>
      </w:r>
      <w:r w:rsidR="005D3578">
        <w:rPr>
          <w:lang w:val="fr-FR"/>
        </w:rPr>
        <w:t> </w:t>
      </w:r>
      <w:r w:rsidRPr="00F720A6">
        <w:rPr>
          <w:lang w:val="fr-FR"/>
        </w:rPr>
        <w:t>Ministère du travail et de la politique sociale a mis en œuvre des projets de protection sociale des enfants, en coopération avec des ONG, par le biais d</w:t>
      </w:r>
      <w:r w:rsidR="00254912">
        <w:rPr>
          <w:lang w:val="fr-FR"/>
        </w:rPr>
        <w:t>’</w:t>
      </w:r>
      <w:r w:rsidRPr="00F720A6">
        <w:rPr>
          <w:lang w:val="fr-FR"/>
        </w:rPr>
        <w:t>un concours public qui s</w:t>
      </w:r>
      <w:r w:rsidR="00254912">
        <w:rPr>
          <w:lang w:val="fr-FR"/>
        </w:rPr>
        <w:t>’</w:t>
      </w:r>
      <w:r w:rsidRPr="00F720A6">
        <w:rPr>
          <w:lang w:val="fr-FR"/>
        </w:rPr>
        <w:t>est déroulé en 2017 et 2018. L</w:t>
      </w:r>
      <w:r w:rsidR="00254912">
        <w:rPr>
          <w:lang w:val="fr-FR"/>
        </w:rPr>
        <w:t>’</w:t>
      </w:r>
      <w:r w:rsidRPr="00F720A6">
        <w:rPr>
          <w:lang w:val="fr-FR"/>
        </w:rPr>
        <w:t>objectif est de renforcer le travail de terrain pour détecter les enfants et travailler avec eux sur place, mais aussi d</w:t>
      </w:r>
      <w:r w:rsidR="00254912">
        <w:rPr>
          <w:lang w:val="fr-FR"/>
        </w:rPr>
        <w:t>’</w:t>
      </w:r>
      <w:r w:rsidRPr="00F720A6">
        <w:rPr>
          <w:lang w:val="fr-FR"/>
        </w:rPr>
        <w:t>augmenter les équipes dans les centres de jour pour les enfants des rues afin d</w:t>
      </w:r>
      <w:r w:rsidR="00254912">
        <w:rPr>
          <w:lang w:val="fr-FR"/>
        </w:rPr>
        <w:t>’</w:t>
      </w:r>
      <w:r w:rsidRPr="00F720A6">
        <w:rPr>
          <w:lang w:val="fr-FR"/>
        </w:rPr>
        <w:t>en retirer ces enfants et de les intégrer dans la société en leur offrant une bonne éducation et des services éducatifs.</w:t>
      </w:r>
    </w:p>
    <w:p w14:paraId="2EDA8A48" w14:textId="77777777" w:rsidR="003C48D6" w:rsidRPr="00F720A6" w:rsidRDefault="003C48D6" w:rsidP="00F079E8">
      <w:pPr>
        <w:pStyle w:val="SingleTxtG"/>
        <w:rPr>
          <w:lang w:val="fr-FR"/>
        </w:rPr>
      </w:pPr>
      <w:r w:rsidRPr="00F720A6">
        <w:rPr>
          <w:lang w:val="fr-FR"/>
        </w:rPr>
        <w:t>194.</w:t>
      </w:r>
      <w:r w:rsidRPr="00F720A6">
        <w:rPr>
          <w:lang w:val="fr-FR"/>
        </w:rPr>
        <w:tab/>
        <w:t xml:space="preserve">Dans la ville de Skopje, le Ministère du travail et de la politique sociale a ouvert deux centres de jour pour les enfants des rues : </w:t>
      </w:r>
      <w:proofErr w:type="spellStart"/>
      <w:r w:rsidRPr="00F720A6">
        <w:rPr>
          <w:lang w:val="fr-FR"/>
        </w:rPr>
        <w:t>Kisela</w:t>
      </w:r>
      <w:proofErr w:type="spellEnd"/>
      <w:r w:rsidRPr="00F720A6">
        <w:rPr>
          <w:lang w:val="fr-FR"/>
        </w:rPr>
        <w:t xml:space="preserve"> </w:t>
      </w:r>
      <w:proofErr w:type="spellStart"/>
      <w:r w:rsidRPr="00F720A6">
        <w:rPr>
          <w:lang w:val="fr-FR"/>
        </w:rPr>
        <w:t>Voda</w:t>
      </w:r>
      <w:proofErr w:type="spellEnd"/>
      <w:r w:rsidRPr="00F720A6">
        <w:rPr>
          <w:lang w:val="fr-FR"/>
        </w:rPr>
        <w:t xml:space="preserve"> et </w:t>
      </w:r>
      <w:proofErr w:type="spellStart"/>
      <w:r w:rsidRPr="00F720A6">
        <w:rPr>
          <w:lang w:val="fr-FR"/>
        </w:rPr>
        <w:t>Gazi</w:t>
      </w:r>
      <w:proofErr w:type="spellEnd"/>
      <w:r w:rsidRPr="00F720A6">
        <w:rPr>
          <w:lang w:val="fr-FR"/>
        </w:rPr>
        <w:t xml:space="preserve"> Baba. Environ 90 enfants des rues passent chaque jour dans ces centres.</w:t>
      </w:r>
    </w:p>
    <w:p w14:paraId="10F7C15A" w14:textId="77777777" w:rsidR="003C48D6" w:rsidRPr="00F720A6" w:rsidRDefault="003C48D6" w:rsidP="00F079E8">
      <w:pPr>
        <w:pStyle w:val="SingleTxtG"/>
        <w:rPr>
          <w:lang w:val="fr-FR"/>
        </w:rPr>
      </w:pPr>
      <w:r w:rsidRPr="00F720A6">
        <w:rPr>
          <w:lang w:val="fr-FR"/>
        </w:rPr>
        <w:t>195.</w:t>
      </w:r>
      <w:r w:rsidRPr="00F720A6">
        <w:rPr>
          <w:lang w:val="fr-FR"/>
        </w:rPr>
        <w:tab/>
        <w:t>Le nombre précis des enfants des rues n</w:t>
      </w:r>
      <w:r w:rsidR="00254912">
        <w:rPr>
          <w:lang w:val="fr-FR"/>
        </w:rPr>
        <w:t>’</w:t>
      </w:r>
      <w:r w:rsidRPr="00F720A6">
        <w:rPr>
          <w:lang w:val="fr-FR"/>
        </w:rPr>
        <w:t>est pas connu, mais selon les données dont dispose le centre d</w:t>
      </w:r>
      <w:r w:rsidR="00254912">
        <w:rPr>
          <w:lang w:val="fr-FR"/>
        </w:rPr>
        <w:t>’</w:t>
      </w:r>
      <w:r w:rsidRPr="00F720A6">
        <w:rPr>
          <w:lang w:val="fr-FR"/>
        </w:rPr>
        <w:t>aide sociale, environ 650 enfants ont été répertoriés dans le cadre des activités de terrain.</w:t>
      </w:r>
    </w:p>
    <w:p w14:paraId="0BC16155" w14:textId="77777777" w:rsidR="003C48D6" w:rsidRPr="00F720A6" w:rsidRDefault="003C48D6" w:rsidP="00F079E8">
      <w:pPr>
        <w:pStyle w:val="H23G"/>
        <w:rPr>
          <w:lang w:val="fr-FR"/>
        </w:rPr>
      </w:pPr>
      <w:r w:rsidRPr="00F720A6">
        <w:rPr>
          <w:lang w:val="fr-FR"/>
        </w:rPr>
        <w:tab/>
        <w:t>d)</w:t>
      </w:r>
      <w:r w:rsidRPr="00F720A6">
        <w:rPr>
          <w:lang w:val="fr-FR"/>
        </w:rPr>
        <w:tab/>
      </w:r>
      <w:r w:rsidRPr="00F720A6">
        <w:rPr>
          <w:bCs/>
          <w:lang w:val="fr-FR"/>
        </w:rPr>
        <w:t xml:space="preserve">Enfants </w:t>
      </w:r>
      <w:r w:rsidRPr="00F079E8">
        <w:rPr>
          <w:lang w:val="fr-FR"/>
        </w:rPr>
        <w:t>potentiellement</w:t>
      </w:r>
      <w:r w:rsidRPr="00F720A6">
        <w:rPr>
          <w:bCs/>
          <w:lang w:val="fr-FR"/>
        </w:rPr>
        <w:t xml:space="preserve"> exploités (art. 32)</w:t>
      </w:r>
      <w:bookmarkStart w:id="76" w:name="_Toc56781474"/>
      <w:bookmarkEnd w:id="76"/>
    </w:p>
    <w:p w14:paraId="14BF9FDF" w14:textId="77777777" w:rsidR="003C48D6" w:rsidRPr="00F720A6" w:rsidRDefault="003C48D6" w:rsidP="00F079E8">
      <w:pPr>
        <w:pStyle w:val="SingleTxtG"/>
        <w:rPr>
          <w:lang w:val="fr-FR"/>
        </w:rPr>
      </w:pPr>
      <w:r w:rsidRPr="00F720A6">
        <w:rPr>
          <w:lang w:val="fr-FR"/>
        </w:rPr>
        <w:t>196.</w:t>
      </w:r>
      <w:r w:rsidRPr="00F720A6">
        <w:rPr>
          <w:lang w:val="fr-FR"/>
        </w:rPr>
        <w:tab/>
        <w:t>Les propositions de modification de la loi sur les relations patronat-syndicats ont été transmises à l</w:t>
      </w:r>
      <w:r w:rsidR="00254912">
        <w:rPr>
          <w:lang w:val="fr-FR"/>
        </w:rPr>
        <w:t>’</w:t>
      </w:r>
      <w:r w:rsidRPr="00F720A6">
        <w:rPr>
          <w:lang w:val="fr-FR"/>
        </w:rPr>
        <w:t>Assemblée en vue d</w:t>
      </w:r>
      <w:r w:rsidR="00254912">
        <w:rPr>
          <w:lang w:val="fr-FR"/>
        </w:rPr>
        <w:t>’</w:t>
      </w:r>
      <w:r w:rsidRPr="00F720A6">
        <w:rPr>
          <w:lang w:val="fr-FR"/>
        </w:rPr>
        <w:t>adoption. Ces amendements interviennent notamment dans les dispositions qui réglementent la possibilité de conclure un contrat de travail avec un enfant de moins de 18 ans. Plus précisément, le paragraphe 2 de l</w:t>
      </w:r>
      <w:r w:rsidR="00254912">
        <w:rPr>
          <w:lang w:val="fr-FR"/>
        </w:rPr>
        <w:t>’</w:t>
      </w:r>
      <w:r w:rsidRPr="00F720A6">
        <w:rPr>
          <w:lang w:val="fr-FR"/>
        </w:rPr>
        <w:t>article 18 est modifié comme suit : « Un enfant de moins de 15 ans ou un enfant qui n</w:t>
      </w:r>
      <w:r w:rsidR="00254912">
        <w:rPr>
          <w:lang w:val="fr-FR"/>
        </w:rPr>
        <w:t>’</w:t>
      </w:r>
      <w:r w:rsidRPr="00F720A6">
        <w:rPr>
          <w:lang w:val="fr-FR"/>
        </w:rPr>
        <w:t>a pas achevé sa scolarité obligatoire ne peut travailler, sauf pour participer à des activités pour lesquelles la loi précise qu</w:t>
      </w:r>
      <w:r w:rsidR="00254912">
        <w:rPr>
          <w:lang w:val="fr-FR"/>
        </w:rPr>
        <w:t>’</w:t>
      </w:r>
      <w:r w:rsidRPr="00F720A6">
        <w:rPr>
          <w:lang w:val="fr-FR"/>
        </w:rPr>
        <w:t xml:space="preserve">il peut les exercer dans la limite de deux heures par jour ou </w:t>
      </w:r>
      <w:r w:rsidR="005D3578">
        <w:rPr>
          <w:lang w:val="fr-FR"/>
        </w:rPr>
        <w:t xml:space="preserve">douze </w:t>
      </w:r>
      <w:r w:rsidRPr="00F720A6">
        <w:rPr>
          <w:lang w:val="fr-FR"/>
        </w:rPr>
        <w:t>heures par semaine et, pendant les vacances scolaires, dans la limite de six heures par jour ou 30 heures par semaine, avec l</w:t>
      </w:r>
      <w:r w:rsidR="00254912">
        <w:rPr>
          <w:lang w:val="fr-FR"/>
        </w:rPr>
        <w:t>’</w:t>
      </w:r>
      <w:r w:rsidRPr="00F720A6">
        <w:rPr>
          <w:lang w:val="fr-FR"/>
        </w:rPr>
        <w:t>obligation de prévoir deux semaines consécutives de repos</w:t>
      </w:r>
      <w:r w:rsidR="005D3578">
        <w:rPr>
          <w:lang w:val="fr-FR"/>
        </w:rPr>
        <w:t>.</w:t>
      </w:r>
      <w:r w:rsidRPr="00F720A6">
        <w:rPr>
          <w:lang w:val="fr-FR"/>
        </w:rPr>
        <w:t xml:space="preserve"> ». </w:t>
      </w:r>
    </w:p>
    <w:p w14:paraId="1664E503" w14:textId="77777777" w:rsidR="003C48D6" w:rsidRPr="00F720A6" w:rsidRDefault="003C48D6" w:rsidP="00F079E8">
      <w:pPr>
        <w:pStyle w:val="SingleTxtG"/>
        <w:rPr>
          <w:lang w:val="fr-FR"/>
        </w:rPr>
      </w:pPr>
      <w:r w:rsidRPr="00F720A6">
        <w:rPr>
          <w:lang w:val="fr-FR"/>
        </w:rPr>
        <w:t>197.</w:t>
      </w:r>
      <w:r w:rsidRPr="00F720A6">
        <w:rPr>
          <w:lang w:val="fr-FR"/>
        </w:rPr>
        <w:tab/>
        <w:t>Nombre et pourcentage d</w:t>
      </w:r>
      <w:r w:rsidR="00254912">
        <w:rPr>
          <w:lang w:val="fr-FR"/>
        </w:rPr>
        <w:t>’</w:t>
      </w:r>
      <w:r w:rsidRPr="00F720A6">
        <w:rPr>
          <w:lang w:val="fr-FR"/>
        </w:rPr>
        <w:t>enfants n</w:t>
      </w:r>
      <w:r w:rsidR="00254912">
        <w:rPr>
          <w:lang w:val="fr-FR"/>
        </w:rPr>
        <w:t>’</w:t>
      </w:r>
      <w:r w:rsidRPr="00F720A6">
        <w:rPr>
          <w:lang w:val="fr-FR"/>
        </w:rPr>
        <w:t>ayant pas atteint l</w:t>
      </w:r>
      <w:r w:rsidR="00254912">
        <w:rPr>
          <w:lang w:val="fr-FR"/>
        </w:rPr>
        <w:t>’</w:t>
      </w:r>
      <w:r w:rsidRPr="00F720A6">
        <w:rPr>
          <w:lang w:val="fr-FR"/>
        </w:rPr>
        <w:t>âge minimum légal d</w:t>
      </w:r>
      <w:r w:rsidR="00254912">
        <w:rPr>
          <w:lang w:val="fr-FR"/>
        </w:rPr>
        <w:t>’</w:t>
      </w:r>
      <w:r w:rsidRPr="00F720A6">
        <w:rPr>
          <w:lang w:val="fr-FR"/>
        </w:rPr>
        <w:t>admission à l</w:t>
      </w:r>
      <w:r w:rsidR="00254912">
        <w:rPr>
          <w:lang w:val="fr-FR"/>
        </w:rPr>
        <w:t>’</w:t>
      </w:r>
      <w:r w:rsidRPr="00F720A6">
        <w:rPr>
          <w:lang w:val="fr-FR"/>
        </w:rPr>
        <w:t>emploi, ventilés par type d</w:t>
      </w:r>
      <w:r w:rsidR="00254912">
        <w:rPr>
          <w:lang w:val="fr-FR"/>
        </w:rPr>
        <w:t>’</w:t>
      </w:r>
      <w:r w:rsidRPr="00F720A6">
        <w:rPr>
          <w:lang w:val="fr-FR"/>
        </w:rPr>
        <w:t>emploi, selon les conventions de l</w:t>
      </w:r>
      <w:r w:rsidR="00254912">
        <w:rPr>
          <w:lang w:val="fr-FR"/>
        </w:rPr>
        <w:t>’</w:t>
      </w:r>
      <w:r w:rsidRPr="00F720A6">
        <w:rPr>
          <w:lang w:val="fr-FR"/>
        </w:rPr>
        <w:t>Organisation internationale du travail n</w:t>
      </w:r>
      <w:r w:rsidR="005D3578" w:rsidRPr="005D3578">
        <w:rPr>
          <w:vertAlign w:val="superscript"/>
          <w:lang w:val="fr-FR"/>
        </w:rPr>
        <w:t>o</w:t>
      </w:r>
      <w:r w:rsidR="005D3578">
        <w:rPr>
          <w:lang w:val="fr-FR"/>
        </w:rPr>
        <w:t> </w:t>
      </w:r>
      <w:r w:rsidRPr="00F720A6">
        <w:rPr>
          <w:lang w:val="fr-FR"/>
        </w:rPr>
        <w:t>138 sur l</w:t>
      </w:r>
      <w:r w:rsidR="00254912">
        <w:rPr>
          <w:lang w:val="fr-FR"/>
        </w:rPr>
        <w:t>’</w:t>
      </w:r>
      <w:r w:rsidRPr="00F720A6">
        <w:rPr>
          <w:lang w:val="fr-FR"/>
        </w:rPr>
        <w:t>âge minimum, 1973, et n</w:t>
      </w:r>
      <w:r w:rsidR="005D3578" w:rsidRPr="005D3578">
        <w:rPr>
          <w:vertAlign w:val="superscript"/>
          <w:lang w:val="fr-FR"/>
        </w:rPr>
        <w:t>o</w:t>
      </w:r>
      <w:r w:rsidR="005D3578">
        <w:rPr>
          <w:lang w:val="fr-FR"/>
        </w:rPr>
        <w:t> </w:t>
      </w:r>
      <w:r w:rsidRPr="00F720A6">
        <w:rPr>
          <w:lang w:val="fr-FR"/>
        </w:rPr>
        <w:t>182 sur les pires formes de travail des enfants, 1999.</w:t>
      </w:r>
    </w:p>
    <w:p w14:paraId="37B26401" w14:textId="77777777" w:rsidR="003C48D6" w:rsidRPr="00F720A6" w:rsidRDefault="003C48D6" w:rsidP="00F079E8">
      <w:pPr>
        <w:pStyle w:val="H23G"/>
        <w:rPr>
          <w:rStyle w:val="Appelnotedebasdep"/>
          <w:b w:val="0"/>
          <w:bCs/>
          <w:lang w:val="fr-FR"/>
        </w:rPr>
      </w:pPr>
      <w:r w:rsidRPr="00F720A6">
        <w:rPr>
          <w:lang w:val="fr-FR"/>
        </w:rPr>
        <w:lastRenderedPageBreak/>
        <w:tab/>
      </w:r>
      <w:r w:rsidRPr="00F720A6">
        <w:rPr>
          <w:lang w:val="fr-FR"/>
        </w:rPr>
        <w:tab/>
      </w:r>
      <w:r w:rsidRPr="00F720A6">
        <w:rPr>
          <w:bCs/>
          <w:lang w:val="fr-FR"/>
        </w:rPr>
        <w:t xml:space="preserve">Jeunes actifs </w:t>
      </w:r>
      <w:r w:rsidRPr="00F079E8">
        <w:rPr>
          <w:lang w:val="fr-FR"/>
        </w:rPr>
        <w:t>âgés</w:t>
      </w:r>
      <w:r w:rsidRPr="00F720A6">
        <w:rPr>
          <w:bCs/>
          <w:lang w:val="fr-FR"/>
        </w:rPr>
        <w:t xml:space="preserve"> de 15 à 18 ans, 2013</w:t>
      </w:r>
      <w:r w:rsidRPr="00F079E8">
        <w:rPr>
          <w:rStyle w:val="Appelnotedebasdep"/>
          <w:b w:val="0"/>
          <w:bCs/>
        </w:rPr>
        <w:footnoteReference w:id="46"/>
      </w:r>
      <w:bookmarkStart w:id="77" w:name="_Toc56781475"/>
      <w:bookmarkEnd w:id="77"/>
    </w:p>
    <w:tbl>
      <w:tblPr>
        <w:tblW w:w="7370" w:type="dxa"/>
        <w:tblInd w:w="1134" w:type="dxa"/>
        <w:tblLayout w:type="fixed"/>
        <w:tblCellMar>
          <w:left w:w="0" w:type="dxa"/>
          <w:right w:w="0" w:type="dxa"/>
        </w:tblCellMar>
        <w:tblLook w:val="01E0" w:firstRow="1" w:lastRow="1" w:firstColumn="1" w:lastColumn="1" w:noHBand="0" w:noVBand="0"/>
      </w:tblPr>
      <w:tblGrid>
        <w:gridCol w:w="1739"/>
        <w:gridCol w:w="2023"/>
        <w:gridCol w:w="1746"/>
        <w:gridCol w:w="1862"/>
      </w:tblGrid>
      <w:tr w:rsidR="003C48D6" w:rsidRPr="00F079E8" w14:paraId="2DA2E4B7" w14:textId="77777777" w:rsidTr="00F079E8">
        <w:trPr>
          <w:tblHeader/>
        </w:trPr>
        <w:tc>
          <w:tcPr>
            <w:tcW w:w="2271" w:type="dxa"/>
            <w:tcBorders>
              <w:top w:val="single" w:sz="4" w:space="0" w:color="auto"/>
              <w:bottom w:val="single" w:sz="12" w:space="0" w:color="auto"/>
            </w:tcBorders>
            <w:shd w:val="clear" w:color="auto" w:fill="auto"/>
            <w:vAlign w:val="bottom"/>
          </w:tcPr>
          <w:p w14:paraId="51B351E1" w14:textId="77777777" w:rsidR="003C48D6" w:rsidRPr="00F079E8" w:rsidRDefault="003C48D6" w:rsidP="005D3578">
            <w:pPr>
              <w:keepNext/>
              <w:suppressAutoHyphens w:val="0"/>
              <w:spacing w:before="80" w:after="80" w:line="200" w:lineRule="exact"/>
              <w:rPr>
                <w:i/>
                <w:sz w:val="16"/>
                <w:lang w:val="fr-FR"/>
              </w:rPr>
            </w:pPr>
            <w:r w:rsidRPr="00F079E8">
              <w:rPr>
                <w:i/>
                <w:sz w:val="16"/>
                <w:lang w:val="fr-FR"/>
              </w:rPr>
              <w:t>Âge</w:t>
            </w:r>
          </w:p>
        </w:tc>
        <w:tc>
          <w:tcPr>
            <w:tcW w:w="2644" w:type="dxa"/>
            <w:tcBorders>
              <w:top w:val="single" w:sz="4" w:space="0" w:color="auto"/>
              <w:bottom w:val="single" w:sz="12" w:space="0" w:color="auto"/>
            </w:tcBorders>
            <w:shd w:val="clear" w:color="auto" w:fill="auto"/>
            <w:vAlign w:val="bottom"/>
          </w:tcPr>
          <w:p w14:paraId="67590492" w14:textId="77777777" w:rsidR="003C48D6" w:rsidRPr="00F079E8" w:rsidRDefault="003C48D6" w:rsidP="005D3578">
            <w:pPr>
              <w:keepNext/>
              <w:suppressAutoHyphens w:val="0"/>
              <w:spacing w:before="80" w:after="80" w:line="200" w:lineRule="exact"/>
              <w:jc w:val="right"/>
              <w:rPr>
                <w:i/>
                <w:sz w:val="16"/>
                <w:lang w:val="fr-FR"/>
              </w:rPr>
            </w:pPr>
            <w:r w:rsidRPr="00F079E8">
              <w:rPr>
                <w:i/>
                <w:sz w:val="16"/>
                <w:lang w:val="fr-FR"/>
              </w:rPr>
              <w:t>Nombre d</w:t>
            </w:r>
            <w:r w:rsidR="00254912">
              <w:rPr>
                <w:i/>
                <w:sz w:val="16"/>
                <w:lang w:val="fr-FR"/>
              </w:rPr>
              <w:t>’</w:t>
            </w:r>
            <w:r w:rsidRPr="00F079E8">
              <w:rPr>
                <w:i/>
                <w:sz w:val="16"/>
                <w:lang w:val="fr-FR"/>
              </w:rPr>
              <w:t>employés</w:t>
            </w:r>
          </w:p>
        </w:tc>
        <w:tc>
          <w:tcPr>
            <w:tcW w:w="2280" w:type="dxa"/>
            <w:tcBorders>
              <w:top w:val="single" w:sz="4" w:space="0" w:color="auto"/>
              <w:bottom w:val="single" w:sz="12" w:space="0" w:color="auto"/>
            </w:tcBorders>
            <w:shd w:val="clear" w:color="auto" w:fill="auto"/>
            <w:vAlign w:val="bottom"/>
          </w:tcPr>
          <w:p w14:paraId="5D113B17" w14:textId="77777777" w:rsidR="003C48D6" w:rsidRPr="00F079E8" w:rsidRDefault="003C48D6" w:rsidP="005D3578">
            <w:pPr>
              <w:keepNext/>
              <w:suppressAutoHyphens w:val="0"/>
              <w:spacing w:before="80" w:after="80" w:line="200" w:lineRule="exact"/>
              <w:jc w:val="right"/>
              <w:rPr>
                <w:i/>
                <w:sz w:val="16"/>
                <w:lang w:val="fr-FR"/>
              </w:rPr>
            </w:pPr>
            <w:r w:rsidRPr="00F079E8">
              <w:rPr>
                <w:i/>
                <w:sz w:val="16"/>
                <w:lang w:val="fr-FR"/>
              </w:rPr>
              <w:t>Jeunes hommes</w:t>
            </w:r>
          </w:p>
        </w:tc>
        <w:tc>
          <w:tcPr>
            <w:tcW w:w="2433" w:type="dxa"/>
            <w:tcBorders>
              <w:top w:val="single" w:sz="4" w:space="0" w:color="auto"/>
              <w:bottom w:val="single" w:sz="12" w:space="0" w:color="auto"/>
            </w:tcBorders>
            <w:shd w:val="clear" w:color="auto" w:fill="auto"/>
            <w:vAlign w:val="bottom"/>
          </w:tcPr>
          <w:p w14:paraId="7914CA54" w14:textId="77777777" w:rsidR="003C48D6" w:rsidRPr="00F079E8" w:rsidRDefault="003C48D6" w:rsidP="005D3578">
            <w:pPr>
              <w:keepNext/>
              <w:suppressAutoHyphens w:val="0"/>
              <w:spacing w:before="80" w:after="80" w:line="200" w:lineRule="exact"/>
              <w:jc w:val="right"/>
              <w:rPr>
                <w:i/>
                <w:sz w:val="16"/>
                <w:lang w:val="fr-FR"/>
              </w:rPr>
            </w:pPr>
            <w:r w:rsidRPr="00F079E8">
              <w:rPr>
                <w:i/>
                <w:sz w:val="16"/>
                <w:lang w:val="fr-FR"/>
              </w:rPr>
              <w:t>Jeunes femmes</w:t>
            </w:r>
          </w:p>
        </w:tc>
      </w:tr>
      <w:tr w:rsidR="003C48D6" w:rsidRPr="00F079E8" w14:paraId="0E4B8F55" w14:textId="77777777" w:rsidTr="00F079E8">
        <w:tc>
          <w:tcPr>
            <w:tcW w:w="2271" w:type="dxa"/>
            <w:tcBorders>
              <w:top w:val="single" w:sz="12" w:space="0" w:color="auto"/>
            </w:tcBorders>
            <w:shd w:val="clear" w:color="auto" w:fill="auto"/>
          </w:tcPr>
          <w:p w14:paraId="5D2CFF0B" w14:textId="77777777" w:rsidR="003C48D6" w:rsidRPr="00F079E8" w:rsidRDefault="003C48D6" w:rsidP="005D3578">
            <w:pPr>
              <w:keepNext/>
              <w:suppressAutoHyphens w:val="0"/>
              <w:spacing w:before="40" w:after="40" w:line="220" w:lineRule="exact"/>
              <w:rPr>
                <w:sz w:val="18"/>
                <w:szCs w:val="18"/>
                <w:lang w:val="fr-FR"/>
              </w:rPr>
            </w:pPr>
            <w:r w:rsidRPr="00F079E8">
              <w:rPr>
                <w:sz w:val="18"/>
                <w:szCs w:val="18"/>
                <w:lang w:val="fr-FR"/>
              </w:rPr>
              <w:t>15</w:t>
            </w:r>
          </w:p>
        </w:tc>
        <w:tc>
          <w:tcPr>
            <w:tcW w:w="2644" w:type="dxa"/>
            <w:tcBorders>
              <w:top w:val="single" w:sz="12" w:space="0" w:color="auto"/>
            </w:tcBorders>
            <w:shd w:val="clear" w:color="auto" w:fill="auto"/>
            <w:vAlign w:val="bottom"/>
          </w:tcPr>
          <w:p w14:paraId="22413C8A" w14:textId="77777777" w:rsidR="003C48D6" w:rsidRPr="00F079E8" w:rsidRDefault="003C48D6" w:rsidP="005D3578">
            <w:pPr>
              <w:keepNext/>
              <w:suppressAutoHyphens w:val="0"/>
              <w:spacing w:before="40" w:after="40" w:line="220" w:lineRule="exact"/>
              <w:jc w:val="right"/>
              <w:rPr>
                <w:sz w:val="18"/>
                <w:szCs w:val="18"/>
                <w:lang w:val="fr-FR"/>
              </w:rPr>
            </w:pPr>
            <w:r w:rsidRPr="00F079E8">
              <w:rPr>
                <w:sz w:val="18"/>
                <w:szCs w:val="18"/>
                <w:lang w:val="fr-FR"/>
              </w:rPr>
              <w:t>(584)</w:t>
            </w:r>
          </w:p>
        </w:tc>
        <w:tc>
          <w:tcPr>
            <w:tcW w:w="2280" w:type="dxa"/>
            <w:tcBorders>
              <w:top w:val="single" w:sz="12" w:space="0" w:color="auto"/>
            </w:tcBorders>
            <w:shd w:val="clear" w:color="auto" w:fill="auto"/>
            <w:vAlign w:val="bottom"/>
          </w:tcPr>
          <w:p w14:paraId="3BBC310E" w14:textId="77777777" w:rsidR="003C48D6" w:rsidRPr="00F079E8" w:rsidRDefault="003C48D6" w:rsidP="005D3578">
            <w:pPr>
              <w:keepNext/>
              <w:suppressAutoHyphens w:val="0"/>
              <w:spacing w:before="40" w:after="40" w:line="220" w:lineRule="exact"/>
              <w:jc w:val="right"/>
              <w:rPr>
                <w:sz w:val="18"/>
                <w:szCs w:val="18"/>
                <w:lang w:val="fr-FR"/>
              </w:rPr>
            </w:pPr>
            <w:r w:rsidRPr="00F079E8">
              <w:rPr>
                <w:sz w:val="18"/>
                <w:szCs w:val="18"/>
                <w:lang w:val="fr-FR"/>
              </w:rPr>
              <w:t>:</w:t>
            </w:r>
          </w:p>
        </w:tc>
        <w:tc>
          <w:tcPr>
            <w:tcW w:w="2433" w:type="dxa"/>
            <w:tcBorders>
              <w:top w:val="single" w:sz="12" w:space="0" w:color="auto"/>
            </w:tcBorders>
            <w:shd w:val="clear" w:color="auto" w:fill="auto"/>
            <w:vAlign w:val="bottom"/>
          </w:tcPr>
          <w:p w14:paraId="3DB2C565" w14:textId="77777777" w:rsidR="003C48D6" w:rsidRPr="00F079E8" w:rsidRDefault="003C48D6" w:rsidP="005D3578">
            <w:pPr>
              <w:keepNext/>
              <w:suppressAutoHyphens w:val="0"/>
              <w:spacing w:before="40" w:after="40" w:line="220" w:lineRule="exact"/>
              <w:jc w:val="right"/>
              <w:rPr>
                <w:sz w:val="18"/>
                <w:szCs w:val="18"/>
                <w:lang w:val="fr-FR"/>
              </w:rPr>
            </w:pPr>
            <w:r w:rsidRPr="00F079E8">
              <w:rPr>
                <w:sz w:val="18"/>
                <w:szCs w:val="18"/>
                <w:lang w:val="fr-FR"/>
              </w:rPr>
              <w:t>:</w:t>
            </w:r>
          </w:p>
        </w:tc>
      </w:tr>
      <w:tr w:rsidR="003C48D6" w:rsidRPr="00F079E8" w14:paraId="194421BE" w14:textId="77777777" w:rsidTr="00F079E8">
        <w:tc>
          <w:tcPr>
            <w:tcW w:w="2271" w:type="dxa"/>
            <w:shd w:val="clear" w:color="auto" w:fill="auto"/>
          </w:tcPr>
          <w:p w14:paraId="03C668FA" w14:textId="77777777" w:rsidR="003C48D6" w:rsidRPr="00F079E8" w:rsidRDefault="003C48D6" w:rsidP="005D3578">
            <w:pPr>
              <w:keepNext/>
              <w:suppressAutoHyphens w:val="0"/>
              <w:spacing w:before="40" w:after="40" w:line="220" w:lineRule="exact"/>
              <w:rPr>
                <w:sz w:val="18"/>
                <w:szCs w:val="18"/>
                <w:lang w:val="fr-FR"/>
              </w:rPr>
            </w:pPr>
            <w:r w:rsidRPr="00F079E8">
              <w:rPr>
                <w:sz w:val="18"/>
                <w:szCs w:val="18"/>
                <w:lang w:val="fr-FR"/>
              </w:rPr>
              <w:t>16</w:t>
            </w:r>
          </w:p>
        </w:tc>
        <w:tc>
          <w:tcPr>
            <w:tcW w:w="2644" w:type="dxa"/>
            <w:shd w:val="clear" w:color="auto" w:fill="auto"/>
            <w:vAlign w:val="bottom"/>
          </w:tcPr>
          <w:p w14:paraId="6DB60207" w14:textId="77777777" w:rsidR="003C48D6" w:rsidRPr="00F079E8" w:rsidRDefault="003C48D6" w:rsidP="005D3578">
            <w:pPr>
              <w:keepNext/>
              <w:suppressAutoHyphens w:val="0"/>
              <w:spacing w:before="40" w:after="40" w:line="220" w:lineRule="exact"/>
              <w:jc w:val="right"/>
              <w:rPr>
                <w:sz w:val="18"/>
                <w:szCs w:val="18"/>
                <w:lang w:val="fr-FR"/>
              </w:rPr>
            </w:pPr>
            <w:r w:rsidRPr="00F079E8">
              <w:rPr>
                <w:sz w:val="18"/>
                <w:szCs w:val="18"/>
                <w:lang w:val="fr-FR"/>
              </w:rPr>
              <w:t>(687)</w:t>
            </w:r>
          </w:p>
        </w:tc>
        <w:tc>
          <w:tcPr>
            <w:tcW w:w="2280" w:type="dxa"/>
            <w:shd w:val="clear" w:color="auto" w:fill="auto"/>
            <w:vAlign w:val="bottom"/>
          </w:tcPr>
          <w:p w14:paraId="7A78C41F" w14:textId="77777777" w:rsidR="003C48D6" w:rsidRPr="00F079E8" w:rsidRDefault="003C48D6" w:rsidP="005D3578">
            <w:pPr>
              <w:keepNext/>
              <w:suppressAutoHyphens w:val="0"/>
              <w:spacing w:before="40" w:after="40" w:line="220" w:lineRule="exact"/>
              <w:jc w:val="right"/>
              <w:rPr>
                <w:sz w:val="18"/>
                <w:szCs w:val="18"/>
                <w:lang w:val="fr-FR"/>
              </w:rPr>
            </w:pPr>
            <w:r w:rsidRPr="00F079E8">
              <w:rPr>
                <w:sz w:val="18"/>
                <w:szCs w:val="18"/>
                <w:lang w:val="fr-FR"/>
              </w:rPr>
              <w:t>:</w:t>
            </w:r>
          </w:p>
        </w:tc>
        <w:tc>
          <w:tcPr>
            <w:tcW w:w="2433" w:type="dxa"/>
            <w:shd w:val="clear" w:color="auto" w:fill="auto"/>
            <w:vAlign w:val="bottom"/>
          </w:tcPr>
          <w:p w14:paraId="0608C397" w14:textId="77777777" w:rsidR="003C48D6" w:rsidRPr="00F079E8" w:rsidRDefault="003C48D6" w:rsidP="005D3578">
            <w:pPr>
              <w:keepNext/>
              <w:suppressAutoHyphens w:val="0"/>
              <w:spacing w:before="40" w:after="40" w:line="220" w:lineRule="exact"/>
              <w:jc w:val="right"/>
              <w:rPr>
                <w:sz w:val="18"/>
                <w:szCs w:val="18"/>
                <w:lang w:val="fr-FR"/>
              </w:rPr>
            </w:pPr>
            <w:r w:rsidRPr="00F079E8">
              <w:rPr>
                <w:sz w:val="18"/>
                <w:szCs w:val="18"/>
                <w:lang w:val="fr-FR"/>
              </w:rPr>
              <w:t>:</w:t>
            </w:r>
          </w:p>
        </w:tc>
      </w:tr>
      <w:tr w:rsidR="003C48D6" w:rsidRPr="00F079E8" w14:paraId="26EF0AAC" w14:textId="77777777" w:rsidTr="00F079E8">
        <w:tc>
          <w:tcPr>
            <w:tcW w:w="2271" w:type="dxa"/>
            <w:shd w:val="clear" w:color="auto" w:fill="auto"/>
          </w:tcPr>
          <w:p w14:paraId="65CF3E1A" w14:textId="77777777" w:rsidR="003C48D6" w:rsidRPr="00F079E8" w:rsidRDefault="003C48D6" w:rsidP="005D3578">
            <w:pPr>
              <w:keepNext/>
              <w:suppressAutoHyphens w:val="0"/>
              <w:spacing w:before="40" w:after="40" w:line="220" w:lineRule="exact"/>
              <w:rPr>
                <w:sz w:val="18"/>
                <w:szCs w:val="18"/>
                <w:lang w:val="fr-FR"/>
              </w:rPr>
            </w:pPr>
            <w:r w:rsidRPr="00F079E8">
              <w:rPr>
                <w:sz w:val="18"/>
                <w:szCs w:val="18"/>
                <w:lang w:val="fr-FR"/>
              </w:rPr>
              <w:t>17</w:t>
            </w:r>
          </w:p>
        </w:tc>
        <w:tc>
          <w:tcPr>
            <w:tcW w:w="2644" w:type="dxa"/>
            <w:shd w:val="clear" w:color="auto" w:fill="auto"/>
            <w:vAlign w:val="bottom"/>
          </w:tcPr>
          <w:p w14:paraId="5A8E619B" w14:textId="77777777" w:rsidR="003C48D6" w:rsidRPr="00F079E8" w:rsidRDefault="003C48D6" w:rsidP="005D3578">
            <w:pPr>
              <w:keepNext/>
              <w:suppressAutoHyphens w:val="0"/>
              <w:spacing w:before="40" w:after="40" w:line="220" w:lineRule="exact"/>
              <w:jc w:val="right"/>
              <w:rPr>
                <w:sz w:val="18"/>
                <w:szCs w:val="18"/>
                <w:lang w:val="fr-FR"/>
              </w:rPr>
            </w:pPr>
            <w:r w:rsidRPr="00F079E8">
              <w:rPr>
                <w:sz w:val="18"/>
                <w:szCs w:val="18"/>
                <w:lang w:val="fr-FR"/>
              </w:rPr>
              <w:t>(797)</w:t>
            </w:r>
          </w:p>
        </w:tc>
        <w:tc>
          <w:tcPr>
            <w:tcW w:w="2280" w:type="dxa"/>
            <w:shd w:val="clear" w:color="auto" w:fill="auto"/>
            <w:vAlign w:val="bottom"/>
          </w:tcPr>
          <w:p w14:paraId="2343624F" w14:textId="77777777" w:rsidR="003C48D6" w:rsidRPr="00F079E8" w:rsidRDefault="003C48D6" w:rsidP="005D3578">
            <w:pPr>
              <w:keepNext/>
              <w:suppressAutoHyphens w:val="0"/>
              <w:spacing w:before="40" w:after="40" w:line="220" w:lineRule="exact"/>
              <w:jc w:val="right"/>
              <w:rPr>
                <w:sz w:val="18"/>
                <w:szCs w:val="18"/>
                <w:lang w:val="fr-FR"/>
              </w:rPr>
            </w:pPr>
            <w:r w:rsidRPr="00F079E8">
              <w:rPr>
                <w:sz w:val="18"/>
                <w:szCs w:val="18"/>
                <w:lang w:val="fr-FR"/>
              </w:rPr>
              <w:t>:</w:t>
            </w:r>
          </w:p>
        </w:tc>
        <w:tc>
          <w:tcPr>
            <w:tcW w:w="2433" w:type="dxa"/>
            <w:shd w:val="clear" w:color="auto" w:fill="auto"/>
            <w:vAlign w:val="bottom"/>
          </w:tcPr>
          <w:p w14:paraId="6B1F32DC" w14:textId="77777777" w:rsidR="003C48D6" w:rsidRPr="00F079E8" w:rsidRDefault="003C48D6" w:rsidP="005D3578">
            <w:pPr>
              <w:keepNext/>
              <w:suppressAutoHyphens w:val="0"/>
              <w:spacing w:before="40" w:after="40" w:line="220" w:lineRule="exact"/>
              <w:jc w:val="right"/>
              <w:rPr>
                <w:sz w:val="18"/>
                <w:szCs w:val="18"/>
                <w:lang w:val="fr-FR"/>
              </w:rPr>
            </w:pPr>
            <w:r w:rsidRPr="00F079E8">
              <w:rPr>
                <w:sz w:val="18"/>
                <w:szCs w:val="18"/>
                <w:lang w:val="fr-FR"/>
              </w:rPr>
              <w:t>:</w:t>
            </w:r>
          </w:p>
        </w:tc>
      </w:tr>
      <w:tr w:rsidR="003C48D6" w:rsidRPr="00F079E8" w14:paraId="5FC7EDA6" w14:textId="77777777" w:rsidTr="005D3578">
        <w:tc>
          <w:tcPr>
            <w:tcW w:w="2271" w:type="dxa"/>
            <w:tcBorders>
              <w:bottom w:val="single" w:sz="4" w:space="0" w:color="auto"/>
            </w:tcBorders>
            <w:shd w:val="clear" w:color="auto" w:fill="auto"/>
          </w:tcPr>
          <w:p w14:paraId="3B793FED" w14:textId="77777777" w:rsidR="003C48D6" w:rsidRPr="00F079E8" w:rsidRDefault="003C48D6" w:rsidP="005D3578">
            <w:pPr>
              <w:keepNext/>
              <w:suppressAutoHyphens w:val="0"/>
              <w:spacing w:before="40" w:after="40" w:line="220" w:lineRule="exact"/>
              <w:rPr>
                <w:sz w:val="18"/>
                <w:szCs w:val="18"/>
                <w:lang w:val="fr-FR"/>
              </w:rPr>
            </w:pPr>
            <w:r w:rsidRPr="00F079E8">
              <w:rPr>
                <w:sz w:val="18"/>
                <w:szCs w:val="18"/>
                <w:lang w:val="fr-FR"/>
              </w:rPr>
              <w:t>18</w:t>
            </w:r>
          </w:p>
        </w:tc>
        <w:tc>
          <w:tcPr>
            <w:tcW w:w="2644" w:type="dxa"/>
            <w:tcBorders>
              <w:bottom w:val="single" w:sz="4" w:space="0" w:color="auto"/>
            </w:tcBorders>
            <w:shd w:val="clear" w:color="auto" w:fill="auto"/>
            <w:vAlign w:val="bottom"/>
          </w:tcPr>
          <w:p w14:paraId="35963FF7" w14:textId="77777777" w:rsidR="003C48D6" w:rsidRPr="00F079E8" w:rsidRDefault="003C48D6" w:rsidP="005D3578">
            <w:pPr>
              <w:keepNext/>
              <w:suppressAutoHyphens w:val="0"/>
              <w:spacing w:before="40" w:after="40" w:line="220" w:lineRule="exact"/>
              <w:jc w:val="right"/>
              <w:rPr>
                <w:sz w:val="18"/>
                <w:szCs w:val="18"/>
                <w:lang w:val="fr-FR"/>
              </w:rPr>
            </w:pPr>
            <w:r w:rsidRPr="00F079E8">
              <w:rPr>
                <w:sz w:val="18"/>
                <w:szCs w:val="18"/>
                <w:lang w:val="fr-FR"/>
              </w:rPr>
              <w:t>1 645</w:t>
            </w:r>
          </w:p>
        </w:tc>
        <w:tc>
          <w:tcPr>
            <w:tcW w:w="2280" w:type="dxa"/>
            <w:tcBorders>
              <w:bottom w:val="single" w:sz="4" w:space="0" w:color="auto"/>
            </w:tcBorders>
            <w:shd w:val="clear" w:color="auto" w:fill="auto"/>
            <w:vAlign w:val="bottom"/>
          </w:tcPr>
          <w:p w14:paraId="6020AA8A" w14:textId="77777777" w:rsidR="003C48D6" w:rsidRPr="00F079E8" w:rsidRDefault="003C48D6" w:rsidP="005D3578">
            <w:pPr>
              <w:keepNext/>
              <w:suppressAutoHyphens w:val="0"/>
              <w:spacing w:before="40" w:after="40" w:line="220" w:lineRule="exact"/>
              <w:jc w:val="right"/>
              <w:rPr>
                <w:sz w:val="18"/>
                <w:szCs w:val="18"/>
                <w:lang w:val="fr-FR"/>
              </w:rPr>
            </w:pPr>
            <w:r w:rsidRPr="00F079E8">
              <w:rPr>
                <w:sz w:val="18"/>
                <w:szCs w:val="18"/>
                <w:lang w:val="fr-FR"/>
              </w:rPr>
              <w:t>(826)</w:t>
            </w:r>
          </w:p>
        </w:tc>
        <w:tc>
          <w:tcPr>
            <w:tcW w:w="2433" w:type="dxa"/>
            <w:tcBorders>
              <w:bottom w:val="single" w:sz="4" w:space="0" w:color="auto"/>
            </w:tcBorders>
            <w:shd w:val="clear" w:color="auto" w:fill="auto"/>
            <w:vAlign w:val="bottom"/>
          </w:tcPr>
          <w:p w14:paraId="603B58BB" w14:textId="77777777" w:rsidR="003C48D6" w:rsidRPr="00F079E8" w:rsidRDefault="003C48D6" w:rsidP="005D3578">
            <w:pPr>
              <w:keepNext/>
              <w:suppressAutoHyphens w:val="0"/>
              <w:spacing w:before="40" w:after="40" w:line="220" w:lineRule="exact"/>
              <w:jc w:val="right"/>
              <w:rPr>
                <w:sz w:val="18"/>
                <w:szCs w:val="18"/>
                <w:lang w:val="fr-FR"/>
              </w:rPr>
            </w:pPr>
            <w:r w:rsidRPr="00F079E8">
              <w:rPr>
                <w:sz w:val="18"/>
                <w:szCs w:val="18"/>
                <w:lang w:val="fr-FR"/>
              </w:rPr>
              <w:t>(819)</w:t>
            </w:r>
          </w:p>
        </w:tc>
      </w:tr>
      <w:tr w:rsidR="003C48D6" w:rsidRPr="005D3578" w14:paraId="4F0C6FFD" w14:textId="77777777" w:rsidTr="005D3578">
        <w:tc>
          <w:tcPr>
            <w:tcW w:w="2271" w:type="dxa"/>
            <w:tcBorders>
              <w:top w:val="single" w:sz="4" w:space="0" w:color="auto"/>
              <w:bottom w:val="single" w:sz="12" w:space="0" w:color="auto"/>
            </w:tcBorders>
            <w:shd w:val="clear" w:color="auto" w:fill="auto"/>
          </w:tcPr>
          <w:p w14:paraId="13F4F2D7" w14:textId="77777777" w:rsidR="003C48D6" w:rsidRPr="005D3578" w:rsidRDefault="003C48D6" w:rsidP="005D3578">
            <w:pPr>
              <w:keepNext/>
              <w:suppressAutoHyphens w:val="0"/>
              <w:spacing w:before="80" w:after="80" w:line="220" w:lineRule="exact"/>
              <w:ind w:left="284"/>
              <w:rPr>
                <w:b/>
                <w:sz w:val="18"/>
                <w:szCs w:val="18"/>
                <w:lang w:val="fr-FR"/>
              </w:rPr>
            </w:pPr>
            <w:r w:rsidRPr="005D3578">
              <w:rPr>
                <w:b/>
                <w:sz w:val="18"/>
                <w:szCs w:val="18"/>
                <w:lang w:val="fr-FR"/>
              </w:rPr>
              <w:t>Total</w:t>
            </w:r>
          </w:p>
        </w:tc>
        <w:tc>
          <w:tcPr>
            <w:tcW w:w="2644" w:type="dxa"/>
            <w:tcBorders>
              <w:top w:val="single" w:sz="4" w:space="0" w:color="auto"/>
              <w:bottom w:val="single" w:sz="12" w:space="0" w:color="auto"/>
            </w:tcBorders>
            <w:shd w:val="clear" w:color="auto" w:fill="auto"/>
            <w:vAlign w:val="bottom"/>
          </w:tcPr>
          <w:p w14:paraId="3714ED69" w14:textId="77777777" w:rsidR="003C48D6" w:rsidRPr="005D3578" w:rsidRDefault="003C48D6" w:rsidP="005D3578">
            <w:pPr>
              <w:keepNext/>
              <w:suppressAutoHyphens w:val="0"/>
              <w:spacing w:before="80" w:after="80" w:line="220" w:lineRule="exact"/>
              <w:jc w:val="right"/>
              <w:rPr>
                <w:b/>
                <w:sz w:val="18"/>
                <w:szCs w:val="18"/>
                <w:lang w:val="fr-FR"/>
              </w:rPr>
            </w:pPr>
            <w:r w:rsidRPr="005D3578">
              <w:rPr>
                <w:b/>
                <w:sz w:val="18"/>
                <w:szCs w:val="18"/>
                <w:lang w:val="fr-FR"/>
              </w:rPr>
              <w:t>3 713</w:t>
            </w:r>
          </w:p>
        </w:tc>
        <w:tc>
          <w:tcPr>
            <w:tcW w:w="2280" w:type="dxa"/>
            <w:tcBorders>
              <w:top w:val="single" w:sz="4" w:space="0" w:color="auto"/>
              <w:bottom w:val="single" w:sz="12" w:space="0" w:color="auto"/>
            </w:tcBorders>
            <w:shd w:val="clear" w:color="auto" w:fill="auto"/>
            <w:vAlign w:val="bottom"/>
          </w:tcPr>
          <w:p w14:paraId="38E49DAD" w14:textId="77777777" w:rsidR="003C48D6" w:rsidRPr="005D3578" w:rsidRDefault="003C48D6" w:rsidP="005D3578">
            <w:pPr>
              <w:keepNext/>
              <w:suppressAutoHyphens w:val="0"/>
              <w:spacing w:before="80" w:after="80" w:line="220" w:lineRule="exact"/>
              <w:jc w:val="right"/>
              <w:rPr>
                <w:b/>
                <w:sz w:val="18"/>
                <w:szCs w:val="18"/>
                <w:lang w:val="fr-FR"/>
              </w:rPr>
            </w:pPr>
            <w:r w:rsidRPr="005D3578">
              <w:rPr>
                <w:b/>
                <w:sz w:val="18"/>
                <w:szCs w:val="18"/>
                <w:lang w:val="fr-FR"/>
              </w:rPr>
              <w:t>1 898</w:t>
            </w:r>
          </w:p>
        </w:tc>
        <w:tc>
          <w:tcPr>
            <w:tcW w:w="2433" w:type="dxa"/>
            <w:tcBorders>
              <w:top w:val="single" w:sz="4" w:space="0" w:color="auto"/>
              <w:bottom w:val="single" w:sz="12" w:space="0" w:color="auto"/>
            </w:tcBorders>
            <w:shd w:val="clear" w:color="auto" w:fill="auto"/>
            <w:vAlign w:val="bottom"/>
          </w:tcPr>
          <w:p w14:paraId="3581C918" w14:textId="77777777" w:rsidR="003C48D6" w:rsidRPr="005D3578" w:rsidRDefault="003C48D6" w:rsidP="005D3578">
            <w:pPr>
              <w:keepNext/>
              <w:suppressAutoHyphens w:val="0"/>
              <w:spacing w:before="80" w:after="80" w:line="220" w:lineRule="exact"/>
              <w:jc w:val="right"/>
              <w:rPr>
                <w:b/>
                <w:sz w:val="18"/>
                <w:szCs w:val="18"/>
                <w:lang w:val="fr-FR"/>
              </w:rPr>
            </w:pPr>
            <w:r w:rsidRPr="005D3578">
              <w:rPr>
                <w:b/>
                <w:sz w:val="18"/>
                <w:szCs w:val="18"/>
                <w:lang w:val="fr-FR"/>
              </w:rPr>
              <w:t>1 816</w:t>
            </w:r>
          </w:p>
        </w:tc>
      </w:tr>
    </w:tbl>
    <w:p w14:paraId="2B3127AF" w14:textId="77777777" w:rsidR="003C48D6" w:rsidRPr="00F720A6" w:rsidRDefault="003C48D6" w:rsidP="00F079E8">
      <w:pPr>
        <w:pStyle w:val="H23G"/>
        <w:rPr>
          <w:rStyle w:val="Appelnotedebasdep"/>
          <w:b w:val="0"/>
          <w:bCs/>
          <w:lang w:val="fr-FR"/>
        </w:rPr>
      </w:pPr>
      <w:r w:rsidRPr="00F720A6">
        <w:rPr>
          <w:lang w:val="fr-FR"/>
        </w:rPr>
        <w:tab/>
      </w:r>
      <w:r w:rsidRPr="00F720A6">
        <w:rPr>
          <w:lang w:val="fr-FR"/>
        </w:rPr>
        <w:tab/>
      </w:r>
      <w:r w:rsidRPr="00F720A6">
        <w:rPr>
          <w:bCs/>
          <w:lang w:val="fr-FR"/>
        </w:rPr>
        <w:t>Jeunes actifs âgés de 15 à 18 ans, 2014</w:t>
      </w:r>
      <w:r w:rsidRPr="00F079E8">
        <w:rPr>
          <w:rStyle w:val="Appelnotedebasdep"/>
          <w:b w:val="0"/>
          <w:bCs/>
        </w:rPr>
        <w:footnoteReference w:id="47"/>
      </w:r>
      <w:bookmarkStart w:id="78" w:name="_Toc56781476"/>
      <w:bookmarkEnd w:id="78"/>
    </w:p>
    <w:tbl>
      <w:tblPr>
        <w:tblW w:w="7370" w:type="dxa"/>
        <w:tblInd w:w="1134" w:type="dxa"/>
        <w:tblLayout w:type="fixed"/>
        <w:tblCellMar>
          <w:left w:w="0" w:type="dxa"/>
          <w:right w:w="0" w:type="dxa"/>
        </w:tblCellMar>
        <w:tblLook w:val="01E0" w:firstRow="1" w:lastRow="1" w:firstColumn="1" w:lastColumn="1" w:noHBand="0" w:noVBand="0"/>
      </w:tblPr>
      <w:tblGrid>
        <w:gridCol w:w="1726"/>
        <w:gridCol w:w="2007"/>
        <w:gridCol w:w="1790"/>
        <w:gridCol w:w="1847"/>
      </w:tblGrid>
      <w:tr w:rsidR="003C48D6" w:rsidRPr="00F079E8" w14:paraId="074A159D" w14:textId="77777777" w:rsidTr="00F079E8">
        <w:trPr>
          <w:tblHeader/>
        </w:trPr>
        <w:tc>
          <w:tcPr>
            <w:tcW w:w="2254" w:type="dxa"/>
            <w:tcBorders>
              <w:top w:val="single" w:sz="4" w:space="0" w:color="auto"/>
              <w:bottom w:val="single" w:sz="12" w:space="0" w:color="auto"/>
            </w:tcBorders>
            <w:shd w:val="clear" w:color="auto" w:fill="auto"/>
            <w:vAlign w:val="bottom"/>
          </w:tcPr>
          <w:p w14:paraId="17CC3832" w14:textId="77777777" w:rsidR="003C48D6" w:rsidRPr="00F079E8" w:rsidRDefault="003C48D6" w:rsidP="00F079E8">
            <w:pPr>
              <w:suppressAutoHyphens w:val="0"/>
              <w:spacing w:before="80" w:after="80" w:line="200" w:lineRule="exact"/>
              <w:rPr>
                <w:i/>
                <w:sz w:val="16"/>
                <w:lang w:val="fr-FR"/>
              </w:rPr>
            </w:pPr>
            <w:r w:rsidRPr="00F079E8">
              <w:rPr>
                <w:i/>
                <w:sz w:val="16"/>
                <w:lang w:val="fr-FR"/>
              </w:rPr>
              <w:t>Âge</w:t>
            </w:r>
          </w:p>
        </w:tc>
        <w:tc>
          <w:tcPr>
            <w:tcW w:w="2623" w:type="dxa"/>
            <w:tcBorders>
              <w:top w:val="single" w:sz="4" w:space="0" w:color="auto"/>
              <w:bottom w:val="single" w:sz="12" w:space="0" w:color="auto"/>
            </w:tcBorders>
            <w:shd w:val="clear" w:color="auto" w:fill="auto"/>
            <w:vAlign w:val="bottom"/>
          </w:tcPr>
          <w:p w14:paraId="1094A4EB"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Nombre d</w:t>
            </w:r>
            <w:r w:rsidR="00254912">
              <w:rPr>
                <w:i/>
                <w:sz w:val="16"/>
                <w:lang w:val="fr-FR"/>
              </w:rPr>
              <w:t>’</w:t>
            </w:r>
            <w:r w:rsidRPr="00F079E8">
              <w:rPr>
                <w:i/>
                <w:sz w:val="16"/>
                <w:lang w:val="fr-FR"/>
              </w:rPr>
              <w:t>employés</w:t>
            </w:r>
          </w:p>
        </w:tc>
        <w:tc>
          <w:tcPr>
            <w:tcW w:w="2338" w:type="dxa"/>
            <w:tcBorders>
              <w:top w:val="single" w:sz="4" w:space="0" w:color="auto"/>
              <w:bottom w:val="single" w:sz="12" w:space="0" w:color="auto"/>
            </w:tcBorders>
            <w:shd w:val="clear" w:color="auto" w:fill="auto"/>
            <w:vAlign w:val="bottom"/>
          </w:tcPr>
          <w:p w14:paraId="31877B2D"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Jeunes hommes</w:t>
            </w:r>
          </w:p>
        </w:tc>
        <w:tc>
          <w:tcPr>
            <w:tcW w:w="2413" w:type="dxa"/>
            <w:tcBorders>
              <w:top w:val="single" w:sz="4" w:space="0" w:color="auto"/>
              <w:bottom w:val="single" w:sz="12" w:space="0" w:color="auto"/>
            </w:tcBorders>
            <w:shd w:val="clear" w:color="auto" w:fill="auto"/>
            <w:vAlign w:val="bottom"/>
          </w:tcPr>
          <w:p w14:paraId="358D42D8"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Jeunes femmes</w:t>
            </w:r>
          </w:p>
        </w:tc>
      </w:tr>
      <w:tr w:rsidR="003C48D6" w:rsidRPr="00F079E8" w14:paraId="09B552D9" w14:textId="77777777" w:rsidTr="00F079E8">
        <w:tc>
          <w:tcPr>
            <w:tcW w:w="2254" w:type="dxa"/>
            <w:tcBorders>
              <w:top w:val="single" w:sz="12" w:space="0" w:color="auto"/>
            </w:tcBorders>
            <w:shd w:val="clear" w:color="auto" w:fill="auto"/>
          </w:tcPr>
          <w:p w14:paraId="402BE3E7"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15</w:t>
            </w:r>
          </w:p>
        </w:tc>
        <w:tc>
          <w:tcPr>
            <w:tcW w:w="2623" w:type="dxa"/>
            <w:tcBorders>
              <w:top w:val="single" w:sz="12" w:space="0" w:color="auto"/>
            </w:tcBorders>
            <w:shd w:val="clear" w:color="auto" w:fill="auto"/>
            <w:vAlign w:val="bottom"/>
          </w:tcPr>
          <w:p w14:paraId="6ED2F3C6"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2338" w:type="dxa"/>
            <w:tcBorders>
              <w:top w:val="single" w:sz="12" w:space="0" w:color="auto"/>
            </w:tcBorders>
            <w:shd w:val="clear" w:color="auto" w:fill="auto"/>
            <w:vAlign w:val="bottom"/>
          </w:tcPr>
          <w:p w14:paraId="2DDEF17C"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2413" w:type="dxa"/>
            <w:tcBorders>
              <w:top w:val="single" w:sz="12" w:space="0" w:color="auto"/>
            </w:tcBorders>
            <w:shd w:val="clear" w:color="auto" w:fill="auto"/>
            <w:vAlign w:val="bottom"/>
          </w:tcPr>
          <w:p w14:paraId="5CE2F3F1"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r>
      <w:tr w:rsidR="003C48D6" w:rsidRPr="00F079E8" w14:paraId="74FD810A" w14:textId="77777777" w:rsidTr="00F079E8">
        <w:tc>
          <w:tcPr>
            <w:tcW w:w="2254" w:type="dxa"/>
            <w:shd w:val="clear" w:color="auto" w:fill="auto"/>
          </w:tcPr>
          <w:p w14:paraId="0C3810B3"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16</w:t>
            </w:r>
          </w:p>
        </w:tc>
        <w:tc>
          <w:tcPr>
            <w:tcW w:w="2623" w:type="dxa"/>
            <w:shd w:val="clear" w:color="auto" w:fill="auto"/>
            <w:vAlign w:val="bottom"/>
          </w:tcPr>
          <w:p w14:paraId="5DE5498A"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(779)</w:t>
            </w:r>
          </w:p>
        </w:tc>
        <w:tc>
          <w:tcPr>
            <w:tcW w:w="2338" w:type="dxa"/>
            <w:shd w:val="clear" w:color="auto" w:fill="auto"/>
            <w:vAlign w:val="bottom"/>
          </w:tcPr>
          <w:p w14:paraId="40431AE9"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2413" w:type="dxa"/>
            <w:shd w:val="clear" w:color="auto" w:fill="auto"/>
            <w:vAlign w:val="bottom"/>
          </w:tcPr>
          <w:p w14:paraId="696C2612"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(606)</w:t>
            </w:r>
          </w:p>
        </w:tc>
      </w:tr>
      <w:tr w:rsidR="003C48D6" w:rsidRPr="00F079E8" w14:paraId="3DED58EF" w14:textId="77777777" w:rsidTr="00F079E8">
        <w:tc>
          <w:tcPr>
            <w:tcW w:w="2254" w:type="dxa"/>
            <w:shd w:val="clear" w:color="auto" w:fill="auto"/>
          </w:tcPr>
          <w:p w14:paraId="3C4C4A2E"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17</w:t>
            </w:r>
          </w:p>
        </w:tc>
        <w:tc>
          <w:tcPr>
            <w:tcW w:w="2623" w:type="dxa"/>
            <w:shd w:val="clear" w:color="auto" w:fill="auto"/>
            <w:vAlign w:val="bottom"/>
          </w:tcPr>
          <w:p w14:paraId="55C68FC4"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(578)</w:t>
            </w:r>
          </w:p>
        </w:tc>
        <w:tc>
          <w:tcPr>
            <w:tcW w:w="2338" w:type="dxa"/>
            <w:shd w:val="clear" w:color="auto" w:fill="auto"/>
            <w:vAlign w:val="bottom"/>
          </w:tcPr>
          <w:p w14:paraId="3D862FDD"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2413" w:type="dxa"/>
            <w:shd w:val="clear" w:color="auto" w:fill="auto"/>
            <w:vAlign w:val="bottom"/>
          </w:tcPr>
          <w:p w14:paraId="5FE70D12"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r>
      <w:tr w:rsidR="003C48D6" w:rsidRPr="00F079E8" w14:paraId="0A28A264" w14:textId="77777777" w:rsidTr="005D3578">
        <w:tc>
          <w:tcPr>
            <w:tcW w:w="2254" w:type="dxa"/>
            <w:tcBorders>
              <w:bottom w:val="single" w:sz="4" w:space="0" w:color="auto"/>
            </w:tcBorders>
            <w:shd w:val="clear" w:color="auto" w:fill="auto"/>
          </w:tcPr>
          <w:p w14:paraId="5579AA28"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18</w:t>
            </w:r>
          </w:p>
        </w:tc>
        <w:tc>
          <w:tcPr>
            <w:tcW w:w="2623" w:type="dxa"/>
            <w:tcBorders>
              <w:bottom w:val="single" w:sz="4" w:space="0" w:color="auto"/>
            </w:tcBorders>
            <w:shd w:val="clear" w:color="auto" w:fill="auto"/>
            <w:vAlign w:val="bottom"/>
          </w:tcPr>
          <w:p w14:paraId="3781987F"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(875)</w:t>
            </w:r>
          </w:p>
        </w:tc>
        <w:tc>
          <w:tcPr>
            <w:tcW w:w="2338" w:type="dxa"/>
            <w:tcBorders>
              <w:bottom w:val="single" w:sz="4" w:space="0" w:color="auto"/>
            </w:tcBorders>
            <w:shd w:val="clear" w:color="auto" w:fill="auto"/>
            <w:vAlign w:val="bottom"/>
          </w:tcPr>
          <w:p w14:paraId="01C4236C"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(676)</w:t>
            </w:r>
          </w:p>
        </w:tc>
        <w:tc>
          <w:tcPr>
            <w:tcW w:w="2413" w:type="dxa"/>
            <w:tcBorders>
              <w:bottom w:val="single" w:sz="4" w:space="0" w:color="auto"/>
            </w:tcBorders>
            <w:shd w:val="clear" w:color="auto" w:fill="auto"/>
            <w:vAlign w:val="bottom"/>
          </w:tcPr>
          <w:p w14:paraId="5C8F8D32"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r>
      <w:tr w:rsidR="003C48D6" w:rsidRPr="005D3578" w14:paraId="6EA3D781" w14:textId="77777777" w:rsidTr="005D3578">
        <w:tc>
          <w:tcPr>
            <w:tcW w:w="2254" w:type="dxa"/>
            <w:tcBorders>
              <w:top w:val="single" w:sz="4" w:space="0" w:color="auto"/>
              <w:bottom w:val="single" w:sz="12" w:space="0" w:color="auto"/>
            </w:tcBorders>
            <w:shd w:val="clear" w:color="auto" w:fill="auto"/>
          </w:tcPr>
          <w:p w14:paraId="53EA9E09" w14:textId="77777777" w:rsidR="003C48D6" w:rsidRPr="005D3578" w:rsidRDefault="003C48D6" w:rsidP="005D3578">
            <w:pPr>
              <w:suppressAutoHyphens w:val="0"/>
              <w:spacing w:before="80" w:after="80" w:line="220" w:lineRule="exact"/>
              <w:ind w:left="284"/>
              <w:rPr>
                <w:b/>
                <w:sz w:val="18"/>
                <w:szCs w:val="18"/>
                <w:lang w:val="fr-FR"/>
              </w:rPr>
            </w:pPr>
            <w:r w:rsidRPr="005D3578">
              <w:rPr>
                <w:b/>
                <w:sz w:val="18"/>
                <w:szCs w:val="18"/>
                <w:lang w:val="fr-FR"/>
              </w:rPr>
              <w:t>Total</w:t>
            </w:r>
          </w:p>
        </w:tc>
        <w:tc>
          <w:tcPr>
            <w:tcW w:w="2623" w:type="dxa"/>
            <w:tcBorders>
              <w:top w:val="single" w:sz="4" w:space="0" w:color="auto"/>
              <w:bottom w:val="single" w:sz="12" w:space="0" w:color="auto"/>
            </w:tcBorders>
            <w:shd w:val="clear" w:color="auto" w:fill="auto"/>
            <w:vAlign w:val="bottom"/>
          </w:tcPr>
          <w:p w14:paraId="6ABD9296" w14:textId="77777777" w:rsidR="003C48D6" w:rsidRPr="005D3578" w:rsidRDefault="003C48D6" w:rsidP="005D3578">
            <w:pPr>
              <w:suppressAutoHyphens w:val="0"/>
              <w:spacing w:before="80" w:after="80" w:line="220" w:lineRule="exact"/>
              <w:ind w:left="284"/>
              <w:jc w:val="right"/>
              <w:rPr>
                <w:b/>
                <w:sz w:val="18"/>
                <w:szCs w:val="18"/>
                <w:lang w:val="fr-FR"/>
              </w:rPr>
            </w:pPr>
            <w:r w:rsidRPr="005D3578">
              <w:rPr>
                <w:b/>
                <w:sz w:val="18"/>
                <w:szCs w:val="18"/>
                <w:lang w:val="fr-FR"/>
              </w:rPr>
              <w:t>2 383</w:t>
            </w:r>
          </w:p>
        </w:tc>
        <w:tc>
          <w:tcPr>
            <w:tcW w:w="2338" w:type="dxa"/>
            <w:tcBorders>
              <w:top w:val="single" w:sz="4" w:space="0" w:color="auto"/>
              <w:bottom w:val="single" w:sz="12" w:space="0" w:color="auto"/>
            </w:tcBorders>
            <w:shd w:val="clear" w:color="auto" w:fill="auto"/>
            <w:vAlign w:val="bottom"/>
          </w:tcPr>
          <w:p w14:paraId="05AD8419" w14:textId="77777777" w:rsidR="003C48D6" w:rsidRPr="005D3578" w:rsidRDefault="003C48D6" w:rsidP="005D3578">
            <w:pPr>
              <w:suppressAutoHyphens w:val="0"/>
              <w:spacing w:before="80" w:after="80" w:line="220" w:lineRule="exact"/>
              <w:ind w:left="284"/>
              <w:jc w:val="right"/>
              <w:rPr>
                <w:b/>
                <w:sz w:val="18"/>
                <w:szCs w:val="18"/>
                <w:lang w:val="fr-FR"/>
              </w:rPr>
            </w:pPr>
            <w:r w:rsidRPr="005D3578">
              <w:rPr>
                <w:b/>
                <w:sz w:val="18"/>
                <w:szCs w:val="18"/>
                <w:lang w:val="fr-FR"/>
              </w:rPr>
              <w:t>(1 379)</w:t>
            </w:r>
          </w:p>
        </w:tc>
        <w:tc>
          <w:tcPr>
            <w:tcW w:w="2413" w:type="dxa"/>
            <w:tcBorders>
              <w:top w:val="single" w:sz="4" w:space="0" w:color="auto"/>
              <w:bottom w:val="single" w:sz="12" w:space="0" w:color="auto"/>
            </w:tcBorders>
            <w:shd w:val="clear" w:color="auto" w:fill="auto"/>
            <w:vAlign w:val="bottom"/>
          </w:tcPr>
          <w:p w14:paraId="6CB1735E" w14:textId="77777777" w:rsidR="003C48D6" w:rsidRPr="005D3578" w:rsidRDefault="003C48D6" w:rsidP="005D3578">
            <w:pPr>
              <w:suppressAutoHyphens w:val="0"/>
              <w:spacing w:before="80" w:after="80" w:line="220" w:lineRule="exact"/>
              <w:ind w:left="284"/>
              <w:jc w:val="right"/>
              <w:rPr>
                <w:b/>
                <w:sz w:val="18"/>
                <w:szCs w:val="18"/>
                <w:lang w:val="fr-FR"/>
              </w:rPr>
            </w:pPr>
            <w:r w:rsidRPr="005D3578">
              <w:rPr>
                <w:b/>
                <w:sz w:val="18"/>
                <w:szCs w:val="18"/>
                <w:lang w:val="fr-FR"/>
              </w:rPr>
              <w:t>(1 005)</w:t>
            </w:r>
          </w:p>
        </w:tc>
      </w:tr>
    </w:tbl>
    <w:p w14:paraId="1E8F6188" w14:textId="77777777" w:rsidR="003C48D6" w:rsidRPr="00F720A6" w:rsidRDefault="003C48D6" w:rsidP="00F079E8">
      <w:pPr>
        <w:pStyle w:val="H23G"/>
        <w:rPr>
          <w:rStyle w:val="Appelnotedebasdep"/>
          <w:b w:val="0"/>
          <w:bCs/>
          <w:lang w:val="fr-FR"/>
        </w:rPr>
      </w:pPr>
      <w:r w:rsidRPr="00F720A6">
        <w:rPr>
          <w:lang w:val="fr-FR"/>
        </w:rPr>
        <w:tab/>
      </w:r>
      <w:r w:rsidRPr="00F720A6">
        <w:rPr>
          <w:lang w:val="fr-FR"/>
        </w:rPr>
        <w:tab/>
      </w:r>
      <w:r w:rsidRPr="00F720A6">
        <w:rPr>
          <w:bCs/>
          <w:lang w:val="fr-FR"/>
        </w:rPr>
        <w:t>Jeunes actifs âgés de 15 à 18 ans, 2015</w:t>
      </w:r>
      <w:r w:rsidRPr="00F079E8">
        <w:rPr>
          <w:rStyle w:val="Appelnotedebasdep"/>
          <w:b w:val="0"/>
          <w:bCs/>
        </w:rPr>
        <w:footnoteReference w:id="48"/>
      </w:r>
      <w:bookmarkStart w:id="79" w:name="_Toc56781477"/>
      <w:bookmarkEnd w:id="79"/>
    </w:p>
    <w:tbl>
      <w:tblPr>
        <w:tblW w:w="7370" w:type="dxa"/>
        <w:tblInd w:w="1134" w:type="dxa"/>
        <w:tblLayout w:type="fixed"/>
        <w:tblCellMar>
          <w:left w:w="0" w:type="dxa"/>
          <w:right w:w="0" w:type="dxa"/>
        </w:tblCellMar>
        <w:tblLook w:val="01E0" w:firstRow="1" w:lastRow="1" w:firstColumn="1" w:lastColumn="1" w:noHBand="0" w:noVBand="0"/>
      </w:tblPr>
      <w:tblGrid>
        <w:gridCol w:w="1722"/>
        <w:gridCol w:w="2002"/>
        <w:gridCol w:w="1791"/>
        <w:gridCol w:w="1855"/>
      </w:tblGrid>
      <w:tr w:rsidR="003C48D6" w:rsidRPr="00F079E8" w14:paraId="24235444" w14:textId="77777777" w:rsidTr="005D3578">
        <w:trPr>
          <w:tblHeader/>
        </w:trPr>
        <w:tc>
          <w:tcPr>
            <w:tcW w:w="1722" w:type="dxa"/>
            <w:tcBorders>
              <w:top w:val="single" w:sz="4" w:space="0" w:color="auto"/>
              <w:bottom w:val="single" w:sz="12" w:space="0" w:color="auto"/>
            </w:tcBorders>
            <w:shd w:val="clear" w:color="auto" w:fill="auto"/>
            <w:vAlign w:val="bottom"/>
          </w:tcPr>
          <w:p w14:paraId="7D9D6702" w14:textId="77777777" w:rsidR="003C48D6" w:rsidRPr="00F079E8" w:rsidRDefault="003C48D6" w:rsidP="00F079E8">
            <w:pPr>
              <w:suppressAutoHyphens w:val="0"/>
              <w:spacing w:before="80" w:after="80" w:line="200" w:lineRule="exact"/>
              <w:rPr>
                <w:i/>
                <w:sz w:val="16"/>
                <w:lang w:val="fr-FR"/>
              </w:rPr>
            </w:pPr>
            <w:r w:rsidRPr="00F079E8">
              <w:rPr>
                <w:i/>
                <w:sz w:val="16"/>
                <w:lang w:val="fr-FR"/>
              </w:rPr>
              <w:t>Âge</w:t>
            </w:r>
          </w:p>
        </w:tc>
        <w:tc>
          <w:tcPr>
            <w:tcW w:w="2002" w:type="dxa"/>
            <w:tcBorders>
              <w:top w:val="single" w:sz="4" w:space="0" w:color="auto"/>
              <w:bottom w:val="single" w:sz="12" w:space="0" w:color="auto"/>
            </w:tcBorders>
            <w:shd w:val="clear" w:color="auto" w:fill="auto"/>
            <w:vAlign w:val="bottom"/>
          </w:tcPr>
          <w:p w14:paraId="1A85B84E"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Nombre d</w:t>
            </w:r>
            <w:r w:rsidR="00254912">
              <w:rPr>
                <w:i/>
                <w:sz w:val="16"/>
                <w:lang w:val="fr-FR"/>
              </w:rPr>
              <w:t>’</w:t>
            </w:r>
            <w:r w:rsidRPr="00F079E8">
              <w:rPr>
                <w:i/>
                <w:sz w:val="16"/>
                <w:lang w:val="fr-FR"/>
              </w:rPr>
              <w:t>employés</w:t>
            </w:r>
          </w:p>
        </w:tc>
        <w:tc>
          <w:tcPr>
            <w:tcW w:w="1791" w:type="dxa"/>
            <w:tcBorders>
              <w:top w:val="single" w:sz="4" w:space="0" w:color="auto"/>
              <w:bottom w:val="single" w:sz="12" w:space="0" w:color="auto"/>
            </w:tcBorders>
            <w:shd w:val="clear" w:color="auto" w:fill="auto"/>
            <w:vAlign w:val="bottom"/>
          </w:tcPr>
          <w:p w14:paraId="16FC567D"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Jeunes hommes</w:t>
            </w:r>
          </w:p>
        </w:tc>
        <w:tc>
          <w:tcPr>
            <w:tcW w:w="1855" w:type="dxa"/>
            <w:tcBorders>
              <w:top w:val="single" w:sz="4" w:space="0" w:color="auto"/>
              <w:bottom w:val="single" w:sz="12" w:space="0" w:color="auto"/>
            </w:tcBorders>
            <w:shd w:val="clear" w:color="auto" w:fill="auto"/>
            <w:vAlign w:val="bottom"/>
          </w:tcPr>
          <w:p w14:paraId="698EBE31"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Jeunes femmes</w:t>
            </w:r>
          </w:p>
        </w:tc>
      </w:tr>
      <w:tr w:rsidR="003C48D6" w:rsidRPr="00F079E8" w14:paraId="1B2C07DB" w14:textId="77777777" w:rsidTr="005D3578">
        <w:tc>
          <w:tcPr>
            <w:tcW w:w="1722" w:type="dxa"/>
            <w:tcBorders>
              <w:top w:val="single" w:sz="12" w:space="0" w:color="auto"/>
            </w:tcBorders>
            <w:shd w:val="clear" w:color="auto" w:fill="auto"/>
          </w:tcPr>
          <w:p w14:paraId="7A646ED8"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15</w:t>
            </w:r>
          </w:p>
        </w:tc>
        <w:tc>
          <w:tcPr>
            <w:tcW w:w="2002" w:type="dxa"/>
            <w:tcBorders>
              <w:top w:val="single" w:sz="12" w:space="0" w:color="auto"/>
            </w:tcBorders>
            <w:shd w:val="clear" w:color="auto" w:fill="auto"/>
            <w:vAlign w:val="bottom"/>
          </w:tcPr>
          <w:p w14:paraId="79FD52DF"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1791" w:type="dxa"/>
            <w:tcBorders>
              <w:top w:val="single" w:sz="12" w:space="0" w:color="auto"/>
            </w:tcBorders>
            <w:shd w:val="clear" w:color="auto" w:fill="auto"/>
            <w:vAlign w:val="bottom"/>
          </w:tcPr>
          <w:p w14:paraId="06611F57"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1855" w:type="dxa"/>
            <w:tcBorders>
              <w:top w:val="single" w:sz="12" w:space="0" w:color="auto"/>
            </w:tcBorders>
            <w:shd w:val="clear" w:color="auto" w:fill="auto"/>
            <w:vAlign w:val="bottom"/>
          </w:tcPr>
          <w:p w14:paraId="56FBF67D"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r>
      <w:tr w:rsidR="003C48D6" w:rsidRPr="00F079E8" w14:paraId="2A7B7ED3" w14:textId="77777777" w:rsidTr="005D3578">
        <w:tc>
          <w:tcPr>
            <w:tcW w:w="1722" w:type="dxa"/>
            <w:shd w:val="clear" w:color="auto" w:fill="auto"/>
          </w:tcPr>
          <w:p w14:paraId="03362C5C"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16</w:t>
            </w:r>
          </w:p>
        </w:tc>
        <w:tc>
          <w:tcPr>
            <w:tcW w:w="2002" w:type="dxa"/>
            <w:shd w:val="clear" w:color="auto" w:fill="auto"/>
            <w:vAlign w:val="bottom"/>
          </w:tcPr>
          <w:p w14:paraId="50508A0E"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(939)</w:t>
            </w:r>
          </w:p>
        </w:tc>
        <w:tc>
          <w:tcPr>
            <w:tcW w:w="1791" w:type="dxa"/>
            <w:shd w:val="clear" w:color="auto" w:fill="auto"/>
            <w:vAlign w:val="bottom"/>
          </w:tcPr>
          <w:p w14:paraId="3CCD239D"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(679)</w:t>
            </w:r>
          </w:p>
        </w:tc>
        <w:tc>
          <w:tcPr>
            <w:tcW w:w="1855" w:type="dxa"/>
            <w:shd w:val="clear" w:color="auto" w:fill="auto"/>
            <w:vAlign w:val="bottom"/>
          </w:tcPr>
          <w:p w14:paraId="24DC176D"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r>
      <w:tr w:rsidR="003C48D6" w:rsidRPr="00F079E8" w14:paraId="1D9ADC32" w14:textId="77777777" w:rsidTr="005D3578">
        <w:tc>
          <w:tcPr>
            <w:tcW w:w="1722" w:type="dxa"/>
            <w:shd w:val="clear" w:color="auto" w:fill="auto"/>
          </w:tcPr>
          <w:p w14:paraId="5EBD3067"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17</w:t>
            </w:r>
          </w:p>
        </w:tc>
        <w:tc>
          <w:tcPr>
            <w:tcW w:w="2002" w:type="dxa"/>
            <w:shd w:val="clear" w:color="auto" w:fill="auto"/>
            <w:vAlign w:val="bottom"/>
          </w:tcPr>
          <w:p w14:paraId="1AF6D1C3"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(1 059)</w:t>
            </w:r>
          </w:p>
        </w:tc>
        <w:tc>
          <w:tcPr>
            <w:tcW w:w="1791" w:type="dxa"/>
            <w:shd w:val="clear" w:color="auto" w:fill="auto"/>
            <w:vAlign w:val="bottom"/>
          </w:tcPr>
          <w:p w14:paraId="09D9E05D"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1855" w:type="dxa"/>
            <w:shd w:val="clear" w:color="auto" w:fill="auto"/>
            <w:vAlign w:val="bottom"/>
          </w:tcPr>
          <w:p w14:paraId="0680FDF2"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(710)</w:t>
            </w:r>
          </w:p>
        </w:tc>
      </w:tr>
      <w:tr w:rsidR="003C48D6" w:rsidRPr="00F079E8" w14:paraId="14207ED3" w14:textId="77777777" w:rsidTr="005D3578">
        <w:tc>
          <w:tcPr>
            <w:tcW w:w="1722" w:type="dxa"/>
            <w:tcBorders>
              <w:bottom w:val="single" w:sz="4" w:space="0" w:color="auto"/>
            </w:tcBorders>
            <w:shd w:val="clear" w:color="auto" w:fill="auto"/>
          </w:tcPr>
          <w:p w14:paraId="58FE353E"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18</w:t>
            </w:r>
          </w:p>
        </w:tc>
        <w:tc>
          <w:tcPr>
            <w:tcW w:w="2002" w:type="dxa"/>
            <w:tcBorders>
              <w:bottom w:val="single" w:sz="4" w:space="0" w:color="auto"/>
            </w:tcBorders>
            <w:shd w:val="clear" w:color="auto" w:fill="auto"/>
            <w:vAlign w:val="bottom"/>
          </w:tcPr>
          <w:p w14:paraId="2B4D6584"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1 834</w:t>
            </w:r>
          </w:p>
        </w:tc>
        <w:tc>
          <w:tcPr>
            <w:tcW w:w="1791" w:type="dxa"/>
            <w:tcBorders>
              <w:bottom w:val="single" w:sz="4" w:space="0" w:color="auto"/>
            </w:tcBorders>
            <w:shd w:val="clear" w:color="auto" w:fill="auto"/>
            <w:vAlign w:val="bottom"/>
          </w:tcPr>
          <w:p w14:paraId="533C3233"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(1 401)</w:t>
            </w:r>
          </w:p>
        </w:tc>
        <w:tc>
          <w:tcPr>
            <w:tcW w:w="1855" w:type="dxa"/>
            <w:tcBorders>
              <w:bottom w:val="single" w:sz="4" w:space="0" w:color="auto"/>
            </w:tcBorders>
            <w:shd w:val="clear" w:color="auto" w:fill="auto"/>
            <w:vAlign w:val="bottom"/>
          </w:tcPr>
          <w:p w14:paraId="475E9FAD"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r>
      <w:tr w:rsidR="003C48D6" w:rsidRPr="005D3578" w14:paraId="284CC783" w14:textId="77777777" w:rsidTr="005D3578">
        <w:tc>
          <w:tcPr>
            <w:tcW w:w="1722" w:type="dxa"/>
            <w:tcBorders>
              <w:top w:val="single" w:sz="4" w:space="0" w:color="auto"/>
              <w:bottom w:val="single" w:sz="12" w:space="0" w:color="auto"/>
            </w:tcBorders>
            <w:shd w:val="clear" w:color="auto" w:fill="auto"/>
          </w:tcPr>
          <w:p w14:paraId="3DAE295D" w14:textId="77777777" w:rsidR="003C48D6" w:rsidRPr="005D3578" w:rsidRDefault="003C48D6" w:rsidP="005D3578">
            <w:pPr>
              <w:suppressAutoHyphens w:val="0"/>
              <w:spacing w:before="80" w:after="80" w:line="220" w:lineRule="exact"/>
              <w:ind w:left="284"/>
              <w:rPr>
                <w:b/>
                <w:sz w:val="18"/>
                <w:szCs w:val="18"/>
                <w:lang w:val="fr-FR"/>
              </w:rPr>
            </w:pPr>
            <w:r w:rsidRPr="005D3578">
              <w:rPr>
                <w:b/>
                <w:sz w:val="18"/>
                <w:szCs w:val="18"/>
                <w:lang w:val="fr-FR"/>
              </w:rPr>
              <w:t>Total</w:t>
            </w:r>
          </w:p>
        </w:tc>
        <w:tc>
          <w:tcPr>
            <w:tcW w:w="2002" w:type="dxa"/>
            <w:tcBorders>
              <w:top w:val="single" w:sz="4" w:space="0" w:color="auto"/>
              <w:bottom w:val="single" w:sz="12" w:space="0" w:color="auto"/>
            </w:tcBorders>
            <w:shd w:val="clear" w:color="auto" w:fill="auto"/>
            <w:vAlign w:val="bottom"/>
          </w:tcPr>
          <w:p w14:paraId="5D759DEA" w14:textId="77777777" w:rsidR="003C48D6" w:rsidRPr="005D3578" w:rsidRDefault="003C48D6" w:rsidP="005D3578">
            <w:pPr>
              <w:suppressAutoHyphens w:val="0"/>
              <w:spacing w:before="80" w:after="80" w:line="220" w:lineRule="exact"/>
              <w:ind w:left="284"/>
              <w:jc w:val="right"/>
              <w:rPr>
                <w:b/>
                <w:sz w:val="18"/>
                <w:szCs w:val="18"/>
                <w:lang w:val="fr-FR"/>
              </w:rPr>
            </w:pPr>
            <w:r w:rsidRPr="005D3578">
              <w:rPr>
                <w:b/>
                <w:sz w:val="18"/>
                <w:szCs w:val="18"/>
                <w:lang w:val="fr-FR"/>
              </w:rPr>
              <w:t>4 155</w:t>
            </w:r>
          </w:p>
        </w:tc>
        <w:tc>
          <w:tcPr>
            <w:tcW w:w="1791" w:type="dxa"/>
            <w:tcBorders>
              <w:top w:val="single" w:sz="4" w:space="0" w:color="auto"/>
              <w:bottom w:val="single" w:sz="12" w:space="0" w:color="auto"/>
            </w:tcBorders>
            <w:shd w:val="clear" w:color="auto" w:fill="auto"/>
            <w:vAlign w:val="bottom"/>
          </w:tcPr>
          <w:p w14:paraId="0437FEA4" w14:textId="77777777" w:rsidR="003C48D6" w:rsidRPr="005D3578" w:rsidRDefault="003C48D6" w:rsidP="005D3578">
            <w:pPr>
              <w:suppressAutoHyphens w:val="0"/>
              <w:spacing w:before="80" w:after="80" w:line="220" w:lineRule="exact"/>
              <w:ind w:left="284"/>
              <w:jc w:val="right"/>
              <w:rPr>
                <w:b/>
                <w:sz w:val="18"/>
                <w:szCs w:val="18"/>
                <w:lang w:val="fr-FR"/>
              </w:rPr>
            </w:pPr>
            <w:r w:rsidRPr="005D3578">
              <w:rPr>
                <w:b/>
                <w:sz w:val="18"/>
                <w:szCs w:val="18"/>
                <w:lang w:val="fr-FR"/>
              </w:rPr>
              <w:t>2 503</w:t>
            </w:r>
          </w:p>
        </w:tc>
        <w:tc>
          <w:tcPr>
            <w:tcW w:w="1855" w:type="dxa"/>
            <w:tcBorders>
              <w:top w:val="single" w:sz="4" w:space="0" w:color="auto"/>
              <w:bottom w:val="single" w:sz="12" w:space="0" w:color="auto"/>
            </w:tcBorders>
            <w:shd w:val="clear" w:color="auto" w:fill="auto"/>
            <w:vAlign w:val="bottom"/>
          </w:tcPr>
          <w:p w14:paraId="73308AE1" w14:textId="77777777" w:rsidR="003C48D6" w:rsidRPr="005D3578" w:rsidRDefault="003C48D6" w:rsidP="005D3578">
            <w:pPr>
              <w:suppressAutoHyphens w:val="0"/>
              <w:spacing w:before="80" w:after="80" w:line="220" w:lineRule="exact"/>
              <w:ind w:left="284"/>
              <w:jc w:val="right"/>
              <w:rPr>
                <w:b/>
                <w:sz w:val="18"/>
                <w:szCs w:val="18"/>
                <w:lang w:val="fr-FR"/>
              </w:rPr>
            </w:pPr>
            <w:r w:rsidRPr="005D3578">
              <w:rPr>
                <w:b/>
                <w:sz w:val="18"/>
                <w:szCs w:val="18"/>
                <w:lang w:val="fr-FR"/>
              </w:rPr>
              <w:t>1 653</w:t>
            </w:r>
          </w:p>
        </w:tc>
      </w:tr>
    </w:tbl>
    <w:p w14:paraId="248EA41D" w14:textId="77777777" w:rsidR="003C48D6" w:rsidRPr="00F720A6" w:rsidRDefault="003C48D6" w:rsidP="00F079E8">
      <w:pPr>
        <w:pStyle w:val="H23G"/>
        <w:rPr>
          <w:rStyle w:val="Appelnotedebasdep"/>
          <w:b w:val="0"/>
          <w:bCs/>
          <w:lang w:val="fr-FR"/>
        </w:rPr>
      </w:pPr>
      <w:r w:rsidRPr="00F720A6">
        <w:rPr>
          <w:lang w:val="fr-FR"/>
        </w:rPr>
        <w:tab/>
      </w:r>
      <w:r w:rsidRPr="00F720A6">
        <w:rPr>
          <w:lang w:val="fr-FR"/>
        </w:rPr>
        <w:tab/>
      </w:r>
      <w:r w:rsidRPr="00F720A6">
        <w:rPr>
          <w:bCs/>
          <w:lang w:val="fr-FR"/>
        </w:rPr>
        <w:t>Jeunes actifs âgés de 15 à 18 ans, 2016</w:t>
      </w:r>
      <w:r w:rsidRPr="00F079E8">
        <w:rPr>
          <w:rStyle w:val="Appelnotedebasdep"/>
          <w:b w:val="0"/>
          <w:bCs/>
        </w:rPr>
        <w:footnoteReference w:id="49"/>
      </w:r>
      <w:bookmarkStart w:id="80" w:name="_Toc56781478"/>
      <w:bookmarkEnd w:id="80"/>
    </w:p>
    <w:tbl>
      <w:tblPr>
        <w:tblW w:w="7370" w:type="dxa"/>
        <w:tblInd w:w="1134" w:type="dxa"/>
        <w:tblLayout w:type="fixed"/>
        <w:tblCellMar>
          <w:left w:w="0" w:type="dxa"/>
          <w:right w:w="0" w:type="dxa"/>
        </w:tblCellMar>
        <w:tblLook w:val="00A0" w:firstRow="1" w:lastRow="0" w:firstColumn="1" w:lastColumn="0" w:noHBand="0" w:noVBand="0"/>
      </w:tblPr>
      <w:tblGrid>
        <w:gridCol w:w="1671"/>
        <w:gridCol w:w="2053"/>
        <w:gridCol w:w="1777"/>
        <w:gridCol w:w="1869"/>
      </w:tblGrid>
      <w:tr w:rsidR="003C48D6" w:rsidRPr="00F079E8" w14:paraId="5512BDB1" w14:textId="77777777" w:rsidTr="005D3578">
        <w:trPr>
          <w:tblHeader/>
        </w:trPr>
        <w:tc>
          <w:tcPr>
            <w:tcW w:w="1671"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0F3AB6DE" w14:textId="77777777" w:rsidR="003C48D6" w:rsidRPr="00F079E8" w:rsidRDefault="003C48D6" w:rsidP="00F079E8">
            <w:pPr>
              <w:suppressAutoHyphens w:val="0"/>
              <w:spacing w:before="80" w:after="80" w:line="200" w:lineRule="exact"/>
              <w:rPr>
                <w:i/>
                <w:sz w:val="16"/>
                <w:lang w:val="fr-FR"/>
              </w:rPr>
            </w:pPr>
            <w:r w:rsidRPr="00F079E8">
              <w:rPr>
                <w:i/>
                <w:sz w:val="16"/>
                <w:lang w:val="fr-FR"/>
              </w:rPr>
              <w:t>Âge</w:t>
            </w:r>
          </w:p>
        </w:tc>
        <w:tc>
          <w:tcPr>
            <w:tcW w:w="205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A861D51"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Nombre d</w:t>
            </w:r>
            <w:r w:rsidR="00254912">
              <w:rPr>
                <w:i/>
                <w:sz w:val="16"/>
                <w:lang w:val="fr-FR"/>
              </w:rPr>
              <w:t>’</w:t>
            </w:r>
            <w:r w:rsidRPr="00F079E8">
              <w:rPr>
                <w:i/>
                <w:sz w:val="16"/>
                <w:lang w:val="fr-FR"/>
              </w:rPr>
              <w:t>employés</w:t>
            </w:r>
          </w:p>
        </w:tc>
        <w:tc>
          <w:tcPr>
            <w:tcW w:w="1777"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61F8EE1"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Jeunes hommes</w:t>
            </w:r>
          </w:p>
        </w:tc>
        <w:tc>
          <w:tcPr>
            <w:tcW w:w="186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3B94180"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Jeunes femmes</w:t>
            </w:r>
          </w:p>
        </w:tc>
      </w:tr>
      <w:tr w:rsidR="003C48D6" w:rsidRPr="00F079E8" w14:paraId="3302BB03" w14:textId="77777777" w:rsidTr="005D3578">
        <w:tc>
          <w:tcPr>
            <w:tcW w:w="1671" w:type="dxa"/>
            <w:tcBorders>
              <w:top w:val="single" w:sz="12" w:space="0" w:color="auto"/>
            </w:tcBorders>
            <w:shd w:val="clear" w:color="auto" w:fill="auto"/>
            <w:noWrap/>
            <w:tcMar>
              <w:top w:w="0" w:type="dxa"/>
              <w:left w:w="0" w:type="dxa"/>
              <w:bottom w:w="0" w:type="dxa"/>
              <w:right w:w="0" w:type="dxa"/>
            </w:tcMar>
          </w:tcPr>
          <w:p w14:paraId="4B04023F"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15</w:t>
            </w:r>
          </w:p>
        </w:tc>
        <w:tc>
          <w:tcPr>
            <w:tcW w:w="2053" w:type="dxa"/>
            <w:tcBorders>
              <w:top w:val="single" w:sz="12" w:space="0" w:color="auto"/>
            </w:tcBorders>
            <w:shd w:val="clear" w:color="auto" w:fill="auto"/>
            <w:noWrap/>
            <w:tcMar>
              <w:top w:w="0" w:type="dxa"/>
              <w:left w:w="0" w:type="dxa"/>
              <w:bottom w:w="0" w:type="dxa"/>
              <w:right w:w="0" w:type="dxa"/>
            </w:tcMar>
            <w:vAlign w:val="bottom"/>
          </w:tcPr>
          <w:p w14:paraId="73D707A5"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1777" w:type="dxa"/>
            <w:tcBorders>
              <w:top w:val="single" w:sz="12" w:space="0" w:color="auto"/>
            </w:tcBorders>
            <w:shd w:val="clear" w:color="auto" w:fill="auto"/>
            <w:noWrap/>
            <w:tcMar>
              <w:top w:w="0" w:type="dxa"/>
              <w:left w:w="0" w:type="dxa"/>
              <w:bottom w:w="0" w:type="dxa"/>
              <w:right w:w="0" w:type="dxa"/>
            </w:tcMar>
            <w:vAlign w:val="bottom"/>
          </w:tcPr>
          <w:p w14:paraId="1B4D4033"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1869" w:type="dxa"/>
            <w:tcBorders>
              <w:top w:val="single" w:sz="12" w:space="0" w:color="auto"/>
            </w:tcBorders>
            <w:shd w:val="clear" w:color="auto" w:fill="auto"/>
            <w:noWrap/>
            <w:tcMar>
              <w:top w:w="0" w:type="dxa"/>
              <w:left w:w="0" w:type="dxa"/>
              <w:bottom w:w="0" w:type="dxa"/>
              <w:right w:w="0" w:type="dxa"/>
            </w:tcMar>
            <w:vAlign w:val="bottom"/>
          </w:tcPr>
          <w:p w14:paraId="7DA4B6B8"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r>
      <w:tr w:rsidR="003C48D6" w:rsidRPr="00F079E8" w14:paraId="102A4F8B" w14:textId="77777777" w:rsidTr="005D3578">
        <w:tc>
          <w:tcPr>
            <w:tcW w:w="1671" w:type="dxa"/>
            <w:shd w:val="clear" w:color="auto" w:fill="auto"/>
            <w:noWrap/>
            <w:tcMar>
              <w:top w:w="0" w:type="dxa"/>
              <w:left w:w="0" w:type="dxa"/>
              <w:bottom w:w="0" w:type="dxa"/>
              <w:right w:w="0" w:type="dxa"/>
            </w:tcMar>
          </w:tcPr>
          <w:p w14:paraId="0ACD39D6"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16</w:t>
            </w:r>
          </w:p>
        </w:tc>
        <w:tc>
          <w:tcPr>
            <w:tcW w:w="2053" w:type="dxa"/>
            <w:shd w:val="clear" w:color="auto" w:fill="auto"/>
            <w:noWrap/>
            <w:tcMar>
              <w:top w:w="0" w:type="dxa"/>
              <w:left w:w="0" w:type="dxa"/>
              <w:bottom w:w="0" w:type="dxa"/>
              <w:right w:w="0" w:type="dxa"/>
            </w:tcMar>
            <w:vAlign w:val="bottom"/>
          </w:tcPr>
          <w:p w14:paraId="7E306EC0"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1777" w:type="dxa"/>
            <w:shd w:val="clear" w:color="auto" w:fill="auto"/>
            <w:noWrap/>
            <w:tcMar>
              <w:top w:w="0" w:type="dxa"/>
              <w:left w:w="0" w:type="dxa"/>
              <w:bottom w:w="0" w:type="dxa"/>
              <w:right w:w="0" w:type="dxa"/>
            </w:tcMar>
            <w:vAlign w:val="bottom"/>
          </w:tcPr>
          <w:p w14:paraId="2315BBCE"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1869" w:type="dxa"/>
            <w:shd w:val="clear" w:color="auto" w:fill="auto"/>
            <w:noWrap/>
            <w:tcMar>
              <w:top w:w="0" w:type="dxa"/>
              <w:left w:w="0" w:type="dxa"/>
              <w:bottom w:w="0" w:type="dxa"/>
              <w:right w:w="0" w:type="dxa"/>
            </w:tcMar>
            <w:vAlign w:val="bottom"/>
          </w:tcPr>
          <w:p w14:paraId="13D291A6"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r>
      <w:tr w:rsidR="003C48D6" w:rsidRPr="00F079E8" w14:paraId="62AE4ABA" w14:textId="77777777" w:rsidTr="005D3578">
        <w:tc>
          <w:tcPr>
            <w:tcW w:w="1671" w:type="dxa"/>
            <w:shd w:val="clear" w:color="auto" w:fill="auto"/>
            <w:noWrap/>
            <w:tcMar>
              <w:top w:w="0" w:type="dxa"/>
              <w:left w:w="0" w:type="dxa"/>
              <w:bottom w:w="0" w:type="dxa"/>
              <w:right w:w="0" w:type="dxa"/>
            </w:tcMar>
          </w:tcPr>
          <w:p w14:paraId="423A50DA"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17</w:t>
            </w:r>
          </w:p>
        </w:tc>
        <w:tc>
          <w:tcPr>
            <w:tcW w:w="2053" w:type="dxa"/>
            <w:shd w:val="clear" w:color="auto" w:fill="auto"/>
            <w:noWrap/>
            <w:tcMar>
              <w:top w:w="0" w:type="dxa"/>
              <w:left w:w="0" w:type="dxa"/>
              <w:bottom w:w="0" w:type="dxa"/>
              <w:right w:w="0" w:type="dxa"/>
            </w:tcMar>
            <w:vAlign w:val="bottom"/>
          </w:tcPr>
          <w:p w14:paraId="523C8E5D"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(783)</w:t>
            </w:r>
          </w:p>
        </w:tc>
        <w:tc>
          <w:tcPr>
            <w:tcW w:w="1777" w:type="dxa"/>
            <w:shd w:val="clear" w:color="auto" w:fill="auto"/>
            <w:noWrap/>
            <w:tcMar>
              <w:top w:w="0" w:type="dxa"/>
              <w:left w:w="0" w:type="dxa"/>
              <w:bottom w:w="0" w:type="dxa"/>
              <w:right w:w="0" w:type="dxa"/>
            </w:tcMar>
            <w:vAlign w:val="bottom"/>
          </w:tcPr>
          <w:p w14:paraId="782E7773"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(580)</w:t>
            </w:r>
          </w:p>
        </w:tc>
        <w:tc>
          <w:tcPr>
            <w:tcW w:w="1869" w:type="dxa"/>
            <w:shd w:val="clear" w:color="auto" w:fill="auto"/>
            <w:noWrap/>
            <w:tcMar>
              <w:top w:w="0" w:type="dxa"/>
              <w:left w:w="0" w:type="dxa"/>
              <w:bottom w:w="0" w:type="dxa"/>
              <w:right w:w="0" w:type="dxa"/>
            </w:tcMar>
            <w:vAlign w:val="bottom"/>
          </w:tcPr>
          <w:p w14:paraId="29A965AC"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r>
      <w:tr w:rsidR="003C48D6" w:rsidRPr="00F079E8" w14:paraId="32B93314" w14:textId="77777777" w:rsidTr="005D3578">
        <w:tc>
          <w:tcPr>
            <w:tcW w:w="1671" w:type="dxa"/>
            <w:tcBorders>
              <w:bottom w:val="single" w:sz="4" w:space="0" w:color="auto"/>
            </w:tcBorders>
            <w:shd w:val="clear" w:color="auto" w:fill="auto"/>
            <w:noWrap/>
            <w:tcMar>
              <w:top w:w="0" w:type="dxa"/>
              <w:left w:w="0" w:type="dxa"/>
              <w:bottom w:w="0" w:type="dxa"/>
              <w:right w:w="0" w:type="dxa"/>
            </w:tcMar>
          </w:tcPr>
          <w:p w14:paraId="5375BA34"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18</w:t>
            </w:r>
          </w:p>
        </w:tc>
        <w:tc>
          <w:tcPr>
            <w:tcW w:w="2053" w:type="dxa"/>
            <w:tcBorders>
              <w:bottom w:val="single" w:sz="4" w:space="0" w:color="auto"/>
            </w:tcBorders>
            <w:shd w:val="clear" w:color="auto" w:fill="auto"/>
            <w:noWrap/>
            <w:tcMar>
              <w:top w:w="0" w:type="dxa"/>
              <w:left w:w="0" w:type="dxa"/>
              <w:bottom w:w="0" w:type="dxa"/>
              <w:right w:w="0" w:type="dxa"/>
            </w:tcMar>
            <w:vAlign w:val="bottom"/>
          </w:tcPr>
          <w:p w14:paraId="667547A9"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(1 277)</w:t>
            </w:r>
          </w:p>
        </w:tc>
        <w:tc>
          <w:tcPr>
            <w:tcW w:w="1777" w:type="dxa"/>
            <w:tcBorders>
              <w:bottom w:val="single" w:sz="4" w:space="0" w:color="auto"/>
            </w:tcBorders>
            <w:shd w:val="clear" w:color="auto" w:fill="auto"/>
            <w:noWrap/>
            <w:tcMar>
              <w:top w:w="0" w:type="dxa"/>
              <w:left w:w="0" w:type="dxa"/>
              <w:bottom w:w="0" w:type="dxa"/>
              <w:right w:w="0" w:type="dxa"/>
            </w:tcMar>
            <w:vAlign w:val="bottom"/>
          </w:tcPr>
          <w:p w14:paraId="3C4B1861"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(877)</w:t>
            </w:r>
          </w:p>
        </w:tc>
        <w:tc>
          <w:tcPr>
            <w:tcW w:w="1869" w:type="dxa"/>
            <w:tcBorders>
              <w:bottom w:val="single" w:sz="4" w:space="0" w:color="auto"/>
            </w:tcBorders>
            <w:shd w:val="clear" w:color="auto" w:fill="auto"/>
            <w:noWrap/>
            <w:tcMar>
              <w:top w:w="0" w:type="dxa"/>
              <w:left w:w="0" w:type="dxa"/>
              <w:bottom w:w="0" w:type="dxa"/>
              <w:right w:w="0" w:type="dxa"/>
            </w:tcMar>
            <w:vAlign w:val="bottom"/>
          </w:tcPr>
          <w:p w14:paraId="27F30FFD"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r>
      <w:tr w:rsidR="003C48D6" w:rsidRPr="005D3578" w14:paraId="71F5D656" w14:textId="77777777" w:rsidTr="005D3578">
        <w:tc>
          <w:tcPr>
            <w:tcW w:w="1671" w:type="dxa"/>
            <w:tcBorders>
              <w:top w:val="single" w:sz="4" w:space="0" w:color="auto"/>
              <w:bottom w:val="single" w:sz="12" w:space="0" w:color="auto"/>
            </w:tcBorders>
            <w:shd w:val="clear" w:color="auto" w:fill="auto"/>
            <w:noWrap/>
            <w:tcMar>
              <w:top w:w="0" w:type="dxa"/>
              <w:left w:w="0" w:type="dxa"/>
              <w:bottom w:w="0" w:type="dxa"/>
              <w:right w:w="0" w:type="dxa"/>
            </w:tcMar>
          </w:tcPr>
          <w:p w14:paraId="05E95BC3" w14:textId="77777777" w:rsidR="003C48D6" w:rsidRPr="005D3578" w:rsidRDefault="003C48D6" w:rsidP="005D3578">
            <w:pPr>
              <w:suppressAutoHyphens w:val="0"/>
              <w:spacing w:before="80" w:after="80" w:line="220" w:lineRule="exact"/>
              <w:ind w:left="284"/>
              <w:rPr>
                <w:b/>
                <w:sz w:val="18"/>
                <w:szCs w:val="18"/>
                <w:lang w:val="fr-FR"/>
              </w:rPr>
            </w:pPr>
            <w:r w:rsidRPr="005D3578">
              <w:rPr>
                <w:b/>
                <w:sz w:val="18"/>
                <w:szCs w:val="18"/>
                <w:lang w:val="fr-FR"/>
              </w:rPr>
              <w:t>Total</w:t>
            </w:r>
          </w:p>
        </w:tc>
        <w:tc>
          <w:tcPr>
            <w:tcW w:w="205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47204FB" w14:textId="77777777" w:rsidR="003C48D6" w:rsidRPr="005D3578" w:rsidRDefault="003C48D6" w:rsidP="005D3578">
            <w:pPr>
              <w:suppressAutoHyphens w:val="0"/>
              <w:spacing w:before="80" w:after="80" w:line="220" w:lineRule="exact"/>
              <w:ind w:left="284"/>
              <w:jc w:val="right"/>
              <w:rPr>
                <w:b/>
                <w:sz w:val="18"/>
                <w:szCs w:val="18"/>
                <w:lang w:val="fr-FR"/>
              </w:rPr>
            </w:pPr>
            <w:r w:rsidRPr="005D3578">
              <w:rPr>
                <w:b/>
                <w:sz w:val="18"/>
                <w:szCs w:val="18"/>
                <w:lang w:val="fr-FR"/>
              </w:rPr>
              <w:t>2 518</w:t>
            </w:r>
          </w:p>
        </w:tc>
        <w:tc>
          <w:tcPr>
            <w:tcW w:w="1777"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0535F36B" w14:textId="77777777" w:rsidR="003C48D6" w:rsidRPr="005D3578" w:rsidRDefault="003C48D6" w:rsidP="005D3578">
            <w:pPr>
              <w:suppressAutoHyphens w:val="0"/>
              <w:spacing w:before="80" w:after="80" w:line="220" w:lineRule="exact"/>
              <w:ind w:left="284"/>
              <w:jc w:val="right"/>
              <w:rPr>
                <w:b/>
                <w:sz w:val="18"/>
                <w:szCs w:val="18"/>
                <w:lang w:val="fr-FR"/>
              </w:rPr>
            </w:pPr>
            <w:r w:rsidRPr="005D3578">
              <w:rPr>
                <w:b/>
                <w:sz w:val="18"/>
                <w:szCs w:val="18"/>
                <w:lang w:val="fr-FR"/>
              </w:rPr>
              <w:t>1 600</w:t>
            </w:r>
          </w:p>
        </w:tc>
        <w:tc>
          <w:tcPr>
            <w:tcW w:w="186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01C8085F" w14:textId="77777777" w:rsidR="003C48D6" w:rsidRPr="005D3578" w:rsidRDefault="003C48D6" w:rsidP="005D3578">
            <w:pPr>
              <w:suppressAutoHyphens w:val="0"/>
              <w:spacing w:before="80" w:after="80" w:line="220" w:lineRule="exact"/>
              <w:ind w:left="284"/>
              <w:jc w:val="right"/>
              <w:rPr>
                <w:b/>
                <w:sz w:val="18"/>
                <w:szCs w:val="18"/>
                <w:lang w:val="fr-FR"/>
              </w:rPr>
            </w:pPr>
            <w:r w:rsidRPr="005D3578">
              <w:rPr>
                <w:b/>
                <w:sz w:val="18"/>
                <w:szCs w:val="18"/>
                <w:lang w:val="fr-FR"/>
              </w:rPr>
              <w:t>(918)</w:t>
            </w:r>
          </w:p>
        </w:tc>
      </w:tr>
    </w:tbl>
    <w:p w14:paraId="7F2C996D" w14:textId="77777777" w:rsidR="003C48D6" w:rsidRPr="00F720A6" w:rsidRDefault="003C48D6" w:rsidP="00F079E8">
      <w:pPr>
        <w:pStyle w:val="H23G"/>
        <w:rPr>
          <w:rStyle w:val="Appelnotedebasdep"/>
          <w:b w:val="0"/>
          <w:bCs/>
          <w:lang w:val="fr-FR"/>
        </w:rPr>
      </w:pPr>
      <w:r w:rsidRPr="00F720A6">
        <w:rPr>
          <w:lang w:val="fr-FR"/>
        </w:rPr>
        <w:tab/>
      </w:r>
      <w:r w:rsidRPr="00F720A6">
        <w:rPr>
          <w:lang w:val="fr-FR"/>
        </w:rPr>
        <w:tab/>
        <w:t>Jeunes actifs âgés de 15 à 18 ans, 2017</w:t>
      </w:r>
      <w:r w:rsidRPr="00F079E8">
        <w:rPr>
          <w:rStyle w:val="Appelnotedebasdep"/>
          <w:b w:val="0"/>
          <w:bCs/>
        </w:rPr>
        <w:footnoteReference w:id="50"/>
      </w:r>
      <w:bookmarkStart w:id="81" w:name="_Toc56781479"/>
      <w:bookmarkEnd w:id="81"/>
    </w:p>
    <w:tbl>
      <w:tblPr>
        <w:tblW w:w="7370" w:type="dxa"/>
        <w:tblInd w:w="1134" w:type="dxa"/>
        <w:tblLayout w:type="fixed"/>
        <w:tblCellMar>
          <w:left w:w="0" w:type="dxa"/>
          <w:right w:w="0" w:type="dxa"/>
        </w:tblCellMar>
        <w:tblLook w:val="00A0" w:firstRow="1" w:lastRow="0" w:firstColumn="1" w:lastColumn="0" w:noHBand="0" w:noVBand="0"/>
      </w:tblPr>
      <w:tblGrid>
        <w:gridCol w:w="1671"/>
        <w:gridCol w:w="2053"/>
        <w:gridCol w:w="1763"/>
        <w:gridCol w:w="1883"/>
      </w:tblGrid>
      <w:tr w:rsidR="003C48D6" w:rsidRPr="00F079E8" w14:paraId="3611044D" w14:textId="77777777" w:rsidTr="00BF593C">
        <w:trPr>
          <w:tblHeader/>
        </w:trPr>
        <w:tc>
          <w:tcPr>
            <w:tcW w:w="1671"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D06E900" w14:textId="77777777" w:rsidR="003C48D6" w:rsidRPr="00F079E8" w:rsidRDefault="003C48D6" w:rsidP="00F079E8">
            <w:pPr>
              <w:suppressAutoHyphens w:val="0"/>
              <w:spacing w:before="80" w:after="80" w:line="200" w:lineRule="exact"/>
              <w:rPr>
                <w:i/>
                <w:sz w:val="16"/>
                <w:lang w:val="fr-FR"/>
              </w:rPr>
            </w:pPr>
            <w:r w:rsidRPr="00F079E8">
              <w:rPr>
                <w:i/>
                <w:sz w:val="16"/>
                <w:lang w:val="fr-FR"/>
              </w:rPr>
              <w:t>Âge</w:t>
            </w:r>
          </w:p>
        </w:tc>
        <w:tc>
          <w:tcPr>
            <w:tcW w:w="2053"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D258F53"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Nombre d</w:t>
            </w:r>
            <w:r w:rsidR="00254912">
              <w:rPr>
                <w:i/>
                <w:sz w:val="16"/>
                <w:lang w:val="fr-FR"/>
              </w:rPr>
              <w:t>’</w:t>
            </w:r>
            <w:r w:rsidRPr="00F079E8">
              <w:rPr>
                <w:i/>
                <w:sz w:val="16"/>
                <w:lang w:val="fr-FR"/>
              </w:rPr>
              <w:t>employés</w:t>
            </w:r>
          </w:p>
        </w:tc>
        <w:tc>
          <w:tcPr>
            <w:tcW w:w="176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4F83366"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Jeunes hommes</w:t>
            </w:r>
          </w:p>
        </w:tc>
        <w:tc>
          <w:tcPr>
            <w:tcW w:w="188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20D8BE80" w14:textId="77777777" w:rsidR="003C48D6" w:rsidRPr="00F079E8" w:rsidRDefault="003C48D6" w:rsidP="00F079E8">
            <w:pPr>
              <w:suppressAutoHyphens w:val="0"/>
              <w:spacing w:before="80" w:after="80" w:line="200" w:lineRule="exact"/>
              <w:jc w:val="right"/>
              <w:rPr>
                <w:i/>
                <w:sz w:val="16"/>
                <w:lang w:val="fr-FR"/>
              </w:rPr>
            </w:pPr>
            <w:r w:rsidRPr="00F079E8">
              <w:rPr>
                <w:i/>
                <w:sz w:val="16"/>
                <w:lang w:val="fr-FR"/>
              </w:rPr>
              <w:t>Jeunes femmes</w:t>
            </w:r>
          </w:p>
        </w:tc>
      </w:tr>
      <w:tr w:rsidR="003C48D6" w:rsidRPr="00F079E8" w14:paraId="62491A15" w14:textId="77777777" w:rsidTr="00BF593C">
        <w:tc>
          <w:tcPr>
            <w:tcW w:w="1671" w:type="dxa"/>
            <w:tcBorders>
              <w:top w:val="single" w:sz="12" w:space="0" w:color="auto"/>
            </w:tcBorders>
            <w:shd w:val="clear" w:color="auto" w:fill="auto"/>
            <w:noWrap/>
            <w:tcMar>
              <w:top w:w="0" w:type="dxa"/>
              <w:left w:w="0" w:type="dxa"/>
              <w:bottom w:w="0" w:type="dxa"/>
              <w:right w:w="0" w:type="dxa"/>
            </w:tcMar>
          </w:tcPr>
          <w:p w14:paraId="45DEC29B"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15</w:t>
            </w:r>
          </w:p>
        </w:tc>
        <w:tc>
          <w:tcPr>
            <w:tcW w:w="2053" w:type="dxa"/>
            <w:tcBorders>
              <w:top w:val="single" w:sz="12" w:space="0" w:color="auto"/>
            </w:tcBorders>
            <w:shd w:val="clear" w:color="auto" w:fill="auto"/>
            <w:noWrap/>
            <w:tcMar>
              <w:top w:w="0" w:type="dxa"/>
              <w:left w:w="0" w:type="dxa"/>
              <w:bottom w:w="0" w:type="dxa"/>
              <w:right w:w="0" w:type="dxa"/>
            </w:tcMar>
            <w:vAlign w:val="bottom"/>
          </w:tcPr>
          <w:p w14:paraId="0DDC9CD6"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1763" w:type="dxa"/>
            <w:tcBorders>
              <w:top w:val="single" w:sz="12" w:space="0" w:color="auto"/>
            </w:tcBorders>
            <w:shd w:val="clear" w:color="auto" w:fill="auto"/>
            <w:noWrap/>
            <w:tcMar>
              <w:top w:w="0" w:type="dxa"/>
              <w:left w:w="0" w:type="dxa"/>
              <w:bottom w:w="0" w:type="dxa"/>
              <w:right w:w="0" w:type="dxa"/>
            </w:tcMar>
            <w:vAlign w:val="bottom"/>
          </w:tcPr>
          <w:p w14:paraId="63798020"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1883" w:type="dxa"/>
            <w:tcBorders>
              <w:top w:val="single" w:sz="12" w:space="0" w:color="auto"/>
            </w:tcBorders>
            <w:shd w:val="clear" w:color="auto" w:fill="auto"/>
            <w:noWrap/>
            <w:tcMar>
              <w:top w:w="0" w:type="dxa"/>
              <w:left w:w="0" w:type="dxa"/>
              <w:bottom w:w="0" w:type="dxa"/>
              <w:right w:w="0" w:type="dxa"/>
            </w:tcMar>
            <w:vAlign w:val="bottom"/>
          </w:tcPr>
          <w:p w14:paraId="47354948"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r>
      <w:tr w:rsidR="003C48D6" w:rsidRPr="00F079E8" w14:paraId="6A062AB2" w14:textId="77777777" w:rsidTr="00BF593C">
        <w:tc>
          <w:tcPr>
            <w:tcW w:w="1671" w:type="dxa"/>
            <w:shd w:val="clear" w:color="auto" w:fill="auto"/>
            <w:noWrap/>
            <w:tcMar>
              <w:top w:w="0" w:type="dxa"/>
              <w:left w:w="0" w:type="dxa"/>
              <w:bottom w:w="0" w:type="dxa"/>
              <w:right w:w="0" w:type="dxa"/>
            </w:tcMar>
          </w:tcPr>
          <w:p w14:paraId="297A8A0C"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16</w:t>
            </w:r>
          </w:p>
        </w:tc>
        <w:tc>
          <w:tcPr>
            <w:tcW w:w="2053" w:type="dxa"/>
            <w:shd w:val="clear" w:color="auto" w:fill="auto"/>
            <w:noWrap/>
            <w:tcMar>
              <w:top w:w="0" w:type="dxa"/>
              <w:left w:w="0" w:type="dxa"/>
              <w:bottom w:w="0" w:type="dxa"/>
              <w:right w:w="0" w:type="dxa"/>
            </w:tcMar>
            <w:vAlign w:val="bottom"/>
          </w:tcPr>
          <w:p w14:paraId="5D0EAFD8"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1763" w:type="dxa"/>
            <w:shd w:val="clear" w:color="auto" w:fill="auto"/>
            <w:noWrap/>
            <w:tcMar>
              <w:top w:w="0" w:type="dxa"/>
              <w:left w:w="0" w:type="dxa"/>
              <w:bottom w:w="0" w:type="dxa"/>
              <w:right w:w="0" w:type="dxa"/>
            </w:tcMar>
            <w:vAlign w:val="bottom"/>
          </w:tcPr>
          <w:p w14:paraId="177CE83C"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1883" w:type="dxa"/>
            <w:shd w:val="clear" w:color="auto" w:fill="auto"/>
            <w:noWrap/>
            <w:tcMar>
              <w:top w:w="0" w:type="dxa"/>
              <w:left w:w="0" w:type="dxa"/>
              <w:bottom w:w="0" w:type="dxa"/>
              <w:right w:w="0" w:type="dxa"/>
            </w:tcMar>
            <w:vAlign w:val="bottom"/>
          </w:tcPr>
          <w:p w14:paraId="2DE5F574"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r>
      <w:tr w:rsidR="003C48D6" w:rsidRPr="00F079E8" w14:paraId="460CF834" w14:textId="77777777" w:rsidTr="00BF593C">
        <w:tc>
          <w:tcPr>
            <w:tcW w:w="1671" w:type="dxa"/>
            <w:shd w:val="clear" w:color="auto" w:fill="auto"/>
            <w:noWrap/>
            <w:tcMar>
              <w:top w:w="0" w:type="dxa"/>
              <w:left w:w="0" w:type="dxa"/>
              <w:bottom w:w="0" w:type="dxa"/>
              <w:right w:w="0" w:type="dxa"/>
            </w:tcMar>
          </w:tcPr>
          <w:p w14:paraId="09A0DA6A"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17</w:t>
            </w:r>
          </w:p>
        </w:tc>
        <w:tc>
          <w:tcPr>
            <w:tcW w:w="2053" w:type="dxa"/>
            <w:shd w:val="clear" w:color="auto" w:fill="auto"/>
            <w:noWrap/>
            <w:tcMar>
              <w:top w:w="0" w:type="dxa"/>
              <w:left w:w="0" w:type="dxa"/>
              <w:bottom w:w="0" w:type="dxa"/>
              <w:right w:w="0" w:type="dxa"/>
            </w:tcMar>
            <w:vAlign w:val="bottom"/>
          </w:tcPr>
          <w:p w14:paraId="7AE7CF9F"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1763" w:type="dxa"/>
            <w:shd w:val="clear" w:color="auto" w:fill="auto"/>
            <w:noWrap/>
            <w:tcMar>
              <w:top w:w="0" w:type="dxa"/>
              <w:left w:w="0" w:type="dxa"/>
              <w:bottom w:w="0" w:type="dxa"/>
              <w:right w:w="0" w:type="dxa"/>
            </w:tcMar>
            <w:vAlign w:val="bottom"/>
          </w:tcPr>
          <w:p w14:paraId="2A151307"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c>
          <w:tcPr>
            <w:tcW w:w="1883" w:type="dxa"/>
            <w:shd w:val="clear" w:color="auto" w:fill="auto"/>
            <w:noWrap/>
            <w:tcMar>
              <w:top w:w="0" w:type="dxa"/>
              <w:left w:w="0" w:type="dxa"/>
              <w:bottom w:w="0" w:type="dxa"/>
              <w:right w:w="0" w:type="dxa"/>
            </w:tcMar>
            <w:vAlign w:val="bottom"/>
          </w:tcPr>
          <w:p w14:paraId="0587CE96"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w:t>
            </w:r>
          </w:p>
        </w:tc>
      </w:tr>
      <w:tr w:rsidR="003C48D6" w:rsidRPr="00F079E8" w14:paraId="0A2BB94A" w14:textId="77777777" w:rsidTr="00BF593C">
        <w:tc>
          <w:tcPr>
            <w:tcW w:w="1671" w:type="dxa"/>
            <w:tcBorders>
              <w:bottom w:val="single" w:sz="4" w:space="0" w:color="auto"/>
            </w:tcBorders>
            <w:shd w:val="clear" w:color="auto" w:fill="auto"/>
            <w:noWrap/>
            <w:tcMar>
              <w:top w:w="0" w:type="dxa"/>
              <w:left w:w="0" w:type="dxa"/>
              <w:bottom w:w="0" w:type="dxa"/>
              <w:right w:w="0" w:type="dxa"/>
            </w:tcMar>
          </w:tcPr>
          <w:p w14:paraId="7A9AC711" w14:textId="77777777" w:rsidR="003C48D6" w:rsidRPr="00F079E8" w:rsidRDefault="003C48D6" w:rsidP="00F079E8">
            <w:pPr>
              <w:suppressAutoHyphens w:val="0"/>
              <w:spacing w:before="40" w:after="40" w:line="220" w:lineRule="exact"/>
              <w:rPr>
                <w:sz w:val="18"/>
                <w:szCs w:val="18"/>
                <w:lang w:val="fr-FR"/>
              </w:rPr>
            </w:pPr>
            <w:r w:rsidRPr="00F079E8">
              <w:rPr>
                <w:sz w:val="18"/>
                <w:szCs w:val="18"/>
                <w:lang w:val="fr-FR"/>
              </w:rPr>
              <w:t>18</w:t>
            </w:r>
          </w:p>
        </w:tc>
        <w:tc>
          <w:tcPr>
            <w:tcW w:w="2053" w:type="dxa"/>
            <w:tcBorders>
              <w:bottom w:val="single" w:sz="4" w:space="0" w:color="auto"/>
            </w:tcBorders>
            <w:shd w:val="clear" w:color="auto" w:fill="auto"/>
            <w:noWrap/>
            <w:tcMar>
              <w:top w:w="0" w:type="dxa"/>
              <w:left w:w="0" w:type="dxa"/>
              <w:bottom w:w="0" w:type="dxa"/>
              <w:right w:w="0" w:type="dxa"/>
            </w:tcMar>
            <w:vAlign w:val="bottom"/>
          </w:tcPr>
          <w:p w14:paraId="1ED3D1C3"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(1 453)</w:t>
            </w:r>
          </w:p>
        </w:tc>
        <w:tc>
          <w:tcPr>
            <w:tcW w:w="1763" w:type="dxa"/>
            <w:tcBorders>
              <w:bottom w:val="single" w:sz="4" w:space="0" w:color="auto"/>
            </w:tcBorders>
            <w:shd w:val="clear" w:color="auto" w:fill="auto"/>
            <w:noWrap/>
            <w:tcMar>
              <w:top w:w="0" w:type="dxa"/>
              <w:left w:w="0" w:type="dxa"/>
              <w:bottom w:w="0" w:type="dxa"/>
              <w:right w:w="0" w:type="dxa"/>
            </w:tcMar>
            <w:vAlign w:val="bottom"/>
          </w:tcPr>
          <w:p w14:paraId="3F22DF9C"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(926)</w:t>
            </w:r>
          </w:p>
        </w:tc>
        <w:tc>
          <w:tcPr>
            <w:tcW w:w="1883" w:type="dxa"/>
            <w:tcBorders>
              <w:bottom w:val="single" w:sz="4" w:space="0" w:color="auto"/>
            </w:tcBorders>
            <w:shd w:val="clear" w:color="auto" w:fill="auto"/>
            <w:noWrap/>
            <w:tcMar>
              <w:top w:w="0" w:type="dxa"/>
              <w:left w:w="0" w:type="dxa"/>
              <w:bottom w:w="0" w:type="dxa"/>
              <w:right w:w="0" w:type="dxa"/>
            </w:tcMar>
            <w:vAlign w:val="bottom"/>
          </w:tcPr>
          <w:p w14:paraId="37E93F3C" w14:textId="77777777" w:rsidR="003C48D6" w:rsidRPr="00F079E8" w:rsidRDefault="003C48D6" w:rsidP="00F079E8">
            <w:pPr>
              <w:suppressAutoHyphens w:val="0"/>
              <w:spacing w:before="40" w:after="40" w:line="220" w:lineRule="exact"/>
              <w:jc w:val="right"/>
              <w:rPr>
                <w:sz w:val="18"/>
                <w:szCs w:val="18"/>
                <w:lang w:val="fr-FR"/>
              </w:rPr>
            </w:pPr>
            <w:r w:rsidRPr="00F079E8">
              <w:rPr>
                <w:sz w:val="18"/>
                <w:szCs w:val="18"/>
                <w:lang w:val="fr-FR"/>
              </w:rPr>
              <w:t>(528)</w:t>
            </w:r>
          </w:p>
        </w:tc>
      </w:tr>
      <w:tr w:rsidR="003C48D6" w:rsidRPr="00BF593C" w14:paraId="0B80BDAB" w14:textId="77777777" w:rsidTr="00BF593C">
        <w:tc>
          <w:tcPr>
            <w:tcW w:w="1671" w:type="dxa"/>
            <w:tcBorders>
              <w:top w:val="single" w:sz="4" w:space="0" w:color="auto"/>
              <w:bottom w:val="single" w:sz="12" w:space="0" w:color="auto"/>
            </w:tcBorders>
            <w:shd w:val="clear" w:color="auto" w:fill="auto"/>
            <w:noWrap/>
            <w:tcMar>
              <w:top w:w="0" w:type="dxa"/>
              <w:left w:w="0" w:type="dxa"/>
              <w:bottom w:w="0" w:type="dxa"/>
              <w:right w:w="0" w:type="dxa"/>
            </w:tcMar>
          </w:tcPr>
          <w:p w14:paraId="4A701337" w14:textId="77777777" w:rsidR="003C48D6" w:rsidRPr="00BF593C" w:rsidRDefault="003C48D6" w:rsidP="00BF593C">
            <w:pPr>
              <w:suppressAutoHyphens w:val="0"/>
              <w:spacing w:before="80" w:after="80" w:line="220" w:lineRule="exact"/>
              <w:ind w:left="284"/>
              <w:rPr>
                <w:b/>
                <w:sz w:val="18"/>
                <w:szCs w:val="18"/>
                <w:lang w:val="fr-FR"/>
              </w:rPr>
            </w:pPr>
            <w:r w:rsidRPr="00BF593C">
              <w:rPr>
                <w:b/>
                <w:sz w:val="18"/>
                <w:szCs w:val="18"/>
                <w:lang w:val="fr-FR"/>
              </w:rPr>
              <w:t>Total</w:t>
            </w:r>
          </w:p>
        </w:tc>
        <w:tc>
          <w:tcPr>
            <w:tcW w:w="205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489DFBD2" w14:textId="77777777" w:rsidR="003C48D6" w:rsidRPr="00BF593C" w:rsidRDefault="003C48D6" w:rsidP="00BF593C">
            <w:pPr>
              <w:suppressAutoHyphens w:val="0"/>
              <w:spacing w:before="80" w:after="80" w:line="220" w:lineRule="exact"/>
              <w:ind w:left="284"/>
              <w:jc w:val="right"/>
              <w:rPr>
                <w:b/>
                <w:sz w:val="18"/>
                <w:szCs w:val="18"/>
                <w:lang w:val="fr-FR"/>
              </w:rPr>
            </w:pPr>
            <w:r w:rsidRPr="00BF593C">
              <w:rPr>
                <w:b/>
                <w:sz w:val="18"/>
                <w:szCs w:val="18"/>
                <w:lang w:val="fr-FR"/>
              </w:rPr>
              <w:t>2 122</w:t>
            </w:r>
          </w:p>
        </w:tc>
        <w:tc>
          <w:tcPr>
            <w:tcW w:w="176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FD29522" w14:textId="77777777" w:rsidR="003C48D6" w:rsidRPr="00BF593C" w:rsidRDefault="003C48D6" w:rsidP="00BF593C">
            <w:pPr>
              <w:suppressAutoHyphens w:val="0"/>
              <w:spacing w:before="80" w:after="80" w:line="220" w:lineRule="exact"/>
              <w:ind w:left="284"/>
              <w:jc w:val="right"/>
              <w:rPr>
                <w:b/>
                <w:sz w:val="18"/>
                <w:szCs w:val="18"/>
                <w:lang w:val="fr-FR"/>
              </w:rPr>
            </w:pPr>
            <w:r w:rsidRPr="00BF593C">
              <w:rPr>
                <w:b/>
                <w:sz w:val="18"/>
                <w:szCs w:val="18"/>
                <w:lang w:val="fr-FR"/>
              </w:rPr>
              <w:t>(1 462)</w:t>
            </w:r>
          </w:p>
        </w:tc>
        <w:tc>
          <w:tcPr>
            <w:tcW w:w="188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7CB01E20" w14:textId="77777777" w:rsidR="003C48D6" w:rsidRPr="00BF593C" w:rsidRDefault="003C48D6" w:rsidP="00BF593C">
            <w:pPr>
              <w:suppressAutoHyphens w:val="0"/>
              <w:spacing w:before="80" w:after="80" w:line="220" w:lineRule="exact"/>
              <w:ind w:left="284"/>
              <w:jc w:val="right"/>
              <w:rPr>
                <w:b/>
                <w:sz w:val="18"/>
                <w:szCs w:val="18"/>
                <w:lang w:val="fr-FR"/>
              </w:rPr>
            </w:pPr>
            <w:r w:rsidRPr="00BF593C">
              <w:rPr>
                <w:b/>
                <w:sz w:val="18"/>
                <w:szCs w:val="18"/>
                <w:lang w:val="fr-FR"/>
              </w:rPr>
              <w:t>(659)</w:t>
            </w:r>
          </w:p>
        </w:tc>
      </w:tr>
    </w:tbl>
    <w:p w14:paraId="64F90F54" w14:textId="77777777" w:rsidR="003C48D6" w:rsidRPr="00F720A6" w:rsidRDefault="003C48D6" w:rsidP="00F079E8">
      <w:pPr>
        <w:pStyle w:val="H23G"/>
        <w:rPr>
          <w:lang w:val="fr-FR"/>
        </w:rPr>
      </w:pPr>
      <w:r w:rsidRPr="00F720A6">
        <w:rPr>
          <w:lang w:val="fr-FR"/>
        </w:rPr>
        <w:lastRenderedPageBreak/>
        <w:tab/>
      </w:r>
      <w:r w:rsidRPr="00F720A6">
        <w:rPr>
          <w:lang w:val="fr-FR"/>
        </w:rPr>
        <w:tab/>
        <w:t>Exploitation et atteintes sexuelles (art. 34)</w:t>
      </w:r>
      <w:bookmarkStart w:id="82" w:name="_Toc56781480"/>
      <w:bookmarkEnd w:id="82"/>
    </w:p>
    <w:p w14:paraId="41CDEAEC" w14:textId="77777777" w:rsidR="003C48D6" w:rsidRPr="00F720A6" w:rsidRDefault="003C48D6" w:rsidP="00F079E8">
      <w:pPr>
        <w:pStyle w:val="SingleTxtG"/>
        <w:rPr>
          <w:lang w:val="fr-FR"/>
        </w:rPr>
      </w:pPr>
      <w:r w:rsidRPr="00F720A6">
        <w:rPr>
          <w:lang w:val="fr-FR"/>
        </w:rPr>
        <w:t>198.</w:t>
      </w:r>
      <w:r w:rsidRPr="00F720A6">
        <w:rPr>
          <w:lang w:val="fr-FR"/>
        </w:rPr>
        <w:tab/>
        <w:t>La Convention sur la prévention et la lutte contre la violence à l</w:t>
      </w:r>
      <w:r w:rsidR="00254912">
        <w:rPr>
          <w:lang w:val="fr-FR"/>
        </w:rPr>
        <w:t>’</w:t>
      </w:r>
      <w:r w:rsidRPr="00F720A6">
        <w:rPr>
          <w:lang w:val="fr-FR"/>
        </w:rPr>
        <w:t>égard des femmes et la violence domestique (Convention d</w:t>
      </w:r>
      <w:r w:rsidR="00254912">
        <w:rPr>
          <w:lang w:val="fr-FR"/>
        </w:rPr>
        <w:t>’</w:t>
      </w:r>
      <w:r w:rsidRPr="00F720A6">
        <w:rPr>
          <w:lang w:val="fr-FR"/>
        </w:rPr>
        <w:t>Istanbul) a été ratifiée le 30 décembre 2017. Un projet de rédaction du plan d</w:t>
      </w:r>
      <w:r w:rsidR="00254912">
        <w:rPr>
          <w:lang w:val="fr-FR"/>
        </w:rPr>
        <w:t>’</w:t>
      </w:r>
      <w:r w:rsidRPr="00F720A6">
        <w:rPr>
          <w:lang w:val="fr-FR"/>
        </w:rPr>
        <w:t>action national pour la mise en œuvre de cette convention a été élaboré et prévoit l</w:t>
      </w:r>
      <w:r w:rsidR="00254912">
        <w:rPr>
          <w:lang w:val="fr-FR"/>
        </w:rPr>
        <w:t>’</w:t>
      </w:r>
      <w:r w:rsidRPr="00F720A6">
        <w:rPr>
          <w:lang w:val="fr-FR"/>
        </w:rPr>
        <w:t>ouverture de centres d</w:t>
      </w:r>
      <w:r w:rsidR="00254912">
        <w:rPr>
          <w:lang w:val="fr-FR"/>
        </w:rPr>
        <w:t>’</w:t>
      </w:r>
      <w:r w:rsidRPr="00F720A6">
        <w:rPr>
          <w:lang w:val="fr-FR"/>
        </w:rPr>
        <w:t>orientation des victimes de violences sexuelles. Des</w:t>
      </w:r>
      <w:r w:rsidR="00CE715B">
        <w:rPr>
          <w:lang w:val="fr-FR"/>
        </w:rPr>
        <w:t> </w:t>
      </w:r>
      <w:r w:rsidRPr="00F720A6">
        <w:rPr>
          <w:lang w:val="fr-FR"/>
        </w:rPr>
        <w:t>procédures opérationnelles normalisées ont été conçues pour permettre à ces centres d</w:t>
      </w:r>
      <w:r w:rsidR="00254912">
        <w:rPr>
          <w:lang w:val="fr-FR"/>
        </w:rPr>
        <w:t>’</w:t>
      </w:r>
      <w:r w:rsidRPr="00F720A6">
        <w:rPr>
          <w:lang w:val="fr-FR"/>
        </w:rPr>
        <w:t xml:space="preserve">apporter aux victimes une réponse plurisectorielle, tout particulièrement en ce qui concerne les enfants victimes. </w:t>
      </w:r>
    </w:p>
    <w:p w14:paraId="13BA3EAC" w14:textId="77777777" w:rsidR="003C48D6" w:rsidRPr="00F720A6" w:rsidRDefault="003C48D6" w:rsidP="00DB1B67">
      <w:pPr>
        <w:pStyle w:val="H23G"/>
        <w:rPr>
          <w:rStyle w:val="Appelnotedebasdep"/>
          <w:lang w:val="fr-FR"/>
        </w:rPr>
      </w:pPr>
      <w:r w:rsidRPr="00F720A6">
        <w:rPr>
          <w:lang w:val="fr-FR"/>
        </w:rPr>
        <w:tab/>
      </w:r>
      <w:r w:rsidRPr="00F720A6">
        <w:rPr>
          <w:lang w:val="fr-FR"/>
        </w:rPr>
        <w:tab/>
        <w:t>Nombre d</w:t>
      </w:r>
      <w:r w:rsidR="00254912">
        <w:rPr>
          <w:lang w:val="fr-FR"/>
        </w:rPr>
        <w:t>’</w:t>
      </w:r>
      <w:r w:rsidRPr="00F720A6">
        <w:rPr>
          <w:lang w:val="fr-FR"/>
        </w:rPr>
        <w:t>enfants susceptibles d</w:t>
      </w:r>
      <w:r w:rsidR="00254912">
        <w:rPr>
          <w:lang w:val="fr-FR"/>
        </w:rPr>
        <w:t>’</w:t>
      </w:r>
      <w:r w:rsidRPr="00F720A6">
        <w:rPr>
          <w:lang w:val="fr-FR"/>
        </w:rPr>
        <w:t xml:space="preserve">être exploités sexuellement, </w:t>
      </w:r>
      <w:r w:rsidR="00DB1B67">
        <w:rPr>
          <w:lang w:val="fr-FR"/>
        </w:rPr>
        <w:br/>
      </w:r>
      <w:r w:rsidRPr="00F720A6">
        <w:rPr>
          <w:lang w:val="fr-FR"/>
        </w:rPr>
        <w:t>notamment par la prostitution, la pornographie et la traite</w:t>
      </w:r>
      <w:r w:rsidRPr="00DB1B67">
        <w:rPr>
          <w:rStyle w:val="Appelnotedebasdep"/>
          <w:b w:val="0"/>
          <w:bCs/>
        </w:rPr>
        <w:footnoteReference w:id="51"/>
      </w:r>
      <w:bookmarkStart w:id="83" w:name="_Toc56781481"/>
      <w:bookmarkEnd w:id="83"/>
    </w:p>
    <w:tbl>
      <w:tblPr>
        <w:tblW w:w="7370" w:type="dxa"/>
        <w:tblInd w:w="1134" w:type="dxa"/>
        <w:tblLayout w:type="fixed"/>
        <w:tblCellMar>
          <w:left w:w="0" w:type="dxa"/>
          <w:right w:w="0" w:type="dxa"/>
        </w:tblCellMar>
        <w:tblLook w:val="0000" w:firstRow="0" w:lastRow="0" w:firstColumn="0" w:lastColumn="0" w:noHBand="0" w:noVBand="0"/>
      </w:tblPr>
      <w:tblGrid>
        <w:gridCol w:w="2694"/>
        <w:gridCol w:w="1275"/>
        <w:gridCol w:w="851"/>
        <w:gridCol w:w="850"/>
        <w:gridCol w:w="851"/>
        <w:gridCol w:w="849"/>
      </w:tblGrid>
      <w:tr w:rsidR="003C48D6" w:rsidRPr="00DB1B67" w14:paraId="2CD8C3B3" w14:textId="77777777" w:rsidTr="00DB1B67">
        <w:trPr>
          <w:tblHeader/>
        </w:trPr>
        <w:tc>
          <w:tcPr>
            <w:tcW w:w="2694" w:type="dxa"/>
            <w:tcBorders>
              <w:top w:val="single" w:sz="4" w:space="0" w:color="auto"/>
              <w:bottom w:val="single" w:sz="12" w:space="0" w:color="auto"/>
            </w:tcBorders>
            <w:shd w:val="clear" w:color="auto" w:fill="auto"/>
            <w:vAlign w:val="bottom"/>
          </w:tcPr>
          <w:p w14:paraId="6B030547" w14:textId="77777777" w:rsidR="003C48D6" w:rsidRPr="00DB1B67" w:rsidRDefault="003C48D6" w:rsidP="00DB1B67">
            <w:pPr>
              <w:suppressAutoHyphens w:val="0"/>
              <w:spacing w:before="80" w:after="80" w:line="200" w:lineRule="exact"/>
              <w:rPr>
                <w:i/>
                <w:sz w:val="16"/>
                <w:lang w:val="fr-FR"/>
              </w:rPr>
            </w:pPr>
            <w:r w:rsidRPr="00DB1B67">
              <w:rPr>
                <w:i/>
                <w:sz w:val="16"/>
                <w:lang w:val="fr-FR"/>
              </w:rPr>
              <w:t>Année d</w:t>
            </w:r>
            <w:r w:rsidR="00254912">
              <w:rPr>
                <w:i/>
                <w:sz w:val="16"/>
                <w:lang w:val="fr-FR"/>
              </w:rPr>
              <w:t>’</w:t>
            </w:r>
            <w:r w:rsidRPr="00DB1B67">
              <w:rPr>
                <w:i/>
                <w:sz w:val="16"/>
                <w:lang w:val="fr-FR"/>
              </w:rPr>
              <w:t>identification des enfants victimes de la traite à des fins d</w:t>
            </w:r>
            <w:r w:rsidR="00254912">
              <w:rPr>
                <w:i/>
                <w:sz w:val="16"/>
                <w:lang w:val="fr-FR"/>
              </w:rPr>
              <w:t>’</w:t>
            </w:r>
            <w:r w:rsidRPr="00DB1B67">
              <w:rPr>
                <w:i/>
                <w:sz w:val="16"/>
                <w:lang w:val="fr-FR"/>
              </w:rPr>
              <w:t xml:space="preserve">exploitation sexuelle </w:t>
            </w:r>
          </w:p>
        </w:tc>
        <w:tc>
          <w:tcPr>
            <w:tcW w:w="1275" w:type="dxa"/>
            <w:tcBorders>
              <w:top w:val="single" w:sz="4" w:space="0" w:color="auto"/>
              <w:bottom w:val="single" w:sz="12" w:space="0" w:color="auto"/>
            </w:tcBorders>
            <w:shd w:val="clear" w:color="auto" w:fill="auto"/>
            <w:vAlign w:val="bottom"/>
          </w:tcPr>
          <w:p w14:paraId="6DEE68DB" w14:textId="77777777" w:rsidR="003C48D6" w:rsidRPr="00DB1B67" w:rsidRDefault="003C48D6" w:rsidP="00DB1B67">
            <w:pPr>
              <w:suppressAutoHyphens w:val="0"/>
              <w:spacing w:before="80" w:after="80" w:line="200" w:lineRule="exact"/>
              <w:jc w:val="right"/>
              <w:rPr>
                <w:i/>
                <w:sz w:val="16"/>
                <w:lang w:val="fr-FR"/>
              </w:rPr>
            </w:pPr>
            <w:r w:rsidRPr="00DB1B67">
              <w:rPr>
                <w:i/>
                <w:sz w:val="16"/>
                <w:lang w:val="fr-FR"/>
              </w:rPr>
              <w:t>2014</w:t>
            </w:r>
          </w:p>
        </w:tc>
        <w:tc>
          <w:tcPr>
            <w:tcW w:w="851" w:type="dxa"/>
            <w:tcBorders>
              <w:top w:val="single" w:sz="4" w:space="0" w:color="auto"/>
              <w:bottom w:val="single" w:sz="12" w:space="0" w:color="auto"/>
            </w:tcBorders>
            <w:shd w:val="clear" w:color="auto" w:fill="auto"/>
            <w:vAlign w:val="bottom"/>
          </w:tcPr>
          <w:p w14:paraId="6E398155" w14:textId="77777777" w:rsidR="003C48D6" w:rsidRPr="00DB1B67" w:rsidRDefault="003C48D6" w:rsidP="00DB1B67">
            <w:pPr>
              <w:suppressAutoHyphens w:val="0"/>
              <w:spacing w:before="80" w:after="80" w:line="200" w:lineRule="exact"/>
              <w:jc w:val="right"/>
              <w:rPr>
                <w:i/>
                <w:sz w:val="16"/>
                <w:lang w:val="fr-FR"/>
              </w:rPr>
            </w:pPr>
            <w:r w:rsidRPr="00DB1B67">
              <w:rPr>
                <w:i/>
                <w:sz w:val="16"/>
                <w:lang w:val="fr-FR"/>
              </w:rPr>
              <w:t>2015</w:t>
            </w:r>
          </w:p>
        </w:tc>
        <w:tc>
          <w:tcPr>
            <w:tcW w:w="850" w:type="dxa"/>
            <w:tcBorders>
              <w:top w:val="single" w:sz="4" w:space="0" w:color="auto"/>
              <w:bottom w:val="single" w:sz="12" w:space="0" w:color="auto"/>
            </w:tcBorders>
            <w:shd w:val="clear" w:color="auto" w:fill="auto"/>
            <w:vAlign w:val="bottom"/>
          </w:tcPr>
          <w:p w14:paraId="2F2389C0" w14:textId="77777777" w:rsidR="003C48D6" w:rsidRPr="00DB1B67" w:rsidRDefault="003C48D6" w:rsidP="00DB1B67">
            <w:pPr>
              <w:suppressAutoHyphens w:val="0"/>
              <w:spacing w:before="80" w:after="80" w:line="200" w:lineRule="exact"/>
              <w:jc w:val="right"/>
              <w:rPr>
                <w:i/>
                <w:sz w:val="16"/>
                <w:lang w:val="fr-FR"/>
              </w:rPr>
            </w:pPr>
            <w:r w:rsidRPr="00DB1B67">
              <w:rPr>
                <w:i/>
                <w:sz w:val="16"/>
                <w:lang w:val="fr-FR"/>
              </w:rPr>
              <w:t>2016</w:t>
            </w:r>
          </w:p>
        </w:tc>
        <w:tc>
          <w:tcPr>
            <w:tcW w:w="851" w:type="dxa"/>
            <w:tcBorders>
              <w:top w:val="single" w:sz="4" w:space="0" w:color="auto"/>
              <w:bottom w:val="single" w:sz="12" w:space="0" w:color="auto"/>
            </w:tcBorders>
            <w:shd w:val="clear" w:color="auto" w:fill="auto"/>
            <w:vAlign w:val="bottom"/>
          </w:tcPr>
          <w:p w14:paraId="01684593" w14:textId="77777777" w:rsidR="003C48D6" w:rsidRPr="00DB1B67" w:rsidRDefault="003C48D6" w:rsidP="00DB1B67">
            <w:pPr>
              <w:suppressAutoHyphens w:val="0"/>
              <w:spacing w:before="80" w:after="80" w:line="200" w:lineRule="exact"/>
              <w:jc w:val="right"/>
              <w:rPr>
                <w:i/>
                <w:sz w:val="16"/>
                <w:lang w:val="fr-FR"/>
              </w:rPr>
            </w:pPr>
            <w:r w:rsidRPr="00DB1B67">
              <w:rPr>
                <w:i/>
                <w:sz w:val="16"/>
                <w:lang w:val="fr-FR"/>
              </w:rPr>
              <w:t>2017</w:t>
            </w:r>
          </w:p>
        </w:tc>
        <w:tc>
          <w:tcPr>
            <w:tcW w:w="849" w:type="dxa"/>
            <w:tcBorders>
              <w:top w:val="single" w:sz="4" w:space="0" w:color="auto"/>
              <w:bottom w:val="single" w:sz="12" w:space="0" w:color="auto"/>
            </w:tcBorders>
            <w:shd w:val="clear" w:color="auto" w:fill="auto"/>
            <w:noWrap/>
            <w:vAlign w:val="bottom"/>
          </w:tcPr>
          <w:p w14:paraId="1841BC12" w14:textId="77777777" w:rsidR="003C48D6" w:rsidRPr="00DB1B67" w:rsidRDefault="003C48D6" w:rsidP="00DB1B67">
            <w:pPr>
              <w:suppressAutoHyphens w:val="0"/>
              <w:spacing w:before="80" w:after="80" w:line="200" w:lineRule="exact"/>
              <w:jc w:val="right"/>
              <w:rPr>
                <w:i/>
                <w:sz w:val="16"/>
                <w:lang w:val="fr-FR"/>
              </w:rPr>
            </w:pPr>
            <w:r w:rsidRPr="00DB1B67">
              <w:rPr>
                <w:i/>
                <w:sz w:val="16"/>
                <w:lang w:val="fr-FR"/>
              </w:rPr>
              <w:t>2018</w:t>
            </w:r>
          </w:p>
        </w:tc>
      </w:tr>
      <w:tr w:rsidR="003C48D6" w:rsidRPr="00DB1B67" w14:paraId="0C09355D" w14:textId="77777777" w:rsidTr="00CE715B">
        <w:tc>
          <w:tcPr>
            <w:tcW w:w="2694" w:type="dxa"/>
            <w:tcBorders>
              <w:top w:val="single" w:sz="12" w:space="0" w:color="auto"/>
            </w:tcBorders>
            <w:shd w:val="clear" w:color="auto" w:fill="auto"/>
          </w:tcPr>
          <w:p w14:paraId="12D8821C" w14:textId="77777777" w:rsidR="003C48D6" w:rsidRPr="00DB1B67" w:rsidRDefault="003C48D6" w:rsidP="00DB1B67">
            <w:pPr>
              <w:suppressAutoHyphens w:val="0"/>
              <w:spacing w:before="40" w:after="40" w:line="220" w:lineRule="exact"/>
              <w:rPr>
                <w:sz w:val="18"/>
                <w:szCs w:val="18"/>
                <w:lang w:val="fr-FR"/>
              </w:rPr>
            </w:pPr>
            <w:r w:rsidRPr="00DB1B67">
              <w:rPr>
                <w:sz w:val="18"/>
                <w:szCs w:val="18"/>
                <w:lang w:val="fr-FR"/>
              </w:rPr>
              <w:t>Dans le pays</w:t>
            </w:r>
          </w:p>
        </w:tc>
        <w:tc>
          <w:tcPr>
            <w:tcW w:w="1275" w:type="dxa"/>
            <w:tcBorders>
              <w:top w:val="single" w:sz="12" w:space="0" w:color="auto"/>
            </w:tcBorders>
            <w:shd w:val="clear" w:color="auto" w:fill="auto"/>
            <w:vAlign w:val="bottom"/>
          </w:tcPr>
          <w:p w14:paraId="1704205D" w14:textId="77777777" w:rsidR="003C48D6" w:rsidRPr="00DB1B67" w:rsidRDefault="003C48D6" w:rsidP="00DB1B67">
            <w:pPr>
              <w:suppressAutoHyphens w:val="0"/>
              <w:spacing w:before="40" w:after="40" w:line="220" w:lineRule="exact"/>
              <w:jc w:val="right"/>
              <w:rPr>
                <w:sz w:val="18"/>
                <w:szCs w:val="18"/>
                <w:lang w:val="fr-FR"/>
              </w:rPr>
            </w:pPr>
            <w:r w:rsidRPr="00DB1B67">
              <w:rPr>
                <w:sz w:val="18"/>
                <w:szCs w:val="18"/>
                <w:lang w:val="fr-FR"/>
              </w:rPr>
              <w:t>6</w:t>
            </w:r>
          </w:p>
        </w:tc>
        <w:tc>
          <w:tcPr>
            <w:tcW w:w="851" w:type="dxa"/>
            <w:tcBorders>
              <w:top w:val="single" w:sz="12" w:space="0" w:color="auto"/>
            </w:tcBorders>
            <w:shd w:val="clear" w:color="auto" w:fill="auto"/>
            <w:vAlign w:val="bottom"/>
          </w:tcPr>
          <w:p w14:paraId="145A43C0" w14:textId="77777777" w:rsidR="003C48D6" w:rsidRPr="00DB1B67" w:rsidRDefault="003C48D6" w:rsidP="00DB1B67">
            <w:pPr>
              <w:suppressAutoHyphens w:val="0"/>
              <w:spacing w:before="40" w:after="40" w:line="220" w:lineRule="exact"/>
              <w:jc w:val="right"/>
              <w:rPr>
                <w:sz w:val="18"/>
                <w:szCs w:val="18"/>
                <w:lang w:val="fr-FR"/>
              </w:rPr>
            </w:pPr>
            <w:r w:rsidRPr="00DB1B67">
              <w:rPr>
                <w:sz w:val="18"/>
                <w:szCs w:val="18"/>
                <w:lang w:val="fr-FR"/>
              </w:rPr>
              <w:t>3</w:t>
            </w:r>
          </w:p>
        </w:tc>
        <w:tc>
          <w:tcPr>
            <w:tcW w:w="850" w:type="dxa"/>
            <w:tcBorders>
              <w:top w:val="single" w:sz="12" w:space="0" w:color="auto"/>
            </w:tcBorders>
            <w:shd w:val="clear" w:color="auto" w:fill="auto"/>
            <w:vAlign w:val="bottom"/>
          </w:tcPr>
          <w:p w14:paraId="65E5E22B" w14:textId="77777777" w:rsidR="003C48D6" w:rsidRPr="00DB1B67" w:rsidRDefault="003C48D6" w:rsidP="00DB1B67">
            <w:pPr>
              <w:suppressAutoHyphens w:val="0"/>
              <w:spacing w:before="40" w:after="40" w:line="220" w:lineRule="exact"/>
              <w:jc w:val="right"/>
              <w:rPr>
                <w:sz w:val="18"/>
                <w:szCs w:val="18"/>
                <w:lang w:val="fr-FR"/>
              </w:rPr>
            </w:pPr>
            <w:r w:rsidRPr="00DB1B67">
              <w:rPr>
                <w:sz w:val="18"/>
                <w:szCs w:val="18"/>
                <w:lang w:val="fr-FR"/>
              </w:rPr>
              <w:t>3</w:t>
            </w:r>
          </w:p>
        </w:tc>
        <w:tc>
          <w:tcPr>
            <w:tcW w:w="851" w:type="dxa"/>
            <w:tcBorders>
              <w:top w:val="single" w:sz="12" w:space="0" w:color="auto"/>
            </w:tcBorders>
            <w:shd w:val="clear" w:color="auto" w:fill="auto"/>
            <w:vAlign w:val="bottom"/>
          </w:tcPr>
          <w:p w14:paraId="3F2283C5" w14:textId="77777777" w:rsidR="003C48D6" w:rsidRPr="00DB1B67" w:rsidRDefault="003C48D6" w:rsidP="00DB1B67">
            <w:pPr>
              <w:suppressAutoHyphens w:val="0"/>
              <w:spacing w:before="40" w:after="40" w:line="220" w:lineRule="exact"/>
              <w:jc w:val="right"/>
              <w:rPr>
                <w:sz w:val="18"/>
                <w:szCs w:val="18"/>
                <w:lang w:val="fr-FR"/>
              </w:rPr>
            </w:pPr>
            <w:r w:rsidRPr="00DB1B67">
              <w:rPr>
                <w:sz w:val="18"/>
                <w:szCs w:val="18"/>
                <w:lang w:val="fr-FR"/>
              </w:rPr>
              <w:t>2</w:t>
            </w:r>
          </w:p>
        </w:tc>
        <w:tc>
          <w:tcPr>
            <w:tcW w:w="849" w:type="dxa"/>
            <w:tcBorders>
              <w:top w:val="single" w:sz="12" w:space="0" w:color="auto"/>
            </w:tcBorders>
            <w:shd w:val="clear" w:color="auto" w:fill="auto"/>
            <w:noWrap/>
            <w:vAlign w:val="bottom"/>
          </w:tcPr>
          <w:p w14:paraId="2A25ED31" w14:textId="77777777" w:rsidR="003C48D6" w:rsidRPr="00DB1B67" w:rsidRDefault="003C48D6" w:rsidP="00DB1B67">
            <w:pPr>
              <w:suppressAutoHyphens w:val="0"/>
              <w:spacing w:before="40" w:after="40" w:line="220" w:lineRule="exact"/>
              <w:jc w:val="right"/>
              <w:rPr>
                <w:sz w:val="18"/>
                <w:szCs w:val="18"/>
                <w:lang w:val="fr-FR"/>
              </w:rPr>
            </w:pPr>
            <w:r w:rsidRPr="00DB1B67">
              <w:rPr>
                <w:sz w:val="18"/>
                <w:szCs w:val="18"/>
                <w:lang w:val="fr-FR"/>
              </w:rPr>
              <w:t>3</w:t>
            </w:r>
          </w:p>
        </w:tc>
      </w:tr>
      <w:tr w:rsidR="003C48D6" w:rsidRPr="00DB1B67" w14:paraId="055812B4" w14:textId="77777777" w:rsidTr="00CE715B">
        <w:tc>
          <w:tcPr>
            <w:tcW w:w="2694" w:type="dxa"/>
            <w:tcBorders>
              <w:bottom w:val="single" w:sz="4" w:space="0" w:color="auto"/>
            </w:tcBorders>
            <w:shd w:val="clear" w:color="auto" w:fill="auto"/>
          </w:tcPr>
          <w:p w14:paraId="5850EBFA" w14:textId="77777777" w:rsidR="003C48D6" w:rsidRPr="00DB1B67" w:rsidRDefault="003C48D6" w:rsidP="00DB1B67">
            <w:pPr>
              <w:suppressAutoHyphens w:val="0"/>
              <w:spacing w:before="40" w:after="40" w:line="220" w:lineRule="exact"/>
              <w:rPr>
                <w:sz w:val="18"/>
                <w:szCs w:val="18"/>
                <w:lang w:val="fr-FR"/>
              </w:rPr>
            </w:pPr>
            <w:r w:rsidRPr="00DB1B67">
              <w:rPr>
                <w:sz w:val="18"/>
                <w:szCs w:val="18"/>
                <w:lang w:val="fr-FR"/>
              </w:rPr>
              <w:t>À l</w:t>
            </w:r>
            <w:r w:rsidR="00254912">
              <w:rPr>
                <w:sz w:val="18"/>
                <w:szCs w:val="18"/>
                <w:lang w:val="fr-FR"/>
              </w:rPr>
              <w:t>’</w:t>
            </w:r>
            <w:r w:rsidRPr="00DB1B67">
              <w:rPr>
                <w:sz w:val="18"/>
                <w:szCs w:val="18"/>
                <w:lang w:val="fr-FR"/>
              </w:rPr>
              <w:t>étranger</w:t>
            </w:r>
          </w:p>
        </w:tc>
        <w:tc>
          <w:tcPr>
            <w:tcW w:w="1275" w:type="dxa"/>
            <w:tcBorders>
              <w:bottom w:val="single" w:sz="4" w:space="0" w:color="auto"/>
            </w:tcBorders>
            <w:shd w:val="clear" w:color="auto" w:fill="auto"/>
            <w:vAlign w:val="bottom"/>
          </w:tcPr>
          <w:p w14:paraId="3379C2B1" w14:textId="77777777" w:rsidR="003C48D6" w:rsidRPr="00DB1B67" w:rsidRDefault="003C48D6" w:rsidP="00DB1B67">
            <w:pPr>
              <w:suppressAutoHyphens w:val="0"/>
              <w:spacing w:before="40" w:after="40" w:line="220" w:lineRule="exact"/>
              <w:jc w:val="right"/>
              <w:rPr>
                <w:sz w:val="18"/>
                <w:szCs w:val="18"/>
                <w:lang w:val="fr-FR"/>
              </w:rPr>
            </w:pPr>
            <w:r w:rsidRPr="00DB1B67">
              <w:rPr>
                <w:sz w:val="18"/>
                <w:szCs w:val="18"/>
                <w:lang w:val="fr-FR"/>
              </w:rPr>
              <w:t>/</w:t>
            </w:r>
          </w:p>
        </w:tc>
        <w:tc>
          <w:tcPr>
            <w:tcW w:w="851" w:type="dxa"/>
            <w:tcBorders>
              <w:bottom w:val="single" w:sz="4" w:space="0" w:color="auto"/>
            </w:tcBorders>
            <w:shd w:val="clear" w:color="auto" w:fill="auto"/>
            <w:vAlign w:val="bottom"/>
          </w:tcPr>
          <w:p w14:paraId="612ED737" w14:textId="77777777" w:rsidR="003C48D6" w:rsidRPr="00DB1B67" w:rsidRDefault="003C48D6" w:rsidP="00DB1B67">
            <w:pPr>
              <w:suppressAutoHyphens w:val="0"/>
              <w:spacing w:before="40" w:after="40" w:line="220" w:lineRule="exact"/>
              <w:jc w:val="right"/>
              <w:rPr>
                <w:sz w:val="18"/>
                <w:szCs w:val="18"/>
                <w:lang w:val="fr-FR"/>
              </w:rPr>
            </w:pPr>
            <w:r w:rsidRPr="00DB1B67">
              <w:rPr>
                <w:sz w:val="18"/>
                <w:szCs w:val="18"/>
                <w:lang w:val="fr-FR"/>
              </w:rPr>
              <w:t>/</w:t>
            </w:r>
          </w:p>
        </w:tc>
        <w:tc>
          <w:tcPr>
            <w:tcW w:w="850" w:type="dxa"/>
            <w:tcBorders>
              <w:bottom w:val="single" w:sz="4" w:space="0" w:color="auto"/>
            </w:tcBorders>
            <w:shd w:val="clear" w:color="auto" w:fill="auto"/>
            <w:vAlign w:val="bottom"/>
          </w:tcPr>
          <w:p w14:paraId="5D034DCB" w14:textId="77777777" w:rsidR="003C48D6" w:rsidRPr="00DB1B67" w:rsidRDefault="003C48D6" w:rsidP="00DB1B67">
            <w:pPr>
              <w:suppressAutoHyphens w:val="0"/>
              <w:spacing w:before="40" w:after="40" w:line="220" w:lineRule="exact"/>
              <w:jc w:val="right"/>
              <w:rPr>
                <w:sz w:val="18"/>
                <w:szCs w:val="18"/>
                <w:lang w:val="fr-FR"/>
              </w:rPr>
            </w:pPr>
            <w:r w:rsidRPr="00DB1B67">
              <w:rPr>
                <w:sz w:val="18"/>
                <w:szCs w:val="18"/>
                <w:lang w:val="fr-FR"/>
              </w:rPr>
              <w:t>/</w:t>
            </w:r>
          </w:p>
        </w:tc>
        <w:tc>
          <w:tcPr>
            <w:tcW w:w="851" w:type="dxa"/>
            <w:tcBorders>
              <w:bottom w:val="single" w:sz="4" w:space="0" w:color="auto"/>
            </w:tcBorders>
            <w:shd w:val="clear" w:color="auto" w:fill="auto"/>
            <w:vAlign w:val="bottom"/>
          </w:tcPr>
          <w:p w14:paraId="62CC4567" w14:textId="77777777" w:rsidR="003C48D6" w:rsidRPr="00DB1B67" w:rsidRDefault="003C48D6" w:rsidP="00DB1B67">
            <w:pPr>
              <w:suppressAutoHyphens w:val="0"/>
              <w:spacing w:before="40" w:after="40" w:line="220" w:lineRule="exact"/>
              <w:jc w:val="right"/>
              <w:rPr>
                <w:sz w:val="18"/>
                <w:szCs w:val="18"/>
                <w:lang w:val="fr-FR"/>
              </w:rPr>
            </w:pPr>
            <w:r w:rsidRPr="00DB1B67">
              <w:rPr>
                <w:sz w:val="18"/>
                <w:szCs w:val="18"/>
                <w:lang w:val="fr-FR"/>
              </w:rPr>
              <w:t>/</w:t>
            </w:r>
          </w:p>
        </w:tc>
        <w:tc>
          <w:tcPr>
            <w:tcW w:w="849" w:type="dxa"/>
            <w:tcBorders>
              <w:bottom w:val="single" w:sz="4" w:space="0" w:color="auto"/>
            </w:tcBorders>
            <w:shd w:val="clear" w:color="auto" w:fill="auto"/>
            <w:noWrap/>
            <w:vAlign w:val="bottom"/>
          </w:tcPr>
          <w:p w14:paraId="518F6665" w14:textId="77777777" w:rsidR="003C48D6" w:rsidRPr="00DB1B67" w:rsidRDefault="003C48D6" w:rsidP="00DB1B67">
            <w:pPr>
              <w:suppressAutoHyphens w:val="0"/>
              <w:spacing w:before="40" w:after="40" w:line="220" w:lineRule="exact"/>
              <w:jc w:val="right"/>
              <w:rPr>
                <w:sz w:val="18"/>
                <w:szCs w:val="18"/>
                <w:lang w:val="fr-FR"/>
              </w:rPr>
            </w:pPr>
            <w:r w:rsidRPr="00DB1B67">
              <w:rPr>
                <w:sz w:val="18"/>
                <w:szCs w:val="18"/>
                <w:lang w:val="fr-FR"/>
              </w:rPr>
              <w:t>1</w:t>
            </w:r>
          </w:p>
        </w:tc>
      </w:tr>
      <w:tr w:rsidR="003C48D6" w:rsidRPr="00CE715B" w14:paraId="7A61F374" w14:textId="77777777" w:rsidTr="00CE715B">
        <w:tc>
          <w:tcPr>
            <w:tcW w:w="2694" w:type="dxa"/>
            <w:tcBorders>
              <w:top w:val="single" w:sz="4" w:space="0" w:color="auto"/>
              <w:bottom w:val="single" w:sz="12" w:space="0" w:color="auto"/>
            </w:tcBorders>
            <w:shd w:val="clear" w:color="auto" w:fill="auto"/>
          </w:tcPr>
          <w:p w14:paraId="1ED226FC" w14:textId="77777777" w:rsidR="003C48D6" w:rsidRPr="00CE715B" w:rsidRDefault="003C48D6" w:rsidP="00CE715B">
            <w:pPr>
              <w:suppressAutoHyphens w:val="0"/>
              <w:spacing w:before="80" w:after="80" w:line="220" w:lineRule="exact"/>
              <w:ind w:left="284"/>
              <w:rPr>
                <w:b/>
                <w:sz w:val="18"/>
                <w:szCs w:val="18"/>
                <w:lang w:val="fr-FR"/>
              </w:rPr>
            </w:pPr>
            <w:r w:rsidRPr="00CE715B">
              <w:rPr>
                <w:b/>
                <w:sz w:val="18"/>
                <w:szCs w:val="18"/>
                <w:lang w:val="fr-FR"/>
              </w:rPr>
              <w:t>Total</w:t>
            </w:r>
          </w:p>
        </w:tc>
        <w:tc>
          <w:tcPr>
            <w:tcW w:w="1275" w:type="dxa"/>
            <w:tcBorders>
              <w:top w:val="single" w:sz="4" w:space="0" w:color="auto"/>
              <w:bottom w:val="single" w:sz="12" w:space="0" w:color="auto"/>
            </w:tcBorders>
            <w:shd w:val="clear" w:color="auto" w:fill="auto"/>
            <w:vAlign w:val="bottom"/>
          </w:tcPr>
          <w:p w14:paraId="7F2E4FBC" w14:textId="77777777" w:rsidR="003C48D6" w:rsidRPr="00CE715B" w:rsidRDefault="003C48D6" w:rsidP="00CE715B">
            <w:pPr>
              <w:suppressAutoHyphens w:val="0"/>
              <w:spacing w:before="80" w:after="80" w:line="220" w:lineRule="exact"/>
              <w:ind w:left="284"/>
              <w:jc w:val="right"/>
              <w:rPr>
                <w:b/>
                <w:sz w:val="18"/>
                <w:szCs w:val="18"/>
                <w:lang w:val="fr-FR"/>
              </w:rPr>
            </w:pPr>
            <w:r w:rsidRPr="00CE715B">
              <w:rPr>
                <w:b/>
                <w:sz w:val="18"/>
                <w:szCs w:val="18"/>
                <w:lang w:val="fr-FR"/>
              </w:rPr>
              <w:t>6</w:t>
            </w:r>
          </w:p>
        </w:tc>
        <w:tc>
          <w:tcPr>
            <w:tcW w:w="851" w:type="dxa"/>
            <w:tcBorders>
              <w:top w:val="single" w:sz="4" w:space="0" w:color="auto"/>
              <w:bottom w:val="single" w:sz="12" w:space="0" w:color="auto"/>
            </w:tcBorders>
            <w:shd w:val="clear" w:color="auto" w:fill="auto"/>
            <w:vAlign w:val="bottom"/>
          </w:tcPr>
          <w:p w14:paraId="2EB5D65C" w14:textId="77777777" w:rsidR="003C48D6" w:rsidRPr="00CE715B" w:rsidRDefault="003C48D6" w:rsidP="00CE715B">
            <w:pPr>
              <w:suppressAutoHyphens w:val="0"/>
              <w:spacing w:before="80" w:after="80" w:line="220" w:lineRule="exact"/>
              <w:ind w:left="284"/>
              <w:jc w:val="right"/>
              <w:rPr>
                <w:b/>
                <w:sz w:val="18"/>
                <w:szCs w:val="18"/>
                <w:lang w:val="fr-FR"/>
              </w:rPr>
            </w:pPr>
            <w:r w:rsidRPr="00CE715B">
              <w:rPr>
                <w:b/>
                <w:sz w:val="18"/>
                <w:szCs w:val="18"/>
                <w:lang w:val="fr-FR"/>
              </w:rPr>
              <w:t>3</w:t>
            </w:r>
          </w:p>
        </w:tc>
        <w:tc>
          <w:tcPr>
            <w:tcW w:w="850" w:type="dxa"/>
            <w:tcBorders>
              <w:top w:val="single" w:sz="4" w:space="0" w:color="auto"/>
              <w:bottom w:val="single" w:sz="12" w:space="0" w:color="auto"/>
            </w:tcBorders>
            <w:shd w:val="clear" w:color="auto" w:fill="auto"/>
            <w:vAlign w:val="bottom"/>
          </w:tcPr>
          <w:p w14:paraId="10ED5307" w14:textId="77777777" w:rsidR="003C48D6" w:rsidRPr="00CE715B" w:rsidRDefault="003C48D6" w:rsidP="00CE715B">
            <w:pPr>
              <w:suppressAutoHyphens w:val="0"/>
              <w:spacing w:before="80" w:after="80" w:line="220" w:lineRule="exact"/>
              <w:ind w:left="284"/>
              <w:jc w:val="right"/>
              <w:rPr>
                <w:b/>
                <w:sz w:val="18"/>
                <w:szCs w:val="18"/>
                <w:lang w:val="fr-FR"/>
              </w:rPr>
            </w:pPr>
            <w:r w:rsidRPr="00CE715B">
              <w:rPr>
                <w:b/>
                <w:sz w:val="18"/>
                <w:szCs w:val="18"/>
                <w:lang w:val="fr-FR"/>
              </w:rPr>
              <w:t>3</w:t>
            </w:r>
          </w:p>
        </w:tc>
        <w:tc>
          <w:tcPr>
            <w:tcW w:w="851" w:type="dxa"/>
            <w:tcBorders>
              <w:top w:val="single" w:sz="4" w:space="0" w:color="auto"/>
              <w:bottom w:val="single" w:sz="12" w:space="0" w:color="auto"/>
            </w:tcBorders>
            <w:shd w:val="clear" w:color="auto" w:fill="auto"/>
            <w:vAlign w:val="bottom"/>
          </w:tcPr>
          <w:p w14:paraId="7B96F195" w14:textId="77777777" w:rsidR="003C48D6" w:rsidRPr="00CE715B" w:rsidRDefault="003C48D6" w:rsidP="00CE715B">
            <w:pPr>
              <w:suppressAutoHyphens w:val="0"/>
              <w:spacing w:before="80" w:after="80" w:line="220" w:lineRule="exact"/>
              <w:ind w:left="284"/>
              <w:jc w:val="right"/>
              <w:rPr>
                <w:b/>
                <w:sz w:val="18"/>
                <w:szCs w:val="18"/>
                <w:lang w:val="fr-FR"/>
              </w:rPr>
            </w:pPr>
            <w:r w:rsidRPr="00CE715B">
              <w:rPr>
                <w:b/>
                <w:sz w:val="18"/>
                <w:szCs w:val="18"/>
                <w:lang w:val="fr-FR"/>
              </w:rPr>
              <w:t>2</w:t>
            </w:r>
          </w:p>
        </w:tc>
        <w:tc>
          <w:tcPr>
            <w:tcW w:w="849" w:type="dxa"/>
            <w:tcBorders>
              <w:top w:val="single" w:sz="4" w:space="0" w:color="auto"/>
              <w:bottom w:val="single" w:sz="12" w:space="0" w:color="auto"/>
            </w:tcBorders>
            <w:shd w:val="clear" w:color="auto" w:fill="auto"/>
            <w:noWrap/>
            <w:vAlign w:val="bottom"/>
          </w:tcPr>
          <w:p w14:paraId="68BECA40" w14:textId="77777777" w:rsidR="003C48D6" w:rsidRPr="00CE715B" w:rsidRDefault="003C48D6" w:rsidP="00CE715B">
            <w:pPr>
              <w:suppressAutoHyphens w:val="0"/>
              <w:spacing w:before="80" w:after="80" w:line="220" w:lineRule="exact"/>
              <w:ind w:left="284"/>
              <w:jc w:val="right"/>
              <w:rPr>
                <w:b/>
                <w:sz w:val="18"/>
                <w:szCs w:val="18"/>
                <w:lang w:val="fr-FR"/>
              </w:rPr>
            </w:pPr>
            <w:r w:rsidRPr="00CE715B">
              <w:rPr>
                <w:b/>
                <w:sz w:val="18"/>
                <w:szCs w:val="18"/>
                <w:lang w:val="fr-FR"/>
              </w:rPr>
              <w:t>4</w:t>
            </w:r>
          </w:p>
        </w:tc>
      </w:tr>
    </w:tbl>
    <w:p w14:paraId="1AC5B329" w14:textId="77777777" w:rsidR="003C48D6" w:rsidRPr="00F720A6" w:rsidRDefault="003C48D6" w:rsidP="00CE715B">
      <w:pPr>
        <w:pStyle w:val="SingleTxtG"/>
        <w:spacing w:before="240"/>
        <w:rPr>
          <w:lang w:val="fr-FR"/>
        </w:rPr>
      </w:pPr>
      <w:r w:rsidRPr="00F720A6">
        <w:rPr>
          <w:lang w:val="fr-FR"/>
        </w:rPr>
        <w:t>199.</w:t>
      </w:r>
      <w:r w:rsidRPr="00F720A6">
        <w:rPr>
          <w:lang w:val="fr-FR"/>
        </w:rPr>
        <w:tab/>
        <w:t>Tous les enfants identifiés comme victimes de la traite des êtres humains à des fins d</w:t>
      </w:r>
      <w:r w:rsidR="00254912">
        <w:rPr>
          <w:lang w:val="fr-FR"/>
        </w:rPr>
        <w:t>’</w:t>
      </w:r>
      <w:r w:rsidRPr="00F720A6">
        <w:rPr>
          <w:lang w:val="fr-FR"/>
        </w:rPr>
        <w:t>exploitation sexuelle ont été inclus dans un programme de réintégration et de socialisation.</w:t>
      </w:r>
    </w:p>
    <w:p w14:paraId="2D76F5DA" w14:textId="77777777" w:rsidR="003C48D6" w:rsidRPr="00F720A6" w:rsidRDefault="003C48D6" w:rsidP="00DB1B67">
      <w:pPr>
        <w:pStyle w:val="H23G"/>
        <w:rPr>
          <w:rStyle w:val="Appelnotedebasdep"/>
          <w:b w:val="0"/>
          <w:bCs/>
          <w:lang w:val="fr-FR"/>
        </w:rPr>
      </w:pPr>
      <w:r w:rsidRPr="00F720A6">
        <w:rPr>
          <w:lang w:val="fr-FR"/>
        </w:rPr>
        <w:tab/>
      </w:r>
      <w:r w:rsidRPr="00F720A6">
        <w:rPr>
          <w:lang w:val="fr-FR"/>
        </w:rPr>
        <w:tab/>
        <w:t>Nombre de cas signalés d</w:t>
      </w:r>
      <w:r w:rsidR="00254912">
        <w:rPr>
          <w:lang w:val="fr-FR"/>
        </w:rPr>
        <w:t>’</w:t>
      </w:r>
      <w:r w:rsidRPr="00F720A6">
        <w:rPr>
          <w:lang w:val="fr-FR"/>
        </w:rPr>
        <w:t>exploitation sexuelle, d</w:t>
      </w:r>
      <w:r w:rsidR="00254912">
        <w:rPr>
          <w:lang w:val="fr-FR"/>
        </w:rPr>
        <w:t>’</w:t>
      </w:r>
      <w:r w:rsidRPr="00F720A6">
        <w:rPr>
          <w:lang w:val="fr-FR"/>
        </w:rPr>
        <w:t xml:space="preserve">atteintes sexuelles, </w:t>
      </w:r>
      <w:r w:rsidR="00DB1B67">
        <w:rPr>
          <w:lang w:val="fr-FR"/>
        </w:rPr>
        <w:br/>
      </w:r>
      <w:r w:rsidRPr="00F720A6">
        <w:rPr>
          <w:lang w:val="fr-FR"/>
        </w:rPr>
        <w:t>de vente d</w:t>
      </w:r>
      <w:r w:rsidR="00254912">
        <w:rPr>
          <w:lang w:val="fr-FR"/>
        </w:rPr>
        <w:t>’</w:t>
      </w:r>
      <w:r w:rsidRPr="00F720A6">
        <w:rPr>
          <w:lang w:val="fr-FR"/>
        </w:rPr>
        <w:t>enfants, d</w:t>
      </w:r>
      <w:r w:rsidR="00254912">
        <w:rPr>
          <w:lang w:val="fr-FR"/>
        </w:rPr>
        <w:t>’</w:t>
      </w:r>
      <w:r w:rsidRPr="00F720A6">
        <w:rPr>
          <w:lang w:val="fr-FR"/>
        </w:rPr>
        <w:t>enlèvement et de violence à l</w:t>
      </w:r>
      <w:r w:rsidR="00254912">
        <w:rPr>
          <w:lang w:val="fr-FR"/>
        </w:rPr>
        <w:t>’</w:t>
      </w:r>
      <w:r w:rsidRPr="00F720A6">
        <w:rPr>
          <w:lang w:val="fr-FR"/>
        </w:rPr>
        <w:t xml:space="preserve">égard des enfants </w:t>
      </w:r>
      <w:r w:rsidR="00E54B27">
        <w:rPr>
          <w:lang w:val="fr-FR"/>
        </w:rPr>
        <w:br/>
      </w:r>
      <w:r w:rsidRPr="00F720A6">
        <w:rPr>
          <w:lang w:val="fr-FR"/>
        </w:rPr>
        <w:t>au cours de la période considérée</w:t>
      </w:r>
      <w:r w:rsidRPr="00E54B27">
        <w:rPr>
          <w:rStyle w:val="Appelnotedebasdep"/>
          <w:b w:val="0"/>
          <w:bCs/>
        </w:rPr>
        <w:footnoteReference w:id="52"/>
      </w:r>
      <w:bookmarkStart w:id="84" w:name="_Toc56781482"/>
      <w:bookmarkEnd w:id="84"/>
    </w:p>
    <w:tbl>
      <w:tblPr>
        <w:tblW w:w="7370" w:type="dxa"/>
        <w:tblInd w:w="1134" w:type="dxa"/>
        <w:tblLayout w:type="fixed"/>
        <w:tblCellMar>
          <w:left w:w="0" w:type="dxa"/>
          <w:right w:w="0" w:type="dxa"/>
        </w:tblCellMar>
        <w:tblLook w:val="0000" w:firstRow="0" w:lastRow="0" w:firstColumn="0" w:lastColumn="0" w:noHBand="0" w:noVBand="0"/>
      </w:tblPr>
      <w:tblGrid>
        <w:gridCol w:w="2694"/>
        <w:gridCol w:w="1275"/>
        <w:gridCol w:w="851"/>
        <w:gridCol w:w="850"/>
        <w:gridCol w:w="851"/>
        <w:gridCol w:w="849"/>
      </w:tblGrid>
      <w:tr w:rsidR="003C48D6" w:rsidRPr="00E54B27" w14:paraId="207D7622" w14:textId="77777777" w:rsidTr="00E54B27">
        <w:trPr>
          <w:tblHeader/>
        </w:trPr>
        <w:tc>
          <w:tcPr>
            <w:tcW w:w="2694" w:type="dxa"/>
            <w:tcBorders>
              <w:top w:val="single" w:sz="4" w:space="0" w:color="auto"/>
              <w:bottom w:val="single" w:sz="12" w:space="0" w:color="auto"/>
            </w:tcBorders>
            <w:shd w:val="clear" w:color="auto" w:fill="auto"/>
            <w:vAlign w:val="bottom"/>
          </w:tcPr>
          <w:p w14:paraId="47C26A63" w14:textId="77777777" w:rsidR="003C48D6" w:rsidRPr="00E54B27" w:rsidRDefault="003C48D6" w:rsidP="00E54B27">
            <w:pPr>
              <w:suppressAutoHyphens w:val="0"/>
              <w:spacing w:before="80" w:after="80" w:line="200" w:lineRule="exact"/>
              <w:rPr>
                <w:i/>
                <w:sz w:val="16"/>
                <w:lang w:val="fr-FR"/>
              </w:rPr>
            </w:pPr>
            <w:r w:rsidRPr="00E54B27">
              <w:rPr>
                <w:i/>
                <w:sz w:val="16"/>
                <w:lang w:val="fr-FR"/>
              </w:rPr>
              <w:t>Année d</w:t>
            </w:r>
            <w:r w:rsidR="00254912">
              <w:rPr>
                <w:i/>
                <w:sz w:val="16"/>
                <w:lang w:val="fr-FR"/>
              </w:rPr>
              <w:t>’</w:t>
            </w:r>
            <w:r w:rsidRPr="00E54B27">
              <w:rPr>
                <w:i/>
                <w:sz w:val="16"/>
                <w:lang w:val="fr-FR"/>
              </w:rPr>
              <w:t>identification des enfants victimes de la traite à des fins d</w:t>
            </w:r>
            <w:r w:rsidR="00254912">
              <w:rPr>
                <w:i/>
                <w:sz w:val="16"/>
                <w:lang w:val="fr-FR"/>
              </w:rPr>
              <w:t>’</w:t>
            </w:r>
            <w:r w:rsidRPr="00E54B27">
              <w:rPr>
                <w:i/>
                <w:sz w:val="16"/>
                <w:lang w:val="fr-FR"/>
              </w:rPr>
              <w:t>exploitation sexuelle</w:t>
            </w:r>
          </w:p>
        </w:tc>
        <w:tc>
          <w:tcPr>
            <w:tcW w:w="1275" w:type="dxa"/>
            <w:tcBorders>
              <w:top w:val="single" w:sz="4" w:space="0" w:color="auto"/>
              <w:bottom w:val="single" w:sz="12" w:space="0" w:color="auto"/>
            </w:tcBorders>
            <w:shd w:val="clear" w:color="auto" w:fill="auto"/>
            <w:vAlign w:val="bottom"/>
          </w:tcPr>
          <w:p w14:paraId="087828AB" w14:textId="77777777" w:rsidR="003C48D6" w:rsidRPr="00E54B27" w:rsidRDefault="003C48D6" w:rsidP="00E54B27">
            <w:pPr>
              <w:suppressAutoHyphens w:val="0"/>
              <w:spacing w:before="80" w:after="80" w:line="200" w:lineRule="exact"/>
              <w:jc w:val="right"/>
              <w:rPr>
                <w:i/>
                <w:sz w:val="16"/>
                <w:lang w:val="fr-FR"/>
              </w:rPr>
            </w:pPr>
            <w:r w:rsidRPr="00E54B27">
              <w:rPr>
                <w:i/>
                <w:sz w:val="16"/>
                <w:lang w:val="fr-FR"/>
              </w:rPr>
              <w:t>2014</w:t>
            </w:r>
          </w:p>
        </w:tc>
        <w:tc>
          <w:tcPr>
            <w:tcW w:w="851" w:type="dxa"/>
            <w:tcBorders>
              <w:top w:val="single" w:sz="4" w:space="0" w:color="auto"/>
              <w:bottom w:val="single" w:sz="12" w:space="0" w:color="auto"/>
            </w:tcBorders>
            <w:shd w:val="clear" w:color="auto" w:fill="auto"/>
            <w:vAlign w:val="bottom"/>
          </w:tcPr>
          <w:p w14:paraId="04BCCD4A" w14:textId="77777777" w:rsidR="003C48D6" w:rsidRPr="00E54B27" w:rsidRDefault="003C48D6" w:rsidP="00E54B27">
            <w:pPr>
              <w:suppressAutoHyphens w:val="0"/>
              <w:spacing w:before="80" w:after="80" w:line="200" w:lineRule="exact"/>
              <w:jc w:val="right"/>
              <w:rPr>
                <w:i/>
                <w:sz w:val="16"/>
                <w:lang w:val="fr-FR"/>
              </w:rPr>
            </w:pPr>
            <w:r w:rsidRPr="00E54B27">
              <w:rPr>
                <w:i/>
                <w:sz w:val="16"/>
                <w:lang w:val="fr-FR"/>
              </w:rPr>
              <w:t>2015</w:t>
            </w:r>
          </w:p>
        </w:tc>
        <w:tc>
          <w:tcPr>
            <w:tcW w:w="850" w:type="dxa"/>
            <w:tcBorders>
              <w:top w:val="single" w:sz="4" w:space="0" w:color="auto"/>
              <w:bottom w:val="single" w:sz="12" w:space="0" w:color="auto"/>
            </w:tcBorders>
            <w:shd w:val="clear" w:color="auto" w:fill="auto"/>
            <w:vAlign w:val="bottom"/>
          </w:tcPr>
          <w:p w14:paraId="5A1C46F4" w14:textId="77777777" w:rsidR="003C48D6" w:rsidRPr="00E54B27" w:rsidRDefault="003C48D6" w:rsidP="00E54B27">
            <w:pPr>
              <w:suppressAutoHyphens w:val="0"/>
              <w:spacing w:before="80" w:after="80" w:line="200" w:lineRule="exact"/>
              <w:jc w:val="right"/>
              <w:rPr>
                <w:i/>
                <w:sz w:val="16"/>
                <w:lang w:val="fr-FR"/>
              </w:rPr>
            </w:pPr>
            <w:r w:rsidRPr="00E54B27">
              <w:rPr>
                <w:i/>
                <w:sz w:val="16"/>
                <w:lang w:val="fr-FR"/>
              </w:rPr>
              <w:t>2016</w:t>
            </w:r>
          </w:p>
        </w:tc>
        <w:tc>
          <w:tcPr>
            <w:tcW w:w="851" w:type="dxa"/>
            <w:tcBorders>
              <w:top w:val="single" w:sz="4" w:space="0" w:color="auto"/>
              <w:bottom w:val="single" w:sz="12" w:space="0" w:color="auto"/>
            </w:tcBorders>
            <w:shd w:val="clear" w:color="auto" w:fill="auto"/>
            <w:vAlign w:val="bottom"/>
          </w:tcPr>
          <w:p w14:paraId="09DAEBE4" w14:textId="77777777" w:rsidR="003C48D6" w:rsidRPr="00E54B27" w:rsidRDefault="003C48D6" w:rsidP="00E54B27">
            <w:pPr>
              <w:suppressAutoHyphens w:val="0"/>
              <w:spacing w:before="80" w:after="80" w:line="200" w:lineRule="exact"/>
              <w:jc w:val="right"/>
              <w:rPr>
                <w:i/>
                <w:sz w:val="16"/>
                <w:lang w:val="fr-FR"/>
              </w:rPr>
            </w:pPr>
            <w:r w:rsidRPr="00E54B27">
              <w:rPr>
                <w:i/>
                <w:sz w:val="16"/>
                <w:lang w:val="fr-FR"/>
              </w:rPr>
              <w:t>2017</w:t>
            </w:r>
          </w:p>
        </w:tc>
        <w:tc>
          <w:tcPr>
            <w:tcW w:w="849" w:type="dxa"/>
            <w:tcBorders>
              <w:top w:val="single" w:sz="4" w:space="0" w:color="auto"/>
              <w:bottom w:val="single" w:sz="12" w:space="0" w:color="auto"/>
            </w:tcBorders>
            <w:shd w:val="clear" w:color="auto" w:fill="auto"/>
            <w:noWrap/>
            <w:vAlign w:val="bottom"/>
          </w:tcPr>
          <w:p w14:paraId="2E9836DD" w14:textId="77777777" w:rsidR="003C48D6" w:rsidRPr="00E54B27" w:rsidRDefault="003C48D6" w:rsidP="00E54B27">
            <w:pPr>
              <w:suppressAutoHyphens w:val="0"/>
              <w:spacing w:before="80" w:after="80" w:line="200" w:lineRule="exact"/>
              <w:jc w:val="right"/>
              <w:rPr>
                <w:i/>
                <w:sz w:val="16"/>
                <w:lang w:val="fr-FR"/>
              </w:rPr>
            </w:pPr>
            <w:r w:rsidRPr="00E54B27">
              <w:rPr>
                <w:i/>
                <w:sz w:val="16"/>
                <w:lang w:val="fr-FR"/>
              </w:rPr>
              <w:t>2018</w:t>
            </w:r>
          </w:p>
        </w:tc>
      </w:tr>
      <w:tr w:rsidR="003C48D6" w:rsidRPr="00E54B27" w14:paraId="426ECFBD" w14:textId="77777777" w:rsidTr="00E54B27">
        <w:tc>
          <w:tcPr>
            <w:tcW w:w="2694" w:type="dxa"/>
            <w:tcBorders>
              <w:top w:val="single" w:sz="12" w:space="0" w:color="auto"/>
            </w:tcBorders>
            <w:shd w:val="clear" w:color="auto" w:fill="auto"/>
          </w:tcPr>
          <w:p w14:paraId="0829B286" w14:textId="77777777" w:rsidR="003C48D6" w:rsidRPr="00E54B27" w:rsidRDefault="003C48D6" w:rsidP="00E54B27">
            <w:pPr>
              <w:suppressAutoHyphens w:val="0"/>
              <w:spacing w:before="40" w:after="40" w:line="220" w:lineRule="exact"/>
              <w:rPr>
                <w:sz w:val="18"/>
                <w:szCs w:val="18"/>
                <w:lang w:val="fr-FR"/>
              </w:rPr>
            </w:pPr>
            <w:r w:rsidRPr="00E54B27">
              <w:rPr>
                <w:sz w:val="18"/>
                <w:szCs w:val="18"/>
                <w:lang w:val="fr-FR"/>
              </w:rPr>
              <w:t>Dans le pays</w:t>
            </w:r>
          </w:p>
        </w:tc>
        <w:tc>
          <w:tcPr>
            <w:tcW w:w="1275" w:type="dxa"/>
            <w:tcBorders>
              <w:top w:val="single" w:sz="12" w:space="0" w:color="auto"/>
            </w:tcBorders>
            <w:shd w:val="clear" w:color="auto" w:fill="auto"/>
            <w:vAlign w:val="bottom"/>
          </w:tcPr>
          <w:p w14:paraId="42B26CB0" w14:textId="77777777" w:rsidR="003C48D6" w:rsidRPr="00E54B27" w:rsidRDefault="003C48D6" w:rsidP="00E54B27">
            <w:pPr>
              <w:suppressAutoHyphens w:val="0"/>
              <w:spacing w:before="40" w:after="40" w:line="220" w:lineRule="exact"/>
              <w:jc w:val="right"/>
              <w:rPr>
                <w:sz w:val="18"/>
                <w:szCs w:val="18"/>
                <w:lang w:val="fr-FR"/>
              </w:rPr>
            </w:pPr>
            <w:r w:rsidRPr="00E54B27">
              <w:rPr>
                <w:sz w:val="18"/>
                <w:szCs w:val="18"/>
                <w:lang w:val="fr-FR"/>
              </w:rPr>
              <w:t>6</w:t>
            </w:r>
          </w:p>
        </w:tc>
        <w:tc>
          <w:tcPr>
            <w:tcW w:w="851" w:type="dxa"/>
            <w:tcBorders>
              <w:top w:val="single" w:sz="12" w:space="0" w:color="auto"/>
            </w:tcBorders>
            <w:shd w:val="clear" w:color="auto" w:fill="auto"/>
            <w:vAlign w:val="bottom"/>
          </w:tcPr>
          <w:p w14:paraId="520063A5" w14:textId="77777777" w:rsidR="003C48D6" w:rsidRPr="00E54B27" w:rsidRDefault="003C48D6" w:rsidP="00E54B27">
            <w:pPr>
              <w:suppressAutoHyphens w:val="0"/>
              <w:spacing w:before="40" w:after="40" w:line="220" w:lineRule="exact"/>
              <w:jc w:val="right"/>
              <w:rPr>
                <w:sz w:val="18"/>
                <w:szCs w:val="18"/>
                <w:lang w:val="fr-FR"/>
              </w:rPr>
            </w:pPr>
            <w:r w:rsidRPr="00E54B27">
              <w:rPr>
                <w:sz w:val="18"/>
                <w:szCs w:val="18"/>
                <w:lang w:val="fr-FR"/>
              </w:rPr>
              <w:t>3</w:t>
            </w:r>
          </w:p>
        </w:tc>
        <w:tc>
          <w:tcPr>
            <w:tcW w:w="850" w:type="dxa"/>
            <w:tcBorders>
              <w:top w:val="single" w:sz="12" w:space="0" w:color="auto"/>
            </w:tcBorders>
            <w:shd w:val="clear" w:color="auto" w:fill="auto"/>
            <w:vAlign w:val="bottom"/>
          </w:tcPr>
          <w:p w14:paraId="73FB8442" w14:textId="77777777" w:rsidR="003C48D6" w:rsidRPr="00E54B27" w:rsidRDefault="003C48D6" w:rsidP="00E54B27">
            <w:pPr>
              <w:suppressAutoHyphens w:val="0"/>
              <w:spacing w:before="40" w:after="40" w:line="220" w:lineRule="exact"/>
              <w:jc w:val="right"/>
              <w:rPr>
                <w:sz w:val="18"/>
                <w:szCs w:val="18"/>
                <w:lang w:val="fr-FR"/>
              </w:rPr>
            </w:pPr>
            <w:r w:rsidRPr="00E54B27">
              <w:rPr>
                <w:sz w:val="18"/>
                <w:szCs w:val="18"/>
                <w:lang w:val="fr-FR"/>
              </w:rPr>
              <w:t>3</w:t>
            </w:r>
          </w:p>
        </w:tc>
        <w:tc>
          <w:tcPr>
            <w:tcW w:w="851" w:type="dxa"/>
            <w:tcBorders>
              <w:top w:val="single" w:sz="12" w:space="0" w:color="auto"/>
            </w:tcBorders>
            <w:shd w:val="clear" w:color="auto" w:fill="auto"/>
            <w:vAlign w:val="bottom"/>
          </w:tcPr>
          <w:p w14:paraId="130DD795" w14:textId="77777777" w:rsidR="003C48D6" w:rsidRPr="00E54B27" w:rsidRDefault="003C48D6" w:rsidP="00E54B27">
            <w:pPr>
              <w:suppressAutoHyphens w:val="0"/>
              <w:spacing w:before="40" w:after="40" w:line="220" w:lineRule="exact"/>
              <w:jc w:val="right"/>
              <w:rPr>
                <w:sz w:val="18"/>
                <w:szCs w:val="18"/>
                <w:lang w:val="fr-FR"/>
              </w:rPr>
            </w:pPr>
            <w:r w:rsidRPr="00E54B27">
              <w:rPr>
                <w:sz w:val="18"/>
                <w:szCs w:val="18"/>
                <w:lang w:val="fr-FR"/>
              </w:rPr>
              <w:t>2</w:t>
            </w:r>
          </w:p>
        </w:tc>
        <w:tc>
          <w:tcPr>
            <w:tcW w:w="849" w:type="dxa"/>
            <w:tcBorders>
              <w:top w:val="single" w:sz="12" w:space="0" w:color="auto"/>
            </w:tcBorders>
            <w:shd w:val="clear" w:color="auto" w:fill="auto"/>
            <w:noWrap/>
            <w:vAlign w:val="bottom"/>
          </w:tcPr>
          <w:p w14:paraId="15142F7F" w14:textId="77777777" w:rsidR="003C48D6" w:rsidRPr="00E54B27" w:rsidRDefault="003C48D6" w:rsidP="00E54B27">
            <w:pPr>
              <w:suppressAutoHyphens w:val="0"/>
              <w:spacing w:before="40" w:after="40" w:line="220" w:lineRule="exact"/>
              <w:jc w:val="right"/>
              <w:rPr>
                <w:sz w:val="18"/>
                <w:szCs w:val="18"/>
                <w:lang w:val="fr-FR"/>
              </w:rPr>
            </w:pPr>
            <w:r w:rsidRPr="00E54B27">
              <w:rPr>
                <w:sz w:val="18"/>
                <w:szCs w:val="18"/>
                <w:lang w:val="fr-FR"/>
              </w:rPr>
              <w:t>3</w:t>
            </w:r>
          </w:p>
        </w:tc>
      </w:tr>
      <w:tr w:rsidR="003C48D6" w:rsidRPr="00E54B27" w14:paraId="5B810555" w14:textId="77777777" w:rsidTr="00CE715B">
        <w:tc>
          <w:tcPr>
            <w:tcW w:w="2694" w:type="dxa"/>
            <w:tcBorders>
              <w:bottom w:val="single" w:sz="4" w:space="0" w:color="auto"/>
            </w:tcBorders>
            <w:shd w:val="clear" w:color="auto" w:fill="auto"/>
          </w:tcPr>
          <w:p w14:paraId="30244CC5" w14:textId="77777777" w:rsidR="003C48D6" w:rsidRPr="00E54B27" w:rsidRDefault="003C48D6" w:rsidP="00E54B27">
            <w:pPr>
              <w:suppressAutoHyphens w:val="0"/>
              <w:spacing w:before="40" w:after="40" w:line="220" w:lineRule="exact"/>
              <w:rPr>
                <w:sz w:val="18"/>
                <w:szCs w:val="18"/>
                <w:lang w:val="fr-FR"/>
              </w:rPr>
            </w:pPr>
            <w:r w:rsidRPr="00E54B27">
              <w:rPr>
                <w:sz w:val="18"/>
                <w:szCs w:val="18"/>
                <w:lang w:val="fr-FR"/>
              </w:rPr>
              <w:t>À l</w:t>
            </w:r>
            <w:r w:rsidR="00254912">
              <w:rPr>
                <w:sz w:val="18"/>
                <w:szCs w:val="18"/>
                <w:lang w:val="fr-FR"/>
              </w:rPr>
              <w:t>’</w:t>
            </w:r>
            <w:r w:rsidRPr="00E54B27">
              <w:rPr>
                <w:sz w:val="18"/>
                <w:szCs w:val="18"/>
                <w:lang w:val="fr-FR"/>
              </w:rPr>
              <w:t>étranger</w:t>
            </w:r>
          </w:p>
        </w:tc>
        <w:tc>
          <w:tcPr>
            <w:tcW w:w="1275" w:type="dxa"/>
            <w:tcBorders>
              <w:bottom w:val="single" w:sz="4" w:space="0" w:color="auto"/>
            </w:tcBorders>
            <w:shd w:val="clear" w:color="auto" w:fill="auto"/>
            <w:vAlign w:val="bottom"/>
          </w:tcPr>
          <w:p w14:paraId="7BA1E380" w14:textId="77777777" w:rsidR="003C48D6" w:rsidRPr="00E54B27" w:rsidRDefault="003C48D6" w:rsidP="00E54B27">
            <w:pPr>
              <w:suppressAutoHyphens w:val="0"/>
              <w:spacing w:before="40" w:after="40" w:line="220" w:lineRule="exact"/>
              <w:jc w:val="right"/>
              <w:rPr>
                <w:sz w:val="18"/>
                <w:szCs w:val="18"/>
                <w:lang w:val="fr-FR"/>
              </w:rPr>
            </w:pPr>
            <w:r w:rsidRPr="00E54B27">
              <w:rPr>
                <w:sz w:val="18"/>
                <w:szCs w:val="18"/>
                <w:lang w:val="fr-FR"/>
              </w:rPr>
              <w:t>/</w:t>
            </w:r>
          </w:p>
        </w:tc>
        <w:tc>
          <w:tcPr>
            <w:tcW w:w="851" w:type="dxa"/>
            <w:tcBorders>
              <w:bottom w:val="single" w:sz="4" w:space="0" w:color="auto"/>
            </w:tcBorders>
            <w:shd w:val="clear" w:color="auto" w:fill="auto"/>
            <w:vAlign w:val="bottom"/>
          </w:tcPr>
          <w:p w14:paraId="0CA19FB6" w14:textId="77777777" w:rsidR="003C48D6" w:rsidRPr="00E54B27" w:rsidRDefault="003C48D6" w:rsidP="00E54B27">
            <w:pPr>
              <w:suppressAutoHyphens w:val="0"/>
              <w:spacing w:before="40" w:after="40" w:line="220" w:lineRule="exact"/>
              <w:jc w:val="right"/>
              <w:rPr>
                <w:sz w:val="18"/>
                <w:szCs w:val="18"/>
                <w:lang w:val="fr-FR"/>
              </w:rPr>
            </w:pPr>
            <w:r w:rsidRPr="00E54B27">
              <w:rPr>
                <w:sz w:val="18"/>
                <w:szCs w:val="18"/>
                <w:lang w:val="fr-FR"/>
              </w:rPr>
              <w:t>/</w:t>
            </w:r>
          </w:p>
        </w:tc>
        <w:tc>
          <w:tcPr>
            <w:tcW w:w="850" w:type="dxa"/>
            <w:tcBorders>
              <w:bottom w:val="single" w:sz="4" w:space="0" w:color="auto"/>
            </w:tcBorders>
            <w:shd w:val="clear" w:color="auto" w:fill="auto"/>
            <w:vAlign w:val="bottom"/>
          </w:tcPr>
          <w:p w14:paraId="2F78C67C" w14:textId="77777777" w:rsidR="003C48D6" w:rsidRPr="00E54B27" w:rsidRDefault="003C48D6" w:rsidP="00E54B27">
            <w:pPr>
              <w:suppressAutoHyphens w:val="0"/>
              <w:spacing w:before="40" w:after="40" w:line="220" w:lineRule="exact"/>
              <w:jc w:val="right"/>
              <w:rPr>
                <w:sz w:val="18"/>
                <w:szCs w:val="18"/>
                <w:lang w:val="fr-FR"/>
              </w:rPr>
            </w:pPr>
            <w:r w:rsidRPr="00E54B27">
              <w:rPr>
                <w:sz w:val="18"/>
                <w:szCs w:val="18"/>
                <w:lang w:val="fr-FR"/>
              </w:rPr>
              <w:t>/</w:t>
            </w:r>
          </w:p>
        </w:tc>
        <w:tc>
          <w:tcPr>
            <w:tcW w:w="851" w:type="dxa"/>
            <w:tcBorders>
              <w:bottom w:val="single" w:sz="4" w:space="0" w:color="auto"/>
            </w:tcBorders>
            <w:shd w:val="clear" w:color="auto" w:fill="auto"/>
            <w:vAlign w:val="bottom"/>
          </w:tcPr>
          <w:p w14:paraId="476353D2" w14:textId="77777777" w:rsidR="003C48D6" w:rsidRPr="00E54B27" w:rsidRDefault="003C48D6" w:rsidP="00E54B27">
            <w:pPr>
              <w:suppressAutoHyphens w:val="0"/>
              <w:spacing w:before="40" w:after="40" w:line="220" w:lineRule="exact"/>
              <w:jc w:val="right"/>
              <w:rPr>
                <w:sz w:val="18"/>
                <w:szCs w:val="18"/>
                <w:lang w:val="fr-FR"/>
              </w:rPr>
            </w:pPr>
            <w:r w:rsidRPr="00E54B27">
              <w:rPr>
                <w:sz w:val="18"/>
                <w:szCs w:val="18"/>
                <w:lang w:val="fr-FR"/>
              </w:rPr>
              <w:t>/</w:t>
            </w:r>
          </w:p>
        </w:tc>
        <w:tc>
          <w:tcPr>
            <w:tcW w:w="849" w:type="dxa"/>
            <w:tcBorders>
              <w:bottom w:val="single" w:sz="4" w:space="0" w:color="auto"/>
            </w:tcBorders>
            <w:shd w:val="clear" w:color="auto" w:fill="auto"/>
            <w:noWrap/>
            <w:vAlign w:val="bottom"/>
          </w:tcPr>
          <w:p w14:paraId="489371C9" w14:textId="77777777" w:rsidR="003C48D6" w:rsidRPr="00E54B27" w:rsidRDefault="003C48D6" w:rsidP="00E54B27">
            <w:pPr>
              <w:suppressAutoHyphens w:val="0"/>
              <w:spacing w:before="40" w:after="40" w:line="220" w:lineRule="exact"/>
              <w:jc w:val="right"/>
              <w:rPr>
                <w:sz w:val="18"/>
                <w:szCs w:val="18"/>
                <w:lang w:val="fr-FR"/>
              </w:rPr>
            </w:pPr>
            <w:r w:rsidRPr="00E54B27">
              <w:rPr>
                <w:sz w:val="18"/>
                <w:szCs w:val="18"/>
                <w:lang w:val="fr-FR"/>
              </w:rPr>
              <w:t>1</w:t>
            </w:r>
          </w:p>
        </w:tc>
      </w:tr>
      <w:tr w:rsidR="003C48D6" w:rsidRPr="00CE715B" w14:paraId="32B55483" w14:textId="77777777" w:rsidTr="00CE715B">
        <w:tc>
          <w:tcPr>
            <w:tcW w:w="2694" w:type="dxa"/>
            <w:tcBorders>
              <w:top w:val="single" w:sz="4" w:space="0" w:color="auto"/>
              <w:bottom w:val="single" w:sz="12" w:space="0" w:color="auto"/>
            </w:tcBorders>
            <w:shd w:val="clear" w:color="auto" w:fill="auto"/>
          </w:tcPr>
          <w:p w14:paraId="7FB67B7F" w14:textId="77777777" w:rsidR="003C48D6" w:rsidRPr="00CE715B" w:rsidRDefault="003C48D6" w:rsidP="00CE715B">
            <w:pPr>
              <w:suppressAutoHyphens w:val="0"/>
              <w:spacing w:before="80" w:after="80" w:line="220" w:lineRule="exact"/>
              <w:ind w:left="284"/>
              <w:rPr>
                <w:b/>
                <w:sz w:val="18"/>
                <w:szCs w:val="18"/>
                <w:lang w:val="fr-FR"/>
              </w:rPr>
            </w:pPr>
            <w:r w:rsidRPr="00CE715B">
              <w:rPr>
                <w:b/>
                <w:sz w:val="18"/>
                <w:szCs w:val="18"/>
                <w:lang w:val="fr-FR"/>
              </w:rPr>
              <w:t>Total</w:t>
            </w:r>
          </w:p>
        </w:tc>
        <w:tc>
          <w:tcPr>
            <w:tcW w:w="1275" w:type="dxa"/>
            <w:tcBorders>
              <w:top w:val="single" w:sz="4" w:space="0" w:color="auto"/>
              <w:bottom w:val="single" w:sz="12" w:space="0" w:color="auto"/>
            </w:tcBorders>
            <w:shd w:val="clear" w:color="auto" w:fill="auto"/>
            <w:vAlign w:val="bottom"/>
          </w:tcPr>
          <w:p w14:paraId="16ACAD60" w14:textId="77777777" w:rsidR="003C48D6" w:rsidRPr="00CE715B" w:rsidRDefault="003C48D6" w:rsidP="00CE715B">
            <w:pPr>
              <w:suppressAutoHyphens w:val="0"/>
              <w:spacing w:before="80" w:after="80" w:line="220" w:lineRule="exact"/>
              <w:ind w:left="284"/>
              <w:jc w:val="right"/>
              <w:rPr>
                <w:b/>
                <w:sz w:val="18"/>
                <w:szCs w:val="18"/>
                <w:lang w:val="fr-FR"/>
              </w:rPr>
            </w:pPr>
            <w:r w:rsidRPr="00CE715B">
              <w:rPr>
                <w:b/>
                <w:sz w:val="18"/>
                <w:szCs w:val="18"/>
                <w:lang w:val="fr-FR"/>
              </w:rPr>
              <w:t>6</w:t>
            </w:r>
          </w:p>
        </w:tc>
        <w:tc>
          <w:tcPr>
            <w:tcW w:w="851" w:type="dxa"/>
            <w:tcBorders>
              <w:top w:val="single" w:sz="4" w:space="0" w:color="auto"/>
              <w:bottom w:val="single" w:sz="12" w:space="0" w:color="auto"/>
            </w:tcBorders>
            <w:shd w:val="clear" w:color="auto" w:fill="auto"/>
            <w:vAlign w:val="bottom"/>
          </w:tcPr>
          <w:p w14:paraId="798407A0" w14:textId="77777777" w:rsidR="003C48D6" w:rsidRPr="00CE715B" w:rsidRDefault="003C48D6" w:rsidP="00CE715B">
            <w:pPr>
              <w:suppressAutoHyphens w:val="0"/>
              <w:spacing w:before="80" w:after="80" w:line="220" w:lineRule="exact"/>
              <w:ind w:left="284"/>
              <w:jc w:val="right"/>
              <w:rPr>
                <w:b/>
                <w:sz w:val="18"/>
                <w:szCs w:val="18"/>
                <w:lang w:val="fr-FR"/>
              </w:rPr>
            </w:pPr>
            <w:r w:rsidRPr="00CE715B">
              <w:rPr>
                <w:b/>
                <w:sz w:val="18"/>
                <w:szCs w:val="18"/>
                <w:lang w:val="fr-FR"/>
              </w:rPr>
              <w:t>3</w:t>
            </w:r>
          </w:p>
        </w:tc>
        <w:tc>
          <w:tcPr>
            <w:tcW w:w="850" w:type="dxa"/>
            <w:tcBorders>
              <w:top w:val="single" w:sz="4" w:space="0" w:color="auto"/>
              <w:bottom w:val="single" w:sz="12" w:space="0" w:color="auto"/>
            </w:tcBorders>
            <w:shd w:val="clear" w:color="auto" w:fill="auto"/>
            <w:vAlign w:val="bottom"/>
          </w:tcPr>
          <w:p w14:paraId="59257777" w14:textId="77777777" w:rsidR="003C48D6" w:rsidRPr="00CE715B" w:rsidRDefault="003C48D6" w:rsidP="00CE715B">
            <w:pPr>
              <w:suppressAutoHyphens w:val="0"/>
              <w:spacing w:before="80" w:after="80" w:line="220" w:lineRule="exact"/>
              <w:ind w:left="284"/>
              <w:jc w:val="right"/>
              <w:rPr>
                <w:b/>
                <w:sz w:val="18"/>
                <w:szCs w:val="18"/>
                <w:lang w:val="fr-FR"/>
              </w:rPr>
            </w:pPr>
            <w:r w:rsidRPr="00CE715B">
              <w:rPr>
                <w:b/>
                <w:sz w:val="18"/>
                <w:szCs w:val="18"/>
                <w:lang w:val="fr-FR"/>
              </w:rPr>
              <w:t>3</w:t>
            </w:r>
          </w:p>
        </w:tc>
        <w:tc>
          <w:tcPr>
            <w:tcW w:w="851" w:type="dxa"/>
            <w:tcBorders>
              <w:top w:val="single" w:sz="4" w:space="0" w:color="auto"/>
              <w:bottom w:val="single" w:sz="12" w:space="0" w:color="auto"/>
            </w:tcBorders>
            <w:shd w:val="clear" w:color="auto" w:fill="auto"/>
            <w:vAlign w:val="bottom"/>
          </w:tcPr>
          <w:p w14:paraId="0D64F144" w14:textId="77777777" w:rsidR="003C48D6" w:rsidRPr="00CE715B" w:rsidRDefault="003C48D6" w:rsidP="00CE715B">
            <w:pPr>
              <w:suppressAutoHyphens w:val="0"/>
              <w:spacing w:before="80" w:after="80" w:line="220" w:lineRule="exact"/>
              <w:ind w:left="284"/>
              <w:jc w:val="right"/>
              <w:rPr>
                <w:b/>
                <w:sz w:val="18"/>
                <w:szCs w:val="18"/>
                <w:lang w:val="fr-FR"/>
              </w:rPr>
            </w:pPr>
            <w:r w:rsidRPr="00CE715B">
              <w:rPr>
                <w:b/>
                <w:sz w:val="18"/>
                <w:szCs w:val="18"/>
                <w:lang w:val="fr-FR"/>
              </w:rPr>
              <w:t>2</w:t>
            </w:r>
          </w:p>
        </w:tc>
        <w:tc>
          <w:tcPr>
            <w:tcW w:w="849" w:type="dxa"/>
            <w:tcBorders>
              <w:top w:val="single" w:sz="4" w:space="0" w:color="auto"/>
              <w:bottom w:val="single" w:sz="12" w:space="0" w:color="auto"/>
            </w:tcBorders>
            <w:shd w:val="clear" w:color="auto" w:fill="auto"/>
            <w:noWrap/>
            <w:vAlign w:val="bottom"/>
          </w:tcPr>
          <w:p w14:paraId="748879CB" w14:textId="77777777" w:rsidR="003C48D6" w:rsidRPr="00CE715B" w:rsidRDefault="003C48D6" w:rsidP="00CE715B">
            <w:pPr>
              <w:suppressAutoHyphens w:val="0"/>
              <w:spacing w:before="80" w:after="80" w:line="220" w:lineRule="exact"/>
              <w:ind w:left="284"/>
              <w:jc w:val="right"/>
              <w:rPr>
                <w:b/>
                <w:sz w:val="18"/>
                <w:szCs w:val="18"/>
                <w:lang w:val="fr-FR"/>
              </w:rPr>
            </w:pPr>
            <w:r w:rsidRPr="00CE715B">
              <w:rPr>
                <w:b/>
                <w:sz w:val="18"/>
                <w:szCs w:val="18"/>
                <w:lang w:val="fr-FR"/>
              </w:rPr>
              <w:t>4</w:t>
            </w:r>
          </w:p>
        </w:tc>
      </w:tr>
    </w:tbl>
    <w:p w14:paraId="7177F17D" w14:textId="77777777" w:rsidR="003C48D6" w:rsidRPr="00F720A6" w:rsidRDefault="003C48D6" w:rsidP="00E54B27">
      <w:pPr>
        <w:pStyle w:val="H23G"/>
        <w:rPr>
          <w:lang w:val="fr-FR"/>
        </w:rPr>
      </w:pPr>
      <w:r w:rsidRPr="00F720A6">
        <w:rPr>
          <w:lang w:val="fr-FR"/>
        </w:rPr>
        <w:tab/>
      </w:r>
      <w:r w:rsidRPr="00F720A6">
        <w:rPr>
          <w:lang w:val="fr-FR"/>
        </w:rPr>
        <w:tab/>
        <w:t>Enlèvement, vente ou traite d</w:t>
      </w:r>
      <w:r w:rsidR="00254912">
        <w:rPr>
          <w:lang w:val="fr-FR"/>
        </w:rPr>
        <w:t>’</w:t>
      </w:r>
      <w:r w:rsidRPr="00F720A6">
        <w:rPr>
          <w:lang w:val="fr-FR"/>
        </w:rPr>
        <w:t>enfants (art. 35)</w:t>
      </w:r>
      <w:bookmarkStart w:id="85" w:name="_Toc56781483"/>
      <w:bookmarkEnd w:id="85"/>
    </w:p>
    <w:p w14:paraId="217848B1" w14:textId="77777777" w:rsidR="003C48D6" w:rsidRPr="00F720A6" w:rsidRDefault="003C48D6" w:rsidP="00E54B27">
      <w:pPr>
        <w:pStyle w:val="SingleTxtG"/>
        <w:rPr>
          <w:lang w:val="fr-FR"/>
        </w:rPr>
      </w:pPr>
      <w:r w:rsidRPr="00F720A6">
        <w:rPr>
          <w:lang w:val="fr-FR"/>
        </w:rPr>
        <w:t>200.</w:t>
      </w:r>
      <w:r w:rsidRPr="00F720A6">
        <w:rPr>
          <w:lang w:val="fr-FR"/>
        </w:rPr>
        <w:tab/>
        <w:t>Au sein de la Commission nationale, un sous-groupe de travail pour la lutte contre la traite des enfants continue de fonctionner, avec pour mandat de suivre l</w:t>
      </w:r>
      <w:r w:rsidR="00254912">
        <w:rPr>
          <w:lang w:val="fr-FR"/>
        </w:rPr>
        <w:t>’</w:t>
      </w:r>
      <w:r w:rsidRPr="00F720A6">
        <w:rPr>
          <w:lang w:val="fr-FR"/>
        </w:rPr>
        <w:t>évolution du phénomène. En 2015, ce sous-groupe a présenté une Initiative pour la modification de l</w:t>
      </w:r>
      <w:r w:rsidR="00254912">
        <w:rPr>
          <w:lang w:val="fr-FR"/>
        </w:rPr>
        <w:t>’</w:t>
      </w:r>
      <w:r w:rsidRPr="00F720A6">
        <w:rPr>
          <w:lang w:val="fr-FR"/>
        </w:rPr>
        <w:t>article 418-d du Code pénal</w:t>
      </w:r>
      <w:r w:rsidRPr="002A465A">
        <w:rPr>
          <w:rStyle w:val="Appelnotedebasdep"/>
        </w:rPr>
        <w:footnoteReference w:id="53"/>
      </w:r>
      <w:r w:rsidRPr="00F720A6">
        <w:rPr>
          <w:lang w:val="fr-FR"/>
        </w:rPr>
        <w:t xml:space="preserve"> relativement à l</w:t>
      </w:r>
      <w:r w:rsidR="00254912">
        <w:rPr>
          <w:lang w:val="fr-FR"/>
        </w:rPr>
        <w:t>’</w:t>
      </w:r>
      <w:r w:rsidRPr="00F720A6">
        <w:rPr>
          <w:lang w:val="fr-FR"/>
        </w:rPr>
        <w:t>incrimination de la mendicité et en vue d</w:t>
      </w:r>
      <w:r w:rsidR="00254912">
        <w:rPr>
          <w:lang w:val="fr-FR"/>
        </w:rPr>
        <w:t>’</w:t>
      </w:r>
      <w:r w:rsidRPr="00F720A6">
        <w:rPr>
          <w:lang w:val="fr-FR"/>
        </w:rPr>
        <w:t>abroger l</w:t>
      </w:r>
      <w:r w:rsidR="00254912">
        <w:rPr>
          <w:lang w:val="fr-FR"/>
        </w:rPr>
        <w:t>’</w:t>
      </w:r>
      <w:r w:rsidRPr="00F720A6">
        <w:rPr>
          <w:lang w:val="fr-FR"/>
        </w:rPr>
        <w:t>article 191-a, « Prostitution des enfants », après avoir conclu qu</w:t>
      </w:r>
      <w:r w:rsidR="00254912">
        <w:rPr>
          <w:lang w:val="fr-FR"/>
        </w:rPr>
        <w:t>’</w:t>
      </w:r>
      <w:r w:rsidRPr="00F720A6">
        <w:rPr>
          <w:lang w:val="fr-FR"/>
        </w:rPr>
        <w:t>il était contraire aux principes de non-discrimination et de l</w:t>
      </w:r>
      <w:r w:rsidR="00254912">
        <w:rPr>
          <w:lang w:val="fr-FR"/>
        </w:rPr>
        <w:t>’</w:t>
      </w:r>
      <w:r w:rsidRPr="00F720A6">
        <w:rPr>
          <w:lang w:val="fr-FR"/>
        </w:rPr>
        <w:t>intérêt supérieur de l</w:t>
      </w:r>
      <w:r w:rsidR="00254912">
        <w:rPr>
          <w:lang w:val="fr-FR"/>
        </w:rPr>
        <w:t>’</w:t>
      </w:r>
      <w:r w:rsidRPr="00F720A6">
        <w:rPr>
          <w:lang w:val="fr-FR"/>
        </w:rPr>
        <w:t>enfant. Dans le cadre des activités du Ministère du travail et de la politique sociale, le Mécanisme national d</w:t>
      </w:r>
      <w:r w:rsidR="00254912">
        <w:rPr>
          <w:lang w:val="fr-FR"/>
        </w:rPr>
        <w:t>’</w:t>
      </w:r>
      <w:r w:rsidRPr="00F720A6">
        <w:rPr>
          <w:lang w:val="fr-FR"/>
        </w:rPr>
        <w:t>orientation appliqué aux victimes de la traite des êtres humains a pour objet de coordonner l</w:t>
      </w:r>
      <w:r w:rsidR="00254912">
        <w:rPr>
          <w:lang w:val="fr-FR"/>
        </w:rPr>
        <w:t>’</w:t>
      </w:r>
      <w:r w:rsidRPr="00F720A6">
        <w:rPr>
          <w:lang w:val="fr-FR"/>
        </w:rPr>
        <w:t>identification, l</w:t>
      </w:r>
      <w:r w:rsidR="00254912">
        <w:rPr>
          <w:lang w:val="fr-FR"/>
        </w:rPr>
        <w:t>’</w:t>
      </w:r>
      <w:r w:rsidRPr="00F720A6">
        <w:rPr>
          <w:lang w:val="fr-FR"/>
        </w:rPr>
        <w:t>assistance et l</w:t>
      </w:r>
      <w:r w:rsidR="00254912">
        <w:rPr>
          <w:lang w:val="fr-FR"/>
        </w:rPr>
        <w:t>’</w:t>
      </w:r>
      <w:r w:rsidRPr="00F720A6">
        <w:rPr>
          <w:lang w:val="fr-FR"/>
        </w:rPr>
        <w:t>orientation des enfants victimes de la traite. Ce mécanisme met continuellement en œuvre les actions prévues dans la Stratégie nationale et le plan d</w:t>
      </w:r>
      <w:r w:rsidR="00254912">
        <w:rPr>
          <w:lang w:val="fr-FR"/>
        </w:rPr>
        <w:t>’</w:t>
      </w:r>
      <w:r w:rsidRPr="00F720A6">
        <w:rPr>
          <w:lang w:val="fr-FR"/>
        </w:rPr>
        <w:t>action 2017-2020 de lutte contre la traite des êtres humains et l</w:t>
      </w:r>
      <w:r w:rsidR="00254912">
        <w:rPr>
          <w:lang w:val="fr-FR"/>
        </w:rPr>
        <w:t>’</w:t>
      </w:r>
      <w:r w:rsidRPr="00F720A6">
        <w:rPr>
          <w:lang w:val="fr-FR"/>
        </w:rPr>
        <w:t>immigration illégale. Le</w:t>
      </w:r>
      <w:r w:rsidR="00CE715B">
        <w:rPr>
          <w:lang w:val="fr-FR"/>
        </w:rPr>
        <w:t> </w:t>
      </w:r>
      <w:r w:rsidRPr="00F720A6">
        <w:rPr>
          <w:lang w:val="fr-FR"/>
        </w:rPr>
        <w:t>processus de protection et de réintégration permet de prendre des mesures spéciales en fonction de l</w:t>
      </w:r>
      <w:r w:rsidR="00254912">
        <w:rPr>
          <w:lang w:val="fr-FR"/>
        </w:rPr>
        <w:t>’</w:t>
      </w:r>
      <w:r w:rsidRPr="00F720A6">
        <w:rPr>
          <w:lang w:val="fr-FR"/>
        </w:rPr>
        <w:t>âge et des besoins de l</w:t>
      </w:r>
      <w:r w:rsidR="00254912">
        <w:rPr>
          <w:lang w:val="fr-FR"/>
        </w:rPr>
        <w:t>’</w:t>
      </w:r>
      <w:r w:rsidRPr="00F720A6">
        <w:rPr>
          <w:lang w:val="fr-FR"/>
        </w:rPr>
        <w:t>enfant ou de la victime, selon les séquelles physiques, psychologiques et sociales que présente l</w:t>
      </w:r>
      <w:r w:rsidR="00254912">
        <w:rPr>
          <w:lang w:val="fr-FR"/>
        </w:rPr>
        <w:t>’</w:t>
      </w:r>
      <w:r w:rsidRPr="00F720A6">
        <w:rPr>
          <w:lang w:val="fr-FR"/>
        </w:rPr>
        <w:t>enfant ou la victime de la traite</w:t>
      </w:r>
      <w:r w:rsidR="00E5607B">
        <w:rPr>
          <w:lang w:val="fr-FR"/>
        </w:rPr>
        <w:t> </w:t>
      </w:r>
      <w:r w:rsidRPr="00F720A6">
        <w:rPr>
          <w:lang w:val="fr-FR"/>
        </w:rPr>
        <w:t xml:space="preserve">: </w:t>
      </w:r>
    </w:p>
    <w:p w14:paraId="1E896094" w14:textId="77777777" w:rsidR="003C48D6" w:rsidRPr="00F720A6" w:rsidRDefault="003C48D6" w:rsidP="00E54B27">
      <w:pPr>
        <w:pStyle w:val="Bullet1G"/>
        <w:rPr>
          <w:lang w:val="fr-FR"/>
        </w:rPr>
      </w:pPr>
      <w:r w:rsidRPr="00F720A6">
        <w:rPr>
          <w:lang w:val="fr-FR"/>
        </w:rPr>
        <w:t>Orientation et placement dans un centre d</w:t>
      </w:r>
      <w:r w:rsidR="00254912">
        <w:rPr>
          <w:lang w:val="fr-FR"/>
        </w:rPr>
        <w:t>’</w:t>
      </w:r>
      <w:r w:rsidRPr="00F720A6">
        <w:rPr>
          <w:lang w:val="fr-FR"/>
        </w:rPr>
        <w:t>accueil, évaluation des besoins et intervention en situation de crise ;</w:t>
      </w:r>
    </w:p>
    <w:p w14:paraId="174AE309" w14:textId="77777777" w:rsidR="003C48D6" w:rsidRPr="00F720A6" w:rsidRDefault="003C48D6" w:rsidP="00E54B27">
      <w:pPr>
        <w:pStyle w:val="Bullet1G"/>
        <w:rPr>
          <w:lang w:val="fr-FR"/>
        </w:rPr>
      </w:pPr>
      <w:r w:rsidRPr="00F720A6">
        <w:rPr>
          <w:lang w:val="fr-FR"/>
        </w:rPr>
        <w:lastRenderedPageBreak/>
        <w:t>Apport d</w:t>
      </w:r>
      <w:r w:rsidR="00254912">
        <w:rPr>
          <w:lang w:val="fr-FR"/>
        </w:rPr>
        <w:t>’</w:t>
      </w:r>
      <w:r w:rsidRPr="00F720A6">
        <w:rPr>
          <w:lang w:val="fr-FR"/>
        </w:rPr>
        <w:t>une équipe d</w:t>
      </w:r>
      <w:r w:rsidR="00254912">
        <w:rPr>
          <w:lang w:val="fr-FR"/>
        </w:rPr>
        <w:t>’</w:t>
      </w:r>
      <w:r w:rsidRPr="00F720A6">
        <w:rPr>
          <w:lang w:val="fr-FR"/>
        </w:rPr>
        <w:t xml:space="preserve">experts qui travaillent en gardes de jour et de nuit, et accompagnement des victimes vers les destinations nécessaires ; </w:t>
      </w:r>
    </w:p>
    <w:p w14:paraId="2EF49EDF" w14:textId="77777777" w:rsidR="003C48D6" w:rsidRPr="00F720A6" w:rsidRDefault="003C48D6" w:rsidP="00E54B27">
      <w:pPr>
        <w:pStyle w:val="Bullet1G"/>
        <w:rPr>
          <w:lang w:val="fr-FR"/>
        </w:rPr>
      </w:pPr>
      <w:r w:rsidRPr="00F720A6">
        <w:rPr>
          <w:lang w:val="fr-FR"/>
        </w:rPr>
        <w:t>Fourniture de nourriture pendant leur séjour, d</w:t>
      </w:r>
      <w:r w:rsidR="00254912">
        <w:rPr>
          <w:lang w:val="fr-FR"/>
        </w:rPr>
        <w:t>’</w:t>
      </w:r>
      <w:r w:rsidRPr="00F720A6">
        <w:rPr>
          <w:lang w:val="fr-FR"/>
        </w:rPr>
        <w:t>articles d</w:t>
      </w:r>
      <w:r w:rsidR="00254912">
        <w:rPr>
          <w:lang w:val="fr-FR"/>
        </w:rPr>
        <w:t>’</w:t>
      </w:r>
      <w:r w:rsidRPr="00F720A6">
        <w:rPr>
          <w:lang w:val="fr-FR"/>
        </w:rPr>
        <w:t xml:space="preserve">hygiène, de vêtements et de chaussures ; </w:t>
      </w:r>
    </w:p>
    <w:p w14:paraId="797F993D" w14:textId="77777777" w:rsidR="003C48D6" w:rsidRPr="00F720A6" w:rsidRDefault="003C48D6" w:rsidP="00E54B27">
      <w:pPr>
        <w:pStyle w:val="Bullet1G"/>
        <w:rPr>
          <w:lang w:val="fr-FR"/>
        </w:rPr>
      </w:pPr>
      <w:r w:rsidRPr="00F720A6">
        <w:rPr>
          <w:lang w:val="fr-FR"/>
        </w:rPr>
        <w:t xml:space="preserve">Inclusion dans le programme de soutien </w:t>
      </w:r>
      <w:proofErr w:type="spellStart"/>
      <w:r w:rsidRPr="00F720A6">
        <w:rPr>
          <w:lang w:val="fr-FR"/>
        </w:rPr>
        <w:t>psychosocial</w:t>
      </w:r>
      <w:proofErr w:type="spellEnd"/>
      <w:r w:rsidRPr="00F720A6">
        <w:rPr>
          <w:lang w:val="fr-FR"/>
        </w:rPr>
        <w:t xml:space="preserve"> (ateliers divers, formation au travail sur ordinateur, cours d</w:t>
      </w:r>
      <w:r w:rsidR="00254912">
        <w:rPr>
          <w:lang w:val="fr-FR"/>
        </w:rPr>
        <w:t>’</w:t>
      </w:r>
      <w:r w:rsidRPr="00F720A6">
        <w:rPr>
          <w:lang w:val="fr-FR"/>
        </w:rPr>
        <w:t>anglais élémentaire, etc.)</w:t>
      </w:r>
      <w:r w:rsidR="007C425A">
        <w:rPr>
          <w:lang w:val="fr-FR"/>
        </w:rPr>
        <w:t> ;</w:t>
      </w:r>
    </w:p>
    <w:p w14:paraId="2F26BD43" w14:textId="77777777" w:rsidR="003C48D6" w:rsidRPr="00F720A6" w:rsidRDefault="003C48D6" w:rsidP="00E54B27">
      <w:pPr>
        <w:pStyle w:val="Bullet1G"/>
        <w:rPr>
          <w:lang w:val="fr-FR"/>
        </w:rPr>
      </w:pPr>
      <w:r w:rsidRPr="00F720A6">
        <w:rPr>
          <w:lang w:val="fr-FR"/>
        </w:rPr>
        <w:t>Organisation d</w:t>
      </w:r>
      <w:r w:rsidR="00254912">
        <w:rPr>
          <w:lang w:val="fr-FR"/>
        </w:rPr>
        <w:t>’</w:t>
      </w:r>
      <w:r w:rsidRPr="00F720A6">
        <w:rPr>
          <w:lang w:val="fr-FR"/>
        </w:rPr>
        <w:t>activités professionnelles et récréatives en fonction des affinités personnelles : dessin sur verre, sur toile, sur porcelaine, technique sur serviettes, bijoux faits à la main, tricot, couture, techniques d</w:t>
      </w:r>
      <w:r w:rsidR="00254912">
        <w:rPr>
          <w:lang w:val="fr-FR"/>
        </w:rPr>
        <w:t>’</w:t>
      </w:r>
      <w:r w:rsidRPr="00F720A6">
        <w:rPr>
          <w:lang w:val="fr-FR"/>
        </w:rPr>
        <w:t xml:space="preserve">origami ; </w:t>
      </w:r>
    </w:p>
    <w:p w14:paraId="7C376FCE" w14:textId="77777777" w:rsidR="003C48D6" w:rsidRPr="00F720A6" w:rsidRDefault="003C48D6" w:rsidP="00E54B27">
      <w:pPr>
        <w:pStyle w:val="Bullet1G"/>
        <w:rPr>
          <w:lang w:val="fr-FR"/>
        </w:rPr>
      </w:pPr>
      <w:r w:rsidRPr="00F720A6">
        <w:rPr>
          <w:lang w:val="fr-FR"/>
        </w:rPr>
        <w:t>Organisation d</w:t>
      </w:r>
      <w:r w:rsidR="00254912">
        <w:rPr>
          <w:lang w:val="fr-FR"/>
        </w:rPr>
        <w:t>’</w:t>
      </w:r>
      <w:r w:rsidRPr="00F720A6">
        <w:rPr>
          <w:lang w:val="fr-FR"/>
        </w:rPr>
        <w:t>examens médicaux de base, analyses de laboratoire et examens gynécologiques spécialisés, tests de dépistage du VIH, de l</w:t>
      </w:r>
      <w:r w:rsidR="00254912">
        <w:rPr>
          <w:lang w:val="fr-FR"/>
        </w:rPr>
        <w:t>’</w:t>
      </w:r>
      <w:r w:rsidRPr="00F720A6">
        <w:rPr>
          <w:lang w:val="fr-FR"/>
        </w:rPr>
        <w:t xml:space="preserve">hépatite A, B et C ; </w:t>
      </w:r>
    </w:p>
    <w:p w14:paraId="75C92213" w14:textId="77777777" w:rsidR="003C48D6" w:rsidRPr="00F720A6" w:rsidRDefault="003C48D6" w:rsidP="00E54B27">
      <w:pPr>
        <w:pStyle w:val="Bullet1G"/>
        <w:rPr>
          <w:lang w:val="fr-FR"/>
        </w:rPr>
      </w:pPr>
      <w:r w:rsidRPr="00F720A6">
        <w:rPr>
          <w:lang w:val="fr-FR"/>
        </w:rPr>
        <w:t>Conseils et informations juridiques sur le système judiciaire du pays et représentation devant les tribunaux, par un avocat, dans le cadre de procédures judiciaires engagées antérieurement ;</w:t>
      </w:r>
    </w:p>
    <w:p w14:paraId="402D3700" w14:textId="77777777" w:rsidR="003C48D6" w:rsidRPr="00F720A6" w:rsidRDefault="003C48D6" w:rsidP="00E54B27">
      <w:pPr>
        <w:pStyle w:val="Bullet1G"/>
        <w:rPr>
          <w:lang w:val="fr-FR"/>
        </w:rPr>
      </w:pPr>
      <w:r w:rsidRPr="00F720A6">
        <w:rPr>
          <w:lang w:val="fr-FR"/>
        </w:rPr>
        <w:t>Élaboration d</w:t>
      </w:r>
      <w:r w:rsidR="00254912">
        <w:rPr>
          <w:lang w:val="fr-FR"/>
        </w:rPr>
        <w:t>’</w:t>
      </w:r>
      <w:r w:rsidRPr="00F720A6">
        <w:rPr>
          <w:lang w:val="fr-FR"/>
        </w:rPr>
        <w:t xml:space="preserve">un plan individuel à long terme de réinsertion des victimes dans un cursus scolaire, une fois de retour chez elles ; </w:t>
      </w:r>
    </w:p>
    <w:p w14:paraId="21A3DDD5" w14:textId="77777777" w:rsidR="003C48D6" w:rsidRPr="00F720A6" w:rsidRDefault="003C48D6" w:rsidP="00E54B27">
      <w:pPr>
        <w:pStyle w:val="Bullet1G"/>
        <w:rPr>
          <w:lang w:val="fr-FR"/>
        </w:rPr>
      </w:pPr>
      <w:r w:rsidRPr="00F720A6">
        <w:rPr>
          <w:lang w:val="fr-FR"/>
        </w:rPr>
        <w:t>Apport d</w:t>
      </w:r>
      <w:r w:rsidR="00254912">
        <w:rPr>
          <w:lang w:val="fr-FR"/>
        </w:rPr>
        <w:t>’</w:t>
      </w:r>
      <w:r w:rsidRPr="00F720A6">
        <w:rPr>
          <w:lang w:val="fr-FR"/>
        </w:rPr>
        <w:t>un soutien psychologique aux victimes, y compris divers traitements et séances, thérapies de groupe et conseils psychologiques individuels une fois par semaine, ainsi qu</w:t>
      </w:r>
      <w:r w:rsidR="00254912">
        <w:rPr>
          <w:lang w:val="fr-FR"/>
        </w:rPr>
        <w:t>’</w:t>
      </w:r>
      <w:r w:rsidRPr="00F720A6">
        <w:rPr>
          <w:lang w:val="fr-FR"/>
        </w:rPr>
        <w:t>aide d</w:t>
      </w:r>
      <w:r w:rsidR="00254912">
        <w:rPr>
          <w:lang w:val="fr-FR"/>
        </w:rPr>
        <w:t>’</w:t>
      </w:r>
      <w:r w:rsidRPr="00F720A6">
        <w:rPr>
          <w:lang w:val="fr-FR"/>
        </w:rPr>
        <w:t>urgence et assistance renforcée en fonction des besoins ;</w:t>
      </w:r>
    </w:p>
    <w:p w14:paraId="2681FE43" w14:textId="77777777" w:rsidR="003C48D6" w:rsidRPr="00F720A6" w:rsidRDefault="003C48D6" w:rsidP="00E54B27">
      <w:pPr>
        <w:pStyle w:val="Bullet1G"/>
        <w:rPr>
          <w:lang w:val="fr-FR"/>
        </w:rPr>
      </w:pPr>
      <w:r w:rsidRPr="00F720A6">
        <w:rPr>
          <w:lang w:val="fr-FR"/>
        </w:rPr>
        <w:t>Surmonter le stress et les traumatismes, créer des habitudes, améliorer les compétences en lecture, pensée positive, connaissance élémentaire des problèmes de développement des adolescents, relations affectives et relations avec les pairs, dangers des maladies sexuellement transmissibles et des grossesses non désirées.</w:t>
      </w:r>
    </w:p>
    <w:p w14:paraId="6404078F" w14:textId="77777777" w:rsidR="003C48D6" w:rsidRPr="00F720A6" w:rsidRDefault="003C48D6" w:rsidP="00E54B27">
      <w:pPr>
        <w:pStyle w:val="H23G"/>
        <w:rPr>
          <w:lang w:val="fr-FR"/>
        </w:rPr>
      </w:pPr>
      <w:r w:rsidRPr="00F720A6">
        <w:rPr>
          <w:lang w:val="fr-FR"/>
        </w:rPr>
        <w:tab/>
        <w:t>e)</w:t>
      </w:r>
      <w:r w:rsidRPr="00F720A6">
        <w:rPr>
          <w:lang w:val="fr-FR"/>
        </w:rPr>
        <w:tab/>
        <w:t>Enfants en conflit avec la loi, enfants victimes ou témoins d</w:t>
      </w:r>
      <w:r w:rsidR="00254912">
        <w:rPr>
          <w:lang w:val="fr-FR"/>
        </w:rPr>
        <w:t>’</w:t>
      </w:r>
      <w:r w:rsidRPr="00F720A6">
        <w:rPr>
          <w:lang w:val="fr-FR"/>
        </w:rPr>
        <w:t>infractions pénales</w:t>
      </w:r>
      <w:bookmarkStart w:id="86" w:name="_Toc56781484"/>
      <w:bookmarkEnd w:id="86"/>
    </w:p>
    <w:p w14:paraId="09A2F423" w14:textId="77777777" w:rsidR="003C48D6" w:rsidRPr="00F720A6" w:rsidRDefault="003C48D6" w:rsidP="00E54B27">
      <w:pPr>
        <w:pStyle w:val="SingleTxtG"/>
        <w:rPr>
          <w:lang w:val="fr-FR"/>
        </w:rPr>
      </w:pPr>
      <w:r w:rsidRPr="00F720A6">
        <w:rPr>
          <w:lang w:val="fr-FR"/>
        </w:rPr>
        <w:t>201.</w:t>
      </w:r>
      <w:r w:rsidRPr="00F720A6">
        <w:rPr>
          <w:lang w:val="fr-FR"/>
        </w:rPr>
        <w:tab/>
        <w:t>Selon la loi sur la justice pour les enfants</w:t>
      </w:r>
      <w:r w:rsidRPr="002A465A">
        <w:rPr>
          <w:rStyle w:val="Appelnotedebasdep"/>
        </w:rPr>
        <w:footnoteReference w:id="54"/>
      </w:r>
      <w:r w:rsidRPr="00F720A6">
        <w:rPr>
          <w:lang w:val="fr-FR"/>
        </w:rPr>
        <w:t>, un enfant en conflit avec la loi, âgé de 14 à 16 ans, est un enfant qui, au moment de la commission du délit défini comme une infraction pénale pour laquelle une peine de prison de plus de trois ans est prévue, avait atteint l</w:t>
      </w:r>
      <w:r w:rsidR="00254912">
        <w:rPr>
          <w:lang w:val="fr-FR"/>
        </w:rPr>
        <w:t>’</w:t>
      </w:r>
      <w:r w:rsidRPr="00F720A6">
        <w:rPr>
          <w:lang w:val="fr-FR"/>
        </w:rPr>
        <w:t>âge de 14 ans et n</w:t>
      </w:r>
      <w:r w:rsidR="00254912">
        <w:rPr>
          <w:lang w:val="fr-FR"/>
        </w:rPr>
        <w:t>’</w:t>
      </w:r>
      <w:r w:rsidRPr="00F720A6">
        <w:rPr>
          <w:lang w:val="fr-FR"/>
        </w:rPr>
        <w:t xml:space="preserve">avait toujours pas 16 ans. </w:t>
      </w:r>
    </w:p>
    <w:p w14:paraId="4B7C8781" w14:textId="77777777" w:rsidR="003C48D6" w:rsidRPr="00F720A6" w:rsidRDefault="003C48D6" w:rsidP="00E54B27">
      <w:pPr>
        <w:pStyle w:val="SingleTxtG"/>
        <w:rPr>
          <w:lang w:val="fr-FR"/>
        </w:rPr>
      </w:pPr>
      <w:r w:rsidRPr="00F720A6">
        <w:rPr>
          <w:lang w:val="fr-FR"/>
        </w:rPr>
        <w:t>202.</w:t>
      </w:r>
      <w:r w:rsidRPr="00F720A6">
        <w:rPr>
          <w:lang w:val="fr-FR"/>
        </w:rPr>
        <w:tab/>
        <w:t>Un enfant en conflit avec la loi âgé de plus de 16 ans est un enfant qui, au moment de la commission du délit défini comme une infraction pénale pour laquelle une peine de prison de plus de trois ans est prévue, avait atteint l</w:t>
      </w:r>
      <w:r w:rsidR="00254912">
        <w:rPr>
          <w:lang w:val="fr-FR"/>
        </w:rPr>
        <w:t>’</w:t>
      </w:r>
      <w:r w:rsidRPr="00F720A6">
        <w:rPr>
          <w:lang w:val="fr-FR"/>
        </w:rPr>
        <w:t>âge de 16 ans et n</w:t>
      </w:r>
      <w:r w:rsidR="00254912">
        <w:rPr>
          <w:lang w:val="fr-FR"/>
        </w:rPr>
        <w:t>’</w:t>
      </w:r>
      <w:r w:rsidRPr="00F720A6">
        <w:rPr>
          <w:lang w:val="fr-FR"/>
        </w:rPr>
        <w:t>avait toujours pas 18 ans.</w:t>
      </w:r>
    </w:p>
    <w:p w14:paraId="036740D3" w14:textId="77777777" w:rsidR="003C48D6" w:rsidRPr="00F720A6" w:rsidRDefault="003C48D6" w:rsidP="00E54B27">
      <w:pPr>
        <w:pStyle w:val="SingleTxtG"/>
        <w:rPr>
          <w:lang w:val="fr-FR"/>
        </w:rPr>
      </w:pPr>
      <w:r w:rsidRPr="00F720A6">
        <w:rPr>
          <w:lang w:val="fr-FR"/>
        </w:rPr>
        <w:t>203.</w:t>
      </w:r>
      <w:r w:rsidRPr="00F720A6">
        <w:rPr>
          <w:lang w:val="fr-FR"/>
        </w:rPr>
        <w:tab/>
        <w:t>En vertu de la loi sur la justice pour les enfants, un enfant âgé de 14 à 16 ans ne peut se voir infliger que des mesures correctionnelles pour un acte considéré par la loi comme une infraction pénale : réprimande judiciaire ou placement dans un centre spécialisé pour enfants ; surveillance renforcée par les parents, les tuteurs, la famille d</w:t>
      </w:r>
      <w:r w:rsidR="00254912">
        <w:rPr>
          <w:lang w:val="fr-FR"/>
        </w:rPr>
        <w:t>’</w:t>
      </w:r>
      <w:r w:rsidRPr="00F720A6">
        <w:rPr>
          <w:lang w:val="fr-FR"/>
        </w:rPr>
        <w:t>accueil ou par le centre local d</w:t>
      </w:r>
      <w:r w:rsidR="00254912">
        <w:rPr>
          <w:lang w:val="fr-FR"/>
        </w:rPr>
        <w:t>’</w:t>
      </w:r>
      <w:r w:rsidRPr="00F720A6">
        <w:rPr>
          <w:lang w:val="fr-FR"/>
        </w:rPr>
        <w:t>aide sociale ; et mesures institutionnelles, telles que l</w:t>
      </w:r>
      <w:r w:rsidR="00254912">
        <w:rPr>
          <w:lang w:val="fr-FR"/>
        </w:rPr>
        <w:t>’</w:t>
      </w:r>
      <w:r w:rsidRPr="00F720A6">
        <w:rPr>
          <w:lang w:val="fr-FR"/>
        </w:rPr>
        <w:t>orientation vers un établissement d</w:t>
      </w:r>
      <w:r w:rsidR="00254912">
        <w:rPr>
          <w:lang w:val="fr-FR"/>
        </w:rPr>
        <w:t>’</w:t>
      </w:r>
      <w:r w:rsidRPr="00F720A6">
        <w:rPr>
          <w:lang w:val="fr-FR"/>
        </w:rPr>
        <w:t>enseignement spécialisé ou un établissement correctionnel pour les jeunes.</w:t>
      </w:r>
    </w:p>
    <w:p w14:paraId="2B2E93C7" w14:textId="77777777" w:rsidR="003C48D6" w:rsidRPr="00F720A6" w:rsidRDefault="003C48D6" w:rsidP="00E54B27">
      <w:pPr>
        <w:pStyle w:val="SingleTxtG"/>
        <w:rPr>
          <w:lang w:val="fr-FR"/>
        </w:rPr>
      </w:pPr>
      <w:r w:rsidRPr="00F720A6">
        <w:rPr>
          <w:lang w:val="fr-FR"/>
        </w:rPr>
        <w:t>204.</w:t>
      </w:r>
      <w:r w:rsidRPr="00F720A6">
        <w:rPr>
          <w:lang w:val="fr-FR"/>
        </w:rPr>
        <w:tab/>
        <w:t xml:space="preserve">Un enfant âgé de 16 à 18 ans peut se voir infliger des mesures correctionnelles pour des actes considérés par la loi comme des infractions pénales et, exceptionnellement, une sentence punitive ou une mesure de substitution. </w:t>
      </w:r>
    </w:p>
    <w:p w14:paraId="34E80AD1" w14:textId="77777777" w:rsidR="003C48D6" w:rsidRPr="00F720A6" w:rsidRDefault="003C48D6" w:rsidP="00E54B27">
      <w:pPr>
        <w:pStyle w:val="SingleTxtG"/>
        <w:rPr>
          <w:lang w:val="fr-FR"/>
        </w:rPr>
      </w:pPr>
      <w:r w:rsidRPr="00F720A6">
        <w:rPr>
          <w:lang w:val="fr-FR"/>
        </w:rPr>
        <w:t>205.</w:t>
      </w:r>
      <w:r w:rsidRPr="00F720A6">
        <w:rPr>
          <w:lang w:val="fr-FR"/>
        </w:rPr>
        <w:tab/>
        <w:t>Un enfant de plus de 16 ans peut être condamné : à la prison pour enfants ; à une amende ; à l</w:t>
      </w:r>
      <w:r w:rsidR="00254912">
        <w:rPr>
          <w:lang w:val="fr-FR"/>
        </w:rPr>
        <w:t>’</w:t>
      </w:r>
      <w:r w:rsidRPr="00F720A6">
        <w:rPr>
          <w:lang w:val="fr-FR"/>
        </w:rPr>
        <w:t>interdiction de conduire un véhicule à moteur d</w:t>
      </w:r>
      <w:r w:rsidR="00254912">
        <w:rPr>
          <w:lang w:val="fr-FR"/>
        </w:rPr>
        <w:t>’</w:t>
      </w:r>
      <w:r w:rsidRPr="00F720A6">
        <w:rPr>
          <w:lang w:val="fr-FR"/>
        </w:rPr>
        <w:t>un certain type ou d</w:t>
      </w:r>
      <w:r w:rsidR="00254912">
        <w:rPr>
          <w:lang w:val="fr-FR"/>
        </w:rPr>
        <w:t>’</w:t>
      </w:r>
      <w:r w:rsidRPr="00F720A6">
        <w:rPr>
          <w:lang w:val="fr-FR"/>
        </w:rPr>
        <w:t>une certaine catégorie ; à l</w:t>
      </w:r>
      <w:r w:rsidR="00254912">
        <w:rPr>
          <w:lang w:val="fr-FR"/>
        </w:rPr>
        <w:t>’</w:t>
      </w:r>
      <w:r w:rsidRPr="00F720A6">
        <w:rPr>
          <w:lang w:val="fr-FR"/>
        </w:rPr>
        <w:t>expulsion du pays s</w:t>
      </w:r>
      <w:r w:rsidR="00254912">
        <w:rPr>
          <w:lang w:val="fr-FR"/>
        </w:rPr>
        <w:t>’</w:t>
      </w:r>
      <w:r w:rsidRPr="00F720A6">
        <w:rPr>
          <w:lang w:val="fr-FR"/>
        </w:rPr>
        <w:t>il est étranger. Un enfant de plus de 16 ans et pénalement responsable peut être puni si, en raison des graves conséquences de son infraction et du degré élevé de responsabilité pénale, il ne serait pas justifié de lui infliger une mesure éducative ou correctionnelle.</w:t>
      </w:r>
    </w:p>
    <w:p w14:paraId="44F3BF61" w14:textId="77777777" w:rsidR="003C48D6" w:rsidRPr="00F720A6" w:rsidRDefault="003C48D6" w:rsidP="00E54B27">
      <w:pPr>
        <w:pStyle w:val="SingleTxtG"/>
        <w:rPr>
          <w:lang w:val="fr-FR"/>
        </w:rPr>
      </w:pPr>
      <w:r w:rsidRPr="00F720A6">
        <w:rPr>
          <w:lang w:val="fr-FR"/>
        </w:rPr>
        <w:t>206.</w:t>
      </w:r>
      <w:r w:rsidRPr="00F720A6">
        <w:rPr>
          <w:lang w:val="fr-FR"/>
        </w:rPr>
        <w:tab/>
        <w:t>Une peine d</w:t>
      </w:r>
      <w:r w:rsidR="00254912">
        <w:rPr>
          <w:lang w:val="fr-FR"/>
        </w:rPr>
        <w:t>’</w:t>
      </w:r>
      <w:r w:rsidRPr="00F720A6">
        <w:rPr>
          <w:lang w:val="fr-FR"/>
        </w:rPr>
        <w:t>emprisonnement ne peut être infligée à titre de sanction qu</w:t>
      </w:r>
      <w:r w:rsidR="00254912">
        <w:rPr>
          <w:lang w:val="fr-FR"/>
        </w:rPr>
        <w:t>’</w:t>
      </w:r>
      <w:r w:rsidRPr="00F720A6">
        <w:rPr>
          <w:lang w:val="fr-FR"/>
        </w:rPr>
        <w:t>à un enfant pénalement responsable, âgé de 16 ans et plus, qui a commis un acte défini par la loi comme une infraction pénale pour laquelle une peine d</w:t>
      </w:r>
      <w:r w:rsidR="00254912">
        <w:rPr>
          <w:lang w:val="fr-FR"/>
        </w:rPr>
        <w:t>’</w:t>
      </w:r>
      <w:r w:rsidRPr="00F720A6">
        <w:rPr>
          <w:lang w:val="fr-FR"/>
        </w:rPr>
        <w:t xml:space="preserve">emprisonnement de cinq ans ou plus est </w:t>
      </w:r>
      <w:r w:rsidRPr="00F720A6">
        <w:rPr>
          <w:lang w:val="fr-FR"/>
        </w:rPr>
        <w:lastRenderedPageBreak/>
        <w:t>prescrite ; dans des circonstances particulièrement aggravantes et avec un degré élevé de responsabilité pénale de l</w:t>
      </w:r>
      <w:r w:rsidR="00254912">
        <w:rPr>
          <w:lang w:val="fr-FR"/>
        </w:rPr>
        <w:t>’</w:t>
      </w:r>
      <w:r w:rsidRPr="00F720A6">
        <w:rPr>
          <w:lang w:val="fr-FR"/>
        </w:rPr>
        <w:t>auteur, à condition qu</w:t>
      </w:r>
      <w:r w:rsidR="00254912">
        <w:rPr>
          <w:lang w:val="fr-FR"/>
        </w:rPr>
        <w:t>’</w:t>
      </w:r>
      <w:r w:rsidRPr="00F720A6">
        <w:rPr>
          <w:lang w:val="fr-FR"/>
        </w:rPr>
        <w:t xml:space="preserve">il ne soit pas justifié de prononcer une mesure correctionnelle. La peine de prison ne peut être inférieure à un an ni supérieure à </w:t>
      </w:r>
      <w:r w:rsidR="003A2641">
        <w:rPr>
          <w:lang w:val="fr-FR"/>
        </w:rPr>
        <w:t>dix </w:t>
      </w:r>
      <w:r w:rsidRPr="00F720A6">
        <w:rPr>
          <w:lang w:val="fr-FR"/>
        </w:rPr>
        <w:t>ans.</w:t>
      </w:r>
    </w:p>
    <w:p w14:paraId="5601C2B4" w14:textId="77777777" w:rsidR="003C48D6" w:rsidRPr="00F720A6" w:rsidRDefault="003C48D6" w:rsidP="00E54B27">
      <w:pPr>
        <w:pStyle w:val="SingleTxtG"/>
        <w:rPr>
          <w:lang w:val="fr-FR"/>
        </w:rPr>
      </w:pPr>
      <w:r w:rsidRPr="00F720A6">
        <w:rPr>
          <w:lang w:val="fr-FR"/>
        </w:rPr>
        <w:t>207.</w:t>
      </w:r>
      <w:r w:rsidRPr="00F720A6">
        <w:rPr>
          <w:lang w:val="fr-FR"/>
        </w:rPr>
        <w:tab/>
        <w:t>Les mesures de remplacement pour l</w:t>
      </w:r>
      <w:r w:rsidR="00254912">
        <w:rPr>
          <w:lang w:val="fr-FR"/>
        </w:rPr>
        <w:t>’</w:t>
      </w:r>
      <w:r w:rsidRPr="00F720A6">
        <w:rPr>
          <w:lang w:val="fr-FR"/>
        </w:rPr>
        <w:t>enfant auteur susmentionné prennent la forme d</w:t>
      </w:r>
      <w:r w:rsidR="00254912">
        <w:rPr>
          <w:lang w:val="fr-FR"/>
        </w:rPr>
        <w:t>’</w:t>
      </w:r>
      <w:r w:rsidRPr="00F720A6">
        <w:rPr>
          <w:lang w:val="fr-FR"/>
        </w:rPr>
        <w:t>une condamnation avec sursis assortie d</w:t>
      </w:r>
      <w:r w:rsidR="00254912">
        <w:rPr>
          <w:lang w:val="fr-FR"/>
        </w:rPr>
        <w:t>’</w:t>
      </w:r>
      <w:r w:rsidRPr="00F720A6">
        <w:rPr>
          <w:lang w:val="fr-FR"/>
        </w:rPr>
        <w:t>un contrôle à visée de protection ;</w:t>
      </w:r>
      <w:r w:rsidRPr="00F720A6">
        <w:rPr>
          <w:color w:val="333333"/>
          <w:shd w:val="clear" w:color="auto" w:fill="FFFFFF"/>
          <w:lang w:val="fr-FR"/>
        </w:rPr>
        <w:t xml:space="preserve"> d</w:t>
      </w:r>
      <w:r w:rsidR="00254912">
        <w:rPr>
          <w:color w:val="333333"/>
          <w:shd w:val="clear" w:color="auto" w:fill="FFFFFF"/>
          <w:lang w:val="fr-FR"/>
        </w:rPr>
        <w:t>’</w:t>
      </w:r>
      <w:r w:rsidRPr="00F720A6">
        <w:rPr>
          <w:color w:val="333333"/>
          <w:shd w:val="clear" w:color="auto" w:fill="FFFFFF"/>
          <w:lang w:val="fr-FR"/>
        </w:rPr>
        <w:t>une cessation conditionnelle de la procédure à son encontre </w:t>
      </w:r>
      <w:r w:rsidRPr="00F720A6">
        <w:rPr>
          <w:lang w:val="fr-FR"/>
        </w:rPr>
        <w:t>; ou d</w:t>
      </w:r>
      <w:r w:rsidR="00254912">
        <w:rPr>
          <w:lang w:val="fr-FR"/>
        </w:rPr>
        <w:t>’</w:t>
      </w:r>
      <w:r w:rsidRPr="00F720A6">
        <w:rPr>
          <w:lang w:val="fr-FR"/>
        </w:rPr>
        <w:t>un travail d</w:t>
      </w:r>
      <w:r w:rsidR="00254912">
        <w:rPr>
          <w:lang w:val="fr-FR"/>
        </w:rPr>
        <w:t>’</w:t>
      </w:r>
      <w:r w:rsidRPr="00F720A6">
        <w:rPr>
          <w:lang w:val="fr-FR"/>
        </w:rPr>
        <w:t>intérêt général.</w:t>
      </w:r>
    </w:p>
    <w:p w14:paraId="1C9764C2" w14:textId="77777777" w:rsidR="003C48D6" w:rsidRPr="00F720A6" w:rsidRDefault="003C48D6" w:rsidP="00E54B27">
      <w:pPr>
        <w:pStyle w:val="SingleTxtG"/>
        <w:rPr>
          <w:lang w:val="fr-FR"/>
        </w:rPr>
      </w:pPr>
      <w:r w:rsidRPr="00F720A6">
        <w:rPr>
          <w:lang w:val="fr-FR"/>
        </w:rPr>
        <w:t>208.</w:t>
      </w:r>
      <w:r w:rsidRPr="00F720A6">
        <w:rPr>
          <w:lang w:val="fr-FR"/>
        </w:rPr>
        <w:tab/>
        <w:t>La mise en œuvre de la loi sur la justice pour mineurs est suivie au moyen d</w:t>
      </w:r>
      <w:r w:rsidR="00254912">
        <w:rPr>
          <w:lang w:val="fr-FR"/>
        </w:rPr>
        <w:t>’</w:t>
      </w:r>
      <w:r w:rsidRPr="00F720A6">
        <w:rPr>
          <w:lang w:val="fr-FR"/>
        </w:rPr>
        <w:t>indicateurs élaborés avec l</w:t>
      </w:r>
      <w:r w:rsidR="00254912">
        <w:rPr>
          <w:lang w:val="fr-FR"/>
        </w:rPr>
        <w:t>’</w:t>
      </w:r>
      <w:r w:rsidRPr="00F720A6">
        <w:rPr>
          <w:lang w:val="fr-FR"/>
        </w:rPr>
        <w:t>aide de l</w:t>
      </w:r>
      <w:r w:rsidR="00254912">
        <w:rPr>
          <w:lang w:val="fr-FR"/>
        </w:rPr>
        <w:t>’</w:t>
      </w:r>
      <w:r w:rsidRPr="00F720A6">
        <w:rPr>
          <w:lang w:val="fr-FR"/>
        </w:rPr>
        <w:t>UNICEF (pour la sixième année consécutive). Ces</w:t>
      </w:r>
      <w:r w:rsidR="00FA230E">
        <w:rPr>
          <w:lang w:val="fr-FR"/>
        </w:rPr>
        <w:t> </w:t>
      </w:r>
      <w:r w:rsidRPr="00F720A6">
        <w:rPr>
          <w:lang w:val="fr-FR"/>
        </w:rPr>
        <w:t>indicateurs démontrent la réalité de l</w:t>
      </w:r>
      <w:r w:rsidR="00254912">
        <w:rPr>
          <w:lang w:val="fr-FR"/>
        </w:rPr>
        <w:t>’</w:t>
      </w:r>
      <w:r w:rsidRPr="00F720A6">
        <w:rPr>
          <w:lang w:val="fr-FR"/>
        </w:rPr>
        <w:t xml:space="preserve">exercice des droits des enfants dans le système de justice pour mineurs et constituent le fondement de leur future mise en valeur. </w:t>
      </w:r>
    </w:p>
    <w:p w14:paraId="7701397E" w14:textId="77777777" w:rsidR="003C48D6" w:rsidRPr="00F720A6" w:rsidRDefault="003C48D6" w:rsidP="00E54B27">
      <w:pPr>
        <w:pStyle w:val="SingleTxtG"/>
        <w:rPr>
          <w:lang w:val="fr-FR"/>
        </w:rPr>
      </w:pPr>
      <w:r w:rsidRPr="00F720A6">
        <w:rPr>
          <w:lang w:val="fr-FR"/>
        </w:rPr>
        <w:t>209.</w:t>
      </w:r>
      <w:r w:rsidRPr="00F720A6">
        <w:rPr>
          <w:lang w:val="fr-FR"/>
        </w:rPr>
        <w:tab/>
        <w:t>L</w:t>
      </w:r>
      <w:r w:rsidR="00254912">
        <w:rPr>
          <w:lang w:val="fr-FR"/>
        </w:rPr>
        <w:t>’</w:t>
      </w:r>
      <w:r w:rsidRPr="00F720A6">
        <w:rPr>
          <w:lang w:val="fr-FR"/>
        </w:rPr>
        <w:t>organisation du système judiciaire de l</w:t>
      </w:r>
      <w:r w:rsidR="00254912">
        <w:rPr>
          <w:lang w:val="fr-FR"/>
        </w:rPr>
        <w:t>’</w:t>
      </w:r>
      <w:r w:rsidRPr="00F720A6">
        <w:rPr>
          <w:lang w:val="fr-FR"/>
        </w:rPr>
        <w:t>État ne prévoit pas l</w:t>
      </w:r>
      <w:r w:rsidR="00254912">
        <w:rPr>
          <w:lang w:val="fr-FR"/>
        </w:rPr>
        <w:t>’</w:t>
      </w:r>
      <w:r w:rsidRPr="00F720A6">
        <w:rPr>
          <w:lang w:val="fr-FR"/>
        </w:rPr>
        <w:t>existence de tribunaux spécialisés pour les enfants. Dans les procédures judiciaires contre les enfants, les décisions sont prises par des juges pour enfants, par des commissions pour enfants, et par les membres des services judiciaires spécialisés pour les enfants, qui ont été créés dans les tribunaux ordinaires et investis de larges compétences. Ces personnes suivent, au moins cinq jours par</w:t>
      </w:r>
      <w:r w:rsidR="00FA230E">
        <w:rPr>
          <w:lang w:val="fr-FR"/>
        </w:rPr>
        <w:t> </w:t>
      </w:r>
      <w:r w:rsidRPr="00F720A6">
        <w:rPr>
          <w:lang w:val="fr-FR"/>
        </w:rPr>
        <w:t>an, une formation spécifique dans le domaine de la justice pour les enfants ou adolescents, dans le pays ou à l</w:t>
      </w:r>
      <w:r w:rsidR="00254912">
        <w:rPr>
          <w:lang w:val="fr-FR"/>
        </w:rPr>
        <w:t>’</w:t>
      </w:r>
      <w:r w:rsidRPr="00F720A6">
        <w:rPr>
          <w:lang w:val="fr-FR"/>
        </w:rPr>
        <w:t>étranger.</w:t>
      </w:r>
    </w:p>
    <w:p w14:paraId="0507A0DF" w14:textId="77777777" w:rsidR="003C48D6" w:rsidRPr="00F720A6" w:rsidRDefault="003C48D6" w:rsidP="00E54B27">
      <w:pPr>
        <w:pStyle w:val="SingleTxtG"/>
        <w:rPr>
          <w:lang w:val="fr-FR"/>
        </w:rPr>
      </w:pPr>
      <w:r w:rsidRPr="00F720A6">
        <w:rPr>
          <w:lang w:val="fr-FR"/>
        </w:rPr>
        <w:t>210.</w:t>
      </w:r>
      <w:r w:rsidRPr="00F720A6">
        <w:rPr>
          <w:lang w:val="fr-FR"/>
        </w:rPr>
        <w:tab/>
        <w:t>Les limites de la responsabilité pénale des enfants sont régies par les articles 20 à 23 de la loi. Un enfant qui, au moment où il a commis un acte défini par la loi comme une infraction pénale ou un délit, n</w:t>
      </w:r>
      <w:r w:rsidR="00254912">
        <w:rPr>
          <w:lang w:val="fr-FR"/>
        </w:rPr>
        <w:t>’</w:t>
      </w:r>
      <w:r w:rsidRPr="00F720A6">
        <w:rPr>
          <w:lang w:val="fr-FR"/>
        </w:rPr>
        <w:t>avait pas atteint l</w:t>
      </w:r>
      <w:r w:rsidR="00254912">
        <w:rPr>
          <w:lang w:val="fr-FR"/>
        </w:rPr>
        <w:t>’</w:t>
      </w:r>
      <w:r w:rsidRPr="00F720A6">
        <w:rPr>
          <w:lang w:val="fr-FR"/>
        </w:rPr>
        <w:t>âge de 14 ans, ne peut se voir infliger une sanction déterminée par ladite loi. Les mesures légales d</w:t>
      </w:r>
      <w:r w:rsidR="00254912">
        <w:rPr>
          <w:lang w:val="fr-FR"/>
        </w:rPr>
        <w:t>’</w:t>
      </w:r>
      <w:r w:rsidRPr="00F720A6">
        <w:rPr>
          <w:lang w:val="fr-FR"/>
        </w:rPr>
        <w:t>assistance et de protection qui présentent un intérêt pour l</w:t>
      </w:r>
      <w:r w:rsidR="00254912">
        <w:rPr>
          <w:lang w:val="fr-FR"/>
        </w:rPr>
        <w:t>’</w:t>
      </w:r>
      <w:r w:rsidRPr="00F720A6">
        <w:rPr>
          <w:lang w:val="fr-FR"/>
        </w:rPr>
        <w:t>enfant, son éducation et son développement sont appliquées pour un enfant à risque jusqu</w:t>
      </w:r>
      <w:r w:rsidR="00254912">
        <w:rPr>
          <w:lang w:val="fr-FR"/>
        </w:rPr>
        <w:t>’</w:t>
      </w:r>
      <w:r w:rsidRPr="00F720A6">
        <w:rPr>
          <w:lang w:val="fr-FR"/>
        </w:rPr>
        <w:t>à l</w:t>
      </w:r>
      <w:r w:rsidR="00254912">
        <w:rPr>
          <w:lang w:val="fr-FR"/>
        </w:rPr>
        <w:t>’</w:t>
      </w:r>
      <w:r w:rsidRPr="00F720A6">
        <w:rPr>
          <w:lang w:val="fr-FR"/>
        </w:rPr>
        <w:t>âge de 14 ans et pour un enfant à risque de plus de 14 ans.</w:t>
      </w:r>
    </w:p>
    <w:p w14:paraId="10B33580" w14:textId="77777777" w:rsidR="003C48D6" w:rsidRPr="00F720A6" w:rsidRDefault="003C48D6" w:rsidP="00E54B27">
      <w:pPr>
        <w:pStyle w:val="SingleTxtG"/>
        <w:rPr>
          <w:lang w:val="fr-FR"/>
        </w:rPr>
      </w:pPr>
      <w:r w:rsidRPr="00F720A6">
        <w:rPr>
          <w:lang w:val="fr-FR"/>
        </w:rPr>
        <w:t>211.</w:t>
      </w:r>
      <w:r w:rsidRPr="00F720A6">
        <w:rPr>
          <w:lang w:val="fr-FR"/>
        </w:rPr>
        <w:tab/>
        <w:t>Avec le soutien de l</w:t>
      </w:r>
      <w:r w:rsidR="00254912">
        <w:rPr>
          <w:lang w:val="fr-FR"/>
        </w:rPr>
        <w:t>’</w:t>
      </w:r>
      <w:r w:rsidRPr="00F720A6">
        <w:rPr>
          <w:lang w:val="fr-FR"/>
        </w:rPr>
        <w:t>UNICEF, des programmes de formation pour la mise en œuvre de cette loi ont été adoptés dans le souci de l</w:t>
      </w:r>
      <w:r w:rsidR="00254912">
        <w:rPr>
          <w:lang w:val="fr-FR"/>
        </w:rPr>
        <w:t>’</w:t>
      </w:r>
      <w:r w:rsidRPr="00F720A6">
        <w:rPr>
          <w:lang w:val="fr-FR"/>
        </w:rPr>
        <w:t>intérêt supérieur de l</w:t>
      </w:r>
      <w:r w:rsidR="00254912">
        <w:rPr>
          <w:lang w:val="fr-FR"/>
        </w:rPr>
        <w:t>’</w:t>
      </w:r>
      <w:r w:rsidRPr="00F720A6">
        <w:rPr>
          <w:lang w:val="fr-FR"/>
        </w:rPr>
        <w:t>enfant comme objectif principal de la loi, ainsi que des lignes directrices pour la prise en charge des enfants victimes de violence.</w:t>
      </w:r>
    </w:p>
    <w:p w14:paraId="4618229A" w14:textId="77777777" w:rsidR="003C48D6" w:rsidRPr="00F720A6" w:rsidRDefault="003C48D6" w:rsidP="00E54B27">
      <w:pPr>
        <w:pStyle w:val="SingleTxtG"/>
        <w:rPr>
          <w:lang w:val="fr-FR"/>
        </w:rPr>
      </w:pPr>
      <w:r w:rsidRPr="00F720A6">
        <w:rPr>
          <w:lang w:val="fr-FR"/>
        </w:rPr>
        <w:t>212.</w:t>
      </w:r>
      <w:r w:rsidRPr="00F720A6">
        <w:rPr>
          <w:lang w:val="fr-FR"/>
        </w:rPr>
        <w:tab/>
        <w:t>Un Conseil pour la prévention de la délinquance juvénile a été créé au niveau de l</w:t>
      </w:r>
      <w:r w:rsidR="00254912">
        <w:rPr>
          <w:lang w:val="fr-FR"/>
        </w:rPr>
        <w:t>’</w:t>
      </w:r>
      <w:r w:rsidRPr="00F720A6">
        <w:rPr>
          <w:lang w:val="fr-FR"/>
        </w:rPr>
        <w:t>État, en 2009. Il comprend 15 membres. Ce Conseil a adopté la Stratégie nationale de prévention de la délinquance juvénile. Chaque année, il prépare un rapport annuel contenant une analyse du degré de mise en œuvre de la loi sur la justice pour les mineurs, à partir des indicateurs utilisés pour le suivi de ladite loi.</w:t>
      </w:r>
    </w:p>
    <w:p w14:paraId="26F44324" w14:textId="77777777" w:rsidR="003C48D6" w:rsidRPr="00F720A6" w:rsidRDefault="003C48D6" w:rsidP="00E54B27">
      <w:pPr>
        <w:pStyle w:val="SingleTxtG"/>
        <w:rPr>
          <w:lang w:val="fr-FR"/>
        </w:rPr>
      </w:pPr>
      <w:r w:rsidRPr="00F720A6">
        <w:rPr>
          <w:lang w:val="fr-FR"/>
        </w:rPr>
        <w:t>213.</w:t>
      </w:r>
      <w:r w:rsidRPr="00F720A6">
        <w:rPr>
          <w:lang w:val="fr-FR"/>
        </w:rPr>
        <w:tab/>
        <w:t>Les principes de l</w:t>
      </w:r>
      <w:r w:rsidR="00254912">
        <w:rPr>
          <w:lang w:val="fr-FR"/>
        </w:rPr>
        <w:t>’</w:t>
      </w:r>
      <w:r w:rsidRPr="00F720A6">
        <w:rPr>
          <w:lang w:val="fr-FR"/>
        </w:rPr>
        <w:t>intérêt supérieur de l</w:t>
      </w:r>
      <w:r w:rsidR="00254912">
        <w:rPr>
          <w:lang w:val="fr-FR"/>
        </w:rPr>
        <w:t>’</w:t>
      </w:r>
      <w:r w:rsidRPr="00F720A6">
        <w:rPr>
          <w:lang w:val="fr-FR"/>
        </w:rPr>
        <w:t>enfant, du respect de son opinion, sur le droit d</w:t>
      </w:r>
      <w:r w:rsidR="00254912">
        <w:rPr>
          <w:lang w:val="fr-FR"/>
        </w:rPr>
        <w:t>’</w:t>
      </w:r>
      <w:r w:rsidRPr="00F720A6">
        <w:rPr>
          <w:lang w:val="fr-FR"/>
        </w:rPr>
        <w:t>être entendu et de ses intérêts qui doivent être considérés comme primordiaux, sont dûment intégrés dans la loi. La loi a les objectifs suivants : mise en application des intérêts prioritaires et de la protection des enfants contre la criminalité, contre la violence ou toute forme de mise en danger de leurs libertés et leurs droits, et pour leur bon développement ; protection des enfants délinquants contre la récidive, socialisation, éducation et réintégration de ces enfants ; l</w:t>
      </w:r>
      <w:r w:rsidR="00254912">
        <w:rPr>
          <w:lang w:val="fr-FR"/>
        </w:rPr>
        <w:t>’</w:t>
      </w:r>
      <w:r w:rsidRPr="00F720A6">
        <w:rPr>
          <w:lang w:val="fr-FR"/>
        </w:rPr>
        <w:t>assistance et les soins aux enfants ainsi que la protection de leurs libertés et de leurs droits sont garantis par la Constitution, la Convention relative aux droits de l</w:t>
      </w:r>
      <w:r w:rsidR="00254912">
        <w:rPr>
          <w:lang w:val="fr-FR"/>
        </w:rPr>
        <w:t>’</w:t>
      </w:r>
      <w:r w:rsidRPr="00F720A6">
        <w:rPr>
          <w:lang w:val="fr-FR"/>
        </w:rPr>
        <w:t>enfant et d</w:t>
      </w:r>
      <w:r w:rsidR="00254912">
        <w:rPr>
          <w:lang w:val="fr-FR"/>
        </w:rPr>
        <w:t>’</w:t>
      </w:r>
      <w:r w:rsidRPr="00F720A6">
        <w:rPr>
          <w:lang w:val="fr-FR"/>
        </w:rPr>
        <w:t>autres accords internationaux ratifiés relativement au statut des enfants.</w:t>
      </w:r>
    </w:p>
    <w:p w14:paraId="03C083B7" w14:textId="77777777" w:rsidR="003C48D6" w:rsidRPr="00F720A6" w:rsidRDefault="003C48D6" w:rsidP="00E54B27">
      <w:pPr>
        <w:pStyle w:val="SingleTxtG"/>
        <w:rPr>
          <w:lang w:val="fr-FR"/>
        </w:rPr>
      </w:pPr>
      <w:r w:rsidRPr="00F720A6">
        <w:rPr>
          <w:lang w:val="fr-FR"/>
        </w:rPr>
        <w:t>214.</w:t>
      </w:r>
      <w:r w:rsidRPr="00F720A6">
        <w:rPr>
          <w:lang w:val="fr-FR"/>
        </w:rPr>
        <w:tab/>
        <w:t>Conformément au paragraphe 1 de l</w:t>
      </w:r>
      <w:r w:rsidR="00254912">
        <w:rPr>
          <w:lang w:val="fr-FR"/>
        </w:rPr>
        <w:t>’</w:t>
      </w:r>
      <w:r w:rsidRPr="00F720A6">
        <w:rPr>
          <w:lang w:val="fr-FR"/>
        </w:rPr>
        <w:t>article 4 de cette loi : l</w:t>
      </w:r>
      <w:r w:rsidR="00254912">
        <w:rPr>
          <w:lang w:val="fr-FR"/>
        </w:rPr>
        <w:t>’</w:t>
      </w:r>
      <w:r w:rsidRPr="00F720A6">
        <w:rPr>
          <w:lang w:val="fr-FR"/>
        </w:rPr>
        <w:t>enfant a le droit d</w:t>
      </w:r>
      <w:r w:rsidR="00254912">
        <w:rPr>
          <w:lang w:val="fr-FR"/>
        </w:rPr>
        <w:t>’</w:t>
      </w:r>
      <w:r w:rsidRPr="00F720A6">
        <w:rPr>
          <w:lang w:val="fr-FR"/>
        </w:rPr>
        <w:t>être informé de ses droits, qui comprennent les devoirs et les responsabilités prescrits par la Convention relative aux droits de l</w:t>
      </w:r>
      <w:r w:rsidR="00254912">
        <w:rPr>
          <w:lang w:val="fr-FR"/>
        </w:rPr>
        <w:t>’</w:t>
      </w:r>
      <w:r w:rsidRPr="00F720A6">
        <w:rPr>
          <w:lang w:val="fr-FR"/>
        </w:rPr>
        <w:t>enfant et d</w:t>
      </w:r>
      <w:r w:rsidR="00254912">
        <w:rPr>
          <w:lang w:val="fr-FR"/>
        </w:rPr>
        <w:t>’</w:t>
      </w:r>
      <w:r w:rsidRPr="00F720A6">
        <w:rPr>
          <w:lang w:val="fr-FR"/>
        </w:rPr>
        <w:t>autres instruments internationaux sur les droits de l</w:t>
      </w:r>
      <w:r w:rsidR="00254912">
        <w:rPr>
          <w:lang w:val="fr-FR"/>
        </w:rPr>
        <w:t>’</w:t>
      </w:r>
      <w:r w:rsidRPr="00F720A6">
        <w:rPr>
          <w:lang w:val="fr-FR"/>
        </w:rPr>
        <w:t>enfant. Le paragraphe 2 stipule que l</w:t>
      </w:r>
      <w:r w:rsidR="00254912">
        <w:rPr>
          <w:lang w:val="fr-FR"/>
        </w:rPr>
        <w:t>’</w:t>
      </w:r>
      <w:r w:rsidRPr="00F720A6">
        <w:rPr>
          <w:lang w:val="fr-FR"/>
        </w:rPr>
        <w:t>enfant a le droit d</w:t>
      </w:r>
      <w:r w:rsidR="00254912">
        <w:rPr>
          <w:lang w:val="fr-FR"/>
        </w:rPr>
        <w:t>’</w:t>
      </w:r>
      <w:r w:rsidRPr="00F720A6">
        <w:rPr>
          <w:lang w:val="fr-FR"/>
        </w:rPr>
        <w:t>être examiné, entendu et informé de ses droits dans le cadre de cette procédure et à propos de la procédure elle-même. Dans</w:t>
      </w:r>
      <w:r w:rsidR="00FA230E">
        <w:rPr>
          <w:lang w:val="fr-FR"/>
        </w:rPr>
        <w:t> </w:t>
      </w:r>
      <w:r w:rsidRPr="00F720A6">
        <w:rPr>
          <w:lang w:val="fr-FR"/>
        </w:rPr>
        <w:t xml:space="preserve">toute procédure judiciaire ou </w:t>
      </w:r>
      <w:proofErr w:type="spellStart"/>
      <w:r w:rsidRPr="00F720A6">
        <w:rPr>
          <w:lang w:val="fr-FR"/>
        </w:rPr>
        <w:t>extrajudiciaire</w:t>
      </w:r>
      <w:proofErr w:type="spellEnd"/>
      <w:r w:rsidRPr="00F720A6">
        <w:rPr>
          <w:lang w:val="fr-FR"/>
        </w:rPr>
        <w:t xml:space="preserve"> à laquelle il participe, l</w:t>
      </w:r>
      <w:r w:rsidR="00254912">
        <w:rPr>
          <w:lang w:val="fr-FR"/>
        </w:rPr>
        <w:t>’</w:t>
      </w:r>
      <w:r w:rsidRPr="00F720A6">
        <w:rPr>
          <w:lang w:val="fr-FR"/>
        </w:rPr>
        <w:t>enfant a le droit de participer activement à la prise des décisions concernant sa vie et de donner son avis (par</w:t>
      </w:r>
      <w:r w:rsidR="00FA230E">
        <w:rPr>
          <w:lang w:val="fr-FR"/>
        </w:rPr>
        <w:t>.</w:t>
      </w:r>
      <w:r w:rsidRPr="00F720A6">
        <w:rPr>
          <w:lang w:val="fr-FR"/>
        </w:rPr>
        <w:t> 3).</w:t>
      </w:r>
    </w:p>
    <w:p w14:paraId="0B89A979" w14:textId="77777777" w:rsidR="003C48D6" w:rsidRPr="00F720A6" w:rsidRDefault="003C48D6" w:rsidP="00E54B27">
      <w:pPr>
        <w:pStyle w:val="SingleTxtG"/>
        <w:rPr>
          <w:lang w:val="fr-FR"/>
        </w:rPr>
      </w:pPr>
      <w:r w:rsidRPr="00F720A6">
        <w:rPr>
          <w:lang w:val="fr-FR"/>
        </w:rPr>
        <w:t>215.</w:t>
      </w:r>
      <w:r w:rsidRPr="00F720A6">
        <w:rPr>
          <w:lang w:val="fr-FR"/>
        </w:rPr>
        <w:tab/>
        <w:t>La principale caractéristique de la loi sur la justice pour les enfants est l</w:t>
      </w:r>
      <w:r w:rsidR="00254912">
        <w:rPr>
          <w:lang w:val="fr-FR"/>
        </w:rPr>
        <w:t>’</w:t>
      </w:r>
      <w:r w:rsidRPr="00F720A6">
        <w:rPr>
          <w:lang w:val="fr-FR"/>
        </w:rPr>
        <w:t>introduction et la réglementation de la justice réparatrice, c</w:t>
      </w:r>
      <w:r w:rsidR="00254912">
        <w:rPr>
          <w:lang w:val="fr-FR"/>
        </w:rPr>
        <w:t>’</w:t>
      </w:r>
      <w:r w:rsidRPr="00F720A6">
        <w:rPr>
          <w:lang w:val="fr-FR"/>
        </w:rPr>
        <w:t xml:space="preserve">est-à-dire des procédures </w:t>
      </w:r>
      <w:proofErr w:type="spellStart"/>
      <w:r w:rsidRPr="00F720A6">
        <w:rPr>
          <w:lang w:val="fr-FR"/>
        </w:rPr>
        <w:t>extrajudiciaires</w:t>
      </w:r>
      <w:proofErr w:type="spellEnd"/>
      <w:r w:rsidRPr="00F720A6">
        <w:rPr>
          <w:lang w:val="fr-FR"/>
        </w:rPr>
        <w:t xml:space="preserve"> pour les actes commis par un enfant et que la loi définit comme des infractions pénales ou des délits. L</w:t>
      </w:r>
      <w:r w:rsidR="00254912">
        <w:rPr>
          <w:lang w:val="fr-FR"/>
        </w:rPr>
        <w:t>’</w:t>
      </w:r>
      <w:r w:rsidRPr="00F720A6">
        <w:rPr>
          <w:lang w:val="fr-FR"/>
        </w:rPr>
        <w:t>article 17 dispose qu</w:t>
      </w:r>
      <w:r w:rsidR="00254912">
        <w:rPr>
          <w:lang w:val="fr-FR"/>
        </w:rPr>
        <w:t>’</w:t>
      </w:r>
      <w:r w:rsidRPr="00F720A6">
        <w:rPr>
          <w:lang w:val="fr-FR"/>
        </w:rPr>
        <w:t>en règle générale et afin de soustraire l</w:t>
      </w:r>
      <w:r w:rsidR="00254912">
        <w:rPr>
          <w:lang w:val="fr-FR"/>
        </w:rPr>
        <w:t>’</w:t>
      </w:r>
      <w:r w:rsidRPr="00F720A6">
        <w:rPr>
          <w:lang w:val="fr-FR"/>
        </w:rPr>
        <w:t>enfant à des influences néfastes, les autorités et institutions compétentes n</w:t>
      </w:r>
      <w:r w:rsidR="00254912">
        <w:rPr>
          <w:lang w:val="fr-FR"/>
        </w:rPr>
        <w:t>’</w:t>
      </w:r>
      <w:r w:rsidRPr="00F720A6">
        <w:rPr>
          <w:lang w:val="fr-FR"/>
        </w:rPr>
        <w:t>engagent pas de procédure judiciaire pour l</w:t>
      </w:r>
      <w:r w:rsidR="00254912">
        <w:rPr>
          <w:lang w:val="fr-FR"/>
        </w:rPr>
        <w:t>’</w:t>
      </w:r>
      <w:r w:rsidRPr="00F720A6">
        <w:rPr>
          <w:lang w:val="fr-FR"/>
        </w:rPr>
        <w:t>acte d</w:t>
      </w:r>
      <w:r w:rsidR="00254912">
        <w:rPr>
          <w:lang w:val="fr-FR"/>
        </w:rPr>
        <w:t>’</w:t>
      </w:r>
      <w:r w:rsidRPr="00F720A6">
        <w:rPr>
          <w:lang w:val="fr-FR"/>
        </w:rPr>
        <w:t xml:space="preserve">un enfant de plus de 14 ans alors même que la loi considère par ailleurs cet acte </w:t>
      </w:r>
      <w:r w:rsidRPr="00F720A6">
        <w:rPr>
          <w:lang w:val="fr-FR"/>
        </w:rPr>
        <w:lastRenderedPageBreak/>
        <w:t>comme une infraction pénale ou un délit. Les poursuites judiciaires ne sont engagées que dans les cas définis comme une infraction pénale par la présente loi ; c</w:t>
      </w:r>
      <w:r w:rsidR="00254912">
        <w:rPr>
          <w:lang w:val="fr-FR"/>
        </w:rPr>
        <w:t>’</w:t>
      </w:r>
      <w:r w:rsidR="0076014B" w:rsidRPr="00F720A6">
        <w:rPr>
          <w:lang w:val="fr-FR"/>
        </w:rPr>
        <w:t>est</w:t>
      </w:r>
      <w:r w:rsidRPr="00F720A6">
        <w:rPr>
          <w:lang w:val="fr-FR"/>
        </w:rPr>
        <w:t>-à-dire si l</w:t>
      </w:r>
      <w:r w:rsidR="00254912">
        <w:rPr>
          <w:lang w:val="fr-FR"/>
        </w:rPr>
        <w:t>’</w:t>
      </w:r>
      <w:r w:rsidRPr="00F720A6">
        <w:rPr>
          <w:lang w:val="fr-FR"/>
        </w:rPr>
        <w:t>enfant de plus de 14 ans a commis un acte défini comme une infraction pénale pour laquelle une peine d</w:t>
      </w:r>
      <w:r w:rsidR="00254912">
        <w:rPr>
          <w:lang w:val="fr-FR"/>
        </w:rPr>
        <w:t>’</w:t>
      </w:r>
      <w:r w:rsidRPr="00F720A6">
        <w:rPr>
          <w:lang w:val="fr-FR"/>
        </w:rPr>
        <w:t>emprisonnement de trois ans ou plus peut-être prononcée, ou si le but des mesures ou des sanctions définies par la présente loi ne peut être atteint en dehors de ces poursuites. La procédure judiciaire comprend : la mise en œuvre d</w:t>
      </w:r>
      <w:r w:rsidR="00254912">
        <w:rPr>
          <w:lang w:val="fr-FR"/>
        </w:rPr>
        <w:t>’</w:t>
      </w:r>
      <w:r w:rsidRPr="00F720A6">
        <w:rPr>
          <w:lang w:val="fr-FR"/>
        </w:rPr>
        <w:t>un plan de mesures et d</w:t>
      </w:r>
      <w:r w:rsidR="00254912">
        <w:rPr>
          <w:lang w:val="fr-FR"/>
        </w:rPr>
        <w:t>’</w:t>
      </w:r>
      <w:r w:rsidRPr="00F720A6">
        <w:rPr>
          <w:lang w:val="fr-FR"/>
        </w:rPr>
        <w:t>activités pour un travail individualisé avec l</w:t>
      </w:r>
      <w:r w:rsidR="00254912">
        <w:rPr>
          <w:lang w:val="fr-FR"/>
        </w:rPr>
        <w:t>’</w:t>
      </w:r>
      <w:r w:rsidRPr="00F720A6">
        <w:rPr>
          <w:lang w:val="fr-FR"/>
        </w:rPr>
        <w:t>enfant et les parents (art</w:t>
      </w:r>
      <w:r w:rsidR="00C11C80">
        <w:rPr>
          <w:lang w:val="fr-FR"/>
        </w:rPr>
        <w:t>.</w:t>
      </w:r>
      <w:r w:rsidRPr="00F720A6">
        <w:rPr>
          <w:lang w:val="fr-FR"/>
        </w:rPr>
        <w:t> 24 à 29) ; l</w:t>
      </w:r>
      <w:r w:rsidR="00254912">
        <w:rPr>
          <w:lang w:val="fr-FR"/>
        </w:rPr>
        <w:t>’</w:t>
      </w:r>
      <w:r w:rsidRPr="00F720A6">
        <w:rPr>
          <w:lang w:val="fr-FR"/>
        </w:rPr>
        <w:t>intervention et l</w:t>
      </w:r>
      <w:r w:rsidR="00254912">
        <w:rPr>
          <w:lang w:val="fr-FR"/>
        </w:rPr>
        <w:t>’</w:t>
      </w:r>
      <w:r w:rsidRPr="00F720A6">
        <w:rPr>
          <w:lang w:val="fr-FR"/>
        </w:rPr>
        <w:t>intermédiation du centre local d</w:t>
      </w:r>
      <w:r w:rsidR="00254912">
        <w:rPr>
          <w:lang w:val="fr-FR"/>
        </w:rPr>
        <w:t>’</w:t>
      </w:r>
      <w:r w:rsidRPr="00F720A6">
        <w:rPr>
          <w:lang w:val="fr-FR"/>
        </w:rPr>
        <w:t>action sociale (art. 30) ; la mise en œuvre de mesures dissuasives (art. 75 à 78) ; et la médiation imposée par le tribunal via un médiateur officiel (art. 79 à 85).</w:t>
      </w:r>
    </w:p>
    <w:p w14:paraId="3B373DF4" w14:textId="77777777" w:rsidR="003C48D6" w:rsidRPr="00F720A6" w:rsidRDefault="003C48D6" w:rsidP="00E54B27">
      <w:pPr>
        <w:pStyle w:val="SingleTxtG"/>
        <w:rPr>
          <w:lang w:val="fr-FR"/>
        </w:rPr>
      </w:pPr>
      <w:r w:rsidRPr="00F720A6">
        <w:rPr>
          <w:lang w:val="fr-FR"/>
        </w:rPr>
        <w:t>216.</w:t>
      </w:r>
      <w:r w:rsidRPr="00F720A6">
        <w:rPr>
          <w:lang w:val="fr-FR"/>
        </w:rPr>
        <w:tab/>
        <w:t>La loi sur la justice pour les enfants définit l</w:t>
      </w:r>
      <w:r w:rsidR="00254912">
        <w:rPr>
          <w:lang w:val="fr-FR"/>
        </w:rPr>
        <w:t>’</w:t>
      </w:r>
      <w:r w:rsidRPr="00F720A6">
        <w:rPr>
          <w:lang w:val="fr-FR"/>
        </w:rPr>
        <w:t>enfant en tant que victime d</w:t>
      </w:r>
      <w:r w:rsidR="00254912">
        <w:rPr>
          <w:lang w:val="fr-FR"/>
        </w:rPr>
        <w:t>’</w:t>
      </w:r>
      <w:r w:rsidRPr="00F720A6">
        <w:rPr>
          <w:lang w:val="fr-FR"/>
        </w:rPr>
        <w:t>un acte criminel et en tant que mineur de moins de 18 ans. Les enfants victimes ont les mêmes droits que les victimes adultes avant, pendant et après la procédure pénale, ainsi que les droits spéciaux qui leur sont reconnus par la Convention relative aux droits de l</w:t>
      </w:r>
      <w:r w:rsidR="00254912">
        <w:rPr>
          <w:lang w:val="fr-FR"/>
        </w:rPr>
        <w:t>’</w:t>
      </w:r>
      <w:r w:rsidRPr="00F720A6">
        <w:rPr>
          <w:lang w:val="fr-FR"/>
        </w:rPr>
        <w:t>enfant et d</w:t>
      </w:r>
      <w:r w:rsidR="00254912">
        <w:rPr>
          <w:lang w:val="fr-FR"/>
        </w:rPr>
        <w:t>’</w:t>
      </w:r>
      <w:r w:rsidRPr="00F720A6">
        <w:rPr>
          <w:lang w:val="fr-FR"/>
        </w:rPr>
        <w:t>autres accords internationaux ratifiés. Le système de justice pour les enfants offre à ces derniers une protection et un soutien accrus afin de réduire les conséquences négatives de l</w:t>
      </w:r>
      <w:r w:rsidR="00254912">
        <w:rPr>
          <w:lang w:val="fr-FR"/>
        </w:rPr>
        <w:t>’</w:t>
      </w:r>
      <w:r w:rsidRPr="00F720A6">
        <w:rPr>
          <w:lang w:val="fr-FR"/>
        </w:rPr>
        <w:t>acte subi et de prévenir les incidences nuisibles au bon développement de l</w:t>
      </w:r>
      <w:r w:rsidR="00254912">
        <w:rPr>
          <w:lang w:val="fr-FR"/>
        </w:rPr>
        <w:t>’</w:t>
      </w:r>
      <w:r w:rsidRPr="00F720A6">
        <w:rPr>
          <w:lang w:val="fr-FR"/>
        </w:rPr>
        <w:t>enfant.</w:t>
      </w:r>
    </w:p>
    <w:p w14:paraId="51509FEB" w14:textId="77777777" w:rsidR="003C48D6" w:rsidRPr="00F720A6" w:rsidRDefault="003C48D6" w:rsidP="00E54B27">
      <w:pPr>
        <w:pStyle w:val="SingleTxtG"/>
        <w:rPr>
          <w:lang w:val="fr-FR"/>
        </w:rPr>
      </w:pPr>
      <w:r w:rsidRPr="00F720A6">
        <w:rPr>
          <w:lang w:val="fr-FR"/>
        </w:rPr>
        <w:t>217.</w:t>
      </w:r>
      <w:r w:rsidRPr="00F720A6">
        <w:rPr>
          <w:lang w:val="fr-FR"/>
        </w:rPr>
        <w:tab/>
        <w:t>Les articles 145 à 153 organisent, dans le cadre de la procédure pénale, la protection des enfants victimes et des enfants témoins d</w:t>
      </w:r>
      <w:r w:rsidR="00254912">
        <w:rPr>
          <w:lang w:val="fr-FR"/>
        </w:rPr>
        <w:t>’</w:t>
      </w:r>
      <w:r w:rsidRPr="00F720A6">
        <w:rPr>
          <w:lang w:val="fr-FR"/>
        </w:rPr>
        <w:t xml:space="preserve">infractions pénales. </w:t>
      </w:r>
    </w:p>
    <w:p w14:paraId="1D13D1E4" w14:textId="77777777" w:rsidR="003C48D6" w:rsidRPr="00F720A6" w:rsidRDefault="003C48D6" w:rsidP="00E54B27">
      <w:pPr>
        <w:pStyle w:val="SingleTxtG"/>
        <w:rPr>
          <w:lang w:val="fr-FR"/>
        </w:rPr>
      </w:pPr>
      <w:r w:rsidRPr="00F720A6">
        <w:rPr>
          <w:lang w:val="fr-FR"/>
        </w:rPr>
        <w:t>218.</w:t>
      </w:r>
      <w:r w:rsidRPr="00F720A6">
        <w:rPr>
          <w:lang w:val="fr-FR"/>
        </w:rPr>
        <w:tab/>
        <w:t>Conformément à l</w:t>
      </w:r>
      <w:r w:rsidR="00254912">
        <w:rPr>
          <w:lang w:val="fr-FR"/>
        </w:rPr>
        <w:t>’</w:t>
      </w:r>
      <w:r w:rsidRPr="00F720A6">
        <w:rPr>
          <w:lang w:val="fr-FR"/>
        </w:rPr>
        <w:t>article 145 de cette loi, l</w:t>
      </w:r>
      <w:r w:rsidR="00254912">
        <w:rPr>
          <w:lang w:val="fr-FR"/>
        </w:rPr>
        <w:t>’</w:t>
      </w:r>
      <w:r w:rsidRPr="00F720A6">
        <w:rPr>
          <w:lang w:val="fr-FR"/>
        </w:rPr>
        <w:t>enfant victime d</w:t>
      </w:r>
      <w:r w:rsidR="00254912">
        <w:rPr>
          <w:lang w:val="fr-FR"/>
        </w:rPr>
        <w:t>’</w:t>
      </w:r>
      <w:r w:rsidRPr="00F720A6">
        <w:rPr>
          <w:lang w:val="fr-FR"/>
        </w:rPr>
        <w:t>une infraction pénale a le droit : d</w:t>
      </w:r>
      <w:r w:rsidR="00254912">
        <w:rPr>
          <w:lang w:val="fr-FR"/>
        </w:rPr>
        <w:t>’</w:t>
      </w:r>
      <w:r w:rsidRPr="00F720A6">
        <w:rPr>
          <w:lang w:val="fr-FR"/>
        </w:rPr>
        <w:t>être traité dans le respect de sa dignité ; d</w:t>
      </w:r>
      <w:r w:rsidR="00254912">
        <w:rPr>
          <w:lang w:val="fr-FR"/>
        </w:rPr>
        <w:t>’</w:t>
      </w:r>
      <w:r w:rsidRPr="00F720A6">
        <w:rPr>
          <w:lang w:val="fr-FR"/>
        </w:rPr>
        <w:t>être protégé de toute discrimination ; d</w:t>
      </w:r>
      <w:r w:rsidR="00254912">
        <w:rPr>
          <w:lang w:val="fr-FR"/>
        </w:rPr>
        <w:t>’</w:t>
      </w:r>
      <w:r w:rsidRPr="00F720A6">
        <w:rPr>
          <w:lang w:val="fr-FR"/>
        </w:rPr>
        <w:t>être informé de ses droits dans une langue compréhensible par lui/elle en fonction de son âge ; au respect de son droit à la vie privée ; que ses parents/tuteurs soient informés de l</w:t>
      </w:r>
      <w:r w:rsidR="00254912">
        <w:rPr>
          <w:lang w:val="fr-FR"/>
        </w:rPr>
        <w:t>’</w:t>
      </w:r>
      <w:r w:rsidRPr="00F720A6">
        <w:rPr>
          <w:lang w:val="fr-FR"/>
        </w:rPr>
        <w:t>infraction pénale ; de participer à la procédure pénale en tant que partie lésée en se joignant à la poursuite pénale ou à l</w:t>
      </w:r>
      <w:r w:rsidR="00254912">
        <w:rPr>
          <w:lang w:val="fr-FR"/>
        </w:rPr>
        <w:t>’</w:t>
      </w:r>
      <w:r w:rsidRPr="00F720A6">
        <w:rPr>
          <w:lang w:val="fr-FR"/>
        </w:rPr>
        <w:t>action judiciaire aux fins de réalisation des biens en vue de dommages-intérêts ; de bénéficier d</w:t>
      </w:r>
      <w:r w:rsidR="00254912">
        <w:rPr>
          <w:lang w:val="fr-FR"/>
        </w:rPr>
        <w:t>’</w:t>
      </w:r>
      <w:r w:rsidRPr="00F720A6">
        <w:rPr>
          <w:lang w:val="fr-FR"/>
        </w:rPr>
        <w:t>une protection spéciale en ce qui concerne sa sécurité et celle de sa famille ; de bénéficier d</w:t>
      </w:r>
      <w:r w:rsidR="00254912">
        <w:rPr>
          <w:lang w:val="fr-FR"/>
        </w:rPr>
        <w:t>’</w:t>
      </w:r>
      <w:r w:rsidRPr="00F720A6">
        <w:rPr>
          <w:lang w:val="fr-FR"/>
        </w:rPr>
        <w:t xml:space="preserve">une protection contre la victimisation secondaire et la </w:t>
      </w:r>
      <w:proofErr w:type="spellStart"/>
      <w:r w:rsidRPr="00F720A6">
        <w:rPr>
          <w:lang w:val="fr-FR"/>
        </w:rPr>
        <w:t>revictimisation</w:t>
      </w:r>
      <w:proofErr w:type="spellEnd"/>
      <w:r w:rsidRPr="00F720A6">
        <w:rPr>
          <w:lang w:val="fr-FR"/>
        </w:rPr>
        <w:t>, et d</w:t>
      </w:r>
      <w:r w:rsidR="00254912">
        <w:rPr>
          <w:lang w:val="fr-FR"/>
        </w:rPr>
        <w:t>’</w:t>
      </w:r>
      <w:r w:rsidRPr="00F720A6">
        <w:rPr>
          <w:lang w:val="fr-FR"/>
        </w:rPr>
        <w:t>autres formes d</w:t>
      </w:r>
      <w:r w:rsidR="00254912">
        <w:rPr>
          <w:lang w:val="fr-FR"/>
        </w:rPr>
        <w:t>’</w:t>
      </w:r>
      <w:r w:rsidRPr="00F720A6">
        <w:rPr>
          <w:lang w:val="fr-FR"/>
        </w:rPr>
        <w:t>assistance ou de soutiens de professionnels par le canal des autorités compétentes.</w:t>
      </w:r>
    </w:p>
    <w:p w14:paraId="1C67D14D" w14:textId="77777777" w:rsidR="003C48D6" w:rsidRPr="00F720A6" w:rsidRDefault="003C48D6" w:rsidP="00E54B27">
      <w:pPr>
        <w:pStyle w:val="SingleTxtG"/>
        <w:rPr>
          <w:lang w:val="fr-FR"/>
        </w:rPr>
      </w:pPr>
      <w:r w:rsidRPr="00F720A6">
        <w:rPr>
          <w:lang w:val="fr-FR"/>
        </w:rPr>
        <w:t>219.</w:t>
      </w:r>
      <w:r w:rsidRPr="00F720A6">
        <w:rPr>
          <w:lang w:val="fr-FR"/>
        </w:rPr>
        <w:tab/>
        <w:t>Dans le cadre des procédures policières et pénales, l</w:t>
      </w:r>
      <w:r w:rsidR="00254912">
        <w:rPr>
          <w:lang w:val="fr-FR"/>
        </w:rPr>
        <w:t>’</w:t>
      </w:r>
      <w:r w:rsidRPr="00F720A6">
        <w:rPr>
          <w:lang w:val="fr-FR"/>
        </w:rPr>
        <w:t>enfant victime d</w:t>
      </w:r>
      <w:r w:rsidR="00254912">
        <w:rPr>
          <w:lang w:val="fr-FR"/>
        </w:rPr>
        <w:t>’</w:t>
      </w:r>
      <w:r w:rsidRPr="00F720A6">
        <w:rPr>
          <w:lang w:val="fr-FR"/>
        </w:rPr>
        <w:t>une infraction pénale a droit : à l</w:t>
      </w:r>
      <w:r w:rsidR="00254912">
        <w:rPr>
          <w:lang w:val="fr-FR"/>
        </w:rPr>
        <w:t>’</w:t>
      </w:r>
      <w:r w:rsidRPr="00F720A6">
        <w:rPr>
          <w:lang w:val="fr-FR"/>
        </w:rPr>
        <w:t>assistance d</w:t>
      </w:r>
      <w:r w:rsidR="00254912">
        <w:rPr>
          <w:lang w:val="fr-FR"/>
        </w:rPr>
        <w:t>’</w:t>
      </w:r>
      <w:r w:rsidRPr="00F720A6">
        <w:rPr>
          <w:lang w:val="fr-FR"/>
        </w:rPr>
        <w:t>un avocat avant de témoigner ou de déposer une demande d</w:t>
      </w:r>
      <w:r w:rsidR="00254912">
        <w:rPr>
          <w:lang w:val="fr-FR"/>
        </w:rPr>
        <w:t>’</w:t>
      </w:r>
      <w:r w:rsidRPr="00F720A6">
        <w:rPr>
          <w:lang w:val="fr-FR"/>
        </w:rPr>
        <w:t>indemnisation pour dommages matériels ou préjudice moral dans le cadre du programme visé à l</w:t>
      </w:r>
      <w:r w:rsidR="00254912">
        <w:rPr>
          <w:lang w:val="fr-FR"/>
        </w:rPr>
        <w:t>’</w:t>
      </w:r>
      <w:r w:rsidRPr="00F720A6">
        <w:rPr>
          <w:lang w:val="fr-FR"/>
        </w:rPr>
        <w:t>article 151 de la loi, et conformément à l</w:t>
      </w:r>
      <w:r w:rsidR="00254912">
        <w:rPr>
          <w:lang w:val="fr-FR"/>
        </w:rPr>
        <w:t>’</w:t>
      </w:r>
      <w:r w:rsidRPr="00F720A6">
        <w:rPr>
          <w:lang w:val="fr-FR"/>
        </w:rPr>
        <w:t>article 152 ; à un représentant légal dès le premier témoignage et pendant toute la procédure si l</w:t>
      </w:r>
      <w:r w:rsidR="00254912">
        <w:rPr>
          <w:lang w:val="fr-FR"/>
        </w:rPr>
        <w:t>’</w:t>
      </w:r>
      <w:r w:rsidRPr="00F720A6">
        <w:rPr>
          <w:lang w:val="fr-FR"/>
        </w:rPr>
        <w:t>indemnisation du préjudice ne peut être assurée par la personne condamnée. L</w:t>
      </w:r>
      <w:r w:rsidR="00254912">
        <w:rPr>
          <w:lang w:val="fr-FR"/>
        </w:rPr>
        <w:t>’</w:t>
      </w:r>
      <w:r w:rsidRPr="00F720A6">
        <w:rPr>
          <w:lang w:val="fr-FR"/>
        </w:rPr>
        <w:t>assistance juridique à un enfant victime est en principe assurée par un avocat ayant suivi une formation spécialisée sur les droits de l</w:t>
      </w:r>
      <w:r w:rsidR="00254912">
        <w:rPr>
          <w:lang w:val="fr-FR"/>
        </w:rPr>
        <w:t>’</w:t>
      </w:r>
      <w:r w:rsidRPr="00F720A6">
        <w:rPr>
          <w:lang w:val="fr-FR"/>
        </w:rPr>
        <w:t>enfant.</w:t>
      </w:r>
    </w:p>
    <w:p w14:paraId="55D536A9" w14:textId="77777777" w:rsidR="003C48D6" w:rsidRPr="00F720A6" w:rsidRDefault="003C48D6" w:rsidP="00E54B27">
      <w:pPr>
        <w:pStyle w:val="SingleTxtG"/>
        <w:rPr>
          <w:lang w:val="fr-FR"/>
        </w:rPr>
      </w:pPr>
      <w:r w:rsidRPr="00F720A6">
        <w:rPr>
          <w:lang w:val="fr-FR"/>
        </w:rPr>
        <w:t>220.</w:t>
      </w:r>
      <w:r w:rsidRPr="00F720A6">
        <w:rPr>
          <w:lang w:val="fr-FR"/>
        </w:rPr>
        <w:tab/>
        <w:t>L</w:t>
      </w:r>
      <w:r w:rsidR="00254912">
        <w:rPr>
          <w:lang w:val="fr-FR"/>
        </w:rPr>
        <w:t>’</w:t>
      </w:r>
      <w:r w:rsidRPr="00F720A6">
        <w:rPr>
          <w:lang w:val="fr-FR"/>
        </w:rPr>
        <w:t>article 146 régit les droits spéciaux de protection judiciaire, c</w:t>
      </w:r>
      <w:r w:rsidR="00254912">
        <w:rPr>
          <w:lang w:val="fr-FR"/>
        </w:rPr>
        <w:t>’</w:t>
      </w:r>
      <w:r w:rsidRPr="00F720A6">
        <w:rPr>
          <w:lang w:val="fr-FR"/>
        </w:rPr>
        <w:t>est-à-dire le droit de l</w:t>
      </w:r>
      <w:r w:rsidR="00254912">
        <w:rPr>
          <w:lang w:val="fr-FR"/>
        </w:rPr>
        <w:t>’</w:t>
      </w:r>
      <w:r w:rsidRPr="00F720A6">
        <w:rPr>
          <w:lang w:val="fr-FR"/>
        </w:rPr>
        <w:t>enfant victime à des mesures spéciales de protection lorsqu</w:t>
      </w:r>
      <w:r w:rsidR="00254912">
        <w:rPr>
          <w:lang w:val="fr-FR"/>
        </w:rPr>
        <w:t>’</w:t>
      </w:r>
      <w:r w:rsidRPr="00F720A6">
        <w:rPr>
          <w:lang w:val="fr-FR"/>
        </w:rPr>
        <w:t>il fait une déclaration, ainsi qu</w:t>
      </w:r>
      <w:r w:rsidR="00254912">
        <w:rPr>
          <w:lang w:val="fr-FR"/>
        </w:rPr>
        <w:t>’</w:t>
      </w:r>
      <w:r w:rsidRPr="00F720A6">
        <w:rPr>
          <w:lang w:val="fr-FR"/>
        </w:rPr>
        <w:t xml:space="preserve">à tous les stades de la procédure légale. </w:t>
      </w:r>
    </w:p>
    <w:p w14:paraId="6F9EDA5E" w14:textId="77777777" w:rsidR="003C48D6" w:rsidRPr="00F720A6" w:rsidRDefault="003C48D6" w:rsidP="00E54B27">
      <w:pPr>
        <w:pStyle w:val="SingleTxtG"/>
        <w:rPr>
          <w:lang w:val="fr-FR"/>
        </w:rPr>
      </w:pPr>
      <w:r w:rsidRPr="00F720A6">
        <w:rPr>
          <w:lang w:val="fr-FR"/>
        </w:rPr>
        <w:t>221.</w:t>
      </w:r>
      <w:r w:rsidRPr="00F720A6">
        <w:rPr>
          <w:lang w:val="fr-FR"/>
        </w:rPr>
        <w:tab/>
        <w:t>Le tribunal peut ordonner les mesures spécifiques de protection procédurale suivantes, lorsqu</w:t>
      </w:r>
      <w:r w:rsidR="00254912">
        <w:rPr>
          <w:lang w:val="fr-FR"/>
        </w:rPr>
        <w:t>’</w:t>
      </w:r>
      <w:r w:rsidRPr="00F720A6">
        <w:rPr>
          <w:lang w:val="fr-FR"/>
        </w:rPr>
        <w:t>un enfant y est entendu : utilisation d</w:t>
      </w:r>
      <w:r w:rsidR="00254912">
        <w:rPr>
          <w:lang w:val="fr-FR"/>
        </w:rPr>
        <w:t>’</w:t>
      </w:r>
      <w:r w:rsidRPr="00F720A6">
        <w:rPr>
          <w:lang w:val="fr-FR"/>
        </w:rPr>
        <w:t>écrans de protection pour dissimuler la victime et le témoin à la vue du défendeur ; dissimulation de l</w:t>
      </w:r>
      <w:r w:rsidR="00254912">
        <w:rPr>
          <w:lang w:val="fr-FR"/>
        </w:rPr>
        <w:t>’</w:t>
      </w:r>
      <w:r w:rsidRPr="00F720A6">
        <w:rPr>
          <w:lang w:val="fr-FR"/>
        </w:rPr>
        <w:t>identité ou de l</w:t>
      </w:r>
      <w:r w:rsidR="00254912">
        <w:rPr>
          <w:lang w:val="fr-FR"/>
        </w:rPr>
        <w:t>’</w:t>
      </w:r>
      <w:r w:rsidRPr="00F720A6">
        <w:rPr>
          <w:lang w:val="fr-FR"/>
        </w:rPr>
        <w:t xml:space="preserve">aspect physique de la victime ; témoignage par </w:t>
      </w:r>
      <w:proofErr w:type="spellStart"/>
      <w:r w:rsidRPr="00F720A6">
        <w:rPr>
          <w:lang w:val="fr-FR"/>
        </w:rPr>
        <w:t>vidéoconférence</w:t>
      </w:r>
      <w:proofErr w:type="spellEnd"/>
      <w:r w:rsidRPr="00F720A6">
        <w:rPr>
          <w:lang w:val="fr-FR"/>
        </w:rPr>
        <w:t> ; enlèvement des robes ou des couvre-chefs ; exclusion du public ; enregistrement vidéo et audio du témoignage ou de l</w:t>
      </w:r>
      <w:r w:rsidR="00254912">
        <w:rPr>
          <w:lang w:val="fr-FR"/>
        </w:rPr>
        <w:t>’</w:t>
      </w:r>
      <w:r w:rsidRPr="00F720A6">
        <w:rPr>
          <w:lang w:val="fr-FR"/>
        </w:rPr>
        <w:t>interrogatoire qui servira de preuve ; prise de déposition par un intermédiaire professionnel ; utilisation de moyens techniques de communication ; et protection de la vie privée de l</w:t>
      </w:r>
      <w:r w:rsidR="00254912">
        <w:rPr>
          <w:lang w:val="fr-FR"/>
        </w:rPr>
        <w:t>’</w:t>
      </w:r>
      <w:r w:rsidRPr="00F720A6">
        <w:rPr>
          <w:lang w:val="fr-FR"/>
        </w:rPr>
        <w:t>enfant et de sa famille.</w:t>
      </w:r>
    </w:p>
    <w:p w14:paraId="3C2C3458" w14:textId="77777777" w:rsidR="003C48D6" w:rsidRPr="00F720A6" w:rsidRDefault="003C48D6" w:rsidP="00E54B27">
      <w:pPr>
        <w:pStyle w:val="SingleTxtG"/>
        <w:rPr>
          <w:lang w:val="fr-FR"/>
        </w:rPr>
      </w:pPr>
      <w:r w:rsidRPr="00F720A6">
        <w:rPr>
          <w:lang w:val="fr-FR"/>
        </w:rPr>
        <w:t>222.</w:t>
      </w:r>
      <w:r w:rsidRPr="00F720A6">
        <w:rPr>
          <w:lang w:val="fr-FR"/>
        </w:rPr>
        <w:tab/>
        <w:t>Conformément au paragraphe 1 de l</w:t>
      </w:r>
      <w:r w:rsidR="00254912">
        <w:rPr>
          <w:lang w:val="fr-FR"/>
        </w:rPr>
        <w:t>’</w:t>
      </w:r>
      <w:r w:rsidRPr="00F720A6">
        <w:rPr>
          <w:lang w:val="fr-FR"/>
        </w:rPr>
        <w:t>article 151, l</w:t>
      </w:r>
      <w:r w:rsidR="00254912">
        <w:rPr>
          <w:lang w:val="fr-FR"/>
        </w:rPr>
        <w:t>’</w:t>
      </w:r>
      <w:r w:rsidRPr="00F720A6">
        <w:rPr>
          <w:lang w:val="fr-FR"/>
        </w:rPr>
        <w:t>indemnisation d</w:t>
      </w:r>
      <w:r w:rsidR="00254912">
        <w:rPr>
          <w:lang w:val="fr-FR"/>
        </w:rPr>
        <w:t>’</w:t>
      </w:r>
      <w:r w:rsidRPr="00F720A6">
        <w:rPr>
          <w:lang w:val="fr-FR"/>
        </w:rPr>
        <w:t>un enfant victime, ou d</w:t>
      </w:r>
      <w:r w:rsidR="00254912">
        <w:rPr>
          <w:lang w:val="fr-FR"/>
        </w:rPr>
        <w:t>’</w:t>
      </w:r>
      <w:r w:rsidRPr="00F720A6">
        <w:rPr>
          <w:lang w:val="fr-FR"/>
        </w:rPr>
        <w:t>un enfant qui a été blessé par un acte considéré par la loi comme une infraction pénale ou un acte de violence, ainsi que par d</w:t>
      </w:r>
      <w:r w:rsidR="00254912">
        <w:rPr>
          <w:lang w:val="fr-FR"/>
        </w:rPr>
        <w:t>’</w:t>
      </w:r>
      <w:r w:rsidRPr="00F720A6">
        <w:rPr>
          <w:lang w:val="fr-FR"/>
        </w:rPr>
        <w:t>autres actes de violence individuelle ou collective, est prévue au budget du Ministère de la justice. Conformément à l</w:t>
      </w:r>
      <w:r w:rsidR="00254912">
        <w:rPr>
          <w:lang w:val="fr-FR"/>
        </w:rPr>
        <w:t>’</w:t>
      </w:r>
      <w:r w:rsidRPr="00F720A6">
        <w:rPr>
          <w:lang w:val="fr-FR"/>
        </w:rPr>
        <w:t>avis adopté par le Conseil d</w:t>
      </w:r>
      <w:r w:rsidR="00254912">
        <w:rPr>
          <w:lang w:val="fr-FR"/>
        </w:rPr>
        <w:t>’</w:t>
      </w:r>
      <w:r w:rsidRPr="00F720A6">
        <w:rPr>
          <w:lang w:val="fr-FR"/>
        </w:rPr>
        <w:t>État pour la prévention de la délinquance juvénile, le Ministère de la justice s</w:t>
      </w:r>
      <w:r w:rsidR="00254912">
        <w:rPr>
          <w:lang w:val="fr-FR"/>
        </w:rPr>
        <w:t>’</w:t>
      </w:r>
      <w:r w:rsidRPr="00F720A6">
        <w:rPr>
          <w:lang w:val="fr-FR"/>
        </w:rPr>
        <w:t>est doté d</w:t>
      </w:r>
      <w:r w:rsidR="00254912">
        <w:rPr>
          <w:lang w:val="fr-FR"/>
        </w:rPr>
        <w:t>’</w:t>
      </w:r>
      <w:r w:rsidRPr="00F720A6">
        <w:rPr>
          <w:lang w:val="fr-FR"/>
        </w:rPr>
        <w:t xml:space="preserve">un programme annuel qui prévoit les sources et les modalités des dépenses mentionnées au paragraphe 1 dudit article. </w:t>
      </w:r>
    </w:p>
    <w:p w14:paraId="06E0F8E7" w14:textId="77777777" w:rsidR="003C48D6" w:rsidRPr="00F720A6" w:rsidRDefault="003C48D6" w:rsidP="00E54B27">
      <w:pPr>
        <w:pStyle w:val="SingleTxtG"/>
        <w:rPr>
          <w:lang w:val="fr-FR"/>
        </w:rPr>
      </w:pPr>
      <w:r w:rsidRPr="00F720A6">
        <w:rPr>
          <w:lang w:val="fr-FR"/>
        </w:rPr>
        <w:lastRenderedPageBreak/>
        <w:t>223.</w:t>
      </w:r>
      <w:r w:rsidRPr="00F720A6">
        <w:rPr>
          <w:lang w:val="fr-FR"/>
        </w:rPr>
        <w:tab/>
        <w:t>L</w:t>
      </w:r>
      <w:r w:rsidR="00254912">
        <w:rPr>
          <w:lang w:val="fr-FR"/>
        </w:rPr>
        <w:t>’</w:t>
      </w:r>
      <w:r w:rsidRPr="00F720A6">
        <w:rPr>
          <w:lang w:val="fr-FR"/>
        </w:rPr>
        <w:t>article 152 précise les conditions et la procédure d</w:t>
      </w:r>
      <w:r w:rsidR="00254912">
        <w:rPr>
          <w:lang w:val="fr-FR"/>
        </w:rPr>
        <w:t>’</w:t>
      </w:r>
      <w:r w:rsidRPr="00F720A6">
        <w:rPr>
          <w:lang w:val="fr-FR"/>
        </w:rPr>
        <w:t>exercice du droit à indemnisation. Le paragraphe 1 prévoit, pour un enfant dont le statut de victime est reconnu par une décision, la possibilité de soumettre au tribunal compétent une requête en indemnisation du préjudice auprès des fonds décrits au paragraphe 1 de l</w:t>
      </w:r>
      <w:r w:rsidR="00254912">
        <w:rPr>
          <w:lang w:val="fr-FR"/>
        </w:rPr>
        <w:t>’</w:t>
      </w:r>
      <w:r w:rsidRPr="00F720A6">
        <w:rPr>
          <w:lang w:val="fr-FR"/>
        </w:rPr>
        <w:t>article 151 de cette loi si ces demandes ont été acceptées, et dès lors qu</w:t>
      </w:r>
      <w:r w:rsidR="00254912">
        <w:rPr>
          <w:lang w:val="fr-FR"/>
        </w:rPr>
        <w:t>’</w:t>
      </w:r>
      <w:r w:rsidRPr="00F720A6">
        <w:rPr>
          <w:lang w:val="fr-FR"/>
        </w:rPr>
        <w:t>elles ne peuvent être satisfaites à partir des biens de l</w:t>
      </w:r>
      <w:r w:rsidR="00254912">
        <w:rPr>
          <w:lang w:val="fr-FR"/>
        </w:rPr>
        <w:t>’</w:t>
      </w:r>
      <w:r w:rsidRPr="00F720A6">
        <w:rPr>
          <w:lang w:val="fr-FR"/>
        </w:rPr>
        <w:t>auteur de l</w:t>
      </w:r>
      <w:r w:rsidR="00254912">
        <w:rPr>
          <w:lang w:val="fr-FR"/>
        </w:rPr>
        <w:t>’</w:t>
      </w:r>
      <w:r w:rsidRPr="00F720A6">
        <w:rPr>
          <w:lang w:val="fr-FR"/>
        </w:rPr>
        <w:t>infraction en raison d</w:t>
      </w:r>
      <w:r w:rsidR="00254912">
        <w:rPr>
          <w:lang w:val="fr-FR"/>
        </w:rPr>
        <w:t>’</w:t>
      </w:r>
      <w:r w:rsidRPr="00F720A6">
        <w:rPr>
          <w:lang w:val="fr-FR"/>
        </w:rPr>
        <w:t xml:space="preserve">obstacles factuels ou juridiques et que plus de six mois se sont écoulés depuis la décision juridiquement contraignante validant lesdites réclamations. </w:t>
      </w:r>
    </w:p>
    <w:p w14:paraId="7FB95CBA" w14:textId="77777777" w:rsidR="003C48D6" w:rsidRPr="00F720A6" w:rsidRDefault="003C48D6" w:rsidP="00E54B27">
      <w:pPr>
        <w:pStyle w:val="SingleTxtG"/>
        <w:rPr>
          <w:lang w:val="fr-FR"/>
        </w:rPr>
      </w:pPr>
      <w:r w:rsidRPr="00F720A6">
        <w:rPr>
          <w:lang w:val="fr-FR"/>
        </w:rPr>
        <w:t>224.</w:t>
      </w:r>
      <w:r w:rsidRPr="00F720A6">
        <w:rPr>
          <w:lang w:val="fr-FR"/>
        </w:rPr>
        <w:tab/>
        <w:t>Un commentaire de la loi sur la justice pour les enfants a été élaboré avec l</w:t>
      </w:r>
      <w:r w:rsidR="00254912">
        <w:rPr>
          <w:lang w:val="fr-FR"/>
        </w:rPr>
        <w:t>’</w:t>
      </w:r>
      <w:r w:rsidRPr="00F720A6">
        <w:rPr>
          <w:lang w:val="fr-FR"/>
        </w:rPr>
        <w:t>aide de l</w:t>
      </w:r>
      <w:r w:rsidR="00254912">
        <w:rPr>
          <w:lang w:val="fr-FR"/>
        </w:rPr>
        <w:t>’</w:t>
      </w:r>
      <w:r w:rsidRPr="00F720A6">
        <w:rPr>
          <w:lang w:val="fr-FR"/>
        </w:rPr>
        <w:t>UNICEF, et devrait aider à en faire progresser la mise en œuvre.</w:t>
      </w:r>
    </w:p>
    <w:p w14:paraId="05274F39" w14:textId="77777777" w:rsidR="003C48D6" w:rsidRPr="00F720A6" w:rsidRDefault="003C48D6" w:rsidP="00E54B27">
      <w:pPr>
        <w:pStyle w:val="H23G"/>
        <w:rPr>
          <w:lang w:val="fr-FR"/>
        </w:rPr>
      </w:pPr>
      <w:bookmarkStart w:id="87" w:name="_Hlk56697043"/>
      <w:r w:rsidRPr="00F720A6">
        <w:rPr>
          <w:lang w:val="fr-FR"/>
        </w:rPr>
        <w:t xml:space="preserve"> </w:t>
      </w:r>
      <w:r w:rsidRPr="00F720A6">
        <w:rPr>
          <w:lang w:val="fr-FR"/>
        </w:rPr>
        <w:tab/>
      </w:r>
      <w:r w:rsidRPr="00F720A6">
        <w:rPr>
          <w:lang w:val="fr-FR"/>
        </w:rPr>
        <w:tab/>
        <w:t>Réadaptation physique et psychologique et réinsertion sociale (art. 39)</w:t>
      </w:r>
      <w:bookmarkStart w:id="88" w:name="_Toc56781485"/>
      <w:bookmarkEnd w:id="88"/>
    </w:p>
    <w:bookmarkEnd w:id="87"/>
    <w:p w14:paraId="5016F6BA" w14:textId="77777777" w:rsidR="003C48D6" w:rsidRPr="00F720A6" w:rsidRDefault="003C48D6" w:rsidP="00E54B27">
      <w:pPr>
        <w:pStyle w:val="SingleTxtG"/>
        <w:rPr>
          <w:lang w:val="fr-FR"/>
        </w:rPr>
      </w:pPr>
      <w:r w:rsidRPr="00F720A6">
        <w:rPr>
          <w:lang w:val="fr-FR"/>
        </w:rPr>
        <w:t>225.</w:t>
      </w:r>
      <w:r w:rsidRPr="00F720A6">
        <w:rPr>
          <w:lang w:val="fr-FR"/>
        </w:rPr>
        <w:tab/>
        <w:t>Un programme de resocialisation et de réintégration des victimes de la traite des êtres humains a été finalisé. Il sera mis en œuvre par le Ministère du travail et de la politique sociale et les professionnels des centres d</w:t>
      </w:r>
      <w:r w:rsidR="00254912">
        <w:rPr>
          <w:lang w:val="fr-FR"/>
        </w:rPr>
        <w:t>’</w:t>
      </w:r>
      <w:r w:rsidRPr="00F720A6">
        <w:rPr>
          <w:lang w:val="fr-FR"/>
        </w:rPr>
        <w:t xml:space="preserve">aide sociale, en collaboration avec des organisations de la société civile. </w:t>
      </w:r>
    </w:p>
    <w:p w14:paraId="1C04202E" w14:textId="77777777" w:rsidR="003C48D6" w:rsidRPr="00F720A6" w:rsidRDefault="003C48D6" w:rsidP="00E54B27">
      <w:pPr>
        <w:pStyle w:val="SingleTxtG"/>
        <w:rPr>
          <w:lang w:val="fr-FR"/>
        </w:rPr>
      </w:pPr>
      <w:r w:rsidRPr="00F720A6">
        <w:rPr>
          <w:lang w:val="fr-FR"/>
        </w:rPr>
        <w:t>226.</w:t>
      </w:r>
      <w:r w:rsidRPr="00F720A6">
        <w:rPr>
          <w:lang w:val="fr-FR"/>
        </w:rPr>
        <w:tab/>
        <w:t>Avec l</w:t>
      </w:r>
      <w:r w:rsidR="00254912">
        <w:rPr>
          <w:lang w:val="fr-FR"/>
        </w:rPr>
        <w:t>’</w:t>
      </w:r>
      <w:r w:rsidRPr="00F720A6">
        <w:rPr>
          <w:lang w:val="fr-FR"/>
        </w:rPr>
        <w:t xml:space="preserve">autorisation du Ministère du travail et de la politique sociale, un programme de soutien </w:t>
      </w:r>
      <w:proofErr w:type="spellStart"/>
      <w:r w:rsidRPr="00F720A6">
        <w:rPr>
          <w:lang w:val="fr-FR"/>
        </w:rPr>
        <w:t>psychosocial</w:t>
      </w:r>
      <w:proofErr w:type="spellEnd"/>
      <w:r w:rsidRPr="00F720A6">
        <w:rPr>
          <w:lang w:val="fr-FR"/>
        </w:rPr>
        <w:t xml:space="preserve"> des victimes, conçu par l</w:t>
      </w:r>
      <w:r w:rsidR="00254912">
        <w:rPr>
          <w:lang w:val="fr-FR"/>
        </w:rPr>
        <w:t>’</w:t>
      </w:r>
      <w:r w:rsidRPr="00F720A6">
        <w:rPr>
          <w:lang w:val="fr-FR"/>
        </w:rPr>
        <w:t xml:space="preserve">organisation de la société civile « Open </w:t>
      </w:r>
      <w:proofErr w:type="spellStart"/>
      <w:r w:rsidRPr="00F720A6">
        <w:rPr>
          <w:lang w:val="fr-FR"/>
        </w:rPr>
        <w:t>Gate</w:t>
      </w:r>
      <w:proofErr w:type="spellEnd"/>
      <w:r w:rsidRPr="00F720A6">
        <w:rPr>
          <w:lang w:val="fr-FR"/>
        </w:rPr>
        <w:t> », est mis en œuvre au Centre pour les victimes de la traite des êtres humains et de la violence sexuelle.</w:t>
      </w:r>
    </w:p>
    <w:p w14:paraId="655339AF" w14:textId="77777777" w:rsidR="003C48D6" w:rsidRPr="00F720A6" w:rsidRDefault="003C48D6" w:rsidP="00E54B27">
      <w:pPr>
        <w:pStyle w:val="SingleTxtG"/>
        <w:rPr>
          <w:lang w:val="fr-FR"/>
        </w:rPr>
      </w:pPr>
      <w:r w:rsidRPr="00F720A6">
        <w:rPr>
          <w:lang w:val="fr-FR"/>
        </w:rPr>
        <w:t>227.</w:t>
      </w:r>
      <w:r w:rsidRPr="00F720A6">
        <w:rPr>
          <w:lang w:val="fr-FR"/>
        </w:rPr>
        <w:tab/>
        <w:t>Conformément à la loi sur la protection sociale, l</w:t>
      </w:r>
      <w:r w:rsidR="00254912">
        <w:rPr>
          <w:lang w:val="fr-FR"/>
        </w:rPr>
        <w:t>’</w:t>
      </w:r>
      <w:r w:rsidRPr="00F720A6">
        <w:rPr>
          <w:lang w:val="fr-FR"/>
        </w:rPr>
        <w:t>Institut du travail social, qui est une institution publique, est autorisé à dispenser des formations aux professionnels de la protection sociale. De 2014 à 2017, les programmes de formation suivants ont été menés à bien : 74 experts, tous rattachés aux centres d</w:t>
      </w:r>
      <w:r w:rsidR="00254912">
        <w:rPr>
          <w:lang w:val="fr-FR"/>
        </w:rPr>
        <w:t>’</w:t>
      </w:r>
      <w:r w:rsidRPr="00F720A6">
        <w:rPr>
          <w:lang w:val="fr-FR"/>
        </w:rPr>
        <w:t>aide sociale, ont été formés au travail avec les enfants victimes d</w:t>
      </w:r>
      <w:r w:rsidR="00254912">
        <w:rPr>
          <w:lang w:val="fr-FR"/>
        </w:rPr>
        <w:t>’</w:t>
      </w:r>
      <w:r w:rsidRPr="00F720A6">
        <w:rPr>
          <w:lang w:val="fr-FR"/>
        </w:rPr>
        <w:t>abus sexuels ; 103 ont été formés aux « procédures de traitement institutionnel des enfants victimes de violence » ; 37 experts ont été formés à la reconnaissance des indicateurs des enfants victimes ; et 30 experts rattachés à des institutions du système de protection sociale des enfants ont été formés au travail avec les enfants victimes d</w:t>
      </w:r>
      <w:r w:rsidR="00254912">
        <w:rPr>
          <w:lang w:val="fr-FR"/>
        </w:rPr>
        <w:t>’</w:t>
      </w:r>
      <w:r w:rsidRPr="00F720A6">
        <w:rPr>
          <w:lang w:val="fr-FR"/>
        </w:rPr>
        <w:t>infractions pénales.</w:t>
      </w:r>
    </w:p>
    <w:p w14:paraId="44D8D886" w14:textId="77777777" w:rsidR="003C48D6" w:rsidRPr="00F720A6" w:rsidRDefault="003C48D6" w:rsidP="00E54B27">
      <w:pPr>
        <w:pStyle w:val="H23G"/>
        <w:rPr>
          <w:lang w:val="fr-FR"/>
        </w:rPr>
      </w:pPr>
      <w:r w:rsidRPr="00F720A6">
        <w:rPr>
          <w:lang w:val="fr-FR"/>
        </w:rPr>
        <w:tab/>
        <w:t>f)</w:t>
      </w:r>
      <w:r w:rsidRPr="00F720A6">
        <w:rPr>
          <w:lang w:val="fr-FR"/>
        </w:rPr>
        <w:tab/>
        <w:t>Enfants dans les conflits armés (art. 38), y compris leur réadaptation physique et</w:t>
      </w:r>
      <w:r w:rsidR="00E54B27">
        <w:rPr>
          <w:lang w:val="fr-FR"/>
        </w:rPr>
        <w:t> </w:t>
      </w:r>
      <w:r w:rsidRPr="00F720A6">
        <w:rPr>
          <w:lang w:val="fr-FR"/>
        </w:rPr>
        <w:t>psychologique et leur réinsertion sociale (art. 39)</w:t>
      </w:r>
      <w:bookmarkStart w:id="89" w:name="_Toc56781486"/>
      <w:bookmarkEnd w:id="89"/>
    </w:p>
    <w:p w14:paraId="4DF76060" w14:textId="77777777" w:rsidR="003C48D6" w:rsidRPr="00F720A6" w:rsidRDefault="003C48D6" w:rsidP="001F1900">
      <w:pPr>
        <w:pStyle w:val="SingleTxtG"/>
        <w:rPr>
          <w:lang w:val="fr-FR"/>
        </w:rPr>
      </w:pPr>
      <w:r w:rsidRPr="00F720A6">
        <w:rPr>
          <w:lang w:val="fr-FR"/>
        </w:rPr>
        <w:t>228.</w:t>
      </w:r>
      <w:r w:rsidRPr="00F720A6">
        <w:rPr>
          <w:lang w:val="fr-FR"/>
        </w:rPr>
        <w:tab/>
        <w:t>Aucun mécanisme n</w:t>
      </w:r>
      <w:r w:rsidR="00254912">
        <w:rPr>
          <w:lang w:val="fr-FR"/>
        </w:rPr>
        <w:t>’</w:t>
      </w:r>
      <w:r w:rsidRPr="00F720A6">
        <w:rPr>
          <w:lang w:val="fr-FR"/>
        </w:rPr>
        <w:t>a été élaboré pour détecter les enfants impliqués dans un conflit armé. Compte tenu de la brièveté du séjour des enfants demandeurs d</w:t>
      </w:r>
      <w:r w:rsidR="00254912">
        <w:rPr>
          <w:lang w:val="fr-FR"/>
        </w:rPr>
        <w:t>’</w:t>
      </w:r>
      <w:r w:rsidRPr="00F720A6">
        <w:rPr>
          <w:lang w:val="fr-FR"/>
        </w:rPr>
        <w:t>asile au Centre d</w:t>
      </w:r>
      <w:r w:rsidR="00254912">
        <w:rPr>
          <w:lang w:val="fr-FR"/>
        </w:rPr>
        <w:t>’</w:t>
      </w:r>
      <w:r w:rsidRPr="00F720A6">
        <w:rPr>
          <w:lang w:val="fr-FR"/>
        </w:rPr>
        <w:t>accueil pour demandeurs d</w:t>
      </w:r>
      <w:r w:rsidR="00254912">
        <w:rPr>
          <w:lang w:val="fr-FR"/>
        </w:rPr>
        <w:t>’</w:t>
      </w:r>
      <w:r w:rsidRPr="00F720A6">
        <w:rPr>
          <w:lang w:val="fr-FR"/>
        </w:rPr>
        <w:t>asile, le pays se doit de renforcer les capacités humaines qui seraient qualifiées pour utiliser des indicateurs permettant d</w:t>
      </w:r>
      <w:r w:rsidR="00254912">
        <w:rPr>
          <w:lang w:val="fr-FR"/>
        </w:rPr>
        <w:t>’</w:t>
      </w:r>
      <w:r w:rsidRPr="00F720A6">
        <w:rPr>
          <w:lang w:val="fr-FR"/>
        </w:rPr>
        <w:t xml:space="preserve">identifier les enfants impliqués dans un conflit armé ou y participant. </w:t>
      </w:r>
    </w:p>
    <w:p w14:paraId="26391898" w14:textId="77777777" w:rsidR="003C48D6" w:rsidRPr="00F720A6" w:rsidRDefault="003C48D6" w:rsidP="001F1900">
      <w:pPr>
        <w:pStyle w:val="SingleTxtG"/>
        <w:rPr>
          <w:lang w:val="fr-FR"/>
        </w:rPr>
      </w:pPr>
      <w:r w:rsidRPr="00F720A6">
        <w:rPr>
          <w:lang w:val="fr-FR"/>
        </w:rPr>
        <w:t>229.</w:t>
      </w:r>
      <w:r w:rsidRPr="00F720A6">
        <w:rPr>
          <w:lang w:val="fr-FR"/>
        </w:rPr>
        <w:tab/>
        <w:t>Le Protocole facultatif, la législation nationale, la stratégie nationale et le plan d</w:t>
      </w:r>
      <w:r w:rsidR="00254912">
        <w:rPr>
          <w:lang w:val="fr-FR"/>
        </w:rPr>
        <w:t>’</w:t>
      </w:r>
      <w:r w:rsidRPr="00F720A6">
        <w:rPr>
          <w:lang w:val="fr-FR"/>
        </w:rPr>
        <w:t>action national 2017-2020 décrivent divers moyens de protection des enfants et des victimes.</w:t>
      </w:r>
    </w:p>
    <w:p w14:paraId="77715143" w14:textId="77777777" w:rsidR="003C48D6" w:rsidRPr="00F720A6" w:rsidRDefault="003C48D6" w:rsidP="001F1900">
      <w:pPr>
        <w:pStyle w:val="SingleTxtG"/>
        <w:rPr>
          <w:lang w:val="fr-FR"/>
        </w:rPr>
      </w:pPr>
      <w:r w:rsidRPr="00F720A6">
        <w:rPr>
          <w:lang w:val="fr-FR"/>
        </w:rPr>
        <w:t>230.</w:t>
      </w:r>
      <w:r w:rsidRPr="00F720A6">
        <w:rPr>
          <w:lang w:val="fr-FR"/>
        </w:rPr>
        <w:tab/>
        <w:t>Les procédures opérationnelles normalisées pour les victimes de la traite des êtres humains prévoient des modes opératoires distincts pour les enfants victimes, selon lesquels ces enfants (tant nationaux qu</w:t>
      </w:r>
      <w:r w:rsidR="00254912">
        <w:rPr>
          <w:lang w:val="fr-FR"/>
        </w:rPr>
        <w:t>’</w:t>
      </w:r>
      <w:r w:rsidRPr="00F720A6">
        <w:rPr>
          <w:lang w:val="fr-FR"/>
        </w:rPr>
        <w:t>étrangers) jouissent de tous les droits prévus par les lois nationales et les instruments internationaux, ainsi que d</w:t>
      </w:r>
      <w:r w:rsidR="00254912">
        <w:rPr>
          <w:lang w:val="fr-FR"/>
        </w:rPr>
        <w:t>’</w:t>
      </w:r>
      <w:r w:rsidRPr="00F720A6">
        <w:rPr>
          <w:lang w:val="fr-FR"/>
        </w:rPr>
        <w:t>une protection spécifique en matière d</w:t>
      </w:r>
      <w:r w:rsidR="00254912">
        <w:rPr>
          <w:lang w:val="fr-FR"/>
        </w:rPr>
        <w:t>’</w:t>
      </w:r>
      <w:r w:rsidRPr="00F720A6">
        <w:rPr>
          <w:lang w:val="fr-FR"/>
        </w:rPr>
        <w:t>identification et d</w:t>
      </w:r>
      <w:r w:rsidR="00254912">
        <w:rPr>
          <w:lang w:val="fr-FR"/>
        </w:rPr>
        <w:t>’</w:t>
      </w:r>
      <w:r w:rsidRPr="00F720A6">
        <w:rPr>
          <w:lang w:val="fr-FR"/>
        </w:rPr>
        <w:t>orientation, de soins préliminaires et d</w:t>
      </w:r>
      <w:r w:rsidR="00254912">
        <w:rPr>
          <w:lang w:val="fr-FR"/>
        </w:rPr>
        <w:t>’</w:t>
      </w:r>
      <w:r w:rsidRPr="00F720A6">
        <w:rPr>
          <w:lang w:val="fr-FR"/>
        </w:rPr>
        <w:t>assistance à moyen terme, de</w:t>
      </w:r>
      <w:r w:rsidR="003849FC">
        <w:rPr>
          <w:lang w:val="fr-FR"/>
        </w:rPr>
        <w:t> </w:t>
      </w:r>
      <w:r w:rsidRPr="00F720A6">
        <w:rPr>
          <w:lang w:val="fr-FR"/>
        </w:rPr>
        <w:t>dispositions de retour, de réintégration et de procédures pénales.</w:t>
      </w:r>
    </w:p>
    <w:p w14:paraId="51477392" w14:textId="77777777" w:rsidR="003C48D6" w:rsidRPr="00F720A6" w:rsidRDefault="003C48D6" w:rsidP="001F1900">
      <w:pPr>
        <w:pStyle w:val="SingleTxtG"/>
        <w:rPr>
          <w:lang w:val="fr-FR"/>
        </w:rPr>
      </w:pPr>
      <w:r w:rsidRPr="00F720A6">
        <w:rPr>
          <w:lang w:val="fr-FR"/>
        </w:rPr>
        <w:t>231.</w:t>
      </w:r>
      <w:r w:rsidRPr="00F720A6">
        <w:rPr>
          <w:lang w:val="fr-FR"/>
        </w:rPr>
        <w:tab/>
        <w:t>En outre, les lignes directrices du Guide de l</w:t>
      </w:r>
      <w:r w:rsidR="00254912">
        <w:rPr>
          <w:lang w:val="fr-FR"/>
        </w:rPr>
        <w:t>’</w:t>
      </w:r>
      <w:r w:rsidRPr="00F720A6">
        <w:rPr>
          <w:lang w:val="fr-FR"/>
        </w:rPr>
        <w:t>UNICEF pour la protection des droits des enfants victimes de la traite des êtres humains sont également mises en œuvre, ce qui garantit l</w:t>
      </w:r>
      <w:r w:rsidR="00254912">
        <w:rPr>
          <w:lang w:val="fr-FR"/>
        </w:rPr>
        <w:t>’</w:t>
      </w:r>
      <w:r w:rsidRPr="00F720A6">
        <w:rPr>
          <w:lang w:val="fr-FR"/>
        </w:rPr>
        <w:t>application des normes de base dans le traitement et la mise en œuvre de mesures spécifiques de protection et d</w:t>
      </w:r>
      <w:r w:rsidR="00254912">
        <w:rPr>
          <w:lang w:val="fr-FR"/>
        </w:rPr>
        <w:t>’</w:t>
      </w:r>
      <w:r w:rsidRPr="00F720A6">
        <w:rPr>
          <w:lang w:val="fr-FR"/>
        </w:rPr>
        <w:t>assistance destinées aux enfants, ainsi qu</w:t>
      </w:r>
      <w:r w:rsidR="00254912">
        <w:rPr>
          <w:lang w:val="fr-FR"/>
        </w:rPr>
        <w:t>’</w:t>
      </w:r>
      <w:r w:rsidRPr="00F720A6">
        <w:rPr>
          <w:lang w:val="fr-FR"/>
        </w:rPr>
        <w:t xml:space="preserve">à toute autre personne concernée. </w:t>
      </w:r>
    </w:p>
    <w:p w14:paraId="3D29882C" w14:textId="77777777" w:rsidR="003C48D6" w:rsidRPr="00F720A6" w:rsidRDefault="003C48D6" w:rsidP="001F1900">
      <w:pPr>
        <w:pStyle w:val="SingleTxtG"/>
        <w:rPr>
          <w:lang w:val="fr-FR"/>
        </w:rPr>
      </w:pPr>
      <w:r w:rsidRPr="00F720A6">
        <w:rPr>
          <w:lang w:val="fr-FR"/>
        </w:rPr>
        <w:t>232.</w:t>
      </w:r>
      <w:r w:rsidRPr="00F720A6">
        <w:rPr>
          <w:lang w:val="fr-FR"/>
        </w:rPr>
        <w:tab/>
        <w:t>Aucun registre n</w:t>
      </w:r>
      <w:r w:rsidR="00254912">
        <w:rPr>
          <w:lang w:val="fr-FR"/>
        </w:rPr>
        <w:t>’</w:t>
      </w:r>
      <w:r w:rsidRPr="00F720A6">
        <w:rPr>
          <w:lang w:val="fr-FR"/>
        </w:rPr>
        <w:t>est tenu sur les enfants non accompagnés qui ont obtenu une protection internationale. Toutefois, dans le cas des enfants réfugiés et des enfants bénéficiant du statut de personnes sous protection subsidiaire, il existe une possibilité légale d</w:t>
      </w:r>
      <w:r w:rsidR="00254912">
        <w:rPr>
          <w:lang w:val="fr-FR"/>
        </w:rPr>
        <w:t>’</w:t>
      </w:r>
      <w:r w:rsidRPr="00F720A6">
        <w:rPr>
          <w:lang w:val="fr-FR"/>
        </w:rPr>
        <w:t>accéder à l</w:t>
      </w:r>
      <w:r w:rsidR="00254912">
        <w:rPr>
          <w:lang w:val="fr-FR"/>
        </w:rPr>
        <w:t>’</w:t>
      </w:r>
      <w:r w:rsidRPr="00F720A6">
        <w:rPr>
          <w:lang w:val="fr-FR"/>
        </w:rPr>
        <w:t>éducation et aux soins de santé dans les mêmes conditions que les ressortissants macédoniens. Les modifications apportées en 2012 à la loi sur l</w:t>
      </w:r>
      <w:r w:rsidR="00254912">
        <w:rPr>
          <w:lang w:val="fr-FR"/>
        </w:rPr>
        <w:t>’</w:t>
      </w:r>
      <w:r w:rsidRPr="00F720A6">
        <w:rPr>
          <w:lang w:val="fr-FR"/>
        </w:rPr>
        <w:t xml:space="preserve">assurance maladie font des </w:t>
      </w:r>
      <w:r w:rsidRPr="00F720A6">
        <w:rPr>
          <w:lang w:val="fr-FR"/>
        </w:rPr>
        <w:lastRenderedPageBreak/>
        <w:t>personnes sous protection internationale les égales des ressortissants macédoniens en ce qui concerne l</w:t>
      </w:r>
      <w:r w:rsidR="00254912">
        <w:rPr>
          <w:lang w:val="fr-FR"/>
        </w:rPr>
        <w:t>’</w:t>
      </w:r>
      <w:r w:rsidRPr="00F720A6">
        <w:rPr>
          <w:lang w:val="fr-FR"/>
        </w:rPr>
        <w:t>assurance maladie. En outre, les familles de réfugiés qui s</w:t>
      </w:r>
      <w:r w:rsidR="00254912">
        <w:rPr>
          <w:lang w:val="fr-FR"/>
        </w:rPr>
        <w:t>’</w:t>
      </w:r>
      <w:r w:rsidRPr="00F720A6">
        <w:rPr>
          <w:lang w:val="fr-FR"/>
        </w:rPr>
        <w:t>engagent volontairement dans le processus d</w:t>
      </w:r>
      <w:r w:rsidR="00254912">
        <w:rPr>
          <w:lang w:val="fr-FR"/>
        </w:rPr>
        <w:t>’</w:t>
      </w:r>
      <w:r w:rsidRPr="00F720A6">
        <w:rPr>
          <w:lang w:val="fr-FR"/>
        </w:rPr>
        <w:t>intégration locale par l</w:t>
      </w:r>
      <w:r w:rsidR="00254912">
        <w:rPr>
          <w:lang w:val="fr-FR"/>
        </w:rPr>
        <w:t>’</w:t>
      </w:r>
      <w:r w:rsidRPr="00F720A6">
        <w:rPr>
          <w:lang w:val="fr-FR"/>
        </w:rPr>
        <w:t>intermédiaire du Centre d</w:t>
      </w:r>
      <w:r w:rsidR="00254912">
        <w:rPr>
          <w:lang w:val="fr-FR"/>
        </w:rPr>
        <w:t>’</w:t>
      </w:r>
      <w:r w:rsidRPr="00F720A6">
        <w:rPr>
          <w:lang w:val="fr-FR"/>
        </w:rPr>
        <w:t>intégration des réfugiés et des étrangers bénéficient d</w:t>
      </w:r>
      <w:r w:rsidR="00254912">
        <w:rPr>
          <w:lang w:val="fr-FR"/>
        </w:rPr>
        <w:t>’</w:t>
      </w:r>
      <w:r w:rsidRPr="00F720A6">
        <w:rPr>
          <w:lang w:val="fr-FR"/>
        </w:rPr>
        <w:t>un soutien sous forme de parrainage et d</w:t>
      </w:r>
      <w:r w:rsidR="00254912">
        <w:rPr>
          <w:lang w:val="fr-FR"/>
        </w:rPr>
        <w:t>’</w:t>
      </w:r>
      <w:r w:rsidRPr="00F720A6">
        <w:rPr>
          <w:lang w:val="fr-FR"/>
        </w:rPr>
        <w:t>une aide concrète dans leur vie quotidienne, notamment la possibilité pour les enfants de fréquenter l</w:t>
      </w:r>
      <w:r w:rsidR="00254912">
        <w:rPr>
          <w:lang w:val="fr-FR"/>
        </w:rPr>
        <w:t>’</w:t>
      </w:r>
      <w:r w:rsidRPr="00F720A6">
        <w:rPr>
          <w:lang w:val="fr-FR"/>
        </w:rPr>
        <w:t>école primaire ou secondaire, ces deux niveaux d</w:t>
      </w:r>
      <w:r w:rsidR="00254912">
        <w:rPr>
          <w:lang w:val="fr-FR"/>
        </w:rPr>
        <w:t>’</w:t>
      </w:r>
      <w:r w:rsidRPr="00F720A6">
        <w:rPr>
          <w:lang w:val="fr-FR"/>
        </w:rPr>
        <w:t>enseignement étant obligatoires.</w:t>
      </w:r>
    </w:p>
    <w:p w14:paraId="7D59DB8B" w14:textId="77777777" w:rsidR="003C48D6" w:rsidRPr="00F720A6" w:rsidRDefault="003C48D6" w:rsidP="001F1900">
      <w:pPr>
        <w:pStyle w:val="H1G"/>
        <w:rPr>
          <w:lang w:val="fr-FR"/>
        </w:rPr>
      </w:pPr>
      <w:r w:rsidRPr="00F720A6">
        <w:rPr>
          <w:lang w:val="fr-FR"/>
        </w:rPr>
        <w:tab/>
        <w:t>10.</w:t>
      </w:r>
      <w:r w:rsidRPr="00F720A6">
        <w:rPr>
          <w:lang w:val="fr-FR"/>
        </w:rPr>
        <w:tab/>
        <w:t xml:space="preserve">Actions visant la mise en œuvre du Protocole facultatif </w:t>
      </w:r>
      <w:r w:rsidR="001F1900">
        <w:rPr>
          <w:lang w:val="fr-FR"/>
        </w:rPr>
        <w:br/>
      </w:r>
      <w:r w:rsidRPr="00F720A6">
        <w:rPr>
          <w:lang w:val="fr-FR"/>
        </w:rPr>
        <w:t>concernant la vente d</w:t>
      </w:r>
      <w:r w:rsidR="00254912">
        <w:rPr>
          <w:lang w:val="fr-FR"/>
        </w:rPr>
        <w:t>’</w:t>
      </w:r>
      <w:r w:rsidRPr="00F720A6">
        <w:rPr>
          <w:lang w:val="fr-FR"/>
        </w:rPr>
        <w:t xml:space="preserve">enfants, la prostitution des enfants </w:t>
      </w:r>
      <w:r w:rsidR="001F1900">
        <w:rPr>
          <w:lang w:val="fr-FR"/>
        </w:rPr>
        <w:br/>
      </w:r>
      <w:r w:rsidRPr="00F720A6">
        <w:rPr>
          <w:lang w:val="fr-FR"/>
        </w:rPr>
        <w:t>et la pornographie mettant en scène des enfants</w:t>
      </w:r>
      <w:bookmarkStart w:id="90" w:name="_Toc56781487"/>
      <w:bookmarkEnd w:id="90"/>
    </w:p>
    <w:p w14:paraId="7B486259" w14:textId="77777777" w:rsidR="003C48D6" w:rsidRPr="00F720A6" w:rsidRDefault="003C48D6" w:rsidP="001F1900">
      <w:pPr>
        <w:pStyle w:val="H23G"/>
        <w:rPr>
          <w:lang w:val="fr-FR"/>
        </w:rPr>
      </w:pPr>
      <w:r w:rsidRPr="00F720A6">
        <w:rPr>
          <w:lang w:val="fr-FR"/>
        </w:rPr>
        <w:tab/>
        <w:t>a)</w:t>
      </w:r>
      <w:r w:rsidRPr="00F720A6">
        <w:rPr>
          <w:lang w:val="fr-FR"/>
        </w:rPr>
        <w:tab/>
        <w:t>Les recommandations concernant la vente d</w:t>
      </w:r>
      <w:r w:rsidR="00254912">
        <w:rPr>
          <w:lang w:val="fr-FR"/>
        </w:rPr>
        <w:t>’</w:t>
      </w:r>
      <w:r w:rsidRPr="00F720A6">
        <w:rPr>
          <w:lang w:val="fr-FR"/>
        </w:rPr>
        <w:t>enfants sont intégrées dans la Stratégie nationale et le Plan d</w:t>
      </w:r>
      <w:r w:rsidR="00254912">
        <w:rPr>
          <w:lang w:val="fr-FR"/>
        </w:rPr>
        <w:t>’</w:t>
      </w:r>
      <w:r w:rsidRPr="00F720A6">
        <w:rPr>
          <w:lang w:val="fr-FR"/>
        </w:rPr>
        <w:t>action de lutte contre la traite des êtres humains 2017-2020, et</w:t>
      </w:r>
      <w:r w:rsidR="001F1900">
        <w:rPr>
          <w:lang w:val="fr-FR"/>
        </w:rPr>
        <w:t> </w:t>
      </w:r>
      <w:r w:rsidRPr="00F720A6">
        <w:rPr>
          <w:lang w:val="fr-FR"/>
        </w:rPr>
        <w:t>devraient être mises en œuvre conformément au calendrier fixé</w:t>
      </w:r>
      <w:bookmarkStart w:id="91" w:name="_Toc56781488"/>
      <w:bookmarkEnd w:id="91"/>
    </w:p>
    <w:p w14:paraId="22F1DE1B" w14:textId="77777777" w:rsidR="003C48D6" w:rsidRPr="00F720A6" w:rsidRDefault="003C48D6" w:rsidP="001F1900">
      <w:pPr>
        <w:pStyle w:val="SingleTxtG"/>
        <w:rPr>
          <w:lang w:val="fr-FR"/>
        </w:rPr>
      </w:pPr>
      <w:r w:rsidRPr="00F720A6">
        <w:rPr>
          <w:lang w:val="fr-FR"/>
        </w:rPr>
        <w:t>233.</w:t>
      </w:r>
      <w:r w:rsidRPr="00F720A6">
        <w:rPr>
          <w:lang w:val="fr-FR"/>
        </w:rPr>
        <w:tab/>
        <w:t>Conformément à la recommandation n</w:t>
      </w:r>
      <w:r w:rsidR="003849FC" w:rsidRPr="003849FC">
        <w:rPr>
          <w:vertAlign w:val="superscript"/>
          <w:lang w:val="fr-FR"/>
        </w:rPr>
        <w:t>o</w:t>
      </w:r>
      <w:r w:rsidR="003849FC">
        <w:rPr>
          <w:lang w:val="fr-FR"/>
        </w:rPr>
        <w:t> </w:t>
      </w:r>
      <w:r w:rsidRPr="00F720A6">
        <w:rPr>
          <w:lang w:val="fr-FR"/>
        </w:rPr>
        <w:t>6 des observations finales du Comité (concernant le rapport présenté en vertu de l</w:t>
      </w:r>
      <w:r w:rsidR="00254912">
        <w:rPr>
          <w:lang w:val="fr-FR"/>
        </w:rPr>
        <w:t>’</w:t>
      </w:r>
      <w:r w:rsidRPr="00F720A6">
        <w:rPr>
          <w:lang w:val="fr-FR"/>
        </w:rPr>
        <w:t>article 8 du protocole facultatif), la Commission nationale de lutte contre la traite des êtres humains et les migrations illégales est chargée de la collecte de données sur la vente d</w:t>
      </w:r>
      <w:r w:rsidR="00254912">
        <w:rPr>
          <w:lang w:val="fr-FR"/>
        </w:rPr>
        <w:t>’</w:t>
      </w:r>
      <w:r w:rsidRPr="00F720A6">
        <w:rPr>
          <w:lang w:val="fr-FR"/>
        </w:rPr>
        <w:t>enfants et de la gestion de la base de données nationale.</w:t>
      </w:r>
    </w:p>
    <w:p w14:paraId="33E26955" w14:textId="77777777" w:rsidR="003C48D6" w:rsidRPr="00F720A6" w:rsidRDefault="003C48D6" w:rsidP="001F1900">
      <w:pPr>
        <w:pStyle w:val="SingleTxtG"/>
        <w:rPr>
          <w:lang w:val="fr-FR"/>
        </w:rPr>
      </w:pPr>
      <w:r w:rsidRPr="00F720A6">
        <w:rPr>
          <w:lang w:val="fr-FR"/>
        </w:rPr>
        <w:t>234.</w:t>
      </w:r>
      <w:r w:rsidRPr="00F720A6">
        <w:rPr>
          <w:lang w:val="fr-FR"/>
        </w:rPr>
        <w:tab/>
        <w:t>Cette Commission nationale est dirigée par le Coordonnateur national (le secrétaire d</w:t>
      </w:r>
      <w:r w:rsidR="00254912">
        <w:rPr>
          <w:lang w:val="fr-FR"/>
        </w:rPr>
        <w:t>’</w:t>
      </w:r>
      <w:r w:rsidRPr="00F720A6">
        <w:rPr>
          <w:lang w:val="fr-FR"/>
        </w:rPr>
        <w:t>État du Ministère de l</w:t>
      </w:r>
      <w:r w:rsidR="00254912">
        <w:rPr>
          <w:lang w:val="fr-FR"/>
        </w:rPr>
        <w:t>’</w:t>
      </w:r>
      <w:r w:rsidRPr="00F720A6">
        <w:rPr>
          <w:lang w:val="fr-FR"/>
        </w:rPr>
        <w:t>intérieur) et dispose également d</w:t>
      </w:r>
      <w:r w:rsidR="00254912">
        <w:rPr>
          <w:lang w:val="fr-FR"/>
        </w:rPr>
        <w:t>’</w:t>
      </w:r>
      <w:r w:rsidRPr="00F720A6">
        <w:rPr>
          <w:lang w:val="fr-FR"/>
        </w:rPr>
        <w:t>un Coordonnateur national adjoint, d</w:t>
      </w:r>
      <w:r w:rsidR="00254912">
        <w:rPr>
          <w:lang w:val="fr-FR"/>
        </w:rPr>
        <w:t>’</w:t>
      </w:r>
      <w:r w:rsidRPr="00F720A6">
        <w:rPr>
          <w:lang w:val="fr-FR"/>
        </w:rPr>
        <w:t>un Secrétaire et des membres de la Commission</w:t>
      </w:r>
      <w:r w:rsidRPr="002A465A">
        <w:rPr>
          <w:rStyle w:val="Appelnotedebasdep"/>
        </w:rPr>
        <w:footnoteReference w:id="55"/>
      </w:r>
      <w:r w:rsidRPr="00F720A6">
        <w:rPr>
          <w:lang w:val="fr-FR"/>
        </w:rPr>
        <w:t>. Deux organes ont été créés au sein de la Commission nationale en 2003 : un secrétariat et un sous-groupe de lutte contre la vente d</w:t>
      </w:r>
      <w:r w:rsidR="00254912">
        <w:rPr>
          <w:lang w:val="fr-FR"/>
        </w:rPr>
        <w:t>’</w:t>
      </w:r>
      <w:r w:rsidRPr="00F720A6">
        <w:rPr>
          <w:lang w:val="fr-FR"/>
        </w:rPr>
        <w:t xml:space="preserve">enfants, les deux étant des organes exécutifs de la Commission. </w:t>
      </w:r>
    </w:p>
    <w:p w14:paraId="0FEFAC36" w14:textId="77777777" w:rsidR="003C48D6" w:rsidRDefault="003C48D6" w:rsidP="001F1900">
      <w:pPr>
        <w:pStyle w:val="SingleTxtG"/>
        <w:keepNext/>
        <w:keepLines/>
        <w:suppressAutoHyphens w:val="0"/>
        <w:rPr>
          <w:lang w:val="fr-FR"/>
        </w:rPr>
      </w:pPr>
      <w:r w:rsidRPr="00F720A6">
        <w:rPr>
          <w:lang w:val="fr-FR"/>
        </w:rPr>
        <w:t>235.</w:t>
      </w:r>
      <w:r w:rsidRPr="00F720A6">
        <w:rPr>
          <w:lang w:val="fr-FR"/>
        </w:rPr>
        <w:tab/>
        <w:t>La Commission nationale conserve les données de toutes les institutions concernées par le processus d</w:t>
      </w:r>
      <w:r w:rsidR="00254912">
        <w:rPr>
          <w:lang w:val="fr-FR"/>
        </w:rPr>
        <w:t>’</w:t>
      </w:r>
      <w:r w:rsidRPr="00F720A6">
        <w:rPr>
          <w:lang w:val="fr-FR"/>
        </w:rPr>
        <w:t>identification des victimes de la traite des êtres humains. Les données sont ventilées par sexe, âge, origine ethnique, type d</w:t>
      </w:r>
      <w:r w:rsidR="00254912">
        <w:rPr>
          <w:lang w:val="fr-FR"/>
        </w:rPr>
        <w:t>’</w:t>
      </w:r>
      <w:r w:rsidRPr="00F720A6">
        <w:rPr>
          <w:lang w:val="fr-FR"/>
        </w:rPr>
        <w:t>exploitation, etc. Toutefois, il n</w:t>
      </w:r>
      <w:r w:rsidR="00254912">
        <w:rPr>
          <w:lang w:val="fr-FR"/>
        </w:rPr>
        <w:t>’</w:t>
      </w:r>
      <w:r w:rsidRPr="00F720A6">
        <w:rPr>
          <w:lang w:val="fr-FR"/>
        </w:rPr>
        <w:t>existe pas de données sur le milieu social. Les données statistiques sur la traite des êtres humains pour la période 2010-2018 sont les suivantes</w:t>
      </w:r>
      <w:r w:rsidRPr="002A465A">
        <w:rPr>
          <w:rStyle w:val="Appelnotedebasdep"/>
        </w:rPr>
        <w:footnoteReference w:id="56"/>
      </w:r>
      <w:r w:rsidRPr="00F720A6">
        <w:rPr>
          <w:lang w:val="fr-FR"/>
        </w:rPr>
        <w:t xml:space="preserve"> : </w:t>
      </w:r>
    </w:p>
    <w:tbl>
      <w:tblPr>
        <w:tblStyle w:val="Grilledutableau"/>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3"/>
        <w:gridCol w:w="797"/>
        <w:gridCol w:w="850"/>
        <w:gridCol w:w="851"/>
        <w:gridCol w:w="850"/>
        <w:gridCol w:w="851"/>
        <w:gridCol w:w="708"/>
        <w:gridCol w:w="785"/>
        <w:gridCol w:w="775"/>
        <w:gridCol w:w="706"/>
      </w:tblGrid>
      <w:tr w:rsidR="001F1900" w:rsidRPr="00EA791D" w14:paraId="531D3728" w14:textId="77777777" w:rsidTr="0076014B">
        <w:tc>
          <w:tcPr>
            <w:tcW w:w="1701" w:type="dxa"/>
            <w:vMerge w:val="restart"/>
            <w:tcBorders>
              <w:top w:val="single" w:sz="4" w:space="0" w:color="auto"/>
            </w:tcBorders>
            <w:shd w:val="clear" w:color="auto" w:fill="auto"/>
            <w:vAlign w:val="bottom"/>
          </w:tcPr>
          <w:p w14:paraId="78AE4E48" w14:textId="77777777" w:rsidR="001F1900" w:rsidRPr="00EA791D" w:rsidRDefault="001F1900" w:rsidP="001F1900">
            <w:pPr>
              <w:pStyle w:val="SingleTxtG"/>
              <w:keepNext/>
              <w:keepLines/>
              <w:suppressAutoHyphens w:val="0"/>
              <w:spacing w:before="80" w:after="80" w:line="200" w:lineRule="exact"/>
              <w:ind w:left="0" w:right="0"/>
              <w:jc w:val="left"/>
              <w:rPr>
                <w:i/>
                <w:sz w:val="16"/>
              </w:rPr>
            </w:pPr>
            <w:r w:rsidRPr="00F720A6">
              <w:rPr>
                <w:i/>
                <w:iCs/>
                <w:sz w:val="16"/>
                <w:szCs w:val="16"/>
                <w:lang w:val="fr-FR"/>
              </w:rPr>
              <w:t>Année d</w:t>
            </w:r>
            <w:r w:rsidR="00254912">
              <w:rPr>
                <w:i/>
                <w:iCs/>
                <w:sz w:val="16"/>
                <w:szCs w:val="16"/>
                <w:lang w:val="fr-FR"/>
              </w:rPr>
              <w:t>’</w:t>
            </w:r>
            <w:r w:rsidRPr="00F720A6">
              <w:rPr>
                <w:i/>
                <w:iCs/>
                <w:sz w:val="16"/>
                <w:szCs w:val="16"/>
                <w:lang w:val="fr-FR"/>
              </w:rPr>
              <w:t>identification</w:t>
            </w:r>
          </w:p>
        </w:tc>
        <w:tc>
          <w:tcPr>
            <w:tcW w:w="1560" w:type="dxa"/>
            <w:gridSpan w:val="2"/>
            <w:tcBorders>
              <w:top w:val="single" w:sz="4" w:space="0" w:color="auto"/>
              <w:bottom w:val="single" w:sz="4" w:space="0" w:color="auto"/>
              <w:right w:val="single" w:sz="24" w:space="0" w:color="FFFFFF" w:themeColor="background1"/>
            </w:tcBorders>
            <w:shd w:val="clear" w:color="auto" w:fill="auto"/>
            <w:vAlign w:val="bottom"/>
          </w:tcPr>
          <w:p w14:paraId="51FE28F9" w14:textId="77777777" w:rsidR="001F1900" w:rsidRPr="00EA791D" w:rsidRDefault="001F1900" w:rsidP="001F1900">
            <w:pPr>
              <w:pStyle w:val="SingleTxtG"/>
              <w:keepNext/>
              <w:keepLines/>
              <w:suppressAutoHyphens w:val="0"/>
              <w:spacing w:before="80" w:after="80" w:line="200" w:lineRule="exact"/>
              <w:ind w:left="0" w:right="0"/>
              <w:jc w:val="center"/>
              <w:rPr>
                <w:i/>
                <w:sz w:val="16"/>
              </w:rPr>
            </w:pPr>
            <w:r>
              <w:rPr>
                <w:i/>
                <w:sz w:val="16"/>
              </w:rPr>
              <w:t>2014</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E76CC60" w14:textId="77777777" w:rsidR="001F1900" w:rsidRPr="00EA791D" w:rsidRDefault="001F1900" w:rsidP="001F1900">
            <w:pPr>
              <w:pStyle w:val="SingleTxtG"/>
              <w:keepNext/>
              <w:keepLines/>
              <w:suppressAutoHyphens w:val="0"/>
              <w:spacing w:before="80" w:after="80" w:line="200" w:lineRule="exact"/>
              <w:ind w:left="0" w:right="0"/>
              <w:jc w:val="center"/>
              <w:rPr>
                <w:i/>
                <w:sz w:val="16"/>
              </w:rPr>
            </w:pPr>
            <w:r>
              <w:rPr>
                <w:i/>
                <w:sz w:val="16"/>
              </w:rPr>
              <w:t>2015</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E8B3246" w14:textId="77777777" w:rsidR="001F1900" w:rsidRPr="00EA791D" w:rsidRDefault="001F1900" w:rsidP="001F1900">
            <w:pPr>
              <w:pStyle w:val="SingleTxtG"/>
              <w:keepNext/>
              <w:keepLines/>
              <w:suppressAutoHyphens w:val="0"/>
              <w:spacing w:before="80" w:after="80" w:line="200" w:lineRule="exact"/>
              <w:ind w:left="0" w:right="0"/>
              <w:jc w:val="center"/>
              <w:rPr>
                <w:i/>
                <w:sz w:val="16"/>
              </w:rPr>
            </w:pPr>
            <w:r>
              <w:rPr>
                <w:i/>
                <w:sz w:val="16"/>
              </w:rPr>
              <w:t>2016</w:t>
            </w:r>
          </w:p>
        </w:tc>
        <w:tc>
          <w:tcPr>
            <w:tcW w:w="149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D14987F" w14:textId="77777777" w:rsidR="001F1900" w:rsidRPr="00EA791D" w:rsidRDefault="001F1900" w:rsidP="001F1900">
            <w:pPr>
              <w:pStyle w:val="SingleTxtG"/>
              <w:keepNext/>
              <w:keepLines/>
              <w:suppressAutoHyphens w:val="0"/>
              <w:spacing w:before="80" w:after="80" w:line="200" w:lineRule="exact"/>
              <w:ind w:left="0" w:right="0"/>
              <w:jc w:val="center"/>
              <w:rPr>
                <w:i/>
                <w:sz w:val="16"/>
              </w:rPr>
            </w:pPr>
            <w:r>
              <w:rPr>
                <w:i/>
                <w:sz w:val="16"/>
              </w:rPr>
              <w:t>2017</w:t>
            </w:r>
          </w:p>
        </w:tc>
        <w:tc>
          <w:tcPr>
            <w:tcW w:w="1481" w:type="dxa"/>
            <w:gridSpan w:val="2"/>
            <w:tcBorders>
              <w:top w:val="single" w:sz="4" w:space="0" w:color="auto"/>
              <w:left w:val="single" w:sz="24" w:space="0" w:color="FFFFFF" w:themeColor="background1"/>
              <w:bottom w:val="single" w:sz="4" w:space="0" w:color="auto"/>
            </w:tcBorders>
            <w:shd w:val="clear" w:color="auto" w:fill="auto"/>
            <w:vAlign w:val="bottom"/>
          </w:tcPr>
          <w:p w14:paraId="2A2B1DA6" w14:textId="77777777" w:rsidR="001F1900" w:rsidRPr="00EA791D" w:rsidRDefault="001F1900" w:rsidP="001F1900">
            <w:pPr>
              <w:pStyle w:val="SingleTxtG"/>
              <w:keepNext/>
              <w:keepLines/>
              <w:suppressAutoHyphens w:val="0"/>
              <w:spacing w:before="80" w:after="80" w:line="200" w:lineRule="exact"/>
              <w:ind w:left="0" w:right="0"/>
              <w:jc w:val="center"/>
              <w:rPr>
                <w:i/>
                <w:sz w:val="16"/>
              </w:rPr>
            </w:pPr>
            <w:r>
              <w:rPr>
                <w:i/>
                <w:sz w:val="16"/>
              </w:rPr>
              <w:t>2018</w:t>
            </w:r>
          </w:p>
        </w:tc>
      </w:tr>
      <w:tr w:rsidR="001F1900" w:rsidRPr="00EA791D" w14:paraId="2957CC43" w14:textId="77777777" w:rsidTr="0076014B">
        <w:tc>
          <w:tcPr>
            <w:tcW w:w="1701" w:type="dxa"/>
            <w:vMerge/>
            <w:tcBorders>
              <w:bottom w:val="single" w:sz="12" w:space="0" w:color="auto"/>
            </w:tcBorders>
            <w:shd w:val="clear" w:color="auto" w:fill="auto"/>
            <w:vAlign w:val="bottom"/>
          </w:tcPr>
          <w:p w14:paraId="22D9C8CF" w14:textId="77777777" w:rsidR="001F1900" w:rsidRPr="00EA791D" w:rsidRDefault="001F1900" w:rsidP="001F1900">
            <w:pPr>
              <w:pStyle w:val="SingleTxtG"/>
              <w:keepNext/>
              <w:keepLines/>
              <w:suppressAutoHyphens w:val="0"/>
              <w:spacing w:before="80" w:after="80" w:line="200" w:lineRule="exact"/>
              <w:ind w:left="0" w:right="0"/>
              <w:jc w:val="left"/>
              <w:rPr>
                <w:i/>
                <w:sz w:val="16"/>
              </w:rPr>
            </w:pPr>
          </w:p>
        </w:tc>
        <w:tc>
          <w:tcPr>
            <w:tcW w:w="763" w:type="dxa"/>
            <w:tcBorders>
              <w:top w:val="single" w:sz="4" w:space="0" w:color="auto"/>
              <w:bottom w:val="single" w:sz="12" w:space="0" w:color="auto"/>
            </w:tcBorders>
            <w:shd w:val="clear" w:color="auto" w:fill="auto"/>
            <w:vAlign w:val="bottom"/>
          </w:tcPr>
          <w:p w14:paraId="17F9676C" w14:textId="77777777" w:rsidR="001F1900" w:rsidRPr="00DE02B2" w:rsidRDefault="001F1900" w:rsidP="001F1900">
            <w:pPr>
              <w:pStyle w:val="SingleTxtG"/>
              <w:keepNext/>
              <w:keepLines/>
              <w:tabs>
                <w:tab w:val="clear" w:pos="1701"/>
                <w:tab w:val="clear" w:pos="2268"/>
                <w:tab w:val="clear" w:pos="2835"/>
              </w:tabs>
              <w:suppressAutoHyphens w:val="0"/>
              <w:spacing w:before="80" w:after="80" w:line="200" w:lineRule="exact"/>
              <w:ind w:left="113" w:right="28"/>
              <w:jc w:val="right"/>
              <w:rPr>
                <w:i/>
                <w:iCs/>
                <w:sz w:val="16"/>
              </w:rPr>
            </w:pPr>
            <w:r>
              <w:rPr>
                <w:i/>
                <w:iCs/>
                <w:sz w:val="16"/>
              </w:rPr>
              <w:t>Enfants</w:t>
            </w:r>
          </w:p>
        </w:tc>
        <w:tc>
          <w:tcPr>
            <w:tcW w:w="797" w:type="dxa"/>
            <w:tcBorders>
              <w:top w:val="single" w:sz="4" w:space="0" w:color="auto"/>
              <w:bottom w:val="single" w:sz="12" w:space="0" w:color="auto"/>
              <w:right w:val="single" w:sz="24" w:space="0" w:color="FFFFFF" w:themeColor="background1"/>
            </w:tcBorders>
            <w:shd w:val="clear" w:color="auto" w:fill="auto"/>
            <w:vAlign w:val="bottom"/>
          </w:tcPr>
          <w:p w14:paraId="560152E1" w14:textId="77777777" w:rsidR="001F1900" w:rsidRPr="00DE02B2" w:rsidRDefault="001F1900" w:rsidP="001F1900">
            <w:pPr>
              <w:pStyle w:val="SingleTxtG"/>
              <w:keepNext/>
              <w:keepLines/>
              <w:tabs>
                <w:tab w:val="clear" w:pos="1701"/>
                <w:tab w:val="clear" w:pos="2268"/>
                <w:tab w:val="clear" w:pos="2835"/>
              </w:tabs>
              <w:suppressAutoHyphens w:val="0"/>
              <w:spacing w:before="80" w:after="80" w:line="200" w:lineRule="exact"/>
              <w:ind w:left="113" w:right="28"/>
              <w:jc w:val="right"/>
              <w:rPr>
                <w:i/>
                <w:iCs/>
                <w:sz w:val="16"/>
              </w:rPr>
            </w:pPr>
            <w:r w:rsidRPr="00DE02B2">
              <w:rPr>
                <w:i/>
                <w:iCs/>
                <w:sz w:val="16"/>
              </w:rPr>
              <w:t>Adult</w:t>
            </w:r>
            <w:r>
              <w:rPr>
                <w:i/>
                <w:iCs/>
                <w:sz w:val="16"/>
              </w:rPr>
              <w:t>e</w:t>
            </w:r>
            <w:r w:rsidRPr="00DE02B2">
              <w:rPr>
                <w:i/>
                <w:iCs/>
                <w:sz w:val="16"/>
              </w:rPr>
              <w:t>s</w:t>
            </w:r>
          </w:p>
        </w:tc>
        <w:tc>
          <w:tcPr>
            <w:tcW w:w="850" w:type="dxa"/>
            <w:tcBorders>
              <w:top w:val="single" w:sz="4" w:space="0" w:color="auto"/>
              <w:left w:val="single" w:sz="24" w:space="0" w:color="FFFFFF" w:themeColor="background1"/>
              <w:bottom w:val="single" w:sz="12" w:space="0" w:color="auto"/>
            </w:tcBorders>
            <w:shd w:val="clear" w:color="auto" w:fill="auto"/>
            <w:vAlign w:val="bottom"/>
          </w:tcPr>
          <w:p w14:paraId="0BD567DE" w14:textId="77777777" w:rsidR="001F1900" w:rsidRPr="00DE02B2" w:rsidRDefault="001F1900" w:rsidP="001F1900">
            <w:pPr>
              <w:pStyle w:val="SingleTxtG"/>
              <w:keepNext/>
              <w:keepLines/>
              <w:tabs>
                <w:tab w:val="clear" w:pos="1701"/>
                <w:tab w:val="clear" w:pos="2268"/>
                <w:tab w:val="clear" w:pos="2835"/>
              </w:tabs>
              <w:suppressAutoHyphens w:val="0"/>
              <w:spacing w:before="80" w:after="80" w:line="200" w:lineRule="exact"/>
              <w:ind w:left="113" w:right="28"/>
              <w:jc w:val="right"/>
              <w:rPr>
                <w:i/>
                <w:iCs/>
                <w:sz w:val="16"/>
              </w:rPr>
            </w:pPr>
            <w:r>
              <w:rPr>
                <w:i/>
                <w:iCs/>
                <w:sz w:val="16"/>
              </w:rPr>
              <w:t>Enfants</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14:paraId="14FE793B" w14:textId="77777777" w:rsidR="001F1900" w:rsidRPr="00DE02B2" w:rsidRDefault="001F1900" w:rsidP="001F1900">
            <w:pPr>
              <w:pStyle w:val="SingleTxtG"/>
              <w:keepNext/>
              <w:keepLines/>
              <w:tabs>
                <w:tab w:val="clear" w:pos="1701"/>
                <w:tab w:val="clear" w:pos="2268"/>
                <w:tab w:val="clear" w:pos="2835"/>
              </w:tabs>
              <w:suppressAutoHyphens w:val="0"/>
              <w:spacing w:before="80" w:after="80" w:line="200" w:lineRule="exact"/>
              <w:ind w:left="113" w:right="28"/>
              <w:jc w:val="right"/>
              <w:rPr>
                <w:i/>
                <w:iCs/>
                <w:sz w:val="16"/>
              </w:rPr>
            </w:pPr>
            <w:r w:rsidRPr="00DE02B2">
              <w:rPr>
                <w:i/>
                <w:iCs/>
                <w:sz w:val="16"/>
              </w:rPr>
              <w:t>Adult</w:t>
            </w:r>
            <w:r>
              <w:rPr>
                <w:i/>
                <w:iCs/>
                <w:sz w:val="16"/>
              </w:rPr>
              <w:t>e</w:t>
            </w:r>
            <w:r w:rsidRPr="00DE02B2">
              <w:rPr>
                <w:i/>
                <w:iCs/>
                <w:sz w:val="16"/>
              </w:rPr>
              <w:t>s</w:t>
            </w:r>
          </w:p>
        </w:tc>
        <w:tc>
          <w:tcPr>
            <w:tcW w:w="850" w:type="dxa"/>
            <w:tcBorders>
              <w:top w:val="single" w:sz="4" w:space="0" w:color="auto"/>
              <w:left w:val="single" w:sz="24" w:space="0" w:color="FFFFFF" w:themeColor="background1"/>
              <w:bottom w:val="single" w:sz="12" w:space="0" w:color="auto"/>
            </w:tcBorders>
            <w:shd w:val="clear" w:color="auto" w:fill="auto"/>
            <w:vAlign w:val="bottom"/>
          </w:tcPr>
          <w:p w14:paraId="017D8E26" w14:textId="77777777" w:rsidR="001F1900" w:rsidRPr="00DE02B2" w:rsidRDefault="001F1900" w:rsidP="001F1900">
            <w:pPr>
              <w:pStyle w:val="SingleTxtG"/>
              <w:keepNext/>
              <w:keepLines/>
              <w:tabs>
                <w:tab w:val="clear" w:pos="1701"/>
                <w:tab w:val="clear" w:pos="2268"/>
                <w:tab w:val="clear" w:pos="2835"/>
              </w:tabs>
              <w:suppressAutoHyphens w:val="0"/>
              <w:spacing w:before="80" w:after="80" w:line="200" w:lineRule="exact"/>
              <w:ind w:left="113" w:right="28"/>
              <w:jc w:val="right"/>
              <w:rPr>
                <w:i/>
                <w:iCs/>
                <w:sz w:val="16"/>
              </w:rPr>
            </w:pPr>
            <w:r>
              <w:rPr>
                <w:i/>
                <w:iCs/>
                <w:sz w:val="16"/>
              </w:rPr>
              <w:t>Enfants</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14:paraId="48C306BF" w14:textId="77777777" w:rsidR="001F1900" w:rsidRPr="00DE02B2" w:rsidRDefault="001F1900" w:rsidP="001F1900">
            <w:pPr>
              <w:pStyle w:val="SingleTxtG"/>
              <w:keepNext/>
              <w:keepLines/>
              <w:tabs>
                <w:tab w:val="clear" w:pos="1701"/>
                <w:tab w:val="clear" w:pos="2268"/>
                <w:tab w:val="clear" w:pos="2835"/>
              </w:tabs>
              <w:suppressAutoHyphens w:val="0"/>
              <w:spacing w:before="80" w:after="80" w:line="200" w:lineRule="exact"/>
              <w:ind w:left="113" w:right="28"/>
              <w:jc w:val="right"/>
              <w:rPr>
                <w:i/>
                <w:iCs/>
                <w:sz w:val="16"/>
              </w:rPr>
            </w:pPr>
            <w:r w:rsidRPr="00DE02B2">
              <w:rPr>
                <w:i/>
                <w:iCs/>
                <w:sz w:val="16"/>
              </w:rPr>
              <w:t>Adult</w:t>
            </w:r>
            <w:r>
              <w:rPr>
                <w:i/>
                <w:iCs/>
                <w:sz w:val="16"/>
              </w:rPr>
              <w:t>e</w:t>
            </w:r>
            <w:r w:rsidRPr="00DE02B2">
              <w:rPr>
                <w:i/>
                <w:iCs/>
                <w:sz w:val="16"/>
              </w:rPr>
              <w:t>s</w:t>
            </w:r>
          </w:p>
        </w:tc>
        <w:tc>
          <w:tcPr>
            <w:tcW w:w="708" w:type="dxa"/>
            <w:tcBorders>
              <w:top w:val="single" w:sz="4" w:space="0" w:color="auto"/>
              <w:left w:val="single" w:sz="24" w:space="0" w:color="FFFFFF" w:themeColor="background1"/>
              <w:bottom w:val="single" w:sz="12" w:space="0" w:color="auto"/>
            </w:tcBorders>
            <w:shd w:val="clear" w:color="auto" w:fill="auto"/>
            <w:vAlign w:val="bottom"/>
          </w:tcPr>
          <w:p w14:paraId="7CE6970A" w14:textId="77777777" w:rsidR="001F1900" w:rsidRPr="00DE02B2" w:rsidRDefault="001F1900" w:rsidP="001F1900">
            <w:pPr>
              <w:pStyle w:val="SingleTxtG"/>
              <w:keepNext/>
              <w:keepLines/>
              <w:tabs>
                <w:tab w:val="clear" w:pos="1701"/>
                <w:tab w:val="clear" w:pos="2268"/>
                <w:tab w:val="clear" w:pos="2835"/>
              </w:tabs>
              <w:suppressAutoHyphens w:val="0"/>
              <w:spacing w:before="80" w:after="80" w:line="200" w:lineRule="exact"/>
              <w:ind w:left="113" w:right="28"/>
              <w:jc w:val="right"/>
              <w:rPr>
                <w:i/>
                <w:iCs/>
                <w:sz w:val="16"/>
              </w:rPr>
            </w:pPr>
            <w:r>
              <w:rPr>
                <w:i/>
                <w:iCs/>
                <w:sz w:val="16"/>
              </w:rPr>
              <w:t>Enfants</w:t>
            </w:r>
          </w:p>
        </w:tc>
        <w:tc>
          <w:tcPr>
            <w:tcW w:w="785" w:type="dxa"/>
            <w:tcBorders>
              <w:top w:val="single" w:sz="4" w:space="0" w:color="auto"/>
              <w:bottom w:val="single" w:sz="12" w:space="0" w:color="auto"/>
              <w:right w:val="single" w:sz="24" w:space="0" w:color="FFFFFF" w:themeColor="background1"/>
            </w:tcBorders>
            <w:shd w:val="clear" w:color="auto" w:fill="auto"/>
            <w:vAlign w:val="bottom"/>
          </w:tcPr>
          <w:p w14:paraId="353D5524" w14:textId="77777777" w:rsidR="001F1900" w:rsidRPr="00DE02B2" w:rsidRDefault="001F1900" w:rsidP="001F1900">
            <w:pPr>
              <w:pStyle w:val="SingleTxtG"/>
              <w:keepNext/>
              <w:keepLines/>
              <w:tabs>
                <w:tab w:val="clear" w:pos="1701"/>
                <w:tab w:val="clear" w:pos="2268"/>
                <w:tab w:val="clear" w:pos="2835"/>
              </w:tabs>
              <w:suppressAutoHyphens w:val="0"/>
              <w:spacing w:before="80" w:after="80" w:line="200" w:lineRule="exact"/>
              <w:ind w:left="113" w:right="28"/>
              <w:jc w:val="right"/>
              <w:rPr>
                <w:i/>
                <w:iCs/>
                <w:sz w:val="16"/>
              </w:rPr>
            </w:pPr>
            <w:r w:rsidRPr="00DE02B2">
              <w:rPr>
                <w:i/>
                <w:iCs/>
                <w:sz w:val="16"/>
              </w:rPr>
              <w:t>Adult</w:t>
            </w:r>
            <w:r>
              <w:rPr>
                <w:i/>
                <w:iCs/>
                <w:sz w:val="16"/>
              </w:rPr>
              <w:t>e</w:t>
            </w:r>
            <w:r w:rsidRPr="00DE02B2">
              <w:rPr>
                <w:i/>
                <w:iCs/>
                <w:sz w:val="16"/>
              </w:rPr>
              <w:t>s</w:t>
            </w:r>
          </w:p>
        </w:tc>
        <w:tc>
          <w:tcPr>
            <w:tcW w:w="775" w:type="dxa"/>
            <w:tcBorders>
              <w:top w:val="single" w:sz="4" w:space="0" w:color="auto"/>
              <w:left w:val="single" w:sz="24" w:space="0" w:color="FFFFFF" w:themeColor="background1"/>
              <w:bottom w:val="single" w:sz="12" w:space="0" w:color="auto"/>
            </w:tcBorders>
            <w:shd w:val="clear" w:color="auto" w:fill="auto"/>
            <w:vAlign w:val="bottom"/>
          </w:tcPr>
          <w:p w14:paraId="0CF81F52" w14:textId="77777777" w:rsidR="001F1900" w:rsidRPr="00DE02B2" w:rsidRDefault="001F1900" w:rsidP="001F1900">
            <w:pPr>
              <w:pStyle w:val="SingleTxtG"/>
              <w:keepNext/>
              <w:keepLines/>
              <w:tabs>
                <w:tab w:val="clear" w:pos="1701"/>
                <w:tab w:val="clear" w:pos="2268"/>
                <w:tab w:val="clear" w:pos="2835"/>
              </w:tabs>
              <w:suppressAutoHyphens w:val="0"/>
              <w:spacing w:before="80" w:after="80" w:line="200" w:lineRule="exact"/>
              <w:ind w:left="113" w:right="28"/>
              <w:jc w:val="right"/>
              <w:rPr>
                <w:i/>
                <w:iCs/>
                <w:sz w:val="16"/>
              </w:rPr>
            </w:pPr>
            <w:r>
              <w:rPr>
                <w:i/>
                <w:iCs/>
                <w:sz w:val="16"/>
              </w:rPr>
              <w:t>Enfants</w:t>
            </w:r>
          </w:p>
        </w:tc>
        <w:tc>
          <w:tcPr>
            <w:tcW w:w="706" w:type="dxa"/>
            <w:tcBorders>
              <w:top w:val="single" w:sz="4" w:space="0" w:color="auto"/>
              <w:bottom w:val="single" w:sz="12" w:space="0" w:color="auto"/>
            </w:tcBorders>
            <w:shd w:val="clear" w:color="auto" w:fill="auto"/>
            <w:vAlign w:val="bottom"/>
          </w:tcPr>
          <w:p w14:paraId="25D64D14" w14:textId="77777777" w:rsidR="001F1900" w:rsidRPr="00DE02B2" w:rsidRDefault="001F1900" w:rsidP="001F1900">
            <w:pPr>
              <w:pStyle w:val="SingleTxtG"/>
              <w:keepNext/>
              <w:keepLines/>
              <w:tabs>
                <w:tab w:val="clear" w:pos="1701"/>
                <w:tab w:val="clear" w:pos="2268"/>
                <w:tab w:val="clear" w:pos="2835"/>
              </w:tabs>
              <w:suppressAutoHyphens w:val="0"/>
              <w:spacing w:before="80" w:after="80" w:line="200" w:lineRule="exact"/>
              <w:ind w:left="113" w:right="28"/>
              <w:jc w:val="right"/>
              <w:rPr>
                <w:i/>
                <w:iCs/>
                <w:sz w:val="16"/>
              </w:rPr>
            </w:pPr>
            <w:r w:rsidRPr="00DE02B2">
              <w:rPr>
                <w:i/>
                <w:iCs/>
                <w:sz w:val="16"/>
              </w:rPr>
              <w:t>Adult</w:t>
            </w:r>
            <w:r>
              <w:rPr>
                <w:i/>
                <w:iCs/>
                <w:sz w:val="16"/>
              </w:rPr>
              <w:t>e</w:t>
            </w:r>
            <w:r w:rsidRPr="00DE02B2">
              <w:rPr>
                <w:i/>
                <w:iCs/>
                <w:sz w:val="16"/>
              </w:rPr>
              <w:t>s</w:t>
            </w:r>
          </w:p>
        </w:tc>
      </w:tr>
      <w:tr w:rsidR="001F1900" w:rsidRPr="00EA791D" w14:paraId="5485B322" w14:textId="77777777" w:rsidTr="0076014B">
        <w:tc>
          <w:tcPr>
            <w:tcW w:w="1701" w:type="dxa"/>
            <w:tcBorders>
              <w:top w:val="single" w:sz="12" w:space="0" w:color="auto"/>
            </w:tcBorders>
            <w:shd w:val="clear" w:color="auto" w:fill="auto"/>
          </w:tcPr>
          <w:p w14:paraId="2843F192"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0" w:right="0"/>
              <w:jc w:val="left"/>
              <w:rPr>
                <w:sz w:val="18"/>
              </w:rPr>
            </w:pPr>
            <w:r w:rsidRPr="00F720A6">
              <w:rPr>
                <w:sz w:val="18"/>
                <w:szCs w:val="18"/>
                <w:lang w:val="fr-FR"/>
              </w:rPr>
              <w:t>Nationaux</w:t>
            </w:r>
          </w:p>
        </w:tc>
        <w:tc>
          <w:tcPr>
            <w:tcW w:w="763" w:type="dxa"/>
            <w:tcBorders>
              <w:top w:val="single" w:sz="12" w:space="0" w:color="auto"/>
            </w:tcBorders>
            <w:shd w:val="clear" w:color="auto" w:fill="auto"/>
            <w:vAlign w:val="bottom"/>
          </w:tcPr>
          <w:p w14:paraId="51972F9A"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6</w:t>
            </w:r>
          </w:p>
        </w:tc>
        <w:tc>
          <w:tcPr>
            <w:tcW w:w="797" w:type="dxa"/>
            <w:tcBorders>
              <w:top w:val="single" w:sz="12" w:space="0" w:color="auto"/>
            </w:tcBorders>
            <w:shd w:val="clear" w:color="auto" w:fill="auto"/>
            <w:vAlign w:val="bottom"/>
          </w:tcPr>
          <w:p w14:paraId="3009FE50"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1</w:t>
            </w:r>
          </w:p>
        </w:tc>
        <w:tc>
          <w:tcPr>
            <w:tcW w:w="850" w:type="dxa"/>
            <w:tcBorders>
              <w:top w:val="single" w:sz="12" w:space="0" w:color="auto"/>
            </w:tcBorders>
            <w:shd w:val="clear" w:color="auto" w:fill="auto"/>
            <w:vAlign w:val="bottom"/>
          </w:tcPr>
          <w:p w14:paraId="0A6E14F6"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3</w:t>
            </w:r>
          </w:p>
        </w:tc>
        <w:tc>
          <w:tcPr>
            <w:tcW w:w="851" w:type="dxa"/>
            <w:tcBorders>
              <w:top w:val="single" w:sz="12" w:space="0" w:color="auto"/>
            </w:tcBorders>
            <w:shd w:val="clear" w:color="auto" w:fill="auto"/>
            <w:vAlign w:val="bottom"/>
          </w:tcPr>
          <w:p w14:paraId="3C26E94D"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w:t>
            </w:r>
          </w:p>
        </w:tc>
        <w:tc>
          <w:tcPr>
            <w:tcW w:w="850" w:type="dxa"/>
            <w:tcBorders>
              <w:top w:val="single" w:sz="12" w:space="0" w:color="auto"/>
            </w:tcBorders>
            <w:shd w:val="clear" w:color="auto" w:fill="auto"/>
            <w:vAlign w:val="bottom"/>
          </w:tcPr>
          <w:p w14:paraId="3BD0F0D6"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3</w:t>
            </w:r>
          </w:p>
        </w:tc>
        <w:tc>
          <w:tcPr>
            <w:tcW w:w="851" w:type="dxa"/>
            <w:tcBorders>
              <w:top w:val="single" w:sz="12" w:space="0" w:color="auto"/>
            </w:tcBorders>
            <w:shd w:val="clear" w:color="auto" w:fill="auto"/>
            <w:vAlign w:val="bottom"/>
          </w:tcPr>
          <w:p w14:paraId="59B40E9E"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2</w:t>
            </w:r>
          </w:p>
        </w:tc>
        <w:tc>
          <w:tcPr>
            <w:tcW w:w="708" w:type="dxa"/>
            <w:tcBorders>
              <w:top w:val="single" w:sz="12" w:space="0" w:color="auto"/>
            </w:tcBorders>
            <w:shd w:val="clear" w:color="auto" w:fill="auto"/>
            <w:vAlign w:val="bottom"/>
          </w:tcPr>
          <w:p w14:paraId="6BA1AB2C"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2</w:t>
            </w:r>
          </w:p>
        </w:tc>
        <w:tc>
          <w:tcPr>
            <w:tcW w:w="785" w:type="dxa"/>
            <w:tcBorders>
              <w:top w:val="single" w:sz="12" w:space="0" w:color="auto"/>
            </w:tcBorders>
            <w:shd w:val="clear" w:color="auto" w:fill="auto"/>
            <w:vAlign w:val="bottom"/>
          </w:tcPr>
          <w:p w14:paraId="3430A6C7"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w:t>
            </w:r>
          </w:p>
        </w:tc>
        <w:tc>
          <w:tcPr>
            <w:tcW w:w="775" w:type="dxa"/>
            <w:tcBorders>
              <w:top w:val="single" w:sz="12" w:space="0" w:color="auto"/>
            </w:tcBorders>
            <w:shd w:val="clear" w:color="auto" w:fill="auto"/>
            <w:vAlign w:val="bottom"/>
          </w:tcPr>
          <w:p w14:paraId="497AFA6E"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3</w:t>
            </w:r>
          </w:p>
        </w:tc>
        <w:tc>
          <w:tcPr>
            <w:tcW w:w="706" w:type="dxa"/>
            <w:tcBorders>
              <w:top w:val="single" w:sz="12" w:space="0" w:color="auto"/>
            </w:tcBorders>
            <w:shd w:val="clear" w:color="auto" w:fill="auto"/>
            <w:vAlign w:val="bottom"/>
          </w:tcPr>
          <w:p w14:paraId="0DE63B82"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1</w:t>
            </w:r>
          </w:p>
        </w:tc>
      </w:tr>
      <w:tr w:rsidR="001F1900" w:rsidRPr="00EA791D" w14:paraId="14162166" w14:textId="77777777" w:rsidTr="0076014B">
        <w:tc>
          <w:tcPr>
            <w:tcW w:w="1701" w:type="dxa"/>
            <w:tcBorders>
              <w:bottom w:val="single" w:sz="4" w:space="0" w:color="auto"/>
            </w:tcBorders>
            <w:shd w:val="clear" w:color="auto" w:fill="auto"/>
          </w:tcPr>
          <w:p w14:paraId="2835EF14"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0" w:right="0"/>
              <w:jc w:val="left"/>
              <w:rPr>
                <w:sz w:val="18"/>
              </w:rPr>
            </w:pPr>
            <w:r w:rsidRPr="00F720A6">
              <w:rPr>
                <w:sz w:val="18"/>
                <w:szCs w:val="18"/>
                <w:lang w:val="fr-FR"/>
              </w:rPr>
              <w:t>Étrangers</w:t>
            </w:r>
          </w:p>
        </w:tc>
        <w:tc>
          <w:tcPr>
            <w:tcW w:w="763" w:type="dxa"/>
            <w:tcBorders>
              <w:bottom w:val="single" w:sz="4" w:space="0" w:color="auto"/>
            </w:tcBorders>
            <w:shd w:val="clear" w:color="auto" w:fill="auto"/>
            <w:vAlign w:val="bottom"/>
          </w:tcPr>
          <w:p w14:paraId="38218FEF"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w:t>
            </w:r>
          </w:p>
        </w:tc>
        <w:tc>
          <w:tcPr>
            <w:tcW w:w="797" w:type="dxa"/>
            <w:tcBorders>
              <w:bottom w:val="single" w:sz="4" w:space="0" w:color="auto"/>
            </w:tcBorders>
            <w:shd w:val="clear" w:color="auto" w:fill="auto"/>
            <w:vAlign w:val="bottom"/>
          </w:tcPr>
          <w:p w14:paraId="7A9B8A1B"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1</w:t>
            </w:r>
          </w:p>
        </w:tc>
        <w:tc>
          <w:tcPr>
            <w:tcW w:w="850" w:type="dxa"/>
            <w:tcBorders>
              <w:bottom w:val="single" w:sz="4" w:space="0" w:color="auto"/>
            </w:tcBorders>
            <w:shd w:val="clear" w:color="auto" w:fill="auto"/>
            <w:vAlign w:val="bottom"/>
          </w:tcPr>
          <w:p w14:paraId="3C0E162F"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w:t>
            </w:r>
          </w:p>
        </w:tc>
        <w:tc>
          <w:tcPr>
            <w:tcW w:w="851" w:type="dxa"/>
            <w:tcBorders>
              <w:bottom w:val="single" w:sz="4" w:space="0" w:color="auto"/>
            </w:tcBorders>
            <w:shd w:val="clear" w:color="auto" w:fill="auto"/>
            <w:vAlign w:val="bottom"/>
          </w:tcPr>
          <w:p w14:paraId="0375E3F7"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1</w:t>
            </w:r>
          </w:p>
        </w:tc>
        <w:tc>
          <w:tcPr>
            <w:tcW w:w="850" w:type="dxa"/>
            <w:tcBorders>
              <w:bottom w:val="single" w:sz="4" w:space="0" w:color="auto"/>
            </w:tcBorders>
            <w:shd w:val="clear" w:color="auto" w:fill="auto"/>
            <w:vAlign w:val="bottom"/>
          </w:tcPr>
          <w:p w14:paraId="5CB73ADE"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w:t>
            </w:r>
          </w:p>
        </w:tc>
        <w:tc>
          <w:tcPr>
            <w:tcW w:w="851" w:type="dxa"/>
            <w:tcBorders>
              <w:bottom w:val="single" w:sz="4" w:space="0" w:color="auto"/>
            </w:tcBorders>
            <w:shd w:val="clear" w:color="auto" w:fill="auto"/>
            <w:vAlign w:val="bottom"/>
          </w:tcPr>
          <w:p w14:paraId="7C5A4311"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1</w:t>
            </w:r>
          </w:p>
        </w:tc>
        <w:tc>
          <w:tcPr>
            <w:tcW w:w="708" w:type="dxa"/>
            <w:tcBorders>
              <w:bottom w:val="single" w:sz="4" w:space="0" w:color="auto"/>
            </w:tcBorders>
            <w:shd w:val="clear" w:color="auto" w:fill="auto"/>
            <w:vAlign w:val="bottom"/>
          </w:tcPr>
          <w:p w14:paraId="2DCBDD03"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w:t>
            </w:r>
          </w:p>
        </w:tc>
        <w:tc>
          <w:tcPr>
            <w:tcW w:w="785" w:type="dxa"/>
            <w:tcBorders>
              <w:bottom w:val="single" w:sz="4" w:space="0" w:color="auto"/>
            </w:tcBorders>
            <w:shd w:val="clear" w:color="auto" w:fill="auto"/>
            <w:vAlign w:val="bottom"/>
          </w:tcPr>
          <w:p w14:paraId="00EA7D0F"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w:t>
            </w:r>
          </w:p>
        </w:tc>
        <w:tc>
          <w:tcPr>
            <w:tcW w:w="775" w:type="dxa"/>
            <w:tcBorders>
              <w:bottom w:val="single" w:sz="4" w:space="0" w:color="auto"/>
            </w:tcBorders>
            <w:shd w:val="clear" w:color="auto" w:fill="auto"/>
            <w:vAlign w:val="bottom"/>
          </w:tcPr>
          <w:p w14:paraId="3ECC4812"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1</w:t>
            </w:r>
          </w:p>
        </w:tc>
        <w:tc>
          <w:tcPr>
            <w:tcW w:w="706" w:type="dxa"/>
            <w:tcBorders>
              <w:bottom w:val="single" w:sz="4" w:space="0" w:color="auto"/>
            </w:tcBorders>
            <w:shd w:val="clear" w:color="auto" w:fill="auto"/>
            <w:vAlign w:val="bottom"/>
          </w:tcPr>
          <w:p w14:paraId="3DF5A70B" w14:textId="77777777" w:rsidR="001F1900" w:rsidRPr="003A1036" w:rsidRDefault="001F1900" w:rsidP="001F1900">
            <w:pPr>
              <w:pStyle w:val="SingleTxtG"/>
              <w:keepNext/>
              <w:keepLines/>
              <w:tabs>
                <w:tab w:val="clear" w:pos="1701"/>
                <w:tab w:val="clear" w:pos="2268"/>
                <w:tab w:val="clear" w:pos="2835"/>
              </w:tabs>
              <w:suppressAutoHyphens w:val="0"/>
              <w:spacing w:before="40" w:after="40" w:line="220" w:lineRule="exact"/>
              <w:ind w:left="113" w:right="28"/>
              <w:jc w:val="right"/>
              <w:rPr>
                <w:sz w:val="18"/>
              </w:rPr>
            </w:pPr>
            <w:r w:rsidRPr="003A1036">
              <w:rPr>
                <w:sz w:val="18"/>
              </w:rPr>
              <w:t xml:space="preserve"> </w:t>
            </w:r>
          </w:p>
        </w:tc>
      </w:tr>
      <w:tr w:rsidR="001F1900" w:rsidRPr="00EA791D" w14:paraId="458E88D4" w14:textId="77777777" w:rsidTr="003849FC">
        <w:tc>
          <w:tcPr>
            <w:tcW w:w="1701" w:type="dxa"/>
            <w:tcBorders>
              <w:top w:val="single" w:sz="4" w:space="0" w:color="auto"/>
              <w:bottom w:val="single" w:sz="4" w:space="0" w:color="auto"/>
            </w:tcBorders>
            <w:shd w:val="clear" w:color="auto" w:fill="auto"/>
          </w:tcPr>
          <w:p w14:paraId="300BF5B6" w14:textId="77777777" w:rsidR="001F1900" w:rsidRPr="00EA791D" w:rsidRDefault="001F1900" w:rsidP="001F1900">
            <w:pPr>
              <w:pStyle w:val="SingleTxtG"/>
              <w:keepNext/>
              <w:keepLines/>
              <w:tabs>
                <w:tab w:val="clear" w:pos="1701"/>
                <w:tab w:val="clear" w:pos="2268"/>
                <w:tab w:val="clear" w:pos="2835"/>
              </w:tabs>
              <w:suppressAutoHyphens w:val="0"/>
              <w:spacing w:before="80" w:after="80" w:line="220" w:lineRule="exact"/>
              <w:ind w:left="283" w:right="0"/>
              <w:jc w:val="left"/>
              <w:rPr>
                <w:b/>
                <w:sz w:val="18"/>
              </w:rPr>
            </w:pPr>
            <w:r w:rsidRPr="00EA791D">
              <w:rPr>
                <w:b/>
                <w:sz w:val="18"/>
              </w:rPr>
              <w:t>Total</w:t>
            </w:r>
          </w:p>
        </w:tc>
        <w:tc>
          <w:tcPr>
            <w:tcW w:w="763" w:type="dxa"/>
            <w:tcBorders>
              <w:top w:val="single" w:sz="4" w:space="0" w:color="auto"/>
              <w:bottom w:val="single" w:sz="4" w:space="0" w:color="auto"/>
            </w:tcBorders>
            <w:shd w:val="clear" w:color="auto" w:fill="auto"/>
            <w:vAlign w:val="bottom"/>
          </w:tcPr>
          <w:p w14:paraId="55DE0EAC"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6</w:t>
            </w:r>
          </w:p>
        </w:tc>
        <w:tc>
          <w:tcPr>
            <w:tcW w:w="797" w:type="dxa"/>
            <w:tcBorders>
              <w:top w:val="single" w:sz="4" w:space="0" w:color="auto"/>
              <w:bottom w:val="single" w:sz="4" w:space="0" w:color="auto"/>
            </w:tcBorders>
            <w:shd w:val="clear" w:color="auto" w:fill="auto"/>
            <w:vAlign w:val="bottom"/>
          </w:tcPr>
          <w:p w14:paraId="42E5C83B"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2</w:t>
            </w:r>
          </w:p>
        </w:tc>
        <w:tc>
          <w:tcPr>
            <w:tcW w:w="850" w:type="dxa"/>
            <w:tcBorders>
              <w:top w:val="single" w:sz="4" w:space="0" w:color="auto"/>
              <w:bottom w:val="single" w:sz="4" w:space="0" w:color="auto"/>
            </w:tcBorders>
            <w:shd w:val="clear" w:color="auto" w:fill="auto"/>
            <w:vAlign w:val="bottom"/>
          </w:tcPr>
          <w:p w14:paraId="043F60EB"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3</w:t>
            </w:r>
          </w:p>
        </w:tc>
        <w:tc>
          <w:tcPr>
            <w:tcW w:w="851" w:type="dxa"/>
            <w:tcBorders>
              <w:top w:val="single" w:sz="4" w:space="0" w:color="auto"/>
              <w:bottom w:val="single" w:sz="4" w:space="0" w:color="auto"/>
            </w:tcBorders>
            <w:shd w:val="clear" w:color="auto" w:fill="auto"/>
            <w:vAlign w:val="bottom"/>
          </w:tcPr>
          <w:p w14:paraId="0E75D6EA"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1</w:t>
            </w:r>
          </w:p>
        </w:tc>
        <w:tc>
          <w:tcPr>
            <w:tcW w:w="850" w:type="dxa"/>
            <w:tcBorders>
              <w:top w:val="single" w:sz="4" w:space="0" w:color="auto"/>
              <w:bottom w:val="single" w:sz="4" w:space="0" w:color="auto"/>
            </w:tcBorders>
            <w:shd w:val="clear" w:color="auto" w:fill="auto"/>
            <w:vAlign w:val="bottom"/>
          </w:tcPr>
          <w:p w14:paraId="59C283AE"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3</w:t>
            </w:r>
          </w:p>
        </w:tc>
        <w:tc>
          <w:tcPr>
            <w:tcW w:w="851" w:type="dxa"/>
            <w:tcBorders>
              <w:top w:val="single" w:sz="4" w:space="0" w:color="auto"/>
              <w:bottom w:val="single" w:sz="4" w:space="0" w:color="auto"/>
            </w:tcBorders>
            <w:shd w:val="clear" w:color="auto" w:fill="auto"/>
            <w:vAlign w:val="bottom"/>
          </w:tcPr>
          <w:p w14:paraId="16429EA7"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3</w:t>
            </w:r>
          </w:p>
        </w:tc>
        <w:tc>
          <w:tcPr>
            <w:tcW w:w="708" w:type="dxa"/>
            <w:tcBorders>
              <w:top w:val="single" w:sz="4" w:space="0" w:color="auto"/>
              <w:bottom w:val="single" w:sz="4" w:space="0" w:color="auto"/>
            </w:tcBorders>
            <w:shd w:val="clear" w:color="auto" w:fill="auto"/>
            <w:vAlign w:val="bottom"/>
          </w:tcPr>
          <w:p w14:paraId="14CD2A7D"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2</w:t>
            </w:r>
          </w:p>
        </w:tc>
        <w:tc>
          <w:tcPr>
            <w:tcW w:w="785" w:type="dxa"/>
            <w:tcBorders>
              <w:top w:val="single" w:sz="4" w:space="0" w:color="auto"/>
              <w:bottom w:val="single" w:sz="4" w:space="0" w:color="auto"/>
            </w:tcBorders>
            <w:shd w:val="clear" w:color="auto" w:fill="auto"/>
            <w:vAlign w:val="bottom"/>
          </w:tcPr>
          <w:p w14:paraId="1DE3AB45"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sz w:val="18"/>
              </w:rPr>
              <w:t>-</w:t>
            </w:r>
          </w:p>
        </w:tc>
        <w:tc>
          <w:tcPr>
            <w:tcW w:w="775" w:type="dxa"/>
            <w:tcBorders>
              <w:top w:val="single" w:sz="4" w:space="0" w:color="auto"/>
              <w:bottom w:val="single" w:sz="4" w:space="0" w:color="auto"/>
            </w:tcBorders>
            <w:shd w:val="clear" w:color="auto" w:fill="auto"/>
            <w:vAlign w:val="bottom"/>
          </w:tcPr>
          <w:p w14:paraId="422E2FD6"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4</w:t>
            </w:r>
          </w:p>
        </w:tc>
        <w:tc>
          <w:tcPr>
            <w:tcW w:w="706" w:type="dxa"/>
            <w:tcBorders>
              <w:top w:val="single" w:sz="4" w:space="0" w:color="auto"/>
              <w:bottom w:val="single" w:sz="4" w:space="0" w:color="auto"/>
            </w:tcBorders>
            <w:shd w:val="clear" w:color="auto" w:fill="auto"/>
            <w:vAlign w:val="bottom"/>
          </w:tcPr>
          <w:p w14:paraId="00EE004F"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1</w:t>
            </w:r>
          </w:p>
        </w:tc>
      </w:tr>
      <w:tr w:rsidR="001F1900" w:rsidRPr="00EA791D" w14:paraId="54C93A2A" w14:textId="77777777" w:rsidTr="003849FC">
        <w:tc>
          <w:tcPr>
            <w:tcW w:w="1701" w:type="dxa"/>
            <w:tcBorders>
              <w:top w:val="single" w:sz="4" w:space="0" w:color="auto"/>
              <w:bottom w:val="single" w:sz="12" w:space="0" w:color="auto"/>
            </w:tcBorders>
            <w:shd w:val="clear" w:color="auto" w:fill="auto"/>
          </w:tcPr>
          <w:p w14:paraId="0823F45A"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283" w:right="0"/>
              <w:jc w:val="left"/>
              <w:rPr>
                <w:b/>
                <w:sz w:val="18"/>
              </w:rPr>
            </w:pPr>
            <w:r w:rsidRPr="00885E0D">
              <w:rPr>
                <w:b/>
                <w:bCs/>
                <w:sz w:val="18"/>
              </w:rPr>
              <w:t xml:space="preserve">Total </w:t>
            </w:r>
            <w:r>
              <w:rPr>
                <w:b/>
                <w:bCs/>
                <w:sz w:val="18"/>
              </w:rPr>
              <w:t>des victimes identifiées</w:t>
            </w:r>
          </w:p>
        </w:tc>
        <w:tc>
          <w:tcPr>
            <w:tcW w:w="1560" w:type="dxa"/>
            <w:gridSpan w:val="2"/>
            <w:tcBorders>
              <w:top w:val="single" w:sz="4" w:space="0" w:color="auto"/>
              <w:bottom w:val="single" w:sz="12" w:space="0" w:color="auto"/>
            </w:tcBorders>
            <w:shd w:val="clear" w:color="auto" w:fill="auto"/>
            <w:vAlign w:val="bottom"/>
          </w:tcPr>
          <w:p w14:paraId="6661DCA3"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8</w:t>
            </w:r>
          </w:p>
        </w:tc>
        <w:tc>
          <w:tcPr>
            <w:tcW w:w="1701" w:type="dxa"/>
            <w:gridSpan w:val="2"/>
            <w:tcBorders>
              <w:top w:val="single" w:sz="4" w:space="0" w:color="auto"/>
              <w:bottom w:val="single" w:sz="12" w:space="0" w:color="auto"/>
            </w:tcBorders>
            <w:shd w:val="clear" w:color="auto" w:fill="auto"/>
            <w:vAlign w:val="bottom"/>
          </w:tcPr>
          <w:p w14:paraId="535A3F0B"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4</w:t>
            </w:r>
          </w:p>
        </w:tc>
        <w:tc>
          <w:tcPr>
            <w:tcW w:w="1701" w:type="dxa"/>
            <w:gridSpan w:val="2"/>
            <w:tcBorders>
              <w:top w:val="single" w:sz="4" w:space="0" w:color="auto"/>
              <w:bottom w:val="single" w:sz="12" w:space="0" w:color="auto"/>
            </w:tcBorders>
            <w:shd w:val="clear" w:color="auto" w:fill="auto"/>
            <w:vAlign w:val="bottom"/>
          </w:tcPr>
          <w:p w14:paraId="48315D11"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6</w:t>
            </w:r>
          </w:p>
        </w:tc>
        <w:tc>
          <w:tcPr>
            <w:tcW w:w="1493" w:type="dxa"/>
            <w:gridSpan w:val="2"/>
            <w:tcBorders>
              <w:top w:val="single" w:sz="4" w:space="0" w:color="auto"/>
              <w:bottom w:val="single" w:sz="12" w:space="0" w:color="auto"/>
            </w:tcBorders>
            <w:shd w:val="clear" w:color="auto" w:fill="auto"/>
            <w:vAlign w:val="bottom"/>
          </w:tcPr>
          <w:p w14:paraId="28CC2760"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2</w:t>
            </w:r>
          </w:p>
        </w:tc>
        <w:tc>
          <w:tcPr>
            <w:tcW w:w="1481" w:type="dxa"/>
            <w:gridSpan w:val="2"/>
            <w:tcBorders>
              <w:top w:val="single" w:sz="4" w:space="0" w:color="auto"/>
              <w:bottom w:val="single" w:sz="12" w:space="0" w:color="auto"/>
            </w:tcBorders>
            <w:shd w:val="clear" w:color="auto" w:fill="auto"/>
            <w:vAlign w:val="bottom"/>
          </w:tcPr>
          <w:p w14:paraId="3B0F4B51" w14:textId="77777777" w:rsidR="001F1900" w:rsidRPr="00885E0D" w:rsidRDefault="001F1900" w:rsidP="001F1900">
            <w:pPr>
              <w:pStyle w:val="SingleTxtG"/>
              <w:keepNext/>
              <w:keepLines/>
              <w:tabs>
                <w:tab w:val="clear" w:pos="1701"/>
                <w:tab w:val="clear" w:pos="2268"/>
                <w:tab w:val="clear" w:pos="2835"/>
              </w:tabs>
              <w:suppressAutoHyphens w:val="0"/>
              <w:spacing w:before="80" w:after="80" w:line="220" w:lineRule="exact"/>
              <w:ind w:left="0" w:right="28"/>
              <w:jc w:val="right"/>
              <w:rPr>
                <w:b/>
                <w:sz w:val="18"/>
              </w:rPr>
            </w:pPr>
            <w:r w:rsidRPr="00885E0D">
              <w:rPr>
                <w:b/>
                <w:bCs/>
                <w:sz w:val="18"/>
              </w:rPr>
              <w:t>5</w:t>
            </w:r>
          </w:p>
        </w:tc>
      </w:tr>
    </w:tbl>
    <w:p w14:paraId="46C951FF" w14:textId="77777777" w:rsidR="003C48D6" w:rsidRPr="00F720A6" w:rsidRDefault="003C48D6" w:rsidP="001F1900">
      <w:pPr>
        <w:spacing w:before="120" w:after="120"/>
        <w:rPr>
          <w:lang w:val="fr-FR"/>
        </w:rPr>
      </w:pPr>
    </w:p>
    <w:tbl>
      <w:tblPr>
        <w:tblW w:w="9639" w:type="dxa"/>
        <w:tblLayout w:type="fixed"/>
        <w:tblCellMar>
          <w:left w:w="0" w:type="dxa"/>
          <w:right w:w="0" w:type="dxa"/>
        </w:tblCellMar>
        <w:tblLook w:val="04A0" w:firstRow="1" w:lastRow="0" w:firstColumn="1" w:lastColumn="0" w:noHBand="0" w:noVBand="1"/>
      </w:tblPr>
      <w:tblGrid>
        <w:gridCol w:w="803"/>
        <w:gridCol w:w="1324"/>
        <w:gridCol w:w="687"/>
        <w:gridCol w:w="784"/>
        <w:gridCol w:w="1414"/>
        <w:gridCol w:w="1651"/>
        <w:gridCol w:w="1842"/>
        <w:gridCol w:w="1134"/>
      </w:tblGrid>
      <w:tr w:rsidR="003C48D6" w:rsidRPr="001F1900" w14:paraId="33B68CA6" w14:textId="77777777" w:rsidTr="00A11420">
        <w:trPr>
          <w:tblHeader/>
        </w:trPr>
        <w:tc>
          <w:tcPr>
            <w:tcW w:w="803" w:type="dxa"/>
            <w:tcBorders>
              <w:top w:val="single" w:sz="4" w:space="0" w:color="auto"/>
              <w:bottom w:val="single" w:sz="12" w:space="0" w:color="auto"/>
            </w:tcBorders>
            <w:shd w:val="clear" w:color="auto" w:fill="auto"/>
            <w:vAlign w:val="bottom"/>
          </w:tcPr>
          <w:p w14:paraId="345B7D54" w14:textId="77777777" w:rsidR="003C48D6" w:rsidRPr="001F1900" w:rsidRDefault="003C48D6" w:rsidP="003849FC">
            <w:pPr>
              <w:keepNext/>
              <w:suppressAutoHyphens w:val="0"/>
              <w:spacing w:before="80" w:after="80" w:line="200" w:lineRule="exact"/>
              <w:rPr>
                <w:i/>
                <w:sz w:val="16"/>
                <w:lang w:val="fr-FR"/>
              </w:rPr>
            </w:pPr>
            <w:r w:rsidRPr="001F1900">
              <w:rPr>
                <w:i/>
                <w:sz w:val="16"/>
                <w:lang w:val="fr-FR"/>
              </w:rPr>
              <w:lastRenderedPageBreak/>
              <w:t>Année</w:t>
            </w:r>
          </w:p>
        </w:tc>
        <w:tc>
          <w:tcPr>
            <w:tcW w:w="1324" w:type="dxa"/>
            <w:tcBorders>
              <w:top w:val="single" w:sz="4" w:space="0" w:color="auto"/>
              <w:bottom w:val="single" w:sz="12" w:space="0" w:color="auto"/>
            </w:tcBorders>
            <w:shd w:val="clear" w:color="auto" w:fill="auto"/>
            <w:vAlign w:val="bottom"/>
          </w:tcPr>
          <w:p w14:paraId="34E3C340" w14:textId="77777777" w:rsidR="003C48D6" w:rsidRPr="001F1900" w:rsidRDefault="003C48D6" w:rsidP="003849FC">
            <w:pPr>
              <w:keepNext/>
              <w:suppressAutoHyphens w:val="0"/>
              <w:spacing w:before="80" w:after="80" w:line="200" w:lineRule="exact"/>
              <w:jc w:val="right"/>
              <w:rPr>
                <w:i/>
                <w:sz w:val="16"/>
                <w:lang w:val="fr-FR"/>
              </w:rPr>
            </w:pPr>
            <w:r w:rsidRPr="001F1900">
              <w:rPr>
                <w:i/>
                <w:sz w:val="16"/>
                <w:lang w:val="fr-FR"/>
              </w:rPr>
              <w:t>Nombre de victimes identifiées</w:t>
            </w:r>
          </w:p>
        </w:tc>
        <w:tc>
          <w:tcPr>
            <w:tcW w:w="687" w:type="dxa"/>
            <w:tcBorders>
              <w:top w:val="single" w:sz="4" w:space="0" w:color="auto"/>
              <w:bottom w:val="single" w:sz="12" w:space="0" w:color="auto"/>
            </w:tcBorders>
            <w:shd w:val="clear" w:color="auto" w:fill="auto"/>
            <w:vAlign w:val="bottom"/>
          </w:tcPr>
          <w:p w14:paraId="20C64FE2" w14:textId="77777777" w:rsidR="003C48D6" w:rsidRPr="001F1900" w:rsidRDefault="003C48D6" w:rsidP="003849FC">
            <w:pPr>
              <w:keepNext/>
              <w:suppressAutoHyphens w:val="0"/>
              <w:spacing w:before="80" w:after="80" w:line="200" w:lineRule="exact"/>
              <w:jc w:val="right"/>
              <w:rPr>
                <w:i/>
                <w:sz w:val="16"/>
                <w:lang w:val="fr-FR"/>
              </w:rPr>
            </w:pPr>
            <w:r w:rsidRPr="001F1900">
              <w:rPr>
                <w:i/>
                <w:sz w:val="16"/>
                <w:lang w:val="fr-FR"/>
              </w:rPr>
              <w:t>Sexe</w:t>
            </w:r>
          </w:p>
        </w:tc>
        <w:tc>
          <w:tcPr>
            <w:tcW w:w="784" w:type="dxa"/>
            <w:tcBorders>
              <w:top w:val="single" w:sz="4" w:space="0" w:color="auto"/>
              <w:bottom w:val="single" w:sz="12" w:space="0" w:color="auto"/>
            </w:tcBorders>
            <w:shd w:val="clear" w:color="auto" w:fill="auto"/>
            <w:vAlign w:val="bottom"/>
          </w:tcPr>
          <w:p w14:paraId="72F35E93" w14:textId="77777777" w:rsidR="003C48D6" w:rsidRPr="001F1900" w:rsidRDefault="003C48D6" w:rsidP="003849FC">
            <w:pPr>
              <w:keepNext/>
              <w:suppressAutoHyphens w:val="0"/>
              <w:spacing w:before="80" w:after="80" w:line="200" w:lineRule="exact"/>
              <w:jc w:val="right"/>
              <w:rPr>
                <w:i/>
                <w:sz w:val="16"/>
                <w:lang w:val="fr-FR"/>
              </w:rPr>
            </w:pPr>
            <w:r w:rsidRPr="001F1900">
              <w:rPr>
                <w:i/>
                <w:sz w:val="16"/>
                <w:lang w:val="fr-FR"/>
              </w:rPr>
              <w:t>Âge</w:t>
            </w:r>
          </w:p>
        </w:tc>
        <w:tc>
          <w:tcPr>
            <w:tcW w:w="1414" w:type="dxa"/>
            <w:tcBorders>
              <w:top w:val="single" w:sz="4" w:space="0" w:color="auto"/>
              <w:bottom w:val="single" w:sz="12" w:space="0" w:color="auto"/>
            </w:tcBorders>
            <w:shd w:val="clear" w:color="auto" w:fill="auto"/>
            <w:vAlign w:val="bottom"/>
          </w:tcPr>
          <w:p w14:paraId="7D80268F" w14:textId="77777777" w:rsidR="003C48D6" w:rsidRPr="001F1900" w:rsidRDefault="003C48D6" w:rsidP="003849FC">
            <w:pPr>
              <w:keepNext/>
              <w:suppressAutoHyphens w:val="0"/>
              <w:spacing w:before="80" w:after="80" w:line="200" w:lineRule="exact"/>
              <w:jc w:val="right"/>
              <w:rPr>
                <w:i/>
                <w:sz w:val="16"/>
                <w:lang w:val="fr-FR"/>
              </w:rPr>
            </w:pPr>
            <w:r w:rsidRPr="001F1900">
              <w:rPr>
                <w:i/>
                <w:sz w:val="16"/>
                <w:lang w:val="fr-FR"/>
              </w:rPr>
              <w:t>Nationalité</w:t>
            </w:r>
          </w:p>
        </w:tc>
        <w:tc>
          <w:tcPr>
            <w:tcW w:w="1651" w:type="dxa"/>
            <w:tcBorders>
              <w:top w:val="single" w:sz="4" w:space="0" w:color="auto"/>
              <w:bottom w:val="single" w:sz="12" w:space="0" w:color="auto"/>
            </w:tcBorders>
            <w:shd w:val="clear" w:color="auto" w:fill="auto"/>
            <w:vAlign w:val="bottom"/>
          </w:tcPr>
          <w:p w14:paraId="38543136" w14:textId="77777777" w:rsidR="003C48D6" w:rsidRPr="001F1900" w:rsidRDefault="003C48D6" w:rsidP="003849FC">
            <w:pPr>
              <w:keepNext/>
              <w:suppressAutoHyphens w:val="0"/>
              <w:spacing w:before="80" w:after="80" w:line="200" w:lineRule="exact"/>
              <w:jc w:val="right"/>
              <w:rPr>
                <w:i/>
                <w:sz w:val="16"/>
                <w:lang w:val="fr-FR"/>
              </w:rPr>
            </w:pPr>
            <w:r w:rsidRPr="001F1900">
              <w:rPr>
                <w:i/>
                <w:sz w:val="16"/>
                <w:lang w:val="fr-FR"/>
              </w:rPr>
              <w:t>Type d</w:t>
            </w:r>
            <w:r w:rsidR="00254912">
              <w:rPr>
                <w:i/>
                <w:sz w:val="16"/>
                <w:lang w:val="fr-FR"/>
              </w:rPr>
              <w:t>’</w:t>
            </w:r>
            <w:r w:rsidRPr="001F1900">
              <w:rPr>
                <w:i/>
                <w:sz w:val="16"/>
                <w:lang w:val="fr-FR"/>
              </w:rPr>
              <w:t>exploitation</w:t>
            </w:r>
          </w:p>
        </w:tc>
        <w:tc>
          <w:tcPr>
            <w:tcW w:w="1842" w:type="dxa"/>
            <w:tcBorders>
              <w:top w:val="single" w:sz="4" w:space="0" w:color="auto"/>
              <w:bottom w:val="single" w:sz="12" w:space="0" w:color="auto"/>
            </w:tcBorders>
            <w:shd w:val="clear" w:color="auto" w:fill="auto"/>
            <w:vAlign w:val="bottom"/>
          </w:tcPr>
          <w:p w14:paraId="10F0C8CD" w14:textId="77777777" w:rsidR="003C48D6" w:rsidRPr="001F1900" w:rsidRDefault="003C48D6" w:rsidP="003849FC">
            <w:pPr>
              <w:keepNext/>
              <w:suppressAutoHyphens w:val="0"/>
              <w:spacing w:before="80" w:after="80" w:line="200" w:lineRule="exact"/>
              <w:jc w:val="right"/>
              <w:rPr>
                <w:i/>
                <w:sz w:val="16"/>
                <w:lang w:val="fr-FR"/>
              </w:rPr>
            </w:pPr>
            <w:r w:rsidRPr="001F1900">
              <w:rPr>
                <w:i/>
                <w:sz w:val="16"/>
                <w:lang w:val="fr-FR"/>
              </w:rPr>
              <w:t>Traite intérieure/ internationale</w:t>
            </w:r>
          </w:p>
        </w:tc>
        <w:tc>
          <w:tcPr>
            <w:tcW w:w="1134" w:type="dxa"/>
            <w:tcBorders>
              <w:top w:val="single" w:sz="4" w:space="0" w:color="auto"/>
              <w:bottom w:val="single" w:sz="12" w:space="0" w:color="auto"/>
            </w:tcBorders>
            <w:shd w:val="clear" w:color="auto" w:fill="auto"/>
            <w:vAlign w:val="bottom"/>
          </w:tcPr>
          <w:p w14:paraId="00540E55" w14:textId="77777777" w:rsidR="003C48D6" w:rsidRPr="001F1900" w:rsidRDefault="003C48D6" w:rsidP="003849FC">
            <w:pPr>
              <w:keepNext/>
              <w:suppressAutoHyphens w:val="0"/>
              <w:spacing w:before="80" w:after="80" w:line="200" w:lineRule="exact"/>
              <w:jc w:val="right"/>
              <w:rPr>
                <w:i/>
                <w:sz w:val="16"/>
                <w:lang w:val="fr-FR"/>
              </w:rPr>
            </w:pPr>
            <w:r w:rsidRPr="001F1900">
              <w:rPr>
                <w:i/>
                <w:sz w:val="16"/>
                <w:lang w:val="fr-FR"/>
              </w:rPr>
              <w:t>Ministère qui les a identifiées</w:t>
            </w:r>
          </w:p>
        </w:tc>
      </w:tr>
      <w:tr w:rsidR="003C48D6" w:rsidRPr="001F1900" w14:paraId="3F9F3F3B" w14:textId="77777777" w:rsidTr="00A11420">
        <w:tc>
          <w:tcPr>
            <w:tcW w:w="803" w:type="dxa"/>
            <w:tcBorders>
              <w:top w:val="single" w:sz="12" w:space="0" w:color="auto"/>
            </w:tcBorders>
            <w:shd w:val="clear" w:color="auto" w:fill="auto"/>
          </w:tcPr>
          <w:p w14:paraId="7D3E97DD" w14:textId="77777777" w:rsidR="003C48D6" w:rsidRPr="001F1900" w:rsidRDefault="003C48D6" w:rsidP="003849FC">
            <w:pPr>
              <w:keepNext/>
              <w:suppressAutoHyphens w:val="0"/>
              <w:spacing w:before="40" w:after="40" w:line="220" w:lineRule="exact"/>
              <w:rPr>
                <w:sz w:val="18"/>
                <w:szCs w:val="18"/>
                <w:lang w:val="fr-FR"/>
              </w:rPr>
            </w:pPr>
            <w:r w:rsidRPr="001F1900">
              <w:rPr>
                <w:sz w:val="18"/>
                <w:szCs w:val="18"/>
                <w:lang w:val="fr-FR"/>
              </w:rPr>
              <w:t>2010</w:t>
            </w:r>
          </w:p>
        </w:tc>
        <w:tc>
          <w:tcPr>
            <w:tcW w:w="1324" w:type="dxa"/>
            <w:tcBorders>
              <w:top w:val="single" w:sz="12" w:space="0" w:color="auto"/>
            </w:tcBorders>
            <w:shd w:val="clear" w:color="auto" w:fill="auto"/>
            <w:vAlign w:val="bottom"/>
          </w:tcPr>
          <w:p w14:paraId="65550686"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9</w:t>
            </w:r>
          </w:p>
        </w:tc>
        <w:tc>
          <w:tcPr>
            <w:tcW w:w="687" w:type="dxa"/>
            <w:tcBorders>
              <w:top w:val="single" w:sz="12" w:space="0" w:color="auto"/>
            </w:tcBorders>
            <w:shd w:val="clear" w:color="auto" w:fill="auto"/>
            <w:vAlign w:val="bottom"/>
          </w:tcPr>
          <w:p w14:paraId="09E82BA8"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F</w:t>
            </w:r>
          </w:p>
        </w:tc>
        <w:tc>
          <w:tcPr>
            <w:tcW w:w="784" w:type="dxa"/>
            <w:tcBorders>
              <w:top w:val="single" w:sz="12" w:space="0" w:color="auto"/>
            </w:tcBorders>
            <w:shd w:val="clear" w:color="auto" w:fill="auto"/>
            <w:vAlign w:val="bottom"/>
          </w:tcPr>
          <w:p w14:paraId="2ADF91DE"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w:t>
            </w:r>
          </w:p>
        </w:tc>
        <w:tc>
          <w:tcPr>
            <w:tcW w:w="1414" w:type="dxa"/>
            <w:tcBorders>
              <w:top w:val="single" w:sz="12" w:space="0" w:color="auto"/>
            </w:tcBorders>
            <w:shd w:val="clear" w:color="auto" w:fill="auto"/>
            <w:vAlign w:val="bottom"/>
          </w:tcPr>
          <w:p w14:paraId="5DEBB036"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w:t>
            </w:r>
          </w:p>
        </w:tc>
        <w:tc>
          <w:tcPr>
            <w:tcW w:w="1651" w:type="dxa"/>
            <w:tcBorders>
              <w:top w:val="single" w:sz="12" w:space="0" w:color="auto"/>
            </w:tcBorders>
            <w:shd w:val="clear" w:color="auto" w:fill="auto"/>
            <w:vAlign w:val="bottom"/>
          </w:tcPr>
          <w:p w14:paraId="35D3FB28"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Sexuelle 7</w:t>
            </w:r>
          </w:p>
          <w:p w14:paraId="20570AD2"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 2</w:t>
            </w:r>
          </w:p>
        </w:tc>
        <w:tc>
          <w:tcPr>
            <w:tcW w:w="1842" w:type="dxa"/>
            <w:tcBorders>
              <w:top w:val="single" w:sz="12" w:space="0" w:color="auto"/>
            </w:tcBorders>
            <w:shd w:val="clear" w:color="auto" w:fill="auto"/>
            <w:vAlign w:val="bottom"/>
          </w:tcPr>
          <w:p w14:paraId="4646D33C"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w:t>
            </w:r>
          </w:p>
        </w:tc>
        <w:tc>
          <w:tcPr>
            <w:tcW w:w="1134" w:type="dxa"/>
            <w:tcBorders>
              <w:top w:val="single" w:sz="12" w:space="0" w:color="auto"/>
            </w:tcBorders>
            <w:shd w:val="clear" w:color="auto" w:fill="auto"/>
            <w:vAlign w:val="bottom"/>
          </w:tcPr>
          <w:p w14:paraId="26228070"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Intérieur</w:t>
            </w:r>
          </w:p>
          <w:p w14:paraId="14A601C9"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w:t>
            </w:r>
          </w:p>
        </w:tc>
      </w:tr>
      <w:tr w:rsidR="003C48D6" w:rsidRPr="001F1900" w14:paraId="473825BD" w14:textId="77777777" w:rsidTr="00A11420">
        <w:tc>
          <w:tcPr>
            <w:tcW w:w="803" w:type="dxa"/>
            <w:shd w:val="clear" w:color="auto" w:fill="auto"/>
          </w:tcPr>
          <w:p w14:paraId="5B4991A6" w14:textId="77777777" w:rsidR="003C48D6" w:rsidRPr="001F1900" w:rsidRDefault="003C48D6" w:rsidP="003849FC">
            <w:pPr>
              <w:keepNext/>
              <w:suppressAutoHyphens w:val="0"/>
              <w:spacing w:before="40" w:after="40" w:line="220" w:lineRule="exact"/>
              <w:rPr>
                <w:sz w:val="18"/>
                <w:szCs w:val="18"/>
                <w:lang w:val="fr-FR"/>
              </w:rPr>
            </w:pPr>
            <w:r w:rsidRPr="001F1900">
              <w:rPr>
                <w:sz w:val="18"/>
                <w:szCs w:val="18"/>
                <w:lang w:val="fr-FR"/>
              </w:rPr>
              <w:t>2011</w:t>
            </w:r>
          </w:p>
        </w:tc>
        <w:tc>
          <w:tcPr>
            <w:tcW w:w="1324" w:type="dxa"/>
            <w:shd w:val="clear" w:color="auto" w:fill="auto"/>
            <w:vAlign w:val="bottom"/>
          </w:tcPr>
          <w:p w14:paraId="306577A1"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11</w:t>
            </w:r>
          </w:p>
        </w:tc>
        <w:tc>
          <w:tcPr>
            <w:tcW w:w="687" w:type="dxa"/>
            <w:shd w:val="clear" w:color="auto" w:fill="auto"/>
            <w:vAlign w:val="bottom"/>
          </w:tcPr>
          <w:p w14:paraId="3FAB2BA9"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F</w:t>
            </w:r>
          </w:p>
        </w:tc>
        <w:tc>
          <w:tcPr>
            <w:tcW w:w="784" w:type="dxa"/>
            <w:shd w:val="clear" w:color="auto" w:fill="auto"/>
            <w:vAlign w:val="bottom"/>
          </w:tcPr>
          <w:p w14:paraId="24B6D9DF"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w:t>
            </w:r>
          </w:p>
        </w:tc>
        <w:tc>
          <w:tcPr>
            <w:tcW w:w="1414" w:type="dxa"/>
            <w:shd w:val="clear" w:color="auto" w:fill="auto"/>
            <w:vAlign w:val="bottom"/>
          </w:tcPr>
          <w:p w14:paraId="15D113EF"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Macédonienne 2</w:t>
            </w:r>
          </w:p>
          <w:p w14:paraId="10F67C16"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Bulgare 1</w:t>
            </w:r>
          </w:p>
          <w:p w14:paraId="5B031DAD"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Albanaise 2</w:t>
            </w:r>
          </w:p>
          <w:p w14:paraId="21964CD7"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Rom 6</w:t>
            </w:r>
          </w:p>
        </w:tc>
        <w:tc>
          <w:tcPr>
            <w:tcW w:w="1651" w:type="dxa"/>
            <w:shd w:val="clear" w:color="auto" w:fill="auto"/>
            <w:vAlign w:val="bottom"/>
          </w:tcPr>
          <w:p w14:paraId="1E0EA987"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Sexuelle 7</w:t>
            </w:r>
          </w:p>
          <w:p w14:paraId="338A5638"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 2</w:t>
            </w:r>
          </w:p>
          <w:p w14:paraId="5D1A6255"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 et sexuelle 2</w:t>
            </w:r>
          </w:p>
        </w:tc>
        <w:tc>
          <w:tcPr>
            <w:tcW w:w="1842" w:type="dxa"/>
            <w:shd w:val="clear" w:color="auto" w:fill="auto"/>
            <w:vAlign w:val="bottom"/>
          </w:tcPr>
          <w:p w14:paraId="583B355D"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Traite intérieure 9</w:t>
            </w:r>
          </w:p>
          <w:p w14:paraId="727B0C7F"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Ressortissants étrangers dans le pays 2</w:t>
            </w:r>
          </w:p>
        </w:tc>
        <w:tc>
          <w:tcPr>
            <w:tcW w:w="1134" w:type="dxa"/>
            <w:shd w:val="clear" w:color="auto" w:fill="auto"/>
            <w:vAlign w:val="bottom"/>
          </w:tcPr>
          <w:p w14:paraId="759B4A90"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Intérieur</w:t>
            </w:r>
          </w:p>
          <w:p w14:paraId="61885BD7"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w:t>
            </w:r>
          </w:p>
        </w:tc>
      </w:tr>
      <w:tr w:rsidR="003C48D6" w:rsidRPr="001F1900" w14:paraId="7A9B18DB" w14:textId="77777777" w:rsidTr="00A11420">
        <w:tc>
          <w:tcPr>
            <w:tcW w:w="803" w:type="dxa"/>
            <w:shd w:val="clear" w:color="auto" w:fill="auto"/>
          </w:tcPr>
          <w:p w14:paraId="500CAD4F" w14:textId="77777777" w:rsidR="003C48D6" w:rsidRPr="001F1900" w:rsidRDefault="003C48D6" w:rsidP="003849FC">
            <w:pPr>
              <w:keepNext/>
              <w:suppressAutoHyphens w:val="0"/>
              <w:spacing w:before="40" w:after="40" w:line="220" w:lineRule="exact"/>
              <w:rPr>
                <w:sz w:val="18"/>
                <w:szCs w:val="18"/>
                <w:lang w:val="fr-FR"/>
              </w:rPr>
            </w:pPr>
            <w:r w:rsidRPr="001F1900">
              <w:rPr>
                <w:sz w:val="18"/>
                <w:szCs w:val="18"/>
                <w:lang w:val="fr-FR"/>
              </w:rPr>
              <w:t>2012</w:t>
            </w:r>
          </w:p>
        </w:tc>
        <w:tc>
          <w:tcPr>
            <w:tcW w:w="1324" w:type="dxa"/>
            <w:shd w:val="clear" w:color="auto" w:fill="auto"/>
            <w:vAlign w:val="bottom"/>
          </w:tcPr>
          <w:p w14:paraId="11618DE3"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8</w:t>
            </w:r>
          </w:p>
        </w:tc>
        <w:tc>
          <w:tcPr>
            <w:tcW w:w="687" w:type="dxa"/>
            <w:shd w:val="clear" w:color="auto" w:fill="auto"/>
            <w:vAlign w:val="bottom"/>
          </w:tcPr>
          <w:p w14:paraId="668CFD4D"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6 F</w:t>
            </w:r>
          </w:p>
          <w:p w14:paraId="49DE69E2"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2 H</w:t>
            </w:r>
          </w:p>
        </w:tc>
        <w:tc>
          <w:tcPr>
            <w:tcW w:w="784" w:type="dxa"/>
            <w:shd w:val="clear" w:color="auto" w:fill="auto"/>
            <w:vAlign w:val="bottom"/>
          </w:tcPr>
          <w:p w14:paraId="7490E70E"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w:t>
            </w:r>
          </w:p>
        </w:tc>
        <w:tc>
          <w:tcPr>
            <w:tcW w:w="1414" w:type="dxa"/>
            <w:shd w:val="clear" w:color="auto" w:fill="auto"/>
            <w:vAlign w:val="bottom"/>
          </w:tcPr>
          <w:p w14:paraId="75FCE9C3"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Macédonienne 4</w:t>
            </w:r>
          </w:p>
          <w:p w14:paraId="02A0CA6A"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Albanaise 3</w:t>
            </w:r>
          </w:p>
          <w:p w14:paraId="6D81FFA0"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Bosnienne 1</w:t>
            </w:r>
          </w:p>
        </w:tc>
        <w:tc>
          <w:tcPr>
            <w:tcW w:w="1651" w:type="dxa"/>
            <w:shd w:val="clear" w:color="auto" w:fill="auto"/>
            <w:vAlign w:val="bottom"/>
          </w:tcPr>
          <w:p w14:paraId="2F388308"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Sexuelle 1</w:t>
            </w:r>
          </w:p>
          <w:p w14:paraId="260795A9"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 3</w:t>
            </w:r>
          </w:p>
          <w:p w14:paraId="0C054060"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 et sexuelle 4</w:t>
            </w:r>
          </w:p>
        </w:tc>
        <w:tc>
          <w:tcPr>
            <w:tcW w:w="1842" w:type="dxa"/>
            <w:shd w:val="clear" w:color="auto" w:fill="auto"/>
            <w:vAlign w:val="bottom"/>
          </w:tcPr>
          <w:p w14:paraId="40835D65"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Traite intérieure 4</w:t>
            </w:r>
          </w:p>
          <w:p w14:paraId="0AA2C037"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Ressortissants étrangers dans le pays 4</w:t>
            </w:r>
          </w:p>
        </w:tc>
        <w:tc>
          <w:tcPr>
            <w:tcW w:w="1134" w:type="dxa"/>
            <w:shd w:val="clear" w:color="auto" w:fill="auto"/>
            <w:vAlign w:val="bottom"/>
          </w:tcPr>
          <w:p w14:paraId="20B4AD43"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Intérieur</w:t>
            </w:r>
          </w:p>
          <w:p w14:paraId="4E67AE6B"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w:t>
            </w:r>
          </w:p>
        </w:tc>
      </w:tr>
      <w:tr w:rsidR="003C48D6" w:rsidRPr="001F1900" w14:paraId="39AB65F6" w14:textId="77777777" w:rsidTr="00A11420">
        <w:tc>
          <w:tcPr>
            <w:tcW w:w="803" w:type="dxa"/>
            <w:shd w:val="clear" w:color="auto" w:fill="auto"/>
          </w:tcPr>
          <w:p w14:paraId="2B158F88" w14:textId="77777777" w:rsidR="003C48D6" w:rsidRPr="001F1900" w:rsidRDefault="003C48D6" w:rsidP="003849FC">
            <w:pPr>
              <w:keepNext/>
              <w:suppressAutoHyphens w:val="0"/>
              <w:spacing w:before="40" w:after="40" w:line="220" w:lineRule="exact"/>
              <w:rPr>
                <w:sz w:val="18"/>
                <w:szCs w:val="18"/>
                <w:lang w:val="fr-FR"/>
              </w:rPr>
            </w:pPr>
            <w:r w:rsidRPr="001F1900">
              <w:rPr>
                <w:sz w:val="18"/>
                <w:szCs w:val="18"/>
                <w:lang w:val="fr-FR"/>
              </w:rPr>
              <w:t>2013</w:t>
            </w:r>
          </w:p>
        </w:tc>
        <w:tc>
          <w:tcPr>
            <w:tcW w:w="1324" w:type="dxa"/>
            <w:shd w:val="clear" w:color="auto" w:fill="auto"/>
            <w:vAlign w:val="bottom"/>
          </w:tcPr>
          <w:p w14:paraId="7530258D"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15</w:t>
            </w:r>
          </w:p>
        </w:tc>
        <w:tc>
          <w:tcPr>
            <w:tcW w:w="687" w:type="dxa"/>
            <w:shd w:val="clear" w:color="auto" w:fill="auto"/>
            <w:vAlign w:val="bottom"/>
          </w:tcPr>
          <w:p w14:paraId="531D878F"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F</w:t>
            </w:r>
          </w:p>
        </w:tc>
        <w:tc>
          <w:tcPr>
            <w:tcW w:w="784" w:type="dxa"/>
            <w:shd w:val="clear" w:color="auto" w:fill="auto"/>
            <w:vAlign w:val="bottom"/>
          </w:tcPr>
          <w:p w14:paraId="2EE6642C"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w:t>
            </w:r>
          </w:p>
        </w:tc>
        <w:tc>
          <w:tcPr>
            <w:tcW w:w="1414" w:type="dxa"/>
            <w:shd w:val="clear" w:color="auto" w:fill="auto"/>
            <w:vAlign w:val="bottom"/>
          </w:tcPr>
          <w:p w14:paraId="579DC30D"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Macédonienne 2</w:t>
            </w:r>
          </w:p>
          <w:p w14:paraId="5A50A61C"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Serbe 3</w:t>
            </w:r>
          </w:p>
          <w:p w14:paraId="63015896"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Albanaise 5</w:t>
            </w:r>
          </w:p>
          <w:p w14:paraId="45B05938"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Rom 5</w:t>
            </w:r>
          </w:p>
        </w:tc>
        <w:tc>
          <w:tcPr>
            <w:tcW w:w="1651" w:type="dxa"/>
            <w:shd w:val="clear" w:color="auto" w:fill="auto"/>
            <w:vAlign w:val="bottom"/>
          </w:tcPr>
          <w:p w14:paraId="195B944F"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Mariage forcé 4</w:t>
            </w:r>
          </w:p>
          <w:p w14:paraId="695561CE"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Sexuelle 5</w:t>
            </w:r>
          </w:p>
          <w:p w14:paraId="0B960424"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 2</w:t>
            </w:r>
          </w:p>
          <w:p w14:paraId="15298690"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 et sexuelle 4</w:t>
            </w:r>
          </w:p>
        </w:tc>
        <w:tc>
          <w:tcPr>
            <w:tcW w:w="1842" w:type="dxa"/>
            <w:shd w:val="clear" w:color="auto" w:fill="auto"/>
            <w:vAlign w:val="bottom"/>
          </w:tcPr>
          <w:p w14:paraId="751BFF9A"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Traite intérieure 4</w:t>
            </w:r>
          </w:p>
          <w:p w14:paraId="4E29A71D"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Traite internationale 5</w:t>
            </w:r>
          </w:p>
          <w:p w14:paraId="2EFCDA3B"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Ressortissants étrangers dans le pays 6</w:t>
            </w:r>
          </w:p>
        </w:tc>
        <w:tc>
          <w:tcPr>
            <w:tcW w:w="1134" w:type="dxa"/>
            <w:shd w:val="clear" w:color="auto" w:fill="auto"/>
            <w:vAlign w:val="bottom"/>
          </w:tcPr>
          <w:p w14:paraId="354CC2FB"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Intérieur</w:t>
            </w:r>
          </w:p>
          <w:p w14:paraId="5CE0DDD7"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w:t>
            </w:r>
          </w:p>
        </w:tc>
      </w:tr>
      <w:tr w:rsidR="003C48D6" w:rsidRPr="001F1900" w14:paraId="7DC234E3" w14:textId="77777777" w:rsidTr="00A11420">
        <w:tc>
          <w:tcPr>
            <w:tcW w:w="803" w:type="dxa"/>
            <w:shd w:val="clear" w:color="auto" w:fill="auto"/>
          </w:tcPr>
          <w:p w14:paraId="7F735492" w14:textId="77777777" w:rsidR="003C48D6" w:rsidRPr="001F1900" w:rsidRDefault="003C48D6" w:rsidP="003849FC">
            <w:pPr>
              <w:keepNext/>
              <w:suppressAutoHyphens w:val="0"/>
              <w:spacing w:before="40" w:after="40" w:line="220" w:lineRule="exact"/>
              <w:rPr>
                <w:sz w:val="18"/>
                <w:szCs w:val="18"/>
                <w:lang w:val="fr-FR"/>
              </w:rPr>
            </w:pPr>
            <w:r w:rsidRPr="001F1900">
              <w:rPr>
                <w:sz w:val="18"/>
                <w:szCs w:val="18"/>
                <w:lang w:val="fr-FR"/>
              </w:rPr>
              <w:t>2014</w:t>
            </w:r>
          </w:p>
        </w:tc>
        <w:tc>
          <w:tcPr>
            <w:tcW w:w="1324" w:type="dxa"/>
            <w:shd w:val="clear" w:color="auto" w:fill="auto"/>
            <w:vAlign w:val="bottom"/>
          </w:tcPr>
          <w:p w14:paraId="06806CD0"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8</w:t>
            </w:r>
          </w:p>
        </w:tc>
        <w:tc>
          <w:tcPr>
            <w:tcW w:w="687" w:type="dxa"/>
            <w:shd w:val="clear" w:color="auto" w:fill="auto"/>
            <w:vAlign w:val="bottom"/>
          </w:tcPr>
          <w:p w14:paraId="07DB2023"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F 7</w:t>
            </w:r>
          </w:p>
          <w:p w14:paraId="7C6C9782"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H 1</w:t>
            </w:r>
          </w:p>
        </w:tc>
        <w:tc>
          <w:tcPr>
            <w:tcW w:w="784" w:type="dxa"/>
            <w:shd w:val="clear" w:color="auto" w:fill="auto"/>
            <w:vAlign w:val="bottom"/>
          </w:tcPr>
          <w:p w14:paraId="6CFD4A4A"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w:t>
            </w:r>
          </w:p>
        </w:tc>
        <w:tc>
          <w:tcPr>
            <w:tcW w:w="1414" w:type="dxa"/>
            <w:shd w:val="clear" w:color="auto" w:fill="auto"/>
            <w:vAlign w:val="bottom"/>
          </w:tcPr>
          <w:p w14:paraId="4C17E0A8"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Macédonienne 1</w:t>
            </w:r>
          </w:p>
          <w:p w14:paraId="4B127CE6"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Albanaise 4</w:t>
            </w:r>
          </w:p>
          <w:p w14:paraId="1F4E64AA"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Rom 3</w:t>
            </w:r>
          </w:p>
        </w:tc>
        <w:tc>
          <w:tcPr>
            <w:tcW w:w="1651" w:type="dxa"/>
            <w:shd w:val="clear" w:color="auto" w:fill="auto"/>
            <w:vAlign w:val="bottom"/>
          </w:tcPr>
          <w:p w14:paraId="1D7890D2"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Mariage forcé 4</w:t>
            </w:r>
          </w:p>
          <w:p w14:paraId="35589192"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Sexuelle 3</w:t>
            </w:r>
          </w:p>
          <w:p w14:paraId="21D55A3E"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 (mendicité) 1</w:t>
            </w:r>
          </w:p>
        </w:tc>
        <w:tc>
          <w:tcPr>
            <w:tcW w:w="1842" w:type="dxa"/>
            <w:shd w:val="clear" w:color="auto" w:fill="auto"/>
            <w:vAlign w:val="bottom"/>
          </w:tcPr>
          <w:p w14:paraId="10F3CBF3"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Traite intérieure 5</w:t>
            </w:r>
          </w:p>
          <w:p w14:paraId="73E3F16E"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Traite internationale</w:t>
            </w:r>
            <w:r w:rsidR="00A11420">
              <w:rPr>
                <w:sz w:val="18"/>
                <w:szCs w:val="18"/>
                <w:lang w:val="fr-FR"/>
              </w:rPr>
              <w:t xml:space="preserve"> </w:t>
            </w:r>
            <w:r w:rsidRPr="001F1900">
              <w:rPr>
                <w:sz w:val="18"/>
                <w:szCs w:val="18"/>
                <w:lang w:val="fr-FR"/>
              </w:rPr>
              <w:t>2</w:t>
            </w:r>
          </w:p>
          <w:p w14:paraId="0AB20618"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Ressortissant étranger dans le pays 1</w:t>
            </w:r>
          </w:p>
        </w:tc>
        <w:tc>
          <w:tcPr>
            <w:tcW w:w="1134" w:type="dxa"/>
            <w:shd w:val="clear" w:color="auto" w:fill="auto"/>
            <w:vAlign w:val="bottom"/>
          </w:tcPr>
          <w:p w14:paraId="6AA08761"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Intérieur</w:t>
            </w:r>
          </w:p>
          <w:p w14:paraId="2B768B13"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w:t>
            </w:r>
          </w:p>
        </w:tc>
      </w:tr>
      <w:tr w:rsidR="003C48D6" w:rsidRPr="001F1900" w14:paraId="78BDDF61" w14:textId="77777777" w:rsidTr="00A11420">
        <w:tc>
          <w:tcPr>
            <w:tcW w:w="803" w:type="dxa"/>
            <w:shd w:val="clear" w:color="auto" w:fill="auto"/>
          </w:tcPr>
          <w:p w14:paraId="1E73D244" w14:textId="77777777" w:rsidR="003C48D6" w:rsidRPr="001F1900" w:rsidRDefault="003C48D6" w:rsidP="003849FC">
            <w:pPr>
              <w:keepNext/>
              <w:suppressAutoHyphens w:val="0"/>
              <w:spacing w:before="40" w:after="40" w:line="220" w:lineRule="exact"/>
              <w:rPr>
                <w:sz w:val="18"/>
                <w:szCs w:val="18"/>
                <w:lang w:val="fr-FR"/>
              </w:rPr>
            </w:pPr>
            <w:r w:rsidRPr="001F1900">
              <w:rPr>
                <w:sz w:val="18"/>
                <w:szCs w:val="18"/>
                <w:lang w:val="fr-FR"/>
              </w:rPr>
              <w:t>2015</w:t>
            </w:r>
          </w:p>
        </w:tc>
        <w:tc>
          <w:tcPr>
            <w:tcW w:w="1324" w:type="dxa"/>
            <w:shd w:val="clear" w:color="auto" w:fill="auto"/>
            <w:vAlign w:val="bottom"/>
          </w:tcPr>
          <w:p w14:paraId="5C564076"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3</w:t>
            </w:r>
          </w:p>
        </w:tc>
        <w:tc>
          <w:tcPr>
            <w:tcW w:w="687" w:type="dxa"/>
            <w:shd w:val="clear" w:color="auto" w:fill="auto"/>
            <w:vAlign w:val="bottom"/>
          </w:tcPr>
          <w:p w14:paraId="73F3CCD3"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F</w:t>
            </w:r>
          </w:p>
        </w:tc>
        <w:tc>
          <w:tcPr>
            <w:tcW w:w="784" w:type="dxa"/>
            <w:shd w:val="clear" w:color="auto" w:fill="auto"/>
            <w:vAlign w:val="bottom"/>
          </w:tcPr>
          <w:p w14:paraId="6B05B24F"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w:t>
            </w:r>
          </w:p>
        </w:tc>
        <w:tc>
          <w:tcPr>
            <w:tcW w:w="1414" w:type="dxa"/>
            <w:shd w:val="clear" w:color="auto" w:fill="auto"/>
            <w:vAlign w:val="bottom"/>
          </w:tcPr>
          <w:p w14:paraId="5496840C"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Albanaise 2</w:t>
            </w:r>
          </w:p>
          <w:p w14:paraId="2D54AA3C"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Rom 1</w:t>
            </w:r>
          </w:p>
        </w:tc>
        <w:tc>
          <w:tcPr>
            <w:tcW w:w="1651" w:type="dxa"/>
            <w:shd w:val="clear" w:color="auto" w:fill="auto"/>
            <w:vAlign w:val="bottom"/>
          </w:tcPr>
          <w:p w14:paraId="24138C87"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Mariage forcé 1</w:t>
            </w:r>
          </w:p>
          <w:p w14:paraId="1D02CA85"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Sexuelle 1</w:t>
            </w:r>
          </w:p>
          <w:p w14:paraId="0F2021FE"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 1</w:t>
            </w:r>
          </w:p>
        </w:tc>
        <w:tc>
          <w:tcPr>
            <w:tcW w:w="1842" w:type="dxa"/>
            <w:shd w:val="clear" w:color="auto" w:fill="auto"/>
            <w:vAlign w:val="bottom"/>
          </w:tcPr>
          <w:p w14:paraId="5EC4C04C"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Traite intérieure 1</w:t>
            </w:r>
          </w:p>
          <w:p w14:paraId="3D121833"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Traite internationale 2</w:t>
            </w:r>
          </w:p>
        </w:tc>
        <w:tc>
          <w:tcPr>
            <w:tcW w:w="1134" w:type="dxa"/>
            <w:shd w:val="clear" w:color="auto" w:fill="auto"/>
            <w:vAlign w:val="bottom"/>
          </w:tcPr>
          <w:p w14:paraId="7A372847"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Intérieur</w:t>
            </w:r>
          </w:p>
          <w:p w14:paraId="31111E23"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w:t>
            </w:r>
          </w:p>
        </w:tc>
      </w:tr>
      <w:tr w:rsidR="003C48D6" w:rsidRPr="001F1900" w14:paraId="684547E0" w14:textId="77777777" w:rsidTr="00A11420">
        <w:tc>
          <w:tcPr>
            <w:tcW w:w="803" w:type="dxa"/>
            <w:shd w:val="clear" w:color="auto" w:fill="auto"/>
          </w:tcPr>
          <w:p w14:paraId="272F950F" w14:textId="77777777" w:rsidR="003C48D6" w:rsidRPr="001F1900" w:rsidRDefault="003C48D6" w:rsidP="003849FC">
            <w:pPr>
              <w:keepNext/>
              <w:suppressAutoHyphens w:val="0"/>
              <w:spacing w:before="40" w:after="40" w:line="220" w:lineRule="exact"/>
              <w:rPr>
                <w:sz w:val="18"/>
                <w:szCs w:val="18"/>
                <w:lang w:val="fr-FR"/>
              </w:rPr>
            </w:pPr>
            <w:r w:rsidRPr="001F1900">
              <w:rPr>
                <w:sz w:val="18"/>
                <w:szCs w:val="18"/>
                <w:lang w:val="fr-FR"/>
              </w:rPr>
              <w:t>2016</w:t>
            </w:r>
          </w:p>
        </w:tc>
        <w:tc>
          <w:tcPr>
            <w:tcW w:w="1324" w:type="dxa"/>
            <w:shd w:val="clear" w:color="auto" w:fill="auto"/>
            <w:vAlign w:val="bottom"/>
          </w:tcPr>
          <w:p w14:paraId="67762DFF"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6</w:t>
            </w:r>
          </w:p>
        </w:tc>
        <w:tc>
          <w:tcPr>
            <w:tcW w:w="687" w:type="dxa"/>
            <w:shd w:val="clear" w:color="auto" w:fill="auto"/>
            <w:vAlign w:val="bottom"/>
          </w:tcPr>
          <w:p w14:paraId="3BCF8FC4"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F</w:t>
            </w:r>
          </w:p>
        </w:tc>
        <w:tc>
          <w:tcPr>
            <w:tcW w:w="784" w:type="dxa"/>
            <w:shd w:val="clear" w:color="auto" w:fill="auto"/>
            <w:vAlign w:val="bottom"/>
          </w:tcPr>
          <w:p w14:paraId="24CB1CE9"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w:t>
            </w:r>
          </w:p>
        </w:tc>
        <w:tc>
          <w:tcPr>
            <w:tcW w:w="1414" w:type="dxa"/>
            <w:shd w:val="clear" w:color="auto" w:fill="auto"/>
            <w:vAlign w:val="bottom"/>
          </w:tcPr>
          <w:p w14:paraId="1F20CDCB"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Macédonienne 1</w:t>
            </w:r>
          </w:p>
          <w:p w14:paraId="4883B299"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Serbe 1</w:t>
            </w:r>
          </w:p>
          <w:p w14:paraId="7F6766DA"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Albanaise 2</w:t>
            </w:r>
          </w:p>
          <w:p w14:paraId="3CE1C024"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Rom 2</w:t>
            </w:r>
          </w:p>
        </w:tc>
        <w:tc>
          <w:tcPr>
            <w:tcW w:w="1651" w:type="dxa"/>
            <w:shd w:val="clear" w:color="auto" w:fill="auto"/>
            <w:vAlign w:val="bottom"/>
          </w:tcPr>
          <w:p w14:paraId="3B95042A"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Sexuelle 5</w:t>
            </w:r>
          </w:p>
          <w:p w14:paraId="5ECD85FD"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Sexuelle et mariage forcé 1</w:t>
            </w:r>
          </w:p>
        </w:tc>
        <w:tc>
          <w:tcPr>
            <w:tcW w:w="1842" w:type="dxa"/>
            <w:shd w:val="clear" w:color="auto" w:fill="auto"/>
            <w:vAlign w:val="bottom"/>
          </w:tcPr>
          <w:p w14:paraId="0D9A26BC"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Traite intérieure 5</w:t>
            </w:r>
          </w:p>
          <w:p w14:paraId="6DCCBC62"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Ressortissant étranger dans le pays 1</w:t>
            </w:r>
          </w:p>
        </w:tc>
        <w:tc>
          <w:tcPr>
            <w:tcW w:w="1134" w:type="dxa"/>
            <w:shd w:val="clear" w:color="auto" w:fill="auto"/>
            <w:vAlign w:val="bottom"/>
          </w:tcPr>
          <w:p w14:paraId="6263DD62"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Intérieur</w:t>
            </w:r>
          </w:p>
          <w:p w14:paraId="2C30D417"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w:t>
            </w:r>
          </w:p>
        </w:tc>
      </w:tr>
      <w:tr w:rsidR="003C48D6" w:rsidRPr="001F1900" w14:paraId="4F2DB391" w14:textId="77777777" w:rsidTr="00A11420">
        <w:tc>
          <w:tcPr>
            <w:tcW w:w="803" w:type="dxa"/>
            <w:shd w:val="clear" w:color="auto" w:fill="auto"/>
          </w:tcPr>
          <w:p w14:paraId="44E34E31" w14:textId="77777777" w:rsidR="003C48D6" w:rsidRPr="001F1900" w:rsidRDefault="003C48D6" w:rsidP="003849FC">
            <w:pPr>
              <w:keepNext/>
              <w:suppressAutoHyphens w:val="0"/>
              <w:spacing w:before="40" w:after="40" w:line="220" w:lineRule="exact"/>
              <w:rPr>
                <w:sz w:val="18"/>
                <w:szCs w:val="18"/>
                <w:lang w:val="fr-FR"/>
              </w:rPr>
            </w:pPr>
            <w:r w:rsidRPr="001F1900">
              <w:rPr>
                <w:sz w:val="18"/>
                <w:szCs w:val="18"/>
                <w:lang w:val="fr-FR"/>
              </w:rPr>
              <w:t>2017</w:t>
            </w:r>
          </w:p>
        </w:tc>
        <w:tc>
          <w:tcPr>
            <w:tcW w:w="1324" w:type="dxa"/>
            <w:shd w:val="clear" w:color="auto" w:fill="auto"/>
            <w:vAlign w:val="bottom"/>
          </w:tcPr>
          <w:p w14:paraId="5F3B8444"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2</w:t>
            </w:r>
          </w:p>
        </w:tc>
        <w:tc>
          <w:tcPr>
            <w:tcW w:w="687" w:type="dxa"/>
            <w:shd w:val="clear" w:color="auto" w:fill="auto"/>
            <w:vAlign w:val="bottom"/>
          </w:tcPr>
          <w:p w14:paraId="094E1613"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H 1</w:t>
            </w:r>
          </w:p>
          <w:p w14:paraId="13B18390"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F 1</w:t>
            </w:r>
          </w:p>
        </w:tc>
        <w:tc>
          <w:tcPr>
            <w:tcW w:w="784" w:type="dxa"/>
            <w:shd w:val="clear" w:color="auto" w:fill="auto"/>
            <w:vAlign w:val="bottom"/>
          </w:tcPr>
          <w:p w14:paraId="1C10E8AE"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w:t>
            </w:r>
          </w:p>
        </w:tc>
        <w:tc>
          <w:tcPr>
            <w:tcW w:w="1414" w:type="dxa"/>
            <w:shd w:val="clear" w:color="auto" w:fill="auto"/>
            <w:vAlign w:val="bottom"/>
          </w:tcPr>
          <w:p w14:paraId="4FBB2BFC"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Rom 2</w:t>
            </w:r>
          </w:p>
        </w:tc>
        <w:tc>
          <w:tcPr>
            <w:tcW w:w="1651" w:type="dxa"/>
            <w:shd w:val="clear" w:color="auto" w:fill="auto"/>
            <w:vAlign w:val="bottom"/>
          </w:tcPr>
          <w:p w14:paraId="5A93350B"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Mendicité 1</w:t>
            </w:r>
          </w:p>
          <w:p w14:paraId="5C66C04F"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Sexuelle 1</w:t>
            </w:r>
          </w:p>
        </w:tc>
        <w:tc>
          <w:tcPr>
            <w:tcW w:w="1842" w:type="dxa"/>
            <w:shd w:val="clear" w:color="auto" w:fill="auto"/>
            <w:vAlign w:val="bottom"/>
          </w:tcPr>
          <w:p w14:paraId="6CEC8451"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Traite intérieure 2</w:t>
            </w:r>
          </w:p>
        </w:tc>
        <w:tc>
          <w:tcPr>
            <w:tcW w:w="1134" w:type="dxa"/>
            <w:shd w:val="clear" w:color="auto" w:fill="auto"/>
            <w:vAlign w:val="bottom"/>
          </w:tcPr>
          <w:p w14:paraId="489D0DAA"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Intérieur</w:t>
            </w:r>
          </w:p>
          <w:p w14:paraId="4C21FE83"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w:t>
            </w:r>
          </w:p>
        </w:tc>
      </w:tr>
      <w:tr w:rsidR="003C48D6" w:rsidRPr="001F1900" w14:paraId="380072CB" w14:textId="77777777" w:rsidTr="00A11420">
        <w:tc>
          <w:tcPr>
            <w:tcW w:w="803" w:type="dxa"/>
            <w:tcBorders>
              <w:bottom w:val="single" w:sz="12" w:space="0" w:color="auto"/>
            </w:tcBorders>
            <w:shd w:val="clear" w:color="auto" w:fill="auto"/>
          </w:tcPr>
          <w:p w14:paraId="274EA28F" w14:textId="77777777" w:rsidR="003C48D6" w:rsidRPr="001F1900" w:rsidRDefault="003C48D6" w:rsidP="003849FC">
            <w:pPr>
              <w:keepNext/>
              <w:suppressAutoHyphens w:val="0"/>
              <w:spacing w:before="40" w:after="40" w:line="220" w:lineRule="exact"/>
              <w:rPr>
                <w:sz w:val="18"/>
                <w:szCs w:val="18"/>
                <w:lang w:val="fr-FR"/>
              </w:rPr>
            </w:pPr>
            <w:r w:rsidRPr="001F1900">
              <w:rPr>
                <w:sz w:val="18"/>
                <w:szCs w:val="18"/>
                <w:lang w:val="fr-FR"/>
              </w:rPr>
              <w:t>2018 (jusqu</w:t>
            </w:r>
            <w:r w:rsidR="00254912">
              <w:rPr>
                <w:sz w:val="18"/>
                <w:szCs w:val="18"/>
                <w:lang w:val="fr-FR"/>
              </w:rPr>
              <w:t>’</w:t>
            </w:r>
            <w:r w:rsidRPr="001F1900">
              <w:rPr>
                <w:sz w:val="18"/>
                <w:szCs w:val="18"/>
                <w:lang w:val="fr-FR"/>
              </w:rPr>
              <w:t>en avril)</w:t>
            </w:r>
          </w:p>
        </w:tc>
        <w:tc>
          <w:tcPr>
            <w:tcW w:w="1324" w:type="dxa"/>
            <w:tcBorders>
              <w:bottom w:val="single" w:sz="12" w:space="0" w:color="auto"/>
            </w:tcBorders>
            <w:shd w:val="clear" w:color="auto" w:fill="auto"/>
            <w:vAlign w:val="bottom"/>
          </w:tcPr>
          <w:p w14:paraId="0EBF1C79"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5</w:t>
            </w:r>
          </w:p>
        </w:tc>
        <w:tc>
          <w:tcPr>
            <w:tcW w:w="687" w:type="dxa"/>
            <w:tcBorders>
              <w:bottom w:val="single" w:sz="12" w:space="0" w:color="auto"/>
            </w:tcBorders>
            <w:shd w:val="clear" w:color="auto" w:fill="auto"/>
            <w:vAlign w:val="bottom"/>
          </w:tcPr>
          <w:p w14:paraId="54B3FD3C"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F</w:t>
            </w:r>
          </w:p>
        </w:tc>
        <w:tc>
          <w:tcPr>
            <w:tcW w:w="784" w:type="dxa"/>
            <w:tcBorders>
              <w:bottom w:val="single" w:sz="12" w:space="0" w:color="auto"/>
            </w:tcBorders>
            <w:shd w:val="clear" w:color="auto" w:fill="auto"/>
            <w:vAlign w:val="bottom"/>
          </w:tcPr>
          <w:p w14:paraId="1806D83E"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w:t>
            </w:r>
          </w:p>
        </w:tc>
        <w:tc>
          <w:tcPr>
            <w:tcW w:w="1414" w:type="dxa"/>
            <w:tcBorders>
              <w:bottom w:val="single" w:sz="12" w:space="0" w:color="auto"/>
            </w:tcBorders>
            <w:shd w:val="clear" w:color="auto" w:fill="auto"/>
            <w:vAlign w:val="bottom"/>
          </w:tcPr>
          <w:p w14:paraId="59A27626"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Macédonienne 1</w:t>
            </w:r>
          </w:p>
          <w:p w14:paraId="489B6F6A"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Rom 2</w:t>
            </w:r>
          </w:p>
          <w:p w14:paraId="0E0E06A9"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Albanaise 2</w:t>
            </w:r>
          </w:p>
        </w:tc>
        <w:tc>
          <w:tcPr>
            <w:tcW w:w="1651" w:type="dxa"/>
            <w:tcBorders>
              <w:bottom w:val="single" w:sz="12" w:space="0" w:color="auto"/>
            </w:tcBorders>
            <w:shd w:val="clear" w:color="auto" w:fill="auto"/>
            <w:vAlign w:val="bottom"/>
          </w:tcPr>
          <w:p w14:paraId="4B222A01"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Sexuelle 2</w:t>
            </w:r>
          </w:p>
          <w:p w14:paraId="78B2536F"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Mariage forcé 2</w:t>
            </w:r>
          </w:p>
          <w:p w14:paraId="6C37B8D1"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Sexuelle et travail 1</w:t>
            </w:r>
          </w:p>
        </w:tc>
        <w:tc>
          <w:tcPr>
            <w:tcW w:w="1842" w:type="dxa"/>
            <w:tcBorders>
              <w:bottom w:val="single" w:sz="12" w:space="0" w:color="auto"/>
            </w:tcBorders>
            <w:shd w:val="clear" w:color="auto" w:fill="auto"/>
            <w:vAlign w:val="bottom"/>
          </w:tcPr>
          <w:p w14:paraId="30BA0E8E"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Traite intérieure 4</w:t>
            </w:r>
          </w:p>
          <w:p w14:paraId="6CCD3553"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Ressortissant étranger dans le pays 1</w:t>
            </w:r>
          </w:p>
        </w:tc>
        <w:tc>
          <w:tcPr>
            <w:tcW w:w="1134" w:type="dxa"/>
            <w:tcBorders>
              <w:bottom w:val="single" w:sz="12" w:space="0" w:color="auto"/>
            </w:tcBorders>
            <w:shd w:val="clear" w:color="auto" w:fill="auto"/>
            <w:vAlign w:val="bottom"/>
          </w:tcPr>
          <w:p w14:paraId="1783A5E5"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Intérieur</w:t>
            </w:r>
          </w:p>
          <w:p w14:paraId="307FF5AB" w14:textId="77777777" w:rsidR="003C48D6" w:rsidRPr="001F1900" w:rsidRDefault="003C48D6" w:rsidP="003849FC">
            <w:pPr>
              <w:keepNext/>
              <w:suppressAutoHyphens w:val="0"/>
              <w:spacing w:before="40" w:after="40" w:line="220" w:lineRule="exact"/>
              <w:jc w:val="right"/>
              <w:rPr>
                <w:sz w:val="18"/>
                <w:szCs w:val="18"/>
                <w:lang w:val="fr-FR"/>
              </w:rPr>
            </w:pPr>
            <w:r w:rsidRPr="001F1900">
              <w:rPr>
                <w:sz w:val="18"/>
                <w:szCs w:val="18"/>
                <w:lang w:val="fr-FR"/>
              </w:rPr>
              <w:t>Travail</w:t>
            </w:r>
          </w:p>
        </w:tc>
      </w:tr>
    </w:tbl>
    <w:p w14:paraId="0440AF24" w14:textId="77777777" w:rsidR="003C48D6" w:rsidRPr="00F720A6" w:rsidRDefault="003C48D6" w:rsidP="00A11420">
      <w:pPr>
        <w:pStyle w:val="SingleTxtG"/>
        <w:spacing w:before="240"/>
        <w:rPr>
          <w:lang w:val="fr-FR"/>
        </w:rPr>
      </w:pPr>
      <w:r w:rsidRPr="00F720A6">
        <w:rPr>
          <w:lang w:val="fr-FR"/>
        </w:rPr>
        <w:t>236.</w:t>
      </w:r>
      <w:r w:rsidRPr="00F720A6">
        <w:rPr>
          <w:lang w:val="fr-FR"/>
        </w:rPr>
        <w:tab/>
        <w:t>Conformément à la recommandation n</w:t>
      </w:r>
      <w:r w:rsidR="00A11420" w:rsidRPr="00A11420">
        <w:rPr>
          <w:vertAlign w:val="superscript"/>
          <w:lang w:val="fr-FR"/>
        </w:rPr>
        <w:t>o</w:t>
      </w:r>
      <w:r w:rsidR="00A11420">
        <w:rPr>
          <w:lang w:val="fr-FR"/>
        </w:rPr>
        <w:t> </w:t>
      </w:r>
      <w:r w:rsidRPr="00F720A6">
        <w:rPr>
          <w:lang w:val="fr-FR"/>
        </w:rPr>
        <w:t>8, le principe de non-discrimination est intégré dans le cadre juridique et dans les programmes et mesures concernant les enfants. L</w:t>
      </w:r>
      <w:r w:rsidR="00254912">
        <w:rPr>
          <w:lang w:val="fr-FR"/>
        </w:rPr>
        <w:t>’</w:t>
      </w:r>
      <w:r w:rsidRPr="00F720A6">
        <w:rPr>
          <w:lang w:val="fr-FR"/>
        </w:rPr>
        <w:t>assistance et le soutien aux enfants victimes de la traite des êtres humains sont fournis à tous les enfants, quelle que soit leur origine ethnique ou nationale. Le principe de non</w:t>
      </w:r>
      <w:r w:rsidR="00A11420">
        <w:rPr>
          <w:lang w:val="fr-FR"/>
        </w:rPr>
        <w:noBreakHyphen/>
      </w:r>
      <w:r w:rsidRPr="00F720A6">
        <w:rPr>
          <w:lang w:val="fr-FR"/>
        </w:rPr>
        <w:t>discrimination est un principe de base des procédures opérationnelles normalisées relatives au traitement des victimes de la traite des êtres humains, et il en va de même pour le Programme d</w:t>
      </w:r>
      <w:r w:rsidR="00254912">
        <w:rPr>
          <w:lang w:val="fr-FR"/>
        </w:rPr>
        <w:t>’</w:t>
      </w:r>
      <w:r w:rsidRPr="00F720A6">
        <w:rPr>
          <w:lang w:val="fr-FR"/>
        </w:rPr>
        <w:t>assistance et de soutien pour la réintégration des enfants victimes.</w:t>
      </w:r>
    </w:p>
    <w:p w14:paraId="408B9FF1" w14:textId="77777777" w:rsidR="003C48D6" w:rsidRPr="00F720A6" w:rsidRDefault="003C48D6" w:rsidP="001F1900">
      <w:pPr>
        <w:pStyle w:val="SingleTxtG"/>
        <w:rPr>
          <w:lang w:val="fr-FR"/>
        </w:rPr>
      </w:pPr>
      <w:r w:rsidRPr="00F720A6">
        <w:rPr>
          <w:lang w:val="fr-FR"/>
        </w:rPr>
        <w:t>237.</w:t>
      </w:r>
      <w:r w:rsidRPr="00F720A6">
        <w:rPr>
          <w:lang w:val="fr-FR"/>
        </w:rPr>
        <w:tab/>
        <w:t>Considérant que la sécurité des victimes est prioritaire, les centres d</w:t>
      </w:r>
      <w:r w:rsidR="00254912">
        <w:rPr>
          <w:lang w:val="fr-FR"/>
        </w:rPr>
        <w:t>’</w:t>
      </w:r>
      <w:r w:rsidRPr="00F720A6">
        <w:rPr>
          <w:lang w:val="fr-FR"/>
        </w:rPr>
        <w:t xml:space="preserve">aide sociale leur attribuent des tuteurs et, si nécessaire, des traducteurs. </w:t>
      </w:r>
    </w:p>
    <w:p w14:paraId="4783AC4E" w14:textId="77777777" w:rsidR="003C48D6" w:rsidRPr="00F720A6" w:rsidRDefault="003C48D6" w:rsidP="001F1900">
      <w:pPr>
        <w:pStyle w:val="SingleTxtG"/>
        <w:rPr>
          <w:lang w:val="fr-FR"/>
        </w:rPr>
      </w:pPr>
      <w:r w:rsidRPr="00F720A6">
        <w:rPr>
          <w:lang w:val="fr-FR"/>
        </w:rPr>
        <w:t>238.</w:t>
      </w:r>
      <w:r w:rsidRPr="00F720A6">
        <w:rPr>
          <w:lang w:val="fr-FR"/>
        </w:rPr>
        <w:tab/>
        <w:t>En coopération avec l</w:t>
      </w:r>
      <w:r w:rsidR="00254912">
        <w:rPr>
          <w:lang w:val="fr-FR"/>
        </w:rPr>
        <w:t>’</w:t>
      </w:r>
      <w:r w:rsidRPr="00F720A6">
        <w:rPr>
          <w:lang w:val="fr-FR"/>
        </w:rPr>
        <w:t>UNICEF et diverses ONG, des documents d</w:t>
      </w:r>
      <w:r w:rsidR="00254912">
        <w:rPr>
          <w:lang w:val="fr-FR"/>
        </w:rPr>
        <w:t>’</w:t>
      </w:r>
      <w:r w:rsidRPr="00F720A6">
        <w:rPr>
          <w:lang w:val="fr-FR"/>
        </w:rPr>
        <w:t>information ont été préparés et imprimés dans différentes langues afin de familiariser les victimes avec leurs droits et les options qui s</w:t>
      </w:r>
      <w:r w:rsidR="00254912">
        <w:rPr>
          <w:lang w:val="fr-FR"/>
        </w:rPr>
        <w:t>’</w:t>
      </w:r>
      <w:r w:rsidRPr="00F720A6">
        <w:rPr>
          <w:lang w:val="fr-FR"/>
        </w:rPr>
        <w:t>offrent à elles.</w:t>
      </w:r>
    </w:p>
    <w:p w14:paraId="2175F851" w14:textId="77777777" w:rsidR="003C48D6" w:rsidRPr="00F720A6" w:rsidRDefault="003C48D6" w:rsidP="001F1900">
      <w:pPr>
        <w:pStyle w:val="SingleTxtG"/>
        <w:rPr>
          <w:lang w:val="fr-FR"/>
        </w:rPr>
      </w:pPr>
      <w:r w:rsidRPr="00F720A6">
        <w:rPr>
          <w:lang w:val="fr-FR"/>
        </w:rPr>
        <w:t>239.</w:t>
      </w:r>
      <w:r w:rsidRPr="00F720A6">
        <w:rPr>
          <w:lang w:val="fr-FR"/>
        </w:rPr>
        <w:tab/>
        <w:t>Au cours de la période écoulée, le Ministère du travail et de la politique sociale a organisé au niveau national et local, pour les employés de l</w:t>
      </w:r>
      <w:r w:rsidR="00254912">
        <w:rPr>
          <w:lang w:val="fr-FR"/>
        </w:rPr>
        <w:t>’</w:t>
      </w:r>
      <w:r w:rsidRPr="00F720A6">
        <w:rPr>
          <w:lang w:val="fr-FR"/>
        </w:rPr>
        <w:t>État et des institutions publiques, y compris les partenaires sociaux du secteur civil, un grand nombre de formations de base et spécialisées sur la manière de reconnaître la discrimination et sur les protections disponibles contre la discrimination.</w:t>
      </w:r>
    </w:p>
    <w:p w14:paraId="45C3F5F2" w14:textId="77777777" w:rsidR="003C48D6" w:rsidRPr="00F720A6" w:rsidRDefault="003C48D6" w:rsidP="001F1900">
      <w:pPr>
        <w:pStyle w:val="SingleTxtG"/>
        <w:rPr>
          <w:lang w:val="fr-FR"/>
        </w:rPr>
      </w:pPr>
      <w:r w:rsidRPr="00F720A6">
        <w:rPr>
          <w:lang w:val="fr-FR"/>
        </w:rPr>
        <w:t>240.</w:t>
      </w:r>
      <w:r w:rsidRPr="00F720A6">
        <w:rPr>
          <w:lang w:val="fr-FR"/>
        </w:rPr>
        <w:tab/>
        <w:t>Pour davantage de précisions concernant les activités visant à améliorer l</w:t>
      </w:r>
      <w:r w:rsidR="00254912">
        <w:rPr>
          <w:lang w:val="fr-FR"/>
        </w:rPr>
        <w:t>’</w:t>
      </w:r>
      <w:r w:rsidRPr="00F720A6">
        <w:rPr>
          <w:lang w:val="fr-FR"/>
        </w:rPr>
        <w:t>inclusion sociale des Roms, voir le chapitre IX, Mesures spéciales de protection, point b).</w:t>
      </w:r>
    </w:p>
    <w:p w14:paraId="09BF1970" w14:textId="77777777" w:rsidR="003C48D6" w:rsidRPr="00F720A6" w:rsidRDefault="003C48D6" w:rsidP="001F1900">
      <w:pPr>
        <w:pStyle w:val="SingleTxtG"/>
        <w:rPr>
          <w:lang w:val="fr-FR"/>
        </w:rPr>
      </w:pPr>
      <w:r w:rsidRPr="00F720A6">
        <w:rPr>
          <w:lang w:val="fr-FR"/>
        </w:rPr>
        <w:lastRenderedPageBreak/>
        <w:t>241.</w:t>
      </w:r>
      <w:r w:rsidRPr="00F720A6">
        <w:rPr>
          <w:lang w:val="fr-FR"/>
        </w:rPr>
        <w:tab/>
        <w:t>Conformément à la recommandation 9, le sous-groupe de lutte contre la vente d</w:t>
      </w:r>
      <w:r w:rsidR="00254912">
        <w:rPr>
          <w:lang w:val="fr-FR"/>
        </w:rPr>
        <w:t>’</w:t>
      </w:r>
      <w:r w:rsidRPr="00F720A6">
        <w:rPr>
          <w:lang w:val="fr-FR"/>
        </w:rPr>
        <w:t>enfants est un organe spécialisé (voir la réponse à la recommandation n</w:t>
      </w:r>
      <w:r w:rsidR="00E07844" w:rsidRPr="00E07844">
        <w:rPr>
          <w:vertAlign w:val="superscript"/>
          <w:lang w:val="fr-FR"/>
        </w:rPr>
        <w:t>o</w:t>
      </w:r>
      <w:r w:rsidR="00E07844">
        <w:rPr>
          <w:lang w:val="fr-FR"/>
        </w:rPr>
        <w:t> </w:t>
      </w:r>
      <w:r w:rsidRPr="00F720A6">
        <w:rPr>
          <w:lang w:val="fr-FR"/>
        </w:rPr>
        <w:t>6 qui s</w:t>
      </w:r>
      <w:r w:rsidR="00254912">
        <w:rPr>
          <w:lang w:val="fr-FR"/>
        </w:rPr>
        <w:t>’</w:t>
      </w:r>
      <w:r w:rsidRPr="00F720A6">
        <w:rPr>
          <w:lang w:val="fr-FR"/>
        </w:rPr>
        <w:t>occupe des besoins particuliers des enfants victimes tout en protégeant simultanément leurs droits. Suivant son mandat, le sous-groupe administre les activités relatives aux enfants et adhère à tous les principes, notamment le principe de non-discrimination.</w:t>
      </w:r>
    </w:p>
    <w:p w14:paraId="033F8CF9" w14:textId="77777777" w:rsidR="003C48D6" w:rsidRPr="00F720A6" w:rsidRDefault="003C48D6" w:rsidP="001F1900">
      <w:pPr>
        <w:pStyle w:val="SingleTxtG"/>
        <w:rPr>
          <w:lang w:val="fr-FR"/>
        </w:rPr>
      </w:pPr>
      <w:r w:rsidRPr="00F720A6">
        <w:rPr>
          <w:lang w:val="fr-FR"/>
        </w:rPr>
        <w:t>242.</w:t>
      </w:r>
      <w:r w:rsidRPr="00F720A6">
        <w:rPr>
          <w:lang w:val="fr-FR"/>
        </w:rPr>
        <w:tab/>
        <w:t xml:space="preserve">Toutes les institutions, tous les organes et toutes les personnes qui font partie du système de justice pour les enfants sont guidés par la loi sur la justice pour les enfants afin de faire entrer dans les faits le but primordial de la protection des enfants contre la criminalité, la violence et toutes les autres formes de menaces contre leurs droits et libertés. </w:t>
      </w:r>
    </w:p>
    <w:p w14:paraId="380FD12C" w14:textId="77777777" w:rsidR="003C48D6" w:rsidRPr="00F720A6" w:rsidRDefault="003C48D6" w:rsidP="001F1900">
      <w:pPr>
        <w:pStyle w:val="SingleTxtG"/>
        <w:rPr>
          <w:lang w:val="fr-FR"/>
        </w:rPr>
      </w:pPr>
      <w:r w:rsidRPr="00F720A6">
        <w:rPr>
          <w:lang w:val="fr-FR"/>
        </w:rPr>
        <w:t>243.</w:t>
      </w:r>
      <w:r w:rsidRPr="00F720A6">
        <w:rPr>
          <w:lang w:val="fr-FR"/>
        </w:rPr>
        <w:tab/>
        <w:t>La cinquième partie de la loi sur la justice pour les enfants porte sur la protection des enfants en tant que victimes d</w:t>
      </w:r>
      <w:r w:rsidR="00254912">
        <w:rPr>
          <w:lang w:val="fr-FR"/>
        </w:rPr>
        <w:t>’</w:t>
      </w:r>
      <w:r w:rsidRPr="00F720A6">
        <w:rPr>
          <w:lang w:val="fr-FR"/>
        </w:rPr>
        <w:t>infractions pénales ou en tant que témoins dans des procédures pénales. Elle régit la protection des enfants en tant que parties lésées ou témoins, et protège les droits de l</w:t>
      </w:r>
      <w:r w:rsidR="00254912">
        <w:rPr>
          <w:lang w:val="fr-FR"/>
        </w:rPr>
        <w:t>’</w:t>
      </w:r>
      <w:r w:rsidRPr="00F720A6">
        <w:rPr>
          <w:lang w:val="fr-FR"/>
        </w:rPr>
        <w:t xml:space="preserve">enfant victime conformément au principe de non-discrimination. </w:t>
      </w:r>
    </w:p>
    <w:p w14:paraId="51D85EFA" w14:textId="77777777" w:rsidR="003C48D6" w:rsidRPr="00F720A6" w:rsidRDefault="003C48D6" w:rsidP="001F1900">
      <w:pPr>
        <w:pStyle w:val="SingleTxtG"/>
        <w:rPr>
          <w:lang w:val="fr-FR"/>
        </w:rPr>
      </w:pPr>
      <w:r w:rsidRPr="00F720A6">
        <w:rPr>
          <w:lang w:val="fr-FR"/>
        </w:rPr>
        <w:t>244.</w:t>
      </w:r>
      <w:r w:rsidRPr="00F720A6">
        <w:rPr>
          <w:lang w:val="fr-FR"/>
        </w:rPr>
        <w:tab/>
        <w:t>Conformément aux recommandations n</w:t>
      </w:r>
      <w:r w:rsidR="00254912" w:rsidRPr="00254912">
        <w:rPr>
          <w:vertAlign w:val="superscript"/>
          <w:lang w:val="fr-FR"/>
        </w:rPr>
        <w:t>os</w:t>
      </w:r>
      <w:r w:rsidR="00254912">
        <w:rPr>
          <w:lang w:val="fr-FR"/>
        </w:rPr>
        <w:t> </w:t>
      </w:r>
      <w:r w:rsidRPr="00F720A6">
        <w:rPr>
          <w:lang w:val="fr-FR"/>
        </w:rPr>
        <w:t>3 et 10, le sous-groupe de lutte contre la vente d</w:t>
      </w:r>
      <w:r w:rsidR="00254912">
        <w:rPr>
          <w:lang w:val="fr-FR"/>
        </w:rPr>
        <w:t>’</w:t>
      </w:r>
      <w:r w:rsidRPr="00F720A6">
        <w:rPr>
          <w:lang w:val="fr-FR"/>
        </w:rPr>
        <w:t>enfants continue de fonctionner comme un organe de travail au sein de la Commission nationale. Les activités de cet organe sont axées sur la prévention de la vente d</w:t>
      </w:r>
      <w:r w:rsidR="00254912">
        <w:rPr>
          <w:lang w:val="fr-FR"/>
        </w:rPr>
        <w:t>’</w:t>
      </w:r>
      <w:r w:rsidRPr="00F720A6">
        <w:rPr>
          <w:lang w:val="fr-FR"/>
        </w:rPr>
        <w:t>enfants et l</w:t>
      </w:r>
      <w:r w:rsidR="00254912">
        <w:rPr>
          <w:lang w:val="fr-FR"/>
        </w:rPr>
        <w:t>’</w:t>
      </w:r>
      <w:r w:rsidRPr="00F720A6">
        <w:rPr>
          <w:lang w:val="fr-FR"/>
        </w:rPr>
        <w:t>amélioration de la protection des jeunes victimes, ainsi que sur la coordination de la coopération entre les parties concernées. Il prépare un plan opérationnel de lutte contre la vente d</w:t>
      </w:r>
      <w:r w:rsidR="00254912">
        <w:rPr>
          <w:lang w:val="fr-FR"/>
        </w:rPr>
        <w:t>’</w:t>
      </w:r>
      <w:r w:rsidRPr="00F720A6">
        <w:rPr>
          <w:lang w:val="fr-FR"/>
        </w:rPr>
        <w:t>enfants, qui découle de la Stratégie nationale et du Plan d</w:t>
      </w:r>
      <w:r w:rsidR="00254912">
        <w:rPr>
          <w:lang w:val="fr-FR"/>
        </w:rPr>
        <w:t>’</w:t>
      </w:r>
      <w:r w:rsidRPr="00F720A6">
        <w:rPr>
          <w:lang w:val="fr-FR"/>
        </w:rPr>
        <w:t>action pour la lutte contre la traite des êtres humains et les migrations illégales 2017-2020. À l</w:t>
      </w:r>
      <w:r w:rsidR="00254912">
        <w:rPr>
          <w:lang w:val="fr-FR"/>
        </w:rPr>
        <w:t>’</w:t>
      </w:r>
      <w:r w:rsidRPr="00F720A6">
        <w:rPr>
          <w:lang w:val="fr-FR"/>
        </w:rPr>
        <w:t>initiative du sous</w:t>
      </w:r>
      <w:r w:rsidR="00E07844">
        <w:rPr>
          <w:lang w:val="fr-FR"/>
        </w:rPr>
        <w:noBreakHyphen/>
      </w:r>
      <w:r w:rsidRPr="00F720A6">
        <w:rPr>
          <w:lang w:val="fr-FR"/>
        </w:rPr>
        <w:t>groupe, l</w:t>
      </w:r>
      <w:r w:rsidR="00254912">
        <w:rPr>
          <w:lang w:val="fr-FR"/>
        </w:rPr>
        <w:t>’</w:t>
      </w:r>
      <w:r w:rsidRPr="00F720A6">
        <w:rPr>
          <w:lang w:val="fr-FR"/>
        </w:rPr>
        <w:t>article 418 du Code pénal a été modifié</w:t>
      </w:r>
      <w:r w:rsidRPr="002A465A">
        <w:rPr>
          <w:rStyle w:val="Appelnotedebasdep"/>
        </w:rPr>
        <w:footnoteReference w:id="57"/>
      </w:r>
      <w:r w:rsidRPr="00F720A6">
        <w:rPr>
          <w:lang w:val="fr-FR"/>
        </w:rPr>
        <w:t xml:space="preserve"> pour ajouter une peine minimale de huit ans de prison à l</w:t>
      </w:r>
      <w:r w:rsidR="00254912">
        <w:rPr>
          <w:lang w:val="fr-FR"/>
        </w:rPr>
        <w:t>’</w:t>
      </w:r>
      <w:r w:rsidRPr="00F720A6">
        <w:rPr>
          <w:lang w:val="fr-FR"/>
        </w:rPr>
        <w:t>encontre de toute personne qui détournerait un enfant pour le pousser à la mendicité ou l</w:t>
      </w:r>
      <w:r w:rsidR="00254912">
        <w:rPr>
          <w:lang w:val="fr-FR"/>
        </w:rPr>
        <w:t>’</w:t>
      </w:r>
      <w:r w:rsidRPr="00F720A6">
        <w:rPr>
          <w:lang w:val="fr-FR"/>
        </w:rPr>
        <w:t xml:space="preserve">exploiter dans des activités illégales. Le même article prévoit une peine de prison minimale de </w:t>
      </w:r>
      <w:r w:rsidR="00E07844">
        <w:rPr>
          <w:lang w:val="fr-FR"/>
        </w:rPr>
        <w:t xml:space="preserve">dix </w:t>
      </w:r>
      <w:r w:rsidRPr="00F720A6">
        <w:rPr>
          <w:lang w:val="fr-FR"/>
        </w:rPr>
        <w:t>ans pour l</w:t>
      </w:r>
      <w:r w:rsidR="00254912">
        <w:rPr>
          <w:lang w:val="fr-FR"/>
        </w:rPr>
        <w:t>’</w:t>
      </w:r>
      <w:r w:rsidRPr="00F720A6">
        <w:rPr>
          <w:lang w:val="fr-FR"/>
        </w:rPr>
        <w:t>auteur des mêmes actes criminels contre un enfant de moins de 14 ans. En outre, l</w:t>
      </w:r>
      <w:r w:rsidR="00254912">
        <w:rPr>
          <w:lang w:val="fr-FR"/>
        </w:rPr>
        <w:t>’</w:t>
      </w:r>
      <w:r w:rsidRPr="00F720A6">
        <w:rPr>
          <w:lang w:val="fr-FR"/>
        </w:rPr>
        <w:t>article 418 a été modifié par l</w:t>
      </w:r>
      <w:r w:rsidR="00254912">
        <w:rPr>
          <w:lang w:val="fr-FR"/>
        </w:rPr>
        <w:t>’</w:t>
      </w:r>
      <w:r w:rsidRPr="00F720A6">
        <w:rPr>
          <w:lang w:val="fr-FR"/>
        </w:rPr>
        <w:t>ajout d</w:t>
      </w:r>
      <w:r w:rsidR="00254912">
        <w:rPr>
          <w:lang w:val="fr-FR"/>
        </w:rPr>
        <w:t>’</w:t>
      </w:r>
      <w:r w:rsidRPr="00F720A6">
        <w:rPr>
          <w:lang w:val="fr-FR"/>
        </w:rPr>
        <w:t>un paragraphe 4, qui renforce la politique pénale et prévoit une peine minimale d</w:t>
      </w:r>
      <w:r w:rsidR="00254912">
        <w:rPr>
          <w:lang w:val="fr-FR"/>
        </w:rPr>
        <w:t>’</w:t>
      </w:r>
      <w:r w:rsidRPr="00F720A6">
        <w:rPr>
          <w:lang w:val="fr-FR"/>
        </w:rPr>
        <w:t xml:space="preserve">emprisonnement de </w:t>
      </w:r>
      <w:r w:rsidR="00E07844">
        <w:rPr>
          <w:lang w:val="fr-FR"/>
        </w:rPr>
        <w:t xml:space="preserve">douze </w:t>
      </w:r>
      <w:r w:rsidRPr="00F720A6">
        <w:rPr>
          <w:lang w:val="fr-FR"/>
        </w:rPr>
        <w:t>ans pour un client qui achète les faveurs sexuelles d</w:t>
      </w:r>
      <w:r w:rsidR="00254912">
        <w:rPr>
          <w:lang w:val="fr-FR"/>
        </w:rPr>
        <w:t>’</w:t>
      </w:r>
      <w:r w:rsidRPr="00F720A6">
        <w:rPr>
          <w:lang w:val="fr-FR"/>
        </w:rPr>
        <w:t xml:space="preserve">un enfant de moins de 14 ans. </w:t>
      </w:r>
    </w:p>
    <w:p w14:paraId="74C06D11" w14:textId="77777777" w:rsidR="003C48D6" w:rsidRPr="00F720A6" w:rsidRDefault="003C48D6" w:rsidP="001F1900">
      <w:pPr>
        <w:pStyle w:val="SingleTxtG"/>
        <w:rPr>
          <w:lang w:val="fr-FR"/>
        </w:rPr>
      </w:pPr>
      <w:r w:rsidRPr="00F720A6">
        <w:rPr>
          <w:lang w:val="fr-FR"/>
        </w:rPr>
        <w:t>245.</w:t>
      </w:r>
      <w:r w:rsidRPr="00F720A6">
        <w:rPr>
          <w:lang w:val="fr-FR"/>
        </w:rPr>
        <w:tab/>
        <w:t>Conformément à la recommandation n</w:t>
      </w:r>
      <w:r w:rsidR="00254912" w:rsidRPr="00254912">
        <w:rPr>
          <w:vertAlign w:val="superscript"/>
          <w:lang w:val="fr-FR"/>
        </w:rPr>
        <w:t>o</w:t>
      </w:r>
      <w:r w:rsidR="00254912">
        <w:rPr>
          <w:lang w:val="fr-FR"/>
        </w:rPr>
        <w:t> </w:t>
      </w:r>
      <w:r w:rsidRPr="00F720A6">
        <w:rPr>
          <w:lang w:val="fr-FR"/>
        </w:rPr>
        <w:t>14 des observations finales, le Ministère du travail et de la politique sociale se consacre intensément à la quatrième Stratégie nationale et Plan d</w:t>
      </w:r>
      <w:r w:rsidR="00254912">
        <w:rPr>
          <w:lang w:val="fr-FR"/>
        </w:rPr>
        <w:t>’</w:t>
      </w:r>
      <w:r w:rsidRPr="00F720A6">
        <w:rPr>
          <w:lang w:val="fr-FR"/>
        </w:rPr>
        <w:t>action pour la lutte contre la traite des êtres humains et l</w:t>
      </w:r>
      <w:r w:rsidR="00254912">
        <w:rPr>
          <w:lang w:val="fr-FR"/>
        </w:rPr>
        <w:t>’</w:t>
      </w:r>
      <w:r w:rsidRPr="00F720A6">
        <w:rPr>
          <w:lang w:val="fr-FR"/>
        </w:rPr>
        <w:t>immigration illégale</w:t>
      </w:r>
      <w:r w:rsidR="00E07844">
        <w:rPr>
          <w:lang w:val="fr-FR"/>
        </w:rPr>
        <w:t> </w:t>
      </w:r>
      <w:r w:rsidRPr="00F720A6">
        <w:rPr>
          <w:lang w:val="fr-FR"/>
        </w:rPr>
        <w:t>2017</w:t>
      </w:r>
      <w:r w:rsidR="00E07844">
        <w:rPr>
          <w:lang w:val="fr-FR"/>
        </w:rPr>
        <w:noBreakHyphen/>
      </w:r>
      <w:r w:rsidRPr="00F720A6">
        <w:rPr>
          <w:lang w:val="fr-FR"/>
        </w:rPr>
        <w:t>2020. Dans cette optique, et conformément aux activités prioritaires définies dans le Plan de réforme 3-6-9 du Gouvernement, le Ministère du travail et de la politique sociale a mis en place, en collaboration avec le Ministère de l</w:t>
      </w:r>
      <w:r w:rsidR="00254912">
        <w:rPr>
          <w:lang w:val="fr-FR"/>
        </w:rPr>
        <w:t>’</w:t>
      </w:r>
      <w:r w:rsidRPr="00F720A6">
        <w:rPr>
          <w:lang w:val="fr-FR"/>
        </w:rPr>
        <w:t>intérieur et des ONG, des équipes mobiles chargées d</w:t>
      </w:r>
      <w:r w:rsidR="00254912">
        <w:rPr>
          <w:lang w:val="fr-FR"/>
        </w:rPr>
        <w:t>’</w:t>
      </w:r>
      <w:r w:rsidRPr="00F720A6">
        <w:rPr>
          <w:lang w:val="fr-FR"/>
        </w:rPr>
        <w:t xml:space="preserve">identifier les catégories vulnérables, notamment les victimes de la traite des êtres humains, dans les cinq villes suivantes : Skopje, Bitola, Gevgelija, Tetovo et Kumanovo. </w:t>
      </w:r>
    </w:p>
    <w:p w14:paraId="1525139F" w14:textId="77777777" w:rsidR="003C48D6" w:rsidRPr="00F720A6" w:rsidRDefault="003C48D6" w:rsidP="00254912">
      <w:pPr>
        <w:pStyle w:val="H23G"/>
        <w:rPr>
          <w:lang w:val="fr-FR"/>
        </w:rPr>
      </w:pPr>
      <w:r w:rsidRPr="00F720A6">
        <w:rPr>
          <w:lang w:val="fr-FR"/>
        </w:rPr>
        <w:tab/>
        <w:t>b)</w:t>
      </w:r>
      <w:r w:rsidRPr="00F720A6">
        <w:rPr>
          <w:lang w:val="fr-FR"/>
        </w:rPr>
        <w:tab/>
        <w:t xml:space="preserve">Des changements plus importants ont été réalisés en ce qui concerne </w:t>
      </w:r>
      <w:r w:rsidR="00254912">
        <w:rPr>
          <w:lang w:val="fr-FR"/>
        </w:rPr>
        <w:br/>
      </w:r>
      <w:r w:rsidRPr="00F720A6">
        <w:rPr>
          <w:lang w:val="fr-FR"/>
        </w:rPr>
        <w:t>les mesures juridiques prises</w:t>
      </w:r>
      <w:bookmarkStart w:id="92" w:name="_Toc56781489"/>
      <w:bookmarkEnd w:id="92"/>
    </w:p>
    <w:p w14:paraId="4A6E8AB6" w14:textId="77777777" w:rsidR="003C48D6" w:rsidRPr="00F720A6" w:rsidRDefault="003C48D6" w:rsidP="001F1900">
      <w:pPr>
        <w:pStyle w:val="SingleTxtG"/>
        <w:rPr>
          <w:lang w:val="fr-FR"/>
        </w:rPr>
      </w:pPr>
      <w:r w:rsidRPr="00F720A6">
        <w:rPr>
          <w:lang w:val="fr-FR"/>
        </w:rPr>
        <w:t>246.</w:t>
      </w:r>
      <w:r w:rsidRPr="00F720A6">
        <w:rPr>
          <w:lang w:val="fr-FR"/>
        </w:rPr>
        <w:tab/>
        <w:t>L</w:t>
      </w:r>
      <w:r w:rsidR="00254912">
        <w:rPr>
          <w:lang w:val="fr-FR"/>
        </w:rPr>
        <w:t>’</w:t>
      </w:r>
      <w:r w:rsidRPr="00F720A6">
        <w:rPr>
          <w:lang w:val="fr-FR"/>
        </w:rPr>
        <w:t>article 20 de la Convention, relatif à la pornographie mettant en scène des enfants, est intégré à l</w:t>
      </w:r>
      <w:r w:rsidR="00254912">
        <w:rPr>
          <w:lang w:val="fr-FR"/>
        </w:rPr>
        <w:t>’</w:t>
      </w:r>
      <w:r w:rsidRPr="00F720A6">
        <w:rPr>
          <w:lang w:val="fr-FR"/>
        </w:rPr>
        <w:t>article 193</w:t>
      </w:r>
      <w:r w:rsidR="00E07844">
        <w:rPr>
          <w:lang w:val="fr-FR"/>
        </w:rPr>
        <w:t>-a</w:t>
      </w:r>
      <w:r w:rsidRPr="00F720A6">
        <w:rPr>
          <w:lang w:val="fr-FR"/>
        </w:rPr>
        <w:t> : Production et distribution de pornographie mettant en scène des enfants. Il prévoit les sanctions suivantes :</w:t>
      </w:r>
    </w:p>
    <w:p w14:paraId="0DCC3AB1" w14:textId="77777777" w:rsidR="003C48D6" w:rsidRPr="00F720A6" w:rsidRDefault="003C48D6" w:rsidP="00254912">
      <w:pPr>
        <w:pStyle w:val="SingleTxtG"/>
        <w:ind w:firstLine="567"/>
        <w:rPr>
          <w:lang w:val="fr-FR"/>
        </w:rPr>
      </w:pPr>
      <w:r w:rsidRPr="00F720A6">
        <w:rPr>
          <w:lang w:val="fr-FR"/>
        </w:rPr>
        <w:t>a)</w:t>
      </w:r>
      <w:r w:rsidRPr="00F720A6">
        <w:rPr>
          <w:lang w:val="fr-FR"/>
        </w:rPr>
        <w:tab/>
        <w:t>Quiconque produit de la pédopornographie aux fins de distribution, transfert ou offre, ou de toute autre manière pour la rendre disponible, est passible d</w:t>
      </w:r>
      <w:r w:rsidR="00254912">
        <w:rPr>
          <w:lang w:val="fr-FR"/>
        </w:rPr>
        <w:t>’</w:t>
      </w:r>
      <w:r w:rsidRPr="00F720A6">
        <w:rPr>
          <w:lang w:val="fr-FR"/>
        </w:rPr>
        <w:t>une peine d</w:t>
      </w:r>
      <w:r w:rsidR="00254912">
        <w:rPr>
          <w:lang w:val="fr-FR"/>
        </w:rPr>
        <w:t>’</w:t>
      </w:r>
      <w:r w:rsidRPr="00F720A6">
        <w:rPr>
          <w:lang w:val="fr-FR"/>
        </w:rPr>
        <w:t>emprisonnement de cinq ans au moins ;</w:t>
      </w:r>
    </w:p>
    <w:p w14:paraId="6EF45238" w14:textId="77777777" w:rsidR="003C48D6" w:rsidRPr="00F720A6" w:rsidRDefault="003C48D6" w:rsidP="00254912">
      <w:pPr>
        <w:pStyle w:val="SingleTxtG"/>
        <w:ind w:firstLine="567"/>
        <w:rPr>
          <w:lang w:val="fr-FR"/>
        </w:rPr>
      </w:pPr>
      <w:r w:rsidRPr="00F720A6">
        <w:rPr>
          <w:lang w:val="fr-FR"/>
        </w:rPr>
        <w:t>b)</w:t>
      </w:r>
      <w:r w:rsidRPr="00F720A6">
        <w:rPr>
          <w:lang w:val="fr-FR"/>
        </w:rPr>
        <w:tab/>
        <w:t>Quiconque achète de la pornographie mettant en scène des enfants, pour lui</w:t>
      </w:r>
      <w:r w:rsidR="00E07844">
        <w:rPr>
          <w:lang w:val="fr-FR"/>
        </w:rPr>
        <w:noBreakHyphen/>
      </w:r>
      <w:r w:rsidRPr="00F720A6">
        <w:rPr>
          <w:lang w:val="fr-FR"/>
        </w:rPr>
        <w:t>même ou pour autrui, ou quiconque possède ce type de pornographie, est passible d</w:t>
      </w:r>
      <w:r w:rsidR="00254912">
        <w:rPr>
          <w:lang w:val="fr-FR"/>
        </w:rPr>
        <w:t>’</w:t>
      </w:r>
      <w:r w:rsidRPr="00F720A6">
        <w:rPr>
          <w:lang w:val="fr-FR"/>
        </w:rPr>
        <w:t>une peine d</w:t>
      </w:r>
      <w:r w:rsidR="00254912">
        <w:rPr>
          <w:lang w:val="fr-FR"/>
        </w:rPr>
        <w:t>’</w:t>
      </w:r>
      <w:r w:rsidRPr="00F720A6">
        <w:rPr>
          <w:lang w:val="fr-FR"/>
        </w:rPr>
        <w:t>emprisonnement de cinq à huit ans ;</w:t>
      </w:r>
    </w:p>
    <w:p w14:paraId="2E0317D8" w14:textId="77777777" w:rsidR="003C48D6" w:rsidRPr="00F720A6" w:rsidRDefault="003C48D6" w:rsidP="00254912">
      <w:pPr>
        <w:pStyle w:val="SingleTxtG"/>
        <w:ind w:firstLine="567"/>
        <w:rPr>
          <w:lang w:val="fr-FR"/>
        </w:rPr>
      </w:pPr>
      <w:r w:rsidRPr="00F720A6">
        <w:rPr>
          <w:lang w:val="fr-FR"/>
        </w:rPr>
        <w:t>c)</w:t>
      </w:r>
      <w:r w:rsidRPr="00F720A6">
        <w:rPr>
          <w:lang w:val="fr-FR"/>
        </w:rPr>
        <w:tab/>
        <w:t>Si l</w:t>
      </w:r>
      <w:r w:rsidR="00254912">
        <w:rPr>
          <w:lang w:val="fr-FR"/>
        </w:rPr>
        <w:t>’</w:t>
      </w:r>
      <w:r w:rsidRPr="00F720A6">
        <w:rPr>
          <w:lang w:val="fr-FR"/>
        </w:rPr>
        <w:t>infraction visée aux paragraphes 1 et 2 du présent article est commise au moyen d</w:t>
      </w:r>
      <w:r w:rsidR="00254912">
        <w:rPr>
          <w:lang w:val="fr-FR"/>
        </w:rPr>
        <w:t>’</w:t>
      </w:r>
      <w:r w:rsidRPr="00F720A6">
        <w:rPr>
          <w:lang w:val="fr-FR"/>
        </w:rPr>
        <w:t>un système informatique ou d</w:t>
      </w:r>
      <w:r w:rsidR="00254912">
        <w:rPr>
          <w:lang w:val="fr-FR"/>
        </w:rPr>
        <w:t>’</w:t>
      </w:r>
      <w:r w:rsidRPr="00F720A6">
        <w:rPr>
          <w:lang w:val="fr-FR"/>
        </w:rPr>
        <w:t>un autre moyen de communication de masse, l</w:t>
      </w:r>
      <w:r w:rsidR="00254912">
        <w:rPr>
          <w:lang w:val="fr-FR"/>
        </w:rPr>
        <w:t>’</w:t>
      </w:r>
      <w:r w:rsidRPr="00F720A6">
        <w:rPr>
          <w:lang w:val="fr-FR"/>
        </w:rPr>
        <w:t>auteur de l</w:t>
      </w:r>
      <w:r w:rsidR="00254912">
        <w:rPr>
          <w:lang w:val="fr-FR"/>
        </w:rPr>
        <w:t>’</w:t>
      </w:r>
      <w:r w:rsidRPr="00F720A6">
        <w:rPr>
          <w:lang w:val="fr-FR"/>
        </w:rPr>
        <w:t>infraction est passible d</w:t>
      </w:r>
      <w:r w:rsidR="00254912">
        <w:rPr>
          <w:lang w:val="fr-FR"/>
        </w:rPr>
        <w:t>’</w:t>
      </w:r>
      <w:r w:rsidRPr="00F720A6">
        <w:rPr>
          <w:lang w:val="fr-FR"/>
        </w:rPr>
        <w:t>une peine d</w:t>
      </w:r>
      <w:r w:rsidR="00254912">
        <w:rPr>
          <w:lang w:val="fr-FR"/>
        </w:rPr>
        <w:t>’</w:t>
      </w:r>
      <w:r w:rsidRPr="00F720A6">
        <w:rPr>
          <w:lang w:val="fr-FR"/>
        </w:rPr>
        <w:t>emprisonnement de huit ans au moins ;</w:t>
      </w:r>
    </w:p>
    <w:p w14:paraId="47B689B8" w14:textId="77777777" w:rsidR="003C48D6" w:rsidRPr="00F720A6" w:rsidRDefault="003C48D6" w:rsidP="00254912">
      <w:pPr>
        <w:pStyle w:val="SingleTxtG"/>
        <w:ind w:firstLine="567"/>
        <w:rPr>
          <w:lang w:val="fr-FR"/>
        </w:rPr>
      </w:pPr>
      <w:r w:rsidRPr="00F720A6">
        <w:rPr>
          <w:lang w:val="fr-FR"/>
        </w:rPr>
        <w:lastRenderedPageBreak/>
        <w:t>d)</w:t>
      </w:r>
      <w:r w:rsidRPr="00F720A6">
        <w:rPr>
          <w:lang w:val="fr-FR"/>
        </w:rPr>
        <w:tab/>
        <w:t>Si l</w:t>
      </w:r>
      <w:r w:rsidR="00254912">
        <w:rPr>
          <w:lang w:val="fr-FR"/>
        </w:rPr>
        <w:t>’</w:t>
      </w:r>
      <w:r w:rsidRPr="00F720A6">
        <w:rPr>
          <w:lang w:val="fr-FR"/>
        </w:rPr>
        <w:t>infraction visée au présent article est commise par une personne morale, celle-ci est passible d</w:t>
      </w:r>
      <w:r w:rsidR="00254912">
        <w:rPr>
          <w:lang w:val="fr-FR"/>
        </w:rPr>
        <w:t>’</w:t>
      </w:r>
      <w:r w:rsidRPr="00F720A6">
        <w:rPr>
          <w:lang w:val="fr-FR"/>
        </w:rPr>
        <w:t>une amende.</w:t>
      </w:r>
    </w:p>
    <w:p w14:paraId="40CE1FED" w14:textId="77777777" w:rsidR="003C48D6" w:rsidRPr="00F720A6" w:rsidRDefault="003C48D6" w:rsidP="001F1900">
      <w:pPr>
        <w:pStyle w:val="SingleTxtG"/>
        <w:rPr>
          <w:lang w:val="fr-FR"/>
        </w:rPr>
      </w:pPr>
      <w:r w:rsidRPr="00F720A6">
        <w:rPr>
          <w:lang w:val="fr-FR"/>
        </w:rPr>
        <w:t>247.</w:t>
      </w:r>
      <w:r w:rsidRPr="00F720A6">
        <w:rPr>
          <w:lang w:val="fr-FR"/>
        </w:rPr>
        <w:tab/>
        <w:t>L</w:t>
      </w:r>
      <w:r w:rsidR="00254912">
        <w:rPr>
          <w:lang w:val="fr-FR"/>
        </w:rPr>
        <w:t>’</w:t>
      </w:r>
      <w:r w:rsidRPr="00F720A6">
        <w:rPr>
          <w:lang w:val="fr-FR"/>
        </w:rPr>
        <w:t>article 21 de la Convention, relatif aux actes criminels consistant à inclure un enfant dans des spectacles pornographiques, est intégré à l</w:t>
      </w:r>
      <w:r w:rsidR="00254912">
        <w:rPr>
          <w:lang w:val="fr-FR"/>
        </w:rPr>
        <w:t>’</w:t>
      </w:r>
      <w:r w:rsidRPr="00F720A6">
        <w:rPr>
          <w:lang w:val="fr-FR"/>
        </w:rPr>
        <w:t>article 193 : Présentation de matériel pornographique à un enfant. Selon l</w:t>
      </w:r>
      <w:r w:rsidR="00254912">
        <w:rPr>
          <w:lang w:val="fr-FR"/>
        </w:rPr>
        <w:t>’</w:t>
      </w:r>
      <w:r w:rsidRPr="00F720A6">
        <w:rPr>
          <w:lang w:val="fr-FR"/>
        </w:rPr>
        <w:t>âge de l</w:t>
      </w:r>
      <w:r w:rsidR="00254912">
        <w:rPr>
          <w:lang w:val="fr-FR"/>
        </w:rPr>
        <w:t>’</w:t>
      </w:r>
      <w:r w:rsidRPr="00F720A6">
        <w:rPr>
          <w:lang w:val="fr-FR"/>
        </w:rPr>
        <w:t>enfant et le type d</w:t>
      </w:r>
      <w:r w:rsidR="00254912">
        <w:rPr>
          <w:lang w:val="fr-FR"/>
        </w:rPr>
        <w:t>’</w:t>
      </w:r>
      <w:r w:rsidRPr="00F720A6">
        <w:rPr>
          <w:lang w:val="fr-FR"/>
        </w:rPr>
        <w:t>infraction pénale, les</w:t>
      </w:r>
      <w:r w:rsidR="00E07844">
        <w:rPr>
          <w:lang w:val="fr-FR"/>
        </w:rPr>
        <w:t> </w:t>
      </w:r>
      <w:r w:rsidRPr="00F720A6">
        <w:rPr>
          <w:lang w:val="fr-FR"/>
        </w:rPr>
        <w:t xml:space="preserve">paragraphes 1 à 8 dudit article prévoient un emprisonnement de </w:t>
      </w:r>
      <w:r w:rsidR="00E07844">
        <w:rPr>
          <w:lang w:val="fr-FR"/>
        </w:rPr>
        <w:t xml:space="preserve">six </w:t>
      </w:r>
      <w:r w:rsidRPr="00F720A6">
        <w:rPr>
          <w:lang w:val="fr-FR"/>
        </w:rPr>
        <w:t xml:space="preserve">mois au minimum à </w:t>
      </w:r>
      <w:r w:rsidR="00E07844">
        <w:rPr>
          <w:lang w:val="fr-FR"/>
        </w:rPr>
        <w:t xml:space="preserve">huit </w:t>
      </w:r>
      <w:r w:rsidRPr="00F720A6">
        <w:rPr>
          <w:lang w:val="fr-FR"/>
        </w:rPr>
        <w:t>ans au maximum, et une amende si l</w:t>
      </w:r>
      <w:r w:rsidR="00254912">
        <w:rPr>
          <w:lang w:val="fr-FR"/>
        </w:rPr>
        <w:t>’</w:t>
      </w:r>
      <w:r w:rsidRPr="00F720A6">
        <w:rPr>
          <w:lang w:val="fr-FR"/>
        </w:rPr>
        <w:t xml:space="preserve">auteur est une personne morale. </w:t>
      </w:r>
    </w:p>
    <w:p w14:paraId="3EAB96E6" w14:textId="77777777" w:rsidR="003C48D6" w:rsidRPr="00F720A6" w:rsidRDefault="003C48D6" w:rsidP="001F1900">
      <w:pPr>
        <w:pStyle w:val="SingleTxtG"/>
        <w:rPr>
          <w:lang w:val="fr-FR"/>
        </w:rPr>
      </w:pPr>
      <w:r w:rsidRPr="00F720A6">
        <w:rPr>
          <w:lang w:val="fr-FR"/>
        </w:rPr>
        <w:t>248.</w:t>
      </w:r>
      <w:r w:rsidRPr="00F720A6">
        <w:rPr>
          <w:lang w:val="fr-FR"/>
        </w:rPr>
        <w:tab/>
        <w:t>L</w:t>
      </w:r>
      <w:r w:rsidR="00254912">
        <w:rPr>
          <w:lang w:val="fr-FR"/>
        </w:rPr>
        <w:t>’</w:t>
      </w:r>
      <w:r w:rsidRPr="00F720A6">
        <w:rPr>
          <w:lang w:val="fr-FR"/>
        </w:rPr>
        <w:t>acte criminel décrit à l</w:t>
      </w:r>
      <w:r w:rsidR="00254912">
        <w:rPr>
          <w:lang w:val="fr-FR"/>
        </w:rPr>
        <w:t>’</w:t>
      </w:r>
      <w:r w:rsidRPr="00F720A6">
        <w:rPr>
          <w:lang w:val="fr-FR"/>
        </w:rPr>
        <w:t>article 190 : Satisfaire des pulsions sexuelles devant autrui, correspond à l</w:t>
      </w:r>
      <w:r w:rsidR="00254912">
        <w:rPr>
          <w:lang w:val="fr-FR"/>
        </w:rPr>
        <w:t>’</w:t>
      </w:r>
      <w:r w:rsidRPr="00F720A6">
        <w:rPr>
          <w:lang w:val="fr-FR"/>
        </w:rPr>
        <w:t xml:space="preserve">article 20 de la Convention, qui incrimine les actes qui imposent de priver les enfants de leur milieu familial. </w:t>
      </w:r>
      <w:r w:rsidR="00D31610">
        <w:rPr>
          <w:lang w:val="fr-FR"/>
        </w:rPr>
        <w:t>L’article 190</w:t>
      </w:r>
      <w:r w:rsidRPr="00F720A6">
        <w:rPr>
          <w:lang w:val="fr-FR"/>
        </w:rPr>
        <w:t xml:space="preserve"> </w:t>
      </w:r>
      <w:r w:rsidR="00D31610" w:rsidRPr="00F720A6">
        <w:rPr>
          <w:lang w:val="fr-FR"/>
        </w:rPr>
        <w:t>(par</w:t>
      </w:r>
      <w:r w:rsidR="00D31610">
        <w:rPr>
          <w:lang w:val="fr-FR"/>
        </w:rPr>
        <w:t>.</w:t>
      </w:r>
      <w:r w:rsidR="00D31610" w:rsidRPr="00F720A6">
        <w:rPr>
          <w:lang w:val="fr-FR"/>
        </w:rPr>
        <w:t> 1 à 3)</w:t>
      </w:r>
      <w:r w:rsidR="00D31610">
        <w:rPr>
          <w:lang w:val="fr-FR"/>
        </w:rPr>
        <w:t xml:space="preserve"> </w:t>
      </w:r>
      <w:r w:rsidRPr="00F720A6">
        <w:rPr>
          <w:lang w:val="fr-FR"/>
        </w:rPr>
        <w:t>prévoit, selon l</w:t>
      </w:r>
      <w:r w:rsidR="00254912">
        <w:rPr>
          <w:lang w:val="fr-FR"/>
        </w:rPr>
        <w:t>’</w:t>
      </w:r>
      <w:r w:rsidRPr="00F720A6">
        <w:rPr>
          <w:lang w:val="fr-FR"/>
        </w:rPr>
        <w:t>âge de l</w:t>
      </w:r>
      <w:r w:rsidR="00254912">
        <w:rPr>
          <w:lang w:val="fr-FR"/>
        </w:rPr>
        <w:t>’</w:t>
      </w:r>
      <w:r w:rsidRPr="00F720A6">
        <w:rPr>
          <w:lang w:val="fr-FR"/>
        </w:rPr>
        <w:t>enfant et la manière dont l</w:t>
      </w:r>
      <w:r w:rsidR="00254912">
        <w:rPr>
          <w:lang w:val="fr-FR"/>
        </w:rPr>
        <w:t>’</w:t>
      </w:r>
      <w:r w:rsidRPr="00F720A6">
        <w:rPr>
          <w:lang w:val="fr-FR"/>
        </w:rPr>
        <w:t>infraction pénale est commise, une amende ou une peine d</w:t>
      </w:r>
      <w:r w:rsidR="00254912">
        <w:rPr>
          <w:lang w:val="fr-FR"/>
        </w:rPr>
        <w:t>’</w:t>
      </w:r>
      <w:r w:rsidRPr="00F720A6">
        <w:rPr>
          <w:lang w:val="fr-FR"/>
        </w:rPr>
        <w:t xml:space="preserve">emprisonnement de </w:t>
      </w:r>
      <w:r w:rsidR="00D31610">
        <w:rPr>
          <w:lang w:val="fr-FR"/>
        </w:rPr>
        <w:t>un</w:t>
      </w:r>
      <w:r w:rsidRPr="00F720A6">
        <w:rPr>
          <w:lang w:val="fr-FR"/>
        </w:rPr>
        <w:t xml:space="preserve"> à </w:t>
      </w:r>
      <w:r w:rsidR="00D31610">
        <w:rPr>
          <w:lang w:val="fr-FR"/>
        </w:rPr>
        <w:t xml:space="preserve">huit </w:t>
      </w:r>
      <w:r w:rsidRPr="00F720A6">
        <w:rPr>
          <w:lang w:val="fr-FR"/>
        </w:rPr>
        <w:t>ans.</w:t>
      </w:r>
    </w:p>
    <w:p w14:paraId="57C8BA30" w14:textId="77777777" w:rsidR="003C48D6" w:rsidRPr="00F720A6" w:rsidRDefault="003C48D6" w:rsidP="00254912">
      <w:pPr>
        <w:pStyle w:val="H23G"/>
        <w:rPr>
          <w:lang w:val="fr-FR"/>
        </w:rPr>
      </w:pPr>
      <w:r w:rsidRPr="00F720A6">
        <w:rPr>
          <w:lang w:val="fr-FR"/>
        </w:rPr>
        <w:tab/>
        <w:t>c)</w:t>
      </w:r>
      <w:r w:rsidRPr="00F720A6">
        <w:rPr>
          <w:lang w:val="fr-FR"/>
        </w:rPr>
        <w:tab/>
        <w:t>La responsabilité pénale des personnes morales est entrée dans le Code pénal en 2004, et est régie par ses articles 28-a, b et c. Elle est basée sur le principe de la responsabilité présumée de la personne morale, découlant de l</w:t>
      </w:r>
      <w:r w:rsidR="00254912">
        <w:rPr>
          <w:lang w:val="fr-FR"/>
        </w:rPr>
        <w:t>’</w:t>
      </w:r>
      <w:r w:rsidRPr="00F720A6">
        <w:rPr>
          <w:lang w:val="fr-FR"/>
        </w:rPr>
        <w:t>action, ou de la défaillance de la supervision obligatoire par les organes de direction, la personne responsable ou toute autre personne autorisée à agir au nom de la personne morale. La responsabilité de l</w:t>
      </w:r>
      <w:r w:rsidR="00254912">
        <w:rPr>
          <w:lang w:val="fr-FR"/>
        </w:rPr>
        <w:t>’</w:t>
      </w:r>
      <w:r w:rsidRPr="00F720A6">
        <w:rPr>
          <w:lang w:val="fr-FR"/>
        </w:rPr>
        <w:t>entité juridique n</w:t>
      </w:r>
      <w:r w:rsidR="00254912">
        <w:rPr>
          <w:lang w:val="fr-FR"/>
        </w:rPr>
        <w:t>’</w:t>
      </w:r>
      <w:r w:rsidRPr="00F720A6">
        <w:rPr>
          <w:lang w:val="fr-FR"/>
        </w:rPr>
        <w:t>exclut pas la responsabilité pénale de toute personne physique agissant en tant qu</w:t>
      </w:r>
      <w:r w:rsidR="00254912">
        <w:rPr>
          <w:lang w:val="fr-FR"/>
        </w:rPr>
        <w:t>’</w:t>
      </w:r>
      <w:r w:rsidRPr="00F720A6">
        <w:rPr>
          <w:lang w:val="fr-FR"/>
        </w:rPr>
        <w:t>auteur (art. 28-b, par. 1)</w:t>
      </w:r>
      <w:bookmarkStart w:id="93" w:name="_Toc56781490"/>
      <w:bookmarkEnd w:id="93"/>
    </w:p>
    <w:p w14:paraId="4A9BABF6" w14:textId="77777777" w:rsidR="003C48D6" w:rsidRPr="00F720A6" w:rsidRDefault="003C48D6" w:rsidP="001F1900">
      <w:pPr>
        <w:pStyle w:val="SingleTxtG"/>
        <w:rPr>
          <w:lang w:val="fr-FR"/>
        </w:rPr>
      </w:pPr>
      <w:r w:rsidRPr="00F720A6">
        <w:rPr>
          <w:lang w:val="fr-FR"/>
        </w:rPr>
        <w:t>249.</w:t>
      </w:r>
      <w:r w:rsidRPr="00F720A6">
        <w:rPr>
          <w:lang w:val="fr-FR"/>
        </w:rPr>
        <w:tab/>
        <w:t>En outre, une entité juridique est également tenue responsable de tout acte criminel commis par un employé ou un autre représentant de ladite entité lorsque ledit acte entraîne un gain matériel important ou inflige un préjudice significatif à une autre entité, comme indiqué à l</w:t>
      </w:r>
      <w:r w:rsidR="00254912">
        <w:rPr>
          <w:lang w:val="fr-FR"/>
        </w:rPr>
        <w:t>’</w:t>
      </w:r>
      <w:r w:rsidRPr="00F720A6">
        <w:rPr>
          <w:lang w:val="fr-FR"/>
        </w:rPr>
        <w:t>article 28-2.</w:t>
      </w:r>
    </w:p>
    <w:p w14:paraId="5120E51E" w14:textId="77777777" w:rsidR="003C48D6" w:rsidRPr="00F720A6" w:rsidRDefault="003C48D6" w:rsidP="001F1900">
      <w:pPr>
        <w:pStyle w:val="SingleTxtG"/>
        <w:rPr>
          <w:lang w:val="fr-FR"/>
        </w:rPr>
      </w:pPr>
      <w:r w:rsidRPr="00F720A6">
        <w:rPr>
          <w:lang w:val="fr-FR"/>
        </w:rPr>
        <w:t>250.</w:t>
      </w:r>
      <w:r w:rsidRPr="00F720A6">
        <w:rPr>
          <w:lang w:val="fr-FR"/>
        </w:rPr>
        <w:tab/>
        <w:t>Conformément aux articles 96-a et b du Code pénal, la principale sanction pour les personnes morales est une amende. Dans les conditions prévues par le Code, et selon que la personne morale est susceptible de répéter l</w:t>
      </w:r>
      <w:r w:rsidR="00254912">
        <w:rPr>
          <w:lang w:val="fr-FR"/>
        </w:rPr>
        <w:t>’</w:t>
      </w:r>
      <w:r w:rsidRPr="00F720A6">
        <w:rPr>
          <w:lang w:val="fr-FR"/>
        </w:rPr>
        <w:t>infraction à l</w:t>
      </w:r>
      <w:r w:rsidR="00254912">
        <w:rPr>
          <w:lang w:val="fr-FR"/>
        </w:rPr>
        <w:t>’</w:t>
      </w:r>
      <w:r w:rsidRPr="00F720A6">
        <w:rPr>
          <w:lang w:val="fr-FR"/>
        </w:rPr>
        <w:t>avenir, le tribunal peut prononcer une ou plusieurs des sanctions supplémentaires suivantes : interdiction de se voir délivrer une licence à l</w:t>
      </w:r>
      <w:r w:rsidR="00254912">
        <w:rPr>
          <w:lang w:val="fr-FR"/>
        </w:rPr>
        <w:t>’</w:t>
      </w:r>
      <w:r w:rsidRPr="00F720A6">
        <w:rPr>
          <w:lang w:val="fr-FR"/>
        </w:rPr>
        <w:t>avenir ; retrait de la licence, de la concession, de l</w:t>
      </w:r>
      <w:r w:rsidR="00254912">
        <w:rPr>
          <w:lang w:val="fr-FR"/>
        </w:rPr>
        <w:t>’</w:t>
      </w:r>
      <w:r w:rsidRPr="00F720A6">
        <w:rPr>
          <w:lang w:val="fr-FR"/>
        </w:rPr>
        <w:t>autorisation ; interdiction de participer à des appels d</w:t>
      </w:r>
      <w:r w:rsidR="00254912">
        <w:rPr>
          <w:lang w:val="fr-FR"/>
        </w:rPr>
        <w:t>’</w:t>
      </w:r>
      <w:r w:rsidRPr="00F720A6">
        <w:rPr>
          <w:lang w:val="fr-FR"/>
        </w:rPr>
        <w:t>offres publics ; interdiction de conclure des contrats de marchés publics ; interdiction de conclure des partenariats public-privé ; interdiction de créer de nouvelles personnes morales ; interdiction de recourir aux subventions et autres crédits avantageux ; interdiction d</w:t>
      </w:r>
      <w:r w:rsidR="00254912">
        <w:rPr>
          <w:lang w:val="fr-FR"/>
        </w:rPr>
        <w:t>’</w:t>
      </w:r>
      <w:r w:rsidRPr="00F720A6">
        <w:rPr>
          <w:lang w:val="fr-FR"/>
        </w:rPr>
        <w:t>utiliser les fonds du budget de l</w:t>
      </w:r>
      <w:r w:rsidR="00254912">
        <w:rPr>
          <w:lang w:val="fr-FR"/>
        </w:rPr>
        <w:t>’</w:t>
      </w:r>
      <w:r w:rsidRPr="00F720A6">
        <w:rPr>
          <w:lang w:val="fr-FR"/>
        </w:rPr>
        <w:t>État pour financer des partis politiques ; interdiction temporaire ou permanente de fournir un service particulier et même de prononcer la dissolution de la personne morale.</w:t>
      </w:r>
    </w:p>
    <w:p w14:paraId="76028730" w14:textId="77777777" w:rsidR="003C48D6" w:rsidRPr="00F720A6" w:rsidRDefault="003C48D6" w:rsidP="00254912">
      <w:pPr>
        <w:pStyle w:val="H23G"/>
        <w:rPr>
          <w:lang w:val="fr-FR"/>
        </w:rPr>
      </w:pPr>
      <w:r w:rsidRPr="00F720A6">
        <w:rPr>
          <w:lang w:val="fr-FR"/>
        </w:rPr>
        <w:tab/>
        <w:t>d)</w:t>
      </w:r>
      <w:r w:rsidRPr="00F720A6">
        <w:rPr>
          <w:lang w:val="fr-FR"/>
        </w:rPr>
        <w:tab/>
        <w:t>Mesures de prévention et de sensibilisation</w:t>
      </w:r>
      <w:bookmarkStart w:id="94" w:name="_Toc56781491"/>
      <w:bookmarkEnd w:id="94"/>
    </w:p>
    <w:p w14:paraId="5A092DBA" w14:textId="77777777" w:rsidR="003C48D6" w:rsidRPr="00F720A6" w:rsidRDefault="003C48D6" w:rsidP="001F1900">
      <w:pPr>
        <w:pStyle w:val="SingleTxtG"/>
        <w:rPr>
          <w:lang w:val="fr-FR"/>
        </w:rPr>
      </w:pPr>
      <w:r w:rsidRPr="00F720A6">
        <w:rPr>
          <w:lang w:val="fr-FR"/>
        </w:rPr>
        <w:t>251.</w:t>
      </w:r>
      <w:r w:rsidRPr="00F720A6">
        <w:rPr>
          <w:lang w:val="fr-FR"/>
        </w:rPr>
        <w:tab/>
        <w:t>Conformément à la recommandation 18 et en complément des actions entreprises suite à la recommandation n</w:t>
      </w:r>
      <w:r w:rsidR="00D31610" w:rsidRPr="00D31610">
        <w:rPr>
          <w:vertAlign w:val="superscript"/>
          <w:lang w:val="fr-FR"/>
        </w:rPr>
        <w:t>o</w:t>
      </w:r>
      <w:r w:rsidR="00D31610">
        <w:rPr>
          <w:lang w:val="fr-FR"/>
        </w:rPr>
        <w:t> </w:t>
      </w:r>
      <w:r w:rsidRPr="00F720A6">
        <w:rPr>
          <w:lang w:val="fr-FR"/>
        </w:rPr>
        <w:t>14, un projet de lutte contre la traite des êtres humains à des fins d</w:t>
      </w:r>
      <w:r w:rsidR="00254912">
        <w:rPr>
          <w:lang w:val="fr-FR"/>
        </w:rPr>
        <w:t>’</w:t>
      </w:r>
      <w:r w:rsidRPr="00F720A6">
        <w:rPr>
          <w:lang w:val="fr-FR"/>
        </w:rPr>
        <w:t>exploitation par le travail a été lancé dans le cadre de la Facilité horizontale pour les Balkans occidentaux et la Turquie 2017, destinée à soutenir l</w:t>
      </w:r>
      <w:r w:rsidR="00254912">
        <w:rPr>
          <w:lang w:val="fr-FR"/>
        </w:rPr>
        <w:t>’</w:t>
      </w:r>
      <w:r w:rsidRPr="00F720A6">
        <w:rPr>
          <w:lang w:val="fr-FR"/>
        </w:rPr>
        <w:t>Europe du Sud-est et la Turquie dans leur alignement sur les normes européennes et l</w:t>
      </w:r>
      <w:r w:rsidR="00254912">
        <w:rPr>
          <w:lang w:val="fr-FR"/>
        </w:rPr>
        <w:t>’</w:t>
      </w:r>
      <w:r w:rsidRPr="00F720A6">
        <w:rPr>
          <w:lang w:val="fr-FR"/>
        </w:rPr>
        <w:t xml:space="preserve">acquis. </w:t>
      </w:r>
    </w:p>
    <w:p w14:paraId="2D2C2AFD" w14:textId="77777777" w:rsidR="003C48D6" w:rsidRPr="00F720A6" w:rsidRDefault="003C48D6" w:rsidP="001F1900">
      <w:pPr>
        <w:pStyle w:val="SingleTxtG"/>
        <w:rPr>
          <w:lang w:val="fr-FR"/>
        </w:rPr>
      </w:pPr>
      <w:r w:rsidRPr="00F720A6">
        <w:rPr>
          <w:lang w:val="fr-FR"/>
        </w:rPr>
        <w:t>252.</w:t>
      </w:r>
      <w:r w:rsidRPr="00F720A6">
        <w:rPr>
          <w:lang w:val="fr-FR"/>
        </w:rPr>
        <w:tab/>
        <w:t>En 2014, le Ministère du travail et de la politique sociale, en coopération avec le centre municipal d</w:t>
      </w:r>
      <w:r w:rsidR="00254912">
        <w:rPr>
          <w:lang w:val="fr-FR"/>
        </w:rPr>
        <w:t>’</w:t>
      </w:r>
      <w:r w:rsidRPr="00F720A6">
        <w:rPr>
          <w:lang w:val="fr-FR"/>
        </w:rPr>
        <w:t xml:space="preserve">aide sociale de </w:t>
      </w:r>
      <w:proofErr w:type="spellStart"/>
      <w:r w:rsidRPr="00F720A6">
        <w:rPr>
          <w:lang w:val="fr-FR"/>
        </w:rPr>
        <w:t>Probishtip</w:t>
      </w:r>
      <w:proofErr w:type="spellEnd"/>
      <w:r w:rsidRPr="00F720A6">
        <w:rPr>
          <w:lang w:val="fr-FR"/>
        </w:rPr>
        <w:t xml:space="preserve"> a organisé une session de formation pour le personnel éducatif et les conseillers psychologiques et pédagogiques dans le but de « Prévenir les risques sociaux et la traite des êtres humains ».</w:t>
      </w:r>
    </w:p>
    <w:p w14:paraId="1279ED67" w14:textId="77777777" w:rsidR="003C48D6" w:rsidRPr="00F720A6" w:rsidRDefault="003C48D6" w:rsidP="001F1900">
      <w:pPr>
        <w:pStyle w:val="SingleTxtG"/>
        <w:rPr>
          <w:lang w:val="fr-FR"/>
        </w:rPr>
      </w:pPr>
      <w:r w:rsidRPr="00F720A6">
        <w:rPr>
          <w:lang w:val="fr-FR"/>
        </w:rPr>
        <w:t>253.</w:t>
      </w:r>
      <w:r w:rsidRPr="00F720A6">
        <w:rPr>
          <w:lang w:val="fr-FR"/>
        </w:rPr>
        <w:tab/>
        <w:t>En mai 2015, le Ministère du travail et de la politique sociale a organisé une session de formation de deux jours à des fins de prévention et de protection des enfants, destinée aux employés de quatre institutions publiques de protection sociale : le foyer pour enfants « 11 octobre », à Skopje ; l</w:t>
      </w:r>
      <w:r w:rsidR="00254912">
        <w:rPr>
          <w:lang w:val="fr-FR"/>
        </w:rPr>
        <w:t>’</w:t>
      </w:r>
      <w:r w:rsidRPr="00F720A6">
        <w:rPr>
          <w:lang w:val="fr-FR"/>
        </w:rPr>
        <w:t>Institut pédiatrique d</w:t>
      </w:r>
      <w:r w:rsidR="00254912">
        <w:rPr>
          <w:lang w:val="fr-FR"/>
        </w:rPr>
        <w:t>’</w:t>
      </w:r>
      <w:r w:rsidRPr="00F720A6">
        <w:rPr>
          <w:lang w:val="fr-FR"/>
        </w:rPr>
        <w:t>éducation et d</w:t>
      </w:r>
      <w:r w:rsidR="00254912">
        <w:rPr>
          <w:lang w:val="fr-FR"/>
        </w:rPr>
        <w:t>’</w:t>
      </w:r>
      <w:r w:rsidRPr="00F720A6">
        <w:rPr>
          <w:lang w:val="fr-FR"/>
        </w:rPr>
        <w:t>enseignement pour enfants et mineurs « </w:t>
      </w:r>
      <w:proofErr w:type="spellStart"/>
      <w:r w:rsidRPr="00F720A6">
        <w:rPr>
          <w:lang w:val="fr-FR"/>
        </w:rPr>
        <w:t>Ranka</w:t>
      </w:r>
      <w:proofErr w:type="spellEnd"/>
      <w:r w:rsidRPr="00F720A6">
        <w:rPr>
          <w:lang w:val="fr-FR"/>
        </w:rPr>
        <w:t xml:space="preserve"> </w:t>
      </w:r>
      <w:proofErr w:type="spellStart"/>
      <w:r w:rsidRPr="00F720A6">
        <w:rPr>
          <w:lang w:val="fr-FR"/>
        </w:rPr>
        <w:t>Milanovikj</w:t>
      </w:r>
      <w:proofErr w:type="spellEnd"/>
      <w:r w:rsidRPr="00F720A6">
        <w:rPr>
          <w:lang w:val="fr-FR"/>
        </w:rPr>
        <w:t> », à Skopje ; l</w:t>
      </w:r>
      <w:r w:rsidR="00254912">
        <w:rPr>
          <w:lang w:val="fr-FR"/>
        </w:rPr>
        <w:t>’</w:t>
      </w:r>
      <w:r w:rsidRPr="00F720A6">
        <w:rPr>
          <w:lang w:val="fr-FR"/>
        </w:rPr>
        <w:t xml:space="preserve">établissement de prise en charge des enfants à problèmes éducatifs et sociaux « 25 mai », à Skopje ; et le Village SOS enfants. </w:t>
      </w:r>
    </w:p>
    <w:p w14:paraId="6A953273" w14:textId="77777777" w:rsidR="003C48D6" w:rsidRPr="00F720A6" w:rsidRDefault="003C48D6" w:rsidP="0011246E">
      <w:pPr>
        <w:pStyle w:val="SingleTxtG"/>
        <w:keepNext/>
        <w:keepLines/>
        <w:rPr>
          <w:lang w:val="fr-FR"/>
        </w:rPr>
      </w:pPr>
      <w:r w:rsidRPr="00F720A6">
        <w:rPr>
          <w:lang w:val="fr-FR"/>
        </w:rPr>
        <w:lastRenderedPageBreak/>
        <w:t>254.</w:t>
      </w:r>
      <w:r w:rsidRPr="00F720A6">
        <w:rPr>
          <w:lang w:val="fr-FR"/>
        </w:rPr>
        <w:tab/>
        <w:t>Un certain nombre de sessions de formation de base et spécialisées pour l</w:t>
      </w:r>
      <w:r w:rsidR="00254912">
        <w:rPr>
          <w:lang w:val="fr-FR"/>
        </w:rPr>
        <w:t>’</w:t>
      </w:r>
      <w:r w:rsidRPr="00F720A6">
        <w:rPr>
          <w:lang w:val="fr-FR"/>
        </w:rPr>
        <w:t>identification et l</w:t>
      </w:r>
      <w:r w:rsidR="00254912">
        <w:rPr>
          <w:lang w:val="fr-FR"/>
        </w:rPr>
        <w:t>’</w:t>
      </w:r>
      <w:r w:rsidRPr="00F720A6">
        <w:rPr>
          <w:lang w:val="fr-FR"/>
        </w:rPr>
        <w:t>orientation des victimes et des enfants victimes de la traite des êtres humains ont été tenues également à l</w:t>
      </w:r>
      <w:r w:rsidR="00254912">
        <w:rPr>
          <w:lang w:val="fr-FR"/>
        </w:rPr>
        <w:t>’</w:t>
      </w:r>
      <w:r w:rsidRPr="00F720A6">
        <w:rPr>
          <w:lang w:val="fr-FR"/>
        </w:rPr>
        <w:t>intention des policiers et des inspecteurs chargés de la délinquance juvénile.</w:t>
      </w:r>
    </w:p>
    <w:p w14:paraId="78BD6228" w14:textId="77777777" w:rsidR="003C48D6" w:rsidRPr="00F720A6" w:rsidRDefault="003C48D6" w:rsidP="001F1900">
      <w:pPr>
        <w:pStyle w:val="SingleTxtG"/>
        <w:rPr>
          <w:lang w:val="fr-FR"/>
        </w:rPr>
      </w:pPr>
      <w:r w:rsidRPr="00F720A6">
        <w:rPr>
          <w:lang w:val="fr-FR"/>
        </w:rPr>
        <w:t>255.</w:t>
      </w:r>
      <w:r w:rsidRPr="00F720A6">
        <w:rPr>
          <w:lang w:val="fr-FR"/>
        </w:rPr>
        <w:tab/>
        <w:t>En 2015, en collaboration avec la Commission de lutte contre la traite des êtres humains, le Ministère de l</w:t>
      </w:r>
      <w:r w:rsidR="00254912">
        <w:rPr>
          <w:lang w:val="fr-FR"/>
        </w:rPr>
        <w:t>’</w:t>
      </w:r>
      <w:r w:rsidRPr="00F720A6">
        <w:rPr>
          <w:lang w:val="fr-FR"/>
        </w:rPr>
        <w:t>intérieur, l</w:t>
      </w:r>
      <w:r w:rsidR="00254912">
        <w:rPr>
          <w:lang w:val="fr-FR"/>
        </w:rPr>
        <w:t>’</w:t>
      </w:r>
      <w:r w:rsidRPr="00F720A6">
        <w:rPr>
          <w:lang w:val="fr-FR"/>
        </w:rPr>
        <w:t>ONG « </w:t>
      </w:r>
      <w:proofErr w:type="spellStart"/>
      <w:r w:rsidRPr="00F720A6">
        <w:rPr>
          <w:lang w:val="fr-FR"/>
        </w:rPr>
        <w:t>Equal</w:t>
      </w:r>
      <w:proofErr w:type="spellEnd"/>
      <w:r w:rsidRPr="00F720A6">
        <w:rPr>
          <w:lang w:val="fr-FR"/>
        </w:rPr>
        <w:t xml:space="preserve"> Access », et le soutien de l</w:t>
      </w:r>
      <w:r w:rsidR="00254912">
        <w:rPr>
          <w:lang w:val="fr-FR"/>
        </w:rPr>
        <w:t>’</w:t>
      </w:r>
      <w:r w:rsidRPr="00F720A6">
        <w:rPr>
          <w:lang w:val="fr-FR"/>
        </w:rPr>
        <w:t>Agence allemande de coopération internationale GIZ, le Ministère du travail et de la politique sociale a organisé à l</w:t>
      </w:r>
      <w:r w:rsidR="00254912">
        <w:rPr>
          <w:lang w:val="fr-FR"/>
        </w:rPr>
        <w:t>’</w:t>
      </w:r>
      <w:r w:rsidRPr="00F720A6">
        <w:rPr>
          <w:lang w:val="fr-FR"/>
        </w:rPr>
        <w:t>Académie de police d</w:t>
      </w:r>
      <w:r w:rsidR="00254912">
        <w:rPr>
          <w:lang w:val="fr-FR"/>
        </w:rPr>
        <w:t>’</w:t>
      </w:r>
      <w:proofErr w:type="spellStart"/>
      <w:r w:rsidRPr="00F720A6">
        <w:rPr>
          <w:lang w:val="fr-FR"/>
        </w:rPr>
        <w:t>Idrizovo</w:t>
      </w:r>
      <w:proofErr w:type="spellEnd"/>
      <w:r w:rsidRPr="00F720A6">
        <w:rPr>
          <w:lang w:val="fr-FR"/>
        </w:rPr>
        <w:t xml:space="preserve"> trois sessions de formation d</w:t>
      </w:r>
      <w:r w:rsidR="00254912">
        <w:rPr>
          <w:lang w:val="fr-FR"/>
        </w:rPr>
        <w:t>’</w:t>
      </w:r>
      <w:r w:rsidRPr="00F720A6">
        <w:rPr>
          <w:lang w:val="fr-FR"/>
        </w:rPr>
        <w:t>une journée pour 75 personnes, pour la mise en œuvre des indicateurs d</w:t>
      </w:r>
      <w:r w:rsidR="00254912">
        <w:rPr>
          <w:lang w:val="fr-FR"/>
        </w:rPr>
        <w:t>’</w:t>
      </w:r>
      <w:r w:rsidRPr="00F720A6">
        <w:rPr>
          <w:lang w:val="fr-FR"/>
        </w:rPr>
        <w:t>identification des victimes et des enfants victimes de la traite des êtres humains.</w:t>
      </w:r>
    </w:p>
    <w:p w14:paraId="146B8674" w14:textId="77777777" w:rsidR="003C48D6" w:rsidRPr="00F720A6" w:rsidRDefault="003C48D6" w:rsidP="001F1900">
      <w:pPr>
        <w:pStyle w:val="SingleTxtG"/>
        <w:rPr>
          <w:lang w:val="fr-FR"/>
        </w:rPr>
      </w:pPr>
      <w:r w:rsidRPr="00F720A6">
        <w:rPr>
          <w:lang w:val="fr-FR"/>
        </w:rPr>
        <w:t>256.</w:t>
      </w:r>
      <w:r w:rsidRPr="00F720A6">
        <w:rPr>
          <w:lang w:val="fr-FR"/>
        </w:rPr>
        <w:tab/>
        <w:t>Dans le but d</w:t>
      </w:r>
      <w:r w:rsidR="00254912">
        <w:rPr>
          <w:lang w:val="fr-FR"/>
        </w:rPr>
        <w:t>’</w:t>
      </w:r>
      <w:r w:rsidRPr="00F720A6">
        <w:rPr>
          <w:lang w:val="fr-FR"/>
        </w:rPr>
        <w:t>améliorer les capacités du pays à développer d</w:t>
      </w:r>
      <w:r w:rsidR="00254912">
        <w:rPr>
          <w:lang w:val="fr-FR"/>
        </w:rPr>
        <w:t>’</w:t>
      </w:r>
      <w:r w:rsidRPr="00F720A6">
        <w:rPr>
          <w:lang w:val="fr-FR"/>
        </w:rPr>
        <w:t>autres formes de protection et à offrir des ressources pour la garde des enfants victimes de la traite des êtres humains, le Ministère du travail et de la politique sociale a également organisé des sessions de formation spéciales pour les familles d</w:t>
      </w:r>
      <w:r w:rsidR="00254912">
        <w:rPr>
          <w:lang w:val="fr-FR"/>
        </w:rPr>
        <w:t>’</w:t>
      </w:r>
      <w:r w:rsidRPr="00F720A6">
        <w:rPr>
          <w:lang w:val="fr-FR"/>
        </w:rPr>
        <w:t>accueil. Au total, neuf tuteurs de familles d</w:t>
      </w:r>
      <w:r w:rsidR="00254912">
        <w:rPr>
          <w:lang w:val="fr-FR"/>
        </w:rPr>
        <w:t>’</w:t>
      </w:r>
      <w:r w:rsidRPr="00F720A6">
        <w:rPr>
          <w:lang w:val="fr-FR"/>
        </w:rPr>
        <w:t>accueil ont été formés à Skopje et à Veles avec la coopération de l</w:t>
      </w:r>
      <w:r w:rsidR="00254912">
        <w:rPr>
          <w:lang w:val="fr-FR"/>
        </w:rPr>
        <w:t>’</w:t>
      </w:r>
      <w:r w:rsidRPr="00F720A6">
        <w:rPr>
          <w:lang w:val="fr-FR"/>
        </w:rPr>
        <w:t>organisation « Pour une enfance heureuse » et le soutien de l</w:t>
      </w:r>
      <w:r w:rsidR="00254912">
        <w:rPr>
          <w:lang w:val="fr-FR"/>
        </w:rPr>
        <w:t>’</w:t>
      </w:r>
      <w:r w:rsidRPr="00F720A6">
        <w:rPr>
          <w:lang w:val="fr-FR"/>
        </w:rPr>
        <w:t>Agence allemande de coopération internationale GIZ.</w:t>
      </w:r>
    </w:p>
    <w:p w14:paraId="7C11D599" w14:textId="77777777" w:rsidR="003C48D6" w:rsidRPr="00F720A6" w:rsidRDefault="003C48D6" w:rsidP="001F1900">
      <w:pPr>
        <w:pStyle w:val="SingleTxtG"/>
        <w:rPr>
          <w:lang w:val="fr-FR"/>
        </w:rPr>
      </w:pPr>
      <w:r w:rsidRPr="00F720A6">
        <w:rPr>
          <w:lang w:val="fr-FR"/>
        </w:rPr>
        <w:t>257.</w:t>
      </w:r>
      <w:r w:rsidRPr="00F720A6">
        <w:rPr>
          <w:lang w:val="fr-FR"/>
        </w:rPr>
        <w:tab/>
        <w:t>En 2016, avec la coopération de la Mission de l</w:t>
      </w:r>
      <w:r w:rsidR="00254912">
        <w:rPr>
          <w:lang w:val="fr-FR"/>
        </w:rPr>
        <w:t>’</w:t>
      </w:r>
      <w:r w:rsidRPr="00F720A6">
        <w:rPr>
          <w:lang w:val="fr-FR"/>
        </w:rPr>
        <w:t>OSCE, la Division de l</w:t>
      </w:r>
      <w:r w:rsidR="00254912">
        <w:rPr>
          <w:lang w:val="fr-FR"/>
        </w:rPr>
        <w:t>’</w:t>
      </w:r>
      <w:r w:rsidRPr="00F720A6">
        <w:rPr>
          <w:lang w:val="fr-FR"/>
        </w:rPr>
        <w:t>égalité des chances du Ministère du travail et de la politique sociale a mené à bien deux sessions de formation pour 60 professionnels (travailleurs sociaux du Centre d</w:t>
      </w:r>
      <w:r w:rsidR="00254912">
        <w:rPr>
          <w:lang w:val="fr-FR"/>
        </w:rPr>
        <w:t>’</w:t>
      </w:r>
      <w:r w:rsidRPr="00F720A6">
        <w:rPr>
          <w:lang w:val="fr-FR"/>
        </w:rPr>
        <w:t>aide sociale, bénévoles des camps « </w:t>
      </w:r>
      <w:proofErr w:type="spellStart"/>
      <w:r w:rsidRPr="00F720A6">
        <w:rPr>
          <w:lang w:val="fr-FR"/>
        </w:rPr>
        <w:t>Vinojug</w:t>
      </w:r>
      <w:proofErr w:type="spellEnd"/>
      <w:r w:rsidRPr="00F720A6">
        <w:rPr>
          <w:lang w:val="fr-FR"/>
        </w:rPr>
        <w:t> » et « </w:t>
      </w:r>
      <w:proofErr w:type="spellStart"/>
      <w:r w:rsidRPr="00F720A6">
        <w:rPr>
          <w:lang w:val="fr-FR"/>
        </w:rPr>
        <w:t>Tabanovce</w:t>
      </w:r>
      <w:proofErr w:type="spellEnd"/>
      <w:r w:rsidRPr="00F720A6">
        <w:rPr>
          <w:lang w:val="fr-FR"/>
        </w:rPr>
        <w:t> », ainsi que des bénévoles du Centre d</w:t>
      </w:r>
      <w:r w:rsidR="00254912">
        <w:rPr>
          <w:lang w:val="fr-FR"/>
        </w:rPr>
        <w:t>’</w:t>
      </w:r>
      <w:r w:rsidRPr="00F720A6">
        <w:rPr>
          <w:lang w:val="fr-FR"/>
        </w:rPr>
        <w:t>accueil pour demandeurs d</w:t>
      </w:r>
      <w:r w:rsidR="00254912">
        <w:rPr>
          <w:lang w:val="fr-FR"/>
        </w:rPr>
        <w:t>’</w:t>
      </w:r>
      <w:r w:rsidRPr="00F720A6">
        <w:rPr>
          <w:lang w:val="fr-FR"/>
        </w:rPr>
        <w:t>asile).</w:t>
      </w:r>
    </w:p>
    <w:p w14:paraId="533C3708" w14:textId="77777777" w:rsidR="003C48D6" w:rsidRPr="00F720A6" w:rsidRDefault="003C48D6" w:rsidP="001F1900">
      <w:pPr>
        <w:pStyle w:val="SingleTxtG"/>
        <w:rPr>
          <w:lang w:val="fr-FR"/>
        </w:rPr>
      </w:pPr>
      <w:r w:rsidRPr="00F720A6">
        <w:rPr>
          <w:lang w:val="fr-FR"/>
        </w:rPr>
        <w:t>258.</w:t>
      </w:r>
      <w:r w:rsidRPr="00F720A6">
        <w:rPr>
          <w:lang w:val="fr-FR"/>
        </w:rPr>
        <w:tab/>
        <w:t>Le Ministère du travail et de la politique sociale a également organisé des sessions éducatives sur la mise en œuvre des procédures opérationnelles normalisées destinées à l</w:t>
      </w:r>
      <w:r w:rsidR="00254912">
        <w:rPr>
          <w:lang w:val="fr-FR"/>
        </w:rPr>
        <w:t>’</w:t>
      </w:r>
      <w:r w:rsidRPr="00F720A6">
        <w:rPr>
          <w:lang w:val="fr-FR"/>
        </w:rPr>
        <w:t>identification des enfants étrangers non accompagnés et des catégories vulnérables, ainsi que sur les indicateurs généraux d</w:t>
      </w:r>
      <w:r w:rsidR="00254912">
        <w:rPr>
          <w:lang w:val="fr-FR"/>
        </w:rPr>
        <w:t>’</w:t>
      </w:r>
      <w:r w:rsidRPr="00F720A6">
        <w:rPr>
          <w:lang w:val="fr-FR"/>
        </w:rPr>
        <w:t xml:space="preserve">identification préliminaire des enfants présumés victimes de la traite des êtres humains dans le contexte des flux migratoires mixtes. </w:t>
      </w:r>
    </w:p>
    <w:p w14:paraId="48180FD6" w14:textId="77777777" w:rsidR="003C48D6" w:rsidRPr="00F720A6" w:rsidRDefault="003C48D6" w:rsidP="001F1900">
      <w:pPr>
        <w:pStyle w:val="SingleTxtG"/>
        <w:rPr>
          <w:lang w:val="fr-FR"/>
        </w:rPr>
      </w:pPr>
      <w:r w:rsidRPr="00F720A6">
        <w:rPr>
          <w:lang w:val="fr-FR"/>
        </w:rPr>
        <w:t>259.</w:t>
      </w:r>
      <w:r w:rsidRPr="00F720A6">
        <w:rPr>
          <w:lang w:val="fr-FR"/>
        </w:rPr>
        <w:tab/>
        <w:t xml:space="preserve">Une session de formation de deux jours sur les aspects relatifs à la dimension de genre dans la traite des êtres humains a également eu lieu à </w:t>
      </w:r>
      <w:proofErr w:type="spellStart"/>
      <w:r w:rsidRPr="00F720A6">
        <w:rPr>
          <w:lang w:val="fr-FR"/>
        </w:rPr>
        <w:t>Struga</w:t>
      </w:r>
      <w:proofErr w:type="spellEnd"/>
      <w:r w:rsidRPr="00F720A6">
        <w:rPr>
          <w:lang w:val="fr-FR"/>
        </w:rPr>
        <w:t xml:space="preserve"> les 27 et 28 septembre. Elle était destinée aux policiers, aux travailleurs sociaux et aux organisations civiles. Des représentants de la Division de l</w:t>
      </w:r>
      <w:r w:rsidR="00254912">
        <w:rPr>
          <w:lang w:val="fr-FR"/>
        </w:rPr>
        <w:t>’</w:t>
      </w:r>
      <w:r w:rsidRPr="00F720A6">
        <w:rPr>
          <w:lang w:val="fr-FR"/>
        </w:rPr>
        <w:t>égalité des chances du Ministère du travail et de la politique sociale ont aussi participé à cette formation, qui était organisée par l</w:t>
      </w:r>
      <w:r w:rsidR="00254912">
        <w:rPr>
          <w:lang w:val="fr-FR"/>
        </w:rPr>
        <w:t>’</w:t>
      </w:r>
      <w:r w:rsidRPr="00F720A6">
        <w:rPr>
          <w:lang w:val="fr-FR"/>
        </w:rPr>
        <w:t>Association macédonienne des jeunes avocats et le Bureau local d</w:t>
      </w:r>
      <w:r w:rsidR="00254912">
        <w:rPr>
          <w:lang w:val="fr-FR"/>
        </w:rPr>
        <w:t>’</w:t>
      </w:r>
      <w:r w:rsidRPr="00F720A6">
        <w:rPr>
          <w:lang w:val="fr-FR"/>
        </w:rPr>
        <w:t>ONU</w:t>
      </w:r>
      <w:r w:rsidR="00833E2B">
        <w:rPr>
          <w:lang w:val="fr-FR"/>
        </w:rPr>
        <w:t>-</w:t>
      </w:r>
      <w:r w:rsidRPr="00F720A6">
        <w:rPr>
          <w:lang w:val="fr-FR"/>
        </w:rPr>
        <w:t>Femmes.</w:t>
      </w:r>
    </w:p>
    <w:p w14:paraId="5E246E17" w14:textId="77777777" w:rsidR="003C48D6" w:rsidRPr="00F720A6" w:rsidRDefault="003C48D6" w:rsidP="001F1900">
      <w:pPr>
        <w:pStyle w:val="SingleTxtG"/>
        <w:rPr>
          <w:lang w:val="fr-FR"/>
        </w:rPr>
      </w:pPr>
      <w:r w:rsidRPr="00F720A6">
        <w:rPr>
          <w:lang w:val="fr-FR"/>
        </w:rPr>
        <w:t>260.</w:t>
      </w:r>
      <w:r w:rsidRPr="00F720A6">
        <w:rPr>
          <w:lang w:val="fr-FR"/>
        </w:rPr>
        <w:tab/>
        <w:t>Conformément à la loi sur l</w:t>
      </w:r>
      <w:r w:rsidR="00254912">
        <w:rPr>
          <w:lang w:val="fr-FR"/>
        </w:rPr>
        <w:t>’</w:t>
      </w:r>
      <w:r w:rsidRPr="00F720A6">
        <w:rPr>
          <w:lang w:val="fr-FR"/>
        </w:rPr>
        <w:t>aide judiciaire gratuite, les victimes de la traite des êtres humains ont droit à une protection judicaire gratuite. En 2017, en coopération avec l</w:t>
      </w:r>
      <w:r w:rsidR="00254912">
        <w:rPr>
          <w:lang w:val="fr-FR"/>
        </w:rPr>
        <w:t>’</w:t>
      </w:r>
      <w:r w:rsidRPr="00F720A6">
        <w:rPr>
          <w:lang w:val="fr-FR"/>
        </w:rPr>
        <w:t>Association macédonienne des jeunes avocats, la Mission de l</w:t>
      </w:r>
      <w:r w:rsidR="00254912">
        <w:rPr>
          <w:lang w:val="fr-FR"/>
        </w:rPr>
        <w:t>’</w:t>
      </w:r>
      <w:r w:rsidRPr="00F720A6">
        <w:rPr>
          <w:lang w:val="fr-FR"/>
        </w:rPr>
        <w:t>OSCE a fourni une liste d</w:t>
      </w:r>
      <w:r w:rsidR="00254912">
        <w:rPr>
          <w:lang w:val="fr-FR"/>
        </w:rPr>
        <w:t>’</w:t>
      </w:r>
      <w:r w:rsidRPr="00F720A6">
        <w:rPr>
          <w:lang w:val="fr-FR"/>
        </w:rPr>
        <w:t>avocats ayant achevé leur formation à l</w:t>
      </w:r>
      <w:r w:rsidR="00254912">
        <w:rPr>
          <w:lang w:val="fr-FR"/>
        </w:rPr>
        <w:t>’</w:t>
      </w:r>
      <w:r w:rsidRPr="00F720A6">
        <w:rPr>
          <w:lang w:val="fr-FR"/>
        </w:rPr>
        <w:t xml:space="preserve">aide judiciaire gratuite pour les victimes de la traite des êtres humains. </w:t>
      </w:r>
    </w:p>
    <w:p w14:paraId="36A05108" w14:textId="77777777" w:rsidR="003C48D6" w:rsidRPr="00F720A6" w:rsidRDefault="003C48D6" w:rsidP="001F1900">
      <w:pPr>
        <w:pStyle w:val="SingleTxtG"/>
        <w:rPr>
          <w:lang w:val="fr-FR"/>
        </w:rPr>
      </w:pPr>
      <w:r w:rsidRPr="00F720A6">
        <w:rPr>
          <w:lang w:val="fr-FR"/>
        </w:rPr>
        <w:t>261.</w:t>
      </w:r>
      <w:r w:rsidRPr="00F720A6">
        <w:rPr>
          <w:lang w:val="fr-FR"/>
        </w:rPr>
        <w:tab/>
        <w:t>Conformément à la recommandation n</w:t>
      </w:r>
      <w:r w:rsidR="00833E2B" w:rsidRPr="00833E2B">
        <w:rPr>
          <w:vertAlign w:val="superscript"/>
          <w:lang w:val="fr-FR"/>
        </w:rPr>
        <w:t>o</w:t>
      </w:r>
      <w:r w:rsidR="00833E2B">
        <w:rPr>
          <w:lang w:val="fr-FR"/>
        </w:rPr>
        <w:t> </w:t>
      </w:r>
      <w:r w:rsidRPr="00F720A6">
        <w:rPr>
          <w:lang w:val="fr-FR"/>
        </w:rPr>
        <w:t>19 et grâce à la forte implication des institutions ainsi que d</w:t>
      </w:r>
      <w:r w:rsidR="00254912">
        <w:rPr>
          <w:lang w:val="fr-FR"/>
        </w:rPr>
        <w:t>’</w:t>
      </w:r>
      <w:r w:rsidRPr="00F720A6">
        <w:rPr>
          <w:lang w:val="fr-FR"/>
        </w:rPr>
        <w:t>organisations civiles internationales et nationales, des sessions de formation professionnelle continue sont ouvertes sur les thèmes des droits humains et de la justice pour mineurs, de la traite des êtres humains et de la vente d</w:t>
      </w:r>
      <w:r w:rsidR="00254912">
        <w:rPr>
          <w:lang w:val="fr-FR"/>
        </w:rPr>
        <w:t>’</w:t>
      </w:r>
      <w:r w:rsidRPr="00F720A6">
        <w:rPr>
          <w:lang w:val="fr-FR"/>
        </w:rPr>
        <w:t xml:space="preserve">enfants. </w:t>
      </w:r>
    </w:p>
    <w:p w14:paraId="3F51703B" w14:textId="77777777" w:rsidR="003C48D6" w:rsidRPr="00F720A6" w:rsidRDefault="003C48D6" w:rsidP="00254912">
      <w:pPr>
        <w:pStyle w:val="H23G"/>
        <w:rPr>
          <w:lang w:val="fr-FR"/>
        </w:rPr>
      </w:pPr>
      <w:r w:rsidRPr="00F720A6">
        <w:rPr>
          <w:lang w:val="fr-FR"/>
        </w:rPr>
        <w:tab/>
        <w:t>e)</w:t>
      </w:r>
      <w:r w:rsidRPr="00F720A6">
        <w:rPr>
          <w:lang w:val="fr-FR"/>
        </w:rPr>
        <w:tab/>
        <w:t>En ce qui concerne les mesures prises pour la réinsertion sociale des enfants victimes, ainsi que pour leur rétablissement physique et psychologique comme le prévoit le Protocole facultatif, le Ministère du travail et de la politique sociale ainsi que le Bureau du Mécanisme national d</w:t>
      </w:r>
      <w:r w:rsidR="00254912">
        <w:rPr>
          <w:lang w:val="fr-FR"/>
        </w:rPr>
        <w:t>’</w:t>
      </w:r>
      <w:r w:rsidRPr="00F720A6">
        <w:rPr>
          <w:lang w:val="fr-FR"/>
        </w:rPr>
        <w:t>orientation apportent aide et protection aux victimes de la traite des êtres humains, avec la coopération des centres d</w:t>
      </w:r>
      <w:r w:rsidR="00254912">
        <w:rPr>
          <w:lang w:val="fr-FR"/>
        </w:rPr>
        <w:t>’</w:t>
      </w:r>
      <w:r w:rsidRPr="00F720A6">
        <w:rPr>
          <w:lang w:val="fr-FR"/>
        </w:rPr>
        <w:t>aide sociale et de diverses ONG. La loi sur la protection sociale prévoit le droit des victimes de la traite des êtres humains à recevoir une aide et une protection de la part du Centre pour les victimes de la traite des êtres humains et les victimes de violences sexuelles. Un programme d</w:t>
      </w:r>
      <w:r w:rsidR="00254912">
        <w:rPr>
          <w:lang w:val="fr-FR"/>
        </w:rPr>
        <w:t>’</w:t>
      </w:r>
      <w:r w:rsidRPr="00F720A6">
        <w:rPr>
          <w:lang w:val="fr-FR"/>
        </w:rPr>
        <w:t>aide et de soutien dans le processus de réintégration des enfants victimes de la traite a été élaboré et sert de base à l</w:t>
      </w:r>
      <w:r w:rsidR="00254912">
        <w:rPr>
          <w:lang w:val="fr-FR"/>
        </w:rPr>
        <w:t>’</w:t>
      </w:r>
      <w:r w:rsidRPr="00F720A6">
        <w:rPr>
          <w:lang w:val="fr-FR"/>
        </w:rPr>
        <w:t>élaboration de plans personnalisés pour leur réintégration, au cas par cas</w:t>
      </w:r>
      <w:bookmarkStart w:id="95" w:name="_Toc56781492"/>
      <w:bookmarkEnd w:id="95"/>
      <w:r w:rsidRPr="00F720A6">
        <w:rPr>
          <w:lang w:val="fr-FR"/>
        </w:rPr>
        <w:t>.</w:t>
      </w:r>
    </w:p>
    <w:p w14:paraId="324B567C" w14:textId="77777777" w:rsidR="003C48D6" w:rsidRPr="00F720A6" w:rsidRDefault="003C48D6" w:rsidP="001F1900">
      <w:pPr>
        <w:pStyle w:val="SingleTxtG"/>
        <w:rPr>
          <w:lang w:val="fr-FR"/>
        </w:rPr>
      </w:pPr>
      <w:r w:rsidRPr="00F720A6">
        <w:rPr>
          <w:lang w:val="fr-FR"/>
        </w:rPr>
        <w:t>262.</w:t>
      </w:r>
      <w:r w:rsidRPr="00F720A6">
        <w:rPr>
          <w:lang w:val="fr-FR"/>
        </w:rPr>
        <w:tab/>
        <w:t>Conformément à la recommandation n</w:t>
      </w:r>
      <w:r w:rsidR="00833E2B" w:rsidRPr="00833E2B">
        <w:rPr>
          <w:vertAlign w:val="superscript"/>
          <w:lang w:val="fr-FR"/>
        </w:rPr>
        <w:t>o</w:t>
      </w:r>
      <w:r w:rsidR="00833E2B">
        <w:rPr>
          <w:lang w:val="fr-FR"/>
        </w:rPr>
        <w:t> </w:t>
      </w:r>
      <w:r w:rsidRPr="00F720A6">
        <w:rPr>
          <w:lang w:val="fr-FR"/>
        </w:rPr>
        <w:t xml:space="preserve">20, le Ministère du travail et de la politique sociale alloue chaque année des fonds pour les frais généraux du Centre pour les victimes de </w:t>
      </w:r>
      <w:r w:rsidRPr="00F720A6">
        <w:rPr>
          <w:lang w:val="fr-FR"/>
        </w:rPr>
        <w:lastRenderedPageBreak/>
        <w:t>la traite des êtres humains et les victimes de violences sexuelles, tandis que les services eux</w:t>
      </w:r>
      <w:r w:rsidR="00833E2B">
        <w:rPr>
          <w:lang w:val="fr-FR"/>
        </w:rPr>
        <w:noBreakHyphen/>
      </w:r>
      <w:r w:rsidRPr="00F720A6">
        <w:rPr>
          <w:lang w:val="fr-FR"/>
        </w:rPr>
        <w:t>mêmes sont fournis par des organisations civiles avec lesquelles ce même Ministère a signé un protocole de coopération.</w:t>
      </w:r>
    </w:p>
    <w:p w14:paraId="0F419EBA" w14:textId="77777777" w:rsidR="003C48D6" w:rsidRPr="00F720A6" w:rsidRDefault="003C48D6" w:rsidP="001F1900">
      <w:pPr>
        <w:pStyle w:val="SingleTxtG"/>
        <w:rPr>
          <w:lang w:val="fr-FR"/>
        </w:rPr>
      </w:pPr>
      <w:r w:rsidRPr="00F720A6">
        <w:rPr>
          <w:lang w:val="fr-FR"/>
        </w:rPr>
        <w:t>263.</w:t>
      </w:r>
      <w:r w:rsidRPr="00F720A6">
        <w:rPr>
          <w:lang w:val="fr-FR"/>
        </w:rPr>
        <w:tab/>
        <w:t>Conformément à la recommandation n</w:t>
      </w:r>
      <w:r w:rsidR="00833E2B" w:rsidRPr="00833E2B">
        <w:rPr>
          <w:vertAlign w:val="superscript"/>
          <w:lang w:val="fr-FR"/>
        </w:rPr>
        <w:t>o</w:t>
      </w:r>
      <w:r w:rsidR="00833E2B">
        <w:rPr>
          <w:lang w:val="fr-FR"/>
        </w:rPr>
        <w:t> </w:t>
      </w:r>
      <w:r w:rsidRPr="00F720A6">
        <w:rPr>
          <w:lang w:val="fr-FR"/>
        </w:rPr>
        <w:t>21, des programmes d</w:t>
      </w:r>
      <w:r w:rsidR="00254912">
        <w:rPr>
          <w:lang w:val="fr-FR"/>
        </w:rPr>
        <w:t>’</w:t>
      </w:r>
      <w:r w:rsidRPr="00F720A6">
        <w:rPr>
          <w:lang w:val="fr-FR"/>
        </w:rPr>
        <w:t>assistance et de soutien à la réintégration des enfants victimes de la traite des êtres humains sont mis en œuvre dans le cadre de l</w:t>
      </w:r>
      <w:r w:rsidR="00254912">
        <w:rPr>
          <w:lang w:val="fr-FR"/>
        </w:rPr>
        <w:t>’</w:t>
      </w:r>
      <w:r w:rsidRPr="00F720A6">
        <w:rPr>
          <w:lang w:val="fr-FR"/>
        </w:rPr>
        <w:t>élaboration d</w:t>
      </w:r>
      <w:r w:rsidR="00254912">
        <w:rPr>
          <w:lang w:val="fr-FR"/>
        </w:rPr>
        <w:t>’</w:t>
      </w:r>
      <w:r w:rsidRPr="00F720A6">
        <w:rPr>
          <w:lang w:val="fr-FR"/>
        </w:rPr>
        <w:t>un Plan de réintégration pour chaque individu, conformément à son intérêt supérieur, tout en tenant compte de l</w:t>
      </w:r>
      <w:r w:rsidR="00254912">
        <w:rPr>
          <w:lang w:val="fr-FR"/>
        </w:rPr>
        <w:t>’</w:t>
      </w:r>
      <w:r w:rsidRPr="00F720A6">
        <w:rPr>
          <w:lang w:val="fr-FR"/>
        </w:rPr>
        <w:t>âge et des besoins de l</w:t>
      </w:r>
      <w:r w:rsidR="00254912">
        <w:rPr>
          <w:lang w:val="fr-FR"/>
        </w:rPr>
        <w:t>’</w:t>
      </w:r>
      <w:r w:rsidRPr="00F720A6">
        <w:rPr>
          <w:lang w:val="fr-FR"/>
        </w:rPr>
        <w:t>enfant ainsi que des incidences psychologiques, physiques et sociales auxquelles il est confronté.</w:t>
      </w:r>
    </w:p>
    <w:p w14:paraId="63730A94" w14:textId="77777777" w:rsidR="003C48D6" w:rsidRPr="00F720A6" w:rsidRDefault="003C48D6" w:rsidP="001F1900">
      <w:pPr>
        <w:pStyle w:val="SingleTxtG"/>
        <w:rPr>
          <w:lang w:val="fr-FR"/>
        </w:rPr>
      </w:pPr>
      <w:r w:rsidRPr="00F720A6">
        <w:rPr>
          <w:lang w:val="fr-FR"/>
        </w:rPr>
        <w:t>264.</w:t>
      </w:r>
      <w:r w:rsidRPr="00F720A6">
        <w:rPr>
          <w:lang w:val="fr-FR"/>
        </w:rPr>
        <w:tab/>
        <w:t>Conformément à la recommandation n</w:t>
      </w:r>
      <w:r w:rsidR="00833E2B" w:rsidRPr="00833E2B">
        <w:rPr>
          <w:vertAlign w:val="superscript"/>
          <w:lang w:val="fr-FR"/>
        </w:rPr>
        <w:t>o</w:t>
      </w:r>
      <w:r w:rsidR="00833E2B">
        <w:rPr>
          <w:lang w:val="fr-FR"/>
        </w:rPr>
        <w:t> </w:t>
      </w:r>
      <w:r w:rsidRPr="00F720A6">
        <w:rPr>
          <w:lang w:val="fr-FR"/>
        </w:rPr>
        <w:t xml:space="preserve">22, le Ministère du travail et de la politique sociale a donné au Centre « Open </w:t>
      </w:r>
      <w:proofErr w:type="spellStart"/>
      <w:r w:rsidRPr="00F720A6">
        <w:rPr>
          <w:lang w:val="fr-FR"/>
        </w:rPr>
        <w:t>Gate</w:t>
      </w:r>
      <w:proofErr w:type="spellEnd"/>
      <w:r w:rsidRPr="00F720A6">
        <w:rPr>
          <w:lang w:val="fr-FR"/>
        </w:rPr>
        <w:t>/La Strada », une organisation civile œuvrant en faveur des enfants victimes de la traite des êtres humains et des victimes de violences sexuelles, son accord pour la mise en œuvre du programme d</w:t>
      </w:r>
      <w:r w:rsidR="00254912">
        <w:rPr>
          <w:lang w:val="fr-FR"/>
        </w:rPr>
        <w:t>’</w:t>
      </w:r>
      <w:r w:rsidRPr="00F720A6">
        <w:rPr>
          <w:lang w:val="fr-FR"/>
        </w:rPr>
        <w:t>assistance et de soutien à leur réintégration.</w:t>
      </w:r>
    </w:p>
    <w:p w14:paraId="4F69B4C5" w14:textId="77777777" w:rsidR="003C48D6" w:rsidRPr="00F720A6" w:rsidRDefault="003C48D6" w:rsidP="001F1900">
      <w:pPr>
        <w:pStyle w:val="SingleTxtG"/>
        <w:rPr>
          <w:lang w:val="fr-FR"/>
        </w:rPr>
      </w:pPr>
      <w:r w:rsidRPr="00F720A6">
        <w:rPr>
          <w:lang w:val="fr-FR"/>
        </w:rPr>
        <w:t>265.</w:t>
      </w:r>
      <w:r w:rsidRPr="00F720A6">
        <w:rPr>
          <w:lang w:val="fr-FR"/>
        </w:rPr>
        <w:tab/>
        <w:t>En ce qui concerne la recommandation n</w:t>
      </w:r>
      <w:r w:rsidR="00E5607B" w:rsidRPr="00E5607B">
        <w:rPr>
          <w:vertAlign w:val="superscript"/>
          <w:lang w:val="fr-FR"/>
        </w:rPr>
        <w:t>o</w:t>
      </w:r>
      <w:r w:rsidR="00E5607B">
        <w:rPr>
          <w:lang w:val="fr-FR"/>
        </w:rPr>
        <w:t> </w:t>
      </w:r>
      <w:r w:rsidRPr="00F720A6">
        <w:rPr>
          <w:lang w:val="fr-FR"/>
        </w:rPr>
        <w:t>23, la liste des travailleurs sociaux nommés au sein du Mécanisme national d</w:t>
      </w:r>
      <w:r w:rsidR="00254912">
        <w:rPr>
          <w:lang w:val="fr-FR"/>
        </w:rPr>
        <w:t>’</w:t>
      </w:r>
      <w:r w:rsidRPr="00F720A6">
        <w:rPr>
          <w:lang w:val="fr-FR"/>
        </w:rPr>
        <w:t>orientation a été renouvelée en 2017, et une analyse des besoins de formation plus approfondie a été réalisée. Celle-ci a révélé que les travailleurs sociaux ont besoin d</w:t>
      </w:r>
      <w:r w:rsidR="00254912">
        <w:rPr>
          <w:lang w:val="fr-FR"/>
        </w:rPr>
        <w:t>’</w:t>
      </w:r>
      <w:r w:rsidRPr="00F720A6">
        <w:rPr>
          <w:lang w:val="fr-FR"/>
        </w:rPr>
        <w:t>être formés à l</w:t>
      </w:r>
      <w:r w:rsidR="00254912">
        <w:rPr>
          <w:lang w:val="fr-FR"/>
        </w:rPr>
        <w:t>’</w:t>
      </w:r>
      <w:r w:rsidRPr="00F720A6">
        <w:rPr>
          <w:lang w:val="fr-FR"/>
        </w:rPr>
        <w:t>identification des enfants victimes de la traite des êtres humains ainsi qu</w:t>
      </w:r>
      <w:r w:rsidR="00254912">
        <w:rPr>
          <w:lang w:val="fr-FR"/>
        </w:rPr>
        <w:t>’</w:t>
      </w:r>
      <w:r w:rsidRPr="00F720A6">
        <w:rPr>
          <w:lang w:val="fr-FR"/>
        </w:rPr>
        <w:t>aux méthodes et techniques d</w:t>
      </w:r>
      <w:r w:rsidR="00254912">
        <w:rPr>
          <w:lang w:val="fr-FR"/>
        </w:rPr>
        <w:t>’</w:t>
      </w:r>
      <w:r w:rsidRPr="00F720A6">
        <w:rPr>
          <w:lang w:val="fr-FR"/>
        </w:rPr>
        <w:t xml:space="preserve">interrogatoire de ces enfants. </w:t>
      </w:r>
    </w:p>
    <w:p w14:paraId="2548BDB6" w14:textId="77777777" w:rsidR="003C48D6" w:rsidRPr="00F720A6" w:rsidRDefault="003C48D6" w:rsidP="001F1900">
      <w:pPr>
        <w:pStyle w:val="SingleTxtG"/>
        <w:rPr>
          <w:lang w:val="fr-FR"/>
        </w:rPr>
      </w:pPr>
      <w:r w:rsidRPr="00F720A6">
        <w:rPr>
          <w:lang w:val="fr-FR"/>
        </w:rPr>
        <w:t>266.</w:t>
      </w:r>
      <w:r w:rsidRPr="00F720A6">
        <w:rPr>
          <w:lang w:val="fr-FR"/>
        </w:rPr>
        <w:tab/>
        <w:t>Conformément à la recommandation n</w:t>
      </w:r>
      <w:r w:rsidR="00833E2B" w:rsidRPr="00833E2B">
        <w:rPr>
          <w:vertAlign w:val="superscript"/>
          <w:lang w:val="fr-FR"/>
        </w:rPr>
        <w:t>o</w:t>
      </w:r>
      <w:r w:rsidR="00833E2B">
        <w:rPr>
          <w:lang w:val="fr-FR"/>
        </w:rPr>
        <w:t> </w:t>
      </w:r>
      <w:r w:rsidRPr="00F720A6">
        <w:rPr>
          <w:lang w:val="fr-FR"/>
        </w:rPr>
        <w:t>24, les enfants constituent la population la plus vulnérable et la plus susceptible de subir différents types d</w:t>
      </w:r>
      <w:r w:rsidR="00254912">
        <w:rPr>
          <w:lang w:val="fr-FR"/>
        </w:rPr>
        <w:t>’</w:t>
      </w:r>
      <w:r w:rsidRPr="00F720A6">
        <w:rPr>
          <w:lang w:val="fr-FR"/>
        </w:rPr>
        <w:t>exactions, dont la plus grave, leur vente. Le plus grand nombre de victimes identifiées sont les jeunes filles âgées de 11 à 17 ans, généralement macédoniennes, albanaises ou roms, originaires tant du pays que de la région. Les victimes sont dénuées de moyen de subsistance, leur niveau d</w:t>
      </w:r>
      <w:r w:rsidR="00254912">
        <w:rPr>
          <w:lang w:val="fr-FR"/>
        </w:rPr>
        <w:t>’</w:t>
      </w:r>
      <w:r w:rsidRPr="00F720A6">
        <w:rPr>
          <w:lang w:val="fr-FR"/>
        </w:rPr>
        <w:t>instruction est faible, et les études entreprises n</w:t>
      </w:r>
      <w:r w:rsidR="00254912">
        <w:rPr>
          <w:lang w:val="fr-FR"/>
        </w:rPr>
        <w:t>’</w:t>
      </w:r>
      <w:r w:rsidRPr="00F720A6">
        <w:rPr>
          <w:lang w:val="fr-FR"/>
        </w:rPr>
        <w:t>ont pas été achevées, qu</w:t>
      </w:r>
      <w:r w:rsidR="00254912">
        <w:rPr>
          <w:lang w:val="fr-FR"/>
        </w:rPr>
        <w:t>’</w:t>
      </w:r>
      <w:r w:rsidRPr="00F720A6">
        <w:rPr>
          <w:lang w:val="fr-FR"/>
        </w:rPr>
        <w:t>il s</w:t>
      </w:r>
      <w:r w:rsidR="00254912">
        <w:rPr>
          <w:lang w:val="fr-FR"/>
        </w:rPr>
        <w:t>’</w:t>
      </w:r>
      <w:r w:rsidRPr="00F720A6">
        <w:rPr>
          <w:lang w:val="fr-FR"/>
        </w:rPr>
        <w:t>agisse d</w:t>
      </w:r>
      <w:r w:rsidR="00254912">
        <w:rPr>
          <w:lang w:val="fr-FR"/>
        </w:rPr>
        <w:t>’</w:t>
      </w:r>
      <w:r w:rsidRPr="00F720A6">
        <w:rPr>
          <w:lang w:val="fr-FR"/>
        </w:rPr>
        <w:t>enseignement primaire ou secondaire. La plupart du temps, les victimes sont la proie des réseaux de traite des êtres humains après qu</w:t>
      </w:r>
      <w:r w:rsidR="00254912">
        <w:rPr>
          <w:lang w:val="fr-FR"/>
        </w:rPr>
        <w:t>’</w:t>
      </w:r>
      <w:r w:rsidRPr="00F720A6">
        <w:rPr>
          <w:lang w:val="fr-FR"/>
        </w:rPr>
        <w:t>on leur a fait croire à un mariage à l</w:t>
      </w:r>
      <w:r w:rsidR="00254912">
        <w:rPr>
          <w:lang w:val="fr-FR"/>
        </w:rPr>
        <w:t>’</w:t>
      </w:r>
      <w:r w:rsidRPr="00F720A6">
        <w:rPr>
          <w:lang w:val="fr-FR"/>
        </w:rPr>
        <w:t>étranger ou bien à un emploi légal.</w:t>
      </w:r>
    </w:p>
    <w:p w14:paraId="72A2C847" w14:textId="77777777" w:rsidR="003C48D6" w:rsidRPr="00F720A6" w:rsidRDefault="003C48D6" w:rsidP="001F1900">
      <w:pPr>
        <w:pStyle w:val="SingleTxtG"/>
        <w:rPr>
          <w:lang w:val="fr-FR"/>
        </w:rPr>
      </w:pPr>
      <w:r w:rsidRPr="00F720A6">
        <w:rPr>
          <w:lang w:val="fr-FR"/>
        </w:rPr>
        <w:t>267.</w:t>
      </w:r>
      <w:r w:rsidRPr="00F720A6">
        <w:rPr>
          <w:lang w:val="fr-FR"/>
        </w:rPr>
        <w:tab/>
        <w:t>Les ventes d</w:t>
      </w:r>
      <w:r w:rsidR="00254912">
        <w:rPr>
          <w:lang w:val="fr-FR"/>
        </w:rPr>
        <w:t>’</w:t>
      </w:r>
      <w:r w:rsidRPr="00F720A6">
        <w:rPr>
          <w:lang w:val="fr-FR"/>
        </w:rPr>
        <w:t xml:space="preserve">enfants découlent couramment : de la pauvreté dans la famille, de familles dysfonctionnelles, de toutes sortes de violence dont ces enfants sont victimes </w:t>
      </w:r>
      <w:r w:rsidR="005A4609">
        <w:rPr>
          <w:lang w:val="fr-FR"/>
        </w:rPr>
        <w:t>−</w:t>
      </w:r>
      <w:r w:rsidRPr="00F720A6">
        <w:rPr>
          <w:lang w:val="fr-FR"/>
        </w:rPr>
        <w:t xml:space="preserve"> de violence domestique ; du fait que les enfants sont orphelins ou privés de protection parentale ; de problèmes face à l</w:t>
      </w:r>
      <w:r w:rsidR="00254912">
        <w:rPr>
          <w:lang w:val="fr-FR"/>
        </w:rPr>
        <w:t>’</w:t>
      </w:r>
      <w:r w:rsidRPr="00F720A6">
        <w:rPr>
          <w:lang w:val="fr-FR"/>
        </w:rPr>
        <w:t>éducation du fait des institutions ; du manque d</w:t>
      </w:r>
      <w:r w:rsidR="00254912">
        <w:rPr>
          <w:lang w:val="fr-FR"/>
        </w:rPr>
        <w:t>’</w:t>
      </w:r>
      <w:r w:rsidRPr="00F720A6">
        <w:rPr>
          <w:lang w:val="fr-FR"/>
        </w:rPr>
        <w:t>assurance des enfants vis-à-vis de leur avenir, accompagné d</w:t>
      </w:r>
      <w:r w:rsidR="00254912">
        <w:rPr>
          <w:lang w:val="fr-FR"/>
        </w:rPr>
        <w:t>’</w:t>
      </w:r>
      <w:r w:rsidRPr="00F720A6">
        <w:rPr>
          <w:lang w:val="fr-FR"/>
        </w:rPr>
        <w:t>un fort désir de vivre mieux ; de l</w:t>
      </w:r>
      <w:r w:rsidR="00254912">
        <w:rPr>
          <w:lang w:val="fr-FR"/>
        </w:rPr>
        <w:t>’</w:t>
      </w:r>
      <w:r w:rsidRPr="00F720A6">
        <w:rPr>
          <w:lang w:val="fr-FR"/>
        </w:rPr>
        <w:t>exclusion des enfants hors du processus éducatif ; de leur situation d</w:t>
      </w:r>
      <w:r w:rsidR="00254912">
        <w:rPr>
          <w:lang w:val="fr-FR"/>
        </w:rPr>
        <w:t>’</w:t>
      </w:r>
      <w:r w:rsidRPr="00F720A6">
        <w:rPr>
          <w:lang w:val="fr-FR"/>
        </w:rPr>
        <w:t>enfants des rues (mendiants ou enfants qui fournissent divers services dans les rues) ; ou du manque d</w:t>
      </w:r>
      <w:r w:rsidR="00254912">
        <w:rPr>
          <w:lang w:val="fr-FR"/>
        </w:rPr>
        <w:t>’</w:t>
      </w:r>
      <w:r w:rsidRPr="00F720A6">
        <w:rPr>
          <w:lang w:val="fr-FR"/>
        </w:rPr>
        <w:t>informations des enfants quant à ce problème de la vente d</w:t>
      </w:r>
      <w:r w:rsidR="00254912">
        <w:rPr>
          <w:lang w:val="fr-FR"/>
        </w:rPr>
        <w:t>’</w:t>
      </w:r>
      <w:r w:rsidRPr="00F720A6">
        <w:rPr>
          <w:lang w:val="fr-FR"/>
        </w:rPr>
        <w:t xml:space="preserve">enfants et de la traite des êtres humains, dans leur entourage. </w:t>
      </w:r>
    </w:p>
    <w:p w14:paraId="69EA51D6" w14:textId="77777777" w:rsidR="003C48D6" w:rsidRPr="00F720A6" w:rsidRDefault="003C48D6" w:rsidP="001F1900">
      <w:pPr>
        <w:pStyle w:val="SingleTxtG"/>
        <w:rPr>
          <w:lang w:val="fr-FR"/>
        </w:rPr>
      </w:pPr>
      <w:r w:rsidRPr="00F720A6">
        <w:rPr>
          <w:lang w:val="fr-FR"/>
        </w:rPr>
        <w:t>268.</w:t>
      </w:r>
      <w:r w:rsidRPr="00F720A6">
        <w:rPr>
          <w:lang w:val="fr-FR"/>
        </w:rPr>
        <w:tab/>
        <w:t>En coopération avec le sous-groupe de lutte contre la vente d</w:t>
      </w:r>
      <w:r w:rsidR="00254912">
        <w:rPr>
          <w:lang w:val="fr-FR"/>
        </w:rPr>
        <w:t>’</w:t>
      </w:r>
      <w:r w:rsidRPr="00F720A6">
        <w:rPr>
          <w:lang w:val="fr-FR"/>
        </w:rPr>
        <w:t>enfants, le Ministère du travail et de la politique sociale a rédigé une analyse sur l</w:t>
      </w:r>
      <w:r w:rsidR="00254912">
        <w:rPr>
          <w:lang w:val="fr-FR"/>
        </w:rPr>
        <w:t>’</w:t>
      </w:r>
      <w:r w:rsidRPr="00F720A6">
        <w:rPr>
          <w:lang w:val="fr-FR"/>
        </w:rPr>
        <w:t>état de l</w:t>
      </w:r>
      <w:r w:rsidR="00254912">
        <w:rPr>
          <w:lang w:val="fr-FR"/>
        </w:rPr>
        <w:t>’</w:t>
      </w:r>
      <w:r w:rsidRPr="00F720A6">
        <w:rPr>
          <w:lang w:val="fr-FR"/>
        </w:rPr>
        <w:t>identification et de la protection des enfants victimes de la traite des êtres humains. Cette analyse vise à définir la mise en œuvre concrète de la réglementation nationale et à découvrir ses éventuelles lacunes.</w:t>
      </w:r>
    </w:p>
    <w:p w14:paraId="5D527D4B" w14:textId="77777777" w:rsidR="003C48D6" w:rsidRPr="00F720A6" w:rsidRDefault="003C48D6" w:rsidP="001F1900">
      <w:pPr>
        <w:pStyle w:val="SingleTxtG"/>
        <w:rPr>
          <w:lang w:val="fr-FR"/>
        </w:rPr>
      </w:pPr>
      <w:r w:rsidRPr="00F720A6">
        <w:rPr>
          <w:lang w:val="fr-FR"/>
        </w:rPr>
        <w:t>269.</w:t>
      </w:r>
      <w:r w:rsidRPr="00F720A6">
        <w:rPr>
          <w:lang w:val="fr-FR"/>
        </w:rPr>
        <w:tab/>
        <w:t>L</w:t>
      </w:r>
      <w:r w:rsidR="00254912">
        <w:rPr>
          <w:lang w:val="fr-FR"/>
        </w:rPr>
        <w:t>’</w:t>
      </w:r>
      <w:r w:rsidRPr="00F720A6">
        <w:rPr>
          <w:lang w:val="fr-FR"/>
        </w:rPr>
        <w:t>analyse présente la mise en œuvre du Plan d</w:t>
      </w:r>
      <w:r w:rsidR="00254912">
        <w:rPr>
          <w:lang w:val="fr-FR"/>
        </w:rPr>
        <w:t>’</w:t>
      </w:r>
      <w:r w:rsidRPr="00F720A6">
        <w:rPr>
          <w:lang w:val="fr-FR"/>
        </w:rPr>
        <w:t>action national 2013-2016 de lutte contre l</w:t>
      </w:r>
      <w:r w:rsidR="00254912">
        <w:rPr>
          <w:lang w:val="fr-FR"/>
        </w:rPr>
        <w:t>’</w:t>
      </w:r>
      <w:r w:rsidRPr="00F720A6">
        <w:rPr>
          <w:lang w:val="fr-FR"/>
        </w:rPr>
        <w:t>esclavage des enfants, et celle du Programme opérationnel pour 2014, du sous</w:t>
      </w:r>
      <w:r w:rsidR="005A4609">
        <w:rPr>
          <w:lang w:val="fr-FR"/>
        </w:rPr>
        <w:noBreakHyphen/>
      </w:r>
      <w:r w:rsidRPr="00F720A6">
        <w:rPr>
          <w:lang w:val="fr-FR"/>
        </w:rPr>
        <w:t>groupe de lutte contre la vente d</w:t>
      </w:r>
      <w:r w:rsidR="00254912">
        <w:rPr>
          <w:lang w:val="fr-FR"/>
        </w:rPr>
        <w:t>’</w:t>
      </w:r>
      <w:r w:rsidRPr="00F720A6">
        <w:rPr>
          <w:lang w:val="fr-FR"/>
        </w:rPr>
        <w:t>enfants. Outre son suivi des lois, des politiques et de la structure institutionnelle du pays, ainsi que des accords internationaux ratifiés, l</w:t>
      </w:r>
      <w:r w:rsidR="00254912">
        <w:rPr>
          <w:lang w:val="fr-FR"/>
        </w:rPr>
        <w:t>’</w:t>
      </w:r>
      <w:r w:rsidRPr="00F720A6">
        <w:rPr>
          <w:lang w:val="fr-FR"/>
        </w:rPr>
        <w:t>analyse s</w:t>
      </w:r>
      <w:r w:rsidR="00254912">
        <w:rPr>
          <w:lang w:val="fr-FR"/>
        </w:rPr>
        <w:t>’</w:t>
      </w:r>
      <w:r w:rsidRPr="00F720A6">
        <w:rPr>
          <w:lang w:val="fr-FR"/>
        </w:rPr>
        <w:t>attache principalement à la Convention du Conseil de l</w:t>
      </w:r>
      <w:r w:rsidR="00254912">
        <w:rPr>
          <w:lang w:val="fr-FR"/>
        </w:rPr>
        <w:t>’</w:t>
      </w:r>
      <w:r w:rsidRPr="00F720A6">
        <w:rPr>
          <w:lang w:val="fr-FR"/>
        </w:rPr>
        <w:t xml:space="preserve">Europe sur la lutte contre la traite des êtres humains et à la Directive européenne 2011/36/UE concernant la prévention de la traite des êtres humains, et souligne fortement la situation concrète sur le terrain. </w:t>
      </w:r>
    </w:p>
    <w:p w14:paraId="409D9E6E" w14:textId="77777777" w:rsidR="003C48D6" w:rsidRPr="00F720A6" w:rsidRDefault="003C48D6" w:rsidP="001F1900">
      <w:pPr>
        <w:pStyle w:val="SingleTxtG"/>
        <w:rPr>
          <w:lang w:val="fr-FR"/>
        </w:rPr>
      </w:pPr>
      <w:r w:rsidRPr="00F720A6">
        <w:rPr>
          <w:lang w:val="fr-FR"/>
        </w:rPr>
        <w:t>270.</w:t>
      </w:r>
      <w:r w:rsidRPr="00F720A6">
        <w:rPr>
          <w:lang w:val="fr-FR"/>
        </w:rPr>
        <w:tab/>
        <w:t>Conformément à la recommandation 27, consacrée à la nécessité d</w:t>
      </w:r>
      <w:r w:rsidR="00254912">
        <w:rPr>
          <w:lang w:val="fr-FR"/>
        </w:rPr>
        <w:t>’</w:t>
      </w:r>
      <w:r w:rsidRPr="00F720A6">
        <w:rPr>
          <w:lang w:val="fr-FR"/>
        </w:rPr>
        <w:t>empêcher que les enfants en danger ne deviennent victimes des infractions pénales décrites dans le Protocole, et compte tenu de l</w:t>
      </w:r>
      <w:r w:rsidR="00254912">
        <w:rPr>
          <w:lang w:val="fr-FR"/>
        </w:rPr>
        <w:t>’</w:t>
      </w:r>
      <w:r w:rsidRPr="00F720A6">
        <w:rPr>
          <w:lang w:val="fr-FR"/>
        </w:rPr>
        <w:t>augmentation des mouvements de migrants et de réfugiés en 2015, qui a accru les risques d</w:t>
      </w:r>
      <w:r w:rsidR="00254912">
        <w:rPr>
          <w:lang w:val="fr-FR"/>
        </w:rPr>
        <w:t>’</w:t>
      </w:r>
      <w:r w:rsidRPr="00F720A6">
        <w:rPr>
          <w:lang w:val="fr-FR"/>
        </w:rPr>
        <w:t>une éventuelle recrudescence de la traite des êtres humains en raison de la vulnérabilité des migrants transitant par le pays, le Gouvernement a adopté un certain nombre de documents cl</w:t>
      </w:r>
      <w:r w:rsidR="005A4609">
        <w:rPr>
          <w:lang w:val="fr-FR"/>
        </w:rPr>
        <w:t>é</w:t>
      </w:r>
      <w:r w:rsidRPr="00F720A6">
        <w:rPr>
          <w:lang w:val="fr-FR"/>
        </w:rPr>
        <w:t>s :</w:t>
      </w:r>
    </w:p>
    <w:p w14:paraId="79D3C949" w14:textId="77777777" w:rsidR="003C48D6" w:rsidRPr="00F720A6" w:rsidRDefault="003C48D6" w:rsidP="00254912">
      <w:pPr>
        <w:pStyle w:val="Bullet1G"/>
        <w:rPr>
          <w:lang w:val="fr-FR"/>
        </w:rPr>
      </w:pPr>
      <w:r w:rsidRPr="00F720A6">
        <w:rPr>
          <w:lang w:val="fr-FR"/>
        </w:rPr>
        <w:t>Des procédures opérationnelles normalisées pour les conduites à tenir avec les enfants étrangers non accompagnés, afin d</w:t>
      </w:r>
      <w:r w:rsidR="00254912">
        <w:rPr>
          <w:lang w:val="fr-FR"/>
        </w:rPr>
        <w:t>’</w:t>
      </w:r>
      <w:r w:rsidRPr="00F720A6">
        <w:rPr>
          <w:lang w:val="fr-FR"/>
        </w:rPr>
        <w:t>organiser la somme des méthodes, procédures et manières d</w:t>
      </w:r>
      <w:r w:rsidR="00254912">
        <w:rPr>
          <w:lang w:val="fr-FR"/>
        </w:rPr>
        <w:t>’</w:t>
      </w:r>
      <w:r w:rsidRPr="00F720A6">
        <w:rPr>
          <w:lang w:val="fr-FR"/>
        </w:rPr>
        <w:t>agir que les institutions compétentes peuvent adopter vis-à-vis d</w:t>
      </w:r>
      <w:r w:rsidR="00254912">
        <w:rPr>
          <w:lang w:val="fr-FR"/>
        </w:rPr>
        <w:t>’</w:t>
      </w:r>
      <w:r w:rsidRPr="00F720A6">
        <w:rPr>
          <w:lang w:val="fr-FR"/>
        </w:rPr>
        <w:t>un enfant étranger non identifié et non accompagné.</w:t>
      </w:r>
    </w:p>
    <w:p w14:paraId="4CDDE1DE" w14:textId="77777777" w:rsidR="003C48D6" w:rsidRPr="00F720A6" w:rsidRDefault="003C48D6" w:rsidP="00254912">
      <w:pPr>
        <w:pStyle w:val="Bullet1G"/>
        <w:rPr>
          <w:lang w:val="fr-FR"/>
        </w:rPr>
      </w:pPr>
      <w:r w:rsidRPr="00F720A6">
        <w:rPr>
          <w:lang w:val="fr-FR"/>
        </w:rPr>
        <w:lastRenderedPageBreak/>
        <w:t xml:space="preserve">Des procédures opérationnelles normalisées pour le traitement des catégories vulnérables de ressortissants étrangers, afin de favoriser une approche sensible au genre et soucieuse de la vulnérabilité de ces personnes, mais aussi de lancer une procédure mettant en avant leurs droits humains fondamentaux. </w:t>
      </w:r>
    </w:p>
    <w:p w14:paraId="772ECE4C" w14:textId="77777777" w:rsidR="003C48D6" w:rsidRPr="00F720A6" w:rsidRDefault="003C48D6" w:rsidP="00254912">
      <w:pPr>
        <w:pStyle w:val="Bullet1G"/>
        <w:rPr>
          <w:lang w:val="fr-FR"/>
        </w:rPr>
      </w:pPr>
      <w:r w:rsidRPr="00F720A6">
        <w:rPr>
          <w:lang w:val="fr-FR"/>
        </w:rPr>
        <w:t>En coopération avec des experts de l</w:t>
      </w:r>
      <w:r w:rsidR="00254912">
        <w:rPr>
          <w:lang w:val="fr-FR"/>
        </w:rPr>
        <w:t>’</w:t>
      </w:r>
      <w:r w:rsidRPr="00F720A6">
        <w:rPr>
          <w:lang w:val="fr-FR"/>
        </w:rPr>
        <w:t>Organisation internationale pour les migrations, la Commission nationale de lutte contre la traite des êtres humains et la migration illégale a élaboré des Indicateurs pour l</w:t>
      </w:r>
      <w:r w:rsidR="00254912">
        <w:rPr>
          <w:lang w:val="fr-FR"/>
        </w:rPr>
        <w:t>’</w:t>
      </w:r>
      <w:r w:rsidRPr="00F720A6">
        <w:rPr>
          <w:lang w:val="fr-FR"/>
        </w:rPr>
        <w:t xml:space="preserve">identification des victimes de la traite des êtres humains au sein des flux migratoires mixtes. </w:t>
      </w:r>
    </w:p>
    <w:p w14:paraId="59AD32D8" w14:textId="77777777" w:rsidR="003C48D6" w:rsidRPr="00F720A6" w:rsidRDefault="003C48D6" w:rsidP="001F1900">
      <w:pPr>
        <w:pStyle w:val="SingleTxtG"/>
        <w:rPr>
          <w:lang w:val="fr-FR"/>
        </w:rPr>
      </w:pPr>
      <w:r w:rsidRPr="00F720A6">
        <w:rPr>
          <w:lang w:val="fr-FR"/>
        </w:rPr>
        <w:t>271.</w:t>
      </w:r>
      <w:r w:rsidRPr="00F720A6">
        <w:rPr>
          <w:lang w:val="fr-FR"/>
        </w:rPr>
        <w:tab/>
        <w:t>Les enfants réfugiés et les enfants sous protection subsidiaire (en l</w:t>
      </w:r>
      <w:r w:rsidR="00254912">
        <w:rPr>
          <w:lang w:val="fr-FR"/>
        </w:rPr>
        <w:t>’</w:t>
      </w:r>
      <w:r w:rsidRPr="00F720A6">
        <w:rPr>
          <w:lang w:val="fr-FR"/>
        </w:rPr>
        <w:t>occurrence, des enfants non accompagnés ayant obtenu une protection internationale) ont la possibilité de bénéficier de l</w:t>
      </w:r>
      <w:r w:rsidR="00254912">
        <w:rPr>
          <w:lang w:val="fr-FR"/>
        </w:rPr>
        <w:t>’</w:t>
      </w:r>
      <w:r w:rsidRPr="00F720A6">
        <w:rPr>
          <w:lang w:val="fr-FR"/>
        </w:rPr>
        <w:t>enseignement et des soins de santé dans les mêmes conditions que les ressortissants macédoniens. En 2012, la loi sur l</w:t>
      </w:r>
      <w:r w:rsidR="00254912">
        <w:rPr>
          <w:lang w:val="fr-FR"/>
        </w:rPr>
        <w:t>’</w:t>
      </w:r>
      <w:r w:rsidRPr="00F720A6">
        <w:rPr>
          <w:lang w:val="fr-FR"/>
        </w:rPr>
        <w:t>assurance maladie a été modifiée afin de garantir que toute personne placée sous protection internationale soit à égalité avec les ressortissants macédoniens pour bénéficier de l</w:t>
      </w:r>
      <w:r w:rsidR="00254912">
        <w:rPr>
          <w:lang w:val="fr-FR"/>
        </w:rPr>
        <w:t>’</w:t>
      </w:r>
      <w:r w:rsidRPr="00F720A6">
        <w:rPr>
          <w:lang w:val="fr-FR"/>
        </w:rPr>
        <w:t>assurance maladie. En outre, les familles de réfugiés qui se sont volontairement engagées dans le processus d</w:t>
      </w:r>
      <w:r w:rsidR="00254912">
        <w:rPr>
          <w:lang w:val="fr-FR"/>
        </w:rPr>
        <w:t>’</w:t>
      </w:r>
      <w:r w:rsidRPr="00F720A6">
        <w:rPr>
          <w:lang w:val="fr-FR"/>
        </w:rPr>
        <w:t>intégration locale bénéficient, au travers du Centre d</w:t>
      </w:r>
      <w:r w:rsidR="00254912">
        <w:rPr>
          <w:lang w:val="fr-FR"/>
        </w:rPr>
        <w:t>’</w:t>
      </w:r>
      <w:r w:rsidRPr="00F720A6">
        <w:rPr>
          <w:lang w:val="fr-FR"/>
        </w:rPr>
        <w:t>intégration des réfugiés et des étrangers, d</w:t>
      </w:r>
      <w:r w:rsidR="00254912">
        <w:rPr>
          <w:lang w:val="fr-FR"/>
        </w:rPr>
        <w:t>’</w:t>
      </w:r>
      <w:r w:rsidRPr="00F720A6">
        <w:rPr>
          <w:lang w:val="fr-FR"/>
        </w:rPr>
        <w:t>un encadrement et d</w:t>
      </w:r>
      <w:r w:rsidR="00254912">
        <w:rPr>
          <w:lang w:val="fr-FR"/>
        </w:rPr>
        <w:t>’</w:t>
      </w:r>
      <w:r w:rsidRPr="00F720A6">
        <w:rPr>
          <w:lang w:val="fr-FR"/>
        </w:rPr>
        <w:t>une aide concrète dans leur vie quotidienne, notamment la nécessité de fréquenter l</w:t>
      </w:r>
      <w:r w:rsidR="00254912">
        <w:rPr>
          <w:lang w:val="fr-FR"/>
        </w:rPr>
        <w:t>’</w:t>
      </w:r>
      <w:r w:rsidRPr="00F720A6">
        <w:rPr>
          <w:lang w:val="fr-FR"/>
        </w:rPr>
        <w:t>école primaire et secondaire, qui est obligatoire.</w:t>
      </w:r>
    </w:p>
    <w:p w14:paraId="64845E69" w14:textId="77777777" w:rsidR="003C48D6" w:rsidRPr="00F720A6" w:rsidRDefault="003C48D6" w:rsidP="001F1900">
      <w:pPr>
        <w:pStyle w:val="SingleTxtG"/>
        <w:rPr>
          <w:lang w:val="fr-FR"/>
        </w:rPr>
      </w:pPr>
      <w:r w:rsidRPr="00F720A6">
        <w:rPr>
          <w:lang w:val="fr-FR"/>
        </w:rPr>
        <w:t>272.</w:t>
      </w:r>
      <w:r w:rsidRPr="00F720A6">
        <w:rPr>
          <w:lang w:val="fr-FR"/>
        </w:rPr>
        <w:tab/>
        <w:t>En ce qui concerne l</w:t>
      </w:r>
      <w:r w:rsidR="00254912">
        <w:rPr>
          <w:lang w:val="fr-FR"/>
        </w:rPr>
        <w:t>’</w:t>
      </w:r>
      <w:r w:rsidRPr="00F720A6">
        <w:rPr>
          <w:lang w:val="fr-FR"/>
        </w:rPr>
        <w:t>intégration des Roms, voir le chapitre IX, Mesures spéciales de protection, sous le point b).</w:t>
      </w:r>
    </w:p>
    <w:p w14:paraId="4526C919" w14:textId="77777777" w:rsidR="003C48D6" w:rsidRPr="00F720A6" w:rsidRDefault="003C48D6" w:rsidP="001F1900">
      <w:pPr>
        <w:pStyle w:val="SingleTxtG"/>
        <w:rPr>
          <w:lang w:val="fr-FR"/>
        </w:rPr>
      </w:pPr>
      <w:r w:rsidRPr="00F720A6">
        <w:rPr>
          <w:lang w:val="fr-FR"/>
        </w:rPr>
        <w:t>273.</w:t>
      </w:r>
      <w:r w:rsidRPr="00F720A6">
        <w:rPr>
          <w:lang w:val="fr-FR"/>
        </w:rPr>
        <w:tab/>
        <w:t>S</w:t>
      </w:r>
      <w:r w:rsidR="00254912">
        <w:rPr>
          <w:lang w:val="fr-FR"/>
        </w:rPr>
        <w:t>’</w:t>
      </w:r>
      <w:r w:rsidRPr="00F720A6">
        <w:rPr>
          <w:lang w:val="fr-FR"/>
        </w:rPr>
        <w:t>agissant de la recommandation n</w:t>
      </w:r>
      <w:r w:rsidR="00DD44C6" w:rsidRPr="00DD44C6">
        <w:rPr>
          <w:vertAlign w:val="superscript"/>
          <w:lang w:val="fr-FR"/>
        </w:rPr>
        <w:t>o</w:t>
      </w:r>
      <w:r w:rsidR="00DD44C6">
        <w:rPr>
          <w:lang w:val="fr-FR"/>
        </w:rPr>
        <w:t> </w:t>
      </w:r>
      <w:r w:rsidRPr="00F720A6">
        <w:rPr>
          <w:lang w:val="fr-FR"/>
        </w:rPr>
        <w:t>33, consacrée à la priorité de fournir une assistance appropriée tenant compte de la dimension de genre, et conformément à la loi sur l</w:t>
      </w:r>
      <w:r w:rsidR="00254912">
        <w:rPr>
          <w:lang w:val="fr-FR"/>
        </w:rPr>
        <w:t>’</w:t>
      </w:r>
      <w:r w:rsidRPr="00F720A6">
        <w:rPr>
          <w:lang w:val="fr-FR"/>
        </w:rPr>
        <w:t>égalité des chances pour les femmes et les hommes, qui vise à ce que les questions de genre soient prises en considération à tous les niveaux, la formation dispensée par le Ministère de l</w:t>
      </w:r>
      <w:r w:rsidR="00254912">
        <w:rPr>
          <w:lang w:val="fr-FR"/>
        </w:rPr>
        <w:t>’</w:t>
      </w:r>
      <w:r w:rsidRPr="00F720A6">
        <w:rPr>
          <w:lang w:val="fr-FR"/>
        </w:rPr>
        <w:t>éducation et des sciences veille à respecter cette notion, ainsi qu</w:t>
      </w:r>
      <w:r w:rsidR="00254912">
        <w:rPr>
          <w:lang w:val="fr-FR"/>
        </w:rPr>
        <w:t>’</w:t>
      </w:r>
      <w:r w:rsidRPr="00F720A6">
        <w:rPr>
          <w:lang w:val="fr-FR"/>
        </w:rPr>
        <w:t>à s</w:t>
      </w:r>
      <w:r w:rsidR="00254912">
        <w:rPr>
          <w:lang w:val="fr-FR"/>
        </w:rPr>
        <w:t>’</w:t>
      </w:r>
      <w:r w:rsidRPr="00F720A6">
        <w:rPr>
          <w:lang w:val="fr-FR"/>
        </w:rPr>
        <w:t xml:space="preserve">assurer que les services fournis répondent aux besoins spécifiques des filles aussi bien que des garçons. </w:t>
      </w:r>
    </w:p>
    <w:p w14:paraId="7BFD8D95" w14:textId="77777777" w:rsidR="003C48D6" w:rsidRPr="00F720A6" w:rsidRDefault="003C48D6" w:rsidP="001F1900">
      <w:pPr>
        <w:pStyle w:val="SingleTxtG"/>
        <w:rPr>
          <w:lang w:val="fr-FR"/>
        </w:rPr>
      </w:pPr>
      <w:r w:rsidRPr="00F720A6">
        <w:rPr>
          <w:lang w:val="fr-FR"/>
        </w:rPr>
        <w:t>274.</w:t>
      </w:r>
      <w:r w:rsidRPr="00F720A6">
        <w:rPr>
          <w:lang w:val="fr-FR"/>
        </w:rPr>
        <w:tab/>
        <w:t>C</w:t>
      </w:r>
      <w:r w:rsidR="00254912">
        <w:rPr>
          <w:lang w:val="fr-FR"/>
        </w:rPr>
        <w:t>’</w:t>
      </w:r>
      <w:r w:rsidRPr="00F720A6">
        <w:rPr>
          <w:lang w:val="fr-FR"/>
        </w:rPr>
        <w:t>est dans ce contexte qu</w:t>
      </w:r>
      <w:r w:rsidR="00254912">
        <w:rPr>
          <w:lang w:val="fr-FR"/>
        </w:rPr>
        <w:t>’</w:t>
      </w:r>
      <w:r w:rsidRPr="00F720A6">
        <w:rPr>
          <w:lang w:val="fr-FR"/>
        </w:rPr>
        <w:t>une session de formation de deux jours sur la dimension de genre dans la traite des êtres humains s</w:t>
      </w:r>
      <w:r w:rsidR="00254912">
        <w:rPr>
          <w:lang w:val="fr-FR"/>
        </w:rPr>
        <w:t>’</w:t>
      </w:r>
      <w:r w:rsidRPr="00F720A6">
        <w:rPr>
          <w:lang w:val="fr-FR"/>
        </w:rPr>
        <w:t xml:space="preserve">est tenue à </w:t>
      </w:r>
      <w:proofErr w:type="spellStart"/>
      <w:r w:rsidRPr="00F720A6">
        <w:rPr>
          <w:lang w:val="fr-FR"/>
        </w:rPr>
        <w:t>Struga</w:t>
      </w:r>
      <w:proofErr w:type="spellEnd"/>
      <w:r w:rsidRPr="00F720A6">
        <w:rPr>
          <w:lang w:val="fr-FR"/>
        </w:rPr>
        <w:t>, en 2016. Organisée par l</w:t>
      </w:r>
      <w:r w:rsidR="00254912">
        <w:rPr>
          <w:lang w:val="fr-FR"/>
        </w:rPr>
        <w:t>’</w:t>
      </w:r>
      <w:r w:rsidRPr="00F720A6">
        <w:rPr>
          <w:lang w:val="fr-FR"/>
        </w:rPr>
        <w:t>Association macédonienne des jeunes avocats et le Bureau de ONU</w:t>
      </w:r>
      <w:r w:rsidR="00DD44C6">
        <w:rPr>
          <w:lang w:val="fr-FR"/>
        </w:rPr>
        <w:t>-</w:t>
      </w:r>
      <w:r w:rsidRPr="00F720A6">
        <w:rPr>
          <w:lang w:val="fr-FR"/>
        </w:rPr>
        <w:t>Femmes, elle s</w:t>
      </w:r>
      <w:r w:rsidR="00254912">
        <w:rPr>
          <w:lang w:val="fr-FR"/>
        </w:rPr>
        <w:t>’</w:t>
      </w:r>
      <w:r w:rsidRPr="00F720A6">
        <w:rPr>
          <w:lang w:val="fr-FR"/>
        </w:rPr>
        <w:t>adressait aux policiers, aux travailleurs sociaux et aux organisations civiles. De même, la</w:t>
      </w:r>
      <w:r w:rsidR="00DD44C6">
        <w:rPr>
          <w:lang w:val="fr-FR"/>
        </w:rPr>
        <w:t> </w:t>
      </w:r>
      <w:r w:rsidRPr="00F720A6">
        <w:rPr>
          <w:lang w:val="fr-FR"/>
        </w:rPr>
        <w:t>notion de genre dans la traite des êtres humains a été abordée dans les sessions de formation organisées par la Commission nationale avec le soutien de l</w:t>
      </w:r>
      <w:r w:rsidR="00254912">
        <w:rPr>
          <w:lang w:val="fr-FR"/>
        </w:rPr>
        <w:t>’</w:t>
      </w:r>
      <w:r w:rsidRPr="00F720A6">
        <w:rPr>
          <w:lang w:val="fr-FR"/>
        </w:rPr>
        <w:t>Organisation internationale pour les migrations (17 et 18 octobre 2016), sessions consacrées à l</w:t>
      </w:r>
      <w:r w:rsidR="00254912">
        <w:rPr>
          <w:lang w:val="fr-FR"/>
        </w:rPr>
        <w:t>’</w:t>
      </w:r>
      <w:r w:rsidRPr="00F720A6">
        <w:rPr>
          <w:lang w:val="fr-FR"/>
        </w:rPr>
        <w:t>application des procédures opérationnelles normalisées pour l</w:t>
      </w:r>
      <w:r w:rsidR="00254912">
        <w:rPr>
          <w:lang w:val="fr-FR"/>
        </w:rPr>
        <w:t>’</w:t>
      </w:r>
      <w:r w:rsidRPr="00F720A6">
        <w:rPr>
          <w:lang w:val="fr-FR"/>
        </w:rPr>
        <w:t xml:space="preserve">identification des enfants non accompagnés </w:t>
      </w:r>
      <w:r w:rsidR="00DD44C6">
        <w:rPr>
          <w:lang w:val="fr-FR"/>
        </w:rPr>
        <w:t>−</w:t>
      </w:r>
      <w:r w:rsidRPr="00F720A6">
        <w:rPr>
          <w:lang w:val="fr-FR"/>
        </w:rPr>
        <w:t xml:space="preserve"> enfants étrangers et autres catégories d</w:t>
      </w:r>
      <w:r w:rsidR="00254912">
        <w:rPr>
          <w:lang w:val="fr-FR"/>
        </w:rPr>
        <w:t>’</w:t>
      </w:r>
      <w:r w:rsidRPr="00F720A6">
        <w:rPr>
          <w:lang w:val="fr-FR"/>
        </w:rPr>
        <w:t xml:space="preserve">étrangers vulnérables. </w:t>
      </w:r>
    </w:p>
    <w:p w14:paraId="492D9499" w14:textId="77777777" w:rsidR="003C48D6" w:rsidRPr="00F720A6" w:rsidRDefault="003C48D6" w:rsidP="001F1900">
      <w:pPr>
        <w:pStyle w:val="SingleTxtG"/>
        <w:rPr>
          <w:lang w:val="fr-FR"/>
        </w:rPr>
      </w:pPr>
      <w:r w:rsidRPr="00F720A6">
        <w:rPr>
          <w:lang w:val="fr-FR"/>
        </w:rPr>
        <w:t>275.</w:t>
      </w:r>
      <w:r w:rsidRPr="00F720A6">
        <w:rPr>
          <w:lang w:val="fr-FR"/>
        </w:rPr>
        <w:tab/>
        <w:t>Conformément à la recommandation n</w:t>
      </w:r>
      <w:r w:rsidR="00DD44C6" w:rsidRPr="00DD44C6">
        <w:rPr>
          <w:vertAlign w:val="superscript"/>
          <w:lang w:val="fr-FR"/>
        </w:rPr>
        <w:t>o</w:t>
      </w:r>
      <w:r w:rsidR="00DD44C6">
        <w:rPr>
          <w:lang w:val="fr-FR"/>
        </w:rPr>
        <w:t> </w:t>
      </w:r>
      <w:r w:rsidRPr="00F720A6">
        <w:rPr>
          <w:lang w:val="fr-FR"/>
        </w:rPr>
        <w:t>37 concernant la coopération avec les ONG et le soutien à leurs activités en vue d</w:t>
      </w:r>
      <w:r w:rsidR="00254912">
        <w:rPr>
          <w:lang w:val="fr-FR"/>
        </w:rPr>
        <w:t>’</w:t>
      </w:r>
      <w:r w:rsidRPr="00F720A6">
        <w:rPr>
          <w:lang w:val="fr-FR"/>
        </w:rPr>
        <w:t>assurer l</w:t>
      </w:r>
      <w:r w:rsidR="00254912">
        <w:rPr>
          <w:lang w:val="fr-FR"/>
        </w:rPr>
        <w:t>’</w:t>
      </w:r>
      <w:r w:rsidRPr="00F720A6">
        <w:rPr>
          <w:lang w:val="fr-FR"/>
        </w:rPr>
        <w:t>ouverture des services appropriés aux enfants victimes des pratiques décrites dans le Protocole, le Ministère du travail et de la politique sociale alloue chaque année des fonds pour couvrir les frais généraux du Centre pour les victimes de la traite des êtres humains et les victimes de violences sexuelles, tandis que les services eux-mêmes sont délivrés par des organisations civiles avec lesquelles le Ministère a signé un protocole de coopération (voir la réponse à la recommandation n</w:t>
      </w:r>
      <w:r w:rsidR="00DD44C6" w:rsidRPr="00DD44C6">
        <w:rPr>
          <w:vertAlign w:val="superscript"/>
          <w:lang w:val="fr-FR"/>
        </w:rPr>
        <w:t>o</w:t>
      </w:r>
      <w:r w:rsidR="00DD44C6">
        <w:rPr>
          <w:lang w:val="fr-FR"/>
        </w:rPr>
        <w:t> </w:t>
      </w:r>
      <w:r w:rsidRPr="00F720A6">
        <w:rPr>
          <w:lang w:val="fr-FR"/>
        </w:rPr>
        <w:t xml:space="preserve">22). </w:t>
      </w:r>
    </w:p>
    <w:p w14:paraId="74AA9B01" w14:textId="77777777" w:rsidR="003C48D6" w:rsidRPr="00F720A6" w:rsidRDefault="003C48D6" w:rsidP="001F1900">
      <w:pPr>
        <w:pStyle w:val="SingleTxtG"/>
        <w:rPr>
          <w:lang w:val="fr-FR"/>
        </w:rPr>
      </w:pPr>
      <w:r w:rsidRPr="00F720A6">
        <w:rPr>
          <w:lang w:val="fr-FR"/>
        </w:rPr>
        <w:t>276.</w:t>
      </w:r>
      <w:r w:rsidRPr="00F720A6">
        <w:rPr>
          <w:lang w:val="fr-FR"/>
        </w:rPr>
        <w:tab/>
        <w:t>Le Centre pour les victimes de la traite des êtres humains et les victimes de violences sexuelles dispose d</w:t>
      </w:r>
      <w:r w:rsidR="00254912">
        <w:rPr>
          <w:lang w:val="fr-FR"/>
        </w:rPr>
        <w:t>’</w:t>
      </w:r>
      <w:r w:rsidRPr="00F720A6">
        <w:rPr>
          <w:lang w:val="fr-FR"/>
        </w:rPr>
        <w:t>un espace distinct pour l</w:t>
      </w:r>
      <w:r w:rsidR="00254912">
        <w:rPr>
          <w:lang w:val="fr-FR"/>
        </w:rPr>
        <w:t>’</w:t>
      </w:r>
      <w:r w:rsidRPr="00F720A6">
        <w:rPr>
          <w:lang w:val="fr-FR"/>
        </w:rPr>
        <w:t>hébergement des enfants, tandis que les autres pièces sont partagées avec les adultes.</w:t>
      </w:r>
    </w:p>
    <w:p w14:paraId="50096501" w14:textId="77777777" w:rsidR="003C48D6" w:rsidRPr="00F720A6" w:rsidRDefault="003C48D6" w:rsidP="001F1900">
      <w:pPr>
        <w:pStyle w:val="SingleTxtG"/>
        <w:rPr>
          <w:lang w:val="fr-FR"/>
        </w:rPr>
      </w:pPr>
      <w:r w:rsidRPr="00F720A6">
        <w:rPr>
          <w:lang w:val="fr-FR"/>
        </w:rPr>
        <w:t>277.</w:t>
      </w:r>
      <w:r w:rsidRPr="00F720A6">
        <w:rPr>
          <w:lang w:val="fr-FR"/>
        </w:rPr>
        <w:tab/>
        <w:t>Chacun des 30 centres d</w:t>
      </w:r>
      <w:r w:rsidR="00254912">
        <w:rPr>
          <w:lang w:val="fr-FR"/>
        </w:rPr>
        <w:t>’</w:t>
      </w:r>
      <w:r w:rsidRPr="00F720A6">
        <w:rPr>
          <w:lang w:val="fr-FR"/>
        </w:rPr>
        <w:t>aide sociale dispose de deux travailleurs sociaux formés qui sont nommés en partie par le Mécanisme national d</w:t>
      </w:r>
      <w:r w:rsidR="00254912">
        <w:rPr>
          <w:lang w:val="fr-FR"/>
        </w:rPr>
        <w:t>’</w:t>
      </w:r>
      <w:r w:rsidRPr="00F720A6">
        <w:rPr>
          <w:lang w:val="fr-FR"/>
        </w:rPr>
        <w:t>orientation pour les victimes de la traite des êtres humains. Ces travailleurs sociaux sont chargés d</w:t>
      </w:r>
      <w:r w:rsidR="00254912">
        <w:rPr>
          <w:lang w:val="fr-FR"/>
        </w:rPr>
        <w:t>’</w:t>
      </w:r>
      <w:r w:rsidRPr="00F720A6">
        <w:rPr>
          <w:lang w:val="fr-FR"/>
        </w:rPr>
        <w:t>aider et épauler la réintégration des enfants victimes.</w:t>
      </w:r>
    </w:p>
    <w:p w14:paraId="1374CA15" w14:textId="77777777" w:rsidR="003C48D6" w:rsidRPr="00F720A6" w:rsidRDefault="003C48D6" w:rsidP="001F1900">
      <w:pPr>
        <w:pStyle w:val="SingleTxtG"/>
        <w:rPr>
          <w:lang w:val="fr-FR"/>
        </w:rPr>
      </w:pPr>
      <w:r w:rsidRPr="00F720A6">
        <w:rPr>
          <w:lang w:val="fr-FR"/>
        </w:rPr>
        <w:t>278.</w:t>
      </w:r>
      <w:r w:rsidRPr="00F720A6">
        <w:rPr>
          <w:lang w:val="fr-FR"/>
        </w:rPr>
        <w:tab/>
        <w:t>L</w:t>
      </w:r>
      <w:r w:rsidR="00254912">
        <w:rPr>
          <w:lang w:val="fr-FR"/>
        </w:rPr>
        <w:t>’</w:t>
      </w:r>
      <w:r w:rsidRPr="00F720A6">
        <w:rPr>
          <w:lang w:val="fr-FR"/>
        </w:rPr>
        <w:t>année 2018 a vu la rédaction de documents internes, ainsi que l</w:t>
      </w:r>
      <w:r w:rsidR="00254912">
        <w:rPr>
          <w:lang w:val="fr-FR"/>
        </w:rPr>
        <w:t>’</w:t>
      </w:r>
      <w:r w:rsidRPr="00F720A6">
        <w:rPr>
          <w:lang w:val="fr-FR"/>
        </w:rPr>
        <w:t>introduction de modifications du Règlement relatif aux normes et standards pour les locaux, les équipements, le personnel expert et les ressources nécessaires à la création et au démarrage des institutions d</w:t>
      </w:r>
      <w:r w:rsidR="00254912">
        <w:rPr>
          <w:lang w:val="fr-FR"/>
        </w:rPr>
        <w:t>’</w:t>
      </w:r>
      <w:r w:rsidRPr="00F720A6">
        <w:rPr>
          <w:lang w:val="fr-FR"/>
        </w:rPr>
        <w:t xml:space="preserve">aide sociale. </w:t>
      </w:r>
    </w:p>
    <w:p w14:paraId="02793EA1" w14:textId="77777777" w:rsidR="003C48D6" w:rsidRPr="00F720A6" w:rsidRDefault="003C48D6" w:rsidP="00254912">
      <w:pPr>
        <w:pStyle w:val="H1G"/>
        <w:rPr>
          <w:lang w:val="fr-FR"/>
        </w:rPr>
      </w:pPr>
      <w:r w:rsidRPr="00F720A6">
        <w:rPr>
          <w:lang w:val="fr-FR"/>
        </w:rPr>
        <w:lastRenderedPageBreak/>
        <w:tab/>
        <w:t>11.</w:t>
      </w:r>
      <w:r w:rsidRPr="00F720A6">
        <w:rPr>
          <w:lang w:val="fr-FR"/>
        </w:rPr>
        <w:tab/>
        <w:t>Actions pour la mise en œuvre du Protocole facultatif à la Convention relative aux droits de l</w:t>
      </w:r>
      <w:r w:rsidR="00254912">
        <w:rPr>
          <w:lang w:val="fr-FR"/>
        </w:rPr>
        <w:t>’</w:t>
      </w:r>
      <w:r w:rsidRPr="00F720A6">
        <w:rPr>
          <w:lang w:val="fr-FR"/>
        </w:rPr>
        <w:t>enfant, concernant l</w:t>
      </w:r>
      <w:r w:rsidR="00254912">
        <w:rPr>
          <w:lang w:val="fr-FR"/>
        </w:rPr>
        <w:t>’</w:t>
      </w:r>
      <w:r w:rsidRPr="00F720A6">
        <w:rPr>
          <w:lang w:val="fr-FR"/>
        </w:rPr>
        <w:t xml:space="preserve">implication </w:t>
      </w:r>
      <w:r w:rsidR="00254912">
        <w:rPr>
          <w:lang w:val="fr-FR"/>
        </w:rPr>
        <w:br/>
      </w:r>
      <w:r w:rsidRPr="00F720A6">
        <w:rPr>
          <w:lang w:val="fr-FR"/>
        </w:rPr>
        <w:t>d</w:t>
      </w:r>
      <w:r w:rsidR="00254912">
        <w:rPr>
          <w:lang w:val="fr-FR"/>
        </w:rPr>
        <w:t>’</w:t>
      </w:r>
      <w:r w:rsidRPr="00F720A6">
        <w:rPr>
          <w:lang w:val="fr-FR"/>
        </w:rPr>
        <w:t>enfants dans les conflits armés</w:t>
      </w:r>
      <w:bookmarkStart w:id="96" w:name="_Toc56781493"/>
      <w:bookmarkEnd w:id="96"/>
    </w:p>
    <w:p w14:paraId="00646668" w14:textId="77777777" w:rsidR="003C48D6" w:rsidRPr="00F720A6" w:rsidRDefault="003C48D6" w:rsidP="001F1900">
      <w:pPr>
        <w:pStyle w:val="SingleTxtG"/>
        <w:rPr>
          <w:lang w:val="fr-FR"/>
        </w:rPr>
      </w:pPr>
      <w:r w:rsidRPr="00F720A6">
        <w:rPr>
          <w:lang w:val="fr-FR"/>
        </w:rPr>
        <w:t>279.</w:t>
      </w:r>
      <w:r w:rsidRPr="00F720A6">
        <w:rPr>
          <w:lang w:val="fr-FR"/>
        </w:rPr>
        <w:tab/>
        <w:t>Les recommandations du Protocole facultatif à la Convention relative aux droits de l</w:t>
      </w:r>
      <w:r w:rsidR="00254912">
        <w:rPr>
          <w:lang w:val="fr-FR"/>
        </w:rPr>
        <w:t>’</w:t>
      </w:r>
      <w:r w:rsidRPr="00F720A6">
        <w:rPr>
          <w:lang w:val="fr-FR"/>
        </w:rPr>
        <w:t>enfant, concernant l</w:t>
      </w:r>
      <w:r w:rsidR="00254912">
        <w:rPr>
          <w:lang w:val="fr-FR"/>
        </w:rPr>
        <w:t>’</w:t>
      </w:r>
      <w:r w:rsidRPr="00F720A6">
        <w:rPr>
          <w:lang w:val="fr-FR"/>
        </w:rPr>
        <w:t>implication d</w:t>
      </w:r>
      <w:r w:rsidR="00254912">
        <w:rPr>
          <w:lang w:val="fr-FR"/>
        </w:rPr>
        <w:t>’</w:t>
      </w:r>
      <w:r w:rsidRPr="00F720A6">
        <w:rPr>
          <w:lang w:val="fr-FR"/>
        </w:rPr>
        <w:t>enfants dans les conflits armés ont été intégrées au Code pénal par des amendements. Ainsi, à l</w:t>
      </w:r>
      <w:r w:rsidR="00254912">
        <w:rPr>
          <w:lang w:val="fr-FR"/>
        </w:rPr>
        <w:t>’</w:t>
      </w:r>
      <w:r w:rsidRPr="00F720A6">
        <w:rPr>
          <w:lang w:val="fr-FR"/>
        </w:rPr>
        <w:t>article 404 : les crimes de guerre contre la population civile visent « le recrutement de personnes âgées de moins de 18 ans dans des forces armées qui ne sont pas la force armée de l</w:t>
      </w:r>
      <w:r w:rsidR="00254912">
        <w:rPr>
          <w:lang w:val="fr-FR"/>
        </w:rPr>
        <w:t>’</w:t>
      </w:r>
      <w:r w:rsidRPr="00F720A6">
        <w:rPr>
          <w:lang w:val="fr-FR"/>
        </w:rPr>
        <w:t>État et leur utilisation par leur participation active à des opérations armées contraires aux conditions déterminées par le droit international ».</w:t>
      </w:r>
    </w:p>
    <w:p w14:paraId="26B954F0" w14:textId="77777777" w:rsidR="003C48D6" w:rsidRPr="00F720A6" w:rsidRDefault="003C48D6" w:rsidP="001F1900">
      <w:pPr>
        <w:pStyle w:val="SingleTxtG"/>
        <w:rPr>
          <w:lang w:val="fr-FR"/>
        </w:rPr>
      </w:pPr>
      <w:r w:rsidRPr="00F720A6">
        <w:rPr>
          <w:lang w:val="fr-FR"/>
        </w:rPr>
        <w:t>280.</w:t>
      </w:r>
      <w:r w:rsidRPr="00F720A6">
        <w:rPr>
          <w:lang w:val="fr-FR"/>
        </w:rPr>
        <w:tab/>
        <w:t>En ce qui concerne la recommandation n</w:t>
      </w:r>
      <w:r w:rsidR="00DD44C6" w:rsidRPr="00DD44C6">
        <w:rPr>
          <w:vertAlign w:val="superscript"/>
          <w:lang w:val="fr-FR"/>
        </w:rPr>
        <w:t>o</w:t>
      </w:r>
      <w:r w:rsidR="00DD44C6">
        <w:rPr>
          <w:lang w:val="fr-FR"/>
        </w:rPr>
        <w:t> </w:t>
      </w:r>
      <w:r w:rsidRPr="00F720A6">
        <w:rPr>
          <w:lang w:val="fr-FR"/>
        </w:rPr>
        <w:t>14 des observations finales du Comité (sur</w:t>
      </w:r>
      <w:r w:rsidR="00DD44C6">
        <w:rPr>
          <w:lang w:val="fr-FR"/>
        </w:rPr>
        <w:t> </w:t>
      </w:r>
      <w:r w:rsidRPr="00F720A6">
        <w:rPr>
          <w:lang w:val="fr-FR"/>
        </w:rPr>
        <w:t>le rapport présenté en vertu de l</w:t>
      </w:r>
      <w:r w:rsidR="00254912">
        <w:rPr>
          <w:lang w:val="fr-FR"/>
        </w:rPr>
        <w:t>’</w:t>
      </w:r>
      <w:r w:rsidRPr="00F720A6">
        <w:rPr>
          <w:lang w:val="fr-FR"/>
        </w:rPr>
        <w:t>article 8 du Protocole facultatif à la Convention relative aux droits de l</w:t>
      </w:r>
      <w:r w:rsidR="00254912">
        <w:rPr>
          <w:lang w:val="fr-FR"/>
        </w:rPr>
        <w:t>’</w:t>
      </w:r>
      <w:r w:rsidRPr="00F720A6">
        <w:rPr>
          <w:lang w:val="fr-FR"/>
        </w:rPr>
        <w:t>enfant, concernant l</w:t>
      </w:r>
      <w:r w:rsidR="00254912">
        <w:rPr>
          <w:lang w:val="fr-FR"/>
        </w:rPr>
        <w:t>’</w:t>
      </w:r>
      <w:r w:rsidRPr="00F720A6">
        <w:rPr>
          <w:lang w:val="fr-FR"/>
        </w:rPr>
        <w:t>implication d</w:t>
      </w:r>
      <w:r w:rsidR="00254912">
        <w:rPr>
          <w:lang w:val="fr-FR"/>
        </w:rPr>
        <w:t>’</w:t>
      </w:r>
      <w:r w:rsidRPr="00F720A6">
        <w:rPr>
          <w:lang w:val="fr-FR"/>
        </w:rPr>
        <w:t>enfants dans les conflits armés), à savoir un mécanisme de suivi des mineurs non accompagnés ou séparés de leur famille après leur départ du centre d</w:t>
      </w:r>
      <w:r w:rsidR="00254912">
        <w:rPr>
          <w:lang w:val="fr-FR"/>
        </w:rPr>
        <w:t>’</w:t>
      </w:r>
      <w:r w:rsidRPr="00F720A6">
        <w:rPr>
          <w:lang w:val="fr-FR"/>
        </w:rPr>
        <w:t>accueil pour les étrangers, les enfants auxquels a été reconnu le droit à la protection internationale sont pris en charge par le Centre d</w:t>
      </w:r>
      <w:r w:rsidR="00254912">
        <w:rPr>
          <w:lang w:val="fr-FR"/>
        </w:rPr>
        <w:t>’</w:t>
      </w:r>
      <w:r w:rsidRPr="00F720A6">
        <w:rPr>
          <w:lang w:val="fr-FR"/>
        </w:rPr>
        <w:t>intégration des réfugiés et des étrangers, créé en 2009, qui a pour mission d</w:t>
      </w:r>
      <w:r w:rsidR="00254912">
        <w:rPr>
          <w:lang w:val="fr-FR"/>
        </w:rPr>
        <w:t>’</w:t>
      </w:r>
      <w:r w:rsidRPr="00F720A6">
        <w:rPr>
          <w:lang w:val="fr-FR"/>
        </w:rPr>
        <w:t>élaborer des plans d</w:t>
      </w:r>
      <w:r w:rsidR="00254912">
        <w:rPr>
          <w:lang w:val="fr-FR"/>
        </w:rPr>
        <w:t>’</w:t>
      </w:r>
      <w:r w:rsidRPr="00F720A6">
        <w:rPr>
          <w:lang w:val="fr-FR"/>
        </w:rPr>
        <w:t>intégration individualisés et de suivre le maintien des activités prévues dans le cadre de ces plans d</w:t>
      </w:r>
      <w:r w:rsidR="00254912">
        <w:rPr>
          <w:lang w:val="fr-FR"/>
        </w:rPr>
        <w:t>’</w:t>
      </w:r>
      <w:r w:rsidRPr="00F720A6">
        <w:rPr>
          <w:lang w:val="fr-FR"/>
        </w:rPr>
        <w:t xml:space="preserve">intégration. </w:t>
      </w:r>
    </w:p>
    <w:p w14:paraId="2EFC4BA8" w14:textId="77777777" w:rsidR="003C48D6" w:rsidRPr="00F720A6" w:rsidRDefault="003C48D6" w:rsidP="001F1900">
      <w:pPr>
        <w:pStyle w:val="SingleTxtG"/>
        <w:rPr>
          <w:lang w:val="fr-FR"/>
        </w:rPr>
      </w:pPr>
      <w:r w:rsidRPr="00F720A6">
        <w:rPr>
          <w:lang w:val="fr-FR"/>
        </w:rPr>
        <w:t>281.</w:t>
      </w:r>
      <w:r w:rsidRPr="00F720A6">
        <w:rPr>
          <w:lang w:val="fr-FR"/>
        </w:rPr>
        <w:tab/>
        <w:t>Le Ministère de l</w:t>
      </w:r>
      <w:r w:rsidR="00254912">
        <w:rPr>
          <w:lang w:val="fr-FR"/>
        </w:rPr>
        <w:t>’</w:t>
      </w:r>
      <w:r w:rsidRPr="00F720A6">
        <w:rPr>
          <w:lang w:val="fr-FR"/>
        </w:rPr>
        <w:t>intérieur a été chargé d</w:t>
      </w:r>
      <w:r w:rsidR="00254912">
        <w:rPr>
          <w:lang w:val="fr-FR"/>
        </w:rPr>
        <w:t>’</w:t>
      </w:r>
      <w:r w:rsidRPr="00F720A6">
        <w:rPr>
          <w:lang w:val="fr-FR"/>
        </w:rPr>
        <w:t xml:space="preserve">élaborer des mécanismes spécifiques pour identifier les enfants qui ont été impliqués </w:t>
      </w:r>
      <w:bookmarkStart w:id="97" w:name="_GoBack"/>
      <w:bookmarkEnd w:id="97"/>
      <w:r w:rsidRPr="00F720A6">
        <w:rPr>
          <w:lang w:val="fr-FR"/>
        </w:rPr>
        <w:t>dans des conflits armés et d</w:t>
      </w:r>
      <w:r w:rsidR="00254912">
        <w:rPr>
          <w:lang w:val="fr-FR"/>
        </w:rPr>
        <w:t>’</w:t>
      </w:r>
      <w:r w:rsidRPr="00F720A6">
        <w:rPr>
          <w:lang w:val="fr-FR"/>
        </w:rPr>
        <w:t>organiser une formation pertinente du personnel qui travaillerait avec cette catégorie d</w:t>
      </w:r>
      <w:r w:rsidR="00254912">
        <w:rPr>
          <w:lang w:val="fr-FR"/>
        </w:rPr>
        <w:t>’</w:t>
      </w:r>
      <w:r w:rsidRPr="00F720A6">
        <w:rPr>
          <w:lang w:val="fr-FR"/>
        </w:rPr>
        <w:t xml:space="preserve">enfants (pour plus de détails, voir la partie IX </w:t>
      </w:r>
      <w:r w:rsidR="009D1079">
        <w:rPr>
          <w:lang w:val="fr-FR"/>
        </w:rPr>
        <w:t>−</w:t>
      </w:r>
      <w:r w:rsidRPr="00F720A6">
        <w:rPr>
          <w:lang w:val="fr-FR"/>
        </w:rPr>
        <w:t xml:space="preserve"> Mesures de protection spéciales, point a).</w:t>
      </w:r>
    </w:p>
    <w:p w14:paraId="1FEF38C3" w14:textId="77777777" w:rsidR="003C48D6" w:rsidRPr="00F720A6" w:rsidRDefault="003C48D6" w:rsidP="001F1900">
      <w:pPr>
        <w:pStyle w:val="SingleTxtG"/>
        <w:rPr>
          <w:lang w:val="fr-FR"/>
        </w:rPr>
      </w:pPr>
      <w:r w:rsidRPr="00F720A6">
        <w:rPr>
          <w:lang w:val="fr-FR"/>
        </w:rPr>
        <w:t>282.</w:t>
      </w:r>
      <w:r w:rsidRPr="00F720A6">
        <w:rPr>
          <w:lang w:val="fr-FR"/>
        </w:rPr>
        <w:tab/>
        <w:t xml:space="preserve">Dans le cadre de la recommandation 19 des mêmes observations finales, selon la loi sur les armes, seules les armes à feu, leurs pièces et munitions qui ont été examinées et marquées conformément aux règles en vigueur peuvent être commercialisées. </w:t>
      </w:r>
    </w:p>
    <w:p w14:paraId="37614451" w14:textId="77777777" w:rsidR="003C48D6" w:rsidRPr="00F720A6" w:rsidRDefault="003C48D6" w:rsidP="001F1900">
      <w:pPr>
        <w:pStyle w:val="SingleTxtG"/>
        <w:rPr>
          <w:lang w:val="fr-FR"/>
        </w:rPr>
      </w:pPr>
      <w:r w:rsidRPr="00F720A6">
        <w:rPr>
          <w:lang w:val="fr-FR"/>
        </w:rPr>
        <w:t>283.</w:t>
      </w:r>
      <w:r w:rsidRPr="00F720A6">
        <w:rPr>
          <w:lang w:val="fr-FR"/>
        </w:rPr>
        <w:tab/>
        <w:t>Seules les entreprises ayant un siège social sur le territoire du pays et ayant reçu l</w:t>
      </w:r>
      <w:r w:rsidR="00254912">
        <w:rPr>
          <w:lang w:val="fr-FR"/>
        </w:rPr>
        <w:t>’</w:t>
      </w:r>
      <w:r w:rsidRPr="00F720A6">
        <w:rPr>
          <w:lang w:val="fr-FR"/>
        </w:rPr>
        <w:t>autorisation d</w:t>
      </w:r>
      <w:r w:rsidR="00254912">
        <w:rPr>
          <w:lang w:val="fr-FR"/>
        </w:rPr>
        <w:t>’</w:t>
      </w:r>
      <w:r w:rsidRPr="00F720A6">
        <w:rPr>
          <w:lang w:val="fr-FR"/>
        </w:rPr>
        <w:t>exercer une telle activité économique peuvent faire commerce d</w:t>
      </w:r>
      <w:r w:rsidR="00254912">
        <w:rPr>
          <w:lang w:val="fr-FR"/>
        </w:rPr>
        <w:t>’</w:t>
      </w:r>
      <w:r w:rsidRPr="00F720A6">
        <w:rPr>
          <w:lang w:val="fr-FR"/>
        </w:rPr>
        <w:t>armes à feu, des munitions et de leurs pièces.</w:t>
      </w:r>
    </w:p>
    <w:p w14:paraId="2986A919" w14:textId="77777777" w:rsidR="003C48D6" w:rsidRDefault="003C48D6" w:rsidP="001F1900">
      <w:pPr>
        <w:pStyle w:val="SingleTxtG"/>
        <w:rPr>
          <w:lang w:val="fr-FR"/>
        </w:rPr>
      </w:pPr>
      <w:r w:rsidRPr="00F720A6">
        <w:rPr>
          <w:lang w:val="fr-FR"/>
        </w:rPr>
        <w:t>284.</w:t>
      </w:r>
      <w:r w:rsidRPr="00F720A6">
        <w:rPr>
          <w:lang w:val="fr-FR"/>
        </w:rPr>
        <w:tab/>
        <w:t>Selon l</w:t>
      </w:r>
      <w:r w:rsidR="00254912">
        <w:rPr>
          <w:lang w:val="fr-FR"/>
        </w:rPr>
        <w:t>’</w:t>
      </w:r>
      <w:r w:rsidRPr="00F720A6">
        <w:rPr>
          <w:lang w:val="fr-FR"/>
        </w:rPr>
        <w:t>article 396 du Code pénal (fabrication, possession, médiation et commerce non autorisés d</w:t>
      </w:r>
      <w:r w:rsidR="00254912">
        <w:rPr>
          <w:lang w:val="fr-FR"/>
        </w:rPr>
        <w:t>’</w:t>
      </w:r>
      <w:r w:rsidRPr="00F720A6">
        <w:rPr>
          <w:lang w:val="fr-FR"/>
        </w:rPr>
        <w:t>armes ou de matières explosibles), quiconque fabrique, possède, procure, fait office d</w:t>
      </w:r>
      <w:r w:rsidR="00254912">
        <w:rPr>
          <w:lang w:val="fr-FR"/>
        </w:rPr>
        <w:t>’</w:t>
      </w:r>
      <w:r w:rsidRPr="00F720A6">
        <w:rPr>
          <w:lang w:val="fr-FR"/>
        </w:rPr>
        <w:t>intermédiaire dans le commerce ou l</w:t>
      </w:r>
      <w:r w:rsidR="00254912">
        <w:rPr>
          <w:lang w:val="fr-FR"/>
        </w:rPr>
        <w:t>’</w:t>
      </w:r>
      <w:r w:rsidRPr="00F720A6">
        <w:rPr>
          <w:lang w:val="fr-FR"/>
        </w:rPr>
        <w:t>échange d</w:t>
      </w:r>
      <w:r w:rsidR="00254912">
        <w:rPr>
          <w:lang w:val="fr-FR"/>
        </w:rPr>
        <w:t>’</w:t>
      </w:r>
      <w:r w:rsidRPr="00F720A6">
        <w:rPr>
          <w:lang w:val="fr-FR"/>
        </w:rPr>
        <w:t>armes à feu, de munitions ou des matières explosibles sans autorisation est passible d</w:t>
      </w:r>
      <w:r w:rsidR="00254912">
        <w:rPr>
          <w:lang w:val="fr-FR"/>
        </w:rPr>
        <w:t>’</w:t>
      </w:r>
      <w:r w:rsidRPr="00F720A6">
        <w:rPr>
          <w:lang w:val="fr-FR"/>
        </w:rPr>
        <w:t>une peine d</w:t>
      </w:r>
      <w:r w:rsidR="00254912">
        <w:rPr>
          <w:lang w:val="fr-FR"/>
        </w:rPr>
        <w:t>’</w:t>
      </w:r>
      <w:r w:rsidRPr="00F720A6">
        <w:rPr>
          <w:lang w:val="fr-FR"/>
        </w:rPr>
        <w:t>emprisonnement de trois à dix ans.</w:t>
      </w:r>
    </w:p>
    <w:p w14:paraId="2E11FD79" w14:textId="77777777" w:rsidR="00254912" w:rsidRPr="00254912" w:rsidRDefault="00254912" w:rsidP="00254912">
      <w:pPr>
        <w:pStyle w:val="SingleTxtG"/>
        <w:spacing w:before="240" w:after="0"/>
        <w:jc w:val="center"/>
        <w:rPr>
          <w:u w:val="single"/>
        </w:rPr>
      </w:pPr>
      <w:r>
        <w:rPr>
          <w:u w:val="single"/>
        </w:rPr>
        <w:tab/>
      </w:r>
      <w:r>
        <w:rPr>
          <w:u w:val="single"/>
        </w:rPr>
        <w:tab/>
      </w:r>
      <w:r>
        <w:rPr>
          <w:u w:val="single"/>
        </w:rPr>
        <w:tab/>
      </w:r>
    </w:p>
    <w:sectPr w:rsidR="00254912" w:rsidRPr="00254912" w:rsidSect="008F494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CB3C7" w14:textId="77777777" w:rsidR="00311732" w:rsidRDefault="00311732" w:rsidP="00F95C08">
      <w:pPr>
        <w:spacing w:line="240" w:lineRule="auto"/>
      </w:pPr>
    </w:p>
  </w:endnote>
  <w:endnote w:type="continuationSeparator" w:id="0">
    <w:p w14:paraId="56E7579E" w14:textId="77777777" w:rsidR="00311732" w:rsidRPr="00AC3823" w:rsidRDefault="00311732" w:rsidP="00AC3823">
      <w:pPr>
        <w:pStyle w:val="Pieddepage"/>
      </w:pPr>
    </w:p>
  </w:endnote>
  <w:endnote w:type="continuationNotice" w:id="1">
    <w:p w14:paraId="55F250EC" w14:textId="77777777" w:rsidR="00311732" w:rsidRDefault="003117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obiSerif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4007" w14:textId="77777777" w:rsidR="00311732" w:rsidRPr="008F4945" w:rsidRDefault="00311732" w:rsidP="008F4945">
    <w:pPr>
      <w:pStyle w:val="Pieddepage"/>
      <w:tabs>
        <w:tab w:val="right" w:pos="9638"/>
      </w:tabs>
    </w:pPr>
    <w:r w:rsidRPr="008F4945">
      <w:rPr>
        <w:b/>
        <w:sz w:val="18"/>
      </w:rPr>
      <w:fldChar w:fldCharType="begin"/>
    </w:r>
    <w:r w:rsidRPr="008F4945">
      <w:rPr>
        <w:b/>
        <w:sz w:val="18"/>
      </w:rPr>
      <w:instrText xml:space="preserve"> PAGE  \* MERGEFORMAT </w:instrText>
    </w:r>
    <w:r w:rsidRPr="008F4945">
      <w:rPr>
        <w:b/>
        <w:sz w:val="18"/>
      </w:rPr>
      <w:fldChar w:fldCharType="separate"/>
    </w:r>
    <w:r w:rsidRPr="008F4945">
      <w:rPr>
        <w:b/>
        <w:noProof/>
        <w:sz w:val="18"/>
      </w:rPr>
      <w:t>2</w:t>
    </w:r>
    <w:r w:rsidRPr="008F4945">
      <w:rPr>
        <w:b/>
        <w:sz w:val="18"/>
      </w:rPr>
      <w:fldChar w:fldCharType="end"/>
    </w:r>
    <w:r>
      <w:rPr>
        <w:b/>
        <w:sz w:val="18"/>
      </w:rPr>
      <w:tab/>
    </w:r>
    <w:r>
      <w:t>GE.20-15762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2A15" w14:textId="77777777" w:rsidR="00311732" w:rsidRPr="008F4945" w:rsidRDefault="00311732" w:rsidP="008F4945">
    <w:pPr>
      <w:pStyle w:val="Pieddepage"/>
      <w:tabs>
        <w:tab w:val="right" w:pos="9638"/>
      </w:tabs>
      <w:rPr>
        <w:b/>
        <w:sz w:val="18"/>
      </w:rPr>
    </w:pPr>
    <w:r>
      <w:t>GE.20-15762</w:t>
    </w:r>
    <w:r>
      <w:tab/>
    </w:r>
    <w:r w:rsidRPr="008F4945">
      <w:rPr>
        <w:b/>
        <w:sz w:val="18"/>
      </w:rPr>
      <w:fldChar w:fldCharType="begin"/>
    </w:r>
    <w:r w:rsidRPr="008F4945">
      <w:rPr>
        <w:b/>
        <w:sz w:val="18"/>
      </w:rPr>
      <w:instrText xml:space="preserve"> PAGE  \* MERGEFORMAT </w:instrText>
    </w:r>
    <w:r w:rsidRPr="008F4945">
      <w:rPr>
        <w:b/>
        <w:sz w:val="18"/>
      </w:rPr>
      <w:fldChar w:fldCharType="separate"/>
    </w:r>
    <w:r w:rsidRPr="008F4945">
      <w:rPr>
        <w:b/>
        <w:noProof/>
        <w:sz w:val="18"/>
      </w:rPr>
      <w:t>3</w:t>
    </w:r>
    <w:r w:rsidRPr="008F49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27FF" w14:textId="77777777" w:rsidR="00311732" w:rsidRPr="008F4945" w:rsidRDefault="00311732" w:rsidP="008F494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2606457" wp14:editId="76F6438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20-15762  (F)</w:t>
    </w:r>
    <w:r>
      <w:rPr>
        <w:noProof/>
        <w:sz w:val="20"/>
      </w:rPr>
      <w:drawing>
        <wp:anchor distT="0" distB="0" distL="114300" distR="114300" simplePos="0" relativeHeight="251660288" behindDoc="0" locked="0" layoutInCell="1" allowOverlap="1" wp14:anchorId="6088C457" wp14:editId="79E1300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210121    250121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4C642" w14:textId="77777777" w:rsidR="00311732" w:rsidRPr="00AC3823" w:rsidRDefault="00311732" w:rsidP="00AC3823">
      <w:pPr>
        <w:pStyle w:val="Pieddepage"/>
        <w:tabs>
          <w:tab w:val="right" w:pos="2155"/>
        </w:tabs>
        <w:spacing w:after="80" w:line="240" w:lineRule="atLeast"/>
        <w:ind w:left="680"/>
        <w:rPr>
          <w:u w:val="single"/>
        </w:rPr>
      </w:pPr>
      <w:r>
        <w:rPr>
          <w:u w:val="single"/>
        </w:rPr>
        <w:tab/>
      </w:r>
    </w:p>
  </w:footnote>
  <w:footnote w:type="continuationSeparator" w:id="0">
    <w:p w14:paraId="7C068B13" w14:textId="77777777" w:rsidR="00311732" w:rsidRPr="00AC3823" w:rsidRDefault="00311732" w:rsidP="00AC3823">
      <w:pPr>
        <w:pStyle w:val="Pieddepage"/>
        <w:tabs>
          <w:tab w:val="right" w:pos="2155"/>
        </w:tabs>
        <w:spacing w:after="80" w:line="240" w:lineRule="atLeast"/>
        <w:ind w:left="680"/>
        <w:rPr>
          <w:u w:val="single"/>
        </w:rPr>
      </w:pPr>
      <w:r>
        <w:rPr>
          <w:u w:val="single"/>
        </w:rPr>
        <w:tab/>
      </w:r>
    </w:p>
  </w:footnote>
  <w:footnote w:type="continuationNotice" w:id="1">
    <w:p w14:paraId="328ECF38" w14:textId="77777777" w:rsidR="00311732" w:rsidRPr="00AC3823" w:rsidRDefault="00311732">
      <w:pPr>
        <w:spacing w:line="240" w:lineRule="auto"/>
        <w:rPr>
          <w:sz w:val="2"/>
          <w:szCs w:val="2"/>
        </w:rPr>
      </w:pPr>
    </w:p>
  </w:footnote>
  <w:footnote w:id="2">
    <w:p w14:paraId="4EFC17AB" w14:textId="77777777" w:rsidR="00311732" w:rsidRPr="0060364C" w:rsidRDefault="00311732">
      <w:pPr>
        <w:pStyle w:val="Notedebasdepage"/>
      </w:pPr>
      <w:r>
        <w:rPr>
          <w:rStyle w:val="Appelnotedebasdep"/>
        </w:rPr>
        <w:tab/>
      </w:r>
      <w:r w:rsidRPr="0060364C">
        <w:rPr>
          <w:rStyle w:val="Appelnotedebasdep"/>
          <w:sz w:val="20"/>
          <w:vertAlign w:val="baseline"/>
        </w:rPr>
        <w:t>*</w:t>
      </w:r>
      <w:r>
        <w:rPr>
          <w:rStyle w:val="Appelnotedebasdep"/>
          <w:sz w:val="20"/>
          <w:vertAlign w:val="baseline"/>
        </w:rPr>
        <w:tab/>
      </w:r>
      <w:r w:rsidRPr="00DB47DF">
        <w:rPr>
          <w:lang w:val="fr-FR"/>
        </w:rPr>
        <w:t>La version originale du présent document n</w:t>
      </w:r>
      <w:r>
        <w:rPr>
          <w:lang w:val="fr-FR"/>
        </w:rPr>
        <w:t>’</w:t>
      </w:r>
      <w:r w:rsidRPr="00DB47DF">
        <w:rPr>
          <w:lang w:val="fr-FR"/>
        </w:rPr>
        <w:t>a pas été revue par les services d</w:t>
      </w:r>
      <w:r>
        <w:rPr>
          <w:lang w:val="fr-FR"/>
        </w:rPr>
        <w:t>’</w:t>
      </w:r>
      <w:r w:rsidRPr="00DB47DF">
        <w:rPr>
          <w:lang w:val="fr-FR"/>
        </w:rPr>
        <w:t>édition.</w:t>
      </w:r>
    </w:p>
  </w:footnote>
  <w:footnote w:id="3">
    <w:p w14:paraId="3824CBAB" w14:textId="77777777" w:rsidR="00311732" w:rsidRPr="00311732" w:rsidRDefault="00311732">
      <w:pPr>
        <w:pStyle w:val="Notedebasdepage"/>
        <w:rPr>
          <w:lang w:val="es-ES"/>
        </w:rPr>
      </w:pPr>
      <w:r>
        <w:tab/>
      </w:r>
      <w:r>
        <w:rPr>
          <w:rStyle w:val="Appelnotedebasdep"/>
        </w:rPr>
        <w:footnoteRef/>
      </w:r>
      <w:r w:rsidRPr="00311732">
        <w:rPr>
          <w:lang w:val="es-ES"/>
        </w:rPr>
        <w:tab/>
      </w:r>
      <w:r w:rsidRPr="009B0759">
        <w:rPr>
          <w:lang w:val="es-ES"/>
        </w:rPr>
        <w:t>JO n</w:t>
      </w:r>
      <w:r w:rsidRPr="009B0759">
        <w:rPr>
          <w:vertAlign w:val="superscript"/>
          <w:lang w:val="es-ES"/>
        </w:rPr>
        <w:t>o</w:t>
      </w:r>
      <w:r w:rsidRPr="009B0759">
        <w:rPr>
          <w:lang w:val="es-ES"/>
        </w:rPr>
        <w:t> 148/2013.</w:t>
      </w:r>
    </w:p>
  </w:footnote>
  <w:footnote w:id="4">
    <w:p w14:paraId="76A64313" w14:textId="77777777" w:rsidR="00311732" w:rsidRPr="009B0759" w:rsidRDefault="00311732" w:rsidP="003C48D6">
      <w:pPr>
        <w:pStyle w:val="Notedebasdepage"/>
        <w:rPr>
          <w:lang w:val="es-ES"/>
        </w:rPr>
      </w:pPr>
      <w:r w:rsidRPr="009B0759">
        <w:rPr>
          <w:rFonts w:eastAsia="StobiSerifRegular"/>
          <w:lang w:val="es-ES"/>
        </w:rPr>
        <w:tab/>
      </w:r>
      <w:r w:rsidRPr="002A465A">
        <w:rPr>
          <w:rStyle w:val="Appelnotedebasdep"/>
        </w:rPr>
        <w:footnoteRef/>
      </w:r>
      <w:r w:rsidRPr="009B0759">
        <w:rPr>
          <w:lang w:val="es-ES"/>
        </w:rPr>
        <w:tab/>
        <w:t>JO n</w:t>
      </w:r>
      <w:r w:rsidRPr="009B0759">
        <w:rPr>
          <w:vertAlign w:val="superscript"/>
          <w:lang w:val="es-ES"/>
        </w:rPr>
        <w:t>o</w:t>
      </w:r>
      <w:r>
        <w:rPr>
          <w:vertAlign w:val="superscript"/>
          <w:lang w:val="es-ES"/>
        </w:rPr>
        <w:t>s</w:t>
      </w:r>
      <w:r w:rsidRPr="009B0759">
        <w:rPr>
          <w:lang w:val="es-ES"/>
        </w:rPr>
        <w:t> 80/92, 9/96, 38/04, 33/06, 84/08, 67/10, 156/10, 39/12, 44/12, 38/14, 115/14, 104/15 et 150/15.</w:t>
      </w:r>
    </w:p>
  </w:footnote>
  <w:footnote w:id="5">
    <w:p w14:paraId="63681594" w14:textId="77777777" w:rsidR="00311732" w:rsidRPr="009B0759" w:rsidRDefault="00311732" w:rsidP="003C48D6">
      <w:pPr>
        <w:pStyle w:val="Notedebasdepage"/>
        <w:rPr>
          <w:lang w:val="es-ES"/>
        </w:rPr>
      </w:pPr>
      <w:r w:rsidRPr="009B0759">
        <w:rPr>
          <w:lang w:val="es-ES"/>
        </w:rPr>
        <w:tab/>
      </w:r>
      <w:r w:rsidRPr="002A465A">
        <w:rPr>
          <w:rStyle w:val="Appelnotedebasdep"/>
        </w:rPr>
        <w:footnoteRef/>
      </w:r>
      <w:r w:rsidRPr="009B0759">
        <w:rPr>
          <w:lang w:val="es-ES"/>
        </w:rPr>
        <w:tab/>
        <w:t>JO n</w:t>
      </w:r>
      <w:r w:rsidRPr="009B0759">
        <w:rPr>
          <w:vertAlign w:val="superscript"/>
          <w:lang w:val="es-ES"/>
        </w:rPr>
        <w:t>o</w:t>
      </w:r>
      <w:r w:rsidRPr="009B0759">
        <w:rPr>
          <w:lang w:val="es-ES"/>
        </w:rPr>
        <w:t> 148/13.</w:t>
      </w:r>
    </w:p>
  </w:footnote>
  <w:footnote w:id="6">
    <w:p w14:paraId="2B10BB57" w14:textId="77777777" w:rsidR="00311732" w:rsidRPr="00C6644F" w:rsidRDefault="00311732" w:rsidP="003C48D6">
      <w:pPr>
        <w:pStyle w:val="Notedebasdepage"/>
        <w:rPr>
          <w:lang w:val="es-ES"/>
        </w:rPr>
      </w:pPr>
      <w:r w:rsidRPr="009B0759">
        <w:rPr>
          <w:lang w:val="es-ES"/>
        </w:rPr>
        <w:tab/>
      </w:r>
      <w:r w:rsidRPr="002A465A">
        <w:rPr>
          <w:rStyle w:val="Appelnotedebasdep"/>
        </w:rPr>
        <w:footnoteRef/>
      </w:r>
      <w:r w:rsidRPr="00C6644F">
        <w:rPr>
          <w:lang w:val="es-ES"/>
        </w:rPr>
        <w:tab/>
        <w:t>JO n</w:t>
      </w:r>
      <w:r w:rsidRPr="00C6644F">
        <w:rPr>
          <w:vertAlign w:val="superscript"/>
          <w:lang w:val="es-ES"/>
        </w:rPr>
        <w:t>o</w:t>
      </w:r>
      <w:r w:rsidRPr="00C6644F">
        <w:rPr>
          <w:lang w:val="es-ES"/>
        </w:rPr>
        <w:t> 23/13.</w:t>
      </w:r>
    </w:p>
  </w:footnote>
  <w:footnote w:id="7">
    <w:p w14:paraId="3BEFB3A6" w14:textId="77777777" w:rsidR="00311732" w:rsidRPr="00C6644F" w:rsidRDefault="00311732" w:rsidP="003C48D6">
      <w:pPr>
        <w:pStyle w:val="Notedebasdepage"/>
        <w:rPr>
          <w:lang w:val="es-ES"/>
        </w:rPr>
      </w:pPr>
      <w:r w:rsidRPr="00C6644F">
        <w:rPr>
          <w:lang w:val="es-ES"/>
        </w:rPr>
        <w:tab/>
      </w:r>
      <w:r w:rsidRPr="002A465A">
        <w:rPr>
          <w:rStyle w:val="Appelnotedebasdep"/>
        </w:rPr>
        <w:footnoteRef/>
      </w:r>
      <w:r w:rsidRPr="00C6644F">
        <w:rPr>
          <w:lang w:val="es-ES"/>
        </w:rPr>
        <w:tab/>
        <w:t xml:space="preserve">La </w:t>
      </w:r>
      <w:proofErr w:type="spellStart"/>
      <w:r w:rsidRPr="00C6644F">
        <w:rPr>
          <w:lang w:val="es-ES"/>
        </w:rPr>
        <w:t>loi</w:t>
      </w:r>
      <w:proofErr w:type="spellEnd"/>
      <w:r w:rsidRPr="00C6644F">
        <w:rPr>
          <w:lang w:val="es-ES"/>
        </w:rPr>
        <w:t xml:space="preserve"> </w:t>
      </w:r>
      <w:proofErr w:type="spellStart"/>
      <w:r w:rsidRPr="00C6644F">
        <w:rPr>
          <w:lang w:val="es-ES"/>
        </w:rPr>
        <w:t>n’est</w:t>
      </w:r>
      <w:proofErr w:type="spellEnd"/>
      <w:r w:rsidRPr="00C6644F">
        <w:rPr>
          <w:lang w:val="es-ES"/>
        </w:rPr>
        <w:t xml:space="preserve"> </w:t>
      </w:r>
      <w:proofErr w:type="spellStart"/>
      <w:r w:rsidRPr="00C6644F">
        <w:rPr>
          <w:lang w:val="es-ES"/>
        </w:rPr>
        <w:t>pas</w:t>
      </w:r>
      <w:proofErr w:type="spellEnd"/>
      <w:r w:rsidRPr="00C6644F">
        <w:rPr>
          <w:lang w:val="es-ES"/>
        </w:rPr>
        <w:t xml:space="preserve"> en </w:t>
      </w:r>
      <w:proofErr w:type="spellStart"/>
      <w:r w:rsidRPr="00C6644F">
        <w:rPr>
          <w:lang w:val="es-ES"/>
        </w:rPr>
        <w:t>vigueur</w:t>
      </w:r>
      <w:proofErr w:type="spellEnd"/>
      <w:r w:rsidRPr="00C6644F">
        <w:rPr>
          <w:lang w:val="es-ES"/>
        </w:rPr>
        <w:t>.</w:t>
      </w:r>
    </w:p>
  </w:footnote>
  <w:footnote w:id="8">
    <w:p w14:paraId="75CBC63C" w14:textId="77777777" w:rsidR="00311732" w:rsidRPr="009B0759" w:rsidRDefault="00311732" w:rsidP="003C48D6">
      <w:pPr>
        <w:pStyle w:val="Notedebasdepage"/>
        <w:rPr>
          <w:rFonts w:eastAsia="StobiSerifRegular"/>
          <w:lang w:val="es-ES"/>
        </w:rPr>
      </w:pPr>
      <w:r w:rsidRPr="00C6644F">
        <w:rPr>
          <w:bCs/>
          <w:lang w:val="es-ES"/>
        </w:rPr>
        <w:tab/>
      </w:r>
      <w:r w:rsidRPr="002A465A">
        <w:rPr>
          <w:rStyle w:val="Appelnotedebasdep"/>
        </w:rPr>
        <w:footnoteRef/>
      </w:r>
      <w:r w:rsidRPr="009B0759">
        <w:rPr>
          <w:lang w:val="es-ES"/>
        </w:rPr>
        <w:tab/>
        <w:t>JO n</w:t>
      </w:r>
      <w:r w:rsidRPr="009B0759">
        <w:rPr>
          <w:vertAlign w:val="superscript"/>
          <w:lang w:val="es-ES"/>
        </w:rPr>
        <w:t>os</w:t>
      </w:r>
      <w:r w:rsidRPr="009B0759">
        <w:rPr>
          <w:lang w:val="es-ES"/>
        </w:rPr>
        <w:t> 52/1991, 1/1992, 31/1998, 91/2001, 84/2003, 107/2005.</w:t>
      </w:r>
    </w:p>
  </w:footnote>
  <w:footnote w:id="9">
    <w:p w14:paraId="2580F152" w14:textId="77777777" w:rsidR="00311732" w:rsidRPr="009B0759" w:rsidRDefault="00311732" w:rsidP="003C48D6">
      <w:pPr>
        <w:pStyle w:val="Notedebasdepage"/>
        <w:rPr>
          <w:lang w:val="es-ES"/>
        </w:rPr>
      </w:pPr>
      <w:r w:rsidRPr="009B0759">
        <w:rPr>
          <w:lang w:val="es-ES"/>
        </w:rPr>
        <w:tab/>
      </w:r>
      <w:r w:rsidRPr="002A465A">
        <w:rPr>
          <w:rStyle w:val="Appelnotedebasdep"/>
        </w:rPr>
        <w:footnoteRef/>
      </w:r>
      <w:r w:rsidRPr="009B0759">
        <w:rPr>
          <w:lang w:val="es-ES"/>
        </w:rPr>
        <w:tab/>
        <w:t>JO n</w:t>
      </w:r>
      <w:r w:rsidRPr="009B0759">
        <w:rPr>
          <w:vertAlign w:val="superscript"/>
          <w:lang w:val="es-ES"/>
        </w:rPr>
        <w:t>o</w:t>
      </w:r>
      <w:r w:rsidRPr="009B0759">
        <w:rPr>
          <w:lang w:val="es-ES"/>
        </w:rPr>
        <w:t> 148/13.</w:t>
      </w:r>
    </w:p>
  </w:footnote>
  <w:footnote w:id="10">
    <w:p w14:paraId="5EB6A4A3" w14:textId="77777777" w:rsidR="00311732" w:rsidRPr="00C6644F" w:rsidRDefault="00311732" w:rsidP="003C48D6">
      <w:pPr>
        <w:pStyle w:val="Notedebasdepage"/>
      </w:pPr>
      <w:r w:rsidRPr="009B0759">
        <w:rPr>
          <w:lang w:val="es-ES"/>
        </w:rPr>
        <w:tab/>
      </w:r>
      <w:r w:rsidRPr="002A465A">
        <w:rPr>
          <w:rStyle w:val="Appelnotedebasdep"/>
        </w:rPr>
        <w:footnoteRef/>
      </w:r>
      <w:r w:rsidRPr="00C6644F">
        <w:tab/>
        <w:t>JO n</w:t>
      </w:r>
      <w:r w:rsidRPr="00C6644F">
        <w:rPr>
          <w:vertAlign w:val="superscript"/>
        </w:rPr>
        <w:t>o</w:t>
      </w:r>
      <w:r w:rsidRPr="00C6644F">
        <w:t> 23/13.</w:t>
      </w:r>
    </w:p>
  </w:footnote>
  <w:footnote w:id="11">
    <w:p w14:paraId="1FD6F6DB" w14:textId="77777777" w:rsidR="00311732" w:rsidRPr="00DB47DF" w:rsidRDefault="00311732" w:rsidP="003C48D6">
      <w:pPr>
        <w:pStyle w:val="Notedebasdepage"/>
        <w:rPr>
          <w:lang w:val="fr-FR"/>
        </w:rPr>
      </w:pPr>
      <w:r w:rsidRPr="00C6644F">
        <w:tab/>
      </w:r>
      <w:r w:rsidRPr="002A465A">
        <w:rPr>
          <w:rStyle w:val="Appelnotedebasdep"/>
        </w:rPr>
        <w:footnoteRef/>
      </w:r>
      <w:r w:rsidRPr="00DB47DF">
        <w:rPr>
          <w:lang w:val="fr-FR"/>
        </w:rPr>
        <w:tab/>
        <w:t>Cet organe est dirigé par le Ministère du travail et de la politique sociale et est composé de représentants de tous les ministères concernés, d</w:t>
      </w:r>
      <w:r>
        <w:rPr>
          <w:lang w:val="fr-FR"/>
        </w:rPr>
        <w:t>’</w:t>
      </w:r>
      <w:r w:rsidRPr="00DB47DF">
        <w:rPr>
          <w:lang w:val="fr-FR"/>
        </w:rPr>
        <w:t>organisations de la société civile et d</w:t>
      </w:r>
      <w:r>
        <w:rPr>
          <w:lang w:val="fr-FR"/>
        </w:rPr>
        <w:t>’</w:t>
      </w:r>
      <w:r w:rsidRPr="00DB47DF">
        <w:rPr>
          <w:lang w:val="fr-FR"/>
        </w:rPr>
        <w:t>organisations internationales.</w:t>
      </w:r>
    </w:p>
  </w:footnote>
  <w:footnote w:id="12">
    <w:p w14:paraId="14C8E9C8"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 xml:space="preserve">Des équipes intersectorielles pour la protection des enfants contre la maltraitance et la négligence ont été installées dans les villes de Skopje, Gostivar, </w:t>
      </w:r>
      <w:proofErr w:type="spellStart"/>
      <w:r w:rsidRPr="00DB47DF">
        <w:rPr>
          <w:lang w:val="fr-FR"/>
        </w:rPr>
        <w:t>Stip</w:t>
      </w:r>
      <w:proofErr w:type="spellEnd"/>
      <w:r w:rsidRPr="00DB47DF">
        <w:rPr>
          <w:lang w:val="fr-FR"/>
        </w:rPr>
        <w:t>, Bitola, Kumanovo, Veles, Gevgelija et Ohrid.</w:t>
      </w:r>
    </w:p>
  </w:footnote>
  <w:footnote w:id="13">
    <w:p w14:paraId="7ABD564C"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Institut pour la protection sociale.</w:t>
      </w:r>
    </w:p>
  </w:footnote>
  <w:footnote w:id="14">
    <w:p w14:paraId="4CA4AE19" w14:textId="77777777" w:rsidR="00311732" w:rsidRPr="00C3638F" w:rsidRDefault="00311732" w:rsidP="003C48D6">
      <w:pPr>
        <w:pStyle w:val="Notedebasdepage"/>
        <w:rPr>
          <w:lang w:val="es-ES"/>
        </w:rPr>
      </w:pPr>
      <w:r w:rsidRPr="00DB47DF">
        <w:rPr>
          <w:lang w:val="fr-FR"/>
        </w:rPr>
        <w:tab/>
      </w:r>
      <w:r w:rsidRPr="002A465A">
        <w:rPr>
          <w:rStyle w:val="Appelnotedebasdep"/>
        </w:rPr>
        <w:footnoteRef/>
      </w:r>
      <w:r w:rsidRPr="00C3638F">
        <w:rPr>
          <w:lang w:val="es-ES"/>
        </w:rPr>
        <w:t xml:space="preserve"> </w:t>
      </w:r>
      <w:r w:rsidRPr="00C3638F">
        <w:rPr>
          <w:lang w:val="es-ES"/>
        </w:rPr>
        <w:tab/>
        <w:t>JO n</w:t>
      </w:r>
      <w:r w:rsidRPr="00553C2A">
        <w:rPr>
          <w:vertAlign w:val="superscript"/>
          <w:lang w:val="es-ES"/>
        </w:rPr>
        <w:t>o</w:t>
      </w:r>
      <w:r>
        <w:rPr>
          <w:lang w:val="es-ES"/>
        </w:rPr>
        <w:t> </w:t>
      </w:r>
      <w:r w:rsidRPr="00C3638F">
        <w:rPr>
          <w:lang w:val="es-ES"/>
        </w:rPr>
        <w:t>135/2010.</w:t>
      </w:r>
    </w:p>
  </w:footnote>
  <w:footnote w:id="15">
    <w:p w14:paraId="64B7E519" w14:textId="77777777" w:rsidR="00311732" w:rsidRPr="00C3638F" w:rsidRDefault="00311732" w:rsidP="003C48D6">
      <w:pPr>
        <w:pStyle w:val="Notedebasdepage"/>
        <w:rPr>
          <w:lang w:val="es-ES"/>
        </w:rPr>
      </w:pPr>
      <w:r w:rsidRPr="00C3638F">
        <w:rPr>
          <w:lang w:val="es-ES"/>
        </w:rPr>
        <w:tab/>
      </w:r>
      <w:r w:rsidRPr="002A465A">
        <w:rPr>
          <w:rStyle w:val="Appelnotedebasdep"/>
        </w:rPr>
        <w:footnoteRef/>
      </w:r>
      <w:r w:rsidRPr="00C3638F">
        <w:rPr>
          <w:lang w:val="es-ES"/>
        </w:rPr>
        <w:tab/>
        <w:t>JO n</w:t>
      </w:r>
      <w:r w:rsidRPr="009F0050">
        <w:rPr>
          <w:vertAlign w:val="superscript"/>
          <w:lang w:val="es-ES"/>
        </w:rPr>
        <w:t>o</w:t>
      </w:r>
      <w:r>
        <w:rPr>
          <w:lang w:val="es-ES"/>
        </w:rPr>
        <w:t> </w:t>
      </w:r>
      <w:r w:rsidRPr="00C3638F">
        <w:rPr>
          <w:lang w:val="es-ES"/>
        </w:rPr>
        <w:t>148/2013.</w:t>
      </w:r>
    </w:p>
  </w:footnote>
  <w:footnote w:id="16">
    <w:p w14:paraId="7DDCDF1F" w14:textId="77777777" w:rsidR="00311732" w:rsidRPr="00C3638F" w:rsidRDefault="00311732" w:rsidP="003C48D6">
      <w:pPr>
        <w:pStyle w:val="Notedebasdepage"/>
        <w:rPr>
          <w:lang w:val="es-ES"/>
        </w:rPr>
      </w:pPr>
      <w:r w:rsidRPr="00C3638F">
        <w:rPr>
          <w:lang w:val="es-ES"/>
        </w:rPr>
        <w:tab/>
      </w:r>
      <w:r w:rsidRPr="002A465A">
        <w:rPr>
          <w:rStyle w:val="Appelnotedebasdep"/>
        </w:rPr>
        <w:footnoteRef/>
      </w:r>
      <w:r w:rsidRPr="00C3638F">
        <w:rPr>
          <w:lang w:val="es-ES"/>
        </w:rPr>
        <w:tab/>
        <w:t>JO n</w:t>
      </w:r>
      <w:r w:rsidRPr="0076014B">
        <w:rPr>
          <w:vertAlign w:val="superscript"/>
          <w:lang w:val="es-ES"/>
        </w:rPr>
        <w:t>o</w:t>
      </w:r>
      <w:r>
        <w:rPr>
          <w:lang w:val="es-ES"/>
        </w:rPr>
        <w:t> </w:t>
      </w:r>
      <w:r w:rsidRPr="00C3638F">
        <w:rPr>
          <w:lang w:val="es-ES"/>
        </w:rPr>
        <w:t>25/15.</w:t>
      </w:r>
    </w:p>
  </w:footnote>
  <w:footnote w:id="17">
    <w:p w14:paraId="1D68AFCF" w14:textId="77777777" w:rsidR="00311732" w:rsidRPr="00C3638F" w:rsidRDefault="00311732" w:rsidP="003C48D6">
      <w:pPr>
        <w:pStyle w:val="Notedebasdepage"/>
        <w:rPr>
          <w:lang w:val="es-ES"/>
        </w:rPr>
      </w:pPr>
      <w:r w:rsidRPr="00C3638F">
        <w:rPr>
          <w:lang w:val="es-ES"/>
        </w:rPr>
        <w:tab/>
      </w:r>
      <w:r w:rsidRPr="002A465A">
        <w:rPr>
          <w:rStyle w:val="Appelnotedebasdep"/>
        </w:rPr>
        <w:footnoteRef/>
      </w:r>
      <w:r w:rsidRPr="00C3638F">
        <w:rPr>
          <w:lang w:val="es-ES"/>
        </w:rPr>
        <w:tab/>
        <w:t xml:space="preserve">JO </w:t>
      </w:r>
      <w:r w:rsidR="00936A52" w:rsidRPr="00C3638F">
        <w:rPr>
          <w:lang w:val="es-ES"/>
        </w:rPr>
        <w:t>n</w:t>
      </w:r>
      <w:r w:rsidR="00936A52" w:rsidRPr="0076014B">
        <w:rPr>
          <w:vertAlign w:val="superscript"/>
          <w:lang w:val="es-ES"/>
        </w:rPr>
        <w:t>o</w:t>
      </w:r>
      <w:r w:rsidR="00936A52">
        <w:rPr>
          <w:lang w:val="es-ES"/>
        </w:rPr>
        <w:t> </w:t>
      </w:r>
      <w:r w:rsidRPr="00C3638F">
        <w:rPr>
          <w:lang w:val="es-ES"/>
        </w:rPr>
        <w:t>71/15.</w:t>
      </w:r>
    </w:p>
  </w:footnote>
  <w:footnote w:id="18">
    <w:p w14:paraId="542D624D" w14:textId="77777777" w:rsidR="00311732" w:rsidRPr="00E359F3" w:rsidRDefault="00311732" w:rsidP="003C48D6">
      <w:pPr>
        <w:pStyle w:val="Notedebasdepage"/>
        <w:rPr>
          <w:lang w:val="es-ES"/>
        </w:rPr>
      </w:pPr>
      <w:r w:rsidRPr="00C3638F">
        <w:rPr>
          <w:lang w:val="es-ES"/>
        </w:rPr>
        <w:tab/>
      </w:r>
      <w:r w:rsidRPr="002A465A">
        <w:rPr>
          <w:rStyle w:val="Appelnotedebasdep"/>
        </w:rPr>
        <w:footnoteRef/>
      </w:r>
      <w:r w:rsidRPr="00E359F3">
        <w:rPr>
          <w:lang w:val="es-ES"/>
        </w:rPr>
        <w:tab/>
        <w:t xml:space="preserve">JO </w:t>
      </w:r>
      <w:r w:rsidR="00936A52" w:rsidRPr="00C3638F">
        <w:rPr>
          <w:lang w:val="es-ES"/>
        </w:rPr>
        <w:t>n</w:t>
      </w:r>
      <w:r w:rsidR="00936A52" w:rsidRPr="0076014B">
        <w:rPr>
          <w:vertAlign w:val="superscript"/>
          <w:lang w:val="es-ES"/>
        </w:rPr>
        <w:t>o</w:t>
      </w:r>
      <w:r w:rsidR="00936A52">
        <w:rPr>
          <w:lang w:val="es-ES"/>
        </w:rPr>
        <w:t> </w:t>
      </w:r>
      <w:r w:rsidRPr="00E359F3">
        <w:rPr>
          <w:lang w:val="es-ES"/>
        </w:rPr>
        <w:t>48/18.</w:t>
      </w:r>
    </w:p>
  </w:footnote>
  <w:footnote w:id="19">
    <w:p w14:paraId="6C211676" w14:textId="77777777" w:rsidR="00311732" w:rsidRPr="00E359F3" w:rsidRDefault="00311732" w:rsidP="003C48D6">
      <w:pPr>
        <w:pStyle w:val="Notedebasdepage"/>
        <w:rPr>
          <w:lang w:val="es-ES"/>
        </w:rPr>
      </w:pPr>
      <w:r w:rsidRPr="00E359F3">
        <w:rPr>
          <w:lang w:val="es-ES"/>
        </w:rPr>
        <w:tab/>
      </w:r>
      <w:r w:rsidRPr="002A465A">
        <w:rPr>
          <w:rStyle w:val="Appelnotedebasdep"/>
        </w:rPr>
        <w:footnoteRef/>
      </w:r>
      <w:r w:rsidRPr="00E359F3">
        <w:rPr>
          <w:lang w:val="es-ES"/>
        </w:rPr>
        <w:tab/>
        <w:t xml:space="preserve">JO </w:t>
      </w:r>
      <w:r w:rsidR="00936A52" w:rsidRPr="00C3638F">
        <w:rPr>
          <w:lang w:val="es-ES"/>
        </w:rPr>
        <w:t>n</w:t>
      </w:r>
      <w:r w:rsidR="00936A52" w:rsidRPr="0076014B">
        <w:rPr>
          <w:vertAlign w:val="superscript"/>
          <w:lang w:val="es-ES"/>
        </w:rPr>
        <w:t>o</w:t>
      </w:r>
      <w:r w:rsidR="00936A52">
        <w:rPr>
          <w:lang w:val="es-ES"/>
        </w:rPr>
        <w:t> </w:t>
      </w:r>
      <w:r w:rsidRPr="00E359F3">
        <w:rPr>
          <w:lang w:val="es-ES"/>
        </w:rPr>
        <w:t>46/14.</w:t>
      </w:r>
    </w:p>
  </w:footnote>
  <w:footnote w:id="20">
    <w:p w14:paraId="4C679BB0" w14:textId="77777777" w:rsidR="00311732" w:rsidRPr="00E359F3" w:rsidRDefault="00311732" w:rsidP="003C48D6">
      <w:pPr>
        <w:pStyle w:val="Notedebasdepage"/>
        <w:rPr>
          <w:lang w:val="es-ES"/>
        </w:rPr>
      </w:pPr>
      <w:r w:rsidRPr="00E359F3">
        <w:rPr>
          <w:lang w:val="es-ES"/>
        </w:rPr>
        <w:tab/>
      </w:r>
      <w:r w:rsidRPr="002A465A">
        <w:rPr>
          <w:rStyle w:val="Appelnotedebasdep"/>
        </w:rPr>
        <w:footnoteRef/>
      </w:r>
      <w:r w:rsidRPr="00E359F3">
        <w:rPr>
          <w:lang w:val="es-ES"/>
        </w:rPr>
        <w:tab/>
        <w:t xml:space="preserve">JO </w:t>
      </w:r>
      <w:r w:rsidR="00936A52" w:rsidRPr="00C3638F">
        <w:rPr>
          <w:lang w:val="es-ES"/>
        </w:rPr>
        <w:t>n</w:t>
      </w:r>
      <w:r w:rsidR="00936A52" w:rsidRPr="0076014B">
        <w:rPr>
          <w:vertAlign w:val="superscript"/>
          <w:lang w:val="es-ES"/>
        </w:rPr>
        <w:t>o</w:t>
      </w:r>
      <w:r w:rsidR="00936A52">
        <w:rPr>
          <w:lang w:val="es-ES"/>
        </w:rPr>
        <w:t> </w:t>
      </w:r>
      <w:r w:rsidRPr="00E359F3">
        <w:rPr>
          <w:lang w:val="es-ES"/>
        </w:rPr>
        <w:t>98/14.</w:t>
      </w:r>
    </w:p>
  </w:footnote>
  <w:footnote w:id="21">
    <w:p w14:paraId="3DCC7B4A" w14:textId="77777777" w:rsidR="00311732" w:rsidRPr="00B0341D" w:rsidRDefault="00311732" w:rsidP="003C48D6">
      <w:pPr>
        <w:pStyle w:val="Notedebasdepage"/>
        <w:rPr>
          <w:lang w:val="es-ES"/>
        </w:rPr>
      </w:pPr>
      <w:r w:rsidRPr="00E359F3">
        <w:rPr>
          <w:lang w:val="es-ES"/>
        </w:rPr>
        <w:tab/>
      </w:r>
      <w:r w:rsidRPr="002A465A">
        <w:rPr>
          <w:rStyle w:val="Appelnotedebasdep"/>
        </w:rPr>
        <w:footnoteRef/>
      </w:r>
      <w:r w:rsidRPr="00B0341D">
        <w:rPr>
          <w:lang w:val="es-ES"/>
        </w:rPr>
        <w:tab/>
        <w:t xml:space="preserve">JO </w:t>
      </w:r>
      <w:r w:rsidR="00936A52" w:rsidRPr="00C3638F">
        <w:rPr>
          <w:lang w:val="es-ES"/>
        </w:rPr>
        <w:t>n</w:t>
      </w:r>
      <w:r w:rsidR="00936A52" w:rsidRPr="0076014B">
        <w:rPr>
          <w:vertAlign w:val="superscript"/>
          <w:lang w:val="es-ES"/>
        </w:rPr>
        <w:t>o</w:t>
      </w:r>
      <w:r w:rsidR="00936A52">
        <w:rPr>
          <w:lang w:val="es-ES"/>
        </w:rPr>
        <w:t> </w:t>
      </w:r>
      <w:r w:rsidRPr="00B0341D">
        <w:rPr>
          <w:lang w:val="es-ES"/>
        </w:rPr>
        <w:t>62/13.</w:t>
      </w:r>
    </w:p>
  </w:footnote>
  <w:footnote w:id="22">
    <w:p w14:paraId="68A2A33E" w14:textId="77777777" w:rsidR="00311732" w:rsidRPr="00B0341D" w:rsidRDefault="00311732" w:rsidP="003C48D6">
      <w:pPr>
        <w:pStyle w:val="Notedebasdepage"/>
        <w:rPr>
          <w:lang w:val="es-ES"/>
        </w:rPr>
      </w:pPr>
      <w:r w:rsidRPr="00B0341D">
        <w:rPr>
          <w:lang w:val="es-ES"/>
        </w:rPr>
        <w:tab/>
      </w:r>
      <w:r w:rsidRPr="002A465A">
        <w:rPr>
          <w:rStyle w:val="Appelnotedebasdep"/>
        </w:rPr>
        <w:footnoteRef/>
      </w:r>
      <w:r w:rsidRPr="00B0341D">
        <w:rPr>
          <w:lang w:val="es-ES"/>
        </w:rPr>
        <w:tab/>
        <w:t xml:space="preserve">JO </w:t>
      </w:r>
      <w:r w:rsidR="008E2695" w:rsidRPr="00C3638F">
        <w:rPr>
          <w:lang w:val="es-ES"/>
        </w:rPr>
        <w:t>n</w:t>
      </w:r>
      <w:r w:rsidR="008E2695" w:rsidRPr="0076014B">
        <w:rPr>
          <w:vertAlign w:val="superscript"/>
          <w:lang w:val="es-ES"/>
        </w:rPr>
        <w:t>o</w:t>
      </w:r>
      <w:r w:rsidR="008E2695">
        <w:rPr>
          <w:lang w:val="es-ES"/>
        </w:rPr>
        <w:t> </w:t>
      </w:r>
      <w:r w:rsidRPr="00B0341D">
        <w:rPr>
          <w:lang w:val="es-ES"/>
        </w:rPr>
        <w:t>12/14.</w:t>
      </w:r>
    </w:p>
  </w:footnote>
  <w:footnote w:id="23">
    <w:p w14:paraId="425D67CD" w14:textId="77777777" w:rsidR="00311732" w:rsidRPr="00DB47DF" w:rsidRDefault="00311732" w:rsidP="003C48D6">
      <w:pPr>
        <w:pStyle w:val="Notedebasdepage"/>
        <w:rPr>
          <w:lang w:val="fr-FR"/>
        </w:rPr>
      </w:pPr>
      <w:r w:rsidRPr="00B0341D">
        <w:rPr>
          <w:lang w:val="es-ES"/>
        </w:rPr>
        <w:tab/>
      </w:r>
      <w:r w:rsidRPr="002A465A">
        <w:rPr>
          <w:rStyle w:val="Appelnotedebasdep"/>
        </w:rPr>
        <w:footnoteRef/>
      </w:r>
      <w:r w:rsidRPr="00DB47DF">
        <w:rPr>
          <w:lang w:val="fr-FR"/>
        </w:rPr>
        <w:tab/>
        <w:t>Source</w:t>
      </w:r>
      <w:r>
        <w:rPr>
          <w:lang w:val="fr-FR"/>
        </w:rPr>
        <w:t> </w:t>
      </w:r>
      <w:r w:rsidRPr="00DB47DF">
        <w:rPr>
          <w:lang w:val="fr-FR"/>
        </w:rPr>
        <w:t>: Ministère de la justice.</w:t>
      </w:r>
    </w:p>
  </w:footnote>
  <w:footnote w:id="24">
    <w:p w14:paraId="1463FAFE"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Ministère de la justice.</w:t>
      </w:r>
    </w:p>
  </w:footnote>
  <w:footnote w:id="25">
    <w:p w14:paraId="5AA09BBE"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Ministère du travail et de la politique sociale.</w:t>
      </w:r>
    </w:p>
  </w:footnote>
  <w:footnote w:id="26">
    <w:p w14:paraId="5E83AE13"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JO n</w:t>
      </w:r>
      <w:r w:rsidR="00B0341D" w:rsidRPr="00B0341D">
        <w:rPr>
          <w:vertAlign w:val="superscript"/>
          <w:lang w:val="fr-FR"/>
        </w:rPr>
        <w:t>o</w:t>
      </w:r>
      <w:r w:rsidR="00B0341D">
        <w:rPr>
          <w:lang w:val="fr-FR"/>
        </w:rPr>
        <w:t> </w:t>
      </w:r>
      <w:r w:rsidRPr="00DB47DF">
        <w:rPr>
          <w:lang w:val="fr-FR"/>
        </w:rPr>
        <w:t>115/14.</w:t>
      </w:r>
    </w:p>
  </w:footnote>
  <w:footnote w:id="27">
    <w:p w14:paraId="7CB9F7E0"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Ministère du travail et de la politique sociale.</w:t>
      </w:r>
    </w:p>
  </w:footnote>
  <w:footnote w:id="28">
    <w:p w14:paraId="05673893"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JO n</w:t>
      </w:r>
      <w:r w:rsidR="00204496" w:rsidRPr="00204496">
        <w:rPr>
          <w:vertAlign w:val="superscript"/>
          <w:lang w:val="fr-FR"/>
        </w:rPr>
        <w:t>o</w:t>
      </w:r>
      <w:r w:rsidR="00204496">
        <w:rPr>
          <w:lang w:val="fr-FR"/>
        </w:rPr>
        <w:t> </w:t>
      </w:r>
      <w:r w:rsidRPr="00DB47DF">
        <w:rPr>
          <w:lang w:val="fr-FR"/>
        </w:rPr>
        <w:t>10/15.</w:t>
      </w:r>
    </w:p>
  </w:footnote>
  <w:footnote w:id="29">
    <w:p w14:paraId="63F21DF7"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 xml:space="preserve">JO </w:t>
      </w:r>
      <w:proofErr w:type="spellStart"/>
      <w:r w:rsidRPr="00DB47DF">
        <w:rPr>
          <w:lang w:val="fr-FR"/>
        </w:rPr>
        <w:t>n</w:t>
      </w:r>
      <w:r w:rsidR="00502025" w:rsidRPr="00502025">
        <w:rPr>
          <w:vertAlign w:val="superscript"/>
          <w:lang w:val="fr-FR"/>
        </w:rPr>
        <w:t>os</w:t>
      </w:r>
      <w:proofErr w:type="spellEnd"/>
      <w:r w:rsidR="00502025">
        <w:rPr>
          <w:lang w:val="fr-FR"/>
        </w:rPr>
        <w:t> </w:t>
      </w:r>
      <w:r w:rsidRPr="00DB47DF">
        <w:rPr>
          <w:lang w:val="fr-FR"/>
        </w:rPr>
        <w:t>43/12, 145/12, 65/13, 87/13, 164/13, 39/14, 43/14, 69/12,</w:t>
      </w:r>
      <w:r>
        <w:rPr>
          <w:lang w:val="fr-FR"/>
        </w:rPr>
        <w:t xml:space="preserve"> </w:t>
      </w:r>
      <w:r w:rsidRPr="00DB47DF">
        <w:rPr>
          <w:lang w:val="fr-FR"/>
        </w:rPr>
        <w:t>101/14, 132/14, 188/14, 10/15, 61/15, 154/15, 192/15.</w:t>
      </w:r>
    </w:p>
  </w:footnote>
  <w:footnote w:id="30">
    <w:p w14:paraId="5A748045"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Institut pour la santé maternelle et infantile, IHMC, 2016.</w:t>
      </w:r>
    </w:p>
  </w:footnote>
  <w:footnote w:id="31">
    <w:p w14:paraId="4269B45A"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2013</w:t>
      </w:r>
      <w:r w:rsidR="00D701E3">
        <w:rPr>
          <w:lang w:val="fr-FR"/>
        </w:rPr>
        <w:t>-</w:t>
      </w:r>
      <w:r w:rsidRPr="00DB47DF">
        <w:rPr>
          <w:lang w:val="fr-FR"/>
        </w:rPr>
        <w:t>2016, Centre national de santé de la procréation, résultats en périnatalogie.</w:t>
      </w:r>
    </w:p>
  </w:footnote>
  <w:footnote w:id="32">
    <w:p w14:paraId="6C38C000"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xml:space="preserve">: PHI, Institut national de la santé publique, </w:t>
      </w:r>
      <w:r w:rsidR="009F1630" w:rsidRPr="00DB47DF">
        <w:rPr>
          <w:lang w:val="fr-FR"/>
        </w:rPr>
        <w:t xml:space="preserve">Centre </w:t>
      </w:r>
      <w:r w:rsidR="009F1630" w:rsidRPr="00DB47DF">
        <w:rPr>
          <w:lang w:val="fr-FR"/>
        </w:rPr>
        <w:t>de santé</w:t>
      </w:r>
      <w:r w:rsidR="00AF6536">
        <w:rPr>
          <w:lang w:val="fr-FR"/>
        </w:rPr>
        <w:t xml:space="preserve"> de</w:t>
      </w:r>
      <w:r w:rsidR="009F1630" w:rsidRPr="00DB47DF">
        <w:rPr>
          <w:lang w:val="fr-FR"/>
        </w:rPr>
        <w:t xml:space="preserve"> </w:t>
      </w:r>
      <w:r w:rsidRPr="00DB47DF">
        <w:rPr>
          <w:lang w:val="fr-FR"/>
        </w:rPr>
        <w:t xml:space="preserve">Skopje. </w:t>
      </w:r>
    </w:p>
  </w:footnote>
  <w:footnote w:id="33">
    <w:p w14:paraId="582AC200"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IHMC, (Institut pour la santé maternelle et infantile)</w:t>
      </w:r>
      <w:r w:rsidR="009F1630">
        <w:rPr>
          <w:lang w:val="fr-FR"/>
        </w:rPr>
        <w:t xml:space="preserve">, </w:t>
      </w:r>
      <w:r w:rsidR="009F1630" w:rsidRPr="00DB47DF">
        <w:rPr>
          <w:lang w:val="fr-FR"/>
        </w:rPr>
        <w:t>Centre de santé</w:t>
      </w:r>
      <w:r w:rsidR="00AF6536">
        <w:rPr>
          <w:lang w:val="fr-FR"/>
        </w:rPr>
        <w:t xml:space="preserve"> de</w:t>
      </w:r>
      <w:r w:rsidR="009F1630" w:rsidRPr="00DB47DF">
        <w:rPr>
          <w:lang w:val="fr-FR"/>
        </w:rPr>
        <w:t xml:space="preserve"> Skopje</w:t>
      </w:r>
      <w:r w:rsidRPr="00DB47DF">
        <w:rPr>
          <w:lang w:val="fr-FR"/>
        </w:rPr>
        <w:t>.</w:t>
      </w:r>
    </w:p>
  </w:footnote>
  <w:footnote w:id="34">
    <w:p w14:paraId="7B615988"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xml:space="preserve">: Office national de statistique et Institut pour la santé maternelle et infantile, </w:t>
      </w:r>
      <w:r w:rsidR="009F1630" w:rsidRPr="00DB47DF">
        <w:rPr>
          <w:lang w:val="fr-FR"/>
        </w:rPr>
        <w:t>Centre de santé</w:t>
      </w:r>
      <w:r w:rsidR="00AF6536">
        <w:rPr>
          <w:lang w:val="fr-FR"/>
        </w:rPr>
        <w:t xml:space="preserve"> de</w:t>
      </w:r>
      <w:r w:rsidR="009F1630" w:rsidRPr="00DB47DF">
        <w:rPr>
          <w:lang w:val="fr-FR"/>
        </w:rPr>
        <w:t xml:space="preserve"> Skopje</w:t>
      </w:r>
      <w:r w:rsidRPr="00DB47DF">
        <w:rPr>
          <w:lang w:val="fr-FR"/>
        </w:rPr>
        <w:t xml:space="preserve">. </w:t>
      </w:r>
    </w:p>
  </w:footnote>
  <w:footnote w:id="35">
    <w:p w14:paraId="60B4A6F2"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Enquête par grappes à indicateurs multiples</w:t>
      </w:r>
      <w:r w:rsidR="00A83F73">
        <w:rPr>
          <w:lang w:val="fr-FR"/>
        </w:rPr>
        <w:t>,</w:t>
      </w:r>
      <w:r w:rsidRPr="00DB47DF">
        <w:rPr>
          <w:lang w:val="fr-FR"/>
        </w:rPr>
        <w:t xml:space="preserve"> 2011.</w:t>
      </w:r>
    </w:p>
  </w:footnote>
  <w:footnote w:id="36">
    <w:p w14:paraId="0D758B87"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xml:space="preserve">: Office national de statistique </w:t>
      </w:r>
      <w:r w:rsidR="00A83F73">
        <w:rPr>
          <w:lang w:val="fr-FR"/>
        </w:rPr>
        <w:t>−</w:t>
      </w:r>
      <w:r w:rsidRPr="00DB47DF">
        <w:rPr>
          <w:lang w:val="fr-FR"/>
        </w:rPr>
        <w:t xml:space="preserve"> Publications n</w:t>
      </w:r>
      <w:r w:rsidR="00A83F73" w:rsidRPr="00A83F73">
        <w:rPr>
          <w:vertAlign w:val="superscript"/>
          <w:lang w:val="fr-FR"/>
        </w:rPr>
        <w:t>os</w:t>
      </w:r>
      <w:r w:rsidR="00A83F73">
        <w:rPr>
          <w:lang w:val="fr-FR"/>
        </w:rPr>
        <w:t> </w:t>
      </w:r>
      <w:r w:rsidRPr="00DB47DF">
        <w:rPr>
          <w:lang w:val="fr-FR"/>
        </w:rPr>
        <w:t>2, 4, 16, 10/856, juillet 2016.</w:t>
      </w:r>
    </w:p>
  </w:footnote>
  <w:footnote w:id="37">
    <w:p w14:paraId="717665F3"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Office national de statistique et Institut pour la santé maternelle et infantile, Centre de santé de Skopje.</w:t>
      </w:r>
    </w:p>
  </w:footnote>
  <w:footnote w:id="38">
    <w:p w14:paraId="6632060C"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 des tableaux 7, 8, 9, 10 et 11</w:t>
      </w:r>
      <w:r>
        <w:rPr>
          <w:lang w:val="fr-FR"/>
        </w:rPr>
        <w:t> </w:t>
      </w:r>
      <w:r w:rsidRPr="00DB47DF">
        <w:rPr>
          <w:lang w:val="fr-FR"/>
        </w:rPr>
        <w:t>: Office national de statistique et Institut pour la santé maternelle et infantile, Centre de santé de Skopje.</w:t>
      </w:r>
    </w:p>
  </w:footnote>
  <w:footnote w:id="39">
    <w:p w14:paraId="281EF46B"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JO n</w:t>
      </w:r>
      <w:r w:rsidR="00E52294" w:rsidRPr="00E52294">
        <w:rPr>
          <w:vertAlign w:val="superscript"/>
          <w:lang w:val="fr-FR"/>
        </w:rPr>
        <w:t>o</w:t>
      </w:r>
      <w:r w:rsidR="00E52294">
        <w:rPr>
          <w:lang w:val="fr-FR"/>
        </w:rPr>
        <w:t> </w:t>
      </w:r>
      <w:r w:rsidRPr="00DB47DF">
        <w:rPr>
          <w:lang w:val="fr-FR"/>
        </w:rPr>
        <w:t>177/15.</w:t>
      </w:r>
    </w:p>
  </w:footnote>
  <w:footnote w:id="40">
    <w:p w14:paraId="46938297"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Assurance-maladie permanente.</w:t>
      </w:r>
    </w:p>
  </w:footnote>
  <w:footnote w:id="41">
    <w:p w14:paraId="2405ACE7"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Institut pour la santé maternelle et infantile</w:t>
      </w:r>
    </w:p>
  </w:footnote>
  <w:footnote w:id="42">
    <w:p w14:paraId="08C6EFCA" w14:textId="77777777" w:rsidR="00311732" w:rsidRPr="00E359F3" w:rsidRDefault="00311732" w:rsidP="003C48D6">
      <w:pPr>
        <w:pStyle w:val="Notedebasdepage"/>
        <w:rPr>
          <w:lang w:val="en-US"/>
        </w:rPr>
      </w:pPr>
      <w:r w:rsidRPr="00DB47DF">
        <w:rPr>
          <w:lang w:val="fr-FR"/>
        </w:rPr>
        <w:tab/>
      </w:r>
      <w:r w:rsidRPr="002A465A">
        <w:rPr>
          <w:rStyle w:val="Appelnotedebasdep"/>
        </w:rPr>
        <w:footnoteRef/>
      </w:r>
      <w:r w:rsidRPr="00E359F3">
        <w:rPr>
          <w:lang w:val="en-US"/>
        </w:rPr>
        <w:tab/>
        <w:t>Source</w:t>
      </w:r>
      <w:r>
        <w:rPr>
          <w:lang w:val="en-US"/>
        </w:rPr>
        <w:t> </w:t>
      </w:r>
      <w:r w:rsidRPr="00E359F3">
        <w:rPr>
          <w:lang w:val="en-US"/>
        </w:rPr>
        <w:t>: Assurance-</w:t>
      </w:r>
      <w:proofErr w:type="spellStart"/>
      <w:r w:rsidRPr="00E359F3">
        <w:rPr>
          <w:lang w:val="en-US"/>
        </w:rPr>
        <w:t>maladie</w:t>
      </w:r>
      <w:proofErr w:type="spellEnd"/>
      <w:r w:rsidRPr="00E359F3">
        <w:rPr>
          <w:lang w:val="en-US"/>
        </w:rPr>
        <w:t xml:space="preserve"> </w:t>
      </w:r>
      <w:proofErr w:type="spellStart"/>
      <w:r w:rsidRPr="00E359F3">
        <w:rPr>
          <w:lang w:val="en-US"/>
        </w:rPr>
        <w:t>permanente</w:t>
      </w:r>
      <w:proofErr w:type="spellEnd"/>
      <w:r w:rsidRPr="00E359F3">
        <w:rPr>
          <w:lang w:val="en-US"/>
        </w:rPr>
        <w:t>.</w:t>
      </w:r>
    </w:p>
  </w:footnote>
  <w:footnote w:id="43">
    <w:p w14:paraId="52E9D200" w14:textId="77777777" w:rsidR="00311732" w:rsidRPr="00E359F3" w:rsidRDefault="00311732" w:rsidP="003C48D6">
      <w:pPr>
        <w:pStyle w:val="Notedebasdepage"/>
        <w:rPr>
          <w:lang w:val="en-US"/>
        </w:rPr>
      </w:pPr>
      <w:r w:rsidRPr="00E359F3">
        <w:rPr>
          <w:lang w:val="en-US"/>
        </w:rPr>
        <w:tab/>
      </w:r>
      <w:r w:rsidRPr="002A465A">
        <w:rPr>
          <w:rStyle w:val="Appelnotedebasdep"/>
        </w:rPr>
        <w:footnoteRef/>
      </w:r>
      <w:r w:rsidRPr="00E359F3">
        <w:rPr>
          <w:lang w:val="en-US"/>
        </w:rPr>
        <w:tab/>
        <w:t>HERA 2015</w:t>
      </w:r>
      <w:r>
        <w:rPr>
          <w:lang w:val="en-US"/>
        </w:rPr>
        <w:t> </w:t>
      </w:r>
      <w:r w:rsidRPr="00E359F3">
        <w:rPr>
          <w:lang w:val="en-US"/>
        </w:rPr>
        <w:t>: Peer Educators</w:t>
      </w:r>
      <w:r>
        <w:rPr>
          <w:lang w:val="en-US"/>
        </w:rPr>
        <w:t>’</w:t>
      </w:r>
      <w:r w:rsidRPr="00E359F3">
        <w:rPr>
          <w:lang w:val="en-US"/>
        </w:rPr>
        <w:t xml:space="preserve"> Manuals on Sexual and Reproductive Health and Rights Topics.</w:t>
      </w:r>
    </w:p>
  </w:footnote>
  <w:footnote w:id="44">
    <w:p w14:paraId="6F2A3DFD" w14:textId="77777777" w:rsidR="00311732" w:rsidRPr="00DB47DF" w:rsidRDefault="00311732" w:rsidP="003C48D6">
      <w:pPr>
        <w:pStyle w:val="Notedebasdepage"/>
        <w:rPr>
          <w:lang w:val="fr-FR"/>
        </w:rPr>
      </w:pPr>
      <w:r w:rsidRPr="00E359F3">
        <w:rPr>
          <w:lang w:val="en-US"/>
        </w:rPr>
        <w:tab/>
      </w:r>
      <w:r w:rsidRPr="002A465A">
        <w:rPr>
          <w:rStyle w:val="Appelnotedebasdep"/>
        </w:rPr>
        <w:footnoteRef/>
      </w:r>
      <w:r w:rsidRPr="00DB47DF">
        <w:rPr>
          <w:lang w:val="fr-FR"/>
        </w:rPr>
        <w:tab/>
        <w:t>L</w:t>
      </w:r>
      <w:r>
        <w:rPr>
          <w:lang w:val="fr-FR"/>
        </w:rPr>
        <w:t>’</w:t>
      </w:r>
      <w:r w:rsidRPr="00DB47DF">
        <w:rPr>
          <w:lang w:val="fr-FR"/>
        </w:rPr>
        <w:t>UNICEF conclut aussi chaque année un accord qui comporte un chapitre sur les réfugiés.</w:t>
      </w:r>
    </w:p>
  </w:footnote>
  <w:footnote w:id="45">
    <w:p w14:paraId="4298F3A5"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Ministère de l</w:t>
      </w:r>
      <w:r>
        <w:rPr>
          <w:lang w:val="fr-FR"/>
        </w:rPr>
        <w:t>’</w:t>
      </w:r>
      <w:r w:rsidRPr="00DB47DF">
        <w:rPr>
          <w:lang w:val="fr-FR"/>
        </w:rPr>
        <w:t>Intérieur.</w:t>
      </w:r>
    </w:p>
  </w:footnote>
  <w:footnote w:id="46">
    <w:p w14:paraId="00C7C79A"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Office national de statistique.</w:t>
      </w:r>
    </w:p>
  </w:footnote>
  <w:footnote w:id="47">
    <w:p w14:paraId="0B411D70"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Office national de statistique.</w:t>
      </w:r>
    </w:p>
  </w:footnote>
  <w:footnote w:id="48">
    <w:p w14:paraId="5C1317E5"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Office national de statistique.</w:t>
      </w:r>
    </w:p>
  </w:footnote>
  <w:footnote w:id="49">
    <w:p w14:paraId="63889919"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Office national de statistique.</w:t>
      </w:r>
    </w:p>
  </w:footnote>
  <w:footnote w:id="50">
    <w:p w14:paraId="0A6641A1"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Office national de statistique.</w:t>
      </w:r>
    </w:p>
  </w:footnote>
  <w:footnote w:id="51">
    <w:p w14:paraId="0FF08666"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Ministère du travail et de la politique sociale.</w:t>
      </w:r>
    </w:p>
  </w:footnote>
  <w:footnote w:id="52">
    <w:p w14:paraId="1960A06B"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Ministère du travail et de la politique sociale.</w:t>
      </w:r>
    </w:p>
  </w:footnote>
  <w:footnote w:id="53">
    <w:p w14:paraId="2AF6E68A"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JO n</w:t>
      </w:r>
      <w:r w:rsidR="007C425A" w:rsidRPr="007C425A">
        <w:rPr>
          <w:vertAlign w:val="superscript"/>
          <w:lang w:val="fr-FR"/>
        </w:rPr>
        <w:t>o</w:t>
      </w:r>
      <w:r w:rsidR="007C425A">
        <w:rPr>
          <w:lang w:val="fr-FR"/>
        </w:rPr>
        <w:t> </w:t>
      </w:r>
      <w:r w:rsidRPr="00DB47DF">
        <w:rPr>
          <w:lang w:val="fr-FR"/>
        </w:rPr>
        <w:t>226/15.</w:t>
      </w:r>
    </w:p>
  </w:footnote>
  <w:footnote w:id="54">
    <w:p w14:paraId="5CF7026A"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JO n</w:t>
      </w:r>
      <w:r w:rsidR="003A2641" w:rsidRPr="003A2641">
        <w:rPr>
          <w:vertAlign w:val="superscript"/>
          <w:lang w:val="fr-FR"/>
        </w:rPr>
        <w:t>o</w:t>
      </w:r>
      <w:r w:rsidR="003A2641">
        <w:rPr>
          <w:lang w:val="fr-FR"/>
        </w:rPr>
        <w:t> </w:t>
      </w:r>
      <w:r w:rsidRPr="00DB47DF">
        <w:rPr>
          <w:lang w:val="fr-FR"/>
        </w:rPr>
        <w:t>148/13.</w:t>
      </w:r>
    </w:p>
  </w:footnote>
  <w:footnote w:id="55">
    <w:p w14:paraId="0B2484E3"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Membres de la Commission</w:t>
      </w:r>
      <w:r>
        <w:rPr>
          <w:lang w:val="fr-FR"/>
        </w:rPr>
        <w:t> </w:t>
      </w:r>
      <w:r w:rsidRPr="00DB47DF">
        <w:rPr>
          <w:lang w:val="fr-FR"/>
        </w:rPr>
        <w:t>: Ministère de l</w:t>
      </w:r>
      <w:r>
        <w:rPr>
          <w:lang w:val="fr-FR"/>
        </w:rPr>
        <w:t>’</w:t>
      </w:r>
      <w:r w:rsidRPr="00DB47DF">
        <w:rPr>
          <w:lang w:val="fr-FR"/>
        </w:rPr>
        <w:t>intérieur, Ministère des affaires étrangères, parquets de première instance contre le crime organisé et la corruption, Ministère de l</w:t>
      </w:r>
      <w:r>
        <w:rPr>
          <w:lang w:val="fr-FR"/>
        </w:rPr>
        <w:t>’</w:t>
      </w:r>
      <w:r w:rsidRPr="00DB47DF">
        <w:rPr>
          <w:lang w:val="fr-FR"/>
        </w:rPr>
        <w:t>éducation et des sciences, Ministère de la santé, Ministère du travail et de la politique sociale, Inspection nationale du travail, et</w:t>
      </w:r>
      <w:r w:rsidR="00A11420">
        <w:rPr>
          <w:lang w:val="fr-FR"/>
        </w:rPr>
        <w:t> </w:t>
      </w:r>
      <w:r w:rsidRPr="00DB47DF">
        <w:rPr>
          <w:lang w:val="fr-FR"/>
        </w:rPr>
        <w:t>un juge du tribunal de première instance Skopje 1.</w:t>
      </w:r>
    </w:p>
  </w:footnote>
  <w:footnote w:id="56">
    <w:p w14:paraId="130AACEB"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Source</w:t>
      </w:r>
      <w:r>
        <w:rPr>
          <w:lang w:val="fr-FR"/>
        </w:rPr>
        <w:t> </w:t>
      </w:r>
      <w:r w:rsidRPr="00DB47DF">
        <w:rPr>
          <w:lang w:val="fr-FR"/>
        </w:rPr>
        <w:t>: Commission nationale de lutte contre la traite des êtres humains et les migrations illégales.</w:t>
      </w:r>
    </w:p>
  </w:footnote>
  <w:footnote w:id="57">
    <w:p w14:paraId="1B986C8B" w14:textId="77777777" w:rsidR="00311732" w:rsidRPr="00DB47DF" w:rsidRDefault="00311732" w:rsidP="003C48D6">
      <w:pPr>
        <w:pStyle w:val="Notedebasdepage"/>
        <w:rPr>
          <w:lang w:val="fr-FR"/>
        </w:rPr>
      </w:pPr>
      <w:r w:rsidRPr="00DB47DF">
        <w:rPr>
          <w:lang w:val="fr-FR"/>
        </w:rPr>
        <w:tab/>
      </w:r>
      <w:r w:rsidRPr="002A465A">
        <w:rPr>
          <w:rStyle w:val="Appelnotedebasdep"/>
        </w:rPr>
        <w:footnoteRef/>
      </w:r>
      <w:r w:rsidRPr="00DB47DF">
        <w:rPr>
          <w:lang w:val="fr-FR"/>
        </w:rPr>
        <w:tab/>
        <w:t>JO n</w:t>
      </w:r>
      <w:r w:rsidR="00E07844" w:rsidRPr="00E07844">
        <w:rPr>
          <w:vertAlign w:val="superscript"/>
          <w:lang w:val="fr-FR"/>
        </w:rPr>
        <w:t>o</w:t>
      </w:r>
      <w:r w:rsidR="00E07844">
        <w:rPr>
          <w:lang w:val="fr-FR"/>
        </w:rPr>
        <w:t> </w:t>
      </w:r>
      <w:r w:rsidRPr="00DB47DF">
        <w:rPr>
          <w:lang w:val="fr-FR"/>
        </w:rPr>
        <w:t>226/15.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6F41" w14:textId="2DD4CFCE" w:rsidR="00311732" w:rsidRPr="008F4945" w:rsidRDefault="00311732">
    <w:pPr>
      <w:pStyle w:val="En-tte"/>
    </w:pPr>
    <w:fldSimple w:instr=" TITLE  \* MERGEFORMAT ">
      <w:r w:rsidR="001E60E1">
        <w:t>CRC/C/MKD/3-6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EA1D" w14:textId="7F707277" w:rsidR="00311732" w:rsidRPr="008F4945" w:rsidRDefault="00311732" w:rsidP="008F4945">
    <w:pPr>
      <w:pStyle w:val="En-tte"/>
      <w:jc w:val="right"/>
    </w:pPr>
    <w:fldSimple w:instr=" TITLE  \* MERGEFORMAT ">
      <w:r w:rsidR="001E60E1">
        <w:t>CRC/C/MKD/3-6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2C262728"/>
    <w:lvl w:ilvl="0" w:tplc="A0964646">
      <w:start w:val="1"/>
      <w:numFmt w:val="decimal"/>
      <w:pStyle w:val="ParaNoG"/>
      <w:lvlText w:val="%1."/>
      <w:lvlJc w:val="left"/>
      <w:pPr>
        <w:tabs>
          <w:tab w:val="num" w:pos="0"/>
        </w:tabs>
        <w:ind w:left="1134" w:firstLine="0"/>
      </w:pPr>
      <w:rPr>
        <w:rFonts w:ascii="Times New Roman" w:hAnsi="Times New Roman" w:hint="default"/>
        <w:b w:val="0"/>
        <w:i w:val="0"/>
        <w:sz w:val="2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5"/>
  </w:num>
  <w:num w:numId="32">
    <w:abstractNumId w:val="4"/>
  </w:num>
  <w:num w:numId="3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D9"/>
    <w:rsid w:val="00006F1F"/>
    <w:rsid w:val="00017F94"/>
    <w:rsid w:val="00023842"/>
    <w:rsid w:val="000334F9"/>
    <w:rsid w:val="000354E9"/>
    <w:rsid w:val="0007796D"/>
    <w:rsid w:val="000B7790"/>
    <w:rsid w:val="000F4004"/>
    <w:rsid w:val="00111F2F"/>
    <w:rsid w:val="0011246E"/>
    <w:rsid w:val="0014365E"/>
    <w:rsid w:val="00176178"/>
    <w:rsid w:val="001C1645"/>
    <w:rsid w:val="001C683E"/>
    <w:rsid w:val="001E60E1"/>
    <w:rsid w:val="001F1900"/>
    <w:rsid w:val="001F4CA2"/>
    <w:rsid w:val="001F525A"/>
    <w:rsid w:val="00204496"/>
    <w:rsid w:val="00223272"/>
    <w:rsid w:val="0024779E"/>
    <w:rsid w:val="00254912"/>
    <w:rsid w:val="00260A30"/>
    <w:rsid w:val="002C5C3D"/>
    <w:rsid w:val="002D14A3"/>
    <w:rsid w:val="00311732"/>
    <w:rsid w:val="00311E81"/>
    <w:rsid w:val="00340DA6"/>
    <w:rsid w:val="00340ED0"/>
    <w:rsid w:val="00355E4F"/>
    <w:rsid w:val="00367773"/>
    <w:rsid w:val="003849FC"/>
    <w:rsid w:val="003A2641"/>
    <w:rsid w:val="003A6131"/>
    <w:rsid w:val="003C48D6"/>
    <w:rsid w:val="00411C8E"/>
    <w:rsid w:val="004345D9"/>
    <w:rsid w:val="00446FE5"/>
    <w:rsid w:val="00452396"/>
    <w:rsid w:val="00485B35"/>
    <w:rsid w:val="00497FA6"/>
    <w:rsid w:val="004D6250"/>
    <w:rsid w:val="004D7A2C"/>
    <w:rsid w:val="00502025"/>
    <w:rsid w:val="005505B7"/>
    <w:rsid w:val="00553C2A"/>
    <w:rsid w:val="00573BE5"/>
    <w:rsid w:val="0057442B"/>
    <w:rsid w:val="00586ED3"/>
    <w:rsid w:val="00596AA9"/>
    <w:rsid w:val="005A4609"/>
    <w:rsid w:val="005B6DD9"/>
    <w:rsid w:val="005D3578"/>
    <w:rsid w:val="005E6676"/>
    <w:rsid w:val="0060364C"/>
    <w:rsid w:val="007074B0"/>
    <w:rsid w:val="0071601D"/>
    <w:rsid w:val="007341B7"/>
    <w:rsid w:val="0076014B"/>
    <w:rsid w:val="00760CBC"/>
    <w:rsid w:val="00771C9B"/>
    <w:rsid w:val="007A62E6"/>
    <w:rsid w:val="007C425A"/>
    <w:rsid w:val="007F61AD"/>
    <w:rsid w:val="0080684C"/>
    <w:rsid w:val="00833E2B"/>
    <w:rsid w:val="00840413"/>
    <w:rsid w:val="00871C75"/>
    <w:rsid w:val="008776DC"/>
    <w:rsid w:val="00882C6B"/>
    <w:rsid w:val="008939D5"/>
    <w:rsid w:val="008B7586"/>
    <w:rsid w:val="008C54BD"/>
    <w:rsid w:val="008E2695"/>
    <w:rsid w:val="008F3CA0"/>
    <w:rsid w:val="008F4945"/>
    <w:rsid w:val="00936A52"/>
    <w:rsid w:val="009705C8"/>
    <w:rsid w:val="00984998"/>
    <w:rsid w:val="009B0759"/>
    <w:rsid w:val="009C6341"/>
    <w:rsid w:val="009D1079"/>
    <w:rsid w:val="009F0050"/>
    <w:rsid w:val="009F1630"/>
    <w:rsid w:val="00A11420"/>
    <w:rsid w:val="00A30353"/>
    <w:rsid w:val="00A60007"/>
    <w:rsid w:val="00A83F73"/>
    <w:rsid w:val="00A84D09"/>
    <w:rsid w:val="00AC3823"/>
    <w:rsid w:val="00AE323C"/>
    <w:rsid w:val="00AE6986"/>
    <w:rsid w:val="00AF6536"/>
    <w:rsid w:val="00B00181"/>
    <w:rsid w:val="00B0341D"/>
    <w:rsid w:val="00B24A9B"/>
    <w:rsid w:val="00B737D4"/>
    <w:rsid w:val="00B765F7"/>
    <w:rsid w:val="00B85038"/>
    <w:rsid w:val="00BA0CA9"/>
    <w:rsid w:val="00BA11B5"/>
    <w:rsid w:val="00BC2033"/>
    <w:rsid w:val="00BE2DC5"/>
    <w:rsid w:val="00BE313F"/>
    <w:rsid w:val="00BF593C"/>
    <w:rsid w:val="00C02897"/>
    <w:rsid w:val="00C11C80"/>
    <w:rsid w:val="00C12845"/>
    <w:rsid w:val="00C20A9B"/>
    <w:rsid w:val="00C210FA"/>
    <w:rsid w:val="00C6644F"/>
    <w:rsid w:val="00CE715B"/>
    <w:rsid w:val="00D31610"/>
    <w:rsid w:val="00D3439C"/>
    <w:rsid w:val="00D62FBF"/>
    <w:rsid w:val="00D6523C"/>
    <w:rsid w:val="00D701E3"/>
    <w:rsid w:val="00D71125"/>
    <w:rsid w:val="00DA1E01"/>
    <w:rsid w:val="00DB0E66"/>
    <w:rsid w:val="00DB1831"/>
    <w:rsid w:val="00DB1B67"/>
    <w:rsid w:val="00DD3BFD"/>
    <w:rsid w:val="00DD44C6"/>
    <w:rsid w:val="00DE6702"/>
    <w:rsid w:val="00DF6678"/>
    <w:rsid w:val="00E0724A"/>
    <w:rsid w:val="00E07844"/>
    <w:rsid w:val="00E52294"/>
    <w:rsid w:val="00E54B27"/>
    <w:rsid w:val="00E54ED8"/>
    <w:rsid w:val="00E5607B"/>
    <w:rsid w:val="00EC7F22"/>
    <w:rsid w:val="00F079E8"/>
    <w:rsid w:val="00F44CDC"/>
    <w:rsid w:val="00F44E88"/>
    <w:rsid w:val="00F53F7B"/>
    <w:rsid w:val="00F660DF"/>
    <w:rsid w:val="00F77342"/>
    <w:rsid w:val="00F95C08"/>
    <w:rsid w:val="00FA230E"/>
    <w:rsid w:val="00FA3418"/>
    <w:rsid w:val="00FE01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F7C41"/>
  <w15:docId w15:val="{E88AC0D8-A16B-487B-996C-99F7C299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3C48D6"/>
    <w:pPr>
      <w:numPr>
        <w:numId w:val="4"/>
      </w:numPr>
      <w:tabs>
        <w:tab w:val="clear" w:pos="1701"/>
        <w:tab w:val="clear" w:pos="2268"/>
        <w:tab w:val="clear" w:pos="2835"/>
      </w:tabs>
      <w:suppressAutoHyphens w:val="0"/>
      <w:kinsoku/>
      <w:overflowPunct/>
      <w:autoSpaceDE/>
      <w:autoSpaceDN/>
      <w:adjustRightInd/>
      <w:snapToGrid/>
    </w:pPr>
    <w:rPr>
      <w:rFonts w:eastAsia="SimSun"/>
      <w:lang w:val="en-GB" w:eastAsia="zh-CN"/>
    </w:rPr>
  </w:style>
  <w:style w:type="numbering" w:styleId="111111">
    <w:name w:val="Outline List 2"/>
    <w:basedOn w:val="Aucuneliste"/>
    <w:semiHidden/>
    <w:rsid w:val="003C48D6"/>
    <w:pPr>
      <w:numPr>
        <w:numId w:val="6"/>
      </w:numPr>
    </w:pPr>
  </w:style>
  <w:style w:type="numbering" w:styleId="1ai">
    <w:name w:val="Outline List 1"/>
    <w:basedOn w:val="Aucuneliste"/>
    <w:semiHidden/>
    <w:rsid w:val="003C48D6"/>
    <w:pPr>
      <w:numPr>
        <w:numId w:val="5"/>
      </w:numPr>
    </w:pPr>
  </w:style>
  <w:style w:type="character" w:styleId="Titredulivre">
    <w:name w:val="Book Title"/>
    <w:basedOn w:val="Policepardfaut"/>
    <w:uiPriority w:val="33"/>
    <w:semiHidden/>
    <w:rsid w:val="003C48D6"/>
    <w:rPr>
      <w:b/>
      <w:bCs/>
      <w:smallCaps/>
      <w:spacing w:val="5"/>
    </w:rPr>
  </w:style>
  <w:style w:type="character" w:customStyle="1" w:styleId="SingleTxtGChar">
    <w:name w:val="_ Single Txt_G Char"/>
    <w:link w:val="SingleTxtG"/>
    <w:locked/>
    <w:rsid w:val="003C48D6"/>
    <w:rPr>
      <w:rFonts w:ascii="Times New Roman" w:eastAsiaTheme="minorHAnsi" w:hAnsi="Times New Roman" w:cs="Times New Roman"/>
      <w:sz w:val="20"/>
      <w:szCs w:val="20"/>
      <w:lang w:eastAsia="en-US"/>
    </w:rPr>
  </w:style>
  <w:style w:type="paragraph" w:customStyle="1" w:styleId="Default">
    <w:name w:val="Default"/>
    <w:rsid w:val="003C48D6"/>
    <w:pPr>
      <w:widowControl w:val="0"/>
      <w:autoSpaceDE w:val="0"/>
      <w:autoSpaceDN w:val="0"/>
      <w:adjustRightInd w:val="0"/>
      <w:spacing w:after="0" w:line="240" w:lineRule="auto"/>
    </w:pPr>
    <w:rPr>
      <w:rFonts w:ascii="Tahoma" w:eastAsia="Calibri" w:hAnsi="Tahoma" w:cs="Tahoma"/>
      <w:color w:val="000000"/>
      <w:sz w:val="24"/>
      <w:szCs w:val="24"/>
      <w:lang w:val="en-US" w:eastAsia="en-US"/>
    </w:rPr>
  </w:style>
  <w:style w:type="character" w:styleId="Marquedecommentaire">
    <w:name w:val="annotation reference"/>
    <w:basedOn w:val="Policepardfaut"/>
    <w:uiPriority w:val="99"/>
    <w:semiHidden/>
    <w:unhideWhenUsed/>
    <w:rsid w:val="003C48D6"/>
    <w:rPr>
      <w:sz w:val="16"/>
      <w:szCs w:val="16"/>
    </w:rPr>
  </w:style>
  <w:style w:type="paragraph" w:styleId="Commentaire">
    <w:name w:val="annotation text"/>
    <w:basedOn w:val="Normal"/>
    <w:link w:val="CommentaireCar"/>
    <w:semiHidden/>
    <w:unhideWhenUsed/>
    <w:rsid w:val="003C48D6"/>
    <w:pPr>
      <w:suppressAutoHyphens w:val="0"/>
      <w:kinsoku/>
      <w:overflowPunct/>
      <w:autoSpaceDE/>
      <w:autoSpaceDN/>
      <w:adjustRightInd/>
      <w:snapToGrid/>
      <w:spacing w:line="240" w:lineRule="auto"/>
    </w:pPr>
    <w:rPr>
      <w:rFonts w:eastAsia="SimSun"/>
      <w:lang w:val="en-GB" w:eastAsia="zh-CN"/>
    </w:rPr>
  </w:style>
  <w:style w:type="character" w:customStyle="1" w:styleId="CommentaireCar">
    <w:name w:val="Commentaire Car"/>
    <w:basedOn w:val="Policepardfaut"/>
    <w:link w:val="Commentaire"/>
    <w:semiHidden/>
    <w:rsid w:val="003C48D6"/>
    <w:rPr>
      <w:rFonts w:ascii="Times New Roman" w:eastAsia="SimSu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C48D6"/>
    <w:rPr>
      <w:b/>
      <w:bCs/>
    </w:rPr>
  </w:style>
  <w:style w:type="character" w:customStyle="1" w:styleId="ObjetducommentaireCar">
    <w:name w:val="Objet du commentaire Car"/>
    <w:basedOn w:val="CommentaireCar"/>
    <w:link w:val="Objetducommentaire"/>
    <w:uiPriority w:val="99"/>
    <w:semiHidden/>
    <w:rsid w:val="003C48D6"/>
    <w:rPr>
      <w:rFonts w:ascii="Times New Roman" w:eastAsia="SimSun" w:hAnsi="Times New Roman" w:cs="Times New Roman"/>
      <w:b/>
      <w:bCs/>
      <w:sz w:val="20"/>
      <w:szCs w:val="20"/>
      <w:lang w:val="en-GB"/>
    </w:rPr>
  </w:style>
  <w:style w:type="paragraph" w:styleId="TM1">
    <w:name w:val="toc 1"/>
    <w:basedOn w:val="Normal"/>
    <w:next w:val="Normal"/>
    <w:autoRedefine/>
    <w:uiPriority w:val="39"/>
    <w:unhideWhenUsed/>
    <w:rsid w:val="003C48D6"/>
    <w:pPr>
      <w:suppressAutoHyphens w:val="0"/>
      <w:kinsoku/>
      <w:overflowPunct/>
      <w:autoSpaceDE/>
      <w:autoSpaceDN/>
      <w:adjustRightInd/>
      <w:snapToGrid/>
      <w:spacing w:after="100" w:line="240" w:lineRule="auto"/>
    </w:pPr>
    <w:rPr>
      <w:rFonts w:eastAsia="SimSun"/>
      <w:lang w:val="en-GB" w:eastAsia="zh-CN"/>
    </w:rPr>
  </w:style>
  <w:style w:type="paragraph" w:styleId="TM2">
    <w:name w:val="toc 2"/>
    <w:basedOn w:val="Normal"/>
    <w:next w:val="Normal"/>
    <w:autoRedefine/>
    <w:uiPriority w:val="39"/>
    <w:unhideWhenUsed/>
    <w:rsid w:val="003C48D6"/>
    <w:pPr>
      <w:suppressAutoHyphens w:val="0"/>
      <w:kinsoku/>
      <w:overflowPunct/>
      <w:autoSpaceDE/>
      <w:autoSpaceDN/>
      <w:adjustRightInd/>
      <w:snapToGrid/>
      <w:spacing w:after="100" w:line="240" w:lineRule="auto"/>
      <w:ind w:left="200"/>
    </w:pPr>
    <w:rPr>
      <w:rFonts w:eastAsia="SimSun"/>
      <w:lang w:val="en-GB" w:eastAsia="zh-CN"/>
    </w:rPr>
  </w:style>
  <w:style w:type="paragraph" w:styleId="TM3">
    <w:name w:val="toc 3"/>
    <w:basedOn w:val="Normal"/>
    <w:next w:val="Normal"/>
    <w:autoRedefine/>
    <w:uiPriority w:val="39"/>
    <w:unhideWhenUsed/>
    <w:rsid w:val="003C48D6"/>
    <w:pPr>
      <w:suppressAutoHyphens w:val="0"/>
      <w:kinsoku/>
      <w:overflowPunct/>
      <w:autoSpaceDE/>
      <w:autoSpaceDN/>
      <w:adjustRightInd/>
      <w:snapToGrid/>
      <w:spacing w:after="100" w:line="240" w:lineRule="auto"/>
      <w:ind w:left="400"/>
    </w:pPr>
    <w:rPr>
      <w:rFonts w:eastAsia="SimSun"/>
      <w:lang w:val="en-GB" w:eastAsia="zh-CN"/>
    </w:rPr>
  </w:style>
  <w:style w:type="paragraph" w:styleId="TM4">
    <w:name w:val="toc 4"/>
    <w:basedOn w:val="Normal"/>
    <w:next w:val="Normal"/>
    <w:autoRedefine/>
    <w:uiPriority w:val="39"/>
    <w:unhideWhenUsed/>
    <w:rsid w:val="003C48D6"/>
    <w:pPr>
      <w:suppressAutoHyphens w:val="0"/>
      <w:kinsoku/>
      <w:overflowPunct/>
      <w:autoSpaceDE/>
      <w:autoSpaceDN/>
      <w:adjustRightInd/>
      <w:snapToGrid/>
      <w:spacing w:after="100" w:line="259" w:lineRule="auto"/>
      <w:ind w:left="660"/>
    </w:pPr>
    <w:rPr>
      <w:rFonts w:asciiTheme="minorHAnsi" w:eastAsia="SimSun" w:hAnsiTheme="minorHAnsi" w:cstheme="minorBidi"/>
      <w:sz w:val="22"/>
      <w:szCs w:val="22"/>
      <w:lang w:val="en-US" w:eastAsia="zh-CN"/>
    </w:rPr>
  </w:style>
  <w:style w:type="paragraph" w:styleId="TM5">
    <w:name w:val="toc 5"/>
    <w:basedOn w:val="Normal"/>
    <w:next w:val="Normal"/>
    <w:autoRedefine/>
    <w:uiPriority w:val="39"/>
    <w:unhideWhenUsed/>
    <w:rsid w:val="003C48D6"/>
    <w:pPr>
      <w:suppressAutoHyphens w:val="0"/>
      <w:kinsoku/>
      <w:overflowPunct/>
      <w:autoSpaceDE/>
      <w:autoSpaceDN/>
      <w:adjustRightInd/>
      <w:snapToGrid/>
      <w:spacing w:after="100" w:line="259" w:lineRule="auto"/>
      <w:ind w:left="880"/>
    </w:pPr>
    <w:rPr>
      <w:rFonts w:asciiTheme="minorHAnsi" w:eastAsia="SimSun" w:hAnsiTheme="minorHAnsi" w:cstheme="minorBidi"/>
      <w:sz w:val="22"/>
      <w:szCs w:val="22"/>
      <w:lang w:val="en-US" w:eastAsia="zh-CN"/>
    </w:rPr>
  </w:style>
  <w:style w:type="paragraph" w:styleId="TM6">
    <w:name w:val="toc 6"/>
    <w:basedOn w:val="Normal"/>
    <w:next w:val="Normal"/>
    <w:autoRedefine/>
    <w:uiPriority w:val="39"/>
    <w:unhideWhenUsed/>
    <w:rsid w:val="003C48D6"/>
    <w:pPr>
      <w:suppressAutoHyphens w:val="0"/>
      <w:kinsoku/>
      <w:overflowPunct/>
      <w:autoSpaceDE/>
      <w:autoSpaceDN/>
      <w:adjustRightInd/>
      <w:snapToGrid/>
      <w:spacing w:after="100" w:line="259" w:lineRule="auto"/>
      <w:ind w:left="1100"/>
    </w:pPr>
    <w:rPr>
      <w:rFonts w:asciiTheme="minorHAnsi" w:eastAsia="SimSun" w:hAnsiTheme="minorHAnsi" w:cstheme="minorBidi"/>
      <w:sz w:val="22"/>
      <w:szCs w:val="22"/>
      <w:lang w:val="en-US" w:eastAsia="zh-CN"/>
    </w:rPr>
  </w:style>
  <w:style w:type="paragraph" w:styleId="TM7">
    <w:name w:val="toc 7"/>
    <w:basedOn w:val="Normal"/>
    <w:next w:val="Normal"/>
    <w:autoRedefine/>
    <w:uiPriority w:val="39"/>
    <w:unhideWhenUsed/>
    <w:rsid w:val="003C48D6"/>
    <w:pPr>
      <w:suppressAutoHyphens w:val="0"/>
      <w:kinsoku/>
      <w:overflowPunct/>
      <w:autoSpaceDE/>
      <w:autoSpaceDN/>
      <w:adjustRightInd/>
      <w:snapToGrid/>
      <w:spacing w:after="100" w:line="259" w:lineRule="auto"/>
      <w:ind w:left="1320"/>
    </w:pPr>
    <w:rPr>
      <w:rFonts w:asciiTheme="minorHAnsi" w:eastAsia="SimSun" w:hAnsiTheme="minorHAnsi" w:cstheme="minorBidi"/>
      <w:sz w:val="22"/>
      <w:szCs w:val="22"/>
      <w:lang w:val="en-US" w:eastAsia="zh-CN"/>
    </w:rPr>
  </w:style>
  <w:style w:type="paragraph" w:styleId="TM8">
    <w:name w:val="toc 8"/>
    <w:basedOn w:val="Normal"/>
    <w:next w:val="Normal"/>
    <w:autoRedefine/>
    <w:uiPriority w:val="39"/>
    <w:unhideWhenUsed/>
    <w:rsid w:val="003C48D6"/>
    <w:pPr>
      <w:suppressAutoHyphens w:val="0"/>
      <w:kinsoku/>
      <w:overflowPunct/>
      <w:autoSpaceDE/>
      <w:autoSpaceDN/>
      <w:adjustRightInd/>
      <w:snapToGrid/>
      <w:spacing w:after="100" w:line="259" w:lineRule="auto"/>
      <w:ind w:left="1540"/>
    </w:pPr>
    <w:rPr>
      <w:rFonts w:asciiTheme="minorHAnsi" w:eastAsia="SimSun" w:hAnsiTheme="minorHAnsi" w:cstheme="minorBidi"/>
      <w:sz w:val="22"/>
      <w:szCs w:val="22"/>
      <w:lang w:val="en-US" w:eastAsia="zh-CN"/>
    </w:rPr>
  </w:style>
  <w:style w:type="paragraph" w:styleId="TM9">
    <w:name w:val="toc 9"/>
    <w:basedOn w:val="Normal"/>
    <w:next w:val="Normal"/>
    <w:autoRedefine/>
    <w:uiPriority w:val="39"/>
    <w:unhideWhenUsed/>
    <w:rsid w:val="003C48D6"/>
    <w:pPr>
      <w:suppressAutoHyphens w:val="0"/>
      <w:kinsoku/>
      <w:overflowPunct/>
      <w:autoSpaceDE/>
      <w:autoSpaceDN/>
      <w:adjustRightInd/>
      <w:snapToGrid/>
      <w:spacing w:after="100" w:line="259" w:lineRule="auto"/>
      <w:ind w:left="1760"/>
    </w:pPr>
    <w:rPr>
      <w:rFonts w:asciiTheme="minorHAnsi" w:eastAsia="SimSun" w:hAnsiTheme="minorHAnsi" w:cstheme="minorBidi"/>
      <w:sz w:val="22"/>
      <w:szCs w:val="22"/>
      <w:lang w:val="en-US" w:eastAsia="zh-CN"/>
    </w:rPr>
  </w:style>
  <w:style w:type="character" w:customStyle="1" w:styleId="UnresolvedMention1">
    <w:name w:val="Unresolved Mention1"/>
    <w:basedOn w:val="Policepardfaut"/>
    <w:uiPriority w:val="99"/>
    <w:semiHidden/>
    <w:unhideWhenUsed/>
    <w:rsid w:val="003C48D6"/>
    <w:rPr>
      <w:color w:val="605E5C"/>
      <w:shd w:val="clear" w:color="auto" w:fill="E1DFDD"/>
    </w:rPr>
  </w:style>
  <w:style w:type="character" w:styleId="Mentionnonrsolue">
    <w:name w:val="Unresolved Mention"/>
    <w:basedOn w:val="Policepardfaut"/>
    <w:uiPriority w:val="99"/>
    <w:semiHidden/>
    <w:unhideWhenUsed/>
    <w:rsid w:val="00BE2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ughelp.eu/language.php"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45</Pages>
  <Words>22495</Words>
  <Characters>128226</Characters>
  <Application>Microsoft Office Word</Application>
  <DocSecurity>0</DocSecurity>
  <Lines>1068</Lines>
  <Paragraphs>300</Paragraphs>
  <ScaleCrop>false</ScaleCrop>
  <HeadingPairs>
    <vt:vector size="2" baseType="variant">
      <vt:variant>
        <vt:lpstr>Titre</vt:lpstr>
      </vt:variant>
      <vt:variant>
        <vt:i4>1</vt:i4>
      </vt:variant>
    </vt:vector>
  </HeadingPairs>
  <TitlesOfParts>
    <vt:vector size="1" baseType="lpstr">
      <vt:lpstr>CRC/C/MKD/3-6</vt:lpstr>
    </vt:vector>
  </TitlesOfParts>
  <Company>DCM</Company>
  <LinksUpToDate>false</LinksUpToDate>
  <CharactersWithSpaces>150421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CRC/C/MKD/3-6</dc:title>
  <dc:subject/>
  <dc:creator>Julien OKRZESIK</dc:creator>
  <cp:keywords/>
  <cp:lastModifiedBy>Julien Okrzesik</cp:lastModifiedBy>
  <cp:revision>3</cp:revision>
  <cp:lastPrinted>2021-01-25T16:19:00Z</cp:lastPrinted>
  <dcterms:created xsi:type="dcterms:W3CDTF">2021-01-25T16:19:00Z</dcterms:created>
  <dcterms:modified xsi:type="dcterms:W3CDTF">2021-01-25T16:19:00Z</dcterms:modified>
</cp:coreProperties>
</file>